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1FB" w:rsidRPr="007619FA" w:rsidP="007619FA" w14:paraId="479F8384" w14:textId="2ABAAE65">
      <w:pPr>
        <w:pStyle w:val="Subtitle"/>
        <w:rPr>
          <w:rStyle w:val="Heading1Char"/>
          <w:bCs/>
          <w:sz w:val="22"/>
          <w:szCs w:val="22"/>
        </w:rPr>
      </w:pPr>
      <w:r w:rsidRPr="002B698E">
        <w:t>SECTION I: PART A OF THE SUPPORTING STATEMENT</w:t>
      </w:r>
    </w:p>
    <w:p w:rsidR="00C67898" w:rsidRPr="00444802" w:rsidP="00444802" w14:paraId="6088164A" w14:textId="75909B37">
      <w:pPr>
        <w:pStyle w:val="Heading1"/>
        <w:rPr>
          <w:b w:val="0"/>
        </w:rPr>
      </w:pPr>
      <w:r w:rsidRPr="00444802">
        <w:rPr>
          <w:rStyle w:val="Heading1Char"/>
        </w:rPr>
        <w:t>Terms of Clearance</w:t>
      </w:r>
      <w:r w:rsidRPr="00444802" w:rsidR="004A047A">
        <w:rPr>
          <w:rStyle w:val="Heading1Char"/>
        </w:rPr>
        <w:t xml:space="preserve"> for Current ICR</w:t>
      </w:r>
    </w:p>
    <w:p w:rsidR="00CC69BD" w:rsidRPr="00444802" w:rsidP="00444802" w14:paraId="3112D888" w14:textId="4D902569">
      <w:pPr>
        <w:pStyle w:val="NoSpacing"/>
        <w:rPr>
          <w:rStyle w:val="Strong"/>
        </w:rPr>
      </w:pPr>
      <w:r w:rsidRPr="00444802">
        <w:rPr>
          <w:rStyle w:val="Strong"/>
        </w:rPr>
        <w:t xml:space="preserve">In accordance with 5 CFR 1320, the information collection is approved for three years. OMB reminds EPA that its oversight of this collection includes ensuring that </w:t>
      </w:r>
      <w:r w:rsidR="00113907">
        <w:rPr>
          <w:rStyle w:val="Strong"/>
        </w:rPr>
        <w:t>S</w:t>
      </w:r>
      <w:r w:rsidRPr="00444802">
        <w:rPr>
          <w:rStyle w:val="Strong"/>
        </w:rPr>
        <w:t>tates’ procedures are consistent with the CWA</w:t>
      </w:r>
      <w:r w:rsidRPr="00444802" w:rsidR="00276667">
        <w:rPr>
          <w:rStyle w:val="Strong"/>
        </w:rPr>
        <w:t>, SDWA</w:t>
      </w:r>
      <w:r w:rsidRPr="00444802" w:rsidR="00820498">
        <w:rPr>
          <w:rStyle w:val="Strong"/>
        </w:rPr>
        <w:t>,</w:t>
      </w:r>
      <w:r w:rsidRPr="00444802">
        <w:rPr>
          <w:rStyle w:val="Strong"/>
        </w:rPr>
        <w:t xml:space="preserve"> and accompanying regulations.</w:t>
      </w:r>
    </w:p>
    <w:p w:rsidR="00C67898" w:rsidRPr="00C67898" w:rsidP="00C67898" w14:paraId="47D75D29" w14:textId="77777777"/>
    <w:p w:rsidR="00C67898" w:rsidRPr="000C1E63" w:rsidP="000C1E63" w14:paraId="0B371A7D" w14:textId="0F79DECE">
      <w:pPr>
        <w:pStyle w:val="Heading1"/>
      </w:pPr>
      <w:r w:rsidRPr="000C1E63">
        <w:t xml:space="preserve">1. </w:t>
      </w:r>
      <w:r w:rsidRPr="000C1E63" w:rsidR="0081680D">
        <w:t>Identification</w:t>
      </w:r>
    </w:p>
    <w:p w:rsidR="000C1E63" w:rsidP="00744E34" w14:paraId="7C239A77" w14:textId="01565F1C">
      <w:pPr>
        <w:pStyle w:val="Heading2"/>
      </w:pPr>
      <w:r>
        <w:t>A. Title</w:t>
      </w:r>
    </w:p>
    <w:p w:rsidR="000C1E63" w:rsidRPr="000C1E63" w:rsidP="000C1E63" w14:paraId="57BE1C8A" w14:textId="506AC729">
      <w:r>
        <w:t>Information Collection Request (ICR) Supporting Statement for Clean Water State Revolving Fund and Drinking Water State Revolving Fund Programs OMB NO.</w:t>
      </w:r>
      <w:r w:rsidR="005E3BF8">
        <w:t xml:space="preserve"> </w:t>
      </w:r>
      <w:r>
        <w:t>2040-018</w:t>
      </w:r>
      <w:r w:rsidR="000236C4">
        <w:t>5</w:t>
      </w:r>
      <w:r>
        <w:t xml:space="preserve">, EPA ICR NO. </w:t>
      </w:r>
      <w:r w:rsidR="00DC6F7B">
        <w:t>1803.09.</w:t>
      </w:r>
    </w:p>
    <w:p w:rsidR="00616737" w:rsidRPr="00B63A0D" w:rsidP="00744E34" w14:paraId="5BFFD831" w14:textId="168A4A17">
      <w:pPr>
        <w:pStyle w:val="Heading2"/>
      </w:pPr>
      <w:r>
        <w:t xml:space="preserve">B. </w:t>
      </w:r>
      <w:r w:rsidRPr="00B63A0D">
        <w:t>Short Characterization</w:t>
      </w:r>
      <w:r>
        <w:t>/</w:t>
      </w:r>
      <w:r w:rsidRPr="00B63A0D">
        <w:t>Abstract</w:t>
      </w:r>
    </w:p>
    <w:p w:rsidR="00C06840" w:rsidP="00444802" w14:paraId="487126A0" w14:textId="371D9369">
      <w:pPr>
        <w:rPr>
          <w:b/>
        </w:rPr>
      </w:pPr>
      <w:r w:rsidRPr="002B698E">
        <w:t>The information collection activities will occur primarily at the program</w:t>
      </w:r>
      <w:r w:rsidR="00135964">
        <w:t>-</w:t>
      </w:r>
      <w:r w:rsidRPr="002B698E">
        <w:t>level through the State Capitalization Grant Agreement/Intended Use Plan and</w:t>
      </w:r>
      <w:r w:rsidR="005B050D">
        <w:t xml:space="preserve"> Annual </w:t>
      </w:r>
      <w:r w:rsidRPr="002B698E">
        <w:t>Report</w:t>
      </w:r>
      <w:r>
        <w:t>.</w:t>
      </w:r>
      <w:r w:rsidRPr="002B698E">
        <w:t xml:space="preserve"> The information on the Intended Use Plan (IUP) is needed annually to describe how the State intends to use available State Revolving F</w:t>
      </w:r>
      <w:r>
        <w:t xml:space="preserve">und (SRF) funds for the year </w:t>
      </w:r>
      <w:r w:rsidRPr="002B698E">
        <w:t xml:space="preserve">to meet the objectives of the </w:t>
      </w:r>
      <w:r w:rsidR="00120A3B">
        <w:t xml:space="preserve">Clean Water Act (CWA) or </w:t>
      </w:r>
      <w:r w:rsidRPr="002B698E">
        <w:t>Safe Drinking Water Act (SDWA) and to further the goal of protecting public health. The</w:t>
      </w:r>
      <w:r w:rsidR="00A808F2">
        <w:t xml:space="preserve"> Annual </w:t>
      </w:r>
      <w:r w:rsidR="00FE5B8F">
        <w:t xml:space="preserve">Report </w:t>
      </w:r>
      <w:r w:rsidRPr="002B698E">
        <w:t>is needed to provide detailed information on how the State has met its goals and objectives of the previous</w:t>
      </w:r>
      <w:r w:rsidR="00A808F2">
        <w:t xml:space="preserve"> one </w:t>
      </w:r>
      <w:r w:rsidR="00E32063">
        <w:t>f</w:t>
      </w:r>
      <w:r w:rsidRPr="002B698E">
        <w:t xml:space="preserve">iscal year as stated in the IUP and </w:t>
      </w:r>
      <w:r w:rsidR="00FC5D62">
        <w:t>G</w:t>
      </w:r>
      <w:r w:rsidRPr="002B698E">
        <w:t xml:space="preserve">rant </w:t>
      </w:r>
      <w:r w:rsidR="00FC5D62">
        <w:t>A</w:t>
      </w:r>
      <w:r w:rsidRPr="002B698E">
        <w:t xml:space="preserve">greement. The </w:t>
      </w:r>
      <w:r w:rsidR="0054421B">
        <w:t xml:space="preserve">CWA and </w:t>
      </w:r>
      <w:r w:rsidRPr="002B698E">
        <w:t>SDWA require</w:t>
      </w:r>
      <w:r w:rsidR="0054421B">
        <w:t xml:space="preserve"> </w:t>
      </w:r>
      <w:r w:rsidRPr="002B698E">
        <w:t>th</w:t>
      </w:r>
      <w:r>
        <w:t>is</w:t>
      </w:r>
      <w:r w:rsidRPr="002B698E">
        <w:t xml:space="preserve"> information to ensure </w:t>
      </w:r>
      <w:r>
        <w:t xml:space="preserve">the </w:t>
      </w:r>
      <w:r w:rsidRPr="002B698E">
        <w:t xml:space="preserve">national accountability, adequate public review and comment, fiscal integrity, and consistent management </w:t>
      </w:r>
      <w:r>
        <w:t>needed to achieve</w:t>
      </w:r>
      <w:r w:rsidRPr="002B698E">
        <w:t xml:space="preserve"> public health and </w:t>
      </w:r>
      <w:r w:rsidR="0054421B">
        <w:t xml:space="preserve">CWA and </w:t>
      </w:r>
      <w:r w:rsidRPr="002B698E">
        <w:t>SDWA compliance objectives.</w:t>
      </w:r>
    </w:p>
    <w:p w:rsidR="003167D8" w:rsidP="00941968" w14:paraId="5D06876F" w14:textId="069D359F">
      <w:r w:rsidRPr="003574BB">
        <w:t xml:space="preserve">Title VI of the </w:t>
      </w:r>
      <w:r w:rsidR="00E04C8A">
        <w:t xml:space="preserve">CWA </w:t>
      </w:r>
      <w:r w:rsidRPr="003574BB">
        <w:t xml:space="preserve">of 1987 established the </w:t>
      </w:r>
      <w:r w:rsidR="00485F33">
        <w:t>Clean Water State Revolving Fund (</w:t>
      </w:r>
      <w:r w:rsidRPr="003574BB">
        <w:t>CWSRF</w:t>
      </w:r>
      <w:r w:rsidR="00485F33">
        <w:t>)</w:t>
      </w:r>
      <w:r w:rsidRPr="003574BB">
        <w:t xml:space="preserve"> program, which replaced</w:t>
      </w:r>
      <w:r w:rsidR="00B66438">
        <w:t xml:space="preserve"> the</w:t>
      </w:r>
      <w:r w:rsidR="00DF420A">
        <w:t xml:space="preserve"> </w:t>
      </w:r>
      <w:r w:rsidRPr="00ED6449" w:rsidR="00DF420A">
        <w:t>Environmental Protection Agency</w:t>
      </w:r>
      <w:r w:rsidR="00DF420A">
        <w:t>’</w:t>
      </w:r>
      <w:r w:rsidR="00B66438">
        <w:t>s</w:t>
      </w:r>
      <w:r w:rsidRPr="00ED6449" w:rsidR="00DF420A">
        <w:t xml:space="preserve"> (EPA)</w:t>
      </w:r>
      <w:r w:rsidRPr="003574BB">
        <w:t xml:space="preserve"> Construction Grants Program. As outlined in 40 CFR Part 35, Subpart K, State Water Pollution Control Revolving Funds, and EPA guidance, each </w:t>
      </w:r>
      <w:r w:rsidR="00113907">
        <w:t>S</w:t>
      </w:r>
      <w:r w:rsidRPr="003574BB">
        <w:t xml:space="preserve">tate and Puerto Rico has its own CWSRF. </w:t>
      </w:r>
      <w:r w:rsidR="00027479">
        <w:t xml:space="preserve">The </w:t>
      </w:r>
      <w:r w:rsidR="009367F9">
        <w:t xml:space="preserve">1996 Amendments to the SDWA created the </w:t>
      </w:r>
      <w:r w:rsidR="006A596A">
        <w:t xml:space="preserve">Drinking Water State Revolving Fund </w:t>
      </w:r>
      <w:r w:rsidR="009367F9">
        <w:t>(DWSRF)</w:t>
      </w:r>
      <w:r w:rsidR="006A596A">
        <w:t xml:space="preserve">. </w:t>
      </w:r>
      <w:r w:rsidR="000854CB">
        <w:t xml:space="preserve">Much like </w:t>
      </w:r>
      <w:r w:rsidR="0009503C">
        <w:t xml:space="preserve">the CWSRF, each </w:t>
      </w:r>
      <w:r w:rsidR="00113907">
        <w:t>State</w:t>
      </w:r>
      <w:r w:rsidR="0009503C">
        <w:t xml:space="preserve"> and Puerto Rico has its own DWSRF, outlined in </w:t>
      </w:r>
      <w:r w:rsidR="00A66687">
        <w:t>40 CFR Part 35, Subpart L</w:t>
      </w:r>
      <w:r w:rsidR="0009503C">
        <w:t>.</w:t>
      </w:r>
    </w:p>
    <w:p w:rsidR="00B337EC" w:rsidRPr="003574BB" w:rsidP="00444802" w14:paraId="5BF9915B" w14:textId="23308E74">
      <w:r>
        <w:t xml:space="preserve">A </w:t>
      </w:r>
      <w:r w:rsidR="00A80FD5">
        <w:t>S</w:t>
      </w:r>
      <w:r>
        <w:t>tate</w:t>
      </w:r>
      <w:r w:rsidR="00DC4AF2">
        <w:t>’s</w:t>
      </w:r>
      <w:r>
        <w:t xml:space="preserve"> CWSRF</w:t>
      </w:r>
      <w:r w:rsidR="00DC4AF2">
        <w:t xml:space="preserve"> and DWSRF</w:t>
      </w:r>
      <w:r>
        <w:t xml:space="preserve"> include funds provided by federal capitalization grants, </w:t>
      </w:r>
      <w:r w:rsidR="6A69BB31">
        <w:t xml:space="preserve">state match, </w:t>
      </w:r>
      <w:r>
        <w:t xml:space="preserve">repayments from prior </w:t>
      </w:r>
      <w:r w:rsidR="009A6FD3">
        <w:t>assistance agreements</w:t>
      </w:r>
      <w:r>
        <w:t xml:space="preserve">, interest that has been repaid to the SRF, </w:t>
      </w:r>
      <w:r w:rsidR="00A8313A">
        <w:t xml:space="preserve">and </w:t>
      </w:r>
      <w:r w:rsidR="00C31DA0">
        <w:t>investment income. In some</w:t>
      </w:r>
      <w:r w:rsidR="00A8313A">
        <w:t xml:space="preserve"> </w:t>
      </w:r>
      <w:r>
        <w:t>cases</w:t>
      </w:r>
      <w:r w:rsidR="00A8313A">
        <w:t>,</w:t>
      </w:r>
      <w:r w:rsidR="00C31DA0">
        <w:t xml:space="preserve"> a </w:t>
      </w:r>
      <w:r w:rsidR="0052233F">
        <w:t>S</w:t>
      </w:r>
      <w:r w:rsidR="00C31DA0">
        <w:t xml:space="preserve">tate SRF </w:t>
      </w:r>
      <w:r w:rsidR="00A8313A">
        <w:t>secures additional funding th</w:t>
      </w:r>
      <w:r w:rsidR="00B13C61">
        <w:t>r</w:t>
      </w:r>
      <w:r w:rsidR="00A8313A">
        <w:t>ough</w:t>
      </w:r>
      <w:r>
        <w:t xml:space="preserve"> bond proceeds.</w:t>
      </w:r>
      <w:r w:rsidR="00A8313A">
        <w:t xml:space="preserve"> </w:t>
      </w:r>
      <w:r>
        <w:t xml:space="preserve">Each </w:t>
      </w:r>
      <w:r w:rsidR="00F740C7">
        <w:t>S</w:t>
      </w:r>
      <w:r>
        <w:t xml:space="preserve">tate designs and operates its own revolving fund to provide </w:t>
      </w:r>
      <w:r w:rsidR="00A8313A">
        <w:t xml:space="preserve">financial </w:t>
      </w:r>
      <w:r>
        <w:t>assistance</w:t>
      </w:r>
      <w:r w:rsidR="00A8313A">
        <w:t xml:space="preserve"> to eligible recipients</w:t>
      </w:r>
      <w:r>
        <w:t xml:space="preserve"> for water pollution control </w:t>
      </w:r>
      <w:r w:rsidR="00556A70">
        <w:t xml:space="preserve">and drinking water safety </w:t>
      </w:r>
      <w:r>
        <w:t>activities.</w:t>
      </w:r>
      <w:r w:rsidR="00BA1767">
        <w:t xml:space="preserve"> </w:t>
      </w:r>
    </w:p>
    <w:p w:rsidR="00B337EC" w:rsidRPr="003574BB" w:rsidP="00444802" w14:paraId="0B91A790" w14:textId="77777777">
      <w:r>
        <w:t>The CWSRF and DWSRF were established as low-interest</w:t>
      </w:r>
      <w:r w:rsidR="009E3D55">
        <w:t xml:space="preserve"> sources of funding for a wide range of water infrastructure projects</w:t>
      </w:r>
      <w:r w:rsidR="00D95BE1">
        <w:t xml:space="preserve"> and have the flexibility to use options beyond low inter</w:t>
      </w:r>
      <w:r w:rsidR="00D55E36">
        <w:t xml:space="preserve">est loans. </w:t>
      </w:r>
      <w:r>
        <w:t xml:space="preserve">States have the authority to use the </w:t>
      </w:r>
      <w:r w:rsidR="00737D2D">
        <w:t>SRFs</w:t>
      </w:r>
      <w:r w:rsidR="00D55E36">
        <w:t xml:space="preserve"> </w:t>
      </w:r>
      <w:r>
        <w:t>to issu</w:t>
      </w:r>
      <w:r w:rsidR="00CF5D54">
        <w:t>e</w:t>
      </w:r>
      <w:r>
        <w:t xml:space="preserve"> and refinan</w:t>
      </w:r>
      <w:r w:rsidR="00CF5D54">
        <w:t>ce</w:t>
      </w:r>
      <w:r>
        <w:t xml:space="preserve"> loans, purchas</w:t>
      </w:r>
      <w:r w:rsidR="00CF5D54">
        <w:t>e</w:t>
      </w:r>
      <w:r>
        <w:t xml:space="preserve"> or guarantee local debt, and purchas</w:t>
      </w:r>
      <w:r w:rsidR="001430E2">
        <w:t>e</w:t>
      </w:r>
      <w:r>
        <w:t xml:space="preserve"> bond insurance. </w:t>
      </w:r>
      <w:r w:rsidR="00146CCF">
        <w:t xml:space="preserve">States may also set specific terms such as interest rates and repayment periods. </w:t>
      </w:r>
      <w:r w:rsidR="001430E2">
        <w:t>The SRF</w:t>
      </w:r>
      <w:r w:rsidR="4237E792">
        <w:t>s</w:t>
      </w:r>
      <w:r w:rsidR="001430E2">
        <w:t xml:space="preserve"> can also </w:t>
      </w:r>
      <w:r w:rsidR="00831340">
        <w:t>issue loan guarantees,</w:t>
      </w:r>
      <w:r w:rsidR="00146CCF">
        <w:t xml:space="preserve"> </w:t>
      </w:r>
      <w:r w:rsidR="00D86631">
        <w:t>and i</w:t>
      </w:r>
      <w:r>
        <w:t xml:space="preserve">n 2009, Congress authorized </w:t>
      </w:r>
      <w:r w:rsidR="00113907">
        <w:t>State</w:t>
      </w:r>
      <w:r>
        <w:t>s to provide further financial assistance via the SRF program</w:t>
      </w:r>
      <w:r w:rsidR="10243009">
        <w:t>s</w:t>
      </w:r>
      <w:r w:rsidR="00A8313A">
        <w:t xml:space="preserve"> in the form of </w:t>
      </w:r>
      <w:r>
        <w:t>grants, principal forgiveness</w:t>
      </w:r>
      <w:r w:rsidR="00A8313A">
        <w:t>,</w:t>
      </w:r>
      <w:r>
        <w:t xml:space="preserve"> and negative interest rate loans.</w:t>
      </w:r>
      <w:r w:rsidR="008F139B">
        <w:t xml:space="preserve"> Under the DWSRF, a </w:t>
      </w:r>
      <w:r w:rsidR="00113907">
        <w:t>State</w:t>
      </w:r>
      <w:r w:rsidR="008F139B">
        <w:t xml:space="preserve"> may, at its discretion, establish disadvantaged community criteria and offer negative interest rates, principal forgiveness, and/or an extended repayment term.</w:t>
      </w:r>
    </w:p>
    <w:p w:rsidR="008D71DD" w:rsidP="00444802" w14:paraId="2311563A" w14:textId="5AA04936">
      <w:r w:rsidRPr="003574BB">
        <w:t>Congress provides EPA annual appropriation</w:t>
      </w:r>
      <w:r w:rsidR="00C864B3">
        <w:t>s</w:t>
      </w:r>
      <w:r w:rsidRPr="003574BB">
        <w:t xml:space="preserve"> for providing capitalization grants to </w:t>
      </w:r>
      <w:r w:rsidR="00113907">
        <w:t>State</w:t>
      </w:r>
      <w:r w:rsidRPr="003574BB">
        <w:t xml:space="preserve"> </w:t>
      </w:r>
      <w:r w:rsidR="000622F8">
        <w:t>SRFs</w:t>
      </w:r>
      <w:r w:rsidRPr="003574BB">
        <w:t xml:space="preserve">. EPA awards </w:t>
      </w:r>
      <w:r w:rsidR="00C864B3">
        <w:t>these</w:t>
      </w:r>
      <w:r w:rsidRPr="003574BB">
        <w:t xml:space="preserve"> grants to each </w:t>
      </w:r>
      <w:r w:rsidR="00113907">
        <w:t>State</w:t>
      </w:r>
      <w:r w:rsidRPr="003574BB">
        <w:t xml:space="preserve"> upon the </w:t>
      </w:r>
      <w:r w:rsidR="00113907">
        <w:t>State</w:t>
      </w:r>
      <w:r w:rsidRPr="003574BB">
        <w:t>’s submission of a grant application, which includes an IUP. While EPA provides oversight</w:t>
      </w:r>
      <w:r w:rsidR="00C864B3">
        <w:t xml:space="preserve"> that </w:t>
      </w:r>
      <w:r w:rsidRPr="003574BB" w:rsidR="00C864B3">
        <w:t xml:space="preserve">ensures that </w:t>
      </w:r>
      <w:r w:rsidR="00113907">
        <w:t>State</w:t>
      </w:r>
      <w:r w:rsidRPr="003574BB" w:rsidR="00C864B3">
        <w:t>s</w:t>
      </w:r>
      <w:r w:rsidR="00485F33">
        <w:t>’</w:t>
      </w:r>
      <w:r w:rsidRPr="003574BB" w:rsidR="00C864B3">
        <w:t xml:space="preserve"> procedures are consistent with the C</w:t>
      </w:r>
      <w:r w:rsidR="00C864B3">
        <w:t xml:space="preserve">WA </w:t>
      </w:r>
      <w:r w:rsidR="00D379AD">
        <w:t xml:space="preserve">or SDWA </w:t>
      </w:r>
      <w:r w:rsidR="00C864B3">
        <w:t>and accompanying regulations</w:t>
      </w:r>
      <w:r w:rsidRPr="003574BB">
        <w:t xml:space="preserve">, the </w:t>
      </w:r>
      <w:r w:rsidR="00113907">
        <w:t>State</w:t>
      </w:r>
      <w:r w:rsidRPr="003574BB">
        <w:t xml:space="preserve">s </w:t>
      </w:r>
      <w:r w:rsidR="00B86A8D">
        <w:t>have</w:t>
      </w:r>
      <w:r w:rsidRPr="003574BB" w:rsidR="00B86A8D">
        <w:t xml:space="preserve"> </w:t>
      </w:r>
      <w:r w:rsidRPr="003574BB">
        <w:t>a great deal of autonomy in administering the program</w:t>
      </w:r>
      <w:r w:rsidR="00C864B3">
        <w:t xml:space="preserve"> and selecting which projects receive funding. </w:t>
      </w:r>
      <w:r w:rsidRPr="003574BB" w:rsidR="0000022B">
        <w:t>Additional information</w:t>
      </w:r>
      <w:r w:rsidRPr="003574BB" w:rsidR="00722E74">
        <w:t xml:space="preserve"> </w:t>
      </w:r>
      <w:r w:rsidRPr="003574BB" w:rsidR="00CE37A8">
        <w:t>about</w:t>
      </w:r>
      <w:r w:rsidRPr="003574BB" w:rsidR="0000022B">
        <w:t xml:space="preserve"> the CWSRF</w:t>
      </w:r>
      <w:r w:rsidRPr="003574BB" w:rsidR="00CE37A8">
        <w:t>s</w:t>
      </w:r>
      <w:r w:rsidRPr="003574BB" w:rsidR="0000022B">
        <w:t xml:space="preserve"> </w:t>
      </w:r>
      <w:r w:rsidR="00C50F70">
        <w:t>and DWSRFs are</w:t>
      </w:r>
      <w:r w:rsidRPr="003574BB" w:rsidR="0000022B">
        <w:t xml:space="preserve"> available at </w:t>
      </w:r>
      <w:hyperlink r:id="rId10" w:history="1">
        <w:r w:rsidRPr="00444802" w:rsidR="00223111">
          <w:rPr>
            <w:rStyle w:val="Hyperlink"/>
          </w:rPr>
          <w:t>http://www.epa.gov/cwsrf/learn-about-clean-water-state-revolving-fund-cwsrf</w:t>
        </w:r>
      </w:hyperlink>
      <w:r w:rsidRPr="00444802" w:rsidR="00C50F70">
        <w:t xml:space="preserve"> and</w:t>
      </w:r>
      <w:r w:rsidR="00C50F70">
        <w:t xml:space="preserve"> </w:t>
      </w:r>
      <w:hyperlink r:id="rId11" w:anchor="tab-1" w:history="1">
        <w:r w:rsidRPr="00C50F70" w:rsidR="00C50F70">
          <w:rPr>
            <w:rStyle w:val="Hyperlink"/>
          </w:rPr>
          <w:t>https://www.epa.gov/dwsrf/how-drinking-water-state-revolving-fund-works#tab-1</w:t>
        </w:r>
      </w:hyperlink>
      <w:r w:rsidR="00C50F70">
        <w:t xml:space="preserve">, </w:t>
      </w:r>
      <w:r w:rsidR="00D562A5">
        <w:t>respectively</w:t>
      </w:r>
      <w:r w:rsidR="00C50F70">
        <w:t xml:space="preserve">. </w:t>
      </w:r>
    </w:p>
    <w:p w:rsidR="00E03CCB" w:rsidP="00444802" w14:paraId="734731C0" w14:textId="0581572D">
      <w:r>
        <w:t xml:space="preserve">This </w:t>
      </w:r>
      <w:r>
        <w:t>ICR</w:t>
      </w:r>
      <w:r w:rsidRPr="00976322">
        <w:t xml:space="preserve"> renews </w:t>
      </w:r>
      <w:r w:rsidR="000660AA">
        <w:t xml:space="preserve">the </w:t>
      </w:r>
      <w:r w:rsidRPr="00976322">
        <w:t>Office of Management a</w:t>
      </w:r>
      <w:r>
        <w:t>nd</w:t>
      </w:r>
      <w:r w:rsidR="0000022B">
        <w:t xml:space="preserve"> Budget (OMB) Number </w:t>
      </w:r>
      <w:r w:rsidR="00C87D04">
        <w:t>2040-018</w:t>
      </w:r>
      <w:r w:rsidR="005E3BF8">
        <w:t>5</w:t>
      </w:r>
      <w:r w:rsidR="0000022B">
        <w:t xml:space="preserve"> </w:t>
      </w:r>
      <w:r w:rsidR="00113907">
        <w:t>D</w:t>
      </w:r>
      <w:r>
        <w:t>WSRF</w:t>
      </w:r>
      <w:r w:rsidR="00695265">
        <w:t xml:space="preserve"> </w:t>
      </w:r>
      <w:r w:rsidRPr="00976322">
        <w:t>ICR</w:t>
      </w:r>
      <w:r>
        <w:t xml:space="preserve"> </w:t>
      </w:r>
      <w:r w:rsidR="00113907">
        <w:t xml:space="preserve">and OMB Number </w:t>
      </w:r>
      <w:r w:rsidR="00CC0852">
        <w:t>20</w:t>
      </w:r>
      <w:r w:rsidR="00160AEF">
        <w:t>4</w:t>
      </w:r>
      <w:r w:rsidR="00CC0852">
        <w:t>0-0118</w:t>
      </w:r>
      <w:r w:rsidR="00113907">
        <w:t xml:space="preserve"> CWSRF</w:t>
      </w:r>
      <w:r w:rsidR="00D45694">
        <w:t xml:space="preserve"> ICR</w:t>
      </w:r>
      <w:r w:rsidR="00113907">
        <w:t xml:space="preserve"> </w:t>
      </w:r>
      <w:r>
        <w:t>and provides updat</w:t>
      </w:r>
      <w:r w:rsidR="00A41A43">
        <w:t>ed estimates of the reporting burden</w:t>
      </w:r>
      <w:r>
        <w:t xml:space="preserve"> associ</w:t>
      </w:r>
      <w:r w:rsidR="00695265">
        <w:t>ated with the</w:t>
      </w:r>
      <w:r>
        <w:t xml:space="preserve"> inf</w:t>
      </w:r>
      <w:r w:rsidR="00695265">
        <w:t xml:space="preserve">ormation collection activities. </w:t>
      </w:r>
    </w:p>
    <w:p w:rsidR="0050025A" w:rsidP="00444802" w14:paraId="7223E483" w14:textId="489995A2">
      <w:r>
        <w:t xml:space="preserve">The </w:t>
      </w:r>
      <w:r w:rsidRPr="00F55905" w:rsidR="00E12A92">
        <w:t>individ</w:t>
      </w:r>
      <w:r w:rsidR="00E12A92">
        <w:t xml:space="preserve">ual information collections </w:t>
      </w:r>
      <w:r w:rsidR="00223111">
        <w:t xml:space="preserve">covered under this ICR </w:t>
      </w:r>
      <w:r w:rsidR="00E12A92">
        <w:t xml:space="preserve">are </w:t>
      </w:r>
      <w:r w:rsidR="00722E74">
        <w:t xml:space="preserve">briefly </w:t>
      </w:r>
      <w:r w:rsidRPr="00F55905" w:rsidR="00E12A92">
        <w:t>described as follows:</w:t>
      </w:r>
    </w:p>
    <w:p w:rsidR="002A2696" w:rsidRPr="00444802" w:rsidP="006232C3" w14:paraId="18FAC238" w14:textId="53E0AD48">
      <w:pPr>
        <w:pStyle w:val="ListParagraph"/>
        <w:numPr>
          <w:ilvl w:val="0"/>
          <w:numId w:val="8"/>
        </w:numPr>
        <w:rPr>
          <w:u w:val="single"/>
        </w:rPr>
      </w:pPr>
      <w:r w:rsidRPr="00444802">
        <w:rPr>
          <w:u w:val="single"/>
        </w:rPr>
        <w:t>Capi</w:t>
      </w:r>
      <w:r w:rsidRPr="00444802" w:rsidR="0061122D">
        <w:rPr>
          <w:u w:val="single"/>
        </w:rPr>
        <w:t>talization Grant Agreement/</w:t>
      </w:r>
      <w:r w:rsidRPr="00444802" w:rsidR="00002B32">
        <w:rPr>
          <w:u w:val="single"/>
        </w:rPr>
        <w:t>Intended Use Plan</w:t>
      </w:r>
    </w:p>
    <w:p w:rsidR="00ED6449" w:rsidP="00444802" w14:paraId="6DBE7959" w14:textId="640DBF22">
      <w:pPr>
        <w:pStyle w:val="ListParagraph"/>
      </w:pPr>
      <w:r w:rsidRPr="00ED6449">
        <w:t xml:space="preserve">The Capitalization Grant Agreement is the principal instrument by which the </w:t>
      </w:r>
      <w:r w:rsidR="00113907">
        <w:t>State</w:t>
      </w:r>
      <w:r w:rsidRPr="00ED6449">
        <w:t xml:space="preserve"> commits to manage its revolving fund program in conformity with the requirements of the </w:t>
      </w:r>
      <w:r>
        <w:t>CWA</w:t>
      </w:r>
      <w:r w:rsidR="008737D9">
        <w:t xml:space="preserve"> or SDWA</w:t>
      </w:r>
      <w:r w:rsidRPr="00ED6449">
        <w:t>. The grant agreement contains or incorporates by reference the</w:t>
      </w:r>
      <w:r w:rsidR="007F6650">
        <w:t xml:space="preserve"> </w:t>
      </w:r>
      <w:r w:rsidRPr="00ED6449">
        <w:t xml:space="preserve">IUP, application materials, payment schedule, required certifications, Operating Agreement (if used), and other documentation required by the Regional Administrator. Information on </w:t>
      </w:r>
      <w:r w:rsidR="00600951">
        <w:t>how a</w:t>
      </w:r>
      <w:r w:rsidR="001D26D5">
        <w:t>n</w:t>
      </w:r>
      <w:r w:rsidR="00600951">
        <w:t xml:space="preserve"> SRF program</w:t>
      </w:r>
      <w:r w:rsidRPr="00F55905" w:rsidR="00600951">
        <w:t xml:space="preserve"> </w:t>
      </w:r>
      <w:r w:rsidR="00600951">
        <w:t>intends to use its</w:t>
      </w:r>
      <w:r w:rsidRPr="00F55905" w:rsidR="00600951">
        <w:t xml:space="preserve"> funds for the</w:t>
      </w:r>
      <w:r w:rsidR="00600951">
        <w:t xml:space="preserve"> upcoming</w:t>
      </w:r>
      <w:r w:rsidRPr="00F55905" w:rsidR="00600951">
        <w:t xml:space="preserve"> year to meet the objectives of the CWA</w:t>
      </w:r>
      <w:r w:rsidR="00D648BA">
        <w:t xml:space="preserve"> or SDWA</w:t>
      </w:r>
      <w:r w:rsidRPr="00ED6449" w:rsidR="00600951">
        <w:t xml:space="preserve"> </w:t>
      </w:r>
      <w:r w:rsidRPr="00ED6449">
        <w:t xml:space="preserve">can be found in the </w:t>
      </w:r>
      <w:r w:rsidR="007F6650">
        <w:t>IUP</w:t>
      </w:r>
      <w:r w:rsidR="00600951">
        <w:t xml:space="preserve">. </w:t>
      </w:r>
      <w:r w:rsidRPr="00ED6449">
        <w:t xml:space="preserve">The agreement is a general instrument to legally commit the </w:t>
      </w:r>
      <w:r w:rsidR="00113907">
        <w:t>State</w:t>
      </w:r>
      <w:r w:rsidRPr="00ED6449">
        <w:t xml:space="preserve"> and EPA to execute the</w:t>
      </w:r>
      <w:r>
        <w:t>ir responsibilities under the C</w:t>
      </w:r>
      <w:r w:rsidRPr="00ED6449">
        <w:t>WA</w:t>
      </w:r>
      <w:r w:rsidR="00D648BA">
        <w:t xml:space="preserve"> or SDWA</w:t>
      </w:r>
      <w:r w:rsidRPr="00ED6449">
        <w:t>.</w:t>
      </w:r>
    </w:p>
    <w:p w:rsidR="00E12A92" w:rsidRPr="00F55905" w:rsidP="006232C3" w14:paraId="6633CDDE" w14:textId="3246D365">
      <w:pPr>
        <w:pStyle w:val="ListParagraph"/>
        <w:numPr>
          <w:ilvl w:val="0"/>
          <w:numId w:val="8"/>
        </w:numPr>
      </w:pPr>
      <w:r w:rsidRPr="00444802">
        <w:rPr>
          <w:u w:val="single"/>
        </w:rPr>
        <w:t xml:space="preserve">Annual </w:t>
      </w:r>
      <w:r w:rsidRPr="00444802">
        <w:rPr>
          <w:u w:val="single"/>
        </w:rPr>
        <w:t>Report</w:t>
      </w:r>
    </w:p>
    <w:p w:rsidR="008B056C" w:rsidP="00444802" w14:paraId="638C3347" w14:textId="4E704CF1">
      <w:pPr>
        <w:pStyle w:val="ListParagraph"/>
      </w:pPr>
      <w:r>
        <w:t>The</w:t>
      </w:r>
      <w:r w:rsidRPr="00ED6449" w:rsidR="00ED6449">
        <w:t xml:space="preserve"> </w:t>
      </w:r>
      <w:r w:rsidR="00600951">
        <w:t>Annual</w:t>
      </w:r>
      <w:r w:rsidRPr="00ED6449" w:rsidR="00600951">
        <w:t xml:space="preserve"> </w:t>
      </w:r>
      <w:r w:rsidRPr="00ED6449" w:rsidR="00ED6449">
        <w:t xml:space="preserve">Report indicates how the </w:t>
      </w:r>
      <w:r w:rsidR="00113907">
        <w:t>State</w:t>
      </w:r>
      <w:r w:rsidRPr="00ED6449" w:rsidR="00ED6449">
        <w:t xml:space="preserve"> has met its goals and objectives of the </w:t>
      </w:r>
      <w:r w:rsidR="00600951">
        <w:t>past</w:t>
      </w:r>
      <w:r w:rsidRPr="00ED6449" w:rsidR="00ED6449">
        <w:t xml:space="preserve"> fiscal year as stated in the grant agreement and, more specifically, in the </w:t>
      </w:r>
      <w:r w:rsidR="008931B6">
        <w:t>IUP</w:t>
      </w:r>
      <w:r w:rsidRPr="00ED6449" w:rsidR="00ED6449">
        <w:t>. The Report provides information on loan recipients, loan amounts, loan terms, project categories of eligible costs, and similar data on other forms of assistance. The Report also describes the extent to which the existing</w:t>
      </w:r>
      <w:r w:rsidR="00C0717D">
        <w:t xml:space="preserve"> CWSRF or DWSRF</w:t>
      </w:r>
      <w:r w:rsidRPr="00ED6449" w:rsidR="00ED6449">
        <w:t xml:space="preserve"> financial operating policies, alone or in combination with other </w:t>
      </w:r>
      <w:r w:rsidR="00113907">
        <w:t>State</w:t>
      </w:r>
      <w:r w:rsidRPr="00ED6449" w:rsidR="00ED6449">
        <w:t xml:space="preserve"> financial assistance programs, will provide for the long-term fiscal health of the Fund and carry out other </w:t>
      </w:r>
      <w:r w:rsidR="005A18B0">
        <w:t xml:space="preserve">key </w:t>
      </w:r>
      <w:r w:rsidRPr="00ED6449" w:rsidR="00ED6449">
        <w:t>provisions</w:t>
      </w:r>
      <w:r w:rsidR="005A18B0">
        <w:t xml:space="preserve"> of the CWA</w:t>
      </w:r>
      <w:r w:rsidR="00D662E0">
        <w:t xml:space="preserve"> or SDWA</w:t>
      </w:r>
      <w:r w:rsidR="005A18B0">
        <w:t>.</w:t>
      </w:r>
      <w:r w:rsidRPr="00ED6449" w:rsidR="00ED6449">
        <w:t xml:space="preserve"> Financial information from the </w:t>
      </w:r>
      <w:r w:rsidR="005A18B0">
        <w:t>Annual</w:t>
      </w:r>
      <w:r w:rsidRPr="00ED6449" w:rsidR="00ED6449">
        <w:t xml:space="preserve"> Report may be entered into the </w:t>
      </w:r>
      <w:r w:rsidR="004E3ECF">
        <w:t xml:space="preserve">SRF Data System. The SRF Data System updated and consolidated the Project Benefits Reporting (PBR) System, Clean Water Benefits Reporting (CBR) System, Drinking Water National Information Management System (DWNIMS), and Clean Water National Information Management System (CWNIMS) into a single portal, where data can be collected on State SRF assistance agreements, annual </w:t>
      </w:r>
      <w:r w:rsidR="00113907">
        <w:t>State</w:t>
      </w:r>
      <w:r w:rsidR="004E3ECF">
        <w:t xml:space="preserve"> level SRF program activity, SRF borrower data, and </w:t>
      </w:r>
      <w:r w:rsidR="00113907">
        <w:t>State</w:t>
      </w:r>
      <w:r w:rsidR="004E3ECF">
        <w:t xml:space="preserve"> SRF program agency management data. Through consolidation of system, the SRF Data System can avoid duplication of data questions to </w:t>
      </w:r>
      <w:r w:rsidR="00113907">
        <w:t>State</w:t>
      </w:r>
      <w:r w:rsidR="004E3ECF">
        <w:t xml:space="preserve"> users, more easily ensure data consistency, and more easily use and share data from other EPA </w:t>
      </w:r>
      <w:r w:rsidR="00CC2A7E">
        <w:t>s</w:t>
      </w:r>
      <w:r w:rsidR="004E3ECF">
        <w:t xml:space="preserve">ystems. </w:t>
      </w:r>
    </w:p>
    <w:p w:rsidR="00EC0670" w:rsidRPr="0050025A" w:rsidP="006232C3" w14:paraId="362C084B" w14:textId="4372A331">
      <w:pPr>
        <w:pStyle w:val="ListParagraph"/>
        <w:numPr>
          <w:ilvl w:val="0"/>
          <w:numId w:val="8"/>
        </w:numPr>
      </w:pPr>
      <w:r w:rsidRPr="00444802">
        <w:rPr>
          <w:u w:val="single"/>
        </w:rPr>
        <w:t xml:space="preserve">State </w:t>
      </w:r>
      <w:r w:rsidRPr="00444802">
        <w:rPr>
          <w:u w:val="single"/>
        </w:rPr>
        <w:t>Audit</w:t>
      </w:r>
      <w:r w:rsidR="004E3ECF">
        <w:rPr>
          <w:u w:val="single"/>
        </w:rPr>
        <w:t xml:space="preserve"> </w:t>
      </w:r>
    </w:p>
    <w:p w:rsidR="001D2BB8" w:rsidRPr="002D4C58" w:rsidP="00444802" w14:paraId="4F34B66D" w14:textId="55086931">
      <w:pPr>
        <w:pStyle w:val="ListParagraph"/>
      </w:pPr>
      <w:r>
        <w:t xml:space="preserve">A </w:t>
      </w:r>
      <w:r w:rsidR="00113907">
        <w:t>State</w:t>
      </w:r>
      <w:r>
        <w:t xml:space="preserve"> must comply with the provisions of the Single Audit Act Amendments of 1996. Best management practices suggest</w:t>
      </w:r>
      <w:r w:rsidR="0042728B">
        <w:t>,</w:t>
      </w:r>
      <w:r>
        <w:t xml:space="preserve"> and the EPA recommends</w:t>
      </w:r>
      <w:r w:rsidR="0042728B">
        <w:t>,</w:t>
      </w:r>
      <w:r>
        <w:t xml:space="preserve"> that a </w:t>
      </w:r>
      <w:r w:rsidR="00113907">
        <w:t>State</w:t>
      </w:r>
      <w:r>
        <w:t xml:space="preserve"> conduct an annual independent audit of its</w:t>
      </w:r>
      <w:r w:rsidR="00B05BFC">
        <w:t xml:space="preserve"> SRF </w:t>
      </w:r>
      <w:r>
        <w:t>program</w:t>
      </w:r>
      <w:r w:rsidR="00B05BFC">
        <w:t>s</w:t>
      </w:r>
      <w:r>
        <w:t>. The Audit must contain an opinion on the financial condition of the</w:t>
      </w:r>
      <w:r w:rsidR="00B05BFC">
        <w:t xml:space="preserve"> </w:t>
      </w:r>
      <w:r>
        <w:t>SRF program</w:t>
      </w:r>
      <w:r w:rsidR="00B05BFC">
        <w:t>s</w:t>
      </w:r>
      <w:r>
        <w:t>, a report on its internal controls, and a report on compliance with applicable laws and the CWA</w:t>
      </w:r>
      <w:r w:rsidR="004766E6">
        <w:t xml:space="preserve"> or SDWA</w:t>
      </w:r>
      <w:r>
        <w:t xml:space="preserve">. </w:t>
      </w:r>
    </w:p>
    <w:p w:rsidR="0000022B" w:rsidRPr="0050025A" w:rsidP="006232C3" w14:paraId="7589815D" w14:textId="2D19CF3A">
      <w:pPr>
        <w:pStyle w:val="ListParagraph"/>
        <w:numPr>
          <w:ilvl w:val="0"/>
          <w:numId w:val="8"/>
        </w:numPr>
      </w:pPr>
      <w:r w:rsidRPr="00444802">
        <w:rPr>
          <w:u w:val="single"/>
        </w:rPr>
        <w:t xml:space="preserve">Financial and Project Data </w:t>
      </w:r>
    </w:p>
    <w:p w:rsidR="008B056C" w:rsidP="00444802" w14:paraId="02A08401" w14:textId="09B76128">
      <w:pPr>
        <w:pStyle w:val="ListParagraph"/>
      </w:pPr>
      <w:r>
        <w:t xml:space="preserve">To meet the CWA </w:t>
      </w:r>
      <w:r w:rsidR="08394284">
        <w:t>and SDWA</w:t>
      </w:r>
      <w:r>
        <w:t xml:space="preserve"> objective</w:t>
      </w:r>
      <w:r w:rsidR="552CE2CC">
        <w:t>s</w:t>
      </w:r>
      <w:r>
        <w:t xml:space="preserve"> of “</w:t>
      </w:r>
      <w:r w:rsidR="7BC7FB65">
        <w:t>promoting the efficient use of fund resources</w:t>
      </w:r>
      <w:r>
        <w:t xml:space="preserve">” </w:t>
      </w:r>
      <w:r w:rsidR="2847DFDF">
        <w:t>State</w:t>
      </w:r>
      <w:r>
        <w:t xml:space="preserve">s must enter financial data, including project commitments and disbursements, into </w:t>
      </w:r>
      <w:r w:rsidR="01F5D97D">
        <w:t xml:space="preserve">the </w:t>
      </w:r>
      <w:r w:rsidR="4F0E902F">
        <w:t xml:space="preserve">SRF </w:t>
      </w:r>
      <w:r w:rsidR="01F5D97D">
        <w:t xml:space="preserve">Data System </w:t>
      </w:r>
      <w:r>
        <w:t>on an annual basis. The</w:t>
      </w:r>
      <w:r w:rsidR="00E14583">
        <w:t>s</w:t>
      </w:r>
      <w:r w:rsidR="030F30B6">
        <w:t>e</w:t>
      </w:r>
      <w:r>
        <w:t xml:space="preserve"> data, also available to the public, </w:t>
      </w:r>
      <w:r w:rsidR="00C640FD">
        <w:t>are</w:t>
      </w:r>
      <w:r>
        <w:t xml:space="preserve"> used by the EPA to assess compliance with the Program’s mandate to use all funds in an “expeditious and timely” manner and achieve maximum </w:t>
      </w:r>
      <w:r w:rsidR="2E28C1E6">
        <w:t>environmental benefits</w:t>
      </w:r>
      <w:r>
        <w:t xml:space="preserve"> from the Fund. Project</w:t>
      </w:r>
      <w:r w:rsidR="6FA6DF8A">
        <w:t>-</w:t>
      </w:r>
      <w:r>
        <w:t xml:space="preserve">level data </w:t>
      </w:r>
      <w:r w:rsidR="6FA6DF8A">
        <w:t>are</w:t>
      </w:r>
      <w:r>
        <w:t xml:space="preserve"> collected on a quarterly basis using the </w:t>
      </w:r>
      <w:r w:rsidR="7343C371">
        <w:t xml:space="preserve">SRF </w:t>
      </w:r>
      <w:r w:rsidR="14935B83">
        <w:t xml:space="preserve">Data </w:t>
      </w:r>
      <w:r>
        <w:t xml:space="preserve">System to ensure CWA </w:t>
      </w:r>
      <w:r w:rsidR="125F45CF">
        <w:t xml:space="preserve">and SDWA </w:t>
      </w:r>
      <w:r>
        <w:t xml:space="preserve">eligibility and </w:t>
      </w:r>
      <w:r w:rsidR="55FD2C38">
        <w:t xml:space="preserve">to highlight </w:t>
      </w:r>
      <w:r w:rsidR="2E28C1E6">
        <w:t>the project</w:t>
      </w:r>
      <w:r w:rsidR="505BAA0F">
        <w:t>ed</w:t>
      </w:r>
      <w:r w:rsidR="2E28C1E6">
        <w:t xml:space="preserve"> environmental </w:t>
      </w:r>
      <w:r w:rsidR="3401B6F8">
        <w:t xml:space="preserve">and health </w:t>
      </w:r>
      <w:r w:rsidR="2E28C1E6">
        <w:t>benefits</w:t>
      </w:r>
      <w:r>
        <w:t xml:space="preserve"> from SRF projects. </w:t>
      </w:r>
    </w:p>
    <w:p w:rsidR="002759B4" w:rsidRPr="0050025A" w:rsidP="006232C3" w14:paraId="6F0C42B7" w14:textId="181BE0C5">
      <w:pPr>
        <w:pStyle w:val="ListParagraph"/>
        <w:numPr>
          <w:ilvl w:val="0"/>
          <w:numId w:val="8"/>
        </w:numPr>
      </w:pPr>
      <w:r w:rsidRPr="085B8499">
        <w:rPr>
          <w:u w:val="single"/>
        </w:rPr>
        <w:t>SRF</w:t>
      </w:r>
      <w:r>
        <w:rPr>
          <w:u w:val="single"/>
        </w:rPr>
        <w:t xml:space="preserve"> </w:t>
      </w:r>
      <w:r w:rsidRPr="00444802" w:rsidR="00DD3647">
        <w:rPr>
          <w:u w:val="single"/>
        </w:rPr>
        <w:t xml:space="preserve">Public Awareness </w:t>
      </w:r>
      <w:r w:rsidRPr="00444802" w:rsidR="008B056C">
        <w:rPr>
          <w:u w:val="single"/>
        </w:rPr>
        <w:t>Requirements</w:t>
      </w:r>
    </w:p>
    <w:p w:rsidR="003203EA" w:rsidP="003203EA" w14:paraId="0933A153" w14:textId="1DB46C66">
      <w:pPr>
        <w:pStyle w:val="ListParagraph"/>
      </w:pPr>
      <w:r w:rsidRPr="0050025A">
        <w:t>Per EPA Grants Policy Issuance (GPI) 14-02: Enhancing Public Awareness of EPA Assista</w:t>
      </w:r>
      <w:r w:rsidRPr="0050025A" w:rsidR="00DF3285">
        <w:t xml:space="preserve">nce Agreements, </w:t>
      </w:r>
      <w:r w:rsidR="00FA795B">
        <w:t>SRF</w:t>
      </w:r>
      <w:r w:rsidR="25DE472E">
        <w:t xml:space="preserve"> bo</w:t>
      </w:r>
      <w:r w:rsidR="00DF3285">
        <w:t>rrowers</w:t>
      </w:r>
      <w:r w:rsidRPr="0050025A">
        <w:t xml:space="preserve"> must publicize EPA’s involvement in project funding only up to the funding amount in each yea</w:t>
      </w:r>
      <w:r w:rsidRPr="0050025A" w:rsidR="00061484">
        <w:t xml:space="preserve">r’s capitalization grant. </w:t>
      </w:r>
      <w:r w:rsidR="00061484">
        <w:t xml:space="preserve">The </w:t>
      </w:r>
      <w:r w:rsidR="609A75AE">
        <w:t>SRFs</w:t>
      </w:r>
      <w:r w:rsidRPr="0050025A">
        <w:t xml:space="preserve"> have various options to meet this requirement.</w:t>
      </w:r>
    </w:p>
    <w:p w:rsidR="005A18B0" w:rsidP="006A56DD" w14:paraId="15519628" w14:textId="509396F5">
      <w:pPr>
        <w:spacing w:before="240"/>
      </w:pPr>
      <w:bookmarkStart w:id="0" w:name="_Hlk72271573"/>
      <w:r>
        <w:t>Though the CWSRF information collection activities closely mirror those of the DWSRF</w:t>
      </w:r>
      <w:r w:rsidR="1994F40D">
        <w:t>,</w:t>
      </w:r>
      <w:r>
        <w:t xml:space="preserve"> there </w:t>
      </w:r>
      <w:r w:rsidR="471BAE22">
        <w:t>is</w:t>
      </w:r>
      <w:r>
        <w:t xml:space="preserve"> </w:t>
      </w:r>
      <w:r w:rsidR="2EAC62D3">
        <w:t xml:space="preserve">a </w:t>
      </w:r>
      <w:r>
        <w:t xml:space="preserve">key difference. </w:t>
      </w:r>
      <w:r w:rsidR="003C0A81">
        <w:t xml:space="preserve">In addition, the DWSRF program includes several set-aside programs that are funded through the DWSRF capitalization grants. </w:t>
      </w:r>
      <w:r w:rsidR="00BA0BBC">
        <w:t xml:space="preserve">These set-aside programs </w:t>
      </w:r>
      <w:r w:rsidR="00292C18">
        <w:t>cover</w:t>
      </w:r>
      <w:r w:rsidR="00BA0BBC">
        <w:t xml:space="preserve"> activities that</w:t>
      </w:r>
      <w:r w:rsidR="00970AA0">
        <w:t xml:space="preserve"> are</w:t>
      </w:r>
      <w:r w:rsidR="00BA0BBC">
        <w:t xml:space="preserve"> </w:t>
      </w:r>
      <w:r w:rsidR="00970AA0">
        <w:t>separate from</w:t>
      </w:r>
      <w:r w:rsidR="00BA0BBC">
        <w:t xml:space="preserve"> </w:t>
      </w:r>
      <w:r w:rsidR="008E0A2C">
        <w:t>the funding provided by the</w:t>
      </w:r>
      <w:r w:rsidR="00E34A38">
        <w:t xml:space="preserve"> DWSRFs for eligible water infrastructure projects</w:t>
      </w:r>
      <w:r w:rsidR="00BA0BBC">
        <w:t xml:space="preserve">. </w:t>
      </w:r>
      <w:r w:rsidR="003C0A81">
        <w:t xml:space="preserve">The use of </w:t>
      </w:r>
      <w:r w:rsidR="00BA0BBC">
        <w:t xml:space="preserve">the </w:t>
      </w:r>
      <w:r w:rsidR="003C0A81">
        <w:t xml:space="preserve">set-aside </w:t>
      </w:r>
      <w:r w:rsidR="00BA0BBC">
        <w:t xml:space="preserve">funds </w:t>
      </w:r>
      <w:r w:rsidR="00970AA0">
        <w:t>must</w:t>
      </w:r>
      <w:r w:rsidR="00BA0BBC">
        <w:t xml:space="preserve"> be tracked through the various DWSRF information collection activities, including the </w:t>
      </w:r>
      <w:r w:rsidR="00793FAD">
        <w:t>IUP</w:t>
      </w:r>
      <w:r w:rsidR="00542741">
        <w:t>s</w:t>
      </w:r>
      <w:r w:rsidR="00BA0BBC">
        <w:t xml:space="preserve"> and </w:t>
      </w:r>
      <w:r w:rsidR="0089245B">
        <w:t>Annual</w:t>
      </w:r>
      <w:r w:rsidR="00BA0BBC">
        <w:t xml:space="preserve"> </w:t>
      </w:r>
      <w:r w:rsidR="00542741">
        <w:t>R</w:t>
      </w:r>
      <w:r w:rsidR="00BA0BBC">
        <w:t xml:space="preserve">eports. </w:t>
      </w:r>
      <w:r w:rsidR="00890698">
        <w:t>The CWA does not provide similar set-aside programs for the CWSR</w:t>
      </w:r>
      <w:r w:rsidR="00354484">
        <w:t>Fs.</w:t>
      </w:r>
      <w:r w:rsidR="003C0A81">
        <w:t xml:space="preserve"> </w:t>
      </w:r>
      <w:r>
        <w:t xml:space="preserve">  </w:t>
      </w:r>
      <w:bookmarkEnd w:id="0"/>
    </w:p>
    <w:p w:rsidR="00D50F17" w:rsidP="00444802" w14:paraId="5CA028B9" w14:textId="446CAE0F">
      <w:r>
        <w:t>With the exception of</w:t>
      </w:r>
      <w:r>
        <w:t xml:space="preserve"> the public awareness </w:t>
      </w:r>
      <w:r w:rsidR="00475EB2">
        <w:t>requirement</w:t>
      </w:r>
      <w:r w:rsidR="006D0C08">
        <w:t>s</w:t>
      </w:r>
      <w:r w:rsidRPr="00B337EC">
        <w:t xml:space="preserve">, the respondents for the information collection activities are the </w:t>
      </w:r>
      <w:r w:rsidR="00113907">
        <w:t>State</w:t>
      </w:r>
      <w:r w:rsidRPr="00B337EC">
        <w:t xml:space="preserve"> environmental departments,</w:t>
      </w:r>
      <w:r w:rsidR="00C72E8A">
        <w:t xml:space="preserve"> </w:t>
      </w:r>
      <w:r w:rsidR="00113907">
        <w:t>State</w:t>
      </w:r>
      <w:r w:rsidR="00C72E8A">
        <w:t xml:space="preserve"> department</w:t>
      </w:r>
      <w:r w:rsidRPr="00B32082" w:rsidR="00C72E8A">
        <w:rPr>
          <w:iCs/>
        </w:rPr>
        <w:t>s</w:t>
      </w:r>
      <w:r w:rsidR="00C72E8A">
        <w:t xml:space="preserve"> of health,</w:t>
      </w:r>
      <w:r w:rsidRPr="00B337EC">
        <w:t xml:space="preserve"> and/or finance agencies responsible for operating the SRFs. The public awarenes</w:t>
      </w:r>
      <w:r w:rsidRPr="00B337EC" w:rsidR="005161E5">
        <w:t xml:space="preserve">s </w:t>
      </w:r>
      <w:r w:rsidR="00475EB2">
        <w:t>requirement</w:t>
      </w:r>
      <w:r w:rsidR="003C0A81">
        <w:t>s</w:t>
      </w:r>
      <w:r w:rsidRPr="00B337EC" w:rsidR="005161E5">
        <w:t xml:space="preserve"> directly impact SRF</w:t>
      </w:r>
      <w:r w:rsidRPr="00B337EC">
        <w:t xml:space="preserve"> borrowers that are designated as recipients of federal funds. The burden associated with</w:t>
      </w:r>
      <w:r w:rsidRPr="00B337EC" w:rsidR="000D1232">
        <w:t xml:space="preserve"> the public awareness </w:t>
      </w:r>
      <w:r w:rsidR="00D774BA">
        <w:t>requirements</w:t>
      </w:r>
      <w:r w:rsidRPr="00B337EC" w:rsidR="000D1232">
        <w:t xml:space="preserve"> should not</w:t>
      </w:r>
      <w:r w:rsidRPr="00B337EC">
        <w:t xml:space="preserve"> ha</w:t>
      </w:r>
      <w:r w:rsidRPr="00B337EC" w:rsidR="000D1232">
        <w:t xml:space="preserve">ve an impact on small entities since </w:t>
      </w:r>
      <w:r w:rsidRPr="00B337EC">
        <w:t>the SRFs have flexibility</w:t>
      </w:r>
      <w:r w:rsidRPr="00B337EC" w:rsidR="00700475">
        <w:t xml:space="preserve"> in determining which borrowers</w:t>
      </w:r>
      <w:r w:rsidRPr="00B337EC">
        <w:t xml:space="preserve"> must comply with th</w:t>
      </w:r>
      <w:r w:rsidR="00C82416">
        <w:t>ese</w:t>
      </w:r>
      <w:r w:rsidRPr="00B337EC">
        <w:t xml:space="preserve"> requirement</w:t>
      </w:r>
      <w:r w:rsidR="00C82416">
        <w:t>s</w:t>
      </w:r>
      <w:r w:rsidRPr="00B337EC">
        <w:t>.</w:t>
      </w:r>
    </w:p>
    <w:p w:rsidR="00A04FBF" w:rsidRPr="009F7230" w:rsidP="00DB4BA9" w14:paraId="444E1C08" w14:textId="0A43CB29">
      <w:r w:rsidRPr="006D4A64">
        <w:t>C</w:t>
      </w:r>
      <w:r w:rsidRPr="006D4A64" w:rsidR="00294053">
        <w:t>ompared to</w:t>
      </w:r>
      <w:r w:rsidRPr="006D4A64" w:rsidR="00061484">
        <w:t xml:space="preserve"> the</w:t>
      </w:r>
      <w:r w:rsidRPr="006D4A64" w:rsidR="00D50F17">
        <w:t xml:space="preserve"> previously approved</w:t>
      </w:r>
      <w:r w:rsidRPr="006D4A64" w:rsidR="00FE52BC">
        <w:t xml:space="preserve"> </w:t>
      </w:r>
      <w:r w:rsidRPr="006D4A64" w:rsidR="00061484">
        <w:t>ICR</w:t>
      </w:r>
      <w:r w:rsidRPr="006D4A64">
        <w:t xml:space="preserve">, </w:t>
      </w:r>
      <w:r w:rsidRPr="006D4A64" w:rsidR="00152B52">
        <w:t xml:space="preserve">the </w:t>
      </w:r>
      <w:r w:rsidRPr="006D4A64" w:rsidR="00D50F17">
        <w:t xml:space="preserve">annual </w:t>
      </w:r>
      <w:r w:rsidRPr="006D4A64" w:rsidR="00610D4F">
        <w:t xml:space="preserve">hourly </w:t>
      </w:r>
      <w:r w:rsidRPr="006D4A64" w:rsidR="00D25FD8">
        <w:t>and</w:t>
      </w:r>
      <w:r w:rsidRPr="006D4A64" w:rsidR="002B605A">
        <w:t xml:space="preserve"> </w:t>
      </w:r>
      <w:r w:rsidRPr="006D4A64" w:rsidR="00D25FD8">
        <w:t>cost burden</w:t>
      </w:r>
      <w:r w:rsidRPr="006D4A64" w:rsidR="002B605A">
        <w:t>s</w:t>
      </w:r>
      <w:r w:rsidRPr="006D4A64" w:rsidR="00D25FD8">
        <w:t xml:space="preserve"> ha</w:t>
      </w:r>
      <w:r w:rsidRPr="006D4A64" w:rsidR="002B605A">
        <w:t>ve</w:t>
      </w:r>
      <w:r w:rsidRPr="006D4A64" w:rsidR="00D25FD8">
        <w:t xml:space="preserve"> been </w:t>
      </w:r>
      <w:r w:rsidR="001A6C76">
        <w:t>decreased</w:t>
      </w:r>
      <w:r w:rsidRPr="006D4A64" w:rsidR="00D25FD8">
        <w:t xml:space="preserve"> by </w:t>
      </w:r>
      <w:r w:rsidR="001A6C76">
        <w:t>37,500</w:t>
      </w:r>
      <w:r w:rsidRPr="006D4A64" w:rsidR="00610D4F">
        <w:t xml:space="preserve"> hours and </w:t>
      </w:r>
      <w:r w:rsidR="006200B5">
        <w:t xml:space="preserve">increased by </w:t>
      </w:r>
      <w:r w:rsidRPr="006D4A64" w:rsidR="00610D4F">
        <w:t>$</w:t>
      </w:r>
      <w:r w:rsidRPr="006D4A64" w:rsidR="00FF0369">
        <w:t>3,505,315.</w:t>
      </w:r>
      <w:r w:rsidRPr="006D4A64" w:rsidR="006D4A64">
        <w:t>65</w:t>
      </w:r>
      <w:r w:rsidRPr="006D4A64" w:rsidR="00E7698E">
        <w:t>,</w:t>
      </w:r>
      <w:r w:rsidRPr="006D4A64" w:rsidR="00610D4F">
        <w:t xml:space="preserve"> respectively.</w:t>
      </w:r>
      <w:r w:rsidR="00B52CE0">
        <w:t xml:space="preserve"> </w:t>
      </w:r>
      <w:r w:rsidR="00210403">
        <w:t xml:space="preserve">This change in hourly burden is driven primarily by a decrease in annual hourly burden in the DWSRF from the elimination of the application review estimates to align with the estimates from CWSRF. The change in monetary burden </w:t>
      </w:r>
      <w:r w:rsidR="00EF5CE1">
        <w:t xml:space="preserve">is driven primarily by an increase in hourly wage estimates. </w:t>
      </w:r>
      <w:r w:rsidRPr="005907DE" w:rsidR="0031272A">
        <w:t>Additional</w:t>
      </w:r>
      <w:r w:rsidR="0031272A">
        <w:t xml:space="preserve"> information regarding the burden adjustments is provided in Section </w:t>
      </w:r>
      <w:r w:rsidR="00113907">
        <w:t>6</w:t>
      </w:r>
      <w:r w:rsidR="00647B40">
        <w:t>.F</w:t>
      </w:r>
      <w:r w:rsidR="0031272A">
        <w:t xml:space="preserve"> of this supporting statement</w:t>
      </w:r>
      <w:r w:rsidR="00D46D7A">
        <w:t>.</w:t>
      </w:r>
    </w:p>
    <w:p w:rsidR="005D28E2" w:rsidP="00E93435" w14:paraId="136AFCE3" w14:textId="068FB5CA">
      <w:pPr>
        <w:pStyle w:val="Heading1"/>
      </w:pPr>
      <w:r>
        <w:t>2. Need for and Use of Collection</w:t>
      </w:r>
    </w:p>
    <w:p w:rsidR="00BC21C7" w:rsidP="00744E34" w14:paraId="236A7589" w14:textId="60DF23FD">
      <w:pPr>
        <w:pStyle w:val="Heading2"/>
      </w:pPr>
      <w:r>
        <w:t>A. Need/Authority for the Collection</w:t>
      </w:r>
    </w:p>
    <w:p w:rsidR="007C3DFB" w:rsidRPr="00067C64" w:rsidP="00444802" w14:paraId="1E34280F" w14:textId="18B49CC8">
      <w:r w:rsidRPr="00067C64">
        <w:t xml:space="preserve">Title VI of the </w:t>
      </w:r>
      <w:r w:rsidRPr="00067C64" w:rsidR="006E6B1F">
        <w:t>CWA</w:t>
      </w:r>
      <w:r w:rsidRPr="00067C64" w:rsidR="007F2CE0">
        <w:t xml:space="preserve"> </w:t>
      </w:r>
      <w:r w:rsidR="3AA70908">
        <w:t xml:space="preserve">and </w:t>
      </w:r>
      <w:r w:rsidR="00037996">
        <w:t>S</w:t>
      </w:r>
      <w:r w:rsidR="3AA70908">
        <w:t xml:space="preserve">ection </w:t>
      </w:r>
      <w:r w:rsidR="1D79A1DD">
        <w:t>1</w:t>
      </w:r>
      <w:r w:rsidR="3AA70908">
        <w:t xml:space="preserve">452 of SDWA </w:t>
      </w:r>
      <w:r w:rsidRPr="00067C64" w:rsidR="007F2CE0">
        <w:t xml:space="preserve">provides the statutory </w:t>
      </w:r>
      <w:r w:rsidRPr="00067C64" w:rsidR="008624CA">
        <w:t xml:space="preserve">basis for having </w:t>
      </w:r>
      <w:r w:rsidR="3B769CDF">
        <w:t>a</w:t>
      </w:r>
      <w:r w:rsidR="004A5B09">
        <w:t>n</w:t>
      </w:r>
      <w:r w:rsidR="3B769CDF">
        <w:t xml:space="preserve"> </w:t>
      </w:r>
      <w:r w:rsidR="00EA0FD5">
        <w:t>SRF</w:t>
      </w:r>
      <w:r w:rsidRPr="00067C64" w:rsidR="00EA0FD5">
        <w:t xml:space="preserve"> </w:t>
      </w:r>
      <w:r w:rsidRPr="00067C64" w:rsidR="007F2CE0">
        <w:t xml:space="preserve">prepare and </w:t>
      </w:r>
      <w:r w:rsidRPr="00067C64" w:rsidR="00EA0FD5">
        <w:t>submit</w:t>
      </w:r>
      <w:r w:rsidRPr="00067C64" w:rsidR="008624CA">
        <w:t xml:space="preserve"> a</w:t>
      </w:r>
      <w:r w:rsidRPr="00067C64" w:rsidR="00306107">
        <w:t xml:space="preserve"> </w:t>
      </w:r>
      <w:r w:rsidRPr="00067C64" w:rsidR="008F75DD">
        <w:t xml:space="preserve">Capitalization Grant Agreement, </w:t>
      </w:r>
      <w:r w:rsidR="00793FAD">
        <w:t>IUP</w:t>
      </w:r>
      <w:r w:rsidRPr="00067C64" w:rsidR="008F75DD">
        <w:t xml:space="preserve">, Annual Report, </w:t>
      </w:r>
      <w:r w:rsidR="008F75DD">
        <w:t>a</w:t>
      </w:r>
      <w:r w:rsidRPr="00067C64" w:rsidR="008F75DD">
        <w:t>nd State Audit.</w:t>
      </w:r>
      <w:r w:rsidRPr="00067C64" w:rsidR="00190513">
        <w:t xml:space="preserve"> </w:t>
      </w:r>
      <w:r w:rsidRPr="00067C64" w:rsidR="00A775A8">
        <w:t xml:space="preserve">EPA also requires that the </w:t>
      </w:r>
      <w:r w:rsidR="00A775A8">
        <w:t>SRFs</w:t>
      </w:r>
      <w:r w:rsidRPr="00067C64" w:rsidR="00A775A8">
        <w:t xml:space="preserve"> periodically enter </w:t>
      </w:r>
      <w:r w:rsidRPr="00067C64" w:rsidR="00475EB2">
        <w:t xml:space="preserve">financial </w:t>
      </w:r>
      <w:r w:rsidRPr="00067C64" w:rsidR="00A775A8">
        <w:t xml:space="preserve">and project level information into </w:t>
      </w:r>
      <w:r w:rsidR="00E25991">
        <w:t xml:space="preserve">the SRF </w:t>
      </w:r>
      <w:r w:rsidR="004E3ECF">
        <w:t>Data System</w:t>
      </w:r>
      <w:r w:rsidRPr="00067C64" w:rsidR="00A775A8">
        <w:t>. These datab</w:t>
      </w:r>
      <w:r w:rsidRPr="00067C64" w:rsidR="006B396F">
        <w:t xml:space="preserve">ases </w:t>
      </w:r>
      <w:r w:rsidRPr="00067C64" w:rsidR="00A775A8">
        <w:t xml:space="preserve">provide EPA with </w:t>
      </w:r>
      <w:r w:rsidRPr="00067C64" w:rsidR="00FE52BC">
        <w:t xml:space="preserve">the </w:t>
      </w:r>
      <w:r w:rsidRPr="00067C64" w:rsidR="00A775A8">
        <w:t xml:space="preserve">information needed to effectively evaluate the performance of the </w:t>
      </w:r>
      <w:r w:rsidR="00A775A8">
        <w:t>SRFs</w:t>
      </w:r>
      <w:r w:rsidRPr="00067C64" w:rsidR="00A775A8">
        <w:t xml:space="preserve"> and to ensure compliance with statutory and other </w:t>
      </w:r>
      <w:r w:rsidRPr="00067C64" w:rsidR="00592A3F">
        <w:t xml:space="preserve">federal requirements. </w:t>
      </w:r>
    </w:p>
    <w:p w:rsidR="00021E07" w:rsidRPr="00067C64" w14:paraId="289A0241" w14:textId="76D59B80">
      <w:r w:rsidRPr="00067C64">
        <w:t>Prior to awarding a capitalization grant,</w:t>
      </w:r>
      <w:r w:rsidRPr="00067C64" w:rsidR="00485F33">
        <w:t xml:space="preserve"> </w:t>
      </w:r>
      <w:r w:rsidRPr="00067C64">
        <w:t>EPA must have su</w:t>
      </w:r>
      <w:r w:rsidRPr="00067C64" w:rsidR="006B396F">
        <w:t>fficient assurances that a CWSRF</w:t>
      </w:r>
      <w:r w:rsidRPr="00067C64">
        <w:t xml:space="preserve"> </w:t>
      </w:r>
      <w:r w:rsidRPr="00067C64" w:rsidR="20555D49">
        <w:t>and DWSRF</w:t>
      </w:r>
      <w:r w:rsidRPr="00067C64">
        <w:t xml:space="preserve"> will </w:t>
      </w:r>
      <w:r w:rsidRPr="00067C64" w:rsidR="006B396F">
        <w:t xml:space="preserve">be </w:t>
      </w:r>
      <w:r w:rsidRPr="00067C64">
        <w:t>manage</w:t>
      </w:r>
      <w:r w:rsidRPr="00067C64" w:rsidR="006B396F">
        <w:t xml:space="preserve">d </w:t>
      </w:r>
      <w:r w:rsidRPr="00067C64" w:rsidR="00DF6E71">
        <w:t xml:space="preserve">in compliance with </w:t>
      </w:r>
      <w:r w:rsidRPr="00067C64">
        <w:t>the</w:t>
      </w:r>
      <w:r w:rsidRPr="00067C64" w:rsidR="003948D5">
        <w:t xml:space="preserve"> CWA</w:t>
      </w:r>
      <w:r w:rsidRPr="00067C64" w:rsidR="15320CEB">
        <w:t xml:space="preserve"> and SDWA</w:t>
      </w:r>
      <w:r w:rsidRPr="00067C64" w:rsidR="003948D5">
        <w:t>. To</w:t>
      </w:r>
      <w:r w:rsidRPr="00067C64" w:rsidR="004A047A">
        <w:t xml:space="preserve"> ensure that EPA receives these</w:t>
      </w:r>
      <w:r w:rsidRPr="00067C64" w:rsidR="003948D5">
        <w:t xml:space="preserve"> assurances</w:t>
      </w:r>
      <w:r w:rsidRPr="00067C64">
        <w:t xml:space="preserve">, the CWA </w:t>
      </w:r>
      <w:r w:rsidRPr="00067C64" w:rsidR="5651E25B">
        <w:t xml:space="preserve">and SDWA </w:t>
      </w:r>
      <w:r w:rsidRPr="00067C64" w:rsidR="00997932">
        <w:t xml:space="preserve">provides specific instructions to the </w:t>
      </w:r>
      <w:r w:rsidR="00113907">
        <w:t>State</w:t>
      </w:r>
      <w:r w:rsidRPr="00067C64" w:rsidR="00997932">
        <w:t xml:space="preserve"> for developing and submitting the </w:t>
      </w:r>
      <w:r w:rsidR="00587284">
        <w:t>C</w:t>
      </w:r>
      <w:r w:rsidRPr="00067C64" w:rsidR="003948D5">
        <w:t xml:space="preserve">apitalization </w:t>
      </w:r>
      <w:r w:rsidR="00587284">
        <w:t>G</w:t>
      </w:r>
      <w:r w:rsidRPr="00067C64" w:rsidR="003948D5">
        <w:t xml:space="preserve">rant </w:t>
      </w:r>
      <w:r w:rsidR="00587284">
        <w:t>A</w:t>
      </w:r>
      <w:r w:rsidRPr="00067C64" w:rsidR="003948D5">
        <w:t>greement</w:t>
      </w:r>
      <w:r w:rsidRPr="00067C64" w:rsidR="00D01A86">
        <w:t xml:space="preserve">. The contents of the </w:t>
      </w:r>
      <w:r w:rsidR="00587284">
        <w:t xml:space="preserve">Capitalization Grant Agreement </w:t>
      </w:r>
      <w:r w:rsidRPr="00067C64" w:rsidR="00D01A86">
        <w:t xml:space="preserve">are governed by </w:t>
      </w:r>
      <w:r w:rsidR="00EC185A">
        <w:t xml:space="preserve">CWA </w:t>
      </w:r>
      <w:r w:rsidRPr="00067C64" w:rsidR="00D01A86">
        <w:t>Section 6</w:t>
      </w:r>
      <w:r w:rsidRPr="00067C64" w:rsidR="005F446C">
        <w:t>02</w:t>
      </w:r>
      <w:r w:rsidR="00EC185A">
        <w:t xml:space="preserve"> and </w:t>
      </w:r>
      <w:r w:rsidR="00C42C16">
        <w:t>SDWA Amendments of 1996 (Pub. L. 104-182)</w:t>
      </w:r>
      <w:r w:rsidRPr="00067C64" w:rsidR="005F446C">
        <w:t>, which lists the assurances and certifications</w:t>
      </w:r>
      <w:r w:rsidRPr="00067C64" w:rsidR="006B396F">
        <w:t xml:space="preserve"> a</w:t>
      </w:r>
      <w:r w:rsidR="00C1574B">
        <w:t>n</w:t>
      </w:r>
      <w:r w:rsidRPr="00067C64" w:rsidR="006B396F">
        <w:t xml:space="preserve"> SRF</w:t>
      </w:r>
      <w:r w:rsidRPr="00067C64" w:rsidR="005F446C">
        <w:t xml:space="preserve"> must provide</w:t>
      </w:r>
      <w:r w:rsidRPr="00067C64" w:rsidR="00C3254D">
        <w:t xml:space="preserve"> to</w:t>
      </w:r>
      <w:r w:rsidRPr="00067C64" w:rsidR="005F446C">
        <w:t xml:space="preserve"> EPA</w:t>
      </w:r>
      <w:r w:rsidRPr="00067C64" w:rsidR="00D01A86">
        <w:t>. As part of the capitalizatio</w:t>
      </w:r>
      <w:r w:rsidRPr="00067C64" w:rsidR="00E400B2">
        <w:t xml:space="preserve">n grant agreement, a </w:t>
      </w:r>
      <w:r w:rsidR="00113907">
        <w:t>State</w:t>
      </w:r>
      <w:r w:rsidRPr="00067C64" w:rsidR="00E400B2">
        <w:t xml:space="preserve"> must </w:t>
      </w:r>
      <w:r w:rsidRPr="00067C64" w:rsidR="00F8594A">
        <w:t>submit</w:t>
      </w:r>
      <w:r w:rsidRPr="00067C64" w:rsidR="00D01A86">
        <w:t xml:space="preserve"> an </w:t>
      </w:r>
      <w:r w:rsidR="00793FAD">
        <w:t>IUP</w:t>
      </w:r>
      <w:r w:rsidRPr="00067C64" w:rsidR="00E400B2">
        <w:t xml:space="preserve"> that is developed in accordance with </w:t>
      </w:r>
      <w:r w:rsidR="006A2E4C">
        <w:t xml:space="preserve">CWA </w:t>
      </w:r>
      <w:r w:rsidRPr="00067C64" w:rsidR="0008422A">
        <w:t>Section 606(c)</w:t>
      </w:r>
      <w:r w:rsidR="006A2E4C">
        <w:t xml:space="preserve"> and SDWA Section </w:t>
      </w:r>
      <w:r w:rsidR="00A63A33">
        <w:t>1452</w:t>
      </w:r>
      <w:r w:rsidR="00EC5B25">
        <w:t>(a)(1)</w:t>
      </w:r>
      <w:r w:rsidRPr="00067C64" w:rsidR="0008422A">
        <w:t>. In addition to mandating the minimum level of information that must</w:t>
      </w:r>
      <w:r w:rsidRPr="00067C64" w:rsidR="00F8594A">
        <w:t xml:space="preserve"> be included in the </w:t>
      </w:r>
      <w:r w:rsidR="00793FAD">
        <w:t>IUP</w:t>
      </w:r>
      <w:r w:rsidRPr="00067C64" w:rsidR="00C25077">
        <w:t>, S</w:t>
      </w:r>
      <w:r w:rsidRPr="00067C64" w:rsidR="0008422A">
        <w:t xml:space="preserve">ection 606(c) </w:t>
      </w:r>
      <w:r w:rsidR="009D7B76">
        <w:t>and Section 1452</w:t>
      </w:r>
      <w:r w:rsidR="00E778D6">
        <w:t>(</w:t>
      </w:r>
      <w:r w:rsidR="00D65B4E">
        <w:t>b</w:t>
      </w:r>
      <w:r w:rsidR="00E778D6">
        <w:t xml:space="preserve">)(1) </w:t>
      </w:r>
      <w:r w:rsidRPr="00067C64" w:rsidR="0008422A">
        <w:t>also require</w:t>
      </w:r>
      <w:r w:rsidRPr="00067C64" w:rsidR="00AD316A">
        <w:t>s that a</w:t>
      </w:r>
      <w:r w:rsidR="00464CA6">
        <w:t>n</w:t>
      </w:r>
      <w:r w:rsidRPr="00067C64" w:rsidR="00AD316A">
        <w:t xml:space="preserve"> SRF</w:t>
      </w:r>
      <w:r w:rsidRPr="00067C64" w:rsidR="00F8594A">
        <w:t xml:space="preserve"> provide</w:t>
      </w:r>
      <w:r w:rsidRPr="00067C64" w:rsidR="0008422A">
        <w:t xml:space="preserve"> an op</w:t>
      </w:r>
      <w:r w:rsidRPr="00067C64" w:rsidR="00AD316A">
        <w:t xml:space="preserve">portunity for public </w:t>
      </w:r>
      <w:r w:rsidRPr="00067C64" w:rsidR="0008422A">
        <w:t>comment</w:t>
      </w:r>
      <w:r w:rsidRPr="00067C64" w:rsidR="00F8594A">
        <w:t xml:space="preserve"> before the plan can be submitted</w:t>
      </w:r>
      <w:r w:rsidRPr="00067C64" w:rsidR="00915376">
        <w:t xml:space="preserve"> to EPA</w:t>
      </w:r>
      <w:r w:rsidRPr="00067C64" w:rsidR="005E45C4">
        <w:t xml:space="preserve"> for review. The </w:t>
      </w:r>
      <w:r w:rsidR="00793FAD">
        <w:t>IUP</w:t>
      </w:r>
      <w:r w:rsidRPr="00067C64" w:rsidR="00AD316A">
        <w:t xml:space="preserve"> must also reflect how a</w:t>
      </w:r>
      <w:r w:rsidR="008447D1">
        <w:t>n</w:t>
      </w:r>
      <w:r w:rsidRPr="00067C64" w:rsidR="005E45C4">
        <w:t xml:space="preserve"> SRF will comply with other federal requirements. These federal requirements are usually included in annual appropriation acts. </w:t>
      </w:r>
      <w:r w:rsidRPr="00067C64" w:rsidR="16048BB8">
        <w:t>M</w:t>
      </w:r>
      <w:r w:rsidRPr="00067C64" w:rsidR="005E45C4">
        <w:t>ajor requirements</w:t>
      </w:r>
      <w:r w:rsidRPr="00067C64" w:rsidR="001A47BD">
        <w:t xml:space="preserve"> that have accompanied annual appropriations</w:t>
      </w:r>
      <w:r w:rsidRPr="00067C64" w:rsidR="005E45C4">
        <w:t xml:space="preserve"> involve the use of additional subsidization </w:t>
      </w:r>
      <w:r w:rsidRPr="00067C64" w:rsidR="628CDC7C">
        <w:t xml:space="preserve">for both SRFs </w:t>
      </w:r>
      <w:r w:rsidRPr="00067C64" w:rsidR="005E45C4">
        <w:t>and the funding of the p</w:t>
      </w:r>
      <w:r w:rsidRPr="00067C64" w:rsidR="00002B32">
        <w:t>rojects that promote such activities</w:t>
      </w:r>
      <w:r w:rsidRPr="00067C64" w:rsidR="005E45C4">
        <w:t xml:space="preserve"> as green infrastructure and water and energy efficiency</w:t>
      </w:r>
      <w:r w:rsidRPr="00067C64" w:rsidR="004A047A">
        <w:t xml:space="preserve"> improvements</w:t>
      </w:r>
      <w:r w:rsidRPr="00067C64" w:rsidR="005E45C4">
        <w:t>.</w:t>
      </w:r>
      <w:r>
        <w:rPr>
          <w:rStyle w:val="FootnoteReference"/>
        </w:rPr>
        <w:footnoteReference w:id="3"/>
      </w:r>
      <w:r w:rsidRPr="00067C64" w:rsidR="005E45C4">
        <w:t xml:space="preserve"> </w:t>
      </w:r>
      <w:r w:rsidRPr="00FE7BA5" w:rsidR="003104E4">
        <w:t xml:space="preserve">The </w:t>
      </w:r>
      <w:smartTag w:uri="urn:schemas-microsoft-com:office:smarttags" w:element="stockticker">
        <w:r w:rsidRPr="00FE7BA5" w:rsidR="000178D2">
          <w:t>CFR</w:t>
        </w:r>
      </w:smartTag>
      <w:r w:rsidRPr="00FE7BA5" w:rsidR="000178D2">
        <w:t xml:space="preserve"> Part 35, Subpart L (August 2000).  </w:t>
      </w:r>
    </w:p>
    <w:p w:rsidR="002C1329" w:rsidRPr="00067C64" w:rsidP="00444802" w14:paraId="01F444EE" w14:textId="737F2C18">
      <w:r>
        <w:t xml:space="preserve">To </w:t>
      </w:r>
      <w:r w:rsidR="00C16A8E">
        <w:t xml:space="preserve">help </w:t>
      </w:r>
      <w:r>
        <w:t>ensure that the</w:t>
      </w:r>
      <w:r w:rsidR="00C16A8E">
        <w:t>re is sufficient oversight of the</w:t>
      </w:r>
      <w:r>
        <w:t xml:space="preserve"> SRFs</w:t>
      </w:r>
      <w:r w:rsidR="000F6500">
        <w:t>, t</w:t>
      </w:r>
      <w:r w:rsidR="00E41F4B">
        <w:t xml:space="preserve">he CWA </w:t>
      </w:r>
      <w:r w:rsidR="41B35C7B">
        <w:t xml:space="preserve">and SDWA </w:t>
      </w:r>
      <w:r w:rsidR="00E41F4B">
        <w:t>also re</w:t>
      </w:r>
      <w:r w:rsidR="00E42275">
        <w:t>q</w:t>
      </w:r>
      <w:r w:rsidR="00E41F4B">
        <w:t>uires</w:t>
      </w:r>
      <w:r w:rsidR="00C25077">
        <w:t xml:space="preserve"> </w:t>
      </w:r>
      <w:r w:rsidR="00DE035B">
        <w:t>that a</w:t>
      </w:r>
      <w:r w:rsidR="001D26D5">
        <w:t>n</w:t>
      </w:r>
      <w:r w:rsidR="00DE035B">
        <w:t xml:space="preserve"> </w:t>
      </w:r>
      <w:r w:rsidR="227C2B2D">
        <w:t>SRF</w:t>
      </w:r>
      <w:r w:rsidR="28729547">
        <w:t>s</w:t>
      </w:r>
      <w:r w:rsidR="007849FC">
        <w:t xml:space="preserve"> </w:t>
      </w:r>
      <w:r>
        <w:t xml:space="preserve">annually </w:t>
      </w:r>
      <w:r w:rsidR="007849FC">
        <w:t xml:space="preserve">submit a </w:t>
      </w:r>
      <w:r w:rsidR="000F6500">
        <w:t xml:space="preserve">report to </w:t>
      </w:r>
      <w:r w:rsidR="00B94954">
        <w:t>EP</w:t>
      </w:r>
      <w:r w:rsidR="000F6500">
        <w:t xml:space="preserve">A and </w:t>
      </w:r>
      <w:r w:rsidR="008F77C3">
        <w:t xml:space="preserve">undergo </w:t>
      </w:r>
      <w:r w:rsidR="00700475">
        <w:t xml:space="preserve">an </w:t>
      </w:r>
      <w:r w:rsidR="008F77C3">
        <w:t>audit</w:t>
      </w:r>
      <w:r w:rsidR="00AD316A">
        <w:t>.</w:t>
      </w:r>
      <w:r w:rsidR="584A8749">
        <w:t xml:space="preserve"> For the DWSRF, the requirement is a </w:t>
      </w:r>
      <w:r w:rsidR="002F0231">
        <w:t>B</w:t>
      </w:r>
      <w:r w:rsidR="584A8749">
        <w:t xml:space="preserve">iennial </w:t>
      </w:r>
      <w:r w:rsidR="002F0231">
        <w:t>R</w:t>
      </w:r>
      <w:r w:rsidR="584A8749">
        <w:t>eport, but the program encourages states to submit reports annually and will consider this an annual activity like the CWSRF.</w:t>
      </w:r>
      <w:r w:rsidR="00AD316A">
        <w:t xml:space="preserve"> Under</w:t>
      </w:r>
      <w:r w:rsidR="00781C93">
        <w:t xml:space="preserve"> the CWA</w:t>
      </w:r>
      <w:r w:rsidR="00AD316A">
        <w:t xml:space="preserve"> </w:t>
      </w:r>
      <w:r w:rsidR="00701C14">
        <w:t>S</w:t>
      </w:r>
      <w:r w:rsidR="00E926F0">
        <w:t>ection 606</w:t>
      </w:r>
      <w:r w:rsidR="00203CD4">
        <w:t>(d)</w:t>
      </w:r>
      <w:r w:rsidR="00781C93">
        <w:t xml:space="preserve"> and the SDWA Section 1452</w:t>
      </w:r>
      <w:r w:rsidR="23547DD3">
        <w:t>(g)(4)</w:t>
      </w:r>
      <w:r w:rsidR="00AD316A">
        <w:t>, a</w:t>
      </w:r>
      <w:r w:rsidR="006F3527">
        <w:t>n</w:t>
      </w:r>
      <w:r w:rsidR="00AD316A">
        <w:t xml:space="preserve"> SRF</w:t>
      </w:r>
      <w:r w:rsidR="006E3275">
        <w:t xml:space="preserve"> is required to develop and submit an </w:t>
      </w:r>
      <w:r w:rsidR="008F75DD">
        <w:t xml:space="preserve">Annual Report </w:t>
      </w:r>
      <w:r w:rsidR="006E3275">
        <w:t xml:space="preserve">describing how it has met the goals and objectives included in the previous year’s </w:t>
      </w:r>
      <w:r w:rsidR="00793FAD">
        <w:t>IUP</w:t>
      </w:r>
      <w:r w:rsidR="006E3275">
        <w:t xml:space="preserve">. The </w:t>
      </w:r>
      <w:r w:rsidR="008F75DD">
        <w:t xml:space="preserve">Annual Report </w:t>
      </w:r>
      <w:r w:rsidR="008A4734">
        <w:t xml:space="preserve">must also include detailed information on the financial assistance provided through the </w:t>
      </w:r>
      <w:r w:rsidR="4AE9AC11">
        <w:t>S</w:t>
      </w:r>
      <w:r w:rsidR="3F0780A9">
        <w:t>RF</w:t>
      </w:r>
      <w:r w:rsidR="008A4734">
        <w:t xml:space="preserve"> program</w:t>
      </w:r>
      <w:r w:rsidR="00B94954">
        <w:t xml:space="preserve"> over the past year,</w:t>
      </w:r>
      <w:r w:rsidR="008A4734">
        <w:t xml:space="preserve"> including identification of the loan recipients, assistance amoun</w:t>
      </w:r>
      <w:r w:rsidR="0052150F">
        <w:t xml:space="preserve">ts and terms, </w:t>
      </w:r>
      <w:r w:rsidR="008A4734">
        <w:t>and other related information.</w:t>
      </w:r>
      <w:r w:rsidR="000F6500">
        <w:t xml:space="preserve"> </w:t>
      </w:r>
      <w:r w:rsidR="2DF53715">
        <w:t xml:space="preserve">CWA </w:t>
      </w:r>
      <w:r w:rsidR="00AE3630">
        <w:t>Section</w:t>
      </w:r>
      <w:r w:rsidR="000F6500">
        <w:t xml:space="preserve"> 606</w:t>
      </w:r>
      <w:r w:rsidR="00203CD4">
        <w:t>(b)</w:t>
      </w:r>
      <w:r w:rsidR="00AD316A">
        <w:t xml:space="preserve"> </w:t>
      </w:r>
      <w:r w:rsidR="07B10EB3">
        <w:t>and SDWA Section</w:t>
      </w:r>
      <w:r w:rsidR="007A61B2">
        <w:t xml:space="preserve"> </w:t>
      </w:r>
      <w:r w:rsidR="07B10EB3">
        <w:t>1452</w:t>
      </w:r>
      <w:r w:rsidR="14458750">
        <w:t>(g)(4)</w:t>
      </w:r>
      <w:r w:rsidR="07B10EB3">
        <w:t xml:space="preserve"> </w:t>
      </w:r>
      <w:r w:rsidR="00AD316A">
        <w:t>requires each SRF to have an annu</w:t>
      </w:r>
      <w:r w:rsidR="00475EB2">
        <w:t>al</w:t>
      </w:r>
      <w:r w:rsidR="00592A3F">
        <w:t xml:space="preserve"> audit</w:t>
      </w:r>
      <w:r w:rsidR="00AD316A">
        <w:t xml:space="preserve"> </w:t>
      </w:r>
      <w:r w:rsidR="000F6500">
        <w:t xml:space="preserve">that </w:t>
      </w:r>
      <w:r w:rsidR="00F92D9E">
        <w:t>is conducted in accordance with the auditing procedures of t</w:t>
      </w:r>
      <w:r w:rsidR="005E046E">
        <w:t>he General Accounting Office to</w:t>
      </w:r>
      <w:r w:rsidR="00F92D9E">
        <w:t xml:space="preserve"> </w:t>
      </w:r>
      <w:r w:rsidR="00203CD4">
        <w:t>ensure</w:t>
      </w:r>
      <w:r w:rsidR="000F6500">
        <w:t xml:space="preserve"> the</w:t>
      </w:r>
      <w:r w:rsidR="00203CD4">
        <w:t xml:space="preserve"> proper usage of all</w:t>
      </w:r>
      <w:r w:rsidR="000F6500">
        <w:t xml:space="preserve"> SRF funds</w:t>
      </w:r>
      <w:r w:rsidR="008803B1">
        <w:t>.</w:t>
      </w:r>
    </w:p>
    <w:p w:rsidR="00A775A8" w:rsidRPr="00067C64" w:rsidP="00444802" w14:paraId="346CBFC3" w14:textId="64620E3C">
      <w:r w:rsidRPr="00067C64">
        <w:t xml:space="preserve">In addition to these statutory requirements, </w:t>
      </w:r>
      <w:r w:rsidRPr="00067C64" w:rsidR="00F63063">
        <w:t xml:space="preserve">EPA will continue to direct </w:t>
      </w:r>
      <w:r w:rsidRPr="00067C64">
        <w:t>t</w:t>
      </w:r>
      <w:r w:rsidRPr="00067C64" w:rsidR="00F63063">
        <w:t xml:space="preserve">he SRFs </w:t>
      </w:r>
      <w:r w:rsidRPr="00067C64">
        <w:t xml:space="preserve">to submit </w:t>
      </w:r>
      <w:r w:rsidRPr="00067C64" w:rsidR="00475EB2">
        <w:t>financial</w:t>
      </w:r>
      <w:r w:rsidRPr="00067C64">
        <w:t xml:space="preserve"> and project level </w:t>
      </w:r>
      <w:r w:rsidRPr="00067C64" w:rsidR="00475EB2">
        <w:t xml:space="preserve">data </w:t>
      </w:r>
      <w:r w:rsidRPr="00067C64">
        <w:t>th</w:t>
      </w:r>
      <w:r w:rsidRPr="00067C64" w:rsidR="0025739C">
        <w:t xml:space="preserve">rough the </w:t>
      </w:r>
      <w:r w:rsidR="0C0B0381">
        <w:t xml:space="preserve">SRF </w:t>
      </w:r>
      <w:r w:rsidR="004E3ECF">
        <w:t>Data System</w:t>
      </w:r>
      <w:r w:rsidRPr="00067C64" w:rsidR="0001782D">
        <w:t xml:space="preserve"> </w:t>
      </w:r>
      <w:r w:rsidRPr="00067C64">
        <w:t>on a periodic basis. The information collected through these databases is critical to EPA’s oversight responsibilities in ensuring the timely and expeditious use of SRF funds and the long-term financial sus</w:t>
      </w:r>
      <w:r w:rsidRPr="00067C64" w:rsidR="00E4594A">
        <w:t>tainability of the SRF</w:t>
      </w:r>
      <w:r w:rsidRPr="00067C64">
        <w:t xml:space="preserve">s. The information collected through </w:t>
      </w:r>
      <w:r w:rsidRPr="00067C64" w:rsidR="007B2D21">
        <w:t xml:space="preserve">the </w:t>
      </w:r>
      <w:r w:rsidR="3DBDAD1C">
        <w:t xml:space="preserve">SRF </w:t>
      </w:r>
      <w:r w:rsidR="004E3ECF">
        <w:t>Data System</w:t>
      </w:r>
      <w:r w:rsidRPr="00067C64">
        <w:t xml:space="preserve"> also serves another important role by establishing a stronger link between SRF financed projects and the projected environmental benefits as required by </w:t>
      </w:r>
      <w:r w:rsidRPr="682777B7">
        <w:rPr>
          <w:i/>
          <w:iCs/>
        </w:rPr>
        <w:t xml:space="preserve">EPA Order 5700.7, Environmental Results Under Assistance Agreements. </w:t>
      </w:r>
    </w:p>
    <w:p w:rsidR="00A775A8" w:rsidRPr="00067C64" w:rsidP="00444802" w14:paraId="4B056319" w14:textId="21B5FD44">
      <w:r>
        <w:t xml:space="preserve">The SRFs are asked to submit program level financial data annually through </w:t>
      </w:r>
      <w:r w:rsidR="00A52B4E">
        <w:t>the</w:t>
      </w:r>
      <w:r w:rsidR="00E25991">
        <w:t xml:space="preserve"> SRF</w:t>
      </w:r>
      <w:r w:rsidR="00A52B4E">
        <w:t xml:space="preserve"> Data System</w:t>
      </w:r>
      <w:r>
        <w:t xml:space="preserve">, including loan amounts, disbursements, repayments, and other critical information. The data collected </w:t>
      </w:r>
      <w:r w:rsidR="00E4594A">
        <w:t>supports</w:t>
      </w:r>
      <w:r>
        <w:t xml:space="preserve"> </w:t>
      </w:r>
      <w:r w:rsidR="00701C14">
        <w:t>S</w:t>
      </w:r>
      <w:r>
        <w:t>ection 606(e) of the CWA</w:t>
      </w:r>
      <w:r w:rsidR="1D5D3CD1">
        <w:t xml:space="preserve"> and 1452</w:t>
      </w:r>
      <w:r w:rsidR="5E97E850">
        <w:t>(g)(4)</w:t>
      </w:r>
      <w:r w:rsidR="1D5D3CD1">
        <w:t xml:space="preserve"> of the SDWA</w:t>
      </w:r>
      <w:r>
        <w:t xml:space="preserve">, requiring EPA to conduct annual oversight reviews </w:t>
      </w:r>
      <w:r w:rsidR="00E4594A">
        <w:t>of the SRFs. The</w:t>
      </w:r>
      <w:r w:rsidR="00E25991">
        <w:t xml:space="preserve"> SRF</w:t>
      </w:r>
      <w:r w:rsidR="00E4594A">
        <w:t xml:space="preserve"> </w:t>
      </w:r>
      <w:r w:rsidR="00A52B4E">
        <w:t xml:space="preserve">Data System </w:t>
      </w:r>
      <w:r>
        <w:t xml:space="preserve">complements the </w:t>
      </w:r>
      <w:r w:rsidR="008F75DD">
        <w:t xml:space="preserve">Annual Report </w:t>
      </w:r>
      <w:r>
        <w:t xml:space="preserve">and </w:t>
      </w:r>
      <w:r w:rsidR="008F75DD">
        <w:t>A</w:t>
      </w:r>
      <w:r>
        <w:t>udit by providing a current snapshot of fina</w:t>
      </w:r>
      <w:r w:rsidR="00E4594A">
        <w:t xml:space="preserve">ncial activity and the extent </w:t>
      </w:r>
      <w:r w:rsidR="001D5ECF">
        <w:t>by</w:t>
      </w:r>
      <w:r>
        <w:t xml:space="preserve"> which the SRFs funds have been committed and disbursed</w:t>
      </w:r>
      <w:r w:rsidR="00E4594A">
        <w:t xml:space="preserve"> for projects. The </w:t>
      </w:r>
      <w:r w:rsidR="00E25991">
        <w:t xml:space="preserve">SRF </w:t>
      </w:r>
      <w:r w:rsidR="00A52B4E">
        <w:t xml:space="preserve">Data System </w:t>
      </w:r>
      <w:r>
        <w:t>also provides an overview of the types of projects and the recipients receiving SRF funding. This comprehensive overview on program activity allows EPA to discuss the future</w:t>
      </w:r>
      <w:r w:rsidR="00E4594A">
        <w:t xml:space="preserve"> direction of the SRFs and</w:t>
      </w:r>
      <w:r>
        <w:t xml:space="preserve"> head off potential concerns before they become major problems.</w:t>
      </w:r>
    </w:p>
    <w:p w:rsidR="00A775A8" w:rsidRPr="00067C64" w:rsidP="00444802" w14:paraId="239AD39C" w14:textId="70CB7E24">
      <w:r w:rsidRPr="00067C64">
        <w:t>The</w:t>
      </w:r>
      <w:r>
        <w:t xml:space="preserve"> </w:t>
      </w:r>
      <w:r w:rsidR="37FDFD18">
        <w:t>SRF</w:t>
      </w:r>
      <w:r w:rsidRPr="00067C64">
        <w:t xml:space="preserve"> </w:t>
      </w:r>
      <w:r w:rsidR="004E3ECF">
        <w:t>Data System</w:t>
      </w:r>
      <w:r w:rsidRPr="00067C64">
        <w:t xml:space="preserve"> is also instrumental in allowing EPA to document the progress of the </w:t>
      </w:r>
      <w:r>
        <w:t>SRFs</w:t>
      </w:r>
      <w:r w:rsidRPr="00067C64">
        <w:t xml:space="preserve"> in addressing the nation’s water quality needs to the public and Congress. Information provided by this database is</w:t>
      </w:r>
      <w:r w:rsidRPr="00067C64" w:rsidR="00C6351C">
        <w:t xml:space="preserve"> an essential part of</w:t>
      </w:r>
      <w:r w:rsidRPr="00067C64" w:rsidR="00CA1AF5">
        <w:t xml:space="preserve"> </w:t>
      </w:r>
      <w:r w:rsidRPr="00067C64" w:rsidR="00C6351C">
        <w:t>EPA</w:t>
      </w:r>
      <w:r w:rsidRPr="00067C64">
        <w:t>’s testimony before the Congressional appropriations and authorizing committees that oversee environmental infrastructure programs. The data collected by this system is made available to the public and greatly supports outreach efforts by</w:t>
      </w:r>
      <w:r w:rsidRPr="00067C64" w:rsidR="00CA1AF5">
        <w:t xml:space="preserve"> </w:t>
      </w:r>
      <w:r w:rsidRPr="00067C64">
        <w:t xml:space="preserve">EPA and several key </w:t>
      </w:r>
      <w:r w:rsidR="00113907">
        <w:t>State</w:t>
      </w:r>
      <w:r w:rsidRPr="00067C64">
        <w:t xml:space="preserve"> and trade organizations (e.g., Council of Infrastructure Financing Authorities, Association of Clean Water Administrators,</w:t>
      </w:r>
      <w:r w:rsidR="003E00A8">
        <w:t xml:space="preserve"> </w:t>
      </w:r>
      <w:r w:rsidRPr="003E00A8" w:rsidR="003E00A8">
        <w:t>Association of State Drinking Water Administrators</w:t>
      </w:r>
      <w:r w:rsidR="0C5F0EA6">
        <w:t xml:space="preserve">, </w:t>
      </w:r>
      <w:r>
        <w:t>National</w:t>
      </w:r>
      <w:r w:rsidRPr="00067C64">
        <w:t xml:space="preserve"> Utility Contractors Association, and Water and Wastewater Equipment Manufacturers Association). </w:t>
      </w:r>
    </w:p>
    <w:p w:rsidR="00A775A8" w:rsidRPr="00067C64" w:rsidP="00444802" w14:paraId="7E44BFEE" w14:textId="42185715">
      <w:r w:rsidRPr="00067C64">
        <w:t>Since 2010, Congress has included several major provision</w:t>
      </w:r>
      <w:r w:rsidRPr="00067C64" w:rsidR="00DF6E71">
        <w:t>s</w:t>
      </w:r>
      <w:r w:rsidRPr="00067C64">
        <w:t xml:space="preserve"> in the annual appropriations </w:t>
      </w:r>
      <w:r w:rsidRPr="00067C64" w:rsidR="005723A2">
        <w:t xml:space="preserve">that affected the </w:t>
      </w:r>
      <w:r w:rsidR="005723A2">
        <w:t>SRFs</w:t>
      </w:r>
      <w:r>
        <w:t xml:space="preserve">. </w:t>
      </w:r>
      <w:r w:rsidR="02A323DD">
        <w:t xml:space="preserve">For CWSRF </w:t>
      </w:r>
      <w:r w:rsidR="25F539E4">
        <w:t>o</w:t>
      </w:r>
      <w:r w:rsidR="005723A2">
        <w:t>ne</w:t>
      </w:r>
      <w:r w:rsidRPr="00067C64" w:rsidR="005723A2">
        <w:t xml:space="preserve"> of the provisions included the Green Project Reserve</w:t>
      </w:r>
      <w:r w:rsidRPr="00067C64" w:rsidR="00FF52B9">
        <w:t xml:space="preserve"> (GPR)</w:t>
      </w:r>
      <w:r w:rsidRPr="00067C64">
        <w:t xml:space="preserve"> requirement that directed a portion of the federal funding </w:t>
      </w:r>
      <w:r w:rsidRPr="00067C64" w:rsidR="0029772A">
        <w:t xml:space="preserve">to </w:t>
      </w:r>
      <w:r w:rsidRPr="00067C64">
        <w:t xml:space="preserve">be used to fund projects that addressed green infrastructure, water efficiency improvements, energy efficiency improvements, or environmentally innovative activities. </w:t>
      </w:r>
      <w:r w:rsidR="62432030">
        <w:t xml:space="preserve">For both SRFs </w:t>
      </w:r>
      <w:r w:rsidR="10BEC082">
        <w:t>a</w:t>
      </w:r>
      <w:r>
        <w:t>nother</w:t>
      </w:r>
      <w:r w:rsidRPr="00067C64">
        <w:t xml:space="preserve"> provision directed that a portion of federal funding be used to provide additional subsidization in the form of principal forgiveness, negative </w:t>
      </w:r>
      <w:r w:rsidRPr="00067C64" w:rsidR="005723A2">
        <w:t>interest loans, or direct grants</w:t>
      </w:r>
      <w:r w:rsidRPr="00067C64">
        <w:t xml:space="preserve">. Accompanying these provisions was conference language that directed EPA to not only track how additional subsidies are used, but also by what types of communities. These provisions have been carried over into subsequent appropriations. </w:t>
      </w:r>
    </w:p>
    <w:p w:rsidR="00A775A8" w:rsidRPr="00067C64" w:rsidP="00444802" w14:paraId="51585E6B" w14:textId="410AC57A">
      <w:r>
        <w:t>D</w:t>
      </w:r>
      <w:r w:rsidR="2C334298">
        <w:t>ata entry into</w:t>
      </w:r>
      <w:r w:rsidR="071766D9">
        <w:t xml:space="preserve"> the</w:t>
      </w:r>
      <w:r w:rsidR="2C334298">
        <w:t xml:space="preserve"> </w:t>
      </w:r>
      <w:r w:rsidR="073355FB">
        <w:t xml:space="preserve">database </w:t>
      </w:r>
      <w:r w:rsidR="36956792">
        <w:t xml:space="preserve">stopped being optional </w:t>
      </w:r>
      <w:r w:rsidR="4DF7583A">
        <w:t>in 2010. The SRFs</w:t>
      </w:r>
      <w:r w:rsidR="2C334298">
        <w:t xml:space="preserve"> are required to enter project level infor</w:t>
      </w:r>
      <w:r w:rsidR="073355FB">
        <w:t xml:space="preserve">mation into </w:t>
      </w:r>
      <w:r w:rsidR="4DF7583A">
        <w:t xml:space="preserve">the </w:t>
      </w:r>
      <w:r w:rsidR="2D4149C9">
        <w:t xml:space="preserve">SRF </w:t>
      </w:r>
      <w:r>
        <w:t>Data System</w:t>
      </w:r>
      <w:r w:rsidR="073355FB">
        <w:t xml:space="preserve"> </w:t>
      </w:r>
      <w:r w:rsidR="2C334298">
        <w:t>on a quarterly basis. This frequency of collection is to ensure that</w:t>
      </w:r>
      <w:r w:rsidR="071766D9">
        <w:t xml:space="preserve"> </w:t>
      </w:r>
      <w:r w:rsidR="2C334298">
        <w:t>EPA can p</w:t>
      </w:r>
      <w:r w:rsidR="073355FB">
        <w:t xml:space="preserve">rovide a timely response to </w:t>
      </w:r>
      <w:r w:rsidR="2C334298">
        <w:t>congressional in</w:t>
      </w:r>
      <w:r w:rsidR="073355FB">
        <w:t>quiries with the most up-to-date data</w:t>
      </w:r>
      <w:r w:rsidR="2C334298">
        <w:t xml:space="preserve">. In response to constant inquiries regarding the status of meeting </w:t>
      </w:r>
      <w:r w:rsidR="5D73B27A">
        <w:t xml:space="preserve">federal </w:t>
      </w:r>
      <w:r w:rsidR="53A1CC16">
        <w:t>r</w:t>
      </w:r>
      <w:r w:rsidR="2C334298">
        <w:t>equirements</w:t>
      </w:r>
      <w:r w:rsidR="073355FB">
        <w:t xml:space="preserve">, EPA also </w:t>
      </w:r>
      <w:r w:rsidR="2C334298">
        <w:t>use</w:t>
      </w:r>
      <w:r w:rsidR="073355FB">
        <w:t>s the</w:t>
      </w:r>
      <w:r w:rsidR="2C334298">
        <w:t xml:space="preserve"> </w:t>
      </w:r>
      <w:r w:rsidR="7B9D3A5A">
        <w:t xml:space="preserve">SRF </w:t>
      </w:r>
      <w:r>
        <w:t>Data System</w:t>
      </w:r>
      <w:r w:rsidR="2C334298">
        <w:t xml:space="preserve"> to track </w:t>
      </w:r>
      <w:r w:rsidR="74C70BC6">
        <w:t>progress towards these goals.</w:t>
      </w:r>
      <w:r w:rsidR="4DF7583A">
        <w:t xml:space="preserve"> </w:t>
      </w:r>
    </w:p>
    <w:p w:rsidR="001A587D" w:rsidP="00067C64" w14:paraId="40B0BF46" w14:textId="52EB5BDF">
      <w:r w:rsidRPr="00444802">
        <w:t xml:space="preserve">The </w:t>
      </w:r>
      <w:r w:rsidRPr="00444802" w:rsidR="00EF1952">
        <w:rPr>
          <w:i/>
        </w:rPr>
        <w:t>EPA Grants Policy Issuance (GPI) 14-02: Enhancing Public Awarene</w:t>
      </w:r>
      <w:r w:rsidRPr="00444802" w:rsidR="00B9264C">
        <w:rPr>
          <w:i/>
        </w:rPr>
        <w:t>ss of EPA Assistance Agreements</w:t>
      </w:r>
      <w:r w:rsidRPr="00444802">
        <w:rPr>
          <w:i/>
        </w:rPr>
        <w:t xml:space="preserve"> </w:t>
      </w:r>
      <w:r w:rsidRPr="00444802" w:rsidR="00403E12">
        <w:t xml:space="preserve">requires </w:t>
      </w:r>
      <w:r w:rsidR="00C16A8E">
        <w:t>SRF</w:t>
      </w:r>
      <w:r w:rsidRPr="00444802" w:rsidR="00C16A8E">
        <w:t xml:space="preserve"> bo</w:t>
      </w:r>
      <w:r w:rsidRPr="00444802" w:rsidR="00403E12">
        <w:t xml:space="preserve">rrowers </w:t>
      </w:r>
      <w:r w:rsidRPr="00444802" w:rsidR="00C16A8E">
        <w:t xml:space="preserve">designated as recipients of federal funds </w:t>
      </w:r>
      <w:r w:rsidRPr="00444802" w:rsidR="00EF1952">
        <w:t>to publicize</w:t>
      </w:r>
      <w:r w:rsidRPr="00444802" w:rsidR="00403E12">
        <w:t xml:space="preserve"> EPA’s involvement in the</w:t>
      </w:r>
      <w:r w:rsidRPr="00444802" w:rsidR="00EF1952">
        <w:t xml:space="preserve"> funding</w:t>
      </w:r>
      <w:r w:rsidRPr="00444802" w:rsidR="00403E12">
        <w:t xml:space="preserve"> of the project. The purpose of th</w:t>
      </w:r>
      <w:r w:rsidRPr="00444802" w:rsidR="006D0C08">
        <w:t>ese requirements</w:t>
      </w:r>
      <w:r w:rsidRPr="00444802" w:rsidR="00EF1952">
        <w:t xml:space="preserve"> is</w:t>
      </w:r>
      <w:r w:rsidRPr="00444802" w:rsidR="004F44EC">
        <w:t xml:space="preserve"> to</w:t>
      </w:r>
      <w:r w:rsidRPr="00444802" w:rsidR="00EF1952">
        <w:t xml:space="preserve"> enhance public awareness of EPA assistance agreements nationwide and communicate the positive impact and benefits of EPA funding around the country. Th</w:t>
      </w:r>
      <w:r w:rsidRPr="00444802" w:rsidR="006D0C08">
        <w:t>ese</w:t>
      </w:r>
      <w:r w:rsidRPr="00444802" w:rsidR="00EF1952">
        <w:t xml:space="preserve"> requirement</w:t>
      </w:r>
      <w:r w:rsidRPr="00444802" w:rsidR="006D0C08">
        <w:t>s</w:t>
      </w:r>
      <w:r w:rsidRPr="00444802" w:rsidR="00EF1952">
        <w:t xml:space="preserve"> went into effect in FY 2015 and applies to all future federal capitaliz</w:t>
      </w:r>
      <w:r w:rsidRPr="00444802" w:rsidR="004F44EC">
        <w:t>ation grant awards</w:t>
      </w:r>
      <w:r w:rsidRPr="00444802" w:rsidR="00EF1952">
        <w:t xml:space="preserve">. </w:t>
      </w:r>
    </w:p>
    <w:p w:rsidR="00120F52" w:rsidP="00744E34" w14:paraId="40257AC5" w14:textId="290A7769">
      <w:pPr>
        <w:pStyle w:val="Heading2"/>
      </w:pPr>
      <w:r>
        <w:t>B. Practical Utility/Users of the Data</w:t>
      </w:r>
    </w:p>
    <w:p w:rsidR="00120F52" w:rsidP="00120F52" w14:paraId="78E39D9F" w14:textId="06400FF1">
      <w:pPr>
        <w:autoSpaceDE w:val="0"/>
        <w:autoSpaceDN w:val="0"/>
        <w:adjustRightInd w:val="0"/>
      </w:pPr>
      <w:r w:rsidRPr="00F06EEF">
        <w:t>The inform</w:t>
      </w:r>
      <w:r w:rsidRPr="00F06EEF" w:rsidR="00806E22">
        <w:t>ation collection activities</w:t>
      </w:r>
      <w:r w:rsidRPr="00F06EEF" w:rsidR="00510968">
        <w:t xml:space="preserve"> serve several important functions. Foremost, they are </w:t>
      </w:r>
      <w:r w:rsidRPr="00F06EEF" w:rsidR="00510968">
        <w:t>the means by which</w:t>
      </w:r>
      <w:r w:rsidRPr="00F06EEF" w:rsidR="00510968">
        <w:t xml:space="preserve"> EPA </w:t>
      </w:r>
      <w:r w:rsidR="00641F2F">
        <w:t>can</w:t>
      </w:r>
      <w:r w:rsidR="008504C0">
        <w:t xml:space="preserve"> assess</w:t>
      </w:r>
      <w:r w:rsidRPr="00F06EEF" w:rsidR="00A70789">
        <w:t xml:space="preserve"> whether </w:t>
      </w:r>
      <w:r w:rsidR="008504C0">
        <w:t xml:space="preserve">the SRFs </w:t>
      </w:r>
      <w:r w:rsidRPr="00F06EEF" w:rsidR="00A70789">
        <w:t>are</w:t>
      </w:r>
      <w:r w:rsidR="008504C0">
        <w:t xml:space="preserve"> being properly managed. They factor heavily in</w:t>
      </w:r>
      <w:r w:rsidR="009B6EE6">
        <w:t xml:space="preserve"> </w:t>
      </w:r>
      <w:r w:rsidR="008504C0">
        <w:t>EPA’s</w:t>
      </w:r>
      <w:r w:rsidRPr="00F06EEF" w:rsidR="003840A3">
        <w:t xml:space="preserve"> determination of</w:t>
      </w:r>
      <w:r w:rsidR="008504C0">
        <w:t xml:space="preserve"> whether a</w:t>
      </w:r>
      <w:r w:rsidR="00466B96">
        <w:t>n</w:t>
      </w:r>
      <w:r w:rsidR="008504C0">
        <w:t xml:space="preserve"> SRF</w:t>
      </w:r>
      <w:r w:rsidRPr="00F06EEF" w:rsidR="001C4260">
        <w:t xml:space="preserve"> should be awarded a</w:t>
      </w:r>
      <w:r w:rsidRPr="00F06EEF" w:rsidR="00A70789">
        <w:t xml:space="preserve"> </w:t>
      </w:r>
      <w:r w:rsidRPr="00F06EEF" w:rsidR="001C4260">
        <w:t>capitalization grant</w:t>
      </w:r>
      <w:r w:rsidRPr="00F06EEF" w:rsidR="00A70789">
        <w:t>.</w:t>
      </w:r>
      <w:r w:rsidRPr="00F06EEF" w:rsidR="00F11AE5">
        <w:t xml:space="preserve"> The </w:t>
      </w:r>
      <w:r w:rsidRPr="00F06EEF" w:rsidR="00297E87">
        <w:t>Capitalization Grant Agreement/</w:t>
      </w:r>
      <w:r w:rsidR="00793FAD">
        <w:t>IUP</w:t>
      </w:r>
      <w:r w:rsidRPr="00F06EEF" w:rsidR="00297E87">
        <w:t xml:space="preserve"> </w:t>
      </w:r>
      <w:r w:rsidRPr="00F06EEF" w:rsidR="00696AE6">
        <w:t xml:space="preserve">not only </w:t>
      </w:r>
      <w:r w:rsidRPr="00F06EEF" w:rsidR="00D86923">
        <w:t xml:space="preserve">provides </w:t>
      </w:r>
      <w:r w:rsidRPr="00F06EEF" w:rsidR="00696AE6">
        <w:t>det</w:t>
      </w:r>
      <w:r w:rsidR="00641F2F">
        <w:t>ailed information on how a</w:t>
      </w:r>
      <w:r w:rsidR="003424BB">
        <w:t>n</w:t>
      </w:r>
      <w:r w:rsidR="00641F2F">
        <w:t xml:space="preserve"> </w:t>
      </w:r>
      <w:r w:rsidR="008504C0">
        <w:t>SRF</w:t>
      </w:r>
      <w:r w:rsidRPr="00F06EEF" w:rsidR="00696AE6">
        <w:t xml:space="preserve"> will</w:t>
      </w:r>
      <w:r w:rsidRPr="00F06EEF" w:rsidR="00550479">
        <w:t xml:space="preserve"> operate its program in the </w:t>
      </w:r>
      <w:r w:rsidRPr="00F06EEF" w:rsidR="00696AE6">
        <w:t>up</w:t>
      </w:r>
      <w:r w:rsidRPr="00F06EEF" w:rsidR="00550479">
        <w:t xml:space="preserve">coming year, </w:t>
      </w:r>
      <w:r w:rsidR="00FB67DC">
        <w:t xml:space="preserve">but </w:t>
      </w:r>
      <w:r w:rsidRPr="00F06EEF" w:rsidR="003A0D67">
        <w:t xml:space="preserve">it </w:t>
      </w:r>
      <w:r w:rsidR="2B7B85D7">
        <w:t>i</w:t>
      </w:r>
      <w:r w:rsidR="003A0D67">
        <w:t>s</w:t>
      </w:r>
      <w:r w:rsidRPr="00F06EEF" w:rsidR="00E061D3">
        <w:t xml:space="preserve"> </w:t>
      </w:r>
      <w:r w:rsidR="00D45943">
        <w:t xml:space="preserve">also </w:t>
      </w:r>
      <w:r w:rsidRPr="00F06EEF" w:rsidR="00E061D3">
        <w:t>instrument</w:t>
      </w:r>
      <w:r w:rsidRPr="00F06EEF" w:rsidR="003A0D67">
        <w:t xml:space="preserve">al in </w:t>
      </w:r>
      <w:r w:rsidRPr="00F06EEF" w:rsidR="00550479">
        <w:t>legally</w:t>
      </w:r>
      <w:r w:rsidRPr="00F06EEF" w:rsidR="003A0D67">
        <w:t xml:space="preserve"> binding</w:t>
      </w:r>
      <w:r w:rsidR="008504C0">
        <w:t xml:space="preserve"> a</w:t>
      </w:r>
      <w:r w:rsidR="003424BB">
        <w:t>n</w:t>
      </w:r>
      <w:r w:rsidR="008504C0">
        <w:t xml:space="preserve"> SRF</w:t>
      </w:r>
      <w:r w:rsidRPr="00F06EEF" w:rsidR="00E061D3">
        <w:t xml:space="preserve"> to</w:t>
      </w:r>
      <w:r w:rsidRPr="00F06EEF" w:rsidR="00550479">
        <w:t xml:space="preserve"> fulfilling its </w:t>
      </w:r>
      <w:r w:rsidRPr="00F06EEF" w:rsidR="002A4AFE">
        <w:t>responsibilities under the CWA</w:t>
      </w:r>
      <w:r w:rsidR="00E7580F">
        <w:t xml:space="preserve"> or SDWA</w:t>
      </w:r>
      <w:r w:rsidRPr="00F06EEF" w:rsidR="002A4AFE">
        <w:t>.</w:t>
      </w:r>
      <w:r w:rsidRPr="00F06EEF" w:rsidR="00550479">
        <w:t xml:space="preserve"> </w:t>
      </w:r>
      <w:r w:rsidRPr="00F06EEF" w:rsidR="00E061D3">
        <w:t xml:space="preserve">Working in concert with </w:t>
      </w:r>
      <w:r w:rsidRPr="00F06EEF" w:rsidR="00696AE6">
        <w:t xml:space="preserve">the </w:t>
      </w:r>
      <w:r w:rsidRPr="00F06EEF" w:rsidR="00297E87">
        <w:t>Capitalization Grant Agreement/</w:t>
      </w:r>
      <w:r w:rsidR="00793FAD">
        <w:t>IUP</w:t>
      </w:r>
      <w:r w:rsidRPr="00F06EEF" w:rsidR="00297E87">
        <w:t xml:space="preserve"> </w:t>
      </w:r>
      <w:r w:rsidRPr="00F06EEF" w:rsidR="003D2E21">
        <w:t xml:space="preserve">are the </w:t>
      </w:r>
      <w:r w:rsidR="008F75DD">
        <w:t>A</w:t>
      </w:r>
      <w:r w:rsidRPr="00F06EEF" w:rsidR="003D2E21">
        <w:t xml:space="preserve">nnual </w:t>
      </w:r>
      <w:r w:rsidR="008F75DD">
        <w:t>R</w:t>
      </w:r>
      <w:r w:rsidRPr="00F06EEF" w:rsidR="003D2E21">
        <w:t>ep</w:t>
      </w:r>
      <w:r w:rsidRPr="00F06EEF" w:rsidR="00E061D3">
        <w:t xml:space="preserve">ort and </w:t>
      </w:r>
      <w:r w:rsidR="008F75DD">
        <w:t>A</w:t>
      </w:r>
      <w:r w:rsidRPr="00F06EEF" w:rsidR="00E061D3">
        <w:t xml:space="preserve">udit, which </w:t>
      </w:r>
      <w:r w:rsidRPr="00F06EEF" w:rsidR="003D2E21">
        <w:t>provide</w:t>
      </w:r>
      <w:r w:rsidRPr="00F06EEF" w:rsidR="00E061D3">
        <w:t xml:space="preserve"> EPA with </w:t>
      </w:r>
      <w:r w:rsidRPr="00F06EEF" w:rsidR="0015426F">
        <w:t>documentation that a</w:t>
      </w:r>
      <w:r w:rsidR="001D26D5">
        <w:t>n</w:t>
      </w:r>
      <w:r w:rsidRPr="00F06EEF" w:rsidR="0015426F">
        <w:t xml:space="preserve"> SRF </w:t>
      </w:r>
      <w:r w:rsidRPr="00F06EEF" w:rsidR="00E00859">
        <w:t xml:space="preserve">is </w:t>
      </w:r>
      <w:r w:rsidRPr="00F06EEF" w:rsidR="00E00859">
        <w:t>actually operating</w:t>
      </w:r>
      <w:r w:rsidRPr="00F06EEF" w:rsidR="003840A3">
        <w:t xml:space="preserve"> </w:t>
      </w:r>
      <w:r w:rsidRPr="00F06EEF" w:rsidR="00E061D3">
        <w:t>in compliance with the CWA</w:t>
      </w:r>
      <w:r w:rsidRPr="00F06EEF" w:rsidR="00E00859">
        <w:t xml:space="preserve"> </w:t>
      </w:r>
      <w:r w:rsidR="00E7580F">
        <w:t xml:space="preserve">or SDWA </w:t>
      </w:r>
      <w:r w:rsidRPr="00F06EEF" w:rsidR="00E00859">
        <w:t xml:space="preserve">and thus sufficiently meeting the assurances provided through the </w:t>
      </w:r>
      <w:r w:rsidRPr="00F06EEF" w:rsidR="00297E87">
        <w:t>Capitalization Grant Agreement</w:t>
      </w:r>
      <w:r w:rsidR="00297E87">
        <w:t>/</w:t>
      </w:r>
      <w:r w:rsidR="00793FAD">
        <w:t>IUP</w:t>
      </w:r>
      <w:r w:rsidRPr="00F06EEF" w:rsidR="00F11AE5">
        <w:t xml:space="preserve">. </w:t>
      </w:r>
      <w:r w:rsidR="003F2ECD">
        <w:t>While t</w:t>
      </w:r>
      <w:r w:rsidRPr="00F06EEF" w:rsidR="00E061D3">
        <w:t>he</w:t>
      </w:r>
      <w:r w:rsidR="006D0C08">
        <w:t xml:space="preserve"> financial and project information collected by the</w:t>
      </w:r>
      <w:r w:rsidRPr="00F06EEF" w:rsidR="00E061D3">
        <w:t xml:space="preserve"> </w:t>
      </w:r>
      <w:r w:rsidR="5F72B073">
        <w:t xml:space="preserve">SRF </w:t>
      </w:r>
      <w:r w:rsidR="004E3ECF">
        <w:t>Data System</w:t>
      </w:r>
      <w:r w:rsidRPr="00F06EEF" w:rsidR="0033340F">
        <w:t xml:space="preserve"> </w:t>
      </w:r>
      <w:r w:rsidR="003F2ECD">
        <w:t>support</w:t>
      </w:r>
      <w:r w:rsidR="006D0C08">
        <w:t>s</w:t>
      </w:r>
      <w:r w:rsidR="003F2ECD">
        <w:t xml:space="preserve"> program oversight</w:t>
      </w:r>
      <w:r w:rsidR="00B676A5">
        <w:t xml:space="preserve">, </w:t>
      </w:r>
      <w:r w:rsidR="006D0C08">
        <w:t>it</w:t>
      </w:r>
      <w:r w:rsidR="00B676A5">
        <w:t xml:space="preserve"> </w:t>
      </w:r>
      <w:r w:rsidR="004F44EC">
        <w:t xml:space="preserve">also </w:t>
      </w:r>
      <w:r w:rsidR="00CB0721">
        <w:t>ha</w:t>
      </w:r>
      <w:r w:rsidR="00970AA0">
        <w:t>s</w:t>
      </w:r>
      <w:r w:rsidR="00CB0721">
        <w:t xml:space="preserve"> an </w:t>
      </w:r>
      <w:r w:rsidR="004F44EC">
        <w:t>important role when it comes to</w:t>
      </w:r>
      <w:r w:rsidR="003F2ECD">
        <w:t xml:space="preserve"> public outreach and responding to stakeholder inquiries</w:t>
      </w:r>
      <w:r w:rsidR="00B676A5">
        <w:t xml:space="preserve"> in a prompt and effective manner</w:t>
      </w:r>
      <w:r w:rsidRPr="00F06EEF" w:rsidR="00F06EEF">
        <w:t xml:space="preserve">. </w:t>
      </w:r>
      <w:r w:rsidRPr="00F06EEF" w:rsidR="000F7F50">
        <w:t>T</w:t>
      </w:r>
      <w:r w:rsidRPr="00F06EEF" w:rsidR="00F71FD1">
        <w:t>he</w:t>
      </w:r>
      <w:r w:rsidRPr="00F06EEF" w:rsidR="00963259">
        <w:t xml:space="preserve"> purpose of the</w:t>
      </w:r>
      <w:r w:rsidRPr="00F06EEF" w:rsidR="00CC4588">
        <w:t xml:space="preserve"> public awareness</w:t>
      </w:r>
      <w:r w:rsidR="006D0C08">
        <w:t xml:space="preserve"> requirements</w:t>
      </w:r>
      <w:r w:rsidRPr="00F06EEF" w:rsidR="00963259">
        <w:t xml:space="preserve"> is to better</w:t>
      </w:r>
      <w:r w:rsidRPr="00F06EEF" w:rsidR="000F7F50">
        <w:t xml:space="preserve"> </w:t>
      </w:r>
      <w:r w:rsidRPr="00F06EEF" w:rsidR="00C72789">
        <w:t xml:space="preserve">inform the public of the role EPA has in supporting </w:t>
      </w:r>
      <w:r w:rsidRPr="00F06EEF" w:rsidR="003840A3">
        <w:t xml:space="preserve">SRF funded projects that </w:t>
      </w:r>
      <w:r w:rsidRPr="00F06EEF" w:rsidR="00C72789">
        <w:t>yield numerous economic and environmental benefits.</w:t>
      </w:r>
      <w:r w:rsidR="00F71FD1">
        <w:t xml:space="preserve"> </w:t>
      </w:r>
    </w:p>
    <w:p w:rsidR="0070309D" w:rsidRPr="002B698E" w:rsidP="0070309D" w14:paraId="4D19B30A" w14:textId="5DEAEC03">
      <w:pPr>
        <w:autoSpaceDE w:val="0"/>
        <w:autoSpaceDN w:val="0"/>
        <w:adjustRightInd w:val="0"/>
      </w:pPr>
      <w:r w:rsidRPr="002B698E">
        <w:t xml:space="preserve">Although </w:t>
      </w:r>
      <w:r>
        <w:t xml:space="preserve">the </w:t>
      </w:r>
      <w:r w:rsidRPr="002B698E">
        <w:t>EPA oversees the general operations of the SRF program</w:t>
      </w:r>
      <w:r w:rsidR="005B45A7">
        <w:t>s</w:t>
      </w:r>
      <w:r w:rsidRPr="002B698E">
        <w:t xml:space="preserve"> as part of its Annual Review process, the Agency does not have any responsibility for reviewing or approving individual applications for SRF financial assistance.</w:t>
      </w:r>
    </w:p>
    <w:p w:rsidR="009D78D5" w:rsidRPr="00F71FD1" w:rsidP="009D78D5" w14:paraId="7E8F94E8" w14:textId="6BC171B5">
      <w:pPr>
        <w:autoSpaceDE w:val="0"/>
        <w:autoSpaceDN w:val="0"/>
        <w:adjustRightInd w:val="0"/>
      </w:pPr>
      <w:r>
        <w:t xml:space="preserve">The respondents for most of the information collection activities are the </w:t>
      </w:r>
      <w:r w:rsidR="00113907">
        <w:t>State</w:t>
      </w:r>
      <w:r>
        <w:t xml:space="preserve"> environmental departments, </w:t>
      </w:r>
      <w:r w:rsidR="00113907">
        <w:t>State</w:t>
      </w:r>
      <w:r w:rsidR="00C72E8A">
        <w:t xml:space="preserve"> departmen</w:t>
      </w:r>
      <w:r w:rsidRPr="00DB3E60" w:rsidR="00C72E8A">
        <w:t xml:space="preserve">ts </w:t>
      </w:r>
      <w:r w:rsidR="00C72E8A">
        <w:t xml:space="preserve">of health, </w:t>
      </w:r>
      <w:r>
        <w:t xml:space="preserve">and/or finance agencies responsible for operating the SRFs. A notable exception is the public awareness requirements, which directly impacts SRFs borrowers (NAICS Code # 999300) that are designated as recipients of federal funds.   </w:t>
      </w:r>
    </w:p>
    <w:p w:rsidR="002F403B" w:rsidP="00E41DFA" w14:paraId="4E92EFB4" w14:textId="1FF78BD8">
      <w:pPr>
        <w:pStyle w:val="Heading1"/>
      </w:pPr>
      <w:r>
        <w:t xml:space="preserve">3. </w:t>
      </w:r>
      <w:r w:rsidR="006A56DD">
        <w:t>Non-Duplication</w:t>
      </w:r>
      <w:r>
        <w:t xml:space="preserve">, Consultations, and Other Collection Criteria </w:t>
      </w:r>
    </w:p>
    <w:p w:rsidR="00E41DFA" w:rsidP="00744E34" w14:paraId="61CA83B8" w14:textId="70808FD7">
      <w:pPr>
        <w:pStyle w:val="Heading2"/>
      </w:pPr>
      <w:r>
        <w:t xml:space="preserve">A. </w:t>
      </w:r>
      <w:r w:rsidR="006A56DD">
        <w:t>Non-Duplication</w:t>
      </w:r>
    </w:p>
    <w:p w:rsidR="00BE1643" w:rsidP="1BF921F7" w14:paraId="7867EAC4" w14:textId="63BD081A">
      <w:pPr>
        <w:rPr>
          <w:b/>
          <w:bCs/>
          <w:i/>
          <w:iCs/>
        </w:rPr>
      </w:pPr>
      <w:r>
        <w:t xml:space="preserve">Duplication of effort is not expected. The information collected through the </w:t>
      </w:r>
      <w:r w:rsidR="00793FAD">
        <w:t>IUP</w:t>
      </w:r>
      <w:r w:rsidR="008F75DD">
        <w:t>, Annual Report</w:t>
      </w:r>
      <w:r>
        <w:t xml:space="preserve">, and </w:t>
      </w:r>
      <w:r w:rsidR="007E79DB">
        <w:t>A</w:t>
      </w:r>
      <w:r>
        <w:t xml:space="preserve">udit is specific to the requirements of the CWA and SDWA. They are derived from CWSRF or DWSRF specific sources that are not duplicated elsewhere and are designed to capture different aspects of CWSRF or DWSRF activity. The </w:t>
      </w:r>
      <w:r w:rsidR="00793FAD">
        <w:t>IUP</w:t>
      </w:r>
      <w:r>
        <w:t xml:space="preserve"> provides EPA with a detailed roadmap of how a CWSRF or DWSRF plans to proceed for the upcoming year, while the </w:t>
      </w:r>
      <w:r w:rsidR="0089245B">
        <w:t>Annual Report</w:t>
      </w:r>
      <w:r>
        <w:t xml:space="preserve"> covers a CWSRF’s or DWSRF’s actual activity. The annual audit provides an independent review of the financial status and management of a CWSRF or DWSRF conducted by certified auditors.</w:t>
      </w:r>
      <w:r w:rsidR="71971210">
        <w:t xml:space="preserve"> The financial and project information collected through the SRF Data System is also derived from CWSRF or DWSRF specific sources that are not duplicated elsewhere.</w:t>
      </w:r>
      <w:r w:rsidR="6029A4DA">
        <w:t xml:space="preserve"> The information made available because of the public awareness requirements are project specific and no duplication is expected.</w:t>
      </w:r>
    </w:p>
    <w:p w:rsidR="00BE1643" w:rsidP="00744E34" w14:paraId="22EF8EC0" w14:textId="1AD5940E">
      <w:pPr>
        <w:pStyle w:val="Heading2"/>
      </w:pPr>
      <w:r>
        <w:t xml:space="preserve">B. </w:t>
      </w:r>
      <w:r w:rsidR="009F7129">
        <w:t>Public Notice Required Prior to ICR Submission to OMB</w:t>
      </w:r>
    </w:p>
    <w:p w:rsidR="001E5674" w:rsidRPr="001E5674" w:rsidP="001E5674" w14:paraId="127460F7" w14:textId="056BB12E">
      <w:pPr>
        <w:rPr>
          <w:rFonts w:eastAsia="Times New Roman" w:cs="Times New Roman"/>
          <w:color w:val="0D0D0D" w:themeColor="text1" w:themeTint="F2"/>
        </w:rPr>
      </w:pPr>
      <w:r w:rsidRPr="001E5674">
        <w:rPr>
          <w:rFonts w:eastAsia="Times New Roman" w:cs="Times New Roman"/>
          <w:color w:val="0D0D0D" w:themeColor="text1" w:themeTint="F2"/>
        </w:rPr>
        <w:t xml:space="preserve">On January 19, 2023, pursuant to the Paperwork Reduction Act, 44 U.S.C. § 3501 et seq., the EPA Clean Water State Revolving Fund (CWSRF) and Drinking Water State Revolving Fund (DWSRF) programs published a Federal Register notice with a proposed information collection request (ICR) and a solicitation for public comments on the proposed ICR. See 88 FR 3409-3411. </w:t>
      </w:r>
    </w:p>
    <w:p w:rsidR="001E5674" w:rsidRPr="001E5674" w:rsidP="001E5674" w14:paraId="15B89F9A" w14:textId="1D9D75D4">
      <w:pPr>
        <w:rPr>
          <w:rFonts w:eastAsia="Times New Roman" w:cs="Times New Roman"/>
          <w:color w:val="0D0D0D" w:themeColor="text1" w:themeTint="F2"/>
        </w:rPr>
      </w:pPr>
      <w:r w:rsidRPr="001E5674">
        <w:rPr>
          <w:rFonts w:eastAsia="Times New Roman" w:cs="Times New Roman"/>
          <w:color w:val="0D0D0D" w:themeColor="text1" w:themeTint="F2"/>
        </w:rPr>
        <w:t xml:space="preserve">In response, on March 20, 2023, EPIC (Environmental Policy Innovation Center) and NRDC (Natural Resources Defense Council), together with 24 supporting organizations, submitted a letter offering detailed comments on the proposed ICR. While these organizations indicated their support for the baseline data collection, they suggested that EPA broaden its proposed ICR. Specifically, they directed EPA to expand data collection and provided recommendations to improve data quality to better fulfill EPA’s oversight and implementation responsibilities. </w:t>
      </w:r>
    </w:p>
    <w:p w:rsidR="001E5674" w:rsidRPr="001E5674" w:rsidP="001E5674" w14:paraId="66CF8F70" w14:textId="77777777">
      <w:pPr>
        <w:rPr>
          <w:rFonts w:eastAsia="Times New Roman" w:cs="Times New Roman"/>
          <w:color w:val="0D0D0D" w:themeColor="text1" w:themeTint="F2"/>
        </w:rPr>
      </w:pPr>
      <w:r w:rsidRPr="001E5674">
        <w:rPr>
          <w:rFonts w:eastAsia="Times New Roman" w:cs="Times New Roman"/>
          <w:color w:val="0D0D0D" w:themeColor="text1" w:themeTint="F2"/>
        </w:rPr>
        <w:t xml:space="preserve">In terms of expanded data collection, EPA appreciates the extensive feedback the commenters provided and is already undertaking some of the recommendations provided by the letter. EPA is updating key data elements to better identify when SRF assistance and additional subsidy is provided to disadvantaged communities, as defined by the state, (for the DWSRF) or communities that meets the state’s affordability criteria (for the CWSRF). EPA is also working on adding data fields to more fully capture technical assistance provided by the SRFs and EPA. The reporting burden associated with these data fields is included as part of estimates provided by the ICR. </w:t>
      </w:r>
    </w:p>
    <w:p w:rsidR="001E5674" w:rsidRPr="001E5674" w:rsidP="001E5674" w14:paraId="43BEBA3E" w14:textId="77777777">
      <w:pPr>
        <w:rPr>
          <w:rFonts w:eastAsia="Times New Roman" w:cs="Times New Roman"/>
          <w:color w:val="0D0D0D" w:themeColor="text1" w:themeTint="F2"/>
        </w:rPr>
      </w:pPr>
      <w:r w:rsidRPr="001E5674">
        <w:rPr>
          <w:rFonts w:eastAsia="Times New Roman" w:cs="Times New Roman"/>
          <w:color w:val="0D0D0D" w:themeColor="text1" w:themeTint="F2"/>
        </w:rPr>
        <w:t xml:space="preserve">As for the recommendations to add data fields that more clearly identify which municipalities/counties are benefiting from SRF assistance, EPA would be glad to further engage with the commenters and others on this important topic. Such a discussion would also include the proposed data fields focusing on water affordability and access. Any such discussions would also include the state SRF programs to ensure that </w:t>
      </w:r>
      <w:r w:rsidRPr="001E5674">
        <w:rPr>
          <w:rFonts w:eastAsia="Times New Roman" w:cs="Times New Roman"/>
          <w:color w:val="0D0D0D" w:themeColor="text1" w:themeTint="F2"/>
        </w:rPr>
        <w:t>the benefits from collecting this new information are properly balanced against the potential increased reporting burden that may be imposed on states and local communities as a result.</w:t>
      </w:r>
    </w:p>
    <w:p w:rsidR="001E5674" w:rsidRPr="001E5674" w:rsidP="001E5674" w14:paraId="06FBAE59" w14:textId="77777777">
      <w:pPr>
        <w:rPr>
          <w:rFonts w:eastAsia="Times New Roman" w:cs="Times New Roman"/>
          <w:color w:val="0D0D0D" w:themeColor="text1" w:themeTint="F2"/>
        </w:rPr>
      </w:pPr>
      <w:r w:rsidRPr="001E5674">
        <w:rPr>
          <w:rFonts w:eastAsia="Times New Roman" w:cs="Times New Roman"/>
          <w:color w:val="0D0D0D" w:themeColor="text1" w:themeTint="F2"/>
        </w:rPr>
        <w:t xml:space="preserve">EPA appreciates the input provided by NRDC and EPIC, together with the 24 supporting organizations, on improving data quality and consistency. EPA is already taking steps to address many of the issues raised by the letter. For example, as part of the transition to the current SRF Data System, automated checks were added to better identify incomplete and inconsistent data entries. With respect to unique identifiers (e.g., PWSID, NPDES), EPA transitioned from manual data entry to having states select the appropriate identifiers from a list directly imported from other EPA data systems, such as SDWIS and FRS, to help improve accuracy and consistency. In addition to these updates, EPA is transitioning to a more thorough and frequent data review cycle to better identify instances where data entry is incomplete, inaccurate, or unclear. Finally, EPA will continue working with the states by providing ongoing guidance and training to improve the consistency and usefulness of the Intended Use Plans and other key program documents. </w:t>
      </w:r>
    </w:p>
    <w:p w:rsidR="001E5674" w:rsidRPr="00A148D0" w:rsidP="6756C6BF" w14:paraId="6A8C1018" w14:textId="198B80E1">
      <w:pPr>
        <w:rPr>
          <w:rFonts w:eastAsia="Times New Roman" w:cs="Times New Roman"/>
          <w:color w:val="0D0D0D" w:themeColor="text1" w:themeTint="F2"/>
        </w:rPr>
      </w:pPr>
      <w:r w:rsidRPr="001E5674">
        <w:rPr>
          <w:rFonts w:eastAsia="Times New Roman" w:cs="Times New Roman"/>
          <w:color w:val="0D0D0D" w:themeColor="text1" w:themeTint="F2"/>
        </w:rPr>
        <w:t>EPA looks forward to continuing to engage with these commenters and others as it undertakes further actions, as necessary, to help ensure the completeness, accuracy, and consistency of the collected data.</w:t>
      </w:r>
    </w:p>
    <w:p w:rsidR="00003DDF" w:rsidP="00744E34" w14:paraId="28EF4A91" w14:textId="6266494C">
      <w:pPr>
        <w:pStyle w:val="Heading2"/>
      </w:pPr>
      <w:r>
        <w:t>C. Consultations</w:t>
      </w:r>
    </w:p>
    <w:p w:rsidR="00AF3F6D" w:rsidRPr="00F60DFF" w:rsidP="6756C6BF" w14:paraId="41C142ED" w14:textId="4F4C01A7">
      <w:pPr>
        <w:rPr>
          <w:rFonts w:eastAsia="MS Mincho" w:cs="Arial"/>
          <w:color w:val="000000" w:themeColor="text1"/>
          <w:sz w:val="24"/>
          <w:szCs w:val="24"/>
        </w:rPr>
      </w:pPr>
      <w:r>
        <w:t xml:space="preserve">As part of the consultation process, we </w:t>
      </w:r>
      <w:r w:rsidRPr="00F2435B">
        <w:t>share</w:t>
      </w:r>
      <w:r w:rsidRPr="00F2435B" w:rsidR="000B7296">
        <w:t>d</w:t>
      </w:r>
      <w:r>
        <w:t xml:space="preserve"> a copy of the ICR renewal with Deirdre Finn, </w:t>
      </w:r>
      <w:r w:rsidR="00360AB9">
        <w:t>E</w:t>
      </w:r>
      <w:r>
        <w:t xml:space="preserve">xecutive </w:t>
      </w:r>
      <w:r w:rsidR="00360AB9">
        <w:t>D</w:t>
      </w:r>
      <w:r>
        <w:t xml:space="preserve">irector of Council of Infrastructure Financing Authorities, to solicit feedback on the information collection activities and the estimated reporting burden. The Council of Infrastructure Financing Authorities is a national not-for-profit organization that represents </w:t>
      </w:r>
      <w:r w:rsidR="2847DFDF">
        <w:t>State</w:t>
      </w:r>
      <w:r>
        <w:t xml:space="preserve"> government agencies that are responsible for managing the </w:t>
      </w:r>
      <w:r w:rsidR="5E4ACD6D">
        <w:t>CW</w:t>
      </w:r>
      <w:r>
        <w:t>SRF</w:t>
      </w:r>
      <w:r w:rsidR="685F34DD">
        <w:t xml:space="preserve"> and DWSRF</w:t>
      </w:r>
      <w:r>
        <w:t>.</w:t>
      </w:r>
      <w:r w:rsidR="4938DE47">
        <w:t xml:space="preserve"> A copy </w:t>
      </w:r>
      <w:r w:rsidRPr="00F2435B" w:rsidR="4938DE47">
        <w:t>w</w:t>
      </w:r>
      <w:r w:rsidRPr="00F2435B" w:rsidR="000B7296">
        <w:t>as</w:t>
      </w:r>
      <w:r w:rsidR="4938DE47">
        <w:t xml:space="preserve"> also </w:t>
      </w:r>
      <w:r w:rsidR="394E22D2">
        <w:t xml:space="preserve">be </w:t>
      </w:r>
      <w:r w:rsidR="4938DE47">
        <w:t xml:space="preserve">shared with Alan Roberson, Director of the </w:t>
      </w:r>
      <w:r w:rsidR="59DDD596">
        <w:t>Association</w:t>
      </w:r>
      <w:r w:rsidR="4938DE47">
        <w:t xml:space="preserve"> of State Drinking Water Administrators</w:t>
      </w:r>
      <w:r w:rsidR="5535E356">
        <w:t xml:space="preserve">, for feedback. The </w:t>
      </w:r>
      <w:r w:rsidR="59DDD596">
        <w:t>Association</w:t>
      </w:r>
      <w:r w:rsidR="5535E356">
        <w:t xml:space="preserve"> of State Drinking Water Administrators is a professional Association serving state drinking water programs. </w:t>
      </w:r>
      <w:r w:rsidR="3727A9FE">
        <w:t>As such, these organizations are well positioned to provide feedback on both the nature of the information collection instruments and their estimated burden.</w:t>
      </w:r>
    </w:p>
    <w:p w:rsidR="00AF3F6D" w:rsidRPr="00F60DFF" w:rsidP="00AF3F6D" w14:paraId="2E315923" w14:textId="77777777">
      <w:pPr>
        <w:spacing w:after="0"/>
        <w:ind w:left="720"/>
      </w:pPr>
      <w:r w:rsidRPr="00F60DFF">
        <w:t>The Council of Infrastructure Financ</w:t>
      </w:r>
      <w:r>
        <w:t>ing</w:t>
      </w:r>
      <w:r w:rsidRPr="00F60DFF">
        <w:t xml:space="preserve"> Authorities</w:t>
      </w:r>
    </w:p>
    <w:p w:rsidR="00AF3F6D" w:rsidP="00AF3F6D" w14:paraId="363561CB" w14:textId="77777777">
      <w:pPr>
        <w:spacing w:after="0"/>
        <w:ind w:left="720"/>
      </w:pPr>
      <w:r w:rsidRPr="00F60DFF">
        <w:t>Deirdre Finn – (850) 445-9619</w:t>
      </w:r>
    </w:p>
    <w:p w:rsidR="00AF3F6D" w:rsidP="00AF3F6D" w14:paraId="1D878620" w14:textId="282B1203">
      <w:pPr>
        <w:ind w:left="720"/>
      </w:pPr>
      <w:hyperlink r:id="rId12">
        <w:r w:rsidRPr="6D94E29F" w:rsidR="00872EA8">
          <w:rPr>
            <w:rStyle w:val="Hyperlink"/>
          </w:rPr>
          <w:t>dfinn@cifanet.org</w:t>
        </w:r>
      </w:hyperlink>
    </w:p>
    <w:p w:rsidR="6D94E29F" w:rsidP="00B55B58" w14:paraId="57852901" w14:textId="4CCCC105">
      <w:pPr>
        <w:spacing w:after="0"/>
        <w:ind w:left="720"/>
      </w:pPr>
      <w:r>
        <w:t>A</w:t>
      </w:r>
      <w:r w:rsidR="226A9CF7">
        <w:t>ssociation of State Drinking Water Administrators</w:t>
      </w:r>
    </w:p>
    <w:p w:rsidR="2BE2C139" w:rsidP="00B55B58" w14:paraId="2BBDA3C5" w14:textId="69ABD14A">
      <w:pPr>
        <w:spacing w:after="0"/>
        <w:ind w:left="720"/>
      </w:pPr>
      <w:r>
        <w:t>Alan Roberson</w:t>
      </w:r>
      <w:r w:rsidR="00B55B58">
        <w:t xml:space="preserve"> – </w:t>
      </w:r>
      <w:r>
        <w:t>(</w:t>
      </w:r>
      <w:r w:rsidR="27630A10">
        <w:t>703) 812-9505</w:t>
      </w:r>
    </w:p>
    <w:p w:rsidR="5AA8EBC4" w:rsidRPr="00B55B58" w:rsidP="3D81402A" w14:paraId="182FD4C6" w14:textId="1C681EF9">
      <w:pPr>
        <w:spacing w:line="240" w:lineRule="auto"/>
        <w:ind w:left="720"/>
        <w:rPr>
          <w:rFonts w:eastAsia="MS Mincho" w:cs="Times New Roman"/>
        </w:rPr>
      </w:pPr>
      <w:hyperlink r:id="rId13">
        <w:r w:rsidRPr="00B55B58">
          <w:rPr>
            <w:rStyle w:val="Hyperlink"/>
            <w:rFonts w:eastAsia="Calibri" w:cs="Times New Roman"/>
          </w:rPr>
          <w:t>aroberson@asdwa.org</w:t>
        </w:r>
      </w:hyperlink>
    </w:p>
    <w:p w:rsidR="00872EA8" w:rsidP="00744E34" w14:paraId="50F0D914" w14:textId="0D098A64">
      <w:pPr>
        <w:pStyle w:val="Heading2"/>
      </w:pPr>
      <w:r>
        <w:t>D. Effects of Less Frequent Collection</w:t>
      </w:r>
    </w:p>
    <w:p w:rsidR="007565F9" w:rsidRPr="007915A2" w:rsidP="007565F9" w14:paraId="0A5B96DE" w14:textId="5A425D63">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 w:val="0"/>
        </w:rPr>
      </w:pPr>
      <w:r>
        <w:rPr>
          <w:i w:val="0"/>
        </w:rPr>
        <w:t xml:space="preserve">The </w:t>
      </w:r>
      <w:r w:rsidR="007E79DB">
        <w:rPr>
          <w:i w:val="0"/>
        </w:rPr>
        <w:t>Capitalization Grant Agreement/</w:t>
      </w:r>
      <w:r w:rsidR="00793FAD">
        <w:rPr>
          <w:i w:val="0"/>
        </w:rPr>
        <w:t>IUP</w:t>
      </w:r>
      <w:r w:rsidR="007E79DB">
        <w:rPr>
          <w:i w:val="0"/>
        </w:rPr>
        <w:t xml:space="preserve"> </w:t>
      </w:r>
      <w:r>
        <w:rPr>
          <w:i w:val="0"/>
        </w:rPr>
        <w:t xml:space="preserve">and </w:t>
      </w:r>
      <w:r w:rsidR="007E79DB">
        <w:rPr>
          <w:i w:val="0"/>
        </w:rPr>
        <w:t xml:space="preserve">Annual Report </w:t>
      </w:r>
      <w:r>
        <w:rPr>
          <w:i w:val="0"/>
        </w:rPr>
        <w:t xml:space="preserve">are required by the CWA and SDWA and represent critical components by which EPA awards capitalization grants to the CWSRFs and DWSRFs. </w:t>
      </w:r>
      <w:r w:rsidRPr="003578E4">
        <w:rPr>
          <w:i w:val="0"/>
        </w:rPr>
        <w:t xml:space="preserve">The </w:t>
      </w:r>
      <w:r w:rsidRPr="003578E4" w:rsidR="003C59DA">
        <w:rPr>
          <w:i w:val="0"/>
        </w:rPr>
        <w:t>Capitalization Grant Agreement</w:t>
      </w:r>
      <w:r w:rsidR="003C59DA">
        <w:rPr>
          <w:i w:val="0"/>
        </w:rPr>
        <w:t>/</w:t>
      </w:r>
      <w:r w:rsidR="00793FAD">
        <w:rPr>
          <w:i w:val="0"/>
        </w:rPr>
        <w:t>IUP</w:t>
      </w:r>
      <w:r>
        <w:rPr>
          <w:i w:val="0"/>
        </w:rPr>
        <w:t xml:space="preserve"> is the principal means</w:t>
      </w:r>
      <w:r w:rsidRPr="003578E4">
        <w:rPr>
          <w:i w:val="0"/>
        </w:rPr>
        <w:t xml:space="preserve"> by which </w:t>
      </w:r>
      <w:r>
        <w:rPr>
          <w:i w:val="0"/>
        </w:rPr>
        <w:t xml:space="preserve">a </w:t>
      </w:r>
      <w:r w:rsidRPr="003578E4">
        <w:rPr>
          <w:i w:val="0"/>
        </w:rPr>
        <w:t>CWSRF</w:t>
      </w:r>
      <w:r>
        <w:rPr>
          <w:i w:val="0"/>
        </w:rPr>
        <w:t xml:space="preserve"> or DWSRF</w:t>
      </w:r>
      <w:r w:rsidRPr="003578E4">
        <w:rPr>
          <w:i w:val="0"/>
        </w:rPr>
        <w:t xml:space="preserve"> </w:t>
      </w:r>
      <w:r>
        <w:rPr>
          <w:i w:val="0"/>
        </w:rPr>
        <w:t xml:space="preserve">commits to managing its </w:t>
      </w:r>
      <w:r w:rsidRPr="003578E4">
        <w:rPr>
          <w:i w:val="0"/>
        </w:rPr>
        <w:t>program in conformance to the requirements</w:t>
      </w:r>
      <w:r>
        <w:rPr>
          <w:i w:val="0"/>
        </w:rPr>
        <w:t xml:space="preserve"> of the CWA or SDWA</w:t>
      </w:r>
      <w:r w:rsidRPr="003578E4">
        <w:rPr>
          <w:i w:val="0"/>
        </w:rPr>
        <w:t>.</w:t>
      </w:r>
      <w:r>
        <w:rPr>
          <w:i w:val="0"/>
        </w:rPr>
        <w:t xml:space="preserve"> The </w:t>
      </w:r>
      <w:r w:rsidR="007E79DB">
        <w:rPr>
          <w:i w:val="0"/>
        </w:rPr>
        <w:t xml:space="preserve">Annual Report </w:t>
      </w:r>
      <w:r>
        <w:rPr>
          <w:i w:val="0"/>
        </w:rPr>
        <w:t xml:space="preserve">and </w:t>
      </w:r>
      <w:r w:rsidR="007E79DB">
        <w:rPr>
          <w:i w:val="0"/>
        </w:rPr>
        <w:t>A</w:t>
      </w:r>
      <w:r>
        <w:rPr>
          <w:i w:val="0"/>
        </w:rPr>
        <w:t>udit are also statutory requirements and provide official documentation that a CWSRF or DWSRF has met this commitment.</w:t>
      </w:r>
    </w:p>
    <w:p w:rsidR="007565F9" w:rsidRPr="00581593" w:rsidP="007565F9" w14:paraId="76B77273" w14:textId="2D297911">
      <w:r>
        <w:t xml:space="preserve">The project and financial data collected through the </w:t>
      </w:r>
      <w:r w:rsidR="5B3E79F6">
        <w:t>SRF</w:t>
      </w:r>
      <w:r w:rsidRPr="00A52B4E">
        <w:t xml:space="preserve"> </w:t>
      </w:r>
      <w:r>
        <w:t xml:space="preserve">Data System are relied upon by the CWSRFs and DWSRFs </w:t>
      </w:r>
      <w:r w:rsidRPr="007A5E70">
        <w:t xml:space="preserve">for key planning decisions and </w:t>
      </w:r>
      <w:r>
        <w:t xml:space="preserve">is used </w:t>
      </w:r>
      <w:r w:rsidRPr="007A5E70">
        <w:t>by</w:t>
      </w:r>
      <w:r>
        <w:t xml:space="preserve"> </w:t>
      </w:r>
      <w:r w:rsidRPr="007A5E70">
        <w:t xml:space="preserve">EPA </w:t>
      </w:r>
      <w:r>
        <w:t>for essential program oversight</w:t>
      </w:r>
      <w:r w:rsidRPr="007A5E70">
        <w:t xml:space="preserve"> and corrective measures</w:t>
      </w:r>
      <w:r>
        <w:t>. This information is also critical for</w:t>
      </w:r>
      <w:r w:rsidRPr="007A5E70">
        <w:t xml:space="preserve"> </w:t>
      </w:r>
      <w:r>
        <w:t xml:space="preserve">effectively </w:t>
      </w:r>
      <w:r w:rsidRPr="007A5E70">
        <w:t>respond</w:t>
      </w:r>
      <w:r>
        <w:t>ing</w:t>
      </w:r>
      <w:r w:rsidRPr="007A5E70">
        <w:t xml:space="preserve"> to </w:t>
      </w:r>
      <w:r>
        <w:t xml:space="preserve">ongoing </w:t>
      </w:r>
      <w:r w:rsidRPr="007A5E70">
        <w:t>OMB and congressional requests</w:t>
      </w:r>
      <w:r>
        <w:t xml:space="preserve"> related to the President’s budget and annual appropriations. These requests usually </w:t>
      </w:r>
      <w:r>
        <w:t xml:space="preserve">revolve around wanting a status update regarding the performance of the CWSRFs or DWSRFs. However, EPA is sometimes requested to go beyond this and produce analyses related to national needs and budgetary impacts. Less frequent data collections would severely limit EPA’s ability to respond to these high </w:t>
      </w:r>
      <w:r w:rsidRPr="00581593">
        <w:t xml:space="preserve">priority requests in a timely manner.       </w:t>
      </w:r>
    </w:p>
    <w:p w:rsidR="007565F9" w:rsidP="00744E34" w14:paraId="51A38CC1" w14:textId="7D76A258">
      <w:pPr>
        <w:pStyle w:val="Heading2"/>
      </w:pPr>
      <w:r w:rsidRPr="00581593">
        <w:t xml:space="preserve">E. </w:t>
      </w:r>
      <w:r>
        <w:t>General Guidelines</w:t>
      </w:r>
    </w:p>
    <w:p w:rsidR="008D441A" w:rsidRPr="002B698E" w:rsidP="008D441A" w14:paraId="00DDA6D7" w14:textId="77777777">
      <w:pPr>
        <w:autoSpaceDE w:val="0"/>
        <w:autoSpaceDN w:val="0"/>
        <w:adjustRightInd w:val="0"/>
      </w:pPr>
      <w:r w:rsidRPr="002B698E">
        <w:t xml:space="preserve">The data collections covered by this ICR </w:t>
      </w:r>
      <w:r w:rsidRPr="002B698E">
        <w:t>are in compliance with</w:t>
      </w:r>
      <w:r w:rsidRPr="002B698E">
        <w:t xml:space="preserve"> the OMB General Guidelines for information collections.</w:t>
      </w:r>
    </w:p>
    <w:p w:rsidR="00581593" w:rsidP="00744E34" w14:paraId="4E4D7685" w14:textId="151791C4">
      <w:pPr>
        <w:pStyle w:val="Heading2"/>
      </w:pPr>
      <w:r>
        <w:t xml:space="preserve">F. Confidentiality </w:t>
      </w:r>
    </w:p>
    <w:p w:rsidR="00B028D5" w:rsidP="00D77515" w14:paraId="0ADF4CE4" w14:textId="77777777">
      <w:r>
        <w:t xml:space="preserve">No confidential data is collected. </w:t>
      </w:r>
    </w:p>
    <w:p w:rsidR="00B028D5" w:rsidP="00744E34" w14:paraId="0B2B155C" w14:textId="5705D697">
      <w:pPr>
        <w:pStyle w:val="Heading2"/>
      </w:pPr>
      <w:r>
        <w:t>G. Sensitive Questions</w:t>
      </w:r>
    </w:p>
    <w:p w:rsidR="008D441A" w:rsidP="00D77515" w14:paraId="5FF661DC" w14:textId="33958C10">
      <w:r>
        <w:t>Financial information, such as income tax records and financial statements, may be required from private water systems for assessing financial capability during the loan application process.</w:t>
      </w:r>
    </w:p>
    <w:p w:rsidR="00BA09A9" w:rsidP="00FD0AF8" w14:paraId="230EBBDE" w14:textId="26FEC075">
      <w:pPr>
        <w:pStyle w:val="Heading1"/>
      </w:pPr>
      <w:r>
        <w:t>4. Respondents and Information Requested</w:t>
      </w:r>
    </w:p>
    <w:p w:rsidR="00B5328F" w:rsidP="00744E34" w14:paraId="44ACD544" w14:textId="36D51BD1">
      <w:pPr>
        <w:pStyle w:val="Heading2"/>
      </w:pPr>
      <w:r>
        <w:t>A. Respondents/SIC Codes</w:t>
      </w:r>
    </w:p>
    <w:p w:rsidR="00B61A67" w:rsidP="00B61A67" w14:paraId="07B61A02" w14:textId="3C182849">
      <w:pPr>
        <w:autoSpaceDE w:val="0"/>
        <w:autoSpaceDN w:val="0"/>
        <w:adjustRightInd w:val="0"/>
      </w:pPr>
      <w:r>
        <w:t xml:space="preserve">For the SRF, the respondents for most of the information collection activities are the </w:t>
      </w:r>
      <w:r w:rsidR="00113907">
        <w:t>State</w:t>
      </w:r>
      <w:r>
        <w:t xml:space="preserve"> environmental departments, </w:t>
      </w:r>
      <w:r w:rsidR="00113907">
        <w:t>State</w:t>
      </w:r>
      <w:r w:rsidR="00C72E8A">
        <w:t xml:space="preserve"> departme</w:t>
      </w:r>
      <w:r w:rsidRPr="00913DE9" w:rsidR="00C72E8A">
        <w:t xml:space="preserve">nts </w:t>
      </w:r>
      <w:r w:rsidR="00C72E8A">
        <w:t xml:space="preserve">of health, </w:t>
      </w:r>
      <w:r>
        <w:t>and/or finance agencies responsible for operating the SR</w:t>
      </w:r>
      <w:r w:rsidRPr="008053CE">
        <w:t>Fs</w:t>
      </w:r>
      <w:r>
        <w:t xml:space="preserve"> (NAICS Code # 999200)</w:t>
      </w:r>
      <w:r w:rsidRPr="008053CE">
        <w:t xml:space="preserve">. A notable exception is </w:t>
      </w:r>
      <w:r>
        <w:t>the public awareness requirements, which directly impacts SRF borrowers (NAICS Code # 999300) that are designated as recipients of federal funds.</w:t>
      </w:r>
    </w:p>
    <w:p w:rsidR="00500B40" w:rsidP="00744E34" w14:paraId="1FFA69F1" w14:textId="67B397B0">
      <w:pPr>
        <w:pStyle w:val="Heading2"/>
      </w:pPr>
      <w:r>
        <w:t>B. Information Requested</w:t>
      </w:r>
    </w:p>
    <w:p w:rsidR="00500B40" w:rsidP="00D475C8" w14:paraId="0091208D" w14:textId="5C623328">
      <w:pPr>
        <w:pStyle w:val="Heading3"/>
      </w:pPr>
      <w:r>
        <w:t xml:space="preserve">i. </w:t>
      </w:r>
      <w:r w:rsidR="00D475C8">
        <w:t>Data items</w:t>
      </w:r>
    </w:p>
    <w:p w:rsidR="003C6431" w:rsidRPr="002B698E" w:rsidP="003C6431" w14:paraId="45755A6E" w14:textId="77777777">
      <w:pPr>
        <w:autoSpaceDE w:val="0"/>
        <w:autoSpaceDN w:val="0"/>
        <w:adjustRightInd w:val="0"/>
      </w:pPr>
      <w:r>
        <w:t>The following</w:t>
      </w:r>
      <w:r w:rsidRPr="002B698E">
        <w:t xml:space="preserve"> information elements provide the accountability needed to detect and remedy situations of waste, fraud</w:t>
      </w:r>
      <w:r>
        <w:t>,</w:t>
      </w:r>
      <w:r w:rsidRPr="002B698E">
        <w:t xml:space="preserve"> and abuse of </w:t>
      </w:r>
      <w:r>
        <w:t>f</w:t>
      </w:r>
      <w:r w:rsidRPr="002B698E">
        <w:t>ederal funds.</w:t>
      </w:r>
    </w:p>
    <w:p w:rsidR="005B763E" w:rsidP="006E7DCB" w14:paraId="1647B6F9" w14:textId="5242AE20">
      <w:pPr>
        <w:pStyle w:val="Heading4"/>
      </w:pPr>
      <w:r w:rsidRPr="00F55905">
        <w:t>Capitalization Grant Agreement</w:t>
      </w:r>
      <w:r>
        <w:t>/Intended Use Plan</w:t>
      </w:r>
    </w:p>
    <w:p w:rsidR="00045838" w:rsidRPr="00295B95" w:rsidP="001A47BD" w14:paraId="301748FE" w14:textId="6DE71967">
      <w:pPr>
        <w:autoSpaceDE w:val="0"/>
        <w:autoSpaceDN w:val="0"/>
        <w:adjustRightInd w:val="0"/>
      </w:pPr>
      <w:r>
        <w:t>The</w:t>
      </w:r>
      <w:r w:rsidR="00204019">
        <w:t xml:space="preserve"> </w:t>
      </w:r>
      <w:r w:rsidR="00587284">
        <w:t xml:space="preserve">Capitalization Grant Agreement </w:t>
      </w:r>
      <w:r w:rsidRPr="003A0D67">
        <w:t>is the pr</w:t>
      </w:r>
      <w:r>
        <w:t>i</w:t>
      </w:r>
      <w:r w:rsidR="00F81161">
        <w:t xml:space="preserve">ncipal instrument by which a </w:t>
      </w:r>
      <w:r w:rsidR="00960826">
        <w:t>CW</w:t>
      </w:r>
      <w:r w:rsidR="00F81161">
        <w:t>SRF</w:t>
      </w:r>
      <w:r w:rsidRPr="003A0D67">
        <w:t xml:space="preserve"> </w:t>
      </w:r>
      <w:r w:rsidR="00960826">
        <w:t xml:space="preserve">or DWSRF </w:t>
      </w:r>
      <w:r w:rsidRPr="003A0D67">
        <w:t>comm</w:t>
      </w:r>
      <w:r w:rsidR="00F81161">
        <w:t xml:space="preserve">its to manage its </w:t>
      </w:r>
      <w:r>
        <w:t>program in conformance</w:t>
      </w:r>
      <w:r w:rsidR="00CB0721">
        <w:t xml:space="preserve"> with</w:t>
      </w:r>
      <w:r w:rsidRPr="003A0D67">
        <w:t xml:space="preserve"> the requirement</w:t>
      </w:r>
      <w:r>
        <w:t>s</w:t>
      </w:r>
      <w:r w:rsidR="00F81161">
        <w:t xml:space="preserve"> of the CWA </w:t>
      </w:r>
      <w:r w:rsidR="0057378C">
        <w:t xml:space="preserve">or SDWA </w:t>
      </w:r>
      <w:r w:rsidR="00F81161">
        <w:t>as a prerequisite of</w:t>
      </w:r>
      <w:r>
        <w:t xml:space="preserve"> receiving a capitalization grant award</w:t>
      </w:r>
      <w:r w:rsidR="00CE359F">
        <w:t xml:space="preserve">. The </w:t>
      </w:r>
      <w:r w:rsidR="00587284">
        <w:t xml:space="preserve">Capitalization Grant Agreement </w:t>
      </w:r>
      <w:r w:rsidRPr="003A0D67">
        <w:t>contains, or incorporates by reference, the following</w:t>
      </w:r>
      <w:r w:rsidR="00496BDF">
        <w:t xml:space="preserve">: </w:t>
      </w:r>
      <w:r w:rsidRPr="003A0D67">
        <w:t xml:space="preserve">the </w:t>
      </w:r>
      <w:r>
        <w:t xml:space="preserve">grant </w:t>
      </w:r>
      <w:r w:rsidRPr="003A0D67">
        <w:t xml:space="preserve">application </w:t>
      </w:r>
      <w:r>
        <w:t>form (EPA Standard Form (SF) No. 424/</w:t>
      </w:r>
      <w:r w:rsidRPr="003A0D67">
        <w:t>OMB N</w:t>
      </w:r>
      <w:r w:rsidR="00496BDF">
        <w:t>o. 2020-0020)</w:t>
      </w:r>
      <w:r w:rsidR="00AD44F2">
        <w:t xml:space="preserve"> and accompanying</w:t>
      </w:r>
      <w:r w:rsidR="008307BE">
        <w:t xml:space="preserve"> </w:t>
      </w:r>
      <w:r w:rsidR="00960826">
        <w:t>CW</w:t>
      </w:r>
      <w:r w:rsidR="00AF731C">
        <w:t>SRF</w:t>
      </w:r>
      <w:r w:rsidR="00960826">
        <w:t xml:space="preserve"> or DWSRF</w:t>
      </w:r>
      <w:r w:rsidR="00AF731C">
        <w:t xml:space="preserve"> administrative budget</w:t>
      </w:r>
      <w:r w:rsidR="008307BE">
        <w:t xml:space="preserve"> information</w:t>
      </w:r>
      <w:r w:rsidR="00496BDF">
        <w:t xml:space="preserve">, </w:t>
      </w:r>
      <w:r w:rsidR="00793FAD">
        <w:t>IUP</w:t>
      </w:r>
      <w:r w:rsidR="00496BDF">
        <w:t xml:space="preserve">, </w:t>
      </w:r>
      <w:r w:rsidR="0023214E">
        <w:t>attorney general certification</w:t>
      </w:r>
      <w:r w:rsidR="00496BDF">
        <w:t xml:space="preserve">, </w:t>
      </w:r>
      <w:r w:rsidRPr="003A0D67">
        <w:t>and other documentation requir</w:t>
      </w:r>
      <w:r>
        <w:t>ed by EPA</w:t>
      </w:r>
      <w:r w:rsidR="0012397F">
        <w:t>. T</w:t>
      </w:r>
      <w:r w:rsidR="00496BDF">
        <w:t>his material is submitted to EPA through</w:t>
      </w:r>
      <w:r w:rsidR="0023214E">
        <w:t xml:space="preserve"> </w:t>
      </w:r>
      <w:r w:rsidR="0012397F">
        <w:t xml:space="preserve">the </w:t>
      </w:r>
      <w:hyperlink r:id="rId14" w:history="1">
        <w:r w:rsidRPr="00462E90" w:rsidR="00213348">
          <w:rPr>
            <w:rStyle w:val="Hyperlink"/>
          </w:rPr>
          <w:t>www.grants.gov</w:t>
        </w:r>
      </w:hyperlink>
      <w:r w:rsidR="00213348">
        <w:t xml:space="preserve"> </w:t>
      </w:r>
      <w:r w:rsidR="0012397F">
        <w:t>website.</w:t>
      </w:r>
      <w:r w:rsidR="00496BDF">
        <w:t xml:space="preserve"> </w:t>
      </w:r>
    </w:p>
    <w:p w:rsidR="00EF19B8" w:rsidP="00EF19B8" w14:paraId="362BCF2A" w14:textId="09411FDB">
      <w:r>
        <w:t>A critical</w:t>
      </w:r>
      <w:r w:rsidR="000165CA">
        <w:t xml:space="preserve"> component of the </w:t>
      </w:r>
      <w:r w:rsidR="00587284">
        <w:t xml:space="preserve">Capitalization Grant Agreement </w:t>
      </w:r>
      <w:r w:rsidR="00355294">
        <w:t xml:space="preserve">is the </w:t>
      </w:r>
      <w:r w:rsidR="00793FAD">
        <w:t>IUP</w:t>
      </w:r>
      <w:r w:rsidR="00295B95">
        <w:t>. This document not onl</w:t>
      </w:r>
      <w:r w:rsidR="00CE359F">
        <w:t>y covers what a</w:t>
      </w:r>
      <w:r w:rsidR="00295B95">
        <w:t xml:space="preserve"> CWSRF</w:t>
      </w:r>
      <w:r w:rsidR="005E5E75">
        <w:t xml:space="preserve"> or DWSRF</w:t>
      </w:r>
      <w:r w:rsidR="00CB0721">
        <w:t xml:space="preserve"> plan</w:t>
      </w:r>
      <w:r w:rsidR="00CE359F">
        <w:t>s</w:t>
      </w:r>
      <w:r w:rsidR="00295B95">
        <w:t xml:space="preserve"> to accomplish for the upcoming year, it also provide</w:t>
      </w:r>
      <w:r w:rsidR="009E13E8">
        <w:t>s</w:t>
      </w:r>
      <w:r w:rsidR="00295B95">
        <w:t xml:space="preserve"> EP</w:t>
      </w:r>
      <w:r>
        <w:t>A with detaile</w:t>
      </w:r>
      <w:r w:rsidR="00152281">
        <w:t xml:space="preserve">d information </w:t>
      </w:r>
      <w:r w:rsidR="00CE359F">
        <w:t>on how a</w:t>
      </w:r>
      <w:r w:rsidR="00496BDF">
        <w:t xml:space="preserve"> CWSRF</w:t>
      </w:r>
      <w:r w:rsidR="00152281">
        <w:t xml:space="preserve"> </w:t>
      </w:r>
      <w:r w:rsidR="005E5E75">
        <w:t xml:space="preserve">or DWSRF </w:t>
      </w:r>
      <w:r w:rsidR="00152281">
        <w:t>will meet</w:t>
      </w:r>
      <w:r>
        <w:t xml:space="preserve"> the assurances included as part of the </w:t>
      </w:r>
      <w:r w:rsidR="00F27BEB">
        <w:t>Capitalization Grant Agreement</w:t>
      </w:r>
      <w:r w:rsidR="00295B95">
        <w:t xml:space="preserve">. </w:t>
      </w:r>
      <w:r w:rsidR="006B4742">
        <w:t xml:space="preserve">At </w:t>
      </w:r>
      <w:r w:rsidR="0012397F">
        <w:t>a minimum, the IUP</w:t>
      </w:r>
      <w:r w:rsidR="006B4742">
        <w:t xml:space="preserve"> must include the following:</w:t>
      </w:r>
    </w:p>
    <w:p w:rsidR="006B4742" w:rsidP="006232C3" w14:paraId="49B75061" w14:textId="72A22CC8">
      <w:pPr>
        <w:pStyle w:val="ListParagraph"/>
        <w:numPr>
          <w:ilvl w:val="0"/>
          <w:numId w:val="2"/>
        </w:numPr>
      </w:pPr>
      <w:r>
        <w:t>S</w:t>
      </w:r>
      <w:r w:rsidR="0012397F">
        <w:t>hort-term and long-term goals</w:t>
      </w:r>
      <w:r w:rsidR="00892643">
        <w:t>.</w:t>
      </w:r>
    </w:p>
    <w:p w:rsidR="0012397F" w:rsidP="006232C3" w14:paraId="18937614" w14:textId="574E481A">
      <w:pPr>
        <w:pStyle w:val="ListParagraph"/>
        <w:numPr>
          <w:ilvl w:val="0"/>
          <w:numId w:val="2"/>
        </w:numPr>
      </w:pPr>
      <w:r>
        <w:t>“</w:t>
      </w:r>
      <w:r w:rsidR="0082527F">
        <w:t>S</w:t>
      </w:r>
      <w:r>
        <w:t>ources and U</w:t>
      </w:r>
      <w:r>
        <w:t>ses</w:t>
      </w:r>
      <w:r>
        <w:t>”</w:t>
      </w:r>
      <w:r>
        <w:t xml:space="preserve"> table that documents the amount of funding that is expected to be available in the upcoming year from capitalization grant awards, </w:t>
      </w:r>
      <w:r w:rsidR="00113907">
        <w:t>State</w:t>
      </w:r>
      <w:r>
        <w:t xml:space="preserve"> contributions, loan repayments, earnings, and </w:t>
      </w:r>
      <w:r>
        <w:t>other non-federal sources.</w:t>
      </w:r>
      <w:r>
        <w:rPr>
          <w:rStyle w:val="FootnoteReference"/>
        </w:rPr>
        <w:footnoteReference w:id="4"/>
      </w:r>
      <w:r w:rsidR="00B26155">
        <w:t xml:space="preserve"> This table also shows</w:t>
      </w:r>
      <w:r w:rsidR="005A4ED3">
        <w:t xml:space="preserve"> </w:t>
      </w:r>
      <w:r w:rsidR="00095EF5">
        <w:t>how this funding will be used for eligible projects and administrative expenses. The maximum amount that can be used to cover administration is set by section 603(d)(7)</w:t>
      </w:r>
      <w:r w:rsidR="30120701">
        <w:t xml:space="preserve"> and SDWA section 1452</w:t>
      </w:r>
      <w:r w:rsidR="4CFC1C74">
        <w:t>(g)(2)</w:t>
      </w:r>
      <w:r w:rsidR="00095EF5">
        <w:t>.</w:t>
      </w:r>
    </w:p>
    <w:p w:rsidR="0012397F" w:rsidP="006232C3" w14:paraId="6C2592C3" w14:textId="5978782B">
      <w:pPr>
        <w:pStyle w:val="ListParagraph"/>
        <w:numPr>
          <w:ilvl w:val="0"/>
          <w:numId w:val="2"/>
        </w:numPr>
      </w:pPr>
      <w:r>
        <w:t>D</w:t>
      </w:r>
      <w:r>
        <w:t>ocum</w:t>
      </w:r>
      <w:r w:rsidR="00520202">
        <w:t>entation for how the CWSRF</w:t>
      </w:r>
      <w:r w:rsidR="00E0505F">
        <w:t xml:space="preserve"> or DWSRF</w:t>
      </w:r>
      <w:r w:rsidR="003500B2">
        <w:t xml:space="preserve"> plans to</w:t>
      </w:r>
      <w:r>
        <w:t xml:space="preserve"> provide the required </w:t>
      </w:r>
      <w:r w:rsidR="00113907">
        <w:t>State</w:t>
      </w:r>
      <w:r w:rsidR="003500B2">
        <w:t xml:space="preserve"> </w:t>
      </w:r>
      <w:r>
        <w:t>match</w:t>
      </w:r>
      <w:r w:rsidR="005B739C">
        <w:t>.</w:t>
      </w:r>
    </w:p>
    <w:p w:rsidR="0012397F" w:rsidP="006232C3" w14:paraId="787C3733" w14:textId="55CBF70C">
      <w:pPr>
        <w:pStyle w:val="ListParagraph"/>
        <w:numPr>
          <w:ilvl w:val="0"/>
          <w:numId w:val="2"/>
        </w:numPr>
      </w:pPr>
      <w:r>
        <w:t>D</w:t>
      </w:r>
      <w:r w:rsidR="003500B2">
        <w:t xml:space="preserve">ocumentation on </w:t>
      </w:r>
      <w:r w:rsidRPr="003500B2" w:rsidR="003500B2">
        <w:t>whether fees will be charged, the basis for the fees, and the</w:t>
      </w:r>
      <w:r w:rsidR="003500B2">
        <w:t xml:space="preserve"> planned uses</w:t>
      </w:r>
      <w:r w:rsidRPr="003500B2" w:rsidR="003500B2">
        <w:t xml:space="preserve"> of fee revenue.</w:t>
      </w:r>
    </w:p>
    <w:p w:rsidR="003500B2" w:rsidP="006232C3" w14:paraId="505EA32D" w14:textId="0ADD8497">
      <w:pPr>
        <w:pStyle w:val="ListParagraph"/>
        <w:numPr>
          <w:ilvl w:val="0"/>
          <w:numId w:val="2"/>
        </w:numPr>
      </w:pPr>
      <w:r>
        <w:t xml:space="preserve">A </w:t>
      </w:r>
      <w:r w:rsidRPr="003500B2">
        <w:t xml:space="preserve">schedule/estimate for when it will </w:t>
      </w:r>
      <w:r w:rsidRPr="003500B2">
        <w:t>enter into</w:t>
      </w:r>
      <w:r w:rsidRPr="003500B2">
        <w:t xml:space="preserve"> binding</w:t>
      </w:r>
      <w:r>
        <w:t xml:space="preserve"> </w:t>
      </w:r>
      <w:r w:rsidRPr="003500B2">
        <w:t>commitments on projects</w:t>
      </w:r>
      <w:r w:rsidR="00660530">
        <w:t xml:space="preserve"> to ensure that it me</w:t>
      </w:r>
      <w:r w:rsidR="00CE359F">
        <w:t>ets the requirement that a CWSRF</w:t>
      </w:r>
      <w:r w:rsidR="00164AFC">
        <w:t xml:space="preserve"> or DWSRF</w:t>
      </w:r>
      <w:r w:rsidR="00660530">
        <w:t xml:space="preserve"> enters into binding commitments equal to</w:t>
      </w:r>
      <w:r w:rsidR="000C47C7">
        <w:t xml:space="preserve"> </w:t>
      </w:r>
      <w:r w:rsidR="00BE4ABD">
        <w:t xml:space="preserve">the federal grant payment and accompanying </w:t>
      </w:r>
      <w:r w:rsidR="00113907">
        <w:t>State</w:t>
      </w:r>
      <w:r w:rsidR="00BE4ABD">
        <w:t xml:space="preserve"> match</w:t>
      </w:r>
      <w:r w:rsidR="00660530">
        <w:t xml:space="preserve"> within one year of receipt of a grant payment</w:t>
      </w:r>
      <w:r w:rsidRPr="003500B2">
        <w:t>.</w:t>
      </w:r>
      <w:r>
        <w:rPr>
          <w:rStyle w:val="FootnoteReference"/>
        </w:rPr>
        <w:footnoteReference w:id="5"/>
      </w:r>
      <w:r w:rsidR="00204019">
        <w:t xml:space="preserve"> The </w:t>
      </w:r>
      <w:r w:rsidR="00793FAD">
        <w:t>IUP</w:t>
      </w:r>
      <w:r w:rsidR="00660530">
        <w:t xml:space="preserve"> must also document the procedure by which grant funds will be drawn from the fe</w:t>
      </w:r>
      <w:r w:rsidR="00CE359F">
        <w:t>deral treasury into the CWSRF</w:t>
      </w:r>
      <w:r w:rsidR="00164AFC">
        <w:t xml:space="preserve"> or DWSRF</w:t>
      </w:r>
      <w:r w:rsidR="00660530">
        <w:t>.</w:t>
      </w:r>
    </w:p>
    <w:p w:rsidR="00BE4ABD" w:rsidP="006232C3" w14:paraId="0282332A" w14:textId="3D83EA20">
      <w:pPr>
        <w:pStyle w:val="ListParagraph"/>
        <w:numPr>
          <w:ilvl w:val="0"/>
          <w:numId w:val="2"/>
        </w:numPr>
      </w:pPr>
      <w:r>
        <w:t>A</w:t>
      </w:r>
      <w:r w:rsidR="006E25DA">
        <w:t xml:space="preserve"> </w:t>
      </w:r>
      <w:r w:rsidR="009930D3">
        <w:t>summary of the CWSRF</w:t>
      </w:r>
      <w:r w:rsidRPr="006E25DA" w:rsidR="006E25DA">
        <w:t>’s</w:t>
      </w:r>
      <w:r w:rsidR="009C0C7D">
        <w:t xml:space="preserve"> or DWSRF’s</w:t>
      </w:r>
      <w:r w:rsidRPr="006E25DA" w:rsidR="006E25DA">
        <w:t xml:space="preserve"> financial plan, including loan interest</w:t>
      </w:r>
      <w:r w:rsidR="006E25DA">
        <w:t xml:space="preserve"> </w:t>
      </w:r>
      <w:r w:rsidRPr="006E25DA" w:rsidR="006E25DA">
        <w:t>rate(s); information on how the interest rate, loan term and additional subsidies</w:t>
      </w:r>
      <w:r w:rsidR="006E25DA">
        <w:t xml:space="preserve"> </w:t>
      </w:r>
      <w:r w:rsidRPr="006E25DA" w:rsidR="006E25DA">
        <w:t>are established for the types</w:t>
      </w:r>
      <w:r w:rsidR="006E25DA">
        <w:t xml:space="preserve"> of </w:t>
      </w:r>
      <w:r w:rsidRPr="006E25DA" w:rsidR="006E25DA">
        <w:t xml:space="preserve">assistance the </w:t>
      </w:r>
      <w:r w:rsidR="00113907">
        <w:t>State</w:t>
      </w:r>
      <w:r w:rsidRPr="006E25DA" w:rsidR="006E25DA">
        <w:t xml:space="preserve"> will offer; and how it will</w:t>
      </w:r>
      <w:r w:rsidR="006E25DA">
        <w:t xml:space="preserve"> </w:t>
      </w:r>
      <w:r w:rsidRPr="006E25DA" w:rsidR="006E25DA">
        <w:t>maintain the long</w:t>
      </w:r>
      <w:r w:rsidR="00135782">
        <w:t>-</w:t>
      </w:r>
      <w:r w:rsidRPr="006E25DA" w:rsidR="006E25DA">
        <w:t>term health of th</w:t>
      </w:r>
      <w:r w:rsidR="006E25DA">
        <w:t>e Fund. To the extent kn</w:t>
      </w:r>
      <w:r w:rsidR="00B26155">
        <w:t xml:space="preserve">own, it should also include the </w:t>
      </w:r>
      <w:r w:rsidR="00113907">
        <w:t>State</w:t>
      </w:r>
      <w:r w:rsidR="00B26155">
        <w:t xml:space="preserve">’s </w:t>
      </w:r>
      <w:r w:rsidRPr="006E25DA" w:rsidR="006E25DA">
        <w:t>plans on leveraging and the level of bond issuance.</w:t>
      </w:r>
    </w:p>
    <w:p w:rsidR="001F1DE1" w:rsidP="006232C3" w14:paraId="74271980" w14:textId="568B0431">
      <w:pPr>
        <w:pStyle w:val="ListParagraph"/>
        <w:numPr>
          <w:ilvl w:val="0"/>
          <w:numId w:val="2"/>
        </w:numPr>
      </w:pPr>
      <w:r>
        <w:t>D</w:t>
      </w:r>
      <w:r>
        <w:t xml:space="preserve">ocumentation on the </w:t>
      </w:r>
      <w:r w:rsidR="00113907">
        <w:t>State</w:t>
      </w:r>
      <w:r>
        <w:t xml:space="preserve">’s </w:t>
      </w:r>
      <w:r w:rsidRPr="001F1DE1">
        <w:t xml:space="preserve">compliance with the </w:t>
      </w:r>
      <w:r w:rsidR="00152281">
        <w:t>following requirements</w:t>
      </w:r>
      <w:r>
        <w:t>:</w:t>
      </w:r>
    </w:p>
    <w:p w:rsidR="001F1DE1" w:rsidRPr="001F1DE1" w:rsidP="006232C3" w14:paraId="718FCE02" w14:textId="0550AE6C">
      <w:pPr>
        <w:pStyle w:val="ListParagraph"/>
        <w:numPr>
          <w:ilvl w:val="1"/>
          <w:numId w:val="2"/>
        </w:numPr>
      </w:pPr>
      <w:r>
        <w:t xml:space="preserve">The CWSRF </w:t>
      </w:r>
      <w:r w:rsidR="00A33230">
        <w:t xml:space="preserve">or DWSRF </w:t>
      </w:r>
      <w:r w:rsidRPr="001F1DE1">
        <w:t>will conduct enviro</w:t>
      </w:r>
      <w:r w:rsidR="00CE359F">
        <w:t xml:space="preserve">nmental reviews according to its own established </w:t>
      </w:r>
      <w:r w:rsidR="00113907">
        <w:t>State</w:t>
      </w:r>
      <w:r w:rsidRPr="001F1DE1">
        <w:t xml:space="preserve"> Environmental Revi</w:t>
      </w:r>
      <w:r w:rsidR="00CE359F">
        <w:t>ew Process.</w:t>
      </w:r>
    </w:p>
    <w:p w:rsidR="001F1DE1" w:rsidP="006232C3" w14:paraId="3C87760D" w14:textId="1DCA2EEF">
      <w:pPr>
        <w:pStyle w:val="ListParagraph"/>
        <w:numPr>
          <w:ilvl w:val="1"/>
          <w:numId w:val="2"/>
        </w:numPr>
      </w:pPr>
      <w:r>
        <w:t>The CWSRF</w:t>
      </w:r>
      <w:r w:rsidRPr="001F1DE1">
        <w:t xml:space="preserve"> </w:t>
      </w:r>
      <w:r w:rsidR="00A33230">
        <w:t xml:space="preserve">or DWSRF </w:t>
      </w:r>
      <w:r w:rsidRPr="001F1DE1">
        <w:t>wi</w:t>
      </w:r>
      <w:r>
        <w:t xml:space="preserve">ll expend all funds </w:t>
      </w:r>
      <w:r w:rsidRPr="00254D54">
        <w:t>in a timely</w:t>
      </w:r>
      <w:r w:rsidR="00115A20">
        <w:t xml:space="preserve"> and expeditious</w:t>
      </w:r>
      <w:r w:rsidRPr="00254D54">
        <w:t xml:space="preserve"> manner.</w:t>
      </w:r>
    </w:p>
    <w:p w:rsidR="00923579" w:rsidRPr="00254D54" w:rsidP="006232C3" w14:paraId="68BE9D91" w14:textId="1C891C35">
      <w:pPr>
        <w:pStyle w:val="ListParagraph"/>
        <w:numPr>
          <w:ilvl w:val="1"/>
          <w:numId w:val="2"/>
        </w:numPr>
      </w:pPr>
      <w:r>
        <w:t>For CWSRF, t</w:t>
      </w:r>
      <w:r w:rsidR="00BC25AD">
        <w:t xml:space="preserve">he </w:t>
      </w:r>
      <w:r w:rsidR="001A4877">
        <w:t xml:space="preserve">new </w:t>
      </w:r>
      <w:r w:rsidR="00587284">
        <w:t xml:space="preserve">Capitalization Grant Agreement </w:t>
      </w:r>
      <w:r w:rsidR="001A4877">
        <w:t xml:space="preserve">requirements added by </w:t>
      </w:r>
      <w:r w:rsidR="00E61A16">
        <w:t xml:space="preserve">the </w:t>
      </w:r>
      <w:r w:rsidRPr="00E61A16" w:rsidR="00E61A16">
        <w:t>Water Resources Reform and Development Act</w:t>
      </w:r>
      <w:r w:rsidR="00E61A16">
        <w:t xml:space="preserve"> (</w:t>
      </w:r>
      <w:r w:rsidR="001A4877">
        <w:t>WRRDA</w:t>
      </w:r>
      <w:r w:rsidR="00E61A16">
        <w:t>)</w:t>
      </w:r>
      <w:r w:rsidR="001A4877">
        <w:t xml:space="preserve"> involving </w:t>
      </w:r>
      <w:r>
        <w:t>cost and effectiveness</w:t>
      </w:r>
      <w:r w:rsidR="00BC25AD">
        <w:t xml:space="preserve"> analysis</w:t>
      </w:r>
      <w:r w:rsidR="001A4877">
        <w:t xml:space="preserve"> and </w:t>
      </w:r>
      <w:r w:rsidR="00BC25AD">
        <w:t>procurement of archite</w:t>
      </w:r>
      <w:r w:rsidR="001A4877">
        <w:t xml:space="preserve">ctural and engineering services. This also includes </w:t>
      </w:r>
      <w:r w:rsidR="00BC25AD">
        <w:t>fiscal su</w:t>
      </w:r>
      <w:r w:rsidR="001A4877">
        <w:t xml:space="preserve">stainability planning by CWSRF assistance recipients required </w:t>
      </w:r>
      <w:r w:rsidR="00BC25AD">
        <w:t xml:space="preserve">under section 603(d)(1)(e) of the CWA. </w:t>
      </w:r>
      <w:r>
        <w:t xml:space="preserve"> </w:t>
      </w:r>
    </w:p>
    <w:p w:rsidR="0082527F" w:rsidRPr="0082527F" w:rsidP="006232C3" w14:paraId="100785C2" w14:textId="66D9495A">
      <w:pPr>
        <w:pStyle w:val="ListParagraph"/>
        <w:numPr>
          <w:ilvl w:val="0"/>
          <w:numId w:val="2"/>
        </w:numPr>
      </w:pPr>
      <w:r>
        <w:t>D</w:t>
      </w:r>
      <w:r w:rsidR="5912976C">
        <w:t xml:space="preserve">ocumentation for how the </w:t>
      </w:r>
      <w:r w:rsidR="00113907">
        <w:t>State</w:t>
      </w:r>
      <w:r w:rsidR="5912976C">
        <w:t xml:space="preserve"> will</w:t>
      </w:r>
      <w:r w:rsidR="1D161F27">
        <w:t xml:space="preserve"> ensure compliance</w:t>
      </w:r>
      <w:r w:rsidR="35BCFEE2">
        <w:t xml:space="preserve"> with</w:t>
      </w:r>
      <w:r w:rsidR="5912976C">
        <w:t xml:space="preserve"> the </w:t>
      </w:r>
      <w:r w:rsidR="1918C61F">
        <w:t>Single Audit Act, the Federal Funding Accountability and Transparency Act</w:t>
      </w:r>
      <w:r w:rsidR="5912976C">
        <w:t xml:space="preserve">, </w:t>
      </w:r>
      <w:r w:rsidR="08385C91">
        <w:t>federal cross</w:t>
      </w:r>
      <w:r w:rsidR="568F7DFA">
        <w:t>cutters</w:t>
      </w:r>
      <w:r w:rsidR="00963E2E">
        <w:t>,</w:t>
      </w:r>
      <w:r w:rsidR="017E0D4A">
        <w:t xml:space="preserve"> and </w:t>
      </w:r>
      <w:r w:rsidR="00963E2E">
        <w:t xml:space="preserve">other federal </w:t>
      </w:r>
      <w:r w:rsidR="017E0D4A">
        <w:t>requirements</w:t>
      </w:r>
      <w:r w:rsidR="00482669">
        <w:t xml:space="preserve"> (e.g., A</w:t>
      </w:r>
      <w:r w:rsidR="007D5C8B">
        <w:t xml:space="preserve">merican </w:t>
      </w:r>
      <w:r w:rsidR="00482669">
        <w:t>I</w:t>
      </w:r>
      <w:r w:rsidR="007D5C8B">
        <w:t>ron and Steel</w:t>
      </w:r>
      <w:r w:rsidR="00482669">
        <w:t xml:space="preserve"> and </w:t>
      </w:r>
      <w:r w:rsidR="00DA5ED8">
        <w:t>Build</w:t>
      </w:r>
      <w:r w:rsidR="007D5C8B">
        <w:t xml:space="preserve"> </w:t>
      </w:r>
      <w:r w:rsidR="00AD35DE">
        <w:t>A</w:t>
      </w:r>
      <w:r w:rsidR="00D1606B">
        <w:t xml:space="preserve">merica </w:t>
      </w:r>
      <w:r w:rsidR="00AD35DE">
        <w:t>B</w:t>
      </w:r>
      <w:r w:rsidR="00D1606B">
        <w:t>u</w:t>
      </w:r>
      <w:r w:rsidR="00DA5ED8">
        <w:t>y</w:t>
      </w:r>
      <w:r w:rsidR="00D1606B">
        <w:t xml:space="preserve"> </w:t>
      </w:r>
      <w:r w:rsidR="00AD35DE">
        <w:t>A</w:t>
      </w:r>
      <w:r w:rsidR="00D1606B">
        <w:t>merica</w:t>
      </w:r>
      <w:r w:rsidR="00AD35DE">
        <w:t>)</w:t>
      </w:r>
      <w:r w:rsidR="568F7DFA">
        <w:t>.</w:t>
      </w:r>
    </w:p>
    <w:p w:rsidR="000165CA" w:rsidP="006232C3" w14:paraId="3E2A9795" w14:textId="3AD65405">
      <w:pPr>
        <w:pStyle w:val="ListParagraph"/>
        <w:numPr>
          <w:ilvl w:val="0"/>
          <w:numId w:val="2"/>
        </w:numPr>
      </w:pPr>
      <w:r>
        <w:t xml:space="preserve">Documentation on whether funds will be </w:t>
      </w:r>
      <w:r w:rsidRPr="0082527F">
        <w:t>transferred between the CWSRF and</w:t>
      </w:r>
      <w:r>
        <w:t xml:space="preserve"> DWSRF in accordance with section 302 of the Safe Drinking Water Act </w:t>
      </w:r>
      <w:r w:rsidRPr="0082527F">
        <w:t xml:space="preserve">and/or that the </w:t>
      </w:r>
      <w:r w:rsidR="00113907">
        <w:t>State</w:t>
      </w:r>
      <w:r w:rsidRPr="0082527F">
        <w:t xml:space="preserve"> reserves the right to transfer fund</w:t>
      </w:r>
      <w:r w:rsidR="00863851">
        <w:t xml:space="preserve">s in the future. </w:t>
      </w:r>
    </w:p>
    <w:p w:rsidR="00863851" w:rsidP="006232C3" w14:paraId="2C2A0F8F" w14:textId="4DB91461">
      <w:pPr>
        <w:pStyle w:val="ListParagraph"/>
        <w:numPr>
          <w:ilvl w:val="0"/>
          <w:numId w:val="2"/>
        </w:numPr>
      </w:pPr>
      <w:r>
        <w:t xml:space="preserve">A list of projects the CWSRF </w:t>
      </w:r>
      <w:r w:rsidR="008A2C13">
        <w:t xml:space="preserve">or DWSRF </w:t>
      </w:r>
      <w:r>
        <w:t>plans to fund. This list should include the following</w:t>
      </w:r>
    </w:p>
    <w:p w:rsidR="00923579" w:rsidP="006232C3" w14:paraId="24448106" w14:textId="0E04689D">
      <w:pPr>
        <w:pStyle w:val="ListParagraph"/>
        <w:numPr>
          <w:ilvl w:val="1"/>
          <w:numId w:val="2"/>
        </w:numPr>
      </w:pPr>
      <w:r>
        <w:t xml:space="preserve">Documentation that any project meeting the definition of a publicly owned treatment work was ranked based on the </w:t>
      </w:r>
      <w:r w:rsidR="00113907">
        <w:t>State</w:t>
      </w:r>
      <w:r>
        <w:t>’s project priority setting system.</w:t>
      </w:r>
    </w:p>
    <w:p w:rsidR="00923579" w:rsidP="006232C3" w14:paraId="1A3B47F9" w14:textId="5E955653">
      <w:pPr>
        <w:pStyle w:val="ListParagraph"/>
        <w:numPr>
          <w:ilvl w:val="1"/>
          <w:numId w:val="2"/>
        </w:numPr>
      </w:pPr>
      <w:r w:rsidRPr="001A4877">
        <w:t>Project description sufficiently detailed to determine project eligibility.</w:t>
      </w:r>
    </w:p>
    <w:p w:rsidR="001A4877" w:rsidP="006232C3" w14:paraId="221D95EE" w14:textId="08FCFA66">
      <w:pPr>
        <w:pStyle w:val="ListParagraph"/>
        <w:numPr>
          <w:ilvl w:val="1"/>
          <w:numId w:val="2"/>
        </w:numPr>
      </w:pPr>
      <w:r w:rsidRPr="001A4877">
        <w:t>Type and amount of financial assistance.</w:t>
      </w:r>
    </w:p>
    <w:p w:rsidR="000C47C7" w:rsidP="006232C3" w14:paraId="5E991385" w14:textId="181C260A">
      <w:pPr>
        <w:pStyle w:val="ListParagraph"/>
        <w:numPr>
          <w:ilvl w:val="1"/>
          <w:numId w:val="2"/>
        </w:numPr>
      </w:pPr>
      <w:r>
        <w:t>National Pollutant and Discharge Elimin</w:t>
      </w:r>
      <w:r w:rsidR="001F1B5F">
        <w:t>ation System (</w:t>
      </w:r>
      <w:r>
        <w:t>NPDES</w:t>
      </w:r>
      <w:r w:rsidR="001F1B5F">
        <w:t>)</w:t>
      </w:r>
      <w:r>
        <w:t xml:space="preserve"> permit number (</w:t>
      </w:r>
      <w:r w:rsidR="004C6C07">
        <w:t>CWSRF only</w:t>
      </w:r>
      <w:r>
        <w:t>).</w:t>
      </w:r>
    </w:p>
    <w:p w:rsidR="000C47C7" w:rsidP="006232C3" w14:paraId="65819B48" w14:textId="79FA64B8">
      <w:pPr>
        <w:pStyle w:val="ListParagraph"/>
        <w:numPr>
          <w:ilvl w:val="0"/>
          <w:numId w:val="2"/>
        </w:numPr>
      </w:pPr>
      <w:r>
        <w:t>For CWSRF, a</w:t>
      </w:r>
      <w:r w:rsidR="009930D3">
        <w:t xml:space="preserve"> description of how the CWSRF</w:t>
      </w:r>
      <w:r>
        <w:t xml:space="preserve"> plans to meet the </w:t>
      </w:r>
      <w:r w:rsidR="00FF52B9">
        <w:t>GPR</w:t>
      </w:r>
      <w:r>
        <w:t xml:space="preserve"> requirement included in recent annual appropriations. To the extent possible, this </w:t>
      </w:r>
      <w:r w:rsidR="00A76885">
        <w:t xml:space="preserve">description </w:t>
      </w:r>
      <w:r>
        <w:t xml:space="preserve">should include a list of the projects that will be used to meet this target. </w:t>
      </w:r>
    </w:p>
    <w:p w:rsidR="00654122" w:rsidP="006232C3" w14:paraId="595091F3" w14:textId="5BB98D8E">
      <w:pPr>
        <w:pStyle w:val="ListParagraph"/>
        <w:numPr>
          <w:ilvl w:val="0"/>
          <w:numId w:val="2"/>
        </w:numPr>
      </w:pPr>
      <w:r>
        <w:t xml:space="preserve">A description of </w:t>
      </w:r>
      <w:r w:rsidR="009930D3">
        <w:t>how the CWSRF</w:t>
      </w:r>
      <w:r w:rsidR="00A76885">
        <w:t xml:space="preserve"> </w:t>
      </w:r>
      <w:r w:rsidR="00540664">
        <w:t xml:space="preserve">or DWSRF </w:t>
      </w:r>
      <w:r w:rsidR="00A76885">
        <w:t>plans to provide additional subsidization. To the extent</w:t>
      </w:r>
      <w:r>
        <w:t xml:space="preserve"> </w:t>
      </w:r>
      <w:r w:rsidR="00A76885">
        <w:t>possible, this description should include a list of the projects that will be used to meet the minimum required amount set by annual appropriations and under what conditions it is eligible under the CWA</w:t>
      </w:r>
      <w:r>
        <w:rPr>
          <w:rStyle w:val="FootnoteReference"/>
        </w:rPr>
        <w:footnoteReference w:id="6"/>
      </w:r>
      <w:r w:rsidR="00540664">
        <w:t xml:space="preserve"> or SDWA.</w:t>
      </w:r>
    </w:p>
    <w:p w:rsidR="008E07BF" w:rsidP="00D0767F" w14:paraId="29197F3F" w14:textId="2C1CA881">
      <w:r>
        <w:t xml:space="preserve">The </w:t>
      </w:r>
      <w:r w:rsidR="008C7E14">
        <w:t>CWSRF</w:t>
      </w:r>
      <w:r w:rsidR="007E1069">
        <w:t xml:space="preserve"> </w:t>
      </w:r>
      <w:r w:rsidR="00B84824">
        <w:t>and DWSRF are</w:t>
      </w:r>
      <w:r w:rsidR="007E1069">
        <w:t xml:space="preserve"> required by the CWA </w:t>
      </w:r>
      <w:r w:rsidR="00B84824">
        <w:t xml:space="preserve">and SWDA </w:t>
      </w:r>
      <w:r w:rsidR="007E1069">
        <w:t xml:space="preserve">to make the </w:t>
      </w:r>
      <w:r w:rsidR="00793FAD">
        <w:t>IUP</w:t>
      </w:r>
      <w:r w:rsidR="007E1069">
        <w:t xml:space="preserve"> available for public comment and review</w:t>
      </w:r>
      <w:r w:rsidR="008C7E14">
        <w:t xml:space="preserve">. </w:t>
      </w:r>
      <w:r w:rsidR="007E1069">
        <w:t xml:space="preserve">EPA is </w:t>
      </w:r>
      <w:r w:rsidR="008C7E14">
        <w:t xml:space="preserve">also </w:t>
      </w:r>
      <w:r w:rsidR="007E1069">
        <w:t>provided an electronic</w:t>
      </w:r>
      <w:r w:rsidR="008C7E14">
        <w:t xml:space="preserve"> copy for </w:t>
      </w:r>
      <w:r w:rsidR="007E1069">
        <w:t xml:space="preserve">review. </w:t>
      </w:r>
      <w:r w:rsidR="008C7E14">
        <w:t>Once a CWSRF</w:t>
      </w:r>
      <w:r w:rsidR="00B84824">
        <w:t xml:space="preserve"> or DWSRF</w:t>
      </w:r>
      <w:r w:rsidR="008C7E14">
        <w:t xml:space="preserve"> makes</w:t>
      </w:r>
      <w:r w:rsidR="007E1069">
        <w:t xml:space="preserve"> any necessary revisions based </w:t>
      </w:r>
      <w:r w:rsidR="008C7E14">
        <w:t xml:space="preserve">on these </w:t>
      </w:r>
      <w:r w:rsidR="007E1069">
        <w:t>comments</w:t>
      </w:r>
      <w:r w:rsidR="008C7E14">
        <w:t>, the CWSRF</w:t>
      </w:r>
      <w:r w:rsidR="007E1069">
        <w:t xml:space="preserve"> </w:t>
      </w:r>
      <w:r w:rsidR="00B84824">
        <w:t xml:space="preserve">or DWSRF </w:t>
      </w:r>
      <w:r w:rsidR="007E1069">
        <w:t>submit</w:t>
      </w:r>
      <w:r w:rsidR="008C7E14">
        <w:t>s</w:t>
      </w:r>
      <w:r w:rsidR="007E1069">
        <w:t xml:space="preserve"> the final</w:t>
      </w:r>
      <w:r w:rsidR="008C7E14">
        <w:t xml:space="preserve"> </w:t>
      </w:r>
      <w:r w:rsidR="00793FAD">
        <w:t>IUP</w:t>
      </w:r>
      <w:r w:rsidR="007E1069">
        <w:t xml:space="preserve"> through grants.gov as part of the </w:t>
      </w:r>
      <w:r w:rsidR="00587284">
        <w:t xml:space="preserve">Capitalization Grant Agreement </w:t>
      </w:r>
      <w:r w:rsidR="007E1069">
        <w:t>package.</w:t>
      </w:r>
    </w:p>
    <w:p w:rsidR="00914045" w:rsidRPr="00914045" w:rsidP="006E7DCB" w14:paraId="46E5C913" w14:textId="36DC230F">
      <w:pPr>
        <w:pStyle w:val="Heading4"/>
      </w:pPr>
      <w:r>
        <w:t>Annual Report</w:t>
      </w:r>
    </w:p>
    <w:p w:rsidR="009425EE" w:rsidP="0023214E" w14:paraId="4373A5EA" w14:textId="38C330C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As required by the CWA</w:t>
      </w:r>
      <w:r w:rsidR="0089245B">
        <w:t xml:space="preserve"> and SDWA</w:t>
      </w:r>
      <w:r>
        <w:t>, a</w:t>
      </w:r>
      <w:r w:rsidR="0023214E">
        <w:t xml:space="preserve">n annual </w:t>
      </w:r>
      <w:r>
        <w:t xml:space="preserve">report must be submitted to </w:t>
      </w:r>
      <w:r w:rsidR="0023214E">
        <w:t xml:space="preserve">EPA covering </w:t>
      </w:r>
      <w:r w:rsidRPr="0023214E" w:rsidR="0023214E">
        <w:t>program activities</w:t>
      </w:r>
      <w:r>
        <w:t xml:space="preserve"> for the</w:t>
      </w:r>
      <w:r w:rsidR="00CE359F">
        <w:t xml:space="preserve"> past year. </w:t>
      </w:r>
      <w:r w:rsidR="00644A07">
        <w:t xml:space="preserve">The </w:t>
      </w:r>
      <w:r w:rsidR="00902961">
        <w:t xml:space="preserve">Annual </w:t>
      </w:r>
      <w:r w:rsidR="0089245B">
        <w:t>R</w:t>
      </w:r>
      <w:r w:rsidR="00644A07">
        <w:t>eport must illustrate the</w:t>
      </w:r>
      <w:r w:rsidRPr="0023214E" w:rsidR="00644A07">
        <w:t xml:space="preserve"> progress </w:t>
      </w:r>
      <w:r w:rsidR="00644A07">
        <w:t>a</w:t>
      </w:r>
      <w:r w:rsidR="00902961">
        <w:t>n</w:t>
      </w:r>
      <w:r w:rsidR="00644A07">
        <w:t xml:space="preserve"> SRF has made </w:t>
      </w:r>
      <w:r w:rsidRPr="0023214E" w:rsidR="00644A07">
        <w:t>toward</w:t>
      </w:r>
      <w:r w:rsidR="00644A07">
        <w:t>s</w:t>
      </w:r>
      <w:r w:rsidRPr="0023214E" w:rsidR="00644A07">
        <w:t xml:space="preserve"> meeting the goals and</w:t>
      </w:r>
      <w:r w:rsidR="00644A07">
        <w:t xml:space="preserve"> objectives of the previous fiscal year’s </w:t>
      </w:r>
      <w:r w:rsidRPr="0023214E" w:rsidR="00644A07">
        <w:t xml:space="preserve">IUP and </w:t>
      </w:r>
      <w:r w:rsidR="00644A07">
        <w:t xml:space="preserve">capitalization grant agreement. </w:t>
      </w:r>
      <w:r w:rsidR="00CE359F">
        <w:t xml:space="preserve">A copy of the </w:t>
      </w:r>
      <w:r w:rsidR="0089245B">
        <w:t>R</w:t>
      </w:r>
      <w:r w:rsidR="00CE359F">
        <w:t xml:space="preserve">eport is </w:t>
      </w:r>
      <w:r>
        <w:t>provided in an electronic format (e.g., MS Word or Adobe) to the EPA regional office within</w:t>
      </w:r>
      <w:r w:rsidR="002E127B">
        <w:t xml:space="preserve"> 90 days of the end of the </w:t>
      </w:r>
      <w:r>
        <w:t>fiscal year</w:t>
      </w:r>
      <w:r w:rsidR="00CD6F6A">
        <w:t xml:space="preserve">. </w:t>
      </w:r>
      <w:r w:rsidR="008761DC">
        <w:t xml:space="preserve">Similarly, the </w:t>
      </w:r>
      <w:r w:rsidR="0089245B">
        <w:t>R</w:t>
      </w:r>
      <w:r w:rsidR="008761DC">
        <w:t xml:space="preserve">eport must </w:t>
      </w:r>
      <w:r w:rsidR="00B408CB">
        <w:t>document a</w:t>
      </w:r>
      <w:r w:rsidR="00CE359F">
        <w:t xml:space="preserve"> CWSRF</w:t>
      </w:r>
      <w:r w:rsidR="00CD6F6A">
        <w:t>’</w:t>
      </w:r>
      <w:r w:rsidR="00B408CB">
        <w:t>s</w:t>
      </w:r>
      <w:r w:rsidR="00CD6F6A">
        <w:t xml:space="preserve"> </w:t>
      </w:r>
      <w:r w:rsidR="008E1F1E">
        <w:t xml:space="preserve">or DWSRF’s </w:t>
      </w:r>
      <w:r w:rsidR="00CD6F6A">
        <w:t>compliance with the assurances incl</w:t>
      </w:r>
      <w:r w:rsidR="001D4616">
        <w:t xml:space="preserve">uded as </w:t>
      </w:r>
      <w:r w:rsidR="00CE359F">
        <w:t xml:space="preserve">part of the </w:t>
      </w:r>
      <w:r w:rsidR="00793FAD">
        <w:t>IUP</w:t>
      </w:r>
      <w:r w:rsidR="00CD6F6A">
        <w:t xml:space="preserve">. </w:t>
      </w:r>
    </w:p>
    <w:p w:rsidR="0023214E" w:rsidRPr="0023214E" w:rsidP="0023214E" w14:paraId="556E5635" w14:textId="3D0163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w:t>
      </w:r>
      <w:r w:rsidR="0089245B">
        <w:t>R</w:t>
      </w:r>
      <w:r>
        <w:t>eport</w:t>
      </w:r>
      <w:r w:rsidR="00CD6F6A">
        <w:t xml:space="preserve"> must </w:t>
      </w:r>
      <w:r w:rsidR="008761DC">
        <w:t xml:space="preserve">also </w:t>
      </w:r>
      <w:r w:rsidRPr="0023214E">
        <w:t xml:space="preserve">provide </w:t>
      </w:r>
      <w:r w:rsidR="00CD6F6A">
        <w:t xml:space="preserve">detailed </w:t>
      </w:r>
      <w:r w:rsidRPr="0023214E">
        <w:t xml:space="preserve">information on actual assistance provided, </w:t>
      </w:r>
      <w:r w:rsidRPr="0023214E">
        <w:t>including:</w:t>
      </w:r>
      <w:r w:rsidRPr="0023214E">
        <w:t xml:space="preserve"> loan recipients; loan amounts; loan terms; project categories of eligible cost; and similar details on other forms of assistance.</w:t>
      </w:r>
      <w:r w:rsidR="002A5FD3">
        <w:t xml:space="preserve"> This information must note</w:t>
      </w:r>
      <w:r w:rsidR="009425EE">
        <w:t xml:space="preserve"> whether</w:t>
      </w:r>
      <w:r w:rsidR="00CD6F6A">
        <w:t xml:space="preserve"> </w:t>
      </w:r>
      <w:r w:rsidR="002A5FD3">
        <w:t>a project is</w:t>
      </w:r>
      <w:r w:rsidR="00CD6F6A">
        <w:t xml:space="preserve"> being counted towards the </w:t>
      </w:r>
      <w:r w:rsidR="00FF52B9">
        <w:t>GPR</w:t>
      </w:r>
      <w:r w:rsidR="00CD6F6A">
        <w:t xml:space="preserve"> requirement</w:t>
      </w:r>
      <w:r>
        <w:t>. Addition</w:t>
      </w:r>
      <w:r w:rsidR="002E127B">
        <w:t>ally, a CWSRF</w:t>
      </w:r>
      <w:r w:rsidR="00526744">
        <w:t xml:space="preserve"> or DWSRF</w:t>
      </w:r>
      <w:r w:rsidR="002A5FD3">
        <w:t xml:space="preserve"> must include</w:t>
      </w:r>
      <w:r>
        <w:t xml:space="preserve"> whether a </w:t>
      </w:r>
      <w:r w:rsidR="00CD6F6A">
        <w:t xml:space="preserve">project received additional subsidization </w:t>
      </w:r>
      <w:r>
        <w:t>and supporting rationale for why it was eligible to receive such assistance.</w:t>
      </w:r>
      <w:r w:rsidR="00CD6F6A">
        <w:t xml:space="preserve"> </w:t>
      </w:r>
    </w:p>
    <w:p w:rsidR="009425EE" w:rsidP="0023214E" w14:paraId="5382691A" w14:textId="76D8A5E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A CWSRF</w:t>
      </w:r>
      <w:r w:rsidRPr="0023214E" w:rsidR="0023214E">
        <w:t xml:space="preserve"> </w:t>
      </w:r>
      <w:r w:rsidR="00E11C9B">
        <w:t xml:space="preserve">or DWSRF </w:t>
      </w:r>
      <w:r w:rsidRPr="0023214E" w:rsidR="0023214E">
        <w:t>must</w:t>
      </w:r>
      <w:r>
        <w:t xml:space="preserve"> also</w:t>
      </w:r>
      <w:r w:rsidRPr="0023214E" w:rsidR="0023214E">
        <w:t xml:space="preserve"> submit detailed financial stat</w:t>
      </w:r>
      <w:r w:rsidR="001D4616">
        <w:t xml:space="preserve">ements as part of the </w:t>
      </w:r>
      <w:r w:rsidR="00865FFD">
        <w:t>R</w:t>
      </w:r>
      <w:r>
        <w:t>eport that provide a sna</w:t>
      </w:r>
      <w:r w:rsidR="00D00C9D">
        <w:t>pshot of its</w:t>
      </w:r>
      <w:r w:rsidR="001F3B41">
        <w:t xml:space="preserve"> financial stability</w:t>
      </w:r>
      <w:r>
        <w:t>. If</w:t>
      </w:r>
      <w:r w:rsidR="00AE084E">
        <w:t xml:space="preserve"> an</w:t>
      </w:r>
      <w:r>
        <w:t xml:space="preserve"> audit has not yet</w:t>
      </w:r>
      <w:r w:rsidR="00265C32">
        <w:t xml:space="preserve"> been</w:t>
      </w:r>
      <w:r>
        <w:t xml:space="preserve"> completed, the </w:t>
      </w:r>
      <w:r w:rsidR="00865FFD">
        <w:t>R</w:t>
      </w:r>
      <w:r>
        <w:t xml:space="preserve">eport should include draft </w:t>
      </w:r>
      <w:r w:rsidRPr="0023214E" w:rsidR="0023214E">
        <w:t>financial s</w:t>
      </w:r>
      <w:r>
        <w:t xml:space="preserve">tatements and footnotes that are in accordance with </w:t>
      </w:r>
      <w:r w:rsidRPr="0023214E" w:rsidR="0023214E">
        <w:t xml:space="preserve">generally accepted accounting principles (GAAP) to present fairly the financial condition and results of operation. </w:t>
      </w:r>
    </w:p>
    <w:p w:rsidR="00B408CB" w:rsidP="00444802" w14:paraId="41C3BCF9" w14:textId="7D0C14C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u w:val="single"/>
        </w:rPr>
      </w:pPr>
      <w:r>
        <w:t xml:space="preserve">The </w:t>
      </w:r>
      <w:r w:rsidR="00865FFD">
        <w:t>R</w:t>
      </w:r>
      <w:r>
        <w:t xml:space="preserve">eport is one of the principal instruments by which a CWSRF </w:t>
      </w:r>
      <w:r w:rsidR="00E11C9B">
        <w:t xml:space="preserve">or DWSRF </w:t>
      </w:r>
      <w:r>
        <w:t xml:space="preserve">demonstrates to EPA that it has abided by the assurances and terms set forth in the capitalization grant agreement. Any major discrepancies between the </w:t>
      </w:r>
      <w:r w:rsidR="00865FFD">
        <w:t>R</w:t>
      </w:r>
      <w:r>
        <w:t xml:space="preserve">eport and </w:t>
      </w:r>
      <w:r w:rsidR="00865FFD">
        <w:t>Capitalization Grant/</w:t>
      </w:r>
      <w:r w:rsidR="00793FAD">
        <w:t>IUP</w:t>
      </w:r>
      <w:r w:rsidR="00865FFD">
        <w:t xml:space="preserve"> </w:t>
      </w:r>
      <w:r>
        <w:t>must be addressed to the satisfaction</w:t>
      </w:r>
      <w:r w:rsidR="00265C32">
        <w:t xml:space="preserve"> of EPA. The </w:t>
      </w:r>
      <w:r w:rsidR="001F3B41">
        <w:t xml:space="preserve">regional </w:t>
      </w:r>
      <w:r>
        <w:t>rev</w:t>
      </w:r>
      <w:r w:rsidR="00D00C9D">
        <w:t>iew of a</w:t>
      </w:r>
      <w:r w:rsidR="00265C32">
        <w:t xml:space="preserve"> CWSRF</w:t>
      </w:r>
      <w:r w:rsidR="009036F5">
        <w:t xml:space="preserve"> or DWSRF</w:t>
      </w:r>
      <w:r w:rsidR="00265C32">
        <w:t xml:space="preserve"> is usually where</w:t>
      </w:r>
      <w:r>
        <w:t xml:space="preserve"> such concerns are identified and </w:t>
      </w:r>
      <w:r>
        <w:t>raise</w:t>
      </w:r>
      <w:r>
        <w:t>d</w:t>
      </w:r>
      <w:r w:rsidR="00D00C9D">
        <w:t>, though</w:t>
      </w:r>
      <w:r w:rsidR="00BA5356">
        <w:t xml:space="preserve"> </w:t>
      </w:r>
      <w:r w:rsidR="00D00C9D">
        <w:t>EPA may contact a</w:t>
      </w:r>
      <w:r>
        <w:t xml:space="preserve"> CWSRF </w:t>
      </w:r>
      <w:r w:rsidR="009036F5">
        <w:t xml:space="preserve">or DWSRF </w:t>
      </w:r>
      <w:r>
        <w:t>prior to the review if such action is deemed warranted.</w:t>
      </w:r>
    </w:p>
    <w:p w:rsidR="00AE084E" w:rsidP="006E7DCB" w14:paraId="269EC2F2" w14:textId="7DE144A1">
      <w:pPr>
        <w:pStyle w:val="Heading4"/>
      </w:pPr>
      <w:r>
        <w:t xml:space="preserve">State </w:t>
      </w:r>
      <w:r>
        <w:t>Audit</w:t>
      </w:r>
    </w:p>
    <w:p w:rsidR="000740C3" w:rsidP="484A4519" w14:paraId="1864D0A8" w14:textId="4D4ACBF3">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Section 606</w:t>
      </w:r>
      <w:r w:rsidR="008F139D">
        <w:t>(b)</w:t>
      </w:r>
      <w:r>
        <w:t xml:space="preserve"> </w:t>
      </w:r>
      <w:r w:rsidR="005F1303">
        <w:t xml:space="preserve">of the CWA and </w:t>
      </w:r>
      <w:r w:rsidR="00C9312F">
        <w:t>section 1452(g)(</w:t>
      </w:r>
      <w:r w:rsidR="00890F57">
        <w:t>4)</w:t>
      </w:r>
      <w:r w:rsidR="005F1303">
        <w:t xml:space="preserve"> of the SDWA </w:t>
      </w:r>
      <w:r>
        <w:t>requires that a</w:t>
      </w:r>
      <w:r w:rsidR="001D26D5">
        <w:t>n</w:t>
      </w:r>
      <w:r>
        <w:t xml:space="preserve"> SRF undergo an annual </w:t>
      </w:r>
      <w:r w:rsidR="00113907">
        <w:t>State</w:t>
      </w:r>
      <w:r w:rsidR="002F7D25">
        <w:t xml:space="preserve"> </w:t>
      </w:r>
      <w:r>
        <w:t>audit consistent with the auditing procedures of the General Accounting Office, including chapter 75 of title 31, United States Code.</w:t>
      </w:r>
      <w:r w:rsidR="00532531">
        <w:t xml:space="preserve"> Though </w:t>
      </w:r>
      <w:r>
        <w:t>an audit conducted under the Single</w:t>
      </w:r>
      <w:r w:rsidR="00532531">
        <w:t xml:space="preserve"> Audit Act </w:t>
      </w:r>
      <w:r>
        <w:t>meet</w:t>
      </w:r>
      <w:r w:rsidR="00532531">
        <w:t>s</w:t>
      </w:r>
      <w:r>
        <w:t xml:space="preserve"> this requirement, </w:t>
      </w:r>
      <w:r w:rsidR="00113907">
        <w:t>State</w:t>
      </w:r>
      <w:r w:rsidR="00421894">
        <w:t xml:space="preserve">s are encouraged to conduct an annual financial and compliance audit of the </w:t>
      </w:r>
      <w:r w:rsidR="592EFE4B">
        <w:t>SRF</w:t>
      </w:r>
      <w:r w:rsidR="7DE37D46">
        <w:t>s</w:t>
      </w:r>
      <w:r w:rsidR="00421894">
        <w:t xml:space="preserve"> and its operations.</w:t>
      </w:r>
      <w:r w:rsidR="00117A78">
        <w:t xml:space="preserve"> </w:t>
      </w:r>
      <w:r w:rsidR="00421894">
        <w:t xml:space="preserve">The </w:t>
      </w:r>
      <w:r w:rsidR="00113907">
        <w:t>State</w:t>
      </w:r>
      <w:r w:rsidR="00421894">
        <w:t xml:space="preserve"> may designate an independent auditor of the </w:t>
      </w:r>
      <w:r w:rsidR="00113907">
        <w:t>State</w:t>
      </w:r>
      <w:r w:rsidR="00421894">
        <w:t xml:space="preserve"> to carry out its audit or may contractually procure the service. </w:t>
      </w:r>
    </w:p>
    <w:p w:rsidR="009930D3" w:rsidP="00AE084E" w14:paraId="730C7974" w14:textId="1B72B3D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CWSRF </w:t>
      </w:r>
      <w:r w:rsidR="00336624">
        <w:t xml:space="preserve">and DWSRF </w:t>
      </w:r>
      <w:r>
        <w:t>usually rel</w:t>
      </w:r>
      <w:r w:rsidR="00336624">
        <w:t xml:space="preserve">y </w:t>
      </w:r>
      <w:r>
        <w:t xml:space="preserve">on the services </w:t>
      </w:r>
      <w:r w:rsidR="0069294B">
        <w:t>of a professional auditing firm</w:t>
      </w:r>
      <w:r>
        <w:t xml:space="preserve"> to conduct t</w:t>
      </w:r>
      <w:r w:rsidR="00EA3DEE">
        <w:t>he i</w:t>
      </w:r>
      <w:r>
        <w:t>ndependen</w:t>
      </w:r>
      <w:r w:rsidR="00EA3DEE">
        <w:t>t</w:t>
      </w:r>
      <w:r>
        <w:t xml:space="preserve"> audit. The audit </w:t>
      </w:r>
      <w:r w:rsidRPr="00AE084E" w:rsidR="00AE084E">
        <w:t>include</w:t>
      </w:r>
      <w:r>
        <w:t>s</w:t>
      </w:r>
      <w:r w:rsidRPr="00AE084E" w:rsidR="00AE084E">
        <w:t xml:space="preserve"> te</w:t>
      </w:r>
      <w:r w:rsidR="00AE084E">
        <w:t xml:space="preserve">sting of accounting records and </w:t>
      </w:r>
      <w:r w:rsidRPr="00AE084E" w:rsidR="00AE084E">
        <w:t>other procedures the auditor considers necessary to express an opinion t</w:t>
      </w:r>
      <w:r w:rsidR="00AE084E">
        <w:t>hat</w:t>
      </w:r>
      <w:r w:rsidR="00D00C9D">
        <w:t xml:space="preserve"> the financial statements </w:t>
      </w:r>
      <w:r w:rsidRPr="00AE084E" w:rsidR="00AE084E">
        <w:t>are fairly presented, in all material respects.</w:t>
      </w:r>
      <w:r w:rsidR="00AE084E">
        <w:t xml:space="preserve"> Audits </w:t>
      </w:r>
      <w:r>
        <w:t xml:space="preserve">also </w:t>
      </w:r>
      <w:r w:rsidR="00AE084E">
        <w:t xml:space="preserve">include tests of </w:t>
      </w:r>
      <w:r w:rsidRPr="00AE084E" w:rsidR="00AE084E">
        <w:t>documentary evidence supporting the transactions recorded in the accoun</w:t>
      </w:r>
      <w:r w:rsidR="001E3F5B">
        <w:t xml:space="preserve">ts. </w:t>
      </w:r>
      <w:r w:rsidR="00AE084E">
        <w:t>The</w:t>
      </w:r>
      <w:r>
        <w:t xml:space="preserve"> </w:t>
      </w:r>
      <w:r w:rsidRPr="00AE084E" w:rsidR="00AE084E">
        <w:t>product of an a</w:t>
      </w:r>
      <w:r>
        <w:t>udit generally includes issuing the following reports:</w:t>
      </w:r>
    </w:p>
    <w:p w:rsidR="00AE084E" w:rsidRPr="00237165" w:rsidP="006232C3" w14:paraId="3FFAAB8F" w14:textId="2431AA03">
      <w:pPr>
        <w:pStyle w:val="ListParagraph"/>
        <w:numPr>
          <w:ilvl w:val="0"/>
          <w:numId w:val="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237165">
        <w:t xml:space="preserve">Financial statements with an opinion (or disclaimer of opinion) </w:t>
      </w:r>
      <w:r w:rsidRPr="00237165" w:rsidR="00237165">
        <w:t xml:space="preserve">as to whether the </w:t>
      </w:r>
      <w:r w:rsidR="001E3F5B">
        <w:t>CW</w:t>
      </w:r>
      <w:r w:rsidRPr="00237165" w:rsidR="00237165">
        <w:t>SRF</w:t>
      </w:r>
      <w:r w:rsidR="00F355AF">
        <w:t xml:space="preserve"> or DWSRF</w:t>
      </w:r>
      <w:r w:rsidRPr="00237165" w:rsidR="00237165">
        <w:t xml:space="preserve"> financial </w:t>
      </w:r>
      <w:r w:rsidRPr="00237165">
        <w:t>statements are presented</w:t>
      </w:r>
      <w:r w:rsidR="00064C9B">
        <w:t xml:space="preserve"> fairly in accordance</w:t>
      </w:r>
      <w:r w:rsidRPr="00237165" w:rsidR="00237165">
        <w:t xml:space="preserve"> with GAAP. As a </w:t>
      </w:r>
      <w:r w:rsidRPr="00237165">
        <w:t xml:space="preserve">minimum, financial statements should include a statement </w:t>
      </w:r>
      <w:r w:rsidR="00237165">
        <w:t>of net position</w:t>
      </w:r>
      <w:r w:rsidRPr="00237165" w:rsidR="00237165">
        <w:t xml:space="preserve"> or balance sheet, </w:t>
      </w:r>
      <w:r w:rsidRPr="00237165">
        <w:t>statement of revenues and expenses an</w:t>
      </w:r>
      <w:r w:rsidR="00064C9B">
        <w:t>d changes in net position</w:t>
      </w:r>
      <w:r w:rsidRPr="00237165">
        <w:t>,</w:t>
      </w:r>
      <w:r w:rsidRPr="00237165" w:rsidR="00237165">
        <w:t xml:space="preserve"> a statement of cash flows, and </w:t>
      </w:r>
      <w:r w:rsidRPr="00237165">
        <w:t xml:space="preserve">notes to the financial statements. </w:t>
      </w:r>
    </w:p>
    <w:p w:rsidR="00AE084E" w:rsidRPr="00237165" w:rsidP="006232C3" w14:paraId="09336A3C" w14:textId="35CC071F">
      <w:pPr>
        <w:pStyle w:val="ListParagraph"/>
        <w:numPr>
          <w:ilvl w:val="0"/>
          <w:numId w:val="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237165">
        <w:t xml:space="preserve">A report on internal controls related to the </w:t>
      </w:r>
      <w:r w:rsidR="001E3F5B">
        <w:t>CW</w:t>
      </w:r>
      <w:r w:rsidRPr="00237165">
        <w:t xml:space="preserve">SRF </w:t>
      </w:r>
      <w:r w:rsidR="000568AD">
        <w:t xml:space="preserve">or DWSRF </w:t>
      </w:r>
      <w:r w:rsidRPr="00237165">
        <w:t>financia</w:t>
      </w:r>
      <w:r w:rsidRPr="00237165" w:rsidR="00237165">
        <w:t xml:space="preserve">l statements. The report should </w:t>
      </w:r>
      <w:r w:rsidRPr="00237165">
        <w:t>describe the scope of testing of internal control</w:t>
      </w:r>
      <w:r w:rsidR="00064C9B">
        <w:t>s</w:t>
      </w:r>
      <w:r w:rsidRPr="00237165">
        <w:t xml:space="preserve"> and the results </w:t>
      </w:r>
      <w:r w:rsidRPr="00237165" w:rsidR="00237165">
        <w:t xml:space="preserve">of </w:t>
      </w:r>
      <w:r w:rsidR="00064C9B">
        <w:t xml:space="preserve">the </w:t>
      </w:r>
      <w:r w:rsidRPr="00237165" w:rsidR="00237165">
        <w:t>test</w:t>
      </w:r>
      <w:r w:rsidR="00064C9B">
        <w:t xml:space="preserve">s. </w:t>
      </w:r>
    </w:p>
    <w:p w:rsidR="00237165" w:rsidRPr="00237165" w:rsidP="006232C3" w14:paraId="2C572AC6" w14:textId="0FC31B6A">
      <w:pPr>
        <w:pStyle w:val="ListParagraph"/>
        <w:numPr>
          <w:ilvl w:val="0"/>
          <w:numId w:val="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237165">
        <w:t xml:space="preserve">A report on compliance that includes an opinion as to whether the </w:t>
      </w:r>
      <w:r w:rsidR="00113907">
        <w:t>S</w:t>
      </w:r>
      <w:r w:rsidRPr="00237165">
        <w:t xml:space="preserve">tate has complied in all material respects with laws, regulations, and the provisions of the </w:t>
      </w:r>
      <w:r w:rsidR="001E3F5B">
        <w:t>CW</w:t>
      </w:r>
      <w:r w:rsidRPr="00237165">
        <w:t xml:space="preserve">SRF </w:t>
      </w:r>
      <w:r w:rsidR="000568AD">
        <w:t xml:space="preserve">or DWSRF </w:t>
      </w:r>
      <w:r w:rsidRPr="00237165">
        <w:t>capitalization grants.</w:t>
      </w:r>
    </w:p>
    <w:p w:rsidR="00EA3DEE" w:rsidP="00B17699" w14:paraId="6FB558B4" w14:textId="44223A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On</w:t>
      </w:r>
      <w:r w:rsidR="003B2A1E">
        <w:t>c</w:t>
      </w:r>
      <w:r>
        <w:t>e completed, a</w:t>
      </w:r>
      <w:r>
        <w:t>n electronic</w:t>
      </w:r>
      <w:r>
        <w:t xml:space="preserve"> copy of the annual audit is provided to EPA. Of critical importance is whether the audit includes any finding</w:t>
      </w:r>
      <w:r w:rsidR="00265C32">
        <w:t>s</w:t>
      </w:r>
      <w:r>
        <w:t xml:space="preserve"> or recommendations that either relay concerns that the financial statements may not accurately reflect the financial c</w:t>
      </w:r>
      <w:r w:rsidR="001E3F5B">
        <w:t>ondition of the fund or that a</w:t>
      </w:r>
      <w:r>
        <w:t xml:space="preserve"> </w:t>
      </w:r>
      <w:r>
        <w:t xml:space="preserve">CWSRF </w:t>
      </w:r>
      <w:r w:rsidR="00577DAF">
        <w:t xml:space="preserve">or DWSRF </w:t>
      </w:r>
      <w:r>
        <w:t xml:space="preserve">is not </w:t>
      </w:r>
      <w:r w:rsidR="00265C32">
        <w:t xml:space="preserve">in </w:t>
      </w:r>
      <w:r>
        <w:t>compliance</w:t>
      </w:r>
      <w:r w:rsidR="00064C9B">
        <w:t xml:space="preserve"> with</w:t>
      </w:r>
      <w:r>
        <w:t xml:space="preserve"> one or more federal</w:t>
      </w:r>
      <w:r w:rsidR="001E3F5B">
        <w:t xml:space="preserve"> or </w:t>
      </w:r>
      <w:r w:rsidR="00113907">
        <w:t>State</w:t>
      </w:r>
      <w:r>
        <w:t xml:space="preserve"> requirements. Working with EPA, a CWSRF </w:t>
      </w:r>
      <w:r w:rsidR="00577DAF">
        <w:t xml:space="preserve">or DWSRF </w:t>
      </w:r>
      <w:r>
        <w:t>must</w:t>
      </w:r>
      <w:r w:rsidR="004B5540">
        <w:t xml:space="preserve"> take steps to </w:t>
      </w:r>
      <w:r w:rsidR="00E50677">
        <w:t>address the</w:t>
      </w:r>
      <w:r w:rsidR="004B5540">
        <w:t>se recommendations</w:t>
      </w:r>
      <w:r>
        <w:t xml:space="preserve">. </w:t>
      </w:r>
    </w:p>
    <w:p w:rsidR="001E3F5B" w:rsidP="006E7DCB" w14:paraId="43182776" w14:textId="4A707705">
      <w:pPr>
        <w:pStyle w:val="Heading4"/>
      </w:pPr>
      <w:r w:rsidRPr="00421894">
        <w:t>Financial and Project Data</w:t>
      </w:r>
    </w:p>
    <w:p w:rsidR="00582590" w:rsidP="00B17699" w14:paraId="031C08AD" w14:textId="3FE1684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w:t>
      </w:r>
      <w:r w:rsidR="00E80F49">
        <w:t xml:space="preserve">financial and project data collected by the </w:t>
      </w:r>
      <w:r w:rsidR="001346AD">
        <w:t xml:space="preserve">SRF </w:t>
      </w:r>
      <w:r w:rsidR="004E3ECF">
        <w:t xml:space="preserve">Data System </w:t>
      </w:r>
      <w:r>
        <w:t>support</w:t>
      </w:r>
      <w:r w:rsidR="004E3ECF">
        <w:t>s</w:t>
      </w:r>
      <w:r>
        <w:t xml:space="preserve"> EPA oversight responsibilities and public outreach efforts. Both databases are hosted on EPA servers located at the National Computer Center and can be accessed at the following web address: </w:t>
      </w:r>
      <w:hyperlink r:id="rId15" w:history="1">
        <w:r w:rsidRPr="0033648A">
          <w:rPr>
            <w:rStyle w:val="Hyperlink"/>
          </w:rPr>
          <w:t>https://owsrf.epa.gov/</w:t>
        </w:r>
      </w:hyperlink>
      <w:r>
        <w:t xml:space="preserve">. </w:t>
      </w:r>
      <w:r w:rsidR="00584A37">
        <w:t xml:space="preserve">The CWSRFs </w:t>
      </w:r>
      <w:r w:rsidR="003D181D">
        <w:t xml:space="preserve">and DWSRFs </w:t>
      </w:r>
      <w:r w:rsidR="00584A37">
        <w:t xml:space="preserve">use this website </w:t>
      </w:r>
      <w:r w:rsidR="0038608C">
        <w:t xml:space="preserve">to establish an account and submit data in the </w:t>
      </w:r>
      <w:r w:rsidR="0024254F">
        <w:t xml:space="preserve">SRF </w:t>
      </w:r>
      <w:r w:rsidR="004E3ECF">
        <w:t>Data System</w:t>
      </w:r>
      <w:r w:rsidR="0038608C">
        <w:t xml:space="preserve">. </w:t>
      </w:r>
    </w:p>
    <w:p w:rsidR="0060754C" w:rsidP="76FC88D0" w14:paraId="141C5FFD" w14:textId="5BE1AE2D">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D75801">
        <w:t>During the summer</w:t>
      </w:r>
      <w:r w:rsidRPr="00D75801" w:rsidR="0038608C">
        <w:t xml:space="preserve"> of each year, the CWSRFs </w:t>
      </w:r>
      <w:r w:rsidRPr="00D75801" w:rsidR="00A1506D">
        <w:t xml:space="preserve">and DWSRFs </w:t>
      </w:r>
      <w:r w:rsidRPr="00D75801" w:rsidR="0038608C">
        <w:t xml:space="preserve">complete the </w:t>
      </w:r>
      <w:r w:rsidRPr="00D75801" w:rsidR="004E3ECF">
        <w:t xml:space="preserve">financial </w:t>
      </w:r>
      <w:r w:rsidRPr="00D75801" w:rsidR="0038608C">
        <w:t xml:space="preserve">data entry for </w:t>
      </w:r>
      <w:r w:rsidRPr="00D75801" w:rsidR="0060721A">
        <w:t>the</w:t>
      </w:r>
      <w:r w:rsidRPr="00D75801" w:rsidR="00C07562">
        <w:t xml:space="preserve"> </w:t>
      </w:r>
      <w:r w:rsidRPr="00D75801" w:rsidR="0038608C">
        <w:t>reporting period of July 1 to June 30.</w:t>
      </w:r>
      <w:r w:rsidRPr="00D75801" w:rsidR="00B7449C">
        <w:t xml:space="preserve"> Once the CWSRFs</w:t>
      </w:r>
      <w:r w:rsidRPr="00D75801" w:rsidR="00A1506D">
        <w:t xml:space="preserve"> and DWSRFs</w:t>
      </w:r>
      <w:r w:rsidRPr="00D75801" w:rsidR="00B7449C">
        <w:t xml:space="preserve"> have completed the data entry, EPA, with the assistance of a contractor, conducts a quality review</w:t>
      </w:r>
      <w:r w:rsidRPr="00D75801" w:rsidR="00807B67">
        <w:t>. During the quality review</w:t>
      </w:r>
      <w:r w:rsidRPr="00D75801" w:rsidR="00B7449C">
        <w:t xml:space="preserve">, there is follow-up with the CWSRFs </w:t>
      </w:r>
      <w:r w:rsidRPr="00D75801" w:rsidR="00A1506D">
        <w:t xml:space="preserve">or DWSRFs </w:t>
      </w:r>
      <w:r w:rsidRPr="00D75801" w:rsidR="00B7449C">
        <w:t>to address an</w:t>
      </w:r>
      <w:r w:rsidRPr="00D75801" w:rsidR="00807B67">
        <w:t>y</w:t>
      </w:r>
      <w:r w:rsidRPr="00D75801" w:rsidR="00B7449C">
        <w:t xml:space="preserve"> questions or concerns regarding the most recent entries.</w:t>
      </w:r>
      <w:r w:rsidRPr="00D75801" w:rsidR="001E3F5B">
        <w:t xml:space="preserve"> </w:t>
      </w:r>
      <w:r w:rsidRPr="00D75801" w:rsidR="00D75801">
        <w:t>A</w:t>
      </w:r>
      <w:r w:rsidRPr="00D75801" w:rsidR="001E3F5B">
        <w:t xml:space="preserve"> summary of what must be </w:t>
      </w:r>
      <w:r w:rsidRPr="00D75801">
        <w:t xml:space="preserve">reported into </w:t>
      </w:r>
      <w:r w:rsidRPr="00D75801" w:rsidR="004E3ECF">
        <w:t xml:space="preserve">the </w:t>
      </w:r>
      <w:r w:rsidRPr="00D75801" w:rsidR="00A17A2F">
        <w:t xml:space="preserve">SRF </w:t>
      </w:r>
      <w:r w:rsidRPr="00D75801" w:rsidR="004E3ECF">
        <w:t>Data System</w:t>
      </w:r>
      <w:r w:rsidRPr="00D75801">
        <w:t xml:space="preserve"> is provided below:</w:t>
      </w:r>
    </w:p>
    <w:p w:rsidR="00D45E91" w:rsidP="006232C3" w14:paraId="2ED72C00" w14:textId="61A3BC3E">
      <w:pPr>
        <w:pStyle w:val="ListParagraph"/>
        <w:numPr>
          <w:ilvl w:val="0"/>
          <w:numId w:val="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Federal and </w:t>
      </w:r>
      <w:r w:rsidR="00113907">
        <w:t>State</w:t>
      </w:r>
      <w:r>
        <w:t xml:space="preserve"> contributions</w:t>
      </w:r>
    </w:p>
    <w:p w:rsidR="00C57886" w:rsidP="006232C3" w14:paraId="11BB7507" w14:textId="46EA706D">
      <w:pPr>
        <w:pStyle w:val="ListParagraph"/>
        <w:numPr>
          <w:ilvl w:val="0"/>
          <w:numId w:val="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Total assistance provided</w:t>
      </w:r>
    </w:p>
    <w:p w:rsidR="00D45E91" w:rsidRPr="00D45E91" w:rsidP="006232C3" w14:paraId="34B96279" w14:textId="7F609861">
      <w:pPr>
        <w:pStyle w:val="ListParagraph"/>
        <w:numPr>
          <w:ilvl w:val="0"/>
          <w:numId w:val="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Assistance by p</w:t>
      </w:r>
      <w:r>
        <w:t>opulation s</w:t>
      </w:r>
      <w:r>
        <w:t>erved</w:t>
      </w:r>
    </w:p>
    <w:p w:rsidR="00C57886" w:rsidP="006232C3" w14:paraId="06D2DCF8" w14:textId="234B7D8E">
      <w:pPr>
        <w:pStyle w:val="ListParagraph"/>
        <w:numPr>
          <w:ilvl w:val="0"/>
          <w:numId w:val="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Assistance by needs category</w:t>
      </w:r>
    </w:p>
    <w:p w:rsidR="00D45E91" w:rsidP="006232C3" w14:paraId="37C2B394" w14:textId="0FF17437">
      <w:pPr>
        <w:pStyle w:val="ListParagraph"/>
        <w:numPr>
          <w:ilvl w:val="0"/>
          <w:numId w:val="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Leveraging activity (making additional funding available for projects by issuing bonds)</w:t>
      </w:r>
    </w:p>
    <w:p w:rsidR="00D45E91" w:rsidP="006232C3" w14:paraId="3D040DBD" w14:textId="5F8FE87F">
      <w:pPr>
        <w:pStyle w:val="ListParagraph"/>
        <w:numPr>
          <w:ilvl w:val="0"/>
          <w:numId w:val="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Loan repayments</w:t>
      </w:r>
    </w:p>
    <w:p w:rsidR="00C57886" w:rsidP="006232C3" w14:paraId="7C9A907B" w14:textId="00B006C4">
      <w:pPr>
        <w:pStyle w:val="ListParagraph"/>
        <w:numPr>
          <w:ilvl w:val="0"/>
          <w:numId w:val="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Investment earnings</w:t>
      </w:r>
    </w:p>
    <w:p w:rsidR="008A7588" w14:paraId="53615DBF" w14:textId="6C95C50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265C32">
        <w:t>The CWS</w:t>
      </w:r>
      <w:r w:rsidRPr="00265C32" w:rsidR="00BD04CA">
        <w:t xml:space="preserve">RFs </w:t>
      </w:r>
      <w:r w:rsidR="00666694">
        <w:t xml:space="preserve">and DWSRFs </w:t>
      </w:r>
      <w:r w:rsidRPr="00265C32" w:rsidR="00BD04CA">
        <w:t>are required to enter project</w:t>
      </w:r>
      <w:r w:rsidR="00A52B4E">
        <w:t>-</w:t>
      </w:r>
      <w:r w:rsidRPr="00265C32" w:rsidR="00BD04CA">
        <w:t xml:space="preserve">level information into the </w:t>
      </w:r>
      <w:r w:rsidR="00D82B1A">
        <w:t xml:space="preserve">SRF </w:t>
      </w:r>
      <w:r w:rsidR="004E3ECF">
        <w:t>Data System</w:t>
      </w:r>
      <w:r w:rsidRPr="00265C32" w:rsidR="00BD04CA">
        <w:t xml:space="preserve"> no less than on a quarterly basis. Unlike the </w:t>
      </w:r>
      <w:r w:rsidR="00A52B4E">
        <w:t>financial</w:t>
      </w:r>
      <w:r w:rsidRPr="00265C32" w:rsidR="00BD04CA">
        <w:t xml:space="preserve"> data, the information captured by </w:t>
      </w:r>
      <w:r w:rsidR="001E3F5B">
        <w:t xml:space="preserve">the </w:t>
      </w:r>
      <w:r w:rsidR="00A52B4E">
        <w:t>project-level data</w:t>
      </w:r>
      <w:r w:rsidRPr="00265C32" w:rsidR="00BD04CA">
        <w:t xml:space="preserve"> focus</w:t>
      </w:r>
      <w:r w:rsidR="001E3F5B">
        <w:t>es</w:t>
      </w:r>
      <w:r w:rsidRPr="00265C32" w:rsidR="00BD04CA">
        <w:t xml:space="preserve"> on loan </w:t>
      </w:r>
      <w:r w:rsidR="00DF6259">
        <w:t xml:space="preserve">and </w:t>
      </w:r>
      <w:r w:rsidRPr="00265C32" w:rsidR="00BD04CA">
        <w:t>project</w:t>
      </w:r>
      <w:r w:rsidR="00A52B4E">
        <w:t>-</w:t>
      </w:r>
      <w:r w:rsidRPr="00265C32" w:rsidR="00BD04CA">
        <w:t>level details. More importantly,</w:t>
      </w:r>
      <w:r w:rsidRPr="00265C32" w:rsidR="00265C32">
        <w:t xml:space="preserve"> </w:t>
      </w:r>
      <w:r w:rsidR="001E3F5B">
        <w:t xml:space="preserve">the </w:t>
      </w:r>
      <w:r w:rsidR="00113B60">
        <w:t xml:space="preserve">SRF </w:t>
      </w:r>
      <w:r w:rsidR="00A52B4E">
        <w:t>Data System</w:t>
      </w:r>
      <w:r w:rsidRPr="00265C32" w:rsidR="00265C32">
        <w:t xml:space="preserve"> also captures</w:t>
      </w:r>
      <w:r w:rsidRPr="00265C32" w:rsidR="003F19A9">
        <w:t xml:space="preserve"> the project</w:t>
      </w:r>
      <w:r w:rsidR="00C155CD">
        <w:t>ed</w:t>
      </w:r>
      <w:r w:rsidRPr="00265C32" w:rsidR="003F19A9">
        <w:t xml:space="preserve"> environmental</w:t>
      </w:r>
      <w:r w:rsidR="00902156">
        <w:t xml:space="preserve"> and public health</w:t>
      </w:r>
      <w:r w:rsidRPr="00265C32" w:rsidR="003F19A9">
        <w:t xml:space="preserve"> benefits associated with the SRF funded projects. </w:t>
      </w:r>
    </w:p>
    <w:p w:rsidR="008A683B" w:rsidP="3D81402A" w14:paraId="317F77A8" w14:textId="37F879A0">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highlight w:val="yellow"/>
        </w:rPr>
      </w:pPr>
      <w:r>
        <w:t>During the collection period, t</w:t>
      </w:r>
      <w:r>
        <w:t xml:space="preserve">he </w:t>
      </w:r>
      <w:r w:rsidR="00350B7E">
        <w:t xml:space="preserve">SRF </w:t>
      </w:r>
      <w:r w:rsidR="00A52B4E">
        <w:t>Data System</w:t>
      </w:r>
      <w:r>
        <w:t xml:space="preserve"> </w:t>
      </w:r>
      <w:r>
        <w:t>will be</w:t>
      </w:r>
      <w:r>
        <w:t xml:space="preserve"> updated to add several additi</w:t>
      </w:r>
      <w:r w:rsidR="005254B6">
        <w:t xml:space="preserve">onal </w:t>
      </w:r>
      <w:r w:rsidR="00DF6259">
        <w:t xml:space="preserve">data </w:t>
      </w:r>
      <w:r w:rsidR="005254B6">
        <w:t>fiel</w:t>
      </w:r>
      <w:r w:rsidRPr="00716C42" w:rsidR="005254B6">
        <w:t>ds</w:t>
      </w:r>
      <w:r w:rsidRPr="00716C42">
        <w:t xml:space="preserve"> to </w:t>
      </w:r>
      <w:r w:rsidRPr="00716C42" w:rsidR="5FE72FE5">
        <w:t>support oversight of</w:t>
      </w:r>
      <w:r w:rsidRPr="00716C42" w:rsidR="008D74DF">
        <w:t xml:space="preserve"> </w:t>
      </w:r>
      <w:r w:rsidRPr="00716C42" w:rsidR="00F932B4">
        <w:t>IIJA</w:t>
      </w:r>
      <w:r w:rsidRPr="00716C42" w:rsidR="54C2594C">
        <w:t xml:space="preserve"> </w:t>
      </w:r>
      <w:r w:rsidRPr="00716C42" w:rsidR="5FE72FE5">
        <w:t>funding and to</w:t>
      </w:r>
      <w:r w:rsidRPr="00716C42" w:rsidR="6469A732">
        <w:t xml:space="preserve"> </w:t>
      </w:r>
      <w:r w:rsidRPr="00716C42" w:rsidR="00C0618B">
        <w:t xml:space="preserve">track progress </w:t>
      </w:r>
      <w:r w:rsidRPr="00716C42" w:rsidR="5FE72FE5">
        <w:t>towards meeting key Administration priorities</w:t>
      </w:r>
      <w:r w:rsidRPr="00946120" w:rsidR="00946120">
        <w:t xml:space="preserve"> </w:t>
      </w:r>
      <w:r w:rsidRPr="00716C42" w:rsidR="00946120">
        <w:t>more effectively</w:t>
      </w:r>
      <w:r w:rsidRPr="00716C42" w:rsidR="5FE72FE5">
        <w:t>.</w:t>
      </w:r>
      <w:r w:rsidRPr="00716C42" w:rsidR="2928D948">
        <w:t xml:space="preserve"> S</w:t>
      </w:r>
      <w:r w:rsidRPr="00716C42" w:rsidR="31036E53">
        <w:t>pecifically, these data fields will provide a further breakout of the portion of SRF funding that is coming f</w:t>
      </w:r>
      <w:r w:rsidRPr="00716C42" w:rsidR="63E70F5E">
        <w:t>rom IIJA.</w:t>
      </w:r>
      <w:r w:rsidRPr="00716C42" w:rsidR="4E64644B">
        <w:t xml:space="preserve"> </w:t>
      </w:r>
      <w:r w:rsidRPr="00716C42" w:rsidR="6D977082">
        <w:t xml:space="preserve">Additionally, several data fields will be added to </w:t>
      </w:r>
      <w:r w:rsidRPr="00716C42" w:rsidR="61FDC3DD">
        <w:t>a</w:t>
      </w:r>
      <w:r w:rsidRPr="00716C42" w:rsidR="515F5172">
        <w:t xml:space="preserve">ssist with oversight of </w:t>
      </w:r>
      <w:r w:rsidRPr="00716C42" w:rsidR="6A1ED0BB">
        <w:t>emerging contaminants</w:t>
      </w:r>
      <w:r w:rsidRPr="00716C42" w:rsidR="48022E8F">
        <w:t xml:space="preserve"> and lead </w:t>
      </w:r>
      <w:r w:rsidR="00400859">
        <w:t>service line</w:t>
      </w:r>
      <w:r w:rsidRPr="00716C42" w:rsidR="48022E8F">
        <w:t xml:space="preserve"> replacement SRF projects</w:t>
      </w:r>
      <w:r w:rsidRPr="00716C42" w:rsidR="6A1ED0BB">
        <w:t xml:space="preserve"> </w:t>
      </w:r>
      <w:r w:rsidRPr="00716C42" w:rsidR="12792D94">
        <w:t>fund</w:t>
      </w:r>
      <w:r w:rsidRPr="00716C42" w:rsidR="64302A97">
        <w:t>ed</w:t>
      </w:r>
      <w:r w:rsidRPr="00716C42" w:rsidR="12792D94">
        <w:t xml:space="preserve"> through IIJA</w:t>
      </w:r>
      <w:r w:rsidRPr="00716C42" w:rsidR="250CDE1E">
        <w:t>.</w:t>
      </w:r>
      <w:r w:rsidRPr="00716C42" w:rsidR="6A1ED0BB">
        <w:t xml:space="preserve"> </w:t>
      </w:r>
      <w:r w:rsidRPr="00716C42" w:rsidR="7FBE6A14">
        <w:t>Finally, several data fields will be added to better identify SRF funded projects that are helping to address and mi</w:t>
      </w:r>
      <w:r w:rsidRPr="00716C42" w:rsidR="64D97F49">
        <w:t>tigate</w:t>
      </w:r>
      <w:r w:rsidRPr="00716C42" w:rsidR="7FBE6A14">
        <w:t xml:space="preserve"> the impacts o</w:t>
      </w:r>
      <w:r w:rsidRPr="00716C42" w:rsidR="7CA5860D">
        <w:t>f climate change.</w:t>
      </w:r>
      <w:r w:rsidRPr="00716C42" w:rsidR="7FBE6A14">
        <w:t xml:space="preserve"> </w:t>
      </w:r>
    </w:p>
    <w:p w:rsidR="00B51999" w:rsidP="00B51999" w14:paraId="6F48B655" w14:textId="0FFCF6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data collected through the SRF Data System are used to generate a variety of </w:t>
      </w:r>
      <w:r w:rsidR="00113907">
        <w:t>State</w:t>
      </w:r>
      <w:r>
        <w:t xml:space="preserve"> and national reports that cover various aspects of the CWSRF or DWSRF activity. These reports contain detailed information on CWSRF and DWSRF activity as it relates to funding levels and the types of projects being funded. These reports also provide detailed information on CWSRF and DWSRF financial performance, including metrics that track the rate at which assistance agreements are made and funds are being disbursed for projects. They also track the extent to which the funds are growing </w:t>
      </w:r>
      <w:r>
        <w:t>as a result of</w:t>
      </w:r>
      <w:r>
        <w:t xml:space="preserve"> loan and investment earnings. These reports are reviewed by EPA to identify possible issues that are brought to the attention of a CWSRF or DWSRF. This is usually included as part of the annual review; however, an issue may be raised sooner if the situation warrants it. </w:t>
      </w:r>
    </w:p>
    <w:p w:rsidR="00342D65" w:rsidP="00B17699" w14:paraId="3BCC6FD9" w14:textId="7C83924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w:t>
      </w:r>
      <w:r w:rsidR="00A52B4E">
        <w:t>data</w:t>
      </w:r>
      <w:r w:rsidR="00325D77">
        <w:t xml:space="preserve"> </w:t>
      </w:r>
      <w:r w:rsidR="00A52B4E">
        <w:t xml:space="preserve">are </w:t>
      </w:r>
      <w:r w:rsidR="00325D77">
        <w:t>also crucial to EPA’s abilit</w:t>
      </w:r>
      <w:r w:rsidR="00C155CD">
        <w:t>y to respond to inquiries from C</w:t>
      </w:r>
      <w:r w:rsidR="00325D77">
        <w:t>ongress, OMB, GAO, and other stake</w:t>
      </w:r>
      <w:r w:rsidR="00A8713F">
        <w:t>holders. Data from</w:t>
      </w:r>
      <w:r w:rsidR="00C155CD">
        <w:t xml:space="preserve"> the</w:t>
      </w:r>
      <w:r w:rsidR="00A8713F">
        <w:t xml:space="preserve"> </w:t>
      </w:r>
      <w:r w:rsidR="00834E7C">
        <w:t xml:space="preserve">SRF </w:t>
      </w:r>
      <w:r w:rsidR="00A52B4E">
        <w:t>Data System</w:t>
      </w:r>
      <w:r w:rsidR="00C155CD">
        <w:t xml:space="preserve"> </w:t>
      </w:r>
      <w:r w:rsidR="00A52B4E">
        <w:t xml:space="preserve">have </w:t>
      </w:r>
      <w:r w:rsidR="00A8713F">
        <w:t>been</w:t>
      </w:r>
      <w:r w:rsidR="00C155CD">
        <w:t xml:space="preserve"> used to provide C</w:t>
      </w:r>
      <w:r w:rsidR="00325D77">
        <w:t>ongress with</w:t>
      </w:r>
      <w:r w:rsidR="00A8713F">
        <w:t xml:space="preserve"> periodic updates on the use of additional subsidization and other trends such as assistance to small communities and the degree by which the CWSRFs are complying </w:t>
      </w:r>
      <w:r w:rsidR="00C155CD">
        <w:t>with the GPR</w:t>
      </w:r>
      <w:r w:rsidR="00A8713F">
        <w:t xml:space="preserve"> requirement. For </w:t>
      </w:r>
      <w:r w:rsidR="00DD0BAB">
        <w:t xml:space="preserve">example, data </w:t>
      </w:r>
      <w:r w:rsidR="00A52B4E">
        <w:t xml:space="preserve">were </w:t>
      </w:r>
      <w:r w:rsidR="00DD0BAB">
        <w:t>crucial in</w:t>
      </w:r>
      <w:r w:rsidR="00A8713F">
        <w:t xml:space="preserve"> p</w:t>
      </w:r>
      <w:r w:rsidR="00DD0BAB">
        <w:t>reparing</w:t>
      </w:r>
      <w:r w:rsidR="003A61AD">
        <w:t xml:space="preserve"> the following report to C</w:t>
      </w:r>
      <w:r w:rsidR="00A8713F">
        <w:t xml:space="preserve">ongress: </w:t>
      </w:r>
      <w:r w:rsidRPr="00C6351C" w:rsidR="00A8713F">
        <w:rPr>
          <w:i/>
        </w:rPr>
        <w:t xml:space="preserve">Utilization of Additional Subsidization Authority in the Clean Water and Drinking Water </w:t>
      </w:r>
      <w:r w:rsidR="00113907">
        <w:rPr>
          <w:i/>
        </w:rPr>
        <w:t>State</w:t>
      </w:r>
      <w:r w:rsidRPr="00C6351C" w:rsidR="00A8713F">
        <w:rPr>
          <w:i/>
        </w:rPr>
        <w:t xml:space="preserve"> Revolving Fund Programs</w:t>
      </w:r>
      <w:r w:rsidR="00A8713F">
        <w:t>.</w:t>
      </w:r>
      <w:r>
        <w:rPr>
          <w:rStyle w:val="FootnoteReference"/>
        </w:rPr>
        <w:footnoteReference w:id="7"/>
      </w:r>
      <w:r w:rsidR="00C6351C">
        <w:t xml:space="preserve"> Information from </w:t>
      </w:r>
      <w:r w:rsidR="00C827E2">
        <w:t xml:space="preserve">SRF </w:t>
      </w:r>
      <w:r w:rsidR="00A52B4E">
        <w:t>Data System</w:t>
      </w:r>
      <w:r w:rsidR="008A7588">
        <w:t xml:space="preserve"> is also used </w:t>
      </w:r>
      <w:r w:rsidR="00C6351C">
        <w:t xml:space="preserve">in pulling together material needed for the president’s budget, including the congressional justification, program factsheets, congressional testimony, and other </w:t>
      </w:r>
      <w:r w:rsidR="008A7588">
        <w:t>budget related</w:t>
      </w:r>
      <w:r w:rsidR="00C6351C">
        <w:t xml:space="preserve"> material.</w:t>
      </w:r>
      <w:r w:rsidR="008A7588">
        <w:t xml:space="preserve"> Finally, information from </w:t>
      </w:r>
      <w:r w:rsidR="00C827E2">
        <w:t xml:space="preserve">SRF </w:t>
      </w:r>
      <w:r w:rsidR="00A52B4E">
        <w:t>Data System</w:t>
      </w:r>
      <w:r w:rsidR="008A7588">
        <w:t xml:space="preserve"> is pivotal </w:t>
      </w:r>
      <w:r w:rsidR="00273048">
        <w:t xml:space="preserve">to </w:t>
      </w:r>
      <w:r w:rsidR="008A7588">
        <w:t>EPA’s ability to produce information</w:t>
      </w:r>
      <w:r w:rsidR="006103D3">
        <w:t>al</w:t>
      </w:r>
      <w:r w:rsidR="008A7588">
        <w:t xml:space="preserve"> material that</w:t>
      </w:r>
      <w:r w:rsidR="0074295E">
        <w:t xml:space="preserve"> highlights the national trends in CWSRF </w:t>
      </w:r>
      <w:r w:rsidR="00D0403D">
        <w:t xml:space="preserve">and DWSRF </w:t>
      </w:r>
      <w:r w:rsidR="0074295E">
        <w:t>environmental and financial performance</w:t>
      </w:r>
      <w:r w:rsidR="008A7588">
        <w:t xml:space="preserve">. This material includes </w:t>
      </w:r>
      <w:r w:rsidR="00AC0B22">
        <w:t xml:space="preserve">the </w:t>
      </w:r>
      <w:r w:rsidR="008A7588">
        <w:t>environmental benef</w:t>
      </w:r>
      <w:r w:rsidR="00AC0B22">
        <w:t>its reports, national financial reports</w:t>
      </w:r>
      <w:r w:rsidR="008A7588">
        <w:t xml:space="preserve">, and </w:t>
      </w:r>
      <w:r w:rsidR="00AC0B22">
        <w:t>factsheets. These document</w:t>
      </w:r>
      <w:r w:rsidR="00736E7C">
        <w:t>s</w:t>
      </w:r>
      <w:r w:rsidR="00AC0B22">
        <w:t xml:space="preserve"> are made publicly available through EPA</w:t>
      </w:r>
      <w:r w:rsidR="00C155CD">
        <w:t>’s</w:t>
      </w:r>
      <w:r w:rsidR="00AC0B22">
        <w:t xml:space="preserve"> website at </w:t>
      </w:r>
      <w:hyperlink r:id="rId16" w:history="1">
        <w:r w:rsidRPr="003F2128" w:rsidR="0098457B">
          <w:rPr>
            <w:rStyle w:val="Hyperlink"/>
          </w:rPr>
          <w:t>http://www.epa.gov/cwsrf/clean-water-state-revolving-fund-cwsrf-results</w:t>
        </w:r>
      </w:hyperlink>
      <w:r w:rsidR="00D0403D">
        <w:t xml:space="preserve"> and </w:t>
      </w:r>
      <w:hyperlink r:id="rId17" w:history="1">
        <w:r w:rsidRPr="00D27704" w:rsidR="00D0403D">
          <w:rPr>
            <w:rStyle w:val="Hyperlink"/>
          </w:rPr>
          <w:t>https://www.epa.gov/dwsrf/reports-and-fact-sheets-about-drinking-water-state-revolving-fund-dwsrf</w:t>
        </w:r>
      </w:hyperlink>
      <w:r w:rsidR="00D0403D">
        <w:t xml:space="preserve">. </w:t>
      </w:r>
    </w:p>
    <w:p w:rsidR="00072CA3" w:rsidRPr="00072CA3" w:rsidP="006E7DCB" w14:paraId="0CDB0C11" w14:textId="6B3556A3">
      <w:pPr>
        <w:pStyle w:val="Heading4"/>
      </w:pPr>
      <w:r>
        <w:t>Publi</w:t>
      </w:r>
      <w:r w:rsidR="51F41AE6">
        <w:t xml:space="preserve">c Awareness </w:t>
      </w:r>
      <w:r w:rsidR="28251F3A">
        <w:t>Requirement</w:t>
      </w:r>
      <w:r w:rsidR="575B8142">
        <w:t>s</w:t>
      </w:r>
    </w:p>
    <w:p w:rsidR="00E50677" w:rsidRPr="00E50677" w:rsidP="00E50677" w14:paraId="24569867" w14:textId="099CE94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E50677">
        <w:t xml:space="preserve">Per </w:t>
      </w:r>
      <w:r w:rsidRPr="004D0A42">
        <w:rPr>
          <w:i/>
          <w:iCs/>
        </w:rPr>
        <w:t>EPA Grants Policy Issuance (GPI) 14-02: Enhancing Public Awareness of EPA Assistance Agree</w:t>
      </w:r>
      <w:r w:rsidRPr="004D0A42" w:rsidR="009B3C6D">
        <w:rPr>
          <w:i/>
          <w:iCs/>
        </w:rPr>
        <w:t>ments</w:t>
      </w:r>
      <w:r w:rsidR="009B3C6D">
        <w:t>, borrowers</w:t>
      </w:r>
      <w:r w:rsidR="00072CA3">
        <w:t xml:space="preserve"> receiving C</w:t>
      </w:r>
      <w:r w:rsidR="009B3C6D">
        <w:t>WSRF</w:t>
      </w:r>
      <w:r w:rsidR="00D0403D">
        <w:t xml:space="preserve"> or DWSRF</w:t>
      </w:r>
      <w:r w:rsidR="009B3C6D">
        <w:t xml:space="preserve"> funds must publicize </w:t>
      </w:r>
      <w:r w:rsidRPr="00E50677">
        <w:t>EPA’s invo</w:t>
      </w:r>
      <w:r w:rsidR="009B3C6D">
        <w:t xml:space="preserve">lvement in project funding. </w:t>
      </w:r>
      <w:r w:rsidRPr="00E50677">
        <w:t xml:space="preserve">EPA </w:t>
      </w:r>
      <w:r w:rsidR="009B3C6D">
        <w:t xml:space="preserve">has </w:t>
      </w:r>
      <w:r w:rsidR="00072CA3">
        <w:t>issued guidance to assist the CWSRFs</w:t>
      </w:r>
      <w:r w:rsidR="00D0403D">
        <w:t xml:space="preserve">, DWSRFs, </w:t>
      </w:r>
      <w:r w:rsidR="00072CA3">
        <w:t>and borrowers</w:t>
      </w:r>
      <w:r w:rsidRPr="00E50677">
        <w:t xml:space="preserve"> in meeting this requirement.</w:t>
      </w:r>
      <w:r>
        <w:rPr>
          <w:rStyle w:val="FootnoteReference"/>
          <w:szCs w:val="24"/>
        </w:rPr>
        <w:footnoteReference w:id="8"/>
      </w:r>
      <w:r w:rsidRPr="00E50677">
        <w:t xml:space="preserve"> </w:t>
      </w:r>
    </w:p>
    <w:p w:rsidR="00E50677" w:rsidRPr="00E50677" w:rsidP="00E50677" w14:paraId="33682572" w14:textId="24FD811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E50677">
        <w:t>Th</w:t>
      </w:r>
      <w:r w:rsidR="005C1D0B">
        <w:t>e requirements from this</w:t>
      </w:r>
      <w:r w:rsidRPr="00E50677">
        <w:t xml:space="preserve"> policy only appl</w:t>
      </w:r>
      <w:r w:rsidR="005C1D0B">
        <w:t>y</w:t>
      </w:r>
      <w:r w:rsidRPr="00E50677">
        <w:t xml:space="preserve"> to funding up to the amount of each year’s capitalization grant and </w:t>
      </w:r>
      <w:r w:rsidR="00113907">
        <w:t>State</w:t>
      </w:r>
      <w:r w:rsidRPr="00E50677">
        <w:t xml:space="preserve">s may choose the </w:t>
      </w:r>
      <w:r w:rsidR="006616EC">
        <w:t>borrowers</w:t>
      </w:r>
      <w:r w:rsidRPr="00E50677">
        <w:t xml:space="preserve"> t</w:t>
      </w:r>
      <w:r w:rsidR="005C1D0B">
        <w:t>hat will be subject to them</w:t>
      </w:r>
      <w:r w:rsidRPr="00E50677">
        <w:t xml:space="preserve">. It is at the discretion of the </w:t>
      </w:r>
      <w:r w:rsidR="006616EC">
        <w:t xml:space="preserve">CWSRF </w:t>
      </w:r>
      <w:r w:rsidR="00D0403D">
        <w:t xml:space="preserve">and DWSRF </w:t>
      </w:r>
      <w:r w:rsidR="00E452EB">
        <w:t>to select projects most-</w:t>
      </w:r>
      <w:r w:rsidRPr="00E50677">
        <w:t xml:space="preserve">able to efficiently and effectively comply in a way that meets the intention to enhance public awareness without significant financial hardship to the </w:t>
      </w:r>
      <w:r w:rsidR="00113907">
        <w:t>State</w:t>
      </w:r>
      <w:r w:rsidRPr="00E50677">
        <w:t xml:space="preserve"> or its borrowers.</w:t>
      </w:r>
    </w:p>
    <w:p w:rsidR="00E50677" w:rsidRPr="00E50677" w:rsidP="00E50677" w14:paraId="3D714EA5" w14:textId="41A8BA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E50677">
        <w:t>Local respondents have various options to meet this requirement and are encouraged to choose the method most cost-effective and accessible to a broad audience. Aft</w:t>
      </w:r>
      <w:r w:rsidR="00072CA3">
        <w:t>er consulting with EPA</w:t>
      </w:r>
      <w:r w:rsidR="00D0403D">
        <w:t xml:space="preserve">, </w:t>
      </w:r>
      <w:r w:rsidR="00072CA3">
        <w:t>CWSRF</w:t>
      </w:r>
      <w:r w:rsidR="00D0403D">
        <w:t xml:space="preserve">, and DWSRF </w:t>
      </w:r>
      <w:r w:rsidRPr="00E50677">
        <w:t>staff throughout the country, the following compliance options were developed:</w:t>
      </w:r>
    </w:p>
    <w:p w:rsidR="00E50677" w:rsidRPr="00C552CC" w:rsidP="006232C3" w14:paraId="3EE2EDAD" w14:textId="7D495F3E">
      <w:pPr>
        <w:pStyle w:val="ListParagraph"/>
        <w:numPr>
          <w:ilvl w:val="0"/>
          <w:numId w:val="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C552CC">
        <w:t>Standard signage</w:t>
      </w:r>
    </w:p>
    <w:p w:rsidR="00E50677" w:rsidRPr="00C552CC" w:rsidP="006232C3" w14:paraId="22C4E89B" w14:textId="0791F933">
      <w:pPr>
        <w:pStyle w:val="ListParagraph"/>
        <w:numPr>
          <w:ilvl w:val="0"/>
          <w:numId w:val="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C552CC">
        <w:t>Posters or wall signage in a public building or location</w:t>
      </w:r>
    </w:p>
    <w:p w:rsidR="00E50677" w:rsidRPr="00C552CC" w:rsidP="006232C3" w14:paraId="771C4537" w14:textId="77C1D723">
      <w:pPr>
        <w:pStyle w:val="ListParagraph"/>
        <w:numPr>
          <w:ilvl w:val="0"/>
          <w:numId w:val="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C552CC">
        <w:t>Newspaper or periodical advertisement for project construction, groundbreaking ceremony, or operation of the new or improved facility</w:t>
      </w:r>
    </w:p>
    <w:p w:rsidR="00E50677" w:rsidRPr="00C552CC" w:rsidP="006232C3" w14:paraId="1298570E" w14:textId="34B047D0">
      <w:pPr>
        <w:pStyle w:val="ListParagraph"/>
        <w:numPr>
          <w:ilvl w:val="0"/>
          <w:numId w:val="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C552CC">
        <w:t>Online signage placed on community website or social media outlet</w:t>
      </w:r>
    </w:p>
    <w:p w:rsidR="00E50677" w:rsidRPr="00E50677" w:rsidP="006232C3" w14:paraId="1BD2DA4C" w14:textId="269DA56F">
      <w:pPr>
        <w:pStyle w:val="ListParagraph"/>
        <w:numPr>
          <w:ilvl w:val="0"/>
          <w:numId w:val="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C552CC">
        <w:t>Press release</w:t>
      </w:r>
    </w:p>
    <w:p w:rsidR="00C552CC" w:rsidP="00C552CC" w14:paraId="1BB072A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E50677">
        <w:t>The following information must be included:</w:t>
      </w:r>
    </w:p>
    <w:p w:rsidR="00E50677" w:rsidRPr="00C552CC" w:rsidP="006232C3" w14:paraId="33E6F28E" w14:textId="55E05F2F">
      <w:pPr>
        <w:pStyle w:val="ListParagraph"/>
        <w:numPr>
          <w:ilvl w:val="0"/>
          <w:numId w:val="7"/>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C552CC">
        <w:t xml:space="preserve">Name of facility, </w:t>
      </w:r>
      <w:r w:rsidRPr="00C552CC">
        <w:t>project</w:t>
      </w:r>
      <w:r w:rsidRPr="00C552CC">
        <w:t xml:space="preserve"> and community</w:t>
      </w:r>
    </w:p>
    <w:p w:rsidR="00E50677" w:rsidRPr="00C552CC" w:rsidP="006232C3" w14:paraId="3DF40C7A" w14:textId="1C834464">
      <w:pPr>
        <w:pStyle w:val="ListParagraph"/>
        <w:numPr>
          <w:ilvl w:val="0"/>
          <w:numId w:val="7"/>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C552CC">
        <w:t>SRF administering the program</w:t>
      </w:r>
    </w:p>
    <w:p w:rsidR="00E50677" w:rsidRPr="00C552CC" w:rsidP="006232C3" w14:paraId="568F7B76" w14:textId="72E36BAB">
      <w:pPr>
        <w:pStyle w:val="ListParagraph"/>
        <w:numPr>
          <w:ilvl w:val="0"/>
          <w:numId w:val="7"/>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Whether p</w:t>
      </w:r>
      <w:r w:rsidRPr="00C552CC">
        <w:t>roject is wholly or partially funded with EPA funding</w:t>
      </w:r>
    </w:p>
    <w:p w:rsidR="00E50677" w:rsidRPr="00C552CC" w:rsidP="006232C3" w14:paraId="59804139" w14:textId="2B160699">
      <w:pPr>
        <w:pStyle w:val="ListParagraph"/>
        <w:numPr>
          <w:ilvl w:val="0"/>
          <w:numId w:val="7"/>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C552CC">
        <w:t>Brief description of project</w:t>
      </w:r>
    </w:p>
    <w:p w:rsidR="000417D0" w:rsidRPr="005824E3" w:rsidP="006232C3" w14:paraId="17834847" w14:textId="15F315C3">
      <w:pPr>
        <w:pStyle w:val="ListParagraph"/>
        <w:numPr>
          <w:ilvl w:val="0"/>
          <w:numId w:val="7"/>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i/>
        </w:rPr>
      </w:pPr>
      <w:r w:rsidRPr="00C552CC">
        <w:t>Brief description of the water quality benefits the project will achieve</w:t>
      </w:r>
    </w:p>
    <w:p w:rsidR="005824E3" w:rsidP="00EE53A2" w14:paraId="23A30C65" w14:textId="549C8361">
      <w:pPr>
        <w:pStyle w:val="Heading3"/>
      </w:pPr>
      <w:r>
        <w:t>ii. Respondent Activities</w:t>
      </w:r>
    </w:p>
    <w:p w:rsidR="001F5148" w:rsidP="001F5148" w14:paraId="7CF2AEF1" w14:textId="77777777">
      <w:r>
        <w:t>As a condition of receiving federal funds, State respondents must prepare and submit the following documents to apply for federal financial assistance:</w:t>
      </w:r>
    </w:p>
    <w:p w:rsidR="001F5148" w:rsidP="006232C3" w14:paraId="052E57A7" w14:textId="11776647">
      <w:pPr>
        <w:pStyle w:val="ListParagraph"/>
        <w:numPr>
          <w:ilvl w:val="0"/>
          <w:numId w:val="9"/>
        </w:numPr>
      </w:pPr>
      <w:r>
        <w:t xml:space="preserve">IUP / Capitalization Grant </w:t>
      </w:r>
      <w:r>
        <w:t>Agreement;</w:t>
      </w:r>
    </w:p>
    <w:p w:rsidR="001F5148" w:rsidP="006232C3" w14:paraId="5DE55E22" w14:textId="2EA039CA">
      <w:pPr>
        <w:pStyle w:val="ListParagraph"/>
        <w:numPr>
          <w:ilvl w:val="0"/>
          <w:numId w:val="9"/>
        </w:numPr>
      </w:pPr>
      <w:r>
        <w:t>Annual Report; and</w:t>
      </w:r>
    </w:p>
    <w:p w:rsidR="001F5148" w:rsidP="006232C3" w14:paraId="4F5D5ACE" w14:textId="46A2D3B5">
      <w:pPr>
        <w:pStyle w:val="ListParagraph"/>
        <w:numPr>
          <w:ilvl w:val="0"/>
          <w:numId w:val="9"/>
        </w:numPr>
      </w:pPr>
      <w:r>
        <w:t xml:space="preserve">Most recent </w:t>
      </w:r>
      <w:r>
        <w:t>Audit</w:t>
      </w:r>
      <w:r w:rsidR="00A3788A">
        <w:t>;</w:t>
      </w:r>
    </w:p>
    <w:p w:rsidR="008412EF" w:rsidP="006232C3" w14:paraId="5BDEF67F" w14:textId="458D2521">
      <w:pPr>
        <w:pStyle w:val="ListParagraph"/>
        <w:numPr>
          <w:ilvl w:val="0"/>
          <w:numId w:val="9"/>
        </w:numPr>
      </w:pPr>
      <w:r>
        <w:t xml:space="preserve">Submitting Financial and Project </w:t>
      </w:r>
      <w:r w:rsidR="00B84CB3">
        <w:t xml:space="preserve">Information </w:t>
      </w:r>
      <w:r w:rsidR="00DE173F">
        <w:t>into the SRF Data System</w:t>
      </w:r>
      <w:r w:rsidR="00A3788A">
        <w:t>.</w:t>
      </w:r>
    </w:p>
    <w:p w:rsidR="00EE53A2" w:rsidP="001F5148" w14:paraId="1C4A3B03" w14:textId="4B7165A8">
      <w:r>
        <w:t xml:space="preserve">Per </w:t>
      </w:r>
      <w:r w:rsidRPr="004D0A42">
        <w:rPr>
          <w:i/>
          <w:iCs/>
        </w:rPr>
        <w:t>EPA Grants Policy Issuance (GPI) 14-02: Enhancing Public Awareness of EPA Assistance Agreements</w:t>
      </w:r>
      <w:r>
        <w:t>, local respondents must publicize the EPA’s involvement in project funding only up to the funding amount in each year’s capitalization grant. States have various options to meet this requirement.</w:t>
      </w:r>
    </w:p>
    <w:p w:rsidR="00790E43" w:rsidP="00156D0C" w14:paraId="0B10F794" w14:textId="3399B75A">
      <w:pPr>
        <w:pStyle w:val="Heading1"/>
      </w:pPr>
      <w:r>
        <w:t xml:space="preserve">5. </w:t>
      </w:r>
      <w:r w:rsidR="00156D0C">
        <w:t xml:space="preserve">Agency Activities, Methods, and Information Management </w:t>
      </w:r>
    </w:p>
    <w:p w:rsidR="00156D0C" w:rsidP="00744E34" w14:paraId="112F6B80" w14:textId="65F5C8D1">
      <w:pPr>
        <w:pStyle w:val="Heading2"/>
      </w:pPr>
      <w:r>
        <w:t>A. Agency Activities</w:t>
      </w:r>
    </w:p>
    <w:p w:rsidR="007F50CD" w:rsidRPr="002B698E" w:rsidP="007F50CD" w14:paraId="54A4E02C" w14:textId="577CC7A3">
      <w:pPr>
        <w:autoSpaceDE w:val="0"/>
        <w:autoSpaceDN w:val="0"/>
        <w:adjustRightInd w:val="0"/>
      </w:pPr>
      <w:r>
        <w:t>EPA</w:t>
      </w:r>
      <w:r w:rsidRPr="002B698E">
        <w:t xml:space="preserve"> reviews the submissions from the State and analyzes the data provided on the </w:t>
      </w:r>
      <w:r w:rsidR="00587284">
        <w:t xml:space="preserve">Capitalization Grant Agreement </w:t>
      </w:r>
      <w:r w:rsidRPr="002B698E">
        <w:t xml:space="preserve">/ </w:t>
      </w:r>
      <w:r>
        <w:t>IUP</w:t>
      </w:r>
      <w:r w:rsidRPr="002B698E">
        <w:t xml:space="preserve"> to support the State’s management of the program. </w:t>
      </w:r>
      <w:r>
        <w:t>EPA</w:t>
      </w:r>
      <w:r w:rsidRPr="002B698E">
        <w:t xml:space="preserve"> also reviews </w:t>
      </w:r>
      <w:r w:rsidR="00440059">
        <w:t xml:space="preserve">Annual </w:t>
      </w:r>
      <w:r w:rsidRPr="002B698E">
        <w:t xml:space="preserve">Reports and State </w:t>
      </w:r>
      <w:r>
        <w:t>Audit</w:t>
      </w:r>
      <w:r w:rsidRPr="002B698E">
        <w:t xml:space="preserve">s from each State to ensure that the intended financial and programmatic objectives of the </w:t>
      </w:r>
      <w:r>
        <w:t xml:space="preserve">national </w:t>
      </w:r>
      <w:r w:rsidRPr="002B698E">
        <w:t>program are being met.</w:t>
      </w:r>
    </w:p>
    <w:p w:rsidR="00156D0C" w:rsidP="00744E34" w14:paraId="44538B33" w14:textId="6741EC4A">
      <w:pPr>
        <w:pStyle w:val="Heading2"/>
      </w:pPr>
      <w:r>
        <w:t>B. Collection Methodology and Management</w:t>
      </w:r>
    </w:p>
    <w:p w:rsidR="00205182" w:rsidP="40ABCB21" w14:paraId="3E2EBA0C" w14:textId="504FDE43">
      <w:r>
        <w:t>The</w:t>
      </w:r>
      <w:r w:rsidR="00AE2619">
        <w:t xml:space="preserve"> </w:t>
      </w:r>
      <w:r w:rsidR="00E551DD">
        <w:t xml:space="preserve">EPA </w:t>
      </w:r>
      <w:r w:rsidR="00AE2619">
        <w:t>SRF</w:t>
      </w:r>
      <w:r w:rsidRPr="00A52B4E" w:rsidR="00A52B4E">
        <w:t xml:space="preserve"> </w:t>
      </w:r>
      <w:r w:rsidR="00A52B4E">
        <w:t xml:space="preserve">Data System </w:t>
      </w:r>
      <w:r>
        <w:t>can be accessed onli</w:t>
      </w:r>
      <w:r w:rsidR="00355294">
        <w:t>ne</w:t>
      </w:r>
      <w:r w:rsidR="00E551DD">
        <w:t xml:space="preserve"> at: </w:t>
      </w:r>
      <w:hyperlink r:id="rId15" w:history="1">
        <w:r w:rsidRPr="0033648A" w:rsidR="00E551DD">
          <w:rPr>
            <w:rStyle w:val="Hyperlink"/>
          </w:rPr>
          <w:t>https://owsrf.epa.gov/</w:t>
        </w:r>
      </w:hyperlink>
      <w:r w:rsidR="00355294">
        <w:t xml:space="preserve">. Once </w:t>
      </w:r>
      <w:r w:rsidR="00B227E0">
        <w:t>State staff</w:t>
      </w:r>
      <w:r w:rsidR="00355294">
        <w:t xml:space="preserve"> successful</w:t>
      </w:r>
      <w:r>
        <w:t>ly</w:t>
      </w:r>
      <w:r w:rsidR="00355294">
        <w:t xml:space="preserve"> creates</w:t>
      </w:r>
      <w:r>
        <w:t xml:space="preserve"> an</w:t>
      </w:r>
      <w:r>
        <w:t xml:space="preserve"> ac</w:t>
      </w:r>
      <w:r>
        <w:t xml:space="preserve">count, </w:t>
      </w:r>
      <w:r w:rsidR="005141C2">
        <w:t>they</w:t>
      </w:r>
      <w:r>
        <w:t xml:space="preserve"> ha</w:t>
      </w:r>
      <w:r w:rsidR="005141C2">
        <w:t>ve</w:t>
      </w:r>
      <w:r>
        <w:t xml:space="preserve"> full access to </w:t>
      </w:r>
      <w:r w:rsidR="00DC567F">
        <w:t>submit and review</w:t>
      </w:r>
      <w:r w:rsidR="00256536">
        <w:t xml:space="preserve"> </w:t>
      </w:r>
      <w:r w:rsidR="00E42AED">
        <w:t xml:space="preserve">financial and project </w:t>
      </w:r>
      <w:r w:rsidR="00256536">
        <w:t xml:space="preserve">data via the online interface. </w:t>
      </w:r>
    </w:p>
    <w:p w:rsidR="00C67898" w:rsidRPr="00004733" w:rsidP="00444802" w14:paraId="7EB8CC9A" w14:textId="45768596">
      <w:pPr>
        <w:tabs>
          <w:tab w:val="left" w:pos="-1440"/>
        </w:tabs>
        <w:rPr>
          <w:b/>
          <w:i/>
        </w:rPr>
      </w:pPr>
      <w:r>
        <w:t>The CWSRF</w:t>
      </w:r>
      <w:r w:rsidR="0030218C">
        <w:t xml:space="preserve"> or DWSRF</w:t>
      </w:r>
      <w:r>
        <w:t xml:space="preserve"> capitalization grant application along with accompanying material (e.g.,</w:t>
      </w:r>
      <w:r w:rsidR="00256536">
        <w:t xml:space="preserve"> </w:t>
      </w:r>
      <w:r w:rsidR="00793FAD">
        <w:t>IUP</w:t>
      </w:r>
      <w:r w:rsidR="00256536">
        <w:t>, attorney general</w:t>
      </w:r>
      <w:r w:rsidR="00355294">
        <w:t xml:space="preserve"> c</w:t>
      </w:r>
      <w:r w:rsidR="00205182">
        <w:t>ertification) is submitted</w:t>
      </w:r>
      <w:r w:rsidR="009403DB">
        <w:t xml:space="preserve"> online through </w:t>
      </w:r>
      <w:hyperlink r:id="rId14" w:history="1">
        <w:r w:rsidRPr="001147CA" w:rsidR="00E301F9">
          <w:rPr>
            <w:rStyle w:val="Hyperlink"/>
          </w:rPr>
          <w:t>www.grants.gov</w:t>
        </w:r>
      </w:hyperlink>
      <w:r w:rsidR="00C15502">
        <w:t>.</w:t>
      </w:r>
      <w:r w:rsidR="00E301F9">
        <w:t xml:space="preserve"> </w:t>
      </w:r>
    </w:p>
    <w:p w:rsidR="000871FC" w:rsidRPr="00004733" w:rsidP="00744E34" w14:paraId="0F428CD5" w14:textId="61AC8C12">
      <w:pPr>
        <w:pStyle w:val="Heading2"/>
      </w:pPr>
      <w:r>
        <w:t xml:space="preserve">C. Small Entity Flexibility </w:t>
      </w:r>
    </w:p>
    <w:p w:rsidR="00547F01" w:rsidRPr="00333625" w:rsidP="000871FC" w14:paraId="1054D242" w14:textId="0D9FC13B">
      <w:pPr>
        <w:pStyle w:val="BodyTextIndent3"/>
        <w:ind w:left="0"/>
        <w:rPr>
          <w:i w:val="0"/>
        </w:rPr>
      </w:pPr>
      <w:r w:rsidRPr="00333625">
        <w:rPr>
          <w:i w:val="0"/>
        </w:rPr>
        <w:t>The respondents for most of</w:t>
      </w:r>
      <w:r w:rsidRPr="00333625" w:rsidR="000871FC">
        <w:rPr>
          <w:i w:val="0"/>
        </w:rPr>
        <w:t xml:space="preserve"> the information</w:t>
      </w:r>
      <w:r w:rsidRPr="00333625" w:rsidR="0071670D">
        <w:rPr>
          <w:i w:val="0"/>
        </w:rPr>
        <w:t xml:space="preserve"> collection activities are the </w:t>
      </w:r>
      <w:r w:rsidR="00113907">
        <w:rPr>
          <w:i w:val="0"/>
        </w:rPr>
        <w:t>State</w:t>
      </w:r>
      <w:r w:rsidRPr="00333625" w:rsidR="0071670D">
        <w:rPr>
          <w:i w:val="0"/>
        </w:rPr>
        <w:t xml:space="preserve"> e</w:t>
      </w:r>
      <w:r w:rsidRPr="00333625" w:rsidR="00E917CB">
        <w:rPr>
          <w:i w:val="0"/>
        </w:rPr>
        <w:t>nvironment</w:t>
      </w:r>
      <w:r w:rsidRPr="00333625" w:rsidR="0071670D">
        <w:rPr>
          <w:i w:val="0"/>
        </w:rPr>
        <w:t xml:space="preserve">al departments, </w:t>
      </w:r>
      <w:r w:rsidR="00113907">
        <w:rPr>
          <w:i w:val="0"/>
        </w:rPr>
        <w:t>State</w:t>
      </w:r>
      <w:r w:rsidR="00B4050F">
        <w:rPr>
          <w:i w:val="0"/>
        </w:rPr>
        <w:t xml:space="preserve"> department</w:t>
      </w:r>
      <w:r w:rsidR="00C72E8A">
        <w:rPr>
          <w:i w:val="0"/>
        </w:rPr>
        <w:t>s</w:t>
      </w:r>
      <w:r w:rsidR="00B4050F">
        <w:rPr>
          <w:i w:val="0"/>
        </w:rPr>
        <w:t xml:space="preserve"> of health, </w:t>
      </w:r>
      <w:r w:rsidRPr="00333625" w:rsidR="0071670D">
        <w:rPr>
          <w:i w:val="0"/>
        </w:rPr>
        <w:t>and/or finance a</w:t>
      </w:r>
      <w:r w:rsidRPr="00333625" w:rsidR="000871FC">
        <w:rPr>
          <w:i w:val="0"/>
        </w:rPr>
        <w:t>gencies responsible for operating the CWSRFs</w:t>
      </w:r>
      <w:r w:rsidR="004537DA">
        <w:rPr>
          <w:i w:val="0"/>
        </w:rPr>
        <w:t xml:space="preserve"> or DWSRFs</w:t>
      </w:r>
      <w:r w:rsidRPr="00333625" w:rsidR="000871FC">
        <w:rPr>
          <w:i w:val="0"/>
        </w:rPr>
        <w:t>. The only</w:t>
      </w:r>
      <w:r w:rsidRPr="00333625">
        <w:rPr>
          <w:i w:val="0"/>
        </w:rPr>
        <w:t xml:space="preserve"> information collection activities</w:t>
      </w:r>
      <w:r w:rsidRPr="00333625" w:rsidR="000871FC">
        <w:rPr>
          <w:i w:val="0"/>
        </w:rPr>
        <w:t xml:space="preserve"> tha</w:t>
      </w:r>
      <w:r w:rsidRPr="00333625">
        <w:rPr>
          <w:i w:val="0"/>
        </w:rPr>
        <w:t xml:space="preserve">t could </w:t>
      </w:r>
      <w:r w:rsidR="00B6378D">
        <w:rPr>
          <w:i w:val="0"/>
        </w:rPr>
        <w:t xml:space="preserve">potentially </w:t>
      </w:r>
      <w:r w:rsidRPr="00333625">
        <w:rPr>
          <w:i w:val="0"/>
        </w:rPr>
        <w:t xml:space="preserve">impact small entities </w:t>
      </w:r>
      <w:r w:rsidR="001678D9">
        <w:rPr>
          <w:i w:val="0"/>
        </w:rPr>
        <w:t>is the</w:t>
      </w:r>
      <w:r w:rsidRPr="00333625">
        <w:rPr>
          <w:i w:val="0"/>
        </w:rPr>
        <w:t xml:space="preserve"> </w:t>
      </w:r>
      <w:r w:rsidRPr="00333625" w:rsidR="00652ABB">
        <w:rPr>
          <w:i w:val="0"/>
        </w:rPr>
        <w:t>public awareness policy</w:t>
      </w:r>
      <w:r w:rsidRPr="00333625">
        <w:rPr>
          <w:i w:val="0"/>
        </w:rPr>
        <w:t xml:space="preserve">. </w:t>
      </w:r>
    </w:p>
    <w:p w:rsidR="000871FC" w:rsidP="000871FC" w14:paraId="2CB79B1C" w14:textId="73B73C4A">
      <w:pPr>
        <w:pStyle w:val="BodyTextIndent3"/>
        <w:ind w:left="0"/>
        <w:rPr>
          <w:i w:val="0"/>
        </w:rPr>
      </w:pPr>
      <w:r w:rsidRPr="00333625">
        <w:rPr>
          <w:i w:val="0"/>
        </w:rPr>
        <w:t xml:space="preserve">The public awareness </w:t>
      </w:r>
      <w:r w:rsidR="00475EB2">
        <w:rPr>
          <w:i w:val="0"/>
        </w:rPr>
        <w:t>requirement</w:t>
      </w:r>
      <w:r w:rsidR="00D774BA">
        <w:rPr>
          <w:i w:val="0"/>
        </w:rPr>
        <w:t xml:space="preserve">s </w:t>
      </w:r>
      <w:r w:rsidR="006D0C08">
        <w:rPr>
          <w:i w:val="0"/>
        </w:rPr>
        <w:t xml:space="preserve">are </w:t>
      </w:r>
      <w:r w:rsidRPr="00333625">
        <w:rPr>
          <w:i w:val="0"/>
        </w:rPr>
        <w:t>not expected to impact small entities</w:t>
      </w:r>
      <w:r w:rsidRPr="00333625">
        <w:rPr>
          <w:i w:val="0"/>
        </w:rPr>
        <w:t xml:space="preserve"> since it only applies to a p</w:t>
      </w:r>
      <w:r w:rsidRPr="00774F16">
        <w:rPr>
          <w:i w:val="0"/>
        </w:rPr>
        <w:t>ortion of the funding provided annually and a CWSRF</w:t>
      </w:r>
      <w:r w:rsidR="004537DA">
        <w:rPr>
          <w:i w:val="0"/>
        </w:rPr>
        <w:t xml:space="preserve"> or DWSRF</w:t>
      </w:r>
      <w:r w:rsidRPr="00774F16">
        <w:rPr>
          <w:i w:val="0"/>
        </w:rPr>
        <w:t xml:space="preserve"> has full flexibility in determining which borrowers must comply.</w:t>
      </w:r>
      <w:r w:rsidRPr="00774F16" w:rsidR="009E4753">
        <w:rPr>
          <w:i w:val="0"/>
        </w:rPr>
        <w:t xml:space="preserve"> Further, the five compliance options </w:t>
      </w:r>
      <w:r w:rsidR="003B3883">
        <w:rPr>
          <w:i w:val="0"/>
        </w:rPr>
        <w:t xml:space="preserve">for signage </w:t>
      </w:r>
      <w:r w:rsidRPr="00774F16" w:rsidR="009E4753">
        <w:rPr>
          <w:i w:val="0"/>
        </w:rPr>
        <w:t xml:space="preserve">allow borrowers to select the least burdensome method for complying with the public awareness </w:t>
      </w:r>
      <w:r w:rsidR="006D0C08">
        <w:rPr>
          <w:i w:val="0"/>
        </w:rPr>
        <w:t>requirements</w:t>
      </w:r>
      <w:r w:rsidRPr="00774F16" w:rsidR="009E4753">
        <w:rPr>
          <w:i w:val="0"/>
        </w:rPr>
        <w:t xml:space="preserve">. As a result, many borrowers are expected to choose the online signage option. It is estimated that only borrowers that are already required by </w:t>
      </w:r>
      <w:r w:rsidR="00113907">
        <w:rPr>
          <w:i w:val="0"/>
        </w:rPr>
        <w:t>State</w:t>
      </w:r>
      <w:r w:rsidRPr="00774F16" w:rsidR="009E4753">
        <w:rPr>
          <w:i w:val="0"/>
        </w:rPr>
        <w:t xml:space="preserve"> law to provide promotional material such as sign</w:t>
      </w:r>
      <w:r w:rsidRPr="00774F16" w:rsidR="006549F2">
        <w:rPr>
          <w:i w:val="0"/>
        </w:rPr>
        <w:t>s, posters, and</w:t>
      </w:r>
      <w:r w:rsidRPr="00774F16" w:rsidR="00B26254">
        <w:rPr>
          <w:i w:val="0"/>
        </w:rPr>
        <w:t xml:space="preserve"> newspapers advertisements</w:t>
      </w:r>
      <w:r w:rsidRPr="00774F16" w:rsidR="009E4753">
        <w:rPr>
          <w:i w:val="0"/>
        </w:rPr>
        <w:t xml:space="preserve"> will choose the other options provided under the</w:t>
      </w:r>
      <w:r w:rsidR="00D774BA">
        <w:rPr>
          <w:i w:val="0"/>
        </w:rPr>
        <w:t>se</w:t>
      </w:r>
      <w:r w:rsidRPr="00774F16" w:rsidR="009E4753">
        <w:rPr>
          <w:i w:val="0"/>
        </w:rPr>
        <w:t xml:space="preserve"> </w:t>
      </w:r>
      <w:r w:rsidR="00D774BA">
        <w:rPr>
          <w:i w:val="0"/>
        </w:rPr>
        <w:t>requirements</w:t>
      </w:r>
      <w:r w:rsidRPr="00774F16" w:rsidR="009E4753">
        <w:rPr>
          <w:i w:val="0"/>
        </w:rPr>
        <w:t>.</w:t>
      </w:r>
    </w:p>
    <w:p w:rsidR="005B3697" w:rsidP="00744E34" w14:paraId="4EF8D369" w14:textId="18F831F0">
      <w:pPr>
        <w:pStyle w:val="Heading2"/>
      </w:pPr>
      <w:r>
        <w:t>D. Collection Schedule</w:t>
      </w:r>
    </w:p>
    <w:p w:rsidR="00192AA5" w:rsidRPr="00192AA5" w:rsidP="00192AA5" w14:paraId="1C4F1898" w14:textId="6A288E66">
      <w:pPr>
        <w:pStyle w:val="BodyTextIndent3"/>
        <w:ind w:left="0"/>
        <w:rPr>
          <w:i w:val="0"/>
        </w:rPr>
      </w:pPr>
      <w:r>
        <w:rPr>
          <w:i w:val="0"/>
        </w:rPr>
        <w:t xml:space="preserve">Annual </w:t>
      </w:r>
      <w:r w:rsidR="00113907">
        <w:rPr>
          <w:i w:val="0"/>
        </w:rPr>
        <w:t>State</w:t>
      </w:r>
      <w:r>
        <w:rPr>
          <w:i w:val="0"/>
        </w:rPr>
        <w:t xml:space="preserve"> and national reports reflecting the latest data are posted in the early part of every calendar year on EPA’s website. These reports are made publicly available at </w:t>
      </w:r>
      <w:hyperlink r:id="rId16" w:history="1">
        <w:r w:rsidRPr="0039740B">
          <w:rPr>
            <w:rStyle w:val="Hyperlink"/>
            <w:i w:val="0"/>
          </w:rPr>
          <w:t>http://www.epa.gov/cwsrf/clean-water-state-revolving-fund-cwsrf-results</w:t>
        </w:r>
      </w:hyperlink>
      <w:r>
        <w:rPr>
          <w:i w:val="0"/>
        </w:rPr>
        <w:t xml:space="preserve"> and </w:t>
      </w:r>
      <w:hyperlink r:id="rId17" w:history="1">
        <w:r w:rsidRPr="00D27704">
          <w:rPr>
            <w:rStyle w:val="Hyperlink"/>
            <w:i w:val="0"/>
          </w:rPr>
          <w:t>https://www.epa.gov/dwsrf/reports-and-fact-sheets-about-drinking-water-state-revolving-fund-dwsrf</w:t>
        </w:r>
      </w:hyperlink>
      <w:r>
        <w:rPr>
          <w:i w:val="0"/>
        </w:rPr>
        <w:t xml:space="preserve">. </w:t>
      </w:r>
    </w:p>
    <w:p w:rsidR="005561B5" w:rsidP="00444802" w14:paraId="6D594037" w14:textId="1CDF0291">
      <w:pPr>
        <w:pStyle w:val="Heading1"/>
      </w:pPr>
      <w:r>
        <w:t>6. Estimating Burden and Cost</w:t>
      </w:r>
    </w:p>
    <w:p w:rsidR="00526742" w:rsidP="00526742" w14:paraId="0454B8C3" w14:textId="4CCEBA91">
      <w:r>
        <w:t>For this ICR, EPA is combining the burden estimates for the CWSRF and DWSRF.</w:t>
      </w:r>
      <w:r w:rsidR="008A37EC">
        <w:t xml:space="preserve"> </w:t>
      </w:r>
      <w:r w:rsidR="00BB4441">
        <w:t>Additionally, wi</w:t>
      </w:r>
      <w:r w:rsidR="00912EB3">
        <w:t xml:space="preserve">th </w:t>
      </w:r>
      <w:r w:rsidR="00DC130C">
        <w:t>the</w:t>
      </w:r>
      <w:r w:rsidR="00B00F83">
        <w:t xml:space="preserve"> passage of IIJA, n</w:t>
      </w:r>
      <w:r w:rsidR="00C1034B">
        <w:t xml:space="preserve">ew grants </w:t>
      </w:r>
      <w:r w:rsidR="007178D5">
        <w:t xml:space="preserve">will increase the burden on </w:t>
      </w:r>
      <w:r w:rsidR="00113907">
        <w:t>State</w:t>
      </w:r>
      <w:r w:rsidR="007178D5">
        <w:t>s</w:t>
      </w:r>
      <w:r w:rsidR="007F7EF4">
        <w:t>, and n</w:t>
      </w:r>
      <w:r w:rsidR="00621D04">
        <w:t xml:space="preserve">ew </w:t>
      </w:r>
      <w:r w:rsidR="007342DD">
        <w:t xml:space="preserve">related </w:t>
      </w:r>
      <w:r w:rsidR="00621D04">
        <w:t xml:space="preserve">data will also be collected. </w:t>
      </w:r>
      <w:r w:rsidR="007F7EF4">
        <w:t>Also</w:t>
      </w:r>
      <w:r w:rsidR="00C70915">
        <w:t xml:space="preserve">, the salary cost estimates have been slightly revised based on data provided by the </w:t>
      </w:r>
      <w:r w:rsidRPr="00C70915" w:rsidR="00C70915">
        <w:t>Bureau of Labor Statistics</w:t>
      </w:r>
      <w:r w:rsidR="00F53451">
        <w:t xml:space="preserve"> (BLS)</w:t>
      </w:r>
      <w:r w:rsidRPr="00C70915" w:rsidR="00C70915">
        <w:t>, U.S. Department of Labor</w:t>
      </w:r>
      <w:r w:rsidR="00C70915">
        <w:t>.</w:t>
      </w:r>
    </w:p>
    <w:p w:rsidR="000D4BC5" w:rsidP="000D4BC5" w14:paraId="14C6B130" w14:textId="4BF1844C">
      <w:pPr>
        <w:pStyle w:val="Heading2"/>
      </w:pPr>
      <w:r>
        <w:t xml:space="preserve">A. </w:t>
      </w:r>
      <w:r w:rsidRPr="00526742" w:rsidR="00526742">
        <w:t xml:space="preserve">Estimating </w:t>
      </w:r>
      <w:r w:rsidR="00526742">
        <w:t>Respondent Burden</w:t>
      </w:r>
    </w:p>
    <w:p w:rsidR="00914D1E" w:rsidP="000D4BC5" w14:paraId="0926C3CD" w14:textId="1C5C1CB9">
      <w:r>
        <w:t xml:space="preserve">To develop the burden estimates, EPA took past burden estimates for CWSRF and DWSRF and </w:t>
      </w:r>
      <w:r w:rsidR="00A813AB">
        <w:t xml:space="preserve">updated them using best professional judgement to account for the new IIJA grants and associated </w:t>
      </w:r>
      <w:r w:rsidR="00A60B23">
        <w:t xml:space="preserve">needs. </w:t>
      </w:r>
    </w:p>
    <w:p w:rsidR="00333625" w:rsidP="00444802" w14:paraId="60D1828A" w14:textId="0F9CFC4F">
      <w:r>
        <w:t>The burden estimate associated with</w:t>
      </w:r>
      <w:r w:rsidR="001D79B2">
        <w:t xml:space="preserve"> SRF</w:t>
      </w:r>
      <w:r w:rsidRPr="00A52B4E" w:rsidR="00A52B4E">
        <w:t xml:space="preserve"> </w:t>
      </w:r>
      <w:r w:rsidR="00A52B4E">
        <w:t>Data System</w:t>
      </w:r>
      <w:r>
        <w:t xml:space="preserve"> reporting represents the</w:t>
      </w:r>
      <w:r w:rsidRPr="00F4170E">
        <w:t xml:space="preserve"> summation of the total n</w:t>
      </w:r>
      <w:r>
        <w:t>umber of hours a CWSRF</w:t>
      </w:r>
      <w:r w:rsidR="00B44C37">
        <w:t xml:space="preserve"> and DWSRF</w:t>
      </w:r>
      <w:r>
        <w:t xml:space="preserve"> </w:t>
      </w:r>
      <w:r w:rsidRPr="00F4170E">
        <w:t>w</w:t>
      </w:r>
      <w:r>
        <w:t>ill spend entering data into these databases</w:t>
      </w:r>
      <w:r w:rsidRPr="00F4170E">
        <w:t xml:space="preserve"> over a given year</w:t>
      </w:r>
    </w:p>
    <w:p w:rsidR="00BB021B" w:rsidRPr="009D0B29" w:rsidP="00444802" w14:paraId="31598C6F" w14:textId="32EFA0C7">
      <w:r>
        <w:t>T</w:t>
      </w:r>
      <w:r w:rsidR="00B461CC">
        <w:t>he respondents</w:t>
      </w:r>
      <w:r w:rsidR="00333625">
        <w:t xml:space="preserve"> for these information collection ac</w:t>
      </w:r>
      <w:r w:rsidR="005E1204">
        <w:t>t</w:t>
      </w:r>
      <w:r w:rsidR="00333625">
        <w:t>ivities</w:t>
      </w:r>
      <w:r w:rsidR="00B461CC">
        <w:t xml:space="preserve"> </w:t>
      </w:r>
      <w:r w:rsidRPr="009D0B29" w:rsidR="00A52690">
        <w:t>are the 51</w:t>
      </w:r>
      <w:r w:rsidRPr="009D0B29" w:rsidR="003C251A">
        <w:t xml:space="preserve"> State </w:t>
      </w:r>
      <w:r w:rsidRPr="009D0B29" w:rsidR="008869DF">
        <w:t>department</w:t>
      </w:r>
      <w:r w:rsidR="008869DF">
        <w:t>s</w:t>
      </w:r>
      <w:r w:rsidRPr="009D0B29" w:rsidR="008869DF">
        <w:t xml:space="preserve"> of health, environmental department</w:t>
      </w:r>
      <w:r w:rsidR="008869DF">
        <w:t>s</w:t>
      </w:r>
      <w:r w:rsidRPr="009D0B29" w:rsidR="008869DF">
        <w:t xml:space="preserve">, and/or finance agencies </w:t>
      </w:r>
      <w:r w:rsidRPr="009D0B29" w:rsidR="003C251A">
        <w:t>responsible for operating the CWSRFs</w:t>
      </w:r>
      <w:r w:rsidR="00B44C37">
        <w:t xml:space="preserve"> and DWSRFs</w:t>
      </w:r>
      <w:r w:rsidR="00B461CC">
        <w:t xml:space="preserve">. </w:t>
      </w:r>
    </w:p>
    <w:p w:rsidR="009D0B29" w:rsidP="00444802" w14:paraId="64DA9A9A" w14:textId="72C56A40">
      <w:r>
        <w:t xml:space="preserve">For </w:t>
      </w:r>
      <w:r w:rsidR="602ACBE1">
        <w:t>the</w:t>
      </w:r>
      <w:r>
        <w:t xml:space="preserve"> SRFs, t</w:t>
      </w:r>
      <w:r w:rsidRPr="0091010E" w:rsidR="0091010E">
        <w:t>he burden associated with the Public Awarene</w:t>
      </w:r>
      <w:r w:rsidR="0091010E">
        <w:t xml:space="preserve">ss </w:t>
      </w:r>
      <w:r w:rsidR="00D774BA">
        <w:t>Requirements</w:t>
      </w:r>
      <w:r w:rsidR="0091010E">
        <w:t xml:space="preserve"> </w:t>
      </w:r>
      <w:r w:rsidR="00D774BA">
        <w:t>are</w:t>
      </w:r>
      <w:r w:rsidR="0091010E">
        <w:t xml:space="preserve"> based on EPA’s </w:t>
      </w:r>
      <w:r w:rsidR="00813482">
        <w:t>professional judgement</w:t>
      </w:r>
      <w:r w:rsidR="0091010E">
        <w:t xml:space="preserve"> that most borrowers will comply with this policy through the online </w:t>
      </w:r>
      <w:r w:rsidR="00D96F7E">
        <w:t>signage</w:t>
      </w:r>
      <w:r w:rsidR="0091010E">
        <w:t xml:space="preserve"> option</w:t>
      </w:r>
      <w:r w:rsidRPr="0091010E" w:rsidR="0091010E">
        <w:t xml:space="preserve">. It is </w:t>
      </w:r>
      <w:r w:rsidR="00D96F7E">
        <w:t xml:space="preserve">also </w:t>
      </w:r>
      <w:r w:rsidR="00813482">
        <w:t>EPA’s judgement</w:t>
      </w:r>
      <w:r w:rsidRPr="0091010E" w:rsidR="0091010E">
        <w:t xml:space="preserve"> that only borrowers that are already required by </w:t>
      </w:r>
      <w:r w:rsidR="00113907">
        <w:t>State</w:t>
      </w:r>
      <w:r w:rsidRPr="0091010E" w:rsidR="0091010E">
        <w:t xml:space="preserve"> law to provide promotional material such as signs, posters, and newspapers advertisements will choose the other options provided under the</w:t>
      </w:r>
      <w:r w:rsidR="00D774BA">
        <w:t>se</w:t>
      </w:r>
      <w:r w:rsidRPr="0091010E" w:rsidR="0091010E">
        <w:t xml:space="preserve"> </w:t>
      </w:r>
      <w:r w:rsidR="00D774BA">
        <w:t>requirements</w:t>
      </w:r>
      <w:r w:rsidRPr="0091010E" w:rsidR="0091010E">
        <w:t>.</w:t>
      </w:r>
      <w:r>
        <w:t xml:space="preserve"> </w:t>
      </w:r>
      <w:r w:rsidR="009D1226">
        <w:t>EPA</w:t>
      </w:r>
      <w:r w:rsidRPr="00333625" w:rsidR="00581FE3">
        <w:t xml:space="preserve"> </w:t>
      </w:r>
      <w:r w:rsidRPr="00333625" w:rsidR="00B461CC">
        <w:t>estimate</w:t>
      </w:r>
      <w:r w:rsidR="009D1226">
        <w:t>s</w:t>
      </w:r>
      <w:r w:rsidRPr="00333625" w:rsidR="00B461CC">
        <w:t xml:space="preserve"> that a</w:t>
      </w:r>
      <w:r w:rsidRPr="00333625" w:rsidR="00100C34">
        <w:t>pproximately</w:t>
      </w:r>
      <w:r w:rsidRPr="00333625" w:rsidR="00A87753">
        <w:t xml:space="preserve"> </w:t>
      </w:r>
      <w:r w:rsidRPr="00D75801" w:rsidR="00E90E84">
        <w:t>2,</w:t>
      </w:r>
      <w:r w:rsidRPr="00D75801" w:rsidR="002F44D7">
        <w:t>836</w:t>
      </w:r>
      <w:r w:rsidR="00E90E84">
        <w:t xml:space="preserve"> </w:t>
      </w:r>
      <w:r w:rsidRPr="00333625" w:rsidR="00A87753">
        <w:t>SRF borrowers</w:t>
      </w:r>
      <w:r w:rsidRPr="00333625" w:rsidR="006629E3">
        <w:t xml:space="preserve"> </w:t>
      </w:r>
      <w:r w:rsidRPr="00333625" w:rsidR="00A87753">
        <w:t>will be affecte</w:t>
      </w:r>
      <w:r w:rsidRPr="00333625" w:rsidR="008F607E">
        <w:t xml:space="preserve">d by the public awareness </w:t>
      </w:r>
      <w:r w:rsidR="00D774BA">
        <w:t>requirements</w:t>
      </w:r>
      <w:r w:rsidRPr="00333625" w:rsidR="006629E3">
        <w:t xml:space="preserve"> annually</w:t>
      </w:r>
      <w:r w:rsidRPr="00333625" w:rsidR="00A87753">
        <w:t>.</w:t>
      </w:r>
      <w:r w:rsidRPr="00333625" w:rsidR="00FB0876">
        <w:t xml:space="preserve"> </w:t>
      </w:r>
      <w:r w:rsidR="00A52B4E">
        <w:t>The</w:t>
      </w:r>
      <w:r w:rsidR="007373C6">
        <w:t xml:space="preserve"> SRF</w:t>
      </w:r>
      <w:r w:rsidR="00A52B4E">
        <w:t xml:space="preserve"> Data System was </w:t>
      </w:r>
      <w:r w:rsidRPr="00333625" w:rsidR="00A87753">
        <w:t>used to determ</w:t>
      </w:r>
      <w:r w:rsidRPr="00333625" w:rsidR="006629E3">
        <w:t>ine the subset of the total number of borrowers that would be</w:t>
      </w:r>
      <w:r w:rsidRPr="00333625" w:rsidR="00FB0876">
        <w:t xml:space="preserve"> subject to</w:t>
      </w:r>
      <w:r w:rsidRPr="00333625" w:rsidR="00A87753">
        <w:t xml:space="preserve"> the</w:t>
      </w:r>
      <w:r w:rsidRPr="00333625" w:rsidR="00DA694A">
        <w:t xml:space="preserve"> public awarenes</w:t>
      </w:r>
      <w:r w:rsidRPr="00333625" w:rsidR="00FB0876">
        <w:t xml:space="preserve">s </w:t>
      </w:r>
      <w:r w:rsidR="00E42AED">
        <w:t>requirements</w:t>
      </w:r>
      <w:r w:rsidRPr="00333625" w:rsidR="00E523F5">
        <w:t>.</w:t>
      </w:r>
      <w:r w:rsidRPr="00333625" w:rsidR="00FB0876">
        <w:t xml:space="preserve"> </w:t>
      </w:r>
      <w:r w:rsidRPr="00333625" w:rsidR="00E523F5">
        <w:t>This was accomplished by</w:t>
      </w:r>
      <w:r w:rsidRPr="00333625" w:rsidR="00DA694A">
        <w:t xml:space="preserve"> calculating the </w:t>
      </w:r>
      <w:r w:rsidRPr="00333625" w:rsidR="00A87753">
        <w:t xml:space="preserve">percentage of federal funding </w:t>
      </w:r>
      <w:r w:rsidRPr="00333625" w:rsidR="006629E3">
        <w:t xml:space="preserve">compared </w:t>
      </w:r>
      <w:r w:rsidRPr="00333625" w:rsidR="00A87753">
        <w:t>to</w:t>
      </w:r>
      <w:r w:rsidRPr="00333625" w:rsidR="00DA694A">
        <w:t xml:space="preserve"> total project funding and applying this percentage to the est</w:t>
      </w:r>
      <w:r w:rsidRPr="00333625" w:rsidR="006629E3">
        <w:t>imated number of borrower applications</w:t>
      </w:r>
      <w:r w:rsidRPr="00333625" w:rsidR="002575BB">
        <w:t>.</w:t>
      </w:r>
      <w:r w:rsidRPr="009D0B29" w:rsidR="002575BB">
        <w:t xml:space="preserve"> </w:t>
      </w:r>
    </w:p>
    <w:p w:rsidR="00526742" w:rsidRPr="002B698E" w:rsidP="006E7DCB" w14:paraId="1BADDEE5" w14:textId="77777777">
      <w:pPr>
        <w:pStyle w:val="Heading4"/>
      </w:pPr>
      <w:r>
        <w:t>IUP/</w:t>
      </w:r>
      <w:r w:rsidRPr="002B698E">
        <w:t>Capitalization Grant Agreement</w:t>
      </w:r>
    </w:p>
    <w:p w:rsidR="00526742" w:rsidRPr="007153D4" w:rsidP="00526742" w14:paraId="784CB4EE" w14:textId="3CB20696">
      <w:r w:rsidRPr="007153D4">
        <w:t>For CWSR</w:t>
      </w:r>
      <w:r w:rsidRPr="007153D4" w:rsidR="446986D1">
        <w:t>F</w:t>
      </w:r>
      <w:r w:rsidRPr="007153D4">
        <w:t xml:space="preserve">, </w:t>
      </w:r>
      <w:r w:rsidRPr="007153D4">
        <w:t xml:space="preserve">EPA estimates that each State will spend an average of </w:t>
      </w:r>
      <w:r w:rsidRPr="007153D4" w:rsidR="000B7296">
        <w:t>388</w:t>
      </w:r>
      <w:r w:rsidRPr="007153D4">
        <w:t xml:space="preserve"> hours per year to prepare the IUP and </w:t>
      </w:r>
      <w:r w:rsidRPr="007153D4" w:rsidR="00587284">
        <w:t xml:space="preserve">Capitalization Grant Agreement </w:t>
      </w:r>
      <w:r w:rsidRPr="007153D4">
        <w:t xml:space="preserve">for submission to EPA. </w:t>
      </w:r>
      <w:r w:rsidRPr="007153D4" w:rsidR="000B7296">
        <w:t xml:space="preserve">This is for multiple grants as now available under IIJA.  </w:t>
      </w:r>
      <w:r w:rsidRPr="007153D4" w:rsidR="000B7296">
        <w:rPr>
          <w:rFonts w:eastAsia="MS Mincho" w:cs="Arial"/>
        </w:rPr>
        <w:t>This is based on a survey of state programs.</w:t>
      </w:r>
    </w:p>
    <w:p w:rsidR="004E53FD" w:rsidP="004E53FD" w14:paraId="51D158C1" w14:textId="5A23DEBD">
      <w:r w:rsidRPr="007153D4">
        <w:t xml:space="preserve">For DWSRF, EPA estimates that each State will spend an average of </w:t>
      </w:r>
      <w:r w:rsidRPr="007153D4" w:rsidR="000B7296">
        <w:t>429</w:t>
      </w:r>
      <w:r w:rsidRPr="007153D4">
        <w:t xml:space="preserve"> hours per year to prepare the IUP and </w:t>
      </w:r>
      <w:r w:rsidRPr="007153D4" w:rsidR="00587284">
        <w:t xml:space="preserve">Capitalization Grant Agreement </w:t>
      </w:r>
      <w:r w:rsidRPr="007153D4">
        <w:t>for submission to EPA.</w:t>
      </w:r>
      <w:r w:rsidRPr="007153D4" w:rsidR="003F49D8">
        <w:t xml:space="preserve"> </w:t>
      </w:r>
      <w:r w:rsidRPr="007153D4" w:rsidR="000B7296">
        <w:t xml:space="preserve">This is for multiple grants as now available under IIJA.  </w:t>
      </w:r>
      <w:r w:rsidRPr="007153D4" w:rsidR="000B7296">
        <w:rPr>
          <w:rFonts w:eastAsia="MS Mincho" w:cs="Arial"/>
        </w:rPr>
        <w:t>This is based on a survey of state programs.</w:t>
      </w:r>
    </w:p>
    <w:p w:rsidR="00526742" w:rsidRPr="002B698E" w:rsidP="006E7DCB" w14:paraId="31C60214" w14:textId="64029314">
      <w:pPr>
        <w:pStyle w:val="Heading4"/>
      </w:pPr>
      <w:r>
        <w:t>Annual</w:t>
      </w:r>
      <w:r w:rsidRPr="002B698E">
        <w:t xml:space="preserve"> </w:t>
      </w:r>
      <w:r w:rsidRPr="002B698E">
        <w:t>Report</w:t>
      </w:r>
    </w:p>
    <w:p w:rsidR="00526742" w:rsidP="00526742" w14:paraId="144A773C" w14:textId="75189460">
      <w:r w:rsidRPr="007153D4">
        <w:t xml:space="preserve">EPA estimates that, over the </w:t>
      </w:r>
      <w:r w:rsidRPr="007153D4" w:rsidR="00AB6BC4">
        <w:t>three</w:t>
      </w:r>
      <w:r w:rsidRPr="007153D4">
        <w:t xml:space="preserve">-year period covered by this ICR, each State will spend an average of </w:t>
      </w:r>
      <w:r w:rsidRPr="007153D4" w:rsidR="000B7296">
        <w:t xml:space="preserve">149 </w:t>
      </w:r>
      <w:r w:rsidRPr="007153D4">
        <w:t xml:space="preserve">hours per year to compile each </w:t>
      </w:r>
      <w:r w:rsidRPr="007153D4" w:rsidR="000B7296">
        <w:t xml:space="preserve">CWSRF </w:t>
      </w:r>
      <w:r w:rsidRPr="007153D4" w:rsidR="3B9C0F4B">
        <w:t>Annual</w:t>
      </w:r>
      <w:r w:rsidRPr="007153D4">
        <w:t xml:space="preserve"> Report</w:t>
      </w:r>
      <w:r w:rsidRPr="007153D4" w:rsidR="002F44D7">
        <w:t xml:space="preserve"> and 164 hours per year to compile each DWSRF Annual Report</w:t>
      </w:r>
      <w:r w:rsidRPr="007153D4">
        <w:t>.</w:t>
      </w:r>
      <w:r w:rsidRPr="007153D4" w:rsidR="00E90E84">
        <w:t xml:space="preserve"> </w:t>
      </w:r>
    </w:p>
    <w:p w:rsidR="00526742" w:rsidP="006E7DCB" w14:paraId="07CCF498" w14:textId="77777777">
      <w:pPr>
        <w:pStyle w:val="Heading4"/>
      </w:pPr>
      <w:r>
        <w:t>State Audit</w:t>
      </w:r>
    </w:p>
    <w:p w:rsidR="00E90E84" w:rsidP="00E90E84" w14:paraId="4E5CE1C2" w14:textId="5C9790EB">
      <w:r w:rsidRPr="000042A1">
        <w:t xml:space="preserve">EPA estimates that, over the </w:t>
      </w:r>
      <w:r w:rsidRPr="000042A1" w:rsidR="00E37EAC">
        <w:t>three</w:t>
      </w:r>
      <w:r w:rsidRPr="000042A1">
        <w:t xml:space="preserve">-year period covered by this ICR, each State will spend an average of </w:t>
      </w:r>
      <w:r w:rsidRPr="000042A1" w:rsidR="002F44D7">
        <w:t>322</w:t>
      </w:r>
      <w:r w:rsidRPr="000042A1">
        <w:t xml:space="preserve"> hours per year to compile each </w:t>
      </w:r>
      <w:r w:rsidRPr="000042A1" w:rsidR="002F44D7">
        <w:t xml:space="preserve">CWSRF </w:t>
      </w:r>
      <w:r w:rsidRPr="000042A1">
        <w:t>State Audit</w:t>
      </w:r>
      <w:r w:rsidRPr="000042A1" w:rsidR="002F44D7">
        <w:t xml:space="preserve"> and 305 hours per year to compile each DWSRF State Audit</w:t>
      </w:r>
      <w:r w:rsidRPr="000042A1">
        <w:t>.</w:t>
      </w:r>
      <w:r>
        <w:t xml:space="preserve">  </w:t>
      </w:r>
      <w:r w:rsidRPr="002B698E">
        <w:t xml:space="preserve"> </w:t>
      </w:r>
    </w:p>
    <w:p w:rsidR="005C76BB" w:rsidP="00E31118" w14:paraId="74D2E55B" w14:textId="256C4FBB">
      <w:pPr>
        <w:pStyle w:val="Heading4"/>
      </w:pPr>
      <w:r>
        <w:t>Financial and Project Data</w:t>
      </w:r>
    </w:p>
    <w:p w:rsidR="00E90E84" w:rsidP="00E90E84" w14:paraId="0A25272F" w14:textId="58FE7779">
      <w:r w:rsidRPr="000042A1">
        <w:t xml:space="preserve">EPA estimates that, over the </w:t>
      </w:r>
      <w:r w:rsidRPr="000042A1" w:rsidR="00E37EAC">
        <w:t>three</w:t>
      </w:r>
      <w:r w:rsidRPr="000042A1">
        <w:t xml:space="preserve">-year period covered by this ICR, each State will spend an average of </w:t>
      </w:r>
      <w:r w:rsidRPr="000042A1" w:rsidR="000042A1">
        <w:t>101</w:t>
      </w:r>
      <w:r w:rsidRPr="000042A1">
        <w:t xml:space="preserve"> hours per year to compile </w:t>
      </w:r>
      <w:r w:rsidRPr="000042A1" w:rsidR="002F44D7">
        <w:t xml:space="preserve">CWSRF </w:t>
      </w:r>
      <w:r w:rsidRPr="000042A1">
        <w:t>financial and project data</w:t>
      </w:r>
      <w:r w:rsidRPr="000042A1" w:rsidR="002F44D7">
        <w:t xml:space="preserve"> and 109 hours per year to compile DWSRF financial and project data</w:t>
      </w:r>
      <w:r w:rsidRPr="000042A1">
        <w:t>.</w:t>
      </w:r>
      <w:r>
        <w:t xml:space="preserve"> </w:t>
      </w:r>
    </w:p>
    <w:p w:rsidR="006E7DCB" w:rsidP="006E7DCB" w14:paraId="5E03BCA2" w14:textId="18563129">
      <w:pPr>
        <w:pStyle w:val="Heading4"/>
      </w:pPr>
      <w:r>
        <w:t>Public Awareness Requirements</w:t>
      </w:r>
    </w:p>
    <w:p w:rsidR="00E90E84" w:rsidP="00E90E84" w14:paraId="4D4868DB" w14:textId="640E331D">
      <w:r w:rsidRPr="00E96FCA">
        <w:t xml:space="preserve">EPA estimates that, over the </w:t>
      </w:r>
      <w:r w:rsidRPr="00E96FCA" w:rsidR="00E37EAC">
        <w:t>three</w:t>
      </w:r>
      <w:r w:rsidRPr="00E96FCA">
        <w:t xml:space="preserve">-year period covered by this ICR, each responder will spend an average of </w:t>
      </w:r>
      <w:r w:rsidRPr="00E96FCA" w:rsidR="000042A1">
        <w:t>3</w:t>
      </w:r>
      <w:r w:rsidRPr="00E96FCA">
        <w:t xml:space="preserve"> hours per year on public awareness requirements. </w:t>
      </w:r>
      <w:r w:rsidRPr="00E96FCA" w:rsidR="00CF03BD">
        <w:t>For CWSRF, EPA estimates 858 responses, based on the number of respondents in recent years and proportionally increased for the new funding resulting from IIJA. Likewise, for DWSRF, EPA estimates 1</w:t>
      </w:r>
      <w:r w:rsidRPr="00E96FCA" w:rsidR="00E96FCA">
        <w:t>,</w:t>
      </w:r>
      <w:r w:rsidRPr="00E96FCA" w:rsidR="00CF03BD">
        <w:t xml:space="preserve">876 respondents. </w:t>
      </w:r>
      <w:r w:rsidRPr="00E96FCA">
        <w:t xml:space="preserve">For both the CWSRF and DWSRF </w:t>
      </w:r>
      <w:r w:rsidRPr="00E96FCA" w:rsidR="00CF03BD">
        <w:t>this is a total of</w:t>
      </w:r>
      <w:r w:rsidRPr="00E96FCA">
        <w:t xml:space="preserve"> </w:t>
      </w:r>
      <w:r w:rsidRPr="00E96FCA" w:rsidR="00DD72D4">
        <w:t>8,202</w:t>
      </w:r>
      <w:r w:rsidRPr="00E96FCA">
        <w:t xml:space="preserve"> hours per year.</w:t>
      </w:r>
      <w:r>
        <w:t xml:space="preserve">  </w:t>
      </w:r>
      <w:r w:rsidRPr="002B698E">
        <w:t xml:space="preserve"> </w:t>
      </w:r>
    </w:p>
    <w:p w:rsidR="00526742" w:rsidP="00744E34" w14:paraId="1D6FC6DB" w14:textId="129B42BD">
      <w:pPr>
        <w:pStyle w:val="Heading2"/>
      </w:pPr>
      <w:r>
        <w:t>B. Estimating Respondent Cost</w:t>
      </w:r>
    </w:p>
    <w:p w:rsidR="00E65180" w:rsidRPr="00E65180" w:rsidP="00E65180" w14:paraId="0B6A035F" w14:textId="74CE1723">
      <w:pPr>
        <w:pStyle w:val="Heading3"/>
      </w:pPr>
      <w:r>
        <w:t>i. Estimating Labor Costs</w:t>
      </w:r>
    </w:p>
    <w:p w:rsidR="00882C89" w:rsidP="00B44C37" w14:paraId="5AD25BF6" w14:textId="1C4C4A27">
      <w:bookmarkStart w:id="1" w:name="_Hlk40220680"/>
      <w:r w:rsidRPr="00C70915">
        <w:t xml:space="preserve">The estimated salary costs used for </w:t>
      </w:r>
      <w:r w:rsidRPr="00C70915" w:rsidR="002575BB">
        <w:t>SRF</w:t>
      </w:r>
      <w:r w:rsidRPr="00C70915">
        <w:t xml:space="preserve"> </w:t>
      </w:r>
      <w:r w:rsidR="00113907">
        <w:t>State</w:t>
      </w:r>
      <w:r w:rsidR="0026560E">
        <w:t xml:space="preserve"> </w:t>
      </w:r>
      <w:r w:rsidRPr="00C70915">
        <w:t>staff ($</w:t>
      </w:r>
      <w:r w:rsidR="002A65F7">
        <w:t>61.20</w:t>
      </w:r>
      <w:r w:rsidRPr="00C70915">
        <w:t xml:space="preserve"> per hour) and SRF borrowers (</w:t>
      </w:r>
      <w:r w:rsidRPr="00C70915" w:rsidR="002575BB">
        <w:t>$</w:t>
      </w:r>
      <w:r w:rsidR="002A65F7">
        <w:t>46.34</w:t>
      </w:r>
      <w:r w:rsidRPr="00C70915">
        <w:t xml:space="preserve"> per hour) </w:t>
      </w:r>
      <w:r w:rsidRPr="00C70915" w:rsidR="007D626E">
        <w:t xml:space="preserve">are based on the latest wage rate information provided by the </w:t>
      </w:r>
      <w:r w:rsidR="00F53451">
        <w:t>BLS</w:t>
      </w:r>
      <w:r w:rsidRPr="00C70915" w:rsidR="007D626E">
        <w:t xml:space="preserve">, U.S. Department of Labor. </w:t>
      </w:r>
      <w:r w:rsidR="00B0565A">
        <w:t xml:space="preserve">The </w:t>
      </w:r>
      <w:r w:rsidRPr="00C70915" w:rsidR="007D626E">
        <w:t xml:space="preserve">SRF staff </w:t>
      </w:r>
      <w:r w:rsidRPr="00C70915" w:rsidR="006F0570">
        <w:t>salary costs</w:t>
      </w:r>
      <w:r w:rsidRPr="00C70915" w:rsidR="007D626E">
        <w:t xml:space="preserve"> were derived by taking the average </w:t>
      </w:r>
      <w:r w:rsidR="00B0565A">
        <w:t xml:space="preserve">of </w:t>
      </w:r>
      <w:r w:rsidRPr="00C70915" w:rsidR="007D626E">
        <w:t xml:space="preserve">the median wage for </w:t>
      </w:r>
      <w:r w:rsidR="00113907">
        <w:t>State</w:t>
      </w:r>
      <w:r w:rsidRPr="00C70915" w:rsidR="006F0570">
        <w:t xml:space="preserve"> government e</w:t>
      </w:r>
      <w:r w:rsidRPr="00C70915" w:rsidR="007D626E">
        <w:t xml:space="preserve">nvironmental </w:t>
      </w:r>
      <w:r w:rsidRPr="00C70915" w:rsidR="006F0570">
        <w:t>e</w:t>
      </w:r>
      <w:r w:rsidRPr="00C70915" w:rsidR="007D626E">
        <w:t>ngineers ($</w:t>
      </w:r>
      <w:r w:rsidR="002A65F7">
        <w:t>38.57</w:t>
      </w:r>
      <w:r w:rsidRPr="00C70915" w:rsidR="007D626E">
        <w:t xml:space="preserve">) and </w:t>
      </w:r>
      <w:r w:rsidRPr="00C70915" w:rsidR="006F0570">
        <w:t>f</w:t>
      </w:r>
      <w:r w:rsidRPr="00C70915" w:rsidR="007D626E">
        <w:t>inancial</w:t>
      </w:r>
      <w:r w:rsidR="008F1F48">
        <w:t>/investment</w:t>
      </w:r>
      <w:r w:rsidRPr="00C70915" w:rsidR="007D626E">
        <w:t xml:space="preserve"> </w:t>
      </w:r>
      <w:r w:rsidRPr="00C70915" w:rsidR="006F0570">
        <w:t>a</w:t>
      </w:r>
      <w:r w:rsidRPr="00C70915" w:rsidR="007D626E">
        <w:t>nalyst</w:t>
      </w:r>
      <w:r w:rsidRPr="00C70915" w:rsidR="006F0570">
        <w:t>s</w:t>
      </w:r>
      <w:r w:rsidRPr="00C70915" w:rsidR="007D626E">
        <w:t xml:space="preserve"> (</w:t>
      </w:r>
      <w:r w:rsidRPr="00C70915" w:rsidR="006F0570">
        <w:t>$</w:t>
      </w:r>
      <w:r w:rsidR="002A65F7">
        <w:t>37.93</w:t>
      </w:r>
      <w:r w:rsidRPr="00C70915" w:rsidR="006F0570">
        <w:t>)</w:t>
      </w:r>
      <w:r w:rsidR="00B0565A">
        <w:t xml:space="preserve"> and then multiplying by a factor of 1.6 to capture </w:t>
      </w:r>
      <w:r w:rsidR="0066388C">
        <w:t>provided</w:t>
      </w:r>
      <w:r w:rsidR="00B0565A">
        <w:t xml:space="preserve"> benefits</w:t>
      </w:r>
      <w:r w:rsidRPr="00C70915" w:rsidR="006F0570">
        <w:t>.</w:t>
      </w:r>
      <w:r>
        <w:rPr>
          <w:rStyle w:val="FootnoteReference"/>
          <w:rFonts w:cs="Times New Roman"/>
          <w:sz w:val="24"/>
          <w:szCs w:val="24"/>
        </w:rPr>
        <w:footnoteReference w:id="9"/>
      </w:r>
      <w:r w:rsidRPr="00C70915" w:rsidR="006F0570">
        <w:t xml:space="preserve"> </w:t>
      </w:r>
      <w:r w:rsidR="00B0565A">
        <w:t xml:space="preserve">The </w:t>
      </w:r>
      <w:r w:rsidRPr="00C70915" w:rsidR="006F0570">
        <w:t xml:space="preserve">SRF borrower salary costs </w:t>
      </w:r>
      <w:r w:rsidRPr="00C70915" w:rsidR="00AA36BC">
        <w:t>are</w:t>
      </w:r>
      <w:r w:rsidRPr="00C70915" w:rsidR="006F0570">
        <w:t xml:space="preserve"> based on the median wage for </w:t>
      </w:r>
      <w:r w:rsidRPr="00C70915" w:rsidR="00E83A7E">
        <w:t xml:space="preserve">water and wastewater treatment plant and system operators </w:t>
      </w:r>
      <w:r w:rsidRPr="00C70915" w:rsidR="006F0570">
        <w:t>($</w:t>
      </w:r>
      <w:r w:rsidR="002A65F7">
        <w:t>28.96</w:t>
      </w:r>
      <w:r w:rsidRPr="00C70915" w:rsidR="006F0570">
        <w:t>).</w:t>
      </w:r>
      <w:r>
        <w:rPr>
          <w:rStyle w:val="FootnoteReference"/>
          <w:rFonts w:cs="Times New Roman"/>
          <w:sz w:val="24"/>
          <w:szCs w:val="24"/>
        </w:rPr>
        <w:footnoteReference w:id="10"/>
      </w:r>
      <w:r w:rsidRPr="00C70915" w:rsidR="006F0570">
        <w:t xml:space="preserve"> As with</w:t>
      </w:r>
      <w:r w:rsidRPr="00C70915" w:rsidR="00AA36BC">
        <w:t xml:space="preserve"> </w:t>
      </w:r>
      <w:r w:rsidR="00113907">
        <w:t>State</w:t>
      </w:r>
      <w:r w:rsidRPr="00C70915" w:rsidR="00AA36BC">
        <w:t xml:space="preserve"> salary costs, this wage rate was multiplied by a factor of 1.6 to capture </w:t>
      </w:r>
      <w:r w:rsidR="00B0565A">
        <w:t xml:space="preserve">provided </w:t>
      </w:r>
      <w:r w:rsidRPr="00C70915" w:rsidR="00AA36BC">
        <w:t>benefits.</w:t>
      </w:r>
      <w:bookmarkEnd w:id="1"/>
    </w:p>
    <w:tbl>
      <w:tblPr>
        <w:tblW w:w="10080" w:type="dxa"/>
        <w:tblInd w:w="-5" w:type="dxa"/>
        <w:tblLayout w:type="fixed"/>
        <w:tblLook w:val="04A0"/>
      </w:tblPr>
      <w:tblGrid>
        <w:gridCol w:w="2610"/>
        <w:gridCol w:w="1170"/>
        <w:gridCol w:w="1080"/>
        <w:gridCol w:w="1260"/>
        <w:gridCol w:w="1080"/>
        <w:gridCol w:w="1635"/>
        <w:gridCol w:w="1245"/>
      </w:tblGrid>
      <w:tr w14:paraId="10600ABA" w14:textId="77777777" w:rsidTr="005260AA">
        <w:tblPrEx>
          <w:tblW w:w="10080" w:type="dxa"/>
          <w:tblInd w:w="-5" w:type="dxa"/>
          <w:tblLayout w:type="fixed"/>
          <w:tblLook w:val="04A0"/>
        </w:tblPrEx>
        <w:trPr>
          <w:trHeight w:val="615"/>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995401" w:rsidP="00E430D2" w14:paraId="43DD7422" w14:textId="77777777">
            <w:pPr>
              <w:pStyle w:val="NoSpacing"/>
              <w:rPr>
                <w:b/>
                <w:bCs/>
                <w:sz w:val="20"/>
                <w:szCs w:val="20"/>
              </w:rPr>
            </w:pPr>
            <w:bookmarkStart w:id="2" w:name="_Hlk112674154"/>
            <w:r w:rsidRPr="00995401">
              <w:rPr>
                <w:b/>
                <w:color w:val="000000"/>
                <w:sz w:val="20"/>
                <w:szCs w:val="20"/>
              </w:rPr>
              <w:t xml:space="preserve">Activity </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995401" w:rsidP="00E430D2" w14:paraId="21BD1B83" w14:textId="77777777">
            <w:pPr>
              <w:pStyle w:val="NoSpacing"/>
              <w:jc w:val="center"/>
              <w:rPr>
                <w:b/>
                <w:bCs/>
                <w:color w:val="000000"/>
                <w:sz w:val="20"/>
                <w:szCs w:val="20"/>
              </w:rPr>
            </w:pPr>
            <w:r w:rsidRPr="00995401">
              <w:rPr>
                <w:b/>
                <w:color w:val="000000"/>
                <w:sz w:val="20"/>
                <w:szCs w:val="20"/>
              </w:rPr>
              <w:t>No. of Responses Per Year</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995401" w:rsidP="00E430D2" w14:paraId="6ED53E4A" w14:textId="77777777">
            <w:pPr>
              <w:pStyle w:val="NoSpacing"/>
              <w:jc w:val="center"/>
              <w:rPr>
                <w:b/>
                <w:bCs/>
                <w:color w:val="000000"/>
                <w:sz w:val="20"/>
                <w:szCs w:val="20"/>
              </w:rPr>
            </w:pPr>
            <w:r w:rsidRPr="00995401">
              <w:rPr>
                <w:b/>
                <w:color w:val="000000"/>
                <w:sz w:val="20"/>
                <w:szCs w:val="20"/>
              </w:rPr>
              <w:t xml:space="preserve"> Hour Per Response</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995401" w:rsidP="00E430D2" w14:paraId="05C38496" w14:textId="77777777">
            <w:pPr>
              <w:pStyle w:val="NoSpacing"/>
              <w:jc w:val="center"/>
              <w:rPr>
                <w:b/>
                <w:bCs/>
                <w:color w:val="000000"/>
                <w:sz w:val="20"/>
                <w:szCs w:val="20"/>
              </w:rPr>
            </w:pPr>
            <w:r w:rsidRPr="00995401">
              <w:rPr>
                <w:b/>
                <w:color w:val="000000"/>
                <w:sz w:val="20"/>
                <w:szCs w:val="20"/>
              </w:rPr>
              <w:t>Total Hours Per Year</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995401" w:rsidP="00E430D2" w14:paraId="38C230F4" w14:textId="77777777">
            <w:pPr>
              <w:pStyle w:val="NoSpacing"/>
              <w:jc w:val="center"/>
              <w:rPr>
                <w:b/>
                <w:bCs/>
                <w:color w:val="000000"/>
                <w:sz w:val="20"/>
                <w:szCs w:val="20"/>
              </w:rPr>
            </w:pPr>
            <w:r w:rsidRPr="00995401">
              <w:rPr>
                <w:b/>
                <w:color w:val="000000"/>
                <w:sz w:val="20"/>
                <w:szCs w:val="20"/>
              </w:rPr>
              <w:t xml:space="preserve"> Cost Per Hour</w:t>
            </w:r>
          </w:p>
        </w:tc>
        <w:tc>
          <w:tcPr>
            <w:tcW w:w="1635" w:type="dxa"/>
            <w:tcBorders>
              <w:top w:val="single" w:sz="4" w:space="0" w:color="000000"/>
              <w:left w:val="nil"/>
              <w:bottom w:val="single" w:sz="4" w:space="0" w:color="000000"/>
              <w:right w:val="single" w:sz="4" w:space="0" w:color="auto"/>
            </w:tcBorders>
            <w:vAlign w:val="center"/>
          </w:tcPr>
          <w:p w:rsidR="00E430D2" w:rsidRPr="00995401" w:rsidP="00E430D2" w14:paraId="1A46DB36" w14:textId="56717D38">
            <w:pPr>
              <w:pStyle w:val="NoSpacing"/>
              <w:jc w:val="center"/>
              <w:rPr>
                <w:b/>
                <w:bCs/>
                <w:color w:val="000000"/>
                <w:sz w:val="20"/>
                <w:szCs w:val="20"/>
              </w:rPr>
            </w:pPr>
            <w:r>
              <w:rPr>
                <w:b/>
                <w:bCs/>
                <w:color w:val="000000"/>
                <w:sz w:val="20"/>
                <w:szCs w:val="20"/>
              </w:rPr>
              <w:t xml:space="preserve">Annual </w:t>
            </w:r>
            <w:r w:rsidRPr="00995401">
              <w:rPr>
                <w:b/>
                <w:bCs/>
                <w:color w:val="000000"/>
                <w:sz w:val="20"/>
                <w:szCs w:val="20"/>
              </w:rPr>
              <w:t>Operations and Management Cost</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995401" w:rsidP="00E430D2" w14:paraId="0CDCDEE7" w14:textId="4F85C99D">
            <w:pPr>
              <w:pStyle w:val="NoSpacing"/>
              <w:jc w:val="center"/>
              <w:rPr>
                <w:b/>
                <w:bCs/>
                <w:color w:val="000000"/>
                <w:sz w:val="20"/>
                <w:szCs w:val="20"/>
              </w:rPr>
            </w:pPr>
            <w:r w:rsidRPr="00995401">
              <w:rPr>
                <w:b/>
                <w:color w:val="000000"/>
                <w:sz w:val="20"/>
                <w:szCs w:val="20"/>
              </w:rPr>
              <w:t>Total</w:t>
            </w:r>
            <w:r w:rsidR="002A6AEE">
              <w:rPr>
                <w:b/>
                <w:color w:val="000000"/>
                <w:sz w:val="20"/>
                <w:szCs w:val="20"/>
              </w:rPr>
              <w:t xml:space="preserve"> Annual</w:t>
            </w:r>
            <w:r w:rsidRPr="00995401">
              <w:rPr>
                <w:b/>
                <w:color w:val="000000"/>
                <w:sz w:val="20"/>
                <w:szCs w:val="20"/>
              </w:rPr>
              <w:t xml:space="preserve"> Cost</w:t>
            </w:r>
          </w:p>
        </w:tc>
      </w:tr>
      <w:tr w14:paraId="5473E9DA" w14:textId="77777777" w:rsidTr="005260AA">
        <w:tblPrEx>
          <w:tblW w:w="10080" w:type="dxa"/>
          <w:tblInd w:w="-5" w:type="dxa"/>
          <w:tblLayout w:type="fixed"/>
          <w:tblLook w:val="04A0"/>
        </w:tblPrEx>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401F21" w:rsidP="00E430D2" w14:paraId="4F884DFF" w14:textId="7D1F2522">
            <w:pPr>
              <w:pStyle w:val="NoSpacing"/>
              <w:rPr>
                <w:b/>
                <w:bCs/>
                <w:sz w:val="20"/>
                <w:szCs w:val="20"/>
              </w:rPr>
            </w:pPr>
            <w:r w:rsidRPr="00401F21">
              <w:rPr>
                <w:b/>
                <w:color w:val="000000"/>
                <w:sz w:val="20"/>
                <w:szCs w:val="20"/>
              </w:rPr>
              <w:t>CWSRF Capitalization Grant Agreement/</w:t>
            </w:r>
            <w:r w:rsidRPr="00401F21">
              <w:rPr>
                <w:b/>
                <w:bCs/>
                <w:color w:val="000000"/>
                <w:sz w:val="20"/>
                <w:szCs w:val="20"/>
              </w:rPr>
              <w:t>Intended Use Plan</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3B2513F7" w14:textId="77777777">
            <w:pPr>
              <w:pStyle w:val="NoSpacing"/>
              <w:rPr>
                <w:color w:val="000000"/>
                <w:sz w:val="20"/>
                <w:szCs w:val="20"/>
              </w:rPr>
            </w:pPr>
            <w:r w:rsidRPr="00401F21">
              <w:rPr>
                <w:color w:val="000000"/>
                <w:sz w:val="20"/>
                <w:szCs w:val="20"/>
              </w:rPr>
              <w:t>51</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187BCCE4" w14:textId="562523E6">
            <w:pPr>
              <w:pStyle w:val="NoSpacing"/>
              <w:rPr>
                <w:color w:val="000000"/>
                <w:sz w:val="20"/>
                <w:szCs w:val="20"/>
              </w:rPr>
            </w:pPr>
            <w:r w:rsidRPr="00401F21">
              <w:rPr>
                <w:color w:val="000000"/>
                <w:sz w:val="20"/>
                <w:szCs w:val="20"/>
              </w:rPr>
              <w:t>388</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606FF85B" w14:textId="4FD7E4C9">
            <w:pPr>
              <w:pStyle w:val="NoSpacing"/>
              <w:rPr>
                <w:color w:val="000000"/>
                <w:sz w:val="20"/>
                <w:szCs w:val="20"/>
              </w:rPr>
            </w:pPr>
            <w:r w:rsidRPr="00401F21">
              <w:rPr>
                <w:color w:val="000000"/>
                <w:sz w:val="20"/>
                <w:szCs w:val="20"/>
              </w:rPr>
              <w:t>19</w:t>
            </w:r>
            <w:r w:rsidRPr="00401F21" w:rsidR="003128C9">
              <w:rPr>
                <w:color w:val="000000"/>
                <w:sz w:val="20"/>
                <w:szCs w:val="20"/>
              </w:rPr>
              <w:t>,</w:t>
            </w:r>
            <w:r w:rsidRPr="00401F21">
              <w:rPr>
                <w:color w:val="000000"/>
                <w:sz w:val="20"/>
                <w:szCs w:val="20"/>
              </w:rPr>
              <w:t>788</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4297975F" w14:textId="77777777">
            <w:pPr>
              <w:pStyle w:val="NoSpacing"/>
              <w:rPr>
                <w:color w:val="000000"/>
                <w:sz w:val="20"/>
                <w:szCs w:val="20"/>
              </w:rPr>
            </w:pPr>
            <w:r w:rsidRPr="00401F21">
              <w:rPr>
                <w:color w:val="000000"/>
                <w:sz w:val="20"/>
                <w:szCs w:val="20"/>
              </w:rPr>
              <w:t xml:space="preserve">$61.20 </w:t>
            </w:r>
          </w:p>
        </w:tc>
        <w:tc>
          <w:tcPr>
            <w:tcW w:w="1635" w:type="dxa"/>
            <w:tcBorders>
              <w:top w:val="single" w:sz="4" w:space="0" w:color="000000"/>
              <w:left w:val="nil"/>
              <w:bottom w:val="single" w:sz="4" w:space="0" w:color="000000"/>
              <w:right w:val="single" w:sz="4" w:space="0" w:color="auto"/>
            </w:tcBorders>
            <w:vAlign w:val="center"/>
          </w:tcPr>
          <w:p w:rsidR="00E430D2" w:rsidRPr="00401F21" w:rsidP="00E430D2" w14:paraId="34DC415A" w14:textId="24246626">
            <w:pPr>
              <w:pStyle w:val="NoSpacing"/>
              <w:rPr>
                <w:color w:val="000000"/>
                <w:sz w:val="20"/>
                <w:szCs w:val="20"/>
              </w:rPr>
            </w:pPr>
            <w:r w:rsidRPr="00401F21">
              <w:rPr>
                <w:color w:val="000000"/>
                <w:sz w:val="20"/>
                <w:szCs w:val="20"/>
              </w:rPr>
              <w:t xml:space="preserve">$0.00 </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401F21" w:rsidP="00E430D2" w14:paraId="4C96E8F5" w14:textId="4F810CD7">
            <w:pPr>
              <w:pStyle w:val="NoSpacing"/>
              <w:rPr>
                <w:color w:val="000000"/>
                <w:sz w:val="20"/>
                <w:szCs w:val="20"/>
              </w:rPr>
            </w:pPr>
            <w:r w:rsidRPr="00401F21">
              <w:rPr>
                <w:color w:val="000000"/>
                <w:sz w:val="20"/>
                <w:szCs w:val="20"/>
              </w:rPr>
              <w:t>$1,</w:t>
            </w:r>
            <w:r w:rsidRPr="00401F21" w:rsidR="00D23DD8">
              <w:rPr>
                <w:color w:val="000000"/>
                <w:sz w:val="20"/>
                <w:szCs w:val="20"/>
              </w:rPr>
              <w:t>211,026</w:t>
            </w:r>
            <w:r w:rsidRPr="00401F21">
              <w:rPr>
                <w:color w:val="000000"/>
                <w:sz w:val="20"/>
                <w:szCs w:val="20"/>
              </w:rPr>
              <w:t xml:space="preserve"> </w:t>
            </w:r>
          </w:p>
        </w:tc>
      </w:tr>
      <w:tr w14:paraId="1D8E44E0" w14:textId="77777777" w:rsidTr="005260AA">
        <w:tblPrEx>
          <w:tblW w:w="10080" w:type="dxa"/>
          <w:tblInd w:w="-5" w:type="dxa"/>
          <w:tblLayout w:type="fixed"/>
          <w:tblLook w:val="04A0"/>
        </w:tblPrEx>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401F21" w:rsidP="00E430D2" w14:paraId="7DDF2AC8" w14:textId="4E2AB0B0">
            <w:pPr>
              <w:pStyle w:val="NoSpacing"/>
              <w:rPr>
                <w:b/>
                <w:bCs/>
                <w:sz w:val="20"/>
                <w:szCs w:val="20"/>
              </w:rPr>
            </w:pPr>
            <w:r w:rsidRPr="00401F21">
              <w:rPr>
                <w:b/>
                <w:color w:val="000000"/>
                <w:sz w:val="20"/>
                <w:szCs w:val="20"/>
              </w:rPr>
              <w:t>DWSRF Capitalization Grant Agreement/</w:t>
            </w:r>
            <w:r w:rsidRPr="00401F21">
              <w:rPr>
                <w:b/>
                <w:bCs/>
                <w:color w:val="000000"/>
                <w:sz w:val="20"/>
                <w:szCs w:val="20"/>
              </w:rPr>
              <w:t>Intended Use Plan</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75792BA5" w14:textId="77777777">
            <w:pPr>
              <w:pStyle w:val="NoSpacing"/>
              <w:rPr>
                <w:color w:val="000000"/>
                <w:sz w:val="20"/>
                <w:szCs w:val="20"/>
              </w:rPr>
            </w:pPr>
            <w:r w:rsidRPr="00401F21">
              <w:rPr>
                <w:color w:val="000000"/>
                <w:sz w:val="20"/>
                <w:szCs w:val="20"/>
              </w:rPr>
              <w:t>51</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448C55D9" w14:textId="2AFFFD87">
            <w:pPr>
              <w:pStyle w:val="NoSpacing"/>
              <w:rPr>
                <w:color w:val="000000"/>
                <w:sz w:val="20"/>
                <w:szCs w:val="20"/>
              </w:rPr>
            </w:pPr>
            <w:r w:rsidRPr="00401F21">
              <w:rPr>
                <w:color w:val="000000"/>
                <w:sz w:val="20"/>
                <w:szCs w:val="20"/>
              </w:rPr>
              <w:t>429</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56C637E1" w14:textId="48089C35">
            <w:pPr>
              <w:pStyle w:val="NoSpacing"/>
              <w:rPr>
                <w:color w:val="000000"/>
                <w:sz w:val="20"/>
                <w:szCs w:val="20"/>
              </w:rPr>
            </w:pPr>
            <w:r w:rsidRPr="00401F21">
              <w:rPr>
                <w:color w:val="000000"/>
                <w:sz w:val="20"/>
                <w:szCs w:val="20"/>
              </w:rPr>
              <w:t>2</w:t>
            </w:r>
            <w:r w:rsidRPr="00401F21" w:rsidR="002F44D7">
              <w:rPr>
                <w:color w:val="000000"/>
                <w:sz w:val="20"/>
                <w:szCs w:val="20"/>
              </w:rPr>
              <w:t>1,879</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0D5A889C" w14:textId="77777777">
            <w:pPr>
              <w:pStyle w:val="NoSpacing"/>
              <w:rPr>
                <w:color w:val="000000"/>
                <w:sz w:val="20"/>
                <w:szCs w:val="20"/>
              </w:rPr>
            </w:pPr>
            <w:r w:rsidRPr="00401F21">
              <w:rPr>
                <w:color w:val="000000"/>
                <w:sz w:val="20"/>
                <w:szCs w:val="20"/>
              </w:rPr>
              <w:t xml:space="preserve">$61.20 </w:t>
            </w:r>
          </w:p>
        </w:tc>
        <w:tc>
          <w:tcPr>
            <w:tcW w:w="1635" w:type="dxa"/>
            <w:tcBorders>
              <w:top w:val="single" w:sz="4" w:space="0" w:color="000000"/>
              <w:left w:val="nil"/>
              <w:bottom w:val="single" w:sz="4" w:space="0" w:color="000000"/>
              <w:right w:val="single" w:sz="4" w:space="0" w:color="auto"/>
            </w:tcBorders>
            <w:vAlign w:val="center"/>
          </w:tcPr>
          <w:p w:rsidR="00E430D2" w:rsidRPr="00401F21" w:rsidP="00E430D2" w14:paraId="58508D9B" w14:textId="06EA1F84">
            <w:pPr>
              <w:pStyle w:val="NoSpacing"/>
              <w:rPr>
                <w:color w:val="000000"/>
                <w:sz w:val="20"/>
                <w:szCs w:val="20"/>
              </w:rPr>
            </w:pPr>
            <w:r w:rsidRPr="00401F21">
              <w:rPr>
                <w:color w:val="000000"/>
                <w:sz w:val="20"/>
                <w:szCs w:val="20"/>
              </w:rPr>
              <w:t xml:space="preserve">$0.00 </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401F21" w:rsidP="00E430D2" w14:paraId="6537824A" w14:textId="13F5ED43">
            <w:pPr>
              <w:pStyle w:val="NoSpacing"/>
              <w:rPr>
                <w:color w:val="000000"/>
                <w:sz w:val="20"/>
                <w:szCs w:val="20"/>
              </w:rPr>
            </w:pPr>
            <w:r w:rsidRPr="00401F21">
              <w:rPr>
                <w:color w:val="000000"/>
                <w:sz w:val="20"/>
                <w:szCs w:val="20"/>
              </w:rPr>
              <w:t>$1,</w:t>
            </w:r>
            <w:r w:rsidRPr="00401F21" w:rsidR="00D23DD8">
              <w:rPr>
                <w:color w:val="000000"/>
                <w:sz w:val="20"/>
                <w:szCs w:val="20"/>
              </w:rPr>
              <w:t>338,995</w:t>
            </w:r>
            <w:r w:rsidRPr="00401F21">
              <w:rPr>
                <w:color w:val="000000"/>
                <w:sz w:val="20"/>
                <w:szCs w:val="20"/>
              </w:rPr>
              <w:t xml:space="preserve"> </w:t>
            </w:r>
          </w:p>
        </w:tc>
      </w:tr>
      <w:tr w14:paraId="04E9327D" w14:textId="77777777" w:rsidTr="005260AA">
        <w:tblPrEx>
          <w:tblW w:w="10080" w:type="dxa"/>
          <w:tblInd w:w="-5" w:type="dxa"/>
          <w:tblLayout w:type="fixed"/>
          <w:tblLook w:val="04A0"/>
        </w:tblPrEx>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401F21" w:rsidP="00E430D2" w14:paraId="75F4FFBE" w14:textId="77777777">
            <w:pPr>
              <w:pStyle w:val="NoSpacing"/>
              <w:rPr>
                <w:b/>
                <w:bCs/>
                <w:sz w:val="20"/>
                <w:szCs w:val="20"/>
              </w:rPr>
            </w:pPr>
            <w:r w:rsidRPr="00401F21">
              <w:rPr>
                <w:b/>
                <w:color w:val="000000"/>
                <w:sz w:val="20"/>
                <w:szCs w:val="20"/>
              </w:rPr>
              <w:t>CWSRF Annual Report</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530408F8" w14:textId="77777777">
            <w:pPr>
              <w:pStyle w:val="NoSpacing"/>
              <w:rPr>
                <w:color w:val="000000"/>
                <w:sz w:val="20"/>
                <w:szCs w:val="20"/>
              </w:rPr>
            </w:pPr>
            <w:r w:rsidRPr="00401F21">
              <w:rPr>
                <w:color w:val="000000"/>
                <w:sz w:val="20"/>
                <w:szCs w:val="20"/>
              </w:rPr>
              <w:t>51</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5CD8F021" w14:textId="0E60AD45">
            <w:pPr>
              <w:pStyle w:val="NoSpacing"/>
              <w:rPr>
                <w:color w:val="000000"/>
                <w:sz w:val="20"/>
                <w:szCs w:val="20"/>
              </w:rPr>
            </w:pPr>
            <w:r w:rsidRPr="00401F21">
              <w:rPr>
                <w:color w:val="000000"/>
                <w:sz w:val="20"/>
                <w:szCs w:val="20"/>
              </w:rPr>
              <w:t>149</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0980FA42" w14:textId="3C147506">
            <w:pPr>
              <w:pStyle w:val="NoSpacing"/>
              <w:rPr>
                <w:color w:val="000000"/>
                <w:sz w:val="20"/>
                <w:szCs w:val="20"/>
              </w:rPr>
            </w:pPr>
            <w:r w:rsidRPr="00401F21">
              <w:rPr>
                <w:color w:val="000000"/>
                <w:sz w:val="20"/>
                <w:szCs w:val="20"/>
              </w:rPr>
              <w:t>7,599</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340D6868" w14:textId="77777777">
            <w:pPr>
              <w:pStyle w:val="NoSpacing"/>
              <w:rPr>
                <w:color w:val="000000"/>
                <w:sz w:val="20"/>
                <w:szCs w:val="20"/>
              </w:rPr>
            </w:pPr>
            <w:r w:rsidRPr="00401F21">
              <w:rPr>
                <w:color w:val="000000"/>
                <w:sz w:val="20"/>
                <w:szCs w:val="20"/>
              </w:rPr>
              <w:t xml:space="preserve">$61.20 </w:t>
            </w:r>
          </w:p>
        </w:tc>
        <w:tc>
          <w:tcPr>
            <w:tcW w:w="1635" w:type="dxa"/>
            <w:tcBorders>
              <w:top w:val="single" w:sz="4" w:space="0" w:color="000000"/>
              <w:left w:val="nil"/>
              <w:bottom w:val="single" w:sz="4" w:space="0" w:color="000000"/>
              <w:right w:val="single" w:sz="4" w:space="0" w:color="auto"/>
            </w:tcBorders>
            <w:vAlign w:val="center"/>
          </w:tcPr>
          <w:p w:rsidR="00E430D2" w:rsidRPr="00401F21" w:rsidP="00E430D2" w14:paraId="16654C39" w14:textId="1EF4ABCC">
            <w:pPr>
              <w:pStyle w:val="NoSpacing"/>
              <w:rPr>
                <w:color w:val="000000"/>
                <w:sz w:val="20"/>
                <w:szCs w:val="20"/>
              </w:rPr>
            </w:pPr>
            <w:r w:rsidRPr="00401F21">
              <w:rPr>
                <w:color w:val="000000"/>
                <w:sz w:val="20"/>
                <w:szCs w:val="20"/>
              </w:rPr>
              <w:t xml:space="preserve">$0.00 </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401F21" w:rsidP="00E430D2" w14:paraId="016B1AA1" w14:textId="3106356E">
            <w:pPr>
              <w:pStyle w:val="NoSpacing"/>
              <w:rPr>
                <w:color w:val="000000"/>
                <w:sz w:val="20"/>
                <w:szCs w:val="20"/>
              </w:rPr>
            </w:pPr>
            <w:r w:rsidRPr="00401F21">
              <w:rPr>
                <w:color w:val="000000"/>
                <w:sz w:val="20"/>
                <w:szCs w:val="20"/>
              </w:rPr>
              <w:t>$</w:t>
            </w:r>
            <w:r w:rsidRPr="00401F21" w:rsidR="00D23DD8">
              <w:rPr>
                <w:color w:val="000000"/>
                <w:sz w:val="20"/>
                <w:szCs w:val="20"/>
              </w:rPr>
              <w:t>465,059</w:t>
            </w:r>
            <w:r w:rsidRPr="00401F21">
              <w:rPr>
                <w:color w:val="000000"/>
                <w:sz w:val="20"/>
                <w:szCs w:val="20"/>
              </w:rPr>
              <w:t xml:space="preserve"> </w:t>
            </w:r>
          </w:p>
        </w:tc>
      </w:tr>
      <w:tr w14:paraId="08729210" w14:textId="77777777" w:rsidTr="005260AA">
        <w:tblPrEx>
          <w:tblW w:w="10080" w:type="dxa"/>
          <w:tblInd w:w="-5" w:type="dxa"/>
          <w:tblLayout w:type="fixed"/>
          <w:tblLook w:val="04A0"/>
        </w:tblPrEx>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401F21" w:rsidP="00E430D2" w14:paraId="01428808" w14:textId="77777777">
            <w:pPr>
              <w:pStyle w:val="NoSpacing"/>
              <w:rPr>
                <w:b/>
                <w:bCs/>
                <w:sz w:val="20"/>
                <w:szCs w:val="20"/>
              </w:rPr>
            </w:pPr>
            <w:r w:rsidRPr="00401F21">
              <w:rPr>
                <w:b/>
                <w:color w:val="000000"/>
                <w:sz w:val="20"/>
                <w:szCs w:val="20"/>
              </w:rPr>
              <w:t>DWSRF Annual Report</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706956BB" w14:textId="77777777">
            <w:pPr>
              <w:pStyle w:val="NoSpacing"/>
              <w:rPr>
                <w:color w:val="000000"/>
                <w:sz w:val="20"/>
                <w:szCs w:val="20"/>
              </w:rPr>
            </w:pPr>
            <w:r w:rsidRPr="00401F21">
              <w:rPr>
                <w:color w:val="000000"/>
                <w:sz w:val="20"/>
                <w:szCs w:val="20"/>
              </w:rPr>
              <w:t>51</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14312ADE" w14:textId="60B370A1">
            <w:pPr>
              <w:pStyle w:val="NoSpacing"/>
              <w:rPr>
                <w:color w:val="000000"/>
                <w:sz w:val="20"/>
                <w:szCs w:val="20"/>
              </w:rPr>
            </w:pPr>
            <w:r w:rsidRPr="00401F21">
              <w:rPr>
                <w:color w:val="000000"/>
                <w:sz w:val="20"/>
                <w:szCs w:val="20"/>
              </w:rPr>
              <w:t>164</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3D4635A1" w14:textId="09CE1A8E">
            <w:pPr>
              <w:pStyle w:val="NoSpacing"/>
              <w:rPr>
                <w:color w:val="000000"/>
                <w:sz w:val="20"/>
                <w:szCs w:val="20"/>
              </w:rPr>
            </w:pPr>
            <w:r w:rsidRPr="00401F21">
              <w:rPr>
                <w:color w:val="000000"/>
                <w:sz w:val="20"/>
                <w:szCs w:val="20"/>
              </w:rPr>
              <w:t>8,364</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4984370E" w14:textId="77777777">
            <w:pPr>
              <w:pStyle w:val="NoSpacing"/>
              <w:rPr>
                <w:color w:val="000000"/>
                <w:sz w:val="20"/>
                <w:szCs w:val="20"/>
              </w:rPr>
            </w:pPr>
            <w:r w:rsidRPr="00401F21">
              <w:rPr>
                <w:color w:val="000000"/>
                <w:sz w:val="20"/>
                <w:szCs w:val="20"/>
              </w:rPr>
              <w:t xml:space="preserve">$61.20 </w:t>
            </w:r>
          </w:p>
        </w:tc>
        <w:tc>
          <w:tcPr>
            <w:tcW w:w="1635" w:type="dxa"/>
            <w:tcBorders>
              <w:top w:val="single" w:sz="4" w:space="0" w:color="000000"/>
              <w:left w:val="nil"/>
              <w:bottom w:val="single" w:sz="4" w:space="0" w:color="000000"/>
              <w:right w:val="single" w:sz="4" w:space="0" w:color="auto"/>
            </w:tcBorders>
            <w:vAlign w:val="center"/>
          </w:tcPr>
          <w:p w:rsidR="00E430D2" w:rsidRPr="00401F21" w:rsidP="00E430D2" w14:paraId="77DC4ECF" w14:textId="3D6A1882">
            <w:pPr>
              <w:pStyle w:val="NoSpacing"/>
              <w:rPr>
                <w:color w:val="000000"/>
                <w:sz w:val="20"/>
                <w:szCs w:val="20"/>
              </w:rPr>
            </w:pPr>
            <w:r w:rsidRPr="00401F21">
              <w:rPr>
                <w:color w:val="000000"/>
                <w:sz w:val="20"/>
                <w:szCs w:val="20"/>
              </w:rPr>
              <w:t xml:space="preserve">$0.00 </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401F21" w:rsidP="00E430D2" w14:paraId="7040FE8E" w14:textId="42C68FEE">
            <w:pPr>
              <w:pStyle w:val="NoSpacing"/>
              <w:rPr>
                <w:color w:val="000000"/>
                <w:sz w:val="20"/>
                <w:szCs w:val="20"/>
              </w:rPr>
            </w:pPr>
            <w:r w:rsidRPr="00401F21">
              <w:rPr>
                <w:color w:val="000000"/>
                <w:sz w:val="20"/>
                <w:szCs w:val="20"/>
              </w:rPr>
              <w:t>$</w:t>
            </w:r>
            <w:r w:rsidRPr="00401F21" w:rsidR="00D23DD8">
              <w:rPr>
                <w:color w:val="000000"/>
                <w:sz w:val="20"/>
                <w:szCs w:val="20"/>
              </w:rPr>
              <w:t>511,877</w:t>
            </w:r>
            <w:r w:rsidRPr="00401F21">
              <w:rPr>
                <w:color w:val="000000"/>
                <w:sz w:val="20"/>
                <w:szCs w:val="20"/>
              </w:rPr>
              <w:t xml:space="preserve"> </w:t>
            </w:r>
          </w:p>
        </w:tc>
      </w:tr>
      <w:tr w14:paraId="5A94A597" w14:textId="77777777" w:rsidTr="005260AA">
        <w:tblPrEx>
          <w:tblW w:w="10080" w:type="dxa"/>
          <w:tblInd w:w="-5" w:type="dxa"/>
          <w:tblLayout w:type="fixed"/>
          <w:tblLook w:val="04A0"/>
        </w:tblPrEx>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401F21" w:rsidP="00E430D2" w14:paraId="2E5A28AF" w14:textId="77777777">
            <w:pPr>
              <w:pStyle w:val="NoSpacing"/>
              <w:rPr>
                <w:b/>
                <w:bCs/>
                <w:sz w:val="20"/>
                <w:szCs w:val="20"/>
              </w:rPr>
            </w:pPr>
            <w:r w:rsidRPr="00401F21">
              <w:rPr>
                <w:b/>
                <w:color w:val="000000"/>
                <w:sz w:val="20"/>
                <w:szCs w:val="20"/>
              </w:rPr>
              <w:t>CWSRF State Audit</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53D7963E" w14:textId="77777777">
            <w:pPr>
              <w:pStyle w:val="NoSpacing"/>
              <w:rPr>
                <w:color w:val="000000"/>
                <w:sz w:val="20"/>
                <w:szCs w:val="20"/>
              </w:rPr>
            </w:pPr>
            <w:r w:rsidRPr="00401F21">
              <w:rPr>
                <w:color w:val="000000"/>
                <w:sz w:val="20"/>
                <w:szCs w:val="20"/>
              </w:rPr>
              <w:t>51</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10ABAC1B" w14:textId="74A218B2">
            <w:pPr>
              <w:pStyle w:val="NoSpacing"/>
              <w:rPr>
                <w:color w:val="000000"/>
                <w:sz w:val="20"/>
                <w:szCs w:val="20"/>
              </w:rPr>
            </w:pPr>
            <w:r w:rsidRPr="00401F21">
              <w:rPr>
                <w:color w:val="000000"/>
                <w:sz w:val="20"/>
                <w:szCs w:val="20"/>
              </w:rPr>
              <w:t>322</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24F64AA6" w14:textId="001DC4DC">
            <w:pPr>
              <w:pStyle w:val="NoSpacing"/>
              <w:rPr>
                <w:color w:val="000000"/>
                <w:sz w:val="20"/>
                <w:szCs w:val="20"/>
              </w:rPr>
            </w:pPr>
            <w:r w:rsidRPr="00401F21">
              <w:rPr>
                <w:color w:val="000000"/>
                <w:sz w:val="20"/>
                <w:szCs w:val="20"/>
              </w:rPr>
              <w:t>16,422</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179A76AF" w14:textId="77777777">
            <w:pPr>
              <w:pStyle w:val="NoSpacing"/>
              <w:rPr>
                <w:color w:val="000000"/>
                <w:sz w:val="20"/>
                <w:szCs w:val="20"/>
              </w:rPr>
            </w:pPr>
            <w:r w:rsidRPr="00401F21">
              <w:rPr>
                <w:color w:val="000000"/>
                <w:sz w:val="20"/>
                <w:szCs w:val="20"/>
              </w:rPr>
              <w:t xml:space="preserve">$61.20 </w:t>
            </w:r>
          </w:p>
        </w:tc>
        <w:tc>
          <w:tcPr>
            <w:tcW w:w="1635" w:type="dxa"/>
            <w:tcBorders>
              <w:top w:val="single" w:sz="4" w:space="0" w:color="000000"/>
              <w:left w:val="nil"/>
              <w:bottom w:val="single" w:sz="4" w:space="0" w:color="000000"/>
              <w:right w:val="single" w:sz="4" w:space="0" w:color="auto"/>
            </w:tcBorders>
            <w:vAlign w:val="center"/>
          </w:tcPr>
          <w:p w:rsidR="00E430D2" w:rsidRPr="00401F21" w:rsidP="00E430D2" w14:paraId="09BEF3A2" w14:textId="153EFCF9">
            <w:pPr>
              <w:pStyle w:val="NoSpacing"/>
              <w:rPr>
                <w:color w:val="000000"/>
                <w:sz w:val="20"/>
                <w:szCs w:val="20"/>
              </w:rPr>
            </w:pPr>
            <w:r w:rsidRPr="00401F21">
              <w:rPr>
                <w:color w:val="000000"/>
                <w:sz w:val="20"/>
                <w:szCs w:val="20"/>
              </w:rPr>
              <w:t xml:space="preserve">$3,177,300.00 </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401F21" w:rsidP="00E430D2" w14:paraId="1BC7C9C7" w14:textId="635616ED">
            <w:pPr>
              <w:pStyle w:val="NoSpacing"/>
              <w:rPr>
                <w:color w:val="000000"/>
                <w:sz w:val="20"/>
                <w:szCs w:val="20"/>
              </w:rPr>
            </w:pPr>
            <w:r w:rsidRPr="00401F21">
              <w:rPr>
                <w:color w:val="000000"/>
                <w:sz w:val="20"/>
                <w:szCs w:val="20"/>
              </w:rPr>
              <w:t>$</w:t>
            </w:r>
            <w:r w:rsidRPr="00401F21" w:rsidR="00D23DD8">
              <w:rPr>
                <w:color w:val="000000"/>
                <w:sz w:val="20"/>
                <w:szCs w:val="20"/>
              </w:rPr>
              <w:t>4,182,326</w:t>
            </w:r>
            <w:r w:rsidRPr="00401F21">
              <w:rPr>
                <w:color w:val="000000"/>
                <w:sz w:val="20"/>
                <w:szCs w:val="20"/>
              </w:rPr>
              <w:t xml:space="preserve"> </w:t>
            </w:r>
          </w:p>
        </w:tc>
      </w:tr>
      <w:tr w14:paraId="065E2D0A" w14:textId="77777777" w:rsidTr="005260AA">
        <w:tblPrEx>
          <w:tblW w:w="10080" w:type="dxa"/>
          <w:tblInd w:w="-5" w:type="dxa"/>
          <w:tblLayout w:type="fixed"/>
          <w:tblLook w:val="04A0"/>
        </w:tblPrEx>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401F21" w:rsidP="00E430D2" w14:paraId="13A18AF1" w14:textId="77777777">
            <w:pPr>
              <w:pStyle w:val="NoSpacing"/>
              <w:rPr>
                <w:b/>
                <w:bCs/>
                <w:sz w:val="20"/>
                <w:szCs w:val="20"/>
              </w:rPr>
            </w:pPr>
            <w:r w:rsidRPr="00401F21">
              <w:rPr>
                <w:b/>
                <w:color w:val="000000"/>
                <w:sz w:val="20"/>
                <w:szCs w:val="20"/>
              </w:rPr>
              <w:t>DWSRF State Audit</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375C0768" w14:textId="77777777">
            <w:pPr>
              <w:pStyle w:val="NoSpacing"/>
              <w:rPr>
                <w:color w:val="000000"/>
                <w:sz w:val="20"/>
                <w:szCs w:val="20"/>
              </w:rPr>
            </w:pPr>
            <w:r w:rsidRPr="00401F21">
              <w:rPr>
                <w:color w:val="000000"/>
                <w:sz w:val="20"/>
                <w:szCs w:val="20"/>
              </w:rPr>
              <w:t>51</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60950209" w14:textId="5A3465C4">
            <w:pPr>
              <w:pStyle w:val="NoSpacing"/>
              <w:rPr>
                <w:color w:val="000000"/>
                <w:sz w:val="20"/>
                <w:szCs w:val="20"/>
              </w:rPr>
            </w:pPr>
            <w:r w:rsidRPr="00401F21">
              <w:rPr>
                <w:color w:val="000000"/>
                <w:sz w:val="20"/>
                <w:szCs w:val="20"/>
              </w:rPr>
              <w:t>305</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4F7C0AA1" w14:textId="20E2307D">
            <w:pPr>
              <w:pStyle w:val="NoSpacing"/>
              <w:rPr>
                <w:color w:val="000000"/>
                <w:sz w:val="20"/>
                <w:szCs w:val="20"/>
              </w:rPr>
            </w:pPr>
            <w:r w:rsidRPr="00401F21">
              <w:rPr>
                <w:color w:val="000000"/>
                <w:sz w:val="20"/>
                <w:szCs w:val="20"/>
              </w:rPr>
              <w:t>15,555</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64B0A9E3" w14:textId="77777777">
            <w:pPr>
              <w:pStyle w:val="NoSpacing"/>
              <w:rPr>
                <w:color w:val="000000"/>
                <w:sz w:val="20"/>
                <w:szCs w:val="20"/>
              </w:rPr>
            </w:pPr>
            <w:r w:rsidRPr="00401F21">
              <w:rPr>
                <w:color w:val="000000"/>
                <w:sz w:val="20"/>
                <w:szCs w:val="20"/>
              </w:rPr>
              <w:t xml:space="preserve">$61.20 </w:t>
            </w:r>
          </w:p>
        </w:tc>
        <w:tc>
          <w:tcPr>
            <w:tcW w:w="1635" w:type="dxa"/>
            <w:tcBorders>
              <w:top w:val="single" w:sz="4" w:space="0" w:color="000000"/>
              <w:left w:val="nil"/>
              <w:bottom w:val="single" w:sz="4" w:space="0" w:color="000000"/>
              <w:right w:val="single" w:sz="4" w:space="0" w:color="auto"/>
            </w:tcBorders>
            <w:vAlign w:val="center"/>
          </w:tcPr>
          <w:p w:rsidR="00E430D2" w:rsidRPr="00401F21" w:rsidP="00E430D2" w14:paraId="0A58FFB3" w14:textId="77271D11">
            <w:pPr>
              <w:pStyle w:val="NoSpacing"/>
              <w:rPr>
                <w:color w:val="000000"/>
                <w:sz w:val="20"/>
                <w:szCs w:val="20"/>
              </w:rPr>
            </w:pPr>
            <w:r w:rsidRPr="00401F21">
              <w:rPr>
                <w:color w:val="000000"/>
                <w:sz w:val="20"/>
                <w:szCs w:val="20"/>
              </w:rPr>
              <w:t xml:space="preserve">$3,177,300.00 </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401F21" w:rsidP="00E430D2" w14:paraId="68725CC7" w14:textId="3CF1DD11">
            <w:pPr>
              <w:pStyle w:val="NoSpacing"/>
              <w:rPr>
                <w:color w:val="000000"/>
                <w:sz w:val="20"/>
                <w:szCs w:val="20"/>
              </w:rPr>
            </w:pPr>
            <w:r w:rsidRPr="00401F21">
              <w:rPr>
                <w:color w:val="000000"/>
                <w:sz w:val="20"/>
                <w:szCs w:val="20"/>
              </w:rPr>
              <w:t>$</w:t>
            </w:r>
            <w:r w:rsidRPr="00401F21" w:rsidR="00D23DD8">
              <w:rPr>
                <w:color w:val="000000"/>
                <w:sz w:val="20"/>
                <w:szCs w:val="20"/>
              </w:rPr>
              <w:t>4,129,266</w:t>
            </w:r>
            <w:r w:rsidRPr="00401F21">
              <w:rPr>
                <w:color w:val="000000"/>
                <w:sz w:val="20"/>
                <w:szCs w:val="20"/>
              </w:rPr>
              <w:t xml:space="preserve"> </w:t>
            </w:r>
          </w:p>
        </w:tc>
      </w:tr>
      <w:tr w14:paraId="3A301BBE" w14:textId="77777777" w:rsidTr="005260AA">
        <w:tblPrEx>
          <w:tblW w:w="10080" w:type="dxa"/>
          <w:tblInd w:w="-5" w:type="dxa"/>
          <w:tblLayout w:type="fixed"/>
          <w:tblLook w:val="04A0"/>
        </w:tblPrEx>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401F21" w:rsidP="00E430D2" w14:paraId="65F29DF1" w14:textId="77777777">
            <w:pPr>
              <w:pStyle w:val="NoSpacing"/>
              <w:rPr>
                <w:b/>
                <w:bCs/>
                <w:sz w:val="20"/>
                <w:szCs w:val="20"/>
              </w:rPr>
            </w:pPr>
            <w:r w:rsidRPr="00401F21">
              <w:rPr>
                <w:b/>
                <w:color w:val="000000"/>
                <w:sz w:val="20"/>
                <w:szCs w:val="20"/>
              </w:rPr>
              <w:t>CWSRF Financial and Project Data</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27A20111" w14:textId="77777777">
            <w:pPr>
              <w:pStyle w:val="NoSpacing"/>
              <w:rPr>
                <w:color w:val="000000"/>
                <w:sz w:val="20"/>
                <w:szCs w:val="20"/>
              </w:rPr>
            </w:pPr>
            <w:r w:rsidRPr="00401F21">
              <w:rPr>
                <w:color w:val="000000"/>
                <w:sz w:val="20"/>
                <w:szCs w:val="20"/>
              </w:rPr>
              <w:t>51</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0D0FACD7" w14:textId="6070757D">
            <w:pPr>
              <w:pStyle w:val="NoSpacing"/>
              <w:rPr>
                <w:color w:val="000000"/>
                <w:sz w:val="20"/>
                <w:szCs w:val="20"/>
              </w:rPr>
            </w:pPr>
            <w:r w:rsidRPr="00401F21">
              <w:rPr>
                <w:color w:val="000000"/>
                <w:sz w:val="20"/>
                <w:szCs w:val="20"/>
              </w:rPr>
              <w:t>101</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2D666868" w14:textId="15A48503">
            <w:pPr>
              <w:pStyle w:val="NoSpacing"/>
              <w:rPr>
                <w:color w:val="000000"/>
                <w:sz w:val="20"/>
                <w:szCs w:val="20"/>
              </w:rPr>
            </w:pPr>
            <w:r w:rsidRPr="00401F21">
              <w:rPr>
                <w:color w:val="000000"/>
                <w:sz w:val="20"/>
                <w:szCs w:val="20"/>
              </w:rPr>
              <w:t>5,151</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4CC02F61" w14:textId="77777777">
            <w:pPr>
              <w:pStyle w:val="NoSpacing"/>
              <w:rPr>
                <w:color w:val="000000"/>
                <w:sz w:val="20"/>
                <w:szCs w:val="20"/>
              </w:rPr>
            </w:pPr>
            <w:r w:rsidRPr="00401F21">
              <w:rPr>
                <w:color w:val="000000"/>
                <w:sz w:val="20"/>
                <w:szCs w:val="20"/>
              </w:rPr>
              <w:t xml:space="preserve">$61.20 </w:t>
            </w:r>
          </w:p>
        </w:tc>
        <w:tc>
          <w:tcPr>
            <w:tcW w:w="1635" w:type="dxa"/>
            <w:tcBorders>
              <w:top w:val="single" w:sz="4" w:space="0" w:color="000000"/>
              <w:left w:val="nil"/>
              <w:bottom w:val="single" w:sz="4" w:space="0" w:color="000000"/>
              <w:right w:val="single" w:sz="4" w:space="0" w:color="auto"/>
            </w:tcBorders>
            <w:vAlign w:val="center"/>
          </w:tcPr>
          <w:p w:rsidR="00E430D2" w:rsidRPr="00401F21" w:rsidP="00E430D2" w14:paraId="41D7FA20" w14:textId="4A96643C">
            <w:pPr>
              <w:pStyle w:val="NoSpacing"/>
              <w:rPr>
                <w:color w:val="000000"/>
                <w:sz w:val="20"/>
                <w:szCs w:val="20"/>
              </w:rPr>
            </w:pPr>
            <w:r w:rsidRPr="00401F21">
              <w:rPr>
                <w:color w:val="000000"/>
                <w:sz w:val="20"/>
                <w:szCs w:val="20"/>
              </w:rPr>
              <w:t xml:space="preserve">$0.00 </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401F21" w:rsidP="00E430D2" w14:paraId="03E66EAA" w14:textId="1A313301">
            <w:pPr>
              <w:pStyle w:val="NoSpacing"/>
              <w:rPr>
                <w:color w:val="000000"/>
                <w:sz w:val="20"/>
                <w:szCs w:val="20"/>
              </w:rPr>
            </w:pPr>
            <w:r w:rsidRPr="00401F21">
              <w:rPr>
                <w:color w:val="000000"/>
                <w:sz w:val="20"/>
                <w:szCs w:val="20"/>
              </w:rPr>
              <w:t>$315,241</w:t>
            </w:r>
          </w:p>
        </w:tc>
      </w:tr>
      <w:tr w14:paraId="62A30917" w14:textId="77777777" w:rsidTr="005260AA">
        <w:tblPrEx>
          <w:tblW w:w="10080" w:type="dxa"/>
          <w:tblInd w:w="-5" w:type="dxa"/>
          <w:tblLayout w:type="fixed"/>
          <w:tblLook w:val="04A0"/>
        </w:tblPrEx>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401F21" w:rsidP="00E430D2" w14:paraId="62A51366" w14:textId="77777777">
            <w:pPr>
              <w:pStyle w:val="NoSpacing"/>
              <w:rPr>
                <w:b/>
                <w:bCs/>
                <w:sz w:val="20"/>
                <w:szCs w:val="20"/>
              </w:rPr>
            </w:pPr>
            <w:r w:rsidRPr="00401F21">
              <w:rPr>
                <w:b/>
                <w:color w:val="000000"/>
                <w:sz w:val="20"/>
                <w:szCs w:val="20"/>
              </w:rPr>
              <w:t>DWSRF Financial and Project Data</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71E625EA" w14:textId="77777777">
            <w:pPr>
              <w:pStyle w:val="NoSpacing"/>
              <w:rPr>
                <w:color w:val="000000"/>
                <w:sz w:val="20"/>
                <w:szCs w:val="20"/>
              </w:rPr>
            </w:pPr>
            <w:r w:rsidRPr="00401F21">
              <w:rPr>
                <w:color w:val="000000"/>
                <w:sz w:val="20"/>
                <w:szCs w:val="20"/>
              </w:rPr>
              <w:t>51</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2549777F" w14:textId="620EA5F7">
            <w:pPr>
              <w:pStyle w:val="NoSpacing"/>
              <w:rPr>
                <w:color w:val="000000"/>
                <w:sz w:val="20"/>
                <w:szCs w:val="20"/>
              </w:rPr>
            </w:pPr>
            <w:r w:rsidRPr="00401F21">
              <w:rPr>
                <w:color w:val="000000"/>
                <w:sz w:val="20"/>
                <w:szCs w:val="20"/>
              </w:rPr>
              <w:t>1</w:t>
            </w:r>
            <w:r w:rsidRPr="00401F21" w:rsidR="00D23DD8">
              <w:rPr>
                <w:color w:val="000000"/>
                <w:sz w:val="20"/>
                <w:szCs w:val="20"/>
              </w:rPr>
              <w:t>09</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0E7A15C9" w14:textId="19858502">
            <w:pPr>
              <w:pStyle w:val="NoSpacing"/>
              <w:rPr>
                <w:color w:val="000000"/>
                <w:sz w:val="20"/>
                <w:szCs w:val="20"/>
              </w:rPr>
            </w:pPr>
            <w:r w:rsidRPr="00401F21">
              <w:rPr>
                <w:color w:val="000000"/>
                <w:sz w:val="20"/>
                <w:szCs w:val="20"/>
              </w:rPr>
              <w:t>5,559</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7CA280E7" w14:textId="77777777">
            <w:pPr>
              <w:pStyle w:val="NoSpacing"/>
              <w:rPr>
                <w:color w:val="000000"/>
                <w:sz w:val="20"/>
                <w:szCs w:val="20"/>
              </w:rPr>
            </w:pPr>
            <w:r w:rsidRPr="00401F21">
              <w:rPr>
                <w:color w:val="000000"/>
                <w:sz w:val="20"/>
                <w:szCs w:val="20"/>
              </w:rPr>
              <w:t xml:space="preserve">$61.20 </w:t>
            </w:r>
          </w:p>
        </w:tc>
        <w:tc>
          <w:tcPr>
            <w:tcW w:w="1635" w:type="dxa"/>
            <w:tcBorders>
              <w:top w:val="single" w:sz="4" w:space="0" w:color="000000"/>
              <w:left w:val="nil"/>
              <w:bottom w:val="single" w:sz="4" w:space="0" w:color="000000"/>
              <w:right w:val="single" w:sz="4" w:space="0" w:color="auto"/>
            </w:tcBorders>
            <w:vAlign w:val="center"/>
          </w:tcPr>
          <w:p w:rsidR="00E430D2" w:rsidRPr="00401F21" w:rsidP="00E430D2" w14:paraId="42B2EC98" w14:textId="22563843">
            <w:pPr>
              <w:pStyle w:val="NoSpacing"/>
              <w:rPr>
                <w:color w:val="000000"/>
                <w:sz w:val="20"/>
                <w:szCs w:val="20"/>
              </w:rPr>
            </w:pPr>
            <w:r w:rsidRPr="00401F21">
              <w:rPr>
                <w:color w:val="000000"/>
                <w:sz w:val="20"/>
                <w:szCs w:val="20"/>
              </w:rPr>
              <w:t xml:space="preserve">$0.00 </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401F21" w:rsidP="00E430D2" w14:paraId="013829AA" w14:textId="411F8FA0">
            <w:pPr>
              <w:pStyle w:val="NoSpacing"/>
              <w:rPr>
                <w:color w:val="000000"/>
                <w:sz w:val="20"/>
                <w:szCs w:val="20"/>
              </w:rPr>
            </w:pPr>
            <w:r w:rsidRPr="00401F21">
              <w:rPr>
                <w:color w:val="000000"/>
                <w:sz w:val="20"/>
                <w:szCs w:val="20"/>
              </w:rPr>
              <w:t>$</w:t>
            </w:r>
            <w:r w:rsidRPr="00401F21" w:rsidR="00D23DD8">
              <w:rPr>
                <w:color w:val="000000"/>
                <w:sz w:val="20"/>
                <w:szCs w:val="20"/>
              </w:rPr>
              <w:t>340,211</w:t>
            </w:r>
          </w:p>
        </w:tc>
      </w:tr>
      <w:tr w14:paraId="5A23982D" w14:textId="77777777" w:rsidTr="005260AA">
        <w:tblPrEx>
          <w:tblW w:w="10080" w:type="dxa"/>
          <w:tblInd w:w="-5" w:type="dxa"/>
          <w:tblLayout w:type="fixed"/>
          <w:tblLook w:val="04A0"/>
        </w:tblPrEx>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401F21" w:rsidP="00E430D2" w14:paraId="23A0A940" w14:textId="77777777">
            <w:pPr>
              <w:pStyle w:val="NoSpacing"/>
              <w:rPr>
                <w:b/>
                <w:bCs/>
                <w:sz w:val="20"/>
                <w:szCs w:val="20"/>
              </w:rPr>
            </w:pPr>
            <w:r w:rsidRPr="00401F21">
              <w:rPr>
                <w:b/>
                <w:color w:val="000000"/>
                <w:sz w:val="20"/>
                <w:szCs w:val="20"/>
              </w:rPr>
              <w:t>CWSRF Public Awareness Requirements</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6589BEC9" w14:textId="77777777">
            <w:pPr>
              <w:pStyle w:val="NoSpacing"/>
              <w:rPr>
                <w:color w:val="000000"/>
                <w:sz w:val="20"/>
                <w:szCs w:val="20"/>
              </w:rPr>
            </w:pPr>
            <w:r w:rsidRPr="00401F21">
              <w:rPr>
                <w:color w:val="000000"/>
                <w:sz w:val="20"/>
                <w:szCs w:val="20"/>
              </w:rPr>
              <w:t>858</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70690A3F" w14:textId="488F3BAE">
            <w:pPr>
              <w:pStyle w:val="NoSpacing"/>
              <w:rPr>
                <w:color w:val="000000"/>
                <w:sz w:val="20"/>
                <w:szCs w:val="20"/>
              </w:rPr>
            </w:pPr>
            <w:r w:rsidRPr="00401F21">
              <w:rPr>
                <w:color w:val="000000"/>
                <w:sz w:val="20"/>
                <w:szCs w:val="20"/>
              </w:rPr>
              <w:t>3</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08BAFBF1" w14:textId="746329F8">
            <w:pPr>
              <w:pStyle w:val="NoSpacing"/>
              <w:rPr>
                <w:color w:val="000000"/>
                <w:sz w:val="20"/>
                <w:szCs w:val="20"/>
              </w:rPr>
            </w:pPr>
            <w:r w:rsidRPr="00401F21">
              <w:rPr>
                <w:color w:val="000000"/>
                <w:sz w:val="20"/>
                <w:szCs w:val="20"/>
              </w:rPr>
              <w:t>2,574</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085FF325" w14:textId="77777777">
            <w:pPr>
              <w:pStyle w:val="NoSpacing"/>
              <w:rPr>
                <w:color w:val="000000"/>
                <w:sz w:val="20"/>
                <w:szCs w:val="20"/>
              </w:rPr>
            </w:pPr>
            <w:r w:rsidRPr="00401F21">
              <w:rPr>
                <w:color w:val="000000"/>
                <w:sz w:val="20"/>
                <w:szCs w:val="20"/>
              </w:rPr>
              <w:t xml:space="preserve">$46.34 </w:t>
            </w:r>
          </w:p>
        </w:tc>
        <w:tc>
          <w:tcPr>
            <w:tcW w:w="1635" w:type="dxa"/>
            <w:tcBorders>
              <w:top w:val="single" w:sz="4" w:space="0" w:color="000000"/>
              <w:left w:val="nil"/>
              <w:bottom w:val="single" w:sz="4" w:space="0" w:color="000000"/>
              <w:right w:val="single" w:sz="4" w:space="0" w:color="auto"/>
            </w:tcBorders>
            <w:vAlign w:val="center"/>
          </w:tcPr>
          <w:p w:rsidR="00E430D2" w:rsidRPr="00401F21" w:rsidP="00E430D2" w14:paraId="4DA738B5" w14:textId="5AEAB591">
            <w:pPr>
              <w:pStyle w:val="NoSpacing"/>
              <w:rPr>
                <w:color w:val="000000"/>
                <w:sz w:val="20"/>
                <w:szCs w:val="20"/>
              </w:rPr>
            </w:pPr>
            <w:r w:rsidRPr="00401F21">
              <w:rPr>
                <w:color w:val="000000"/>
                <w:sz w:val="20"/>
                <w:szCs w:val="20"/>
              </w:rPr>
              <w:t xml:space="preserve">$0.00 </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401F21" w:rsidP="00E430D2" w14:paraId="63FF7475" w14:textId="17884987">
            <w:pPr>
              <w:pStyle w:val="NoSpacing"/>
              <w:rPr>
                <w:color w:val="000000"/>
                <w:sz w:val="20"/>
                <w:szCs w:val="20"/>
              </w:rPr>
            </w:pPr>
            <w:r w:rsidRPr="00401F21">
              <w:rPr>
                <w:color w:val="000000"/>
                <w:sz w:val="20"/>
                <w:szCs w:val="20"/>
              </w:rPr>
              <w:t>$</w:t>
            </w:r>
            <w:r w:rsidRPr="00401F21" w:rsidR="00567D7A">
              <w:rPr>
                <w:color w:val="000000"/>
                <w:sz w:val="20"/>
                <w:szCs w:val="20"/>
              </w:rPr>
              <w:t>119,279</w:t>
            </w:r>
            <w:r w:rsidRPr="00401F21">
              <w:rPr>
                <w:color w:val="000000"/>
                <w:sz w:val="20"/>
                <w:szCs w:val="20"/>
              </w:rPr>
              <w:t xml:space="preserve"> </w:t>
            </w:r>
          </w:p>
        </w:tc>
      </w:tr>
      <w:tr w14:paraId="41E21E53" w14:textId="77777777" w:rsidTr="005260AA">
        <w:tblPrEx>
          <w:tblW w:w="10080" w:type="dxa"/>
          <w:tblInd w:w="-5" w:type="dxa"/>
          <w:tblLayout w:type="fixed"/>
          <w:tblLook w:val="04A0"/>
        </w:tblPrEx>
        <w:trPr>
          <w:trHeight w:val="432"/>
        </w:trPr>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0D2" w:rsidRPr="00401F21" w:rsidP="00E430D2" w14:paraId="2291D0DD" w14:textId="77777777">
            <w:pPr>
              <w:pStyle w:val="NoSpacing"/>
              <w:rPr>
                <w:b/>
                <w:bCs/>
                <w:sz w:val="20"/>
                <w:szCs w:val="20"/>
              </w:rPr>
            </w:pPr>
            <w:r w:rsidRPr="00401F21">
              <w:rPr>
                <w:b/>
                <w:color w:val="000000"/>
                <w:sz w:val="20"/>
                <w:szCs w:val="20"/>
              </w:rPr>
              <w:t>DWSRF Public Awareness Requirements</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4F0671F2" w14:textId="77777777">
            <w:pPr>
              <w:pStyle w:val="NoSpacing"/>
              <w:rPr>
                <w:color w:val="000000"/>
                <w:sz w:val="20"/>
                <w:szCs w:val="20"/>
              </w:rPr>
            </w:pPr>
            <w:r w:rsidRPr="00401F21">
              <w:rPr>
                <w:color w:val="000000"/>
                <w:sz w:val="20"/>
                <w:szCs w:val="20"/>
              </w:rPr>
              <w:t>1876</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454E2B94" w14:textId="7D031DC5">
            <w:pPr>
              <w:pStyle w:val="NoSpacing"/>
              <w:rPr>
                <w:color w:val="000000"/>
                <w:sz w:val="20"/>
                <w:szCs w:val="20"/>
              </w:rPr>
            </w:pPr>
            <w:r w:rsidRPr="00401F21">
              <w:rPr>
                <w:color w:val="000000"/>
                <w:sz w:val="20"/>
                <w:szCs w:val="20"/>
              </w:rPr>
              <w:t>3</w:t>
            </w:r>
          </w:p>
        </w:tc>
        <w:tc>
          <w:tcPr>
            <w:tcW w:w="126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62EA9E5C" w14:textId="48D43D6D">
            <w:pPr>
              <w:pStyle w:val="NoSpacing"/>
              <w:rPr>
                <w:color w:val="000000"/>
                <w:sz w:val="20"/>
                <w:szCs w:val="20"/>
              </w:rPr>
            </w:pPr>
            <w:r w:rsidRPr="00401F21">
              <w:rPr>
                <w:color w:val="000000"/>
                <w:sz w:val="20"/>
                <w:szCs w:val="20"/>
              </w:rPr>
              <w:t>5,628</w:t>
            </w:r>
          </w:p>
        </w:tc>
        <w:tc>
          <w:tcPr>
            <w:tcW w:w="1080" w:type="dxa"/>
            <w:tcBorders>
              <w:top w:val="single" w:sz="4" w:space="0" w:color="000000"/>
              <w:left w:val="nil"/>
              <w:bottom w:val="single" w:sz="4" w:space="0" w:color="000000"/>
              <w:right w:val="single" w:sz="4" w:space="0" w:color="000000"/>
            </w:tcBorders>
            <w:shd w:val="clear" w:color="auto" w:fill="auto"/>
            <w:vAlign w:val="center"/>
          </w:tcPr>
          <w:p w:rsidR="00E430D2" w:rsidRPr="00401F21" w:rsidP="00E430D2" w14:paraId="5DCA2834" w14:textId="77777777">
            <w:pPr>
              <w:pStyle w:val="NoSpacing"/>
              <w:rPr>
                <w:color w:val="000000"/>
                <w:sz w:val="20"/>
                <w:szCs w:val="20"/>
              </w:rPr>
            </w:pPr>
            <w:r w:rsidRPr="00401F21">
              <w:rPr>
                <w:color w:val="000000"/>
                <w:sz w:val="20"/>
                <w:szCs w:val="20"/>
              </w:rPr>
              <w:t xml:space="preserve">$46.34 </w:t>
            </w:r>
          </w:p>
        </w:tc>
        <w:tc>
          <w:tcPr>
            <w:tcW w:w="1635" w:type="dxa"/>
            <w:tcBorders>
              <w:top w:val="single" w:sz="4" w:space="0" w:color="000000"/>
              <w:left w:val="nil"/>
              <w:bottom w:val="single" w:sz="4" w:space="0" w:color="000000"/>
              <w:right w:val="single" w:sz="4" w:space="0" w:color="auto"/>
            </w:tcBorders>
            <w:vAlign w:val="center"/>
          </w:tcPr>
          <w:p w:rsidR="00E430D2" w:rsidRPr="00401F21" w:rsidP="00E430D2" w14:paraId="35338C53" w14:textId="5F2C1866">
            <w:pPr>
              <w:pStyle w:val="NoSpacing"/>
              <w:rPr>
                <w:color w:val="000000"/>
                <w:sz w:val="20"/>
                <w:szCs w:val="20"/>
              </w:rPr>
            </w:pPr>
            <w:r w:rsidRPr="00401F21">
              <w:rPr>
                <w:color w:val="000000"/>
                <w:sz w:val="20"/>
                <w:szCs w:val="20"/>
              </w:rPr>
              <w:t xml:space="preserve">$0.00 </w:t>
            </w:r>
          </w:p>
        </w:tc>
        <w:tc>
          <w:tcPr>
            <w:tcW w:w="1245" w:type="dxa"/>
            <w:tcBorders>
              <w:top w:val="single" w:sz="4" w:space="0" w:color="000000"/>
              <w:left w:val="single" w:sz="4" w:space="0" w:color="auto"/>
              <w:bottom w:val="single" w:sz="4" w:space="0" w:color="000000"/>
              <w:right w:val="single" w:sz="4" w:space="0" w:color="000000"/>
            </w:tcBorders>
            <w:shd w:val="clear" w:color="auto" w:fill="auto"/>
            <w:vAlign w:val="center"/>
          </w:tcPr>
          <w:p w:rsidR="00E430D2" w:rsidRPr="00401F21" w:rsidP="00E430D2" w14:paraId="2F754B9A" w14:textId="05EAAC36">
            <w:pPr>
              <w:pStyle w:val="NoSpacing"/>
              <w:rPr>
                <w:color w:val="000000"/>
                <w:sz w:val="20"/>
                <w:szCs w:val="20"/>
              </w:rPr>
            </w:pPr>
            <w:r w:rsidRPr="00401F21">
              <w:rPr>
                <w:color w:val="000000"/>
                <w:sz w:val="20"/>
                <w:szCs w:val="20"/>
              </w:rPr>
              <w:t>$</w:t>
            </w:r>
            <w:r w:rsidRPr="00401F21" w:rsidR="00567D7A">
              <w:rPr>
                <w:color w:val="000000"/>
                <w:sz w:val="20"/>
                <w:szCs w:val="20"/>
              </w:rPr>
              <w:t>260,802</w:t>
            </w:r>
            <w:r w:rsidRPr="00401F21">
              <w:rPr>
                <w:color w:val="000000"/>
                <w:sz w:val="20"/>
                <w:szCs w:val="20"/>
              </w:rPr>
              <w:t xml:space="preserve"> </w:t>
            </w:r>
          </w:p>
        </w:tc>
      </w:tr>
      <w:bookmarkEnd w:id="2"/>
    </w:tbl>
    <w:p w:rsidR="00882C89" w:rsidRPr="00401F21" w:rsidP="005F0653" w14:paraId="51C424FB" w14:textId="77777777">
      <w:pPr>
        <w:pStyle w:val="NoSpacing"/>
        <w:rPr>
          <w:rFonts w:cs="Times New Roman"/>
          <w:sz w:val="24"/>
          <w:szCs w:val="24"/>
        </w:rPr>
      </w:pPr>
    </w:p>
    <w:tbl>
      <w:tblPr>
        <w:tblW w:w="5904" w:type="dxa"/>
        <w:tblLook w:val="04A0"/>
      </w:tblPr>
      <w:tblGrid>
        <w:gridCol w:w="3744"/>
        <w:gridCol w:w="2160"/>
      </w:tblGrid>
      <w:tr w14:paraId="32AA7759" w14:textId="77777777" w:rsidTr="6A40D0E2">
        <w:tblPrEx>
          <w:tblW w:w="5904" w:type="dxa"/>
          <w:tblLook w:val="04A0"/>
        </w:tblPrEx>
        <w:trPr>
          <w:trHeight w:val="288"/>
        </w:trPr>
        <w:tc>
          <w:tcPr>
            <w:tcW w:w="3744" w:type="dxa"/>
            <w:tcBorders>
              <w:top w:val="nil"/>
              <w:left w:val="nil"/>
              <w:bottom w:val="nil"/>
              <w:right w:val="nil"/>
            </w:tcBorders>
            <w:shd w:val="clear" w:color="auto" w:fill="auto"/>
            <w:vAlign w:val="center"/>
            <w:hideMark/>
          </w:tcPr>
          <w:p w:rsidR="00E430D2" w:rsidRPr="00401F21" w:rsidP="00E430D2" w14:paraId="1429643D" w14:textId="08788D12">
            <w:pPr>
              <w:spacing w:after="0" w:line="240" w:lineRule="auto"/>
              <w:rPr>
                <w:rFonts w:eastAsia="Times New Roman" w:cs="Times New Roman"/>
                <w:color w:val="000000"/>
                <w:sz w:val="20"/>
                <w:szCs w:val="20"/>
              </w:rPr>
            </w:pPr>
            <w:r w:rsidRPr="00401F21">
              <w:rPr>
                <w:color w:val="000000" w:themeColor="text1"/>
                <w:sz w:val="20"/>
                <w:szCs w:val="20"/>
              </w:rPr>
              <w:t>Average Annual # of Hours:</w:t>
            </w:r>
          </w:p>
        </w:tc>
        <w:tc>
          <w:tcPr>
            <w:tcW w:w="2160" w:type="dxa"/>
            <w:tcBorders>
              <w:top w:val="nil"/>
              <w:left w:val="nil"/>
              <w:bottom w:val="nil"/>
              <w:right w:val="nil"/>
            </w:tcBorders>
            <w:shd w:val="clear" w:color="auto" w:fill="auto"/>
            <w:noWrap/>
            <w:vAlign w:val="center"/>
            <w:hideMark/>
          </w:tcPr>
          <w:p w:rsidR="00E430D2" w:rsidRPr="00401F21" w:rsidP="00E430D2" w14:paraId="12F741F8" w14:textId="63F69A2E">
            <w:pPr>
              <w:spacing w:after="0" w:line="240" w:lineRule="auto"/>
              <w:jc w:val="center"/>
              <w:rPr>
                <w:rFonts w:eastAsia="Times New Roman" w:cs="Times New Roman"/>
                <w:color w:val="000000"/>
                <w:sz w:val="20"/>
                <w:szCs w:val="20"/>
              </w:rPr>
            </w:pPr>
            <w:r w:rsidRPr="00401F21">
              <w:rPr>
                <w:color w:val="000000"/>
                <w:sz w:val="20"/>
                <w:szCs w:val="20"/>
              </w:rPr>
              <w:t>108,519</w:t>
            </w:r>
          </w:p>
        </w:tc>
      </w:tr>
      <w:tr w14:paraId="53C837BB" w14:textId="77777777" w:rsidTr="6A40D0E2">
        <w:tblPrEx>
          <w:tblW w:w="5904" w:type="dxa"/>
          <w:tblLook w:val="04A0"/>
        </w:tblPrEx>
        <w:trPr>
          <w:trHeight w:val="288"/>
        </w:trPr>
        <w:tc>
          <w:tcPr>
            <w:tcW w:w="3744" w:type="dxa"/>
            <w:tcBorders>
              <w:top w:val="nil"/>
              <w:left w:val="nil"/>
              <w:bottom w:val="nil"/>
              <w:right w:val="nil"/>
            </w:tcBorders>
            <w:shd w:val="clear" w:color="auto" w:fill="auto"/>
            <w:vAlign w:val="center"/>
            <w:hideMark/>
          </w:tcPr>
          <w:p w:rsidR="00E430D2" w:rsidRPr="00401F21" w:rsidP="00E430D2" w14:paraId="50B16A45" w14:textId="74BE69C6">
            <w:pPr>
              <w:spacing w:after="0" w:line="240" w:lineRule="auto"/>
              <w:rPr>
                <w:rFonts w:eastAsia="Times New Roman" w:cs="Times New Roman"/>
                <w:color w:val="000000"/>
                <w:sz w:val="20"/>
                <w:szCs w:val="20"/>
              </w:rPr>
            </w:pPr>
            <w:r w:rsidRPr="00401F21">
              <w:rPr>
                <w:color w:val="000000"/>
                <w:sz w:val="20"/>
                <w:szCs w:val="20"/>
              </w:rPr>
              <w:t>Average Annual Cost:</w:t>
            </w:r>
          </w:p>
        </w:tc>
        <w:tc>
          <w:tcPr>
            <w:tcW w:w="2160" w:type="dxa"/>
            <w:tcBorders>
              <w:top w:val="nil"/>
              <w:left w:val="nil"/>
              <w:bottom w:val="nil"/>
              <w:right w:val="nil"/>
            </w:tcBorders>
            <w:shd w:val="clear" w:color="auto" w:fill="auto"/>
            <w:noWrap/>
            <w:vAlign w:val="center"/>
            <w:hideMark/>
          </w:tcPr>
          <w:p w:rsidR="00E430D2" w:rsidRPr="00401F21" w:rsidP="00E430D2" w14:paraId="4146CA35" w14:textId="449BA925">
            <w:pPr>
              <w:spacing w:after="0" w:line="240" w:lineRule="auto"/>
              <w:jc w:val="center"/>
              <w:rPr>
                <w:rFonts w:eastAsia="Times New Roman" w:cs="Times New Roman"/>
                <w:color w:val="000000"/>
                <w:sz w:val="20"/>
                <w:szCs w:val="20"/>
              </w:rPr>
            </w:pPr>
            <w:r w:rsidRPr="00401F21">
              <w:rPr>
                <w:color w:val="000000"/>
                <w:sz w:val="20"/>
                <w:szCs w:val="20"/>
              </w:rPr>
              <w:t>$</w:t>
            </w:r>
            <w:r w:rsidRPr="00401F21" w:rsidR="00401F21">
              <w:rPr>
                <w:color w:val="000000"/>
                <w:sz w:val="20"/>
                <w:szCs w:val="20"/>
              </w:rPr>
              <w:t>12,874,081</w:t>
            </w:r>
          </w:p>
        </w:tc>
      </w:tr>
      <w:tr w14:paraId="7B6D59DC" w14:textId="77777777" w:rsidTr="6A40D0E2">
        <w:tblPrEx>
          <w:tblW w:w="5904" w:type="dxa"/>
          <w:tblLook w:val="04A0"/>
        </w:tblPrEx>
        <w:trPr>
          <w:trHeight w:val="288"/>
        </w:trPr>
        <w:tc>
          <w:tcPr>
            <w:tcW w:w="3744" w:type="dxa"/>
            <w:tcBorders>
              <w:top w:val="nil"/>
              <w:left w:val="nil"/>
              <w:bottom w:val="nil"/>
              <w:right w:val="nil"/>
            </w:tcBorders>
            <w:shd w:val="clear" w:color="auto" w:fill="auto"/>
            <w:vAlign w:val="center"/>
            <w:hideMark/>
          </w:tcPr>
          <w:p w:rsidR="00E430D2" w:rsidRPr="00A81C0B" w:rsidP="00E430D2" w14:paraId="430EF107" w14:textId="5A2C173F">
            <w:pPr>
              <w:spacing w:after="0" w:line="240" w:lineRule="auto"/>
              <w:rPr>
                <w:rFonts w:eastAsia="Times New Roman" w:cs="Times New Roman"/>
                <w:color w:val="000000"/>
                <w:sz w:val="20"/>
                <w:szCs w:val="20"/>
              </w:rPr>
            </w:pPr>
            <w:r>
              <w:rPr>
                <w:color w:val="000000"/>
                <w:sz w:val="20"/>
                <w:szCs w:val="20"/>
              </w:rPr>
              <w:t>Total # of Hours (FFY 2023 to FFY 2025):</w:t>
            </w:r>
          </w:p>
        </w:tc>
        <w:tc>
          <w:tcPr>
            <w:tcW w:w="2160" w:type="dxa"/>
            <w:tcBorders>
              <w:top w:val="nil"/>
              <w:left w:val="nil"/>
              <w:bottom w:val="nil"/>
              <w:right w:val="nil"/>
            </w:tcBorders>
            <w:shd w:val="clear" w:color="auto" w:fill="auto"/>
            <w:noWrap/>
            <w:vAlign w:val="center"/>
            <w:hideMark/>
          </w:tcPr>
          <w:p w:rsidR="00E430D2" w:rsidRPr="00E3080A" w:rsidP="00E430D2" w14:paraId="2F416931" w14:textId="67DBF02B">
            <w:pPr>
              <w:spacing w:after="0" w:line="240" w:lineRule="auto"/>
              <w:jc w:val="center"/>
              <w:rPr>
                <w:rFonts w:eastAsia="Times New Roman" w:cs="Times New Roman"/>
                <w:color w:val="000000"/>
                <w:sz w:val="20"/>
                <w:szCs w:val="20"/>
              </w:rPr>
            </w:pPr>
            <w:r w:rsidRPr="00E3080A">
              <w:rPr>
                <w:rFonts w:eastAsia="Times New Roman" w:cs="Times New Roman"/>
                <w:color w:val="000000"/>
                <w:sz w:val="20"/>
                <w:szCs w:val="20"/>
              </w:rPr>
              <w:t>325,557</w:t>
            </w:r>
          </w:p>
        </w:tc>
      </w:tr>
      <w:tr w14:paraId="52006564" w14:textId="77777777" w:rsidTr="6A40D0E2">
        <w:tblPrEx>
          <w:tblW w:w="5904" w:type="dxa"/>
          <w:tblLook w:val="04A0"/>
        </w:tblPrEx>
        <w:trPr>
          <w:trHeight w:val="288"/>
        </w:trPr>
        <w:tc>
          <w:tcPr>
            <w:tcW w:w="3744" w:type="dxa"/>
            <w:tcBorders>
              <w:top w:val="nil"/>
              <w:left w:val="nil"/>
              <w:bottom w:val="nil"/>
              <w:right w:val="nil"/>
            </w:tcBorders>
            <w:shd w:val="clear" w:color="auto" w:fill="auto"/>
            <w:vAlign w:val="center"/>
            <w:hideMark/>
          </w:tcPr>
          <w:p w:rsidR="00E430D2" w:rsidRPr="00A81C0B" w:rsidP="00E430D2" w14:paraId="2D1D3DB1" w14:textId="434EA709">
            <w:pPr>
              <w:spacing w:after="0" w:line="240" w:lineRule="auto"/>
              <w:rPr>
                <w:rFonts w:eastAsia="Times New Roman" w:cs="Times New Roman"/>
                <w:color w:val="000000"/>
                <w:sz w:val="20"/>
                <w:szCs w:val="20"/>
              </w:rPr>
            </w:pPr>
            <w:r>
              <w:rPr>
                <w:color w:val="000000"/>
                <w:sz w:val="20"/>
                <w:szCs w:val="20"/>
              </w:rPr>
              <w:t>Total Cost (FFY 2023 to FFY 2025):</w:t>
            </w:r>
          </w:p>
        </w:tc>
        <w:tc>
          <w:tcPr>
            <w:tcW w:w="2160" w:type="dxa"/>
            <w:tcBorders>
              <w:top w:val="nil"/>
              <w:left w:val="nil"/>
              <w:bottom w:val="nil"/>
              <w:right w:val="nil"/>
            </w:tcBorders>
            <w:shd w:val="clear" w:color="auto" w:fill="auto"/>
            <w:noWrap/>
            <w:vAlign w:val="center"/>
            <w:hideMark/>
          </w:tcPr>
          <w:p w:rsidR="00E430D2" w:rsidRPr="00E3080A" w:rsidP="00E430D2" w14:paraId="55D47103" w14:textId="283BAE9B">
            <w:pPr>
              <w:spacing w:after="0" w:line="240" w:lineRule="auto"/>
              <w:jc w:val="center"/>
              <w:rPr>
                <w:rFonts w:eastAsia="Times New Roman" w:cs="Times New Roman"/>
                <w:color w:val="000000"/>
                <w:sz w:val="20"/>
                <w:szCs w:val="20"/>
              </w:rPr>
            </w:pPr>
            <w:r w:rsidRPr="00E3080A">
              <w:rPr>
                <w:color w:val="000000"/>
                <w:sz w:val="20"/>
                <w:szCs w:val="20"/>
              </w:rPr>
              <w:t>$</w:t>
            </w:r>
            <w:r w:rsidRPr="00E3080A" w:rsidR="00E3080A">
              <w:rPr>
                <w:color w:val="000000"/>
                <w:sz w:val="20"/>
                <w:szCs w:val="20"/>
              </w:rPr>
              <w:t>38,622,243</w:t>
            </w:r>
            <w:r w:rsidRPr="00E3080A">
              <w:rPr>
                <w:color w:val="000000"/>
                <w:sz w:val="20"/>
                <w:szCs w:val="20"/>
              </w:rPr>
              <w:t xml:space="preserve"> </w:t>
            </w:r>
          </w:p>
        </w:tc>
      </w:tr>
    </w:tbl>
    <w:p w:rsidR="00F20D37" w:rsidP="006D6829" w14:paraId="0C0A066E" w14:textId="1021F43A">
      <w:pPr>
        <w:pStyle w:val="Heading3"/>
      </w:pPr>
      <w:r>
        <w:t>ii. Estimating Capital and Operations and Maintenance Costs</w:t>
      </w:r>
    </w:p>
    <w:p w:rsidR="00E40457" w:rsidRPr="00E40457" w:rsidP="00E40457" w14:paraId="60B3C48E" w14:textId="0855D623">
      <w:r w:rsidRPr="00E40457">
        <w:t xml:space="preserve">The only </w:t>
      </w:r>
      <w:r w:rsidR="00A41DBE">
        <w:t xml:space="preserve">operations and </w:t>
      </w:r>
      <w:r w:rsidR="008E2BC0">
        <w:t>maintenance</w:t>
      </w:r>
      <w:r w:rsidRPr="00E40457">
        <w:t xml:space="preserve"> costs are those associated with an independent annual audit. The SRFs usually contract the services of an auditing firm to conduct these audits, and the estimated average </w:t>
      </w:r>
      <w:r w:rsidRPr="00E40457">
        <w:t xml:space="preserve">cost is approximately $62,300. The total average annual cost for the </w:t>
      </w:r>
      <w:r w:rsidR="008E2BC0">
        <w:t>102</w:t>
      </w:r>
      <w:r w:rsidRPr="00E40457">
        <w:t xml:space="preserve"> SRFs</w:t>
      </w:r>
      <w:r w:rsidR="008E2BC0">
        <w:t xml:space="preserve"> (51 CWSRF and 51</w:t>
      </w:r>
      <w:r w:rsidR="00CC5378">
        <w:t xml:space="preserve"> DWSRF)</w:t>
      </w:r>
      <w:r w:rsidRPr="00E40457">
        <w:t xml:space="preserve"> to undergo an independent audit is estimated to be $</w:t>
      </w:r>
      <w:r w:rsidR="005868B4">
        <w:t>6,354,600.</w:t>
      </w:r>
      <w:r w:rsidRPr="00E40457">
        <w:t xml:space="preserve"> </w:t>
      </w:r>
    </w:p>
    <w:p w:rsidR="00526742" w:rsidP="00744E34" w14:paraId="5ECBE6FB" w14:textId="34B9AC57">
      <w:pPr>
        <w:pStyle w:val="Heading2"/>
      </w:pPr>
      <w:r>
        <w:t>C. Estimating Agency Burden and Cost</w:t>
      </w:r>
    </w:p>
    <w:p w:rsidR="002B63CB" w:rsidRPr="0052718A" w:rsidP="0052718A" w14:paraId="3326361C" w14:textId="6636AADB">
      <w:pPr>
        <w:tabs>
          <w:tab w:val="left" w:pos="-1440"/>
        </w:tabs>
      </w:pPr>
      <w:r w:rsidRPr="0052718A">
        <w:t>Estimation of the direc</w:t>
      </w:r>
      <w:r w:rsidR="00E464D6">
        <w:t>t cost to</w:t>
      </w:r>
      <w:r w:rsidR="002F296F">
        <w:t xml:space="preserve"> </w:t>
      </w:r>
      <w:r w:rsidR="00E464D6">
        <w:t>EPA</w:t>
      </w:r>
      <w:r w:rsidR="00B14C2B">
        <w:t>’s oversight of</w:t>
      </w:r>
      <w:r w:rsidR="00E464D6">
        <w:t xml:space="preserve"> the SRFs</w:t>
      </w:r>
      <w:r w:rsidR="0042112A">
        <w:t xml:space="preserve"> covers review</w:t>
      </w:r>
      <w:r w:rsidR="00B14C2B">
        <w:t xml:space="preserve"> and analysis of the </w:t>
      </w:r>
      <w:r w:rsidR="006F5A9D">
        <w:t>Capitalization Grant/</w:t>
      </w:r>
      <w:r w:rsidR="00793FAD">
        <w:t>IUP</w:t>
      </w:r>
      <w:r w:rsidR="0042112A">
        <w:t xml:space="preserve">, </w:t>
      </w:r>
      <w:r w:rsidR="006F5A9D">
        <w:t>Annual Report</w:t>
      </w:r>
      <w:r w:rsidR="004C2D6C">
        <w:t xml:space="preserve">, </w:t>
      </w:r>
      <w:r w:rsidR="006F5A9D">
        <w:t>Audit</w:t>
      </w:r>
      <w:r w:rsidR="004C2D6C">
        <w:t>,</w:t>
      </w:r>
      <w:r w:rsidR="00B14C2B">
        <w:t xml:space="preserve"> and </w:t>
      </w:r>
      <w:r w:rsidR="007373C6">
        <w:t xml:space="preserve">SRF </w:t>
      </w:r>
      <w:r w:rsidR="00A52B4E">
        <w:t xml:space="preserve">Data System </w:t>
      </w:r>
      <w:r w:rsidR="007C223E">
        <w:t xml:space="preserve">financial and project </w:t>
      </w:r>
      <w:r w:rsidRPr="0052718A">
        <w:t xml:space="preserve">data. The </w:t>
      </w:r>
      <w:r w:rsidR="009D0B29">
        <w:t>estimates reflect EPA’s</w:t>
      </w:r>
      <w:r w:rsidRPr="0052718A">
        <w:t xml:space="preserve"> workload over the </w:t>
      </w:r>
      <w:r w:rsidR="00626482">
        <w:t>three</w:t>
      </w:r>
      <w:r w:rsidRPr="0052718A">
        <w:t>-year period covered by this information collection. EPA cost</w:t>
      </w:r>
      <w:r w:rsidR="000E0E31">
        <w:t xml:space="preserve"> estimates are</w:t>
      </w:r>
      <w:r w:rsidRPr="0052718A">
        <w:t xml:space="preserve"> based on average hourly expenditures, includi</w:t>
      </w:r>
      <w:r w:rsidR="009D0B29">
        <w:t>ng regional and h</w:t>
      </w:r>
      <w:r w:rsidRPr="0052718A">
        <w:t xml:space="preserve">eadquarters personnel compensation and benefits. </w:t>
      </w:r>
    </w:p>
    <w:p w:rsidR="0052718A" w:rsidP="0052718A" w14:paraId="1D17C920" w14:textId="056054AB">
      <w:pPr>
        <w:tabs>
          <w:tab w:val="left" w:pos="-1440"/>
        </w:tabs>
      </w:pPr>
      <w:bookmarkStart w:id="3" w:name="_Hlk40365261"/>
      <w:r w:rsidRPr="0052718A">
        <w:t xml:space="preserve">The estimated average hourly cost of </w:t>
      </w:r>
      <w:r w:rsidR="00790210">
        <w:t>$</w:t>
      </w:r>
      <w:r w:rsidR="00370AAC">
        <w:t>69.19</w:t>
      </w:r>
      <w:r w:rsidRPr="0052718A">
        <w:t xml:space="preserve"> for EPA </w:t>
      </w:r>
      <w:r w:rsidR="002C4AB1">
        <w:t>h</w:t>
      </w:r>
      <w:r w:rsidRPr="0052718A">
        <w:t xml:space="preserve">eadquarters and </w:t>
      </w:r>
      <w:r w:rsidR="002C4AB1">
        <w:t>r</w:t>
      </w:r>
      <w:r w:rsidRPr="0052718A">
        <w:t xml:space="preserve">egional personnel is based on the General Schedule (GS) 12, Step 05 </w:t>
      </w:r>
      <w:r w:rsidR="00790210">
        <w:t xml:space="preserve">level. </w:t>
      </w:r>
      <w:r w:rsidRPr="0052718A">
        <w:t>The hourly estimates were calculated by dividing the annual compensation of $</w:t>
      </w:r>
      <w:r w:rsidR="00370AAC">
        <w:t xml:space="preserve">89,947 </w:t>
      </w:r>
      <w:r w:rsidRPr="0052718A">
        <w:t>from the 20</w:t>
      </w:r>
      <w:r w:rsidR="006B7B28">
        <w:t>2</w:t>
      </w:r>
      <w:r w:rsidR="00370AAC">
        <w:t>2</w:t>
      </w:r>
      <w:r w:rsidRPr="0052718A">
        <w:t xml:space="preserve"> GS pay schedule</w:t>
      </w:r>
      <w:r w:rsidR="002C4AB1">
        <w:t xml:space="preserve"> </w:t>
      </w:r>
      <w:r w:rsidRPr="0052718A">
        <w:t xml:space="preserve">by </w:t>
      </w:r>
      <w:r w:rsidR="00BE2B6D">
        <w:t>2,080 hours in the f</w:t>
      </w:r>
      <w:r w:rsidRPr="0052718A">
        <w:t>ederal work year.</w:t>
      </w:r>
      <w:r>
        <w:rPr>
          <w:rStyle w:val="FootnoteReference"/>
        </w:rPr>
        <w:footnoteReference w:id="11"/>
      </w:r>
      <w:r w:rsidRPr="0052718A">
        <w:t xml:space="preserve"> The hourly rates were then multiplied by the standard government benefits multiplication factor of 1.6.</w:t>
      </w:r>
      <w:bookmarkEnd w:id="3"/>
    </w:p>
    <w:p w:rsidR="00C1217A" w:rsidP="0EF53F63" w14:paraId="1516B3FC" w14:textId="3C87FF01">
      <w:r>
        <w:t>In addition to these costs, EPA also expends $</w:t>
      </w:r>
      <w:r w:rsidR="002C4AB1">
        <w:t>200</w:t>
      </w:r>
      <w:r>
        <w:t>,000 a year for contractor support for the databases. This support includes assisting the SRF</w:t>
      </w:r>
      <w:r w:rsidR="00867149">
        <w:t>s</w:t>
      </w:r>
      <w:r>
        <w:t xml:space="preserve"> </w:t>
      </w:r>
      <w:r>
        <w:t>with data entry and EPA with data revi</w:t>
      </w:r>
      <w:r w:rsidR="00BE2B6D">
        <w:t>ew. The contractor also provides support by addressing any tec</w:t>
      </w:r>
      <w:r w:rsidR="00867149">
        <w:t xml:space="preserve">hnical issues that </w:t>
      </w:r>
      <w:r w:rsidR="00BE2B6D">
        <w:t>prevent the SRFs</w:t>
      </w:r>
      <w:r>
        <w:t xml:space="preserve"> </w:t>
      </w:r>
      <w:r w:rsidR="00BE2B6D">
        <w:t>fr</w:t>
      </w:r>
      <w:r w:rsidR="00E93ABE">
        <w:t xml:space="preserve">om effectively </w:t>
      </w:r>
      <w:r w:rsidR="0042112A">
        <w:t>entering data into these databases</w:t>
      </w:r>
      <w:r w:rsidR="00E93ABE">
        <w:t>.</w:t>
      </w:r>
    </w:p>
    <w:tbl>
      <w:tblPr>
        <w:tblW w:w="10070" w:type="dxa"/>
        <w:tblLayout w:type="fixed"/>
        <w:tblLook w:val="04A0"/>
      </w:tblPr>
      <w:tblGrid>
        <w:gridCol w:w="2240"/>
        <w:gridCol w:w="1566"/>
        <w:gridCol w:w="1566"/>
        <w:gridCol w:w="1566"/>
        <w:gridCol w:w="1566"/>
        <w:gridCol w:w="1566"/>
      </w:tblGrid>
      <w:tr w14:paraId="14452D78" w14:textId="77777777" w:rsidTr="00437851">
        <w:tblPrEx>
          <w:tblW w:w="10070" w:type="dxa"/>
          <w:tblLayout w:type="fixed"/>
          <w:tblLook w:val="04A0"/>
        </w:tblPrEx>
        <w:trPr>
          <w:trHeight w:val="435"/>
        </w:trPr>
        <w:tc>
          <w:tcPr>
            <w:tcW w:w="2240" w:type="dxa"/>
            <w:tcBorders>
              <w:top w:val="single" w:sz="8" w:space="0" w:color="000000"/>
              <w:left w:val="single" w:sz="8" w:space="0" w:color="000000"/>
              <w:bottom w:val="nil"/>
              <w:right w:val="single" w:sz="8" w:space="0" w:color="000000"/>
            </w:tcBorders>
            <w:shd w:val="clear" w:color="auto" w:fill="auto"/>
            <w:vAlign w:val="center"/>
            <w:hideMark/>
          </w:tcPr>
          <w:p w:rsidR="008C5359" w:rsidRPr="00297885" w:rsidP="004D49B9" w14:paraId="4BC5EA6B" w14:textId="77777777">
            <w:pPr>
              <w:spacing w:after="0"/>
              <w:rPr>
                <w:b/>
                <w:bCs/>
                <w:color w:val="000000"/>
                <w:sz w:val="20"/>
                <w:szCs w:val="20"/>
              </w:rPr>
            </w:pPr>
            <w:r w:rsidRPr="00297885">
              <w:rPr>
                <w:b/>
                <w:bCs/>
                <w:color w:val="000000"/>
                <w:sz w:val="20"/>
                <w:szCs w:val="20"/>
              </w:rPr>
              <w:t>Activity*</w:t>
            </w:r>
          </w:p>
        </w:tc>
        <w:tc>
          <w:tcPr>
            <w:tcW w:w="1566" w:type="dxa"/>
            <w:tcBorders>
              <w:top w:val="single" w:sz="8" w:space="0" w:color="000000"/>
              <w:left w:val="nil"/>
              <w:bottom w:val="nil"/>
              <w:right w:val="single" w:sz="8" w:space="0" w:color="000000"/>
            </w:tcBorders>
            <w:shd w:val="clear" w:color="auto" w:fill="auto"/>
            <w:vAlign w:val="center"/>
            <w:hideMark/>
          </w:tcPr>
          <w:p w:rsidR="008C5359" w:rsidRPr="00297885" w:rsidP="004D49B9" w14:paraId="02BED97A" w14:textId="77777777">
            <w:pPr>
              <w:spacing w:after="0"/>
              <w:jc w:val="center"/>
              <w:rPr>
                <w:b/>
                <w:bCs/>
                <w:color w:val="000000"/>
                <w:sz w:val="20"/>
                <w:szCs w:val="20"/>
              </w:rPr>
            </w:pPr>
            <w:r w:rsidRPr="00297885">
              <w:rPr>
                <w:b/>
                <w:bCs/>
                <w:color w:val="000000"/>
                <w:sz w:val="20"/>
                <w:szCs w:val="20"/>
              </w:rPr>
              <w:t>Average Annual Labor Hours</w:t>
            </w:r>
          </w:p>
        </w:tc>
        <w:tc>
          <w:tcPr>
            <w:tcW w:w="1566" w:type="dxa"/>
            <w:tcBorders>
              <w:top w:val="single" w:sz="8" w:space="0" w:color="000000"/>
              <w:left w:val="nil"/>
              <w:bottom w:val="nil"/>
              <w:right w:val="single" w:sz="8" w:space="0" w:color="000000"/>
            </w:tcBorders>
            <w:shd w:val="clear" w:color="auto" w:fill="auto"/>
            <w:vAlign w:val="center"/>
            <w:hideMark/>
          </w:tcPr>
          <w:p w:rsidR="008C5359" w:rsidRPr="00297885" w:rsidP="004D49B9" w14:paraId="6EA9BF2F" w14:textId="77777777">
            <w:pPr>
              <w:spacing w:after="0"/>
              <w:jc w:val="center"/>
              <w:rPr>
                <w:b/>
                <w:bCs/>
                <w:color w:val="000000"/>
                <w:sz w:val="20"/>
                <w:szCs w:val="20"/>
              </w:rPr>
            </w:pPr>
            <w:r w:rsidRPr="00297885">
              <w:rPr>
                <w:b/>
                <w:bCs/>
                <w:color w:val="000000"/>
                <w:sz w:val="20"/>
                <w:szCs w:val="20"/>
              </w:rPr>
              <w:t xml:space="preserve"> Cost Per Hour</w:t>
            </w:r>
          </w:p>
        </w:tc>
        <w:tc>
          <w:tcPr>
            <w:tcW w:w="1566" w:type="dxa"/>
            <w:tcBorders>
              <w:top w:val="single" w:sz="8" w:space="0" w:color="000000"/>
              <w:left w:val="nil"/>
              <w:bottom w:val="nil"/>
              <w:right w:val="single" w:sz="8" w:space="0" w:color="000000"/>
            </w:tcBorders>
            <w:shd w:val="clear" w:color="auto" w:fill="auto"/>
            <w:vAlign w:val="center"/>
            <w:hideMark/>
          </w:tcPr>
          <w:p w:rsidR="008C5359" w:rsidRPr="00297885" w:rsidP="004D49B9" w14:paraId="0118722E" w14:textId="77777777">
            <w:pPr>
              <w:spacing w:after="0"/>
              <w:jc w:val="center"/>
              <w:rPr>
                <w:b/>
                <w:bCs/>
                <w:color w:val="000000"/>
                <w:sz w:val="20"/>
                <w:szCs w:val="20"/>
              </w:rPr>
            </w:pPr>
            <w:r w:rsidRPr="00297885">
              <w:rPr>
                <w:b/>
                <w:bCs/>
                <w:color w:val="000000"/>
                <w:sz w:val="20"/>
                <w:szCs w:val="20"/>
              </w:rPr>
              <w:t>Average Annual Labor Cost</w:t>
            </w:r>
          </w:p>
        </w:tc>
        <w:tc>
          <w:tcPr>
            <w:tcW w:w="1566" w:type="dxa"/>
            <w:tcBorders>
              <w:top w:val="single" w:sz="8" w:space="0" w:color="000000"/>
              <w:left w:val="nil"/>
              <w:bottom w:val="nil"/>
              <w:right w:val="single" w:sz="8" w:space="0" w:color="000000"/>
            </w:tcBorders>
            <w:shd w:val="clear" w:color="auto" w:fill="auto"/>
            <w:vAlign w:val="center"/>
            <w:hideMark/>
          </w:tcPr>
          <w:p w:rsidR="008C5359" w:rsidRPr="00297885" w:rsidP="004D49B9" w14:paraId="21E0FBBF" w14:textId="3E7CF784">
            <w:pPr>
              <w:spacing w:after="0"/>
              <w:jc w:val="center"/>
              <w:rPr>
                <w:b/>
                <w:bCs/>
                <w:color w:val="000000"/>
                <w:sz w:val="20"/>
                <w:szCs w:val="20"/>
              </w:rPr>
            </w:pPr>
            <w:r>
              <w:rPr>
                <w:b/>
                <w:bCs/>
                <w:color w:val="000000"/>
                <w:sz w:val="20"/>
                <w:szCs w:val="20"/>
              </w:rPr>
              <w:t xml:space="preserve">Annual </w:t>
            </w:r>
            <w:r w:rsidRPr="00995401">
              <w:rPr>
                <w:b/>
                <w:bCs/>
                <w:color w:val="000000"/>
                <w:sz w:val="20"/>
                <w:szCs w:val="20"/>
              </w:rPr>
              <w:t>Operations and Management Cost</w:t>
            </w:r>
          </w:p>
        </w:tc>
        <w:tc>
          <w:tcPr>
            <w:tcW w:w="1566" w:type="dxa"/>
            <w:tcBorders>
              <w:top w:val="single" w:sz="8" w:space="0" w:color="000000"/>
              <w:left w:val="nil"/>
              <w:bottom w:val="nil"/>
              <w:right w:val="single" w:sz="8" w:space="0" w:color="000000"/>
            </w:tcBorders>
            <w:shd w:val="clear" w:color="auto" w:fill="auto"/>
            <w:vAlign w:val="center"/>
            <w:hideMark/>
          </w:tcPr>
          <w:p w:rsidR="008C5359" w:rsidRPr="00297885" w:rsidP="004D49B9" w14:paraId="4F26883B" w14:textId="2DBBC628">
            <w:pPr>
              <w:spacing w:after="0"/>
              <w:jc w:val="center"/>
              <w:rPr>
                <w:b/>
                <w:bCs/>
                <w:color w:val="000000"/>
                <w:sz w:val="20"/>
                <w:szCs w:val="20"/>
              </w:rPr>
            </w:pPr>
            <w:r w:rsidRPr="00297885">
              <w:rPr>
                <w:b/>
                <w:bCs/>
                <w:color w:val="000000"/>
                <w:sz w:val="20"/>
                <w:szCs w:val="20"/>
              </w:rPr>
              <w:t xml:space="preserve">Total </w:t>
            </w:r>
            <w:r w:rsidR="002A6AEE">
              <w:rPr>
                <w:b/>
                <w:bCs/>
                <w:color w:val="000000"/>
                <w:sz w:val="20"/>
                <w:szCs w:val="20"/>
              </w:rPr>
              <w:t>Annual Cost</w:t>
            </w:r>
          </w:p>
        </w:tc>
      </w:tr>
      <w:tr w14:paraId="31F2C501" w14:textId="77777777" w:rsidTr="00437851">
        <w:tblPrEx>
          <w:tblW w:w="10070" w:type="dxa"/>
          <w:tblLayout w:type="fixed"/>
          <w:tblLook w:val="04A0"/>
        </w:tblPrEx>
        <w:trPr>
          <w:trHeight w:val="432"/>
        </w:trPr>
        <w:tc>
          <w:tcPr>
            <w:tcW w:w="224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8C5359" w:rsidRPr="00297885" w:rsidP="004D49B9" w14:paraId="3CEE1149" w14:textId="3FBD7322">
            <w:pPr>
              <w:spacing w:after="0"/>
              <w:rPr>
                <w:b/>
                <w:bCs/>
                <w:color w:val="000000"/>
                <w:sz w:val="20"/>
                <w:szCs w:val="20"/>
              </w:rPr>
            </w:pPr>
            <w:r w:rsidRPr="00297885">
              <w:rPr>
                <w:b/>
                <w:bCs/>
                <w:color w:val="000000"/>
                <w:sz w:val="20"/>
                <w:szCs w:val="20"/>
              </w:rPr>
              <w:t>CWSRF Capitalization Grant Agreement/</w:t>
            </w:r>
            <w:r w:rsidRPr="00297885" w:rsidR="004D49B9">
              <w:rPr>
                <w:b/>
                <w:bCs/>
                <w:color w:val="000000"/>
                <w:sz w:val="20"/>
                <w:szCs w:val="20"/>
              </w:rPr>
              <w:t>IUP</w:t>
            </w:r>
          </w:p>
        </w:tc>
        <w:tc>
          <w:tcPr>
            <w:tcW w:w="1566" w:type="dxa"/>
            <w:tcBorders>
              <w:top w:val="single" w:sz="8" w:space="0" w:color="auto"/>
              <w:left w:val="nil"/>
              <w:bottom w:val="single" w:sz="8" w:space="0" w:color="auto"/>
              <w:right w:val="single" w:sz="8" w:space="0" w:color="000000"/>
            </w:tcBorders>
            <w:shd w:val="clear" w:color="auto" w:fill="auto"/>
            <w:vAlign w:val="center"/>
            <w:hideMark/>
          </w:tcPr>
          <w:p w:rsidR="008C5359" w:rsidRPr="00297885" w:rsidP="004D49B9" w14:paraId="1419FC4F" w14:textId="77777777">
            <w:pPr>
              <w:spacing w:after="0"/>
              <w:jc w:val="center"/>
              <w:rPr>
                <w:color w:val="000000"/>
                <w:sz w:val="20"/>
                <w:szCs w:val="20"/>
              </w:rPr>
            </w:pPr>
            <w:r w:rsidRPr="00297885">
              <w:rPr>
                <w:color w:val="000000"/>
                <w:sz w:val="20"/>
                <w:szCs w:val="20"/>
              </w:rPr>
              <w:t>2,525</w:t>
            </w:r>
          </w:p>
        </w:tc>
        <w:tc>
          <w:tcPr>
            <w:tcW w:w="1566" w:type="dxa"/>
            <w:tcBorders>
              <w:top w:val="single" w:sz="8" w:space="0" w:color="auto"/>
              <w:left w:val="nil"/>
              <w:bottom w:val="single" w:sz="8" w:space="0" w:color="auto"/>
              <w:right w:val="single" w:sz="8" w:space="0" w:color="000000"/>
            </w:tcBorders>
            <w:shd w:val="clear" w:color="auto" w:fill="auto"/>
            <w:vAlign w:val="center"/>
            <w:hideMark/>
          </w:tcPr>
          <w:p w:rsidR="008C5359" w:rsidRPr="00297885" w:rsidP="004D49B9" w14:paraId="43F10D8F" w14:textId="77777777">
            <w:pPr>
              <w:spacing w:after="0"/>
              <w:jc w:val="center"/>
              <w:rPr>
                <w:color w:val="000000"/>
                <w:sz w:val="20"/>
                <w:szCs w:val="20"/>
              </w:rPr>
            </w:pPr>
            <w:r w:rsidRPr="00297885">
              <w:rPr>
                <w:color w:val="000000"/>
                <w:sz w:val="20"/>
                <w:szCs w:val="20"/>
              </w:rPr>
              <w:t xml:space="preserve">$69.19 </w:t>
            </w:r>
          </w:p>
        </w:tc>
        <w:tc>
          <w:tcPr>
            <w:tcW w:w="1566" w:type="dxa"/>
            <w:tcBorders>
              <w:top w:val="single" w:sz="8" w:space="0" w:color="auto"/>
              <w:left w:val="nil"/>
              <w:bottom w:val="single" w:sz="8" w:space="0" w:color="auto"/>
              <w:right w:val="single" w:sz="8" w:space="0" w:color="000000"/>
            </w:tcBorders>
            <w:shd w:val="clear" w:color="auto" w:fill="auto"/>
            <w:vAlign w:val="center"/>
            <w:hideMark/>
          </w:tcPr>
          <w:p w:rsidR="008C5359" w:rsidRPr="00297885" w:rsidP="004D49B9" w14:paraId="11A1FCE5" w14:textId="77777777">
            <w:pPr>
              <w:spacing w:after="0"/>
              <w:jc w:val="center"/>
              <w:rPr>
                <w:color w:val="000000"/>
                <w:sz w:val="20"/>
                <w:szCs w:val="20"/>
              </w:rPr>
            </w:pPr>
            <w:r w:rsidRPr="00297885">
              <w:rPr>
                <w:color w:val="000000"/>
                <w:sz w:val="20"/>
                <w:szCs w:val="20"/>
              </w:rPr>
              <w:t xml:space="preserve">$174,705 </w:t>
            </w:r>
          </w:p>
        </w:tc>
        <w:tc>
          <w:tcPr>
            <w:tcW w:w="1566" w:type="dxa"/>
            <w:tcBorders>
              <w:top w:val="single" w:sz="8" w:space="0" w:color="auto"/>
              <w:left w:val="nil"/>
              <w:bottom w:val="single" w:sz="8" w:space="0" w:color="auto"/>
              <w:right w:val="single" w:sz="8" w:space="0" w:color="000000"/>
            </w:tcBorders>
            <w:shd w:val="clear" w:color="auto" w:fill="auto"/>
            <w:vAlign w:val="center"/>
            <w:hideMark/>
          </w:tcPr>
          <w:p w:rsidR="008C5359" w:rsidRPr="00297885" w:rsidP="004D49B9" w14:paraId="0E6F9DC8" w14:textId="77777777">
            <w:pPr>
              <w:spacing w:after="0"/>
              <w:jc w:val="center"/>
              <w:rPr>
                <w:color w:val="000000"/>
                <w:sz w:val="20"/>
                <w:szCs w:val="20"/>
              </w:rPr>
            </w:pPr>
            <w:r w:rsidRPr="00297885">
              <w:rPr>
                <w:color w:val="000000"/>
                <w:sz w:val="20"/>
                <w:szCs w:val="20"/>
              </w:rPr>
              <w:t xml:space="preserve">$0.00 </w:t>
            </w:r>
          </w:p>
        </w:tc>
        <w:tc>
          <w:tcPr>
            <w:tcW w:w="1566" w:type="dxa"/>
            <w:tcBorders>
              <w:top w:val="single" w:sz="8" w:space="0" w:color="auto"/>
              <w:left w:val="nil"/>
              <w:bottom w:val="single" w:sz="8" w:space="0" w:color="auto"/>
              <w:right w:val="single" w:sz="8" w:space="0" w:color="auto"/>
            </w:tcBorders>
            <w:shd w:val="clear" w:color="auto" w:fill="auto"/>
            <w:vAlign w:val="center"/>
            <w:hideMark/>
          </w:tcPr>
          <w:p w:rsidR="008C5359" w:rsidRPr="00297885" w:rsidP="004D49B9" w14:paraId="6B04CB29" w14:textId="77777777">
            <w:pPr>
              <w:spacing w:after="0"/>
              <w:jc w:val="center"/>
              <w:rPr>
                <w:color w:val="000000"/>
                <w:sz w:val="20"/>
                <w:szCs w:val="20"/>
              </w:rPr>
            </w:pPr>
            <w:r w:rsidRPr="00297885">
              <w:rPr>
                <w:color w:val="000000"/>
                <w:sz w:val="20"/>
                <w:szCs w:val="20"/>
              </w:rPr>
              <w:t xml:space="preserve">$174,705 </w:t>
            </w:r>
          </w:p>
        </w:tc>
      </w:tr>
      <w:tr w14:paraId="46574785" w14:textId="77777777" w:rsidTr="00146722">
        <w:tblPrEx>
          <w:tblW w:w="10070" w:type="dxa"/>
          <w:tblLayout w:type="fixed"/>
          <w:tblLook w:val="04A0"/>
        </w:tblPrEx>
        <w:trPr>
          <w:trHeight w:val="432"/>
        </w:trPr>
        <w:tc>
          <w:tcPr>
            <w:tcW w:w="2240" w:type="dxa"/>
            <w:tcBorders>
              <w:top w:val="nil"/>
              <w:left w:val="single" w:sz="8" w:space="0" w:color="auto"/>
              <w:bottom w:val="single" w:sz="8" w:space="0" w:color="auto"/>
              <w:right w:val="single" w:sz="8" w:space="0" w:color="000000"/>
            </w:tcBorders>
            <w:shd w:val="clear" w:color="auto" w:fill="auto"/>
            <w:vAlign w:val="center"/>
            <w:hideMark/>
          </w:tcPr>
          <w:p w:rsidR="008C5359" w:rsidRPr="00297885" w:rsidP="004D49B9" w14:paraId="497C7A6D" w14:textId="1778AB54">
            <w:pPr>
              <w:spacing w:after="0"/>
              <w:rPr>
                <w:b/>
                <w:bCs/>
                <w:color w:val="000000"/>
                <w:sz w:val="20"/>
                <w:szCs w:val="20"/>
              </w:rPr>
            </w:pPr>
            <w:r w:rsidRPr="00297885">
              <w:rPr>
                <w:b/>
                <w:bCs/>
                <w:color w:val="000000"/>
                <w:sz w:val="20"/>
                <w:szCs w:val="20"/>
              </w:rPr>
              <w:t>DWSRF Capitalization Grant Agreement/</w:t>
            </w:r>
            <w:r w:rsidRPr="00297885" w:rsidR="004D49B9">
              <w:rPr>
                <w:b/>
                <w:bCs/>
                <w:color w:val="000000"/>
                <w:sz w:val="20"/>
                <w:szCs w:val="20"/>
              </w:rPr>
              <w:t>IUP</w:t>
            </w:r>
          </w:p>
        </w:tc>
        <w:tc>
          <w:tcPr>
            <w:tcW w:w="1566" w:type="dxa"/>
            <w:tcBorders>
              <w:top w:val="nil"/>
              <w:left w:val="nil"/>
              <w:bottom w:val="single" w:sz="8" w:space="0" w:color="auto"/>
              <w:right w:val="single" w:sz="8" w:space="0" w:color="auto"/>
            </w:tcBorders>
            <w:shd w:val="clear" w:color="auto" w:fill="auto"/>
            <w:vAlign w:val="center"/>
            <w:hideMark/>
          </w:tcPr>
          <w:p w:rsidR="008C5359" w:rsidRPr="00297885" w:rsidP="004D49B9" w14:paraId="477170E1" w14:textId="77777777">
            <w:pPr>
              <w:spacing w:after="0"/>
              <w:jc w:val="center"/>
              <w:rPr>
                <w:color w:val="000000"/>
                <w:sz w:val="20"/>
                <w:szCs w:val="20"/>
              </w:rPr>
            </w:pPr>
            <w:r w:rsidRPr="00297885">
              <w:rPr>
                <w:color w:val="000000"/>
                <w:sz w:val="20"/>
                <w:szCs w:val="20"/>
              </w:rPr>
              <w:t>2,525</w:t>
            </w:r>
          </w:p>
        </w:tc>
        <w:tc>
          <w:tcPr>
            <w:tcW w:w="1566" w:type="dxa"/>
            <w:tcBorders>
              <w:top w:val="nil"/>
              <w:left w:val="nil"/>
              <w:bottom w:val="single" w:sz="8" w:space="0" w:color="auto"/>
              <w:right w:val="single" w:sz="8" w:space="0" w:color="000000"/>
            </w:tcBorders>
            <w:shd w:val="clear" w:color="auto" w:fill="auto"/>
            <w:vAlign w:val="center"/>
            <w:hideMark/>
          </w:tcPr>
          <w:p w:rsidR="008C5359" w:rsidRPr="00297885" w:rsidP="004D49B9" w14:paraId="660433F0" w14:textId="77777777">
            <w:pPr>
              <w:spacing w:after="0"/>
              <w:jc w:val="center"/>
              <w:rPr>
                <w:color w:val="000000"/>
                <w:sz w:val="20"/>
                <w:szCs w:val="20"/>
              </w:rPr>
            </w:pPr>
            <w:r w:rsidRPr="00297885">
              <w:rPr>
                <w:color w:val="000000"/>
                <w:sz w:val="20"/>
                <w:szCs w:val="20"/>
              </w:rPr>
              <w:t xml:space="preserve">$69.19 </w:t>
            </w:r>
          </w:p>
        </w:tc>
        <w:tc>
          <w:tcPr>
            <w:tcW w:w="1566" w:type="dxa"/>
            <w:tcBorders>
              <w:top w:val="nil"/>
              <w:left w:val="nil"/>
              <w:bottom w:val="single" w:sz="8" w:space="0" w:color="auto"/>
              <w:right w:val="single" w:sz="8" w:space="0" w:color="000000"/>
            </w:tcBorders>
            <w:shd w:val="clear" w:color="auto" w:fill="auto"/>
            <w:vAlign w:val="center"/>
            <w:hideMark/>
          </w:tcPr>
          <w:p w:rsidR="008C5359" w:rsidRPr="00297885" w:rsidP="004D49B9" w14:paraId="4A4973F9" w14:textId="77777777">
            <w:pPr>
              <w:spacing w:after="0"/>
              <w:jc w:val="center"/>
              <w:rPr>
                <w:color w:val="000000"/>
                <w:sz w:val="20"/>
                <w:szCs w:val="20"/>
              </w:rPr>
            </w:pPr>
            <w:r w:rsidRPr="00297885">
              <w:rPr>
                <w:color w:val="000000"/>
                <w:sz w:val="20"/>
                <w:szCs w:val="20"/>
              </w:rPr>
              <w:t xml:space="preserve">$174,705 </w:t>
            </w:r>
          </w:p>
        </w:tc>
        <w:tc>
          <w:tcPr>
            <w:tcW w:w="1566" w:type="dxa"/>
            <w:tcBorders>
              <w:top w:val="nil"/>
              <w:left w:val="nil"/>
              <w:bottom w:val="single" w:sz="8" w:space="0" w:color="auto"/>
              <w:right w:val="single" w:sz="8" w:space="0" w:color="000000"/>
            </w:tcBorders>
            <w:shd w:val="clear" w:color="auto" w:fill="auto"/>
            <w:vAlign w:val="center"/>
            <w:hideMark/>
          </w:tcPr>
          <w:p w:rsidR="008C5359" w:rsidRPr="00297885" w:rsidP="004D49B9" w14:paraId="7EF305F9" w14:textId="77777777">
            <w:pPr>
              <w:spacing w:after="0"/>
              <w:jc w:val="center"/>
              <w:rPr>
                <w:color w:val="000000"/>
                <w:sz w:val="20"/>
                <w:szCs w:val="20"/>
              </w:rPr>
            </w:pPr>
            <w:r w:rsidRPr="00297885">
              <w:rPr>
                <w:color w:val="000000"/>
                <w:sz w:val="20"/>
                <w:szCs w:val="20"/>
              </w:rPr>
              <w:t xml:space="preserve">$0.00 </w:t>
            </w:r>
          </w:p>
        </w:tc>
        <w:tc>
          <w:tcPr>
            <w:tcW w:w="1566" w:type="dxa"/>
            <w:tcBorders>
              <w:top w:val="nil"/>
              <w:left w:val="nil"/>
              <w:bottom w:val="single" w:sz="8" w:space="0" w:color="auto"/>
              <w:right w:val="single" w:sz="8" w:space="0" w:color="auto"/>
            </w:tcBorders>
            <w:shd w:val="clear" w:color="auto" w:fill="auto"/>
            <w:vAlign w:val="center"/>
            <w:hideMark/>
          </w:tcPr>
          <w:p w:rsidR="008C5359" w:rsidRPr="00297885" w:rsidP="004D49B9" w14:paraId="4C391E96" w14:textId="77777777">
            <w:pPr>
              <w:spacing w:after="0"/>
              <w:jc w:val="center"/>
              <w:rPr>
                <w:color w:val="000000"/>
                <w:sz w:val="20"/>
                <w:szCs w:val="20"/>
              </w:rPr>
            </w:pPr>
            <w:r w:rsidRPr="00297885">
              <w:rPr>
                <w:color w:val="000000"/>
                <w:sz w:val="20"/>
                <w:szCs w:val="20"/>
              </w:rPr>
              <w:t xml:space="preserve">$174,705 </w:t>
            </w:r>
          </w:p>
        </w:tc>
      </w:tr>
      <w:tr w14:paraId="6C5F13D8" w14:textId="77777777" w:rsidTr="00146722">
        <w:tblPrEx>
          <w:tblW w:w="10070" w:type="dxa"/>
          <w:tblLayout w:type="fixed"/>
          <w:tblLook w:val="04A0"/>
        </w:tblPrEx>
        <w:trPr>
          <w:trHeight w:val="432"/>
        </w:trPr>
        <w:tc>
          <w:tcPr>
            <w:tcW w:w="2240" w:type="dxa"/>
            <w:tcBorders>
              <w:top w:val="nil"/>
              <w:left w:val="single" w:sz="8" w:space="0" w:color="auto"/>
              <w:bottom w:val="single" w:sz="4" w:space="0" w:color="auto"/>
              <w:right w:val="single" w:sz="8" w:space="0" w:color="000000"/>
            </w:tcBorders>
            <w:shd w:val="clear" w:color="auto" w:fill="auto"/>
            <w:vAlign w:val="center"/>
            <w:hideMark/>
          </w:tcPr>
          <w:p w:rsidR="008C5359" w:rsidRPr="00297885" w:rsidP="004D49B9" w14:paraId="1D5F89CB" w14:textId="77777777">
            <w:pPr>
              <w:spacing w:after="0"/>
              <w:rPr>
                <w:b/>
                <w:bCs/>
                <w:color w:val="000000"/>
                <w:sz w:val="20"/>
                <w:szCs w:val="20"/>
              </w:rPr>
            </w:pPr>
            <w:r w:rsidRPr="00297885">
              <w:rPr>
                <w:b/>
                <w:bCs/>
                <w:color w:val="000000"/>
                <w:sz w:val="20"/>
                <w:szCs w:val="20"/>
              </w:rPr>
              <w:t>CWSRF Annual Report</w:t>
            </w:r>
          </w:p>
        </w:tc>
        <w:tc>
          <w:tcPr>
            <w:tcW w:w="1566" w:type="dxa"/>
            <w:tcBorders>
              <w:top w:val="nil"/>
              <w:left w:val="nil"/>
              <w:bottom w:val="single" w:sz="4" w:space="0" w:color="auto"/>
              <w:right w:val="single" w:sz="8" w:space="0" w:color="auto"/>
            </w:tcBorders>
            <w:shd w:val="clear" w:color="auto" w:fill="auto"/>
            <w:vAlign w:val="center"/>
            <w:hideMark/>
          </w:tcPr>
          <w:p w:rsidR="008C5359" w:rsidRPr="00297885" w:rsidP="004D49B9" w14:paraId="7535E75E" w14:textId="77777777">
            <w:pPr>
              <w:spacing w:after="0"/>
              <w:jc w:val="center"/>
              <w:rPr>
                <w:color w:val="000000"/>
                <w:sz w:val="20"/>
                <w:szCs w:val="20"/>
              </w:rPr>
            </w:pPr>
            <w:r w:rsidRPr="00297885">
              <w:rPr>
                <w:color w:val="000000"/>
                <w:sz w:val="20"/>
                <w:szCs w:val="20"/>
              </w:rPr>
              <w:t>1,495</w:t>
            </w:r>
          </w:p>
        </w:tc>
        <w:tc>
          <w:tcPr>
            <w:tcW w:w="1566" w:type="dxa"/>
            <w:tcBorders>
              <w:top w:val="single" w:sz="8" w:space="0" w:color="auto"/>
              <w:left w:val="nil"/>
              <w:bottom w:val="single" w:sz="4" w:space="0" w:color="auto"/>
              <w:right w:val="single" w:sz="8" w:space="0" w:color="000000"/>
            </w:tcBorders>
            <w:shd w:val="clear" w:color="auto" w:fill="auto"/>
            <w:vAlign w:val="center"/>
            <w:hideMark/>
          </w:tcPr>
          <w:p w:rsidR="008C5359" w:rsidRPr="00297885" w:rsidP="004D49B9" w14:paraId="2FF9EAF3" w14:textId="77777777">
            <w:pPr>
              <w:spacing w:after="0"/>
              <w:jc w:val="center"/>
              <w:rPr>
                <w:color w:val="000000"/>
                <w:sz w:val="20"/>
                <w:szCs w:val="20"/>
              </w:rPr>
            </w:pPr>
            <w:r w:rsidRPr="00297885">
              <w:rPr>
                <w:color w:val="000000"/>
                <w:sz w:val="20"/>
                <w:szCs w:val="20"/>
              </w:rPr>
              <w:t xml:space="preserve">$69.19 </w:t>
            </w:r>
          </w:p>
        </w:tc>
        <w:tc>
          <w:tcPr>
            <w:tcW w:w="1566" w:type="dxa"/>
            <w:tcBorders>
              <w:top w:val="single" w:sz="8" w:space="0" w:color="auto"/>
              <w:left w:val="nil"/>
              <w:bottom w:val="single" w:sz="4" w:space="0" w:color="auto"/>
              <w:right w:val="single" w:sz="8" w:space="0" w:color="000000"/>
            </w:tcBorders>
            <w:shd w:val="clear" w:color="auto" w:fill="auto"/>
            <w:vAlign w:val="center"/>
            <w:hideMark/>
          </w:tcPr>
          <w:p w:rsidR="008C5359" w:rsidRPr="00297885" w:rsidP="004D49B9" w14:paraId="21B7320A" w14:textId="77777777">
            <w:pPr>
              <w:spacing w:after="0"/>
              <w:jc w:val="center"/>
              <w:rPr>
                <w:color w:val="000000"/>
                <w:sz w:val="20"/>
                <w:szCs w:val="20"/>
              </w:rPr>
            </w:pPr>
            <w:r w:rsidRPr="00297885">
              <w:rPr>
                <w:color w:val="000000"/>
                <w:sz w:val="20"/>
                <w:szCs w:val="20"/>
              </w:rPr>
              <w:t xml:space="preserve">$103,439 </w:t>
            </w:r>
          </w:p>
        </w:tc>
        <w:tc>
          <w:tcPr>
            <w:tcW w:w="1566" w:type="dxa"/>
            <w:tcBorders>
              <w:top w:val="single" w:sz="8" w:space="0" w:color="auto"/>
              <w:left w:val="nil"/>
              <w:bottom w:val="single" w:sz="4" w:space="0" w:color="auto"/>
              <w:right w:val="single" w:sz="8" w:space="0" w:color="000000"/>
            </w:tcBorders>
            <w:shd w:val="clear" w:color="auto" w:fill="auto"/>
            <w:vAlign w:val="center"/>
            <w:hideMark/>
          </w:tcPr>
          <w:p w:rsidR="008C5359" w:rsidRPr="00297885" w:rsidP="004D49B9" w14:paraId="0C07613C" w14:textId="77777777">
            <w:pPr>
              <w:spacing w:after="0"/>
              <w:jc w:val="center"/>
              <w:rPr>
                <w:color w:val="000000"/>
                <w:sz w:val="20"/>
                <w:szCs w:val="20"/>
              </w:rPr>
            </w:pPr>
            <w:r w:rsidRPr="00297885">
              <w:rPr>
                <w:color w:val="000000"/>
                <w:sz w:val="20"/>
                <w:szCs w:val="20"/>
              </w:rPr>
              <w:t xml:space="preserve">$0.00 </w:t>
            </w:r>
          </w:p>
        </w:tc>
        <w:tc>
          <w:tcPr>
            <w:tcW w:w="1566" w:type="dxa"/>
            <w:tcBorders>
              <w:top w:val="single" w:sz="8" w:space="0" w:color="auto"/>
              <w:left w:val="nil"/>
              <w:bottom w:val="single" w:sz="4" w:space="0" w:color="auto"/>
              <w:right w:val="single" w:sz="8" w:space="0" w:color="auto"/>
            </w:tcBorders>
            <w:shd w:val="clear" w:color="auto" w:fill="auto"/>
            <w:vAlign w:val="center"/>
            <w:hideMark/>
          </w:tcPr>
          <w:p w:rsidR="008C5359" w:rsidRPr="00297885" w:rsidP="004D49B9" w14:paraId="1229E5BC" w14:textId="77777777">
            <w:pPr>
              <w:spacing w:after="0"/>
              <w:jc w:val="center"/>
              <w:rPr>
                <w:color w:val="000000"/>
                <w:sz w:val="20"/>
                <w:szCs w:val="20"/>
              </w:rPr>
            </w:pPr>
            <w:r w:rsidRPr="00297885">
              <w:rPr>
                <w:color w:val="000000"/>
                <w:sz w:val="20"/>
                <w:szCs w:val="20"/>
              </w:rPr>
              <w:t xml:space="preserve">$103,439 </w:t>
            </w:r>
          </w:p>
        </w:tc>
      </w:tr>
      <w:tr w14:paraId="7AD29C66" w14:textId="77777777" w:rsidTr="00146722">
        <w:tblPrEx>
          <w:tblW w:w="10070" w:type="dxa"/>
          <w:tblLayout w:type="fixed"/>
          <w:tblLook w:val="04A0"/>
        </w:tblPrEx>
        <w:trPr>
          <w:trHeight w:val="432"/>
        </w:trPr>
        <w:tc>
          <w:tcPr>
            <w:tcW w:w="2240" w:type="dxa"/>
            <w:tcBorders>
              <w:top w:val="single" w:sz="4" w:space="0" w:color="auto"/>
              <w:left w:val="single" w:sz="8" w:space="0" w:color="000000"/>
              <w:bottom w:val="single" w:sz="8" w:space="0" w:color="auto"/>
              <w:right w:val="nil"/>
            </w:tcBorders>
            <w:shd w:val="clear" w:color="auto" w:fill="auto"/>
            <w:vAlign w:val="center"/>
            <w:hideMark/>
          </w:tcPr>
          <w:p w:rsidR="008C5359" w:rsidRPr="00297885" w:rsidP="004D49B9" w14:paraId="1689284D" w14:textId="77777777">
            <w:pPr>
              <w:spacing w:after="0"/>
              <w:rPr>
                <w:b/>
                <w:bCs/>
                <w:color w:val="000000"/>
                <w:sz w:val="20"/>
                <w:szCs w:val="20"/>
              </w:rPr>
            </w:pPr>
            <w:r w:rsidRPr="00297885">
              <w:rPr>
                <w:b/>
                <w:bCs/>
                <w:color w:val="000000"/>
                <w:sz w:val="20"/>
                <w:szCs w:val="20"/>
              </w:rPr>
              <w:t>DWSRF Annual Report</w:t>
            </w:r>
          </w:p>
        </w:tc>
        <w:tc>
          <w:tcPr>
            <w:tcW w:w="156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8C5359" w:rsidRPr="00297885" w:rsidP="004D49B9" w14:paraId="26DBDBEE" w14:textId="77777777">
            <w:pPr>
              <w:spacing w:after="0"/>
              <w:jc w:val="center"/>
              <w:rPr>
                <w:color w:val="000000"/>
                <w:sz w:val="20"/>
                <w:szCs w:val="20"/>
              </w:rPr>
            </w:pPr>
            <w:r w:rsidRPr="00297885">
              <w:rPr>
                <w:color w:val="000000"/>
                <w:sz w:val="20"/>
                <w:szCs w:val="20"/>
              </w:rPr>
              <w:t>1,495</w:t>
            </w:r>
          </w:p>
        </w:tc>
        <w:tc>
          <w:tcPr>
            <w:tcW w:w="1566" w:type="dxa"/>
            <w:tcBorders>
              <w:top w:val="single" w:sz="4" w:space="0" w:color="auto"/>
              <w:left w:val="nil"/>
              <w:bottom w:val="nil"/>
              <w:right w:val="single" w:sz="8" w:space="0" w:color="000000"/>
            </w:tcBorders>
            <w:shd w:val="clear" w:color="auto" w:fill="auto"/>
            <w:vAlign w:val="center"/>
            <w:hideMark/>
          </w:tcPr>
          <w:p w:rsidR="008C5359" w:rsidRPr="00297885" w:rsidP="004D49B9" w14:paraId="5B90F7A6" w14:textId="77777777">
            <w:pPr>
              <w:spacing w:after="0"/>
              <w:jc w:val="center"/>
              <w:rPr>
                <w:color w:val="000000"/>
                <w:sz w:val="20"/>
                <w:szCs w:val="20"/>
              </w:rPr>
            </w:pPr>
            <w:r w:rsidRPr="00297885">
              <w:rPr>
                <w:color w:val="000000"/>
                <w:sz w:val="20"/>
                <w:szCs w:val="20"/>
              </w:rPr>
              <w:t xml:space="preserve">$69.19 </w:t>
            </w:r>
          </w:p>
        </w:tc>
        <w:tc>
          <w:tcPr>
            <w:tcW w:w="1566" w:type="dxa"/>
            <w:tcBorders>
              <w:top w:val="single" w:sz="4" w:space="0" w:color="auto"/>
              <w:left w:val="nil"/>
              <w:bottom w:val="nil"/>
              <w:right w:val="single" w:sz="8" w:space="0" w:color="000000"/>
            </w:tcBorders>
            <w:shd w:val="clear" w:color="auto" w:fill="auto"/>
            <w:vAlign w:val="center"/>
            <w:hideMark/>
          </w:tcPr>
          <w:p w:rsidR="008C5359" w:rsidRPr="00297885" w:rsidP="004D49B9" w14:paraId="6379925D" w14:textId="77777777">
            <w:pPr>
              <w:spacing w:after="0"/>
              <w:jc w:val="center"/>
              <w:rPr>
                <w:color w:val="000000"/>
                <w:sz w:val="20"/>
                <w:szCs w:val="20"/>
              </w:rPr>
            </w:pPr>
            <w:r w:rsidRPr="00297885">
              <w:rPr>
                <w:color w:val="000000"/>
                <w:sz w:val="20"/>
                <w:szCs w:val="20"/>
              </w:rPr>
              <w:t xml:space="preserve">$103,439 </w:t>
            </w:r>
          </w:p>
        </w:tc>
        <w:tc>
          <w:tcPr>
            <w:tcW w:w="1566" w:type="dxa"/>
            <w:tcBorders>
              <w:top w:val="single" w:sz="4" w:space="0" w:color="auto"/>
              <w:left w:val="nil"/>
              <w:bottom w:val="nil"/>
              <w:right w:val="single" w:sz="8" w:space="0" w:color="000000"/>
            </w:tcBorders>
            <w:shd w:val="clear" w:color="auto" w:fill="auto"/>
            <w:vAlign w:val="center"/>
            <w:hideMark/>
          </w:tcPr>
          <w:p w:rsidR="008C5359" w:rsidRPr="00297885" w:rsidP="004D49B9" w14:paraId="49F0EBAD" w14:textId="77777777">
            <w:pPr>
              <w:spacing w:after="0"/>
              <w:jc w:val="center"/>
              <w:rPr>
                <w:color w:val="000000"/>
                <w:sz w:val="20"/>
                <w:szCs w:val="20"/>
              </w:rPr>
            </w:pPr>
            <w:r w:rsidRPr="00297885">
              <w:rPr>
                <w:color w:val="000000"/>
                <w:sz w:val="20"/>
                <w:szCs w:val="20"/>
              </w:rPr>
              <w:t xml:space="preserve">$0.00 </w:t>
            </w:r>
          </w:p>
        </w:tc>
        <w:tc>
          <w:tcPr>
            <w:tcW w:w="1566" w:type="dxa"/>
            <w:tcBorders>
              <w:top w:val="single" w:sz="4" w:space="0" w:color="auto"/>
              <w:left w:val="nil"/>
              <w:bottom w:val="nil"/>
              <w:right w:val="single" w:sz="8" w:space="0" w:color="auto"/>
            </w:tcBorders>
            <w:shd w:val="clear" w:color="auto" w:fill="auto"/>
            <w:vAlign w:val="center"/>
            <w:hideMark/>
          </w:tcPr>
          <w:p w:rsidR="008C5359" w:rsidRPr="00297885" w:rsidP="004D49B9" w14:paraId="3A8E2949" w14:textId="77777777">
            <w:pPr>
              <w:spacing w:after="0"/>
              <w:jc w:val="center"/>
              <w:rPr>
                <w:color w:val="000000"/>
                <w:sz w:val="20"/>
                <w:szCs w:val="20"/>
              </w:rPr>
            </w:pPr>
            <w:r w:rsidRPr="00297885">
              <w:rPr>
                <w:color w:val="000000"/>
                <w:sz w:val="20"/>
                <w:szCs w:val="20"/>
              </w:rPr>
              <w:t xml:space="preserve">$103,439 </w:t>
            </w:r>
          </w:p>
        </w:tc>
      </w:tr>
      <w:tr w14:paraId="6D71E2C6" w14:textId="77777777" w:rsidTr="00146722">
        <w:tblPrEx>
          <w:tblW w:w="10070" w:type="dxa"/>
          <w:tblLayout w:type="fixed"/>
          <w:tblLook w:val="04A0"/>
        </w:tblPrEx>
        <w:trPr>
          <w:trHeight w:val="432"/>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5359" w:rsidRPr="00297885" w:rsidP="004D49B9" w14:paraId="7CC6EECF" w14:textId="77777777">
            <w:pPr>
              <w:spacing w:after="0"/>
              <w:rPr>
                <w:b/>
                <w:bCs/>
                <w:color w:val="000000"/>
                <w:sz w:val="20"/>
                <w:szCs w:val="20"/>
              </w:rPr>
            </w:pPr>
            <w:r w:rsidRPr="00297885">
              <w:rPr>
                <w:b/>
                <w:bCs/>
                <w:color w:val="000000"/>
                <w:sz w:val="20"/>
                <w:szCs w:val="20"/>
              </w:rPr>
              <w:t>CWSRF State Audit</w:t>
            </w:r>
          </w:p>
        </w:tc>
        <w:tc>
          <w:tcPr>
            <w:tcW w:w="1566" w:type="dxa"/>
            <w:tcBorders>
              <w:top w:val="single" w:sz="8" w:space="0" w:color="auto"/>
              <w:left w:val="nil"/>
              <w:bottom w:val="single" w:sz="8" w:space="0" w:color="000000"/>
              <w:right w:val="single" w:sz="8" w:space="0" w:color="000000"/>
            </w:tcBorders>
            <w:shd w:val="clear" w:color="auto" w:fill="auto"/>
            <w:vAlign w:val="center"/>
            <w:hideMark/>
          </w:tcPr>
          <w:p w:rsidR="008C5359" w:rsidRPr="00297885" w:rsidP="004D49B9" w14:paraId="76C481D8" w14:textId="77777777">
            <w:pPr>
              <w:spacing w:after="0"/>
              <w:jc w:val="center"/>
              <w:rPr>
                <w:color w:val="000000"/>
                <w:sz w:val="20"/>
                <w:szCs w:val="20"/>
              </w:rPr>
            </w:pPr>
            <w:r w:rsidRPr="00297885">
              <w:rPr>
                <w:color w:val="000000"/>
                <w:sz w:val="20"/>
                <w:szCs w:val="20"/>
              </w:rPr>
              <w:t>940</w:t>
            </w:r>
          </w:p>
        </w:tc>
        <w:tc>
          <w:tcPr>
            <w:tcW w:w="1566" w:type="dxa"/>
            <w:tcBorders>
              <w:top w:val="single" w:sz="8" w:space="0" w:color="auto"/>
              <w:left w:val="nil"/>
              <w:bottom w:val="single" w:sz="8" w:space="0" w:color="auto"/>
              <w:right w:val="single" w:sz="8" w:space="0" w:color="000000"/>
            </w:tcBorders>
            <w:shd w:val="clear" w:color="auto" w:fill="auto"/>
            <w:vAlign w:val="center"/>
            <w:hideMark/>
          </w:tcPr>
          <w:p w:rsidR="008C5359" w:rsidRPr="00297885" w:rsidP="004D49B9" w14:paraId="6BB6250A" w14:textId="77777777">
            <w:pPr>
              <w:spacing w:after="0"/>
              <w:jc w:val="center"/>
              <w:rPr>
                <w:color w:val="000000"/>
                <w:sz w:val="20"/>
                <w:szCs w:val="20"/>
              </w:rPr>
            </w:pPr>
            <w:r w:rsidRPr="00297885">
              <w:rPr>
                <w:color w:val="000000"/>
                <w:sz w:val="20"/>
                <w:szCs w:val="20"/>
              </w:rPr>
              <w:t xml:space="preserve">$69.19 </w:t>
            </w:r>
          </w:p>
        </w:tc>
        <w:tc>
          <w:tcPr>
            <w:tcW w:w="1566" w:type="dxa"/>
            <w:tcBorders>
              <w:top w:val="single" w:sz="8" w:space="0" w:color="auto"/>
              <w:left w:val="nil"/>
              <w:bottom w:val="single" w:sz="8" w:space="0" w:color="auto"/>
              <w:right w:val="single" w:sz="8" w:space="0" w:color="000000"/>
            </w:tcBorders>
            <w:shd w:val="clear" w:color="auto" w:fill="auto"/>
            <w:vAlign w:val="center"/>
            <w:hideMark/>
          </w:tcPr>
          <w:p w:rsidR="008C5359" w:rsidRPr="00297885" w:rsidP="004D49B9" w14:paraId="45B7EE4A" w14:textId="77777777">
            <w:pPr>
              <w:spacing w:after="0"/>
              <w:jc w:val="center"/>
              <w:rPr>
                <w:color w:val="000000"/>
                <w:sz w:val="20"/>
                <w:szCs w:val="20"/>
              </w:rPr>
            </w:pPr>
            <w:r w:rsidRPr="00297885">
              <w:rPr>
                <w:color w:val="000000"/>
                <w:sz w:val="20"/>
                <w:szCs w:val="20"/>
              </w:rPr>
              <w:t xml:space="preserve">$65,039 </w:t>
            </w:r>
          </w:p>
        </w:tc>
        <w:tc>
          <w:tcPr>
            <w:tcW w:w="1566" w:type="dxa"/>
            <w:tcBorders>
              <w:top w:val="single" w:sz="8" w:space="0" w:color="auto"/>
              <w:left w:val="nil"/>
              <w:bottom w:val="single" w:sz="8" w:space="0" w:color="auto"/>
              <w:right w:val="single" w:sz="8" w:space="0" w:color="000000"/>
            </w:tcBorders>
            <w:shd w:val="clear" w:color="auto" w:fill="auto"/>
            <w:vAlign w:val="center"/>
            <w:hideMark/>
          </w:tcPr>
          <w:p w:rsidR="008C5359" w:rsidRPr="00297885" w:rsidP="004D49B9" w14:paraId="3C3D57E3" w14:textId="77777777">
            <w:pPr>
              <w:spacing w:after="0"/>
              <w:jc w:val="center"/>
              <w:rPr>
                <w:color w:val="000000"/>
                <w:sz w:val="20"/>
                <w:szCs w:val="20"/>
              </w:rPr>
            </w:pPr>
            <w:r w:rsidRPr="00297885">
              <w:rPr>
                <w:color w:val="000000"/>
                <w:sz w:val="20"/>
                <w:szCs w:val="20"/>
              </w:rPr>
              <w:t xml:space="preserve">$0.00 </w:t>
            </w:r>
          </w:p>
        </w:tc>
        <w:tc>
          <w:tcPr>
            <w:tcW w:w="1566" w:type="dxa"/>
            <w:tcBorders>
              <w:top w:val="single" w:sz="8" w:space="0" w:color="auto"/>
              <w:left w:val="nil"/>
              <w:bottom w:val="single" w:sz="8" w:space="0" w:color="auto"/>
              <w:right w:val="single" w:sz="8" w:space="0" w:color="auto"/>
            </w:tcBorders>
            <w:shd w:val="clear" w:color="auto" w:fill="auto"/>
            <w:vAlign w:val="center"/>
            <w:hideMark/>
          </w:tcPr>
          <w:p w:rsidR="008C5359" w:rsidRPr="00297885" w:rsidP="004D49B9" w14:paraId="1861727D" w14:textId="77777777">
            <w:pPr>
              <w:spacing w:after="0"/>
              <w:jc w:val="center"/>
              <w:rPr>
                <w:color w:val="000000"/>
                <w:sz w:val="20"/>
                <w:szCs w:val="20"/>
              </w:rPr>
            </w:pPr>
            <w:r w:rsidRPr="00297885">
              <w:rPr>
                <w:color w:val="000000"/>
                <w:sz w:val="20"/>
                <w:szCs w:val="20"/>
              </w:rPr>
              <w:t xml:space="preserve">$65,039 </w:t>
            </w:r>
          </w:p>
        </w:tc>
      </w:tr>
      <w:tr w14:paraId="0E2F5519" w14:textId="77777777" w:rsidTr="00437851">
        <w:tblPrEx>
          <w:tblW w:w="10070" w:type="dxa"/>
          <w:tblLayout w:type="fixed"/>
          <w:tblLook w:val="04A0"/>
        </w:tblPrEx>
        <w:trPr>
          <w:trHeight w:val="432"/>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rsidR="008C5359" w:rsidRPr="00297885" w:rsidP="004D49B9" w14:paraId="4515BD11" w14:textId="77777777">
            <w:pPr>
              <w:spacing w:after="0"/>
              <w:rPr>
                <w:b/>
                <w:bCs/>
                <w:color w:val="000000"/>
                <w:sz w:val="20"/>
                <w:szCs w:val="20"/>
              </w:rPr>
            </w:pPr>
            <w:r w:rsidRPr="00297885">
              <w:rPr>
                <w:b/>
                <w:bCs/>
                <w:color w:val="000000"/>
                <w:sz w:val="20"/>
                <w:szCs w:val="20"/>
              </w:rPr>
              <w:t>DWSRF State Audit</w:t>
            </w:r>
          </w:p>
        </w:tc>
        <w:tc>
          <w:tcPr>
            <w:tcW w:w="1566" w:type="dxa"/>
            <w:tcBorders>
              <w:top w:val="nil"/>
              <w:left w:val="nil"/>
              <w:bottom w:val="single" w:sz="8" w:space="0" w:color="000000"/>
              <w:right w:val="single" w:sz="8" w:space="0" w:color="000000"/>
            </w:tcBorders>
            <w:shd w:val="clear" w:color="auto" w:fill="auto"/>
            <w:vAlign w:val="center"/>
            <w:hideMark/>
          </w:tcPr>
          <w:p w:rsidR="008C5359" w:rsidRPr="00297885" w:rsidP="004D49B9" w14:paraId="6E0307D2" w14:textId="77777777">
            <w:pPr>
              <w:spacing w:after="0"/>
              <w:jc w:val="center"/>
              <w:rPr>
                <w:color w:val="000000"/>
                <w:sz w:val="20"/>
                <w:szCs w:val="20"/>
              </w:rPr>
            </w:pPr>
            <w:r w:rsidRPr="00297885">
              <w:rPr>
                <w:color w:val="000000"/>
                <w:sz w:val="20"/>
                <w:szCs w:val="20"/>
              </w:rPr>
              <w:t>940</w:t>
            </w:r>
          </w:p>
        </w:tc>
        <w:tc>
          <w:tcPr>
            <w:tcW w:w="1566" w:type="dxa"/>
            <w:tcBorders>
              <w:top w:val="nil"/>
              <w:left w:val="nil"/>
              <w:bottom w:val="single" w:sz="8" w:space="0" w:color="auto"/>
              <w:right w:val="single" w:sz="8" w:space="0" w:color="000000"/>
            </w:tcBorders>
            <w:shd w:val="clear" w:color="auto" w:fill="auto"/>
            <w:vAlign w:val="center"/>
            <w:hideMark/>
          </w:tcPr>
          <w:p w:rsidR="008C5359" w:rsidRPr="00297885" w:rsidP="004D49B9" w14:paraId="054FEA8B" w14:textId="77777777">
            <w:pPr>
              <w:spacing w:after="0"/>
              <w:jc w:val="center"/>
              <w:rPr>
                <w:color w:val="000000"/>
                <w:sz w:val="20"/>
                <w:szCs w:val="20"/>
              </w:rPr>
            </w:pPr>
            <w:r w:rsidRPr="00297885">
              <w:rPr>
                <w:color w:val="000000"/>
                <w:sz w:val="20"/>
                <w:szCs w:val="20"/>
              </w:rPr>
              <w:t xml:space="preserve">$69.19 </w:t>
            </w:r>
          </w:p>
        </w:tc>
        <w:tc>
          <w:tcPr>
            <w:tcW w:w="1566" w:type="dxa"/>
            <w:tcBorders>
              <w:top w:val="nil"/>
              <w:left w:val="nil"/>
              <w:bottom w:val="single" w:sz="8" w:space="0" w:color="auto"/>
              <w:right w:val="single" w:sz="8" w:space="0" w:color="000000"/>
            </w:tcBorders>
            <w:shd w:val="clear" w:color="auto" w:fill="auto"/>
            <w:vAlign w:val="center"/>
            <w:hideMark/>
          </w:tcPr>
          <w:p w:rsidR="008C5359" w:rsidRPr="00297885" w:rsidP="004D49B9" w14:paraId="65E595A9" w14:textId="77777777">
            <w:pPr>
              <w:spacing w:after="0"/>
              <w:jc w:val="center"/>
              <w:rPr>
                <w:color w:val="000000"/>
                <w:sz w:val="20"/>
                <w:szCs w:val="20"/>
              </w:rPr>
            </w:pPr>
            <w:r w:rsidRPr="00297885">
              <w:rPr>
                <w:color w:val="000000"/>
                <w:sz w:val="20"/>
                <w:szCs w:val="20"/>
              </w:rPr>
              <w:t xml:space="preserve">$65,039 </w:t>
            </w:r>
          </w:p>
        </w:tc>
        <w:tc>
          <w:tcPr>
            <w:tcW w:w="1566" w:type="dxa"/>
            <w:tcBorders>
              <w:top w:val="nil"/>
              <w:left w:val="nil"/>
              <w:bottom w:val="single" w:sz="8" w:space="0" w:color="auto"/>
              <w:right w:val="single" w:sz="8" w:space="0" w:color="000000"/>
            </w:tcBorders>
            <w:shd w:val="clear" w:color="auto" w:fill="auto"/>
            <w:vAlign w:val="center"/>
            <w:hideMark/>
          </w:tcPr>
          <w:p w:rsidR="008C5359" w:rsidRPr="00297885" w:rsidP="004D49B9" w14:paraId="33AB52F5" w14:textId="77777777">
            <w:pPr>
              <w:spacing w:after="0"/>
              <w:jc w:val="center"/>
              <w:rPr>
                <w:color w:val="000000"/>
                <w:sz w:val="20"/>
                <w:szCs w:val="20"/>
              </w:rPr>
            </w:pPr>
            <w:r w:rsidRPr="00297885">
              <w:rPr>
                <w:color w:val="000000"/>
                <w:sz w:val="20"/>
                <w:szCs w:val="20"/>
              </w:rPr>
              <w:t xml:space="preserve">$0.00 </w:t>
            </w:r>
          </w:p>
        </w:tc>
        <w:tc>
          <w:tcPr>
            <w:tcW w:w="1566" w:type="dxa"/>
            <w:tcBorders>
              <w:top w:val="nil"/>
              <w:left w:val="nil"/>
              <w:bottom w:val="single" w:sz="8" w:space="0" w:color="auto"/>
              <w:right w:val="single" w:sz="8" w:space="0" w:color="auto"/>
            </w:tcBorders>
            <w:shd w:val="clear" w:color="auto" w:fill="auto"/>
            <w:vAlign w:val="center"/>
            <w:hideMark/>
          </w:tcPr>
          <w:p w:rsidR="008C5359" w:rsidRPr="00297885" w:rsidP="004D49B9" w14:paraId="4E9A3D52" w14:textId="77777777">
            <w:pPr>
              <w:spacing w:after="0"/>
              <w:jc w:val="center"/>
              <w:rPr>
                <w:color w:val="000000"/>
                <w:sz w:val="20"/>
                <w:szCs w:val="20"/>
              </w:rPr>
            </w:pPr>
            <w:r w:rsidRPr="00297885">
              <w:rPr>
                <w:color w:val="000000"/>
                <w:sz w:val="20"/>
                <w:szCs w:val="20"/>
              </w:rPr>
              <w:t xml:space="preserve">$65,039 </w:t>
            </w:r>
          </w:p>
        </w:tc>
      </w:tr>
      <w:tr w14:paraId="57E279EC" w14:textId="77777777" w:rsidTr="00437851">
        <w:tblPrEx>
          <w:tblW w:w="10070" w:type="dxa"/>
          <w:tblLayout w:type="fixed"/>
          <w:tblLook w:val="04A0"/>
        </w:tblPrEx>
        <w:trPr>
          <w:trHeight w:val="432"/>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8C5359" w:rsidRPr="00297885" w:rsidP="004D49B9" w14:paraId="48E05F8C" w14:textId="77777777">
            <w:pPr>
              <w:spacing w:after="0"/>
              <w:rPr>
                <w:b/>
                <w:bCs/>
                <w:color w:val="000000"/>
                <w:sz w:val="20"/>
                <w:szCs w:val="20"/>
              </w:rPr>
            </w:pPr>
            <w:r w:rsidRPr="00297885">
              <w:rPr>
                <w:b/>
                <w:bCs/>
                <w:color w:val="000000"/>
                <w:sz w:val="20"/>
                <w:szCs w:val="20"/>
              </w:rPr>
              <w:t>CWSRF Financial and Project Data</w:t>
            </w:r>
          </w:p>
        </w:tc>
        <w:tc>
          <w:tcPr>
            <w:tcW w:w="1566" w:type="dxa"/>
            <w:tcBorders>
              <w:top w:val="nil"/>
              <w:left w:val="nil"/>
              <w:bottom w:val="single" w:sz="8" w:space="0" w:color="000000"/>
              <w:right w:val="single" w:sz="8" w:space="0" w:color="000000"/>
            </w:tcBorders>
            <w:shd w:val="clear" w:color="auto" w:fill="auto"/>
            <w:vAlign w:val="center"/>
            <w:hideMark/>
          </w:tcPr>
          <w:p w:rsidR="008C5359" w:rsidRPr="00297885" w:rsidP="004D49B9" w14:paraId="62BE51ED" w14:textId="77777777">
            <w:pPr>
              <w:spacing w:after="0"/>
              <w:jc w:val="center"/>
              <w:rPr>
                <w:color w:val="000000"/>
                <w:sz w:val="20"/>
                <w:szCs w:val="20"/>
              </w:rPr>
            </w:pPr>
            <w:r w:rsidRPr="00297885">
              <w:rPr>
                <w:color w:val="000000"/>
                <w:sz w:val="20"/>
                <w:szCs w:val="20"/>
              </w:rPr>
              <w:t>3,876</w:t>
            </w:r>
          </w:p>
        </w:tc>
        <w:tc>
          <w:tcPr>
            <w:tcW w:w="1566" w:type="dxa"/>
            <w:tcBorders>
              <w:top w:val="nil"/>
              <w:left w:val="nil"/>
              <w:bottom w:val="single" w:sz="8" w:space="0" w:color="auto"/>
              <w:right w:val="single" w:sz="8" w:space="0" w:color="000000"/>
            </w:tcBorders>
            <w:shd w:val="clear" w:color="auto" w:fill="auto"/>
            <w:vAlign w:val="center"/>
            <w:hideMark/>
          </w:tcPr>
          <w:p w:rsidR="008C5359" w:rsidRPr="00297885" w:rsidP="004D49B9" w14:paraId="3A59E9A8" w14:textId="77777777">
            <w:pPr>
              <w:spacing w:after="0"/>
              <w:jc w:val="center"/>
              <w:rPr>
                <w:color w:val="000000"/>
                <w:sz w:val="20"/>
                <w:szCs w:val="20"/>
              </w:rPr>
            </w:pPr>
            <w:r w:rsidRPr="00297885">
              <w:rPr>
                <w:color w:val="000000"/>
                <w:sz w:val="20"/>
                <w:szCs w:val="20"/>
              </w:rPr>
              <w:t xml:space="preserve">$69.19 </w:t>
            </w:r>
          </w:p>
        </w:tc>
        <w:tc>
          <w:tcPr>
            <w:tcW w:w="1566" w:type="dxa"/>
            <w:tcBorders>
              <w:top w:val="nil"/>
              <w:left w:val="nil"/>
              <w:bottom w:val="single" w:sz="8" w:space="0" w:color="auto"/>
              <w:right w:val="single" w:sz="8" w:space="0" w:color="000000"/>
            </w:tcBorders>
            <w:shd w:val="clear" w:color="auto" w:fill="auto"/>
            <w:vAlign w:val="center"/>
            <w:hideMark/>
          </w:tcPr>
          <w:p w:rsidR="008C5359" w:rsidRPr="00297885" w:rsidP="004D49B9" w14:paraId="2665B5D6" w14:textId="77777777">
            <w:pPr>
              <w:spacing w:after="0"/>
              <w:jc w:val="center"/>
              <w:rPr>
                <w:color w:val="000000"/>
                <w:sz w:val="20"/>
                <w:szCs w:val="20"/>
              </w:rPr>
            </w:pPr>
            <w:r w:rsidRPr="00297885">
              <w:rPr>
                <w:color w:val="000000"/>
                <w:sz w:val="20"/>
                <w:szCs w:val="20"/>
              </w:rPr>
              <w:t xml:space="preserve">$268,180 </w:t>
            </w:r>
          </w:p>
        </w:tc>
        <w:tc>
          <w:tcPr>
            <w:tcW w:w="1566" w:type="dxa"/>
            <w:tcBorders>
              <w:top w:val="nil"/>
              <w:left w:val="nil"/>
              <w:bottom w:val="single" w:sz="8" w:space="0" w:color="000000"/>
              <w:right w:val="single" w:sz="8" w:space="0" w:color="000000"/>
            </w:tcBorders>
            <w:shd w:val="clear" w:color="auto" w:fill="auto"/>
            <w:vAlign w:val="center"/>
            <w:hideMark/>
          </w:tcPr>
          <w:p w:rsidR="008C5359" w:rsidRPr="00297885" w:rsidP="004D49B9" w14:paraId="26FDAA7C" w14:textId="77777777">
            <w:pPr>
              <w:spacing w:after="0"/>
              <w:jc w:val="center"/>
              <w:rPr>
                <w:color w:val="000000"/>
                <w:sz w:val="20"/>
                <w:szCs w:val="20"/>
              </w:rPr>
            </w:pPr>
            <w:r w:rsidRPr="00297885">
              <w:rPr>
                <w:color w:val="000000"/>
                <w:sz w:val="20"/>
                <w:szCs w:val="20"/>
              </w:rPr>
              <w:t xml:space="preserve">$200,000 </w:t>
            </w:r>
          </w:p>
        </w:tc>
        <w:tc>
          <w:tcPr>
            <w:tcW w:w="1566" w:type="dxa"/>
            <w:tcBorders>
              <w:top w:val="nil"/>
              <w:left w:val="nil"/>
              <w:bottom w:val="single" w:sz="8" w:space="0" w:color="auto"/>
              <w:right w:val="single" w:sz="8" w:space="0" w:color="auto"/>
            </w:tcBorders>
            <w:shd w:val="clear" w:color="auto" w:fill="auto"/>
            <w:vAlign w:val="center"/>
            <w:hideMark/>
          </w:tcPr>
          <w:p w:rsidR="008C5359" w:rsidRPr="00297885" w:rsidP="004D49B9" w14:paraId="6C82256B" w14:textId="77777777">
            <w:pPr>
              <w:spacing w:after="0"/>
              <w:jc w:val="center"/>
              <w:rPr>
                <w:color w:val="000000"/>
                <w:sz w:val="20"/>
                <w:szCs w:val="20"/>
              </w:rPr>
            </w:pPr>
            <w:r w:rsidRPr="00297885">
              <w:rPr>
                <w:color w:val="000000"/>
                <w:sz w:val="20"/>
                <w:szCs w:val="20"/>
              </w:rPr>
              <w:t xml:space="preserve">$468,180 </w:t>
            </w:r>
          </w:p>
        </w:tc>
      </w:tr>
      <w:tr w14:paraId="6CA57445" w14:textId="77777777" w:rsidTr="00437851">
        <w:tblPrEx>
          <w:tblW w:w="10070" w:type="dxa"/>
          <w:tblLayout w:type="fixed"/>
          <w:tblLook w:val="04A0"/>
        </w:tblPrEx>
        <w:trPr>
          <w:trHeight w:val="432"/>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8C5359" w:rsidRPr="00297885" w:rsidP="004D49B9" w14:paraId="266C3CE9" w14:textId="77777777">
            <w:pPr>
              <w:spacing w:after="0"/>
              <w:rPr>
                <w:b/>
                <w:bCs/>
                <w:color w:val="000000"/>
                <w:sz w:val="20"/>
                <w:szCs w:val="20"/>
              </w:rPr>
            </w:pPr>
            <w:r w:rsidRPr="00297885">
              <w:rPr>
                <w:b/>
                <w:bCs/>
                <w:color w:val="000000"/>
                <w:sz w:val="20"/>
                <w:szCs w:val="20"/>
              </w:rPr>
              <w:t>DWSRF Financial and Project Data</w:t>
            </w:r>
          </w:p>
        </w:tc>
        <w:tc>
          <w:tcPr>
            <w:tcW w:w="1566" w:type="dxa"/>
            <w:tcBorders>
              <w:top w:val="nil"/>
              <w:left w:val="nil"/>
              <w:bottom w:val="single" w:sz="8" w:space="0" w:color="000000"/>
              <w:right w:val="single" w:sz="8" w:space="0" w:color="000000"/>
            </w:tcBorders>
            <w:shd w:val="clear" w:color="auto" w:fill="auto"/>
            <w:vAlign w:val="center"/>
            <w:hideMark/>
          </w:tcPr>
          <w:p w:rsidR="008C5359" w:rsidRPr="00297885" w:rsidP="004D49B9" w14:paraId="216978E2" w14:textId="77777777">
            <w:pPr>
              <w:spacing w:after="0"/>
              <w:jc w:val="center"/>
              <w:rPr>
                <w:color w:val="000000"/>
                <w:sz w:val="20"/>
                <w:szCs w:val="20"/>
              </w:rPr>
            </w:pPr>
            <w:r w:rsidRPr="00297885">
              <w:rPr>
                <w:color w:val="000000"/>
                <w:sz w:val="20"/>
                <w:szCs w:val="20"/>
              </w:rPr>
              <w:t>3,876</w:t>
            </w:r>
          </w:p>
        </w:tc>
        <w:tc>
          <w:tcPr>
            <w:tcW w:w="1566" w:type="dxa"/>
            <w:tcBorders>
              <w:top w:val="nil"/>
              <w:left w:val="nil"/>
              <w:bottom w:val="single" w:sz="8" w:space="0" w:color="auto"/>
              <w:right w:val="single" w:sz="8" w:space="0" w:color="000000"/>
            </w:tcBorders>
            <w:shd w:val="clear" w:color="auto" w:fill="auto"/>
            <w:vAlign w:val="center"/>
            <w:hideMark/>
          </w:tcPr>
          <w:p w:rsidR="008C5359" w:rsidRPr="00297885" w:rsidP="004D49B9" w14:paraId="664F3F74" w14:textId="77777777">
            <w:pPr>
              <w:spacing w:after="0"/>
              <w:jc w:val="center"/>
              <w:rPr>
                <w:color w:val="000000"/>
                <w:sz w:val="20"/>
                <w:szCs w:val="20"/>
              </w:rPr>
            </w:pPr>
            <w:r w:rsidRPr="00297885">
              <w:rPr>
                <w:color w:val="000000"/>
                <w:sz w:val="20"/>
                <w:szCs w:val="20"/>
              </w:rPr>
              <w:t xml:space="preserve">$69.19 </w:t>
            </w:r>
          </w:p>
        </w:tc>
        <w:tc>
          <w:tcPr>
            <w:tcW w:w="1566" w:type="dxa"/>
            <w:tcBorders>
              <w:top w:val="nil"/>
              <w:left w:val="nil"/>
              <w:bottom w:val="single" w:sz="8" w:space="0" w:color="auto"/>
              <w:right w:val="single" w:sz="8" w:space="0" w:color="000000"/>
            </w:tcBorders>
            <w:shd w:val="clear" w:color="auto" w:fill="auto"/>
            <w:vAlign w:val="center"/>
            <w:hideMark/>
          </w:tcPr>
          <w:p w:rsidR="008C5359" w:rsidRPr="00297885" w:rsidP="004D49B9" w14:paraId="09423EAE" w14:textId="77777777">
            <w:pPr>
              <w:spacing w:after="0"/>
              <w:jc w:val="center"/>
              <w:rPr>
                <w:color w:val="000000"/>
                <w:sz w:val="20"/>
                <w:szCs w:val="20"/>
              </w:rPr>
            </w:pPr>
            <w:r w:rsidRPr="00297885">
              <w:rPr>
                <w:color w:val="000000"/>
                <w:sz w:val="20"/>
                <w:szCs w:val="20"/>
              </w:rPr>
              <w:t xml:space="preserve">$268,180 </w:t>
            </w:r>
          </w:p>
        </w:tc>
        <w:tc>
          <w:tcPr>
            <w:tcW w:w="1566" w:type="dxa"/>
            <w:tcBorders>
              <w:top w:val="nil"/>
              <w:left w:val="nil"/>
              <w:bottom w:val="single" w:sz="8" w:space="0" w:color="000000"/>
              <w:right w:val="single" w:sz="8" w:space="0" w:color="000000"/>
            </w:tcBorders>
            <w:shd w:val="clear" w:color="auto" w:fill="auto"/>
            <w:vAlign w:val="center"/>
            <w:hideMark/>
          </w:tcPr>
          <w:p w:rsidR="008C5359" w:rsidRPr="00297885" w:rsidP="004D49B9" w14:paraId="4D6B3E26" w14:textId="77777777">
            <w:pPr>
              <w:spacing w:after="0"/>
              <w:jc w:val="center"/>
              <w:rPr>
                <w:color w:val="000000"/>
                <w:sz w:val="20"/>
                <w:szCs w:val="20"/>
              </w:rPr>
            </w:pPr>
            <w:r w:rsidRPr="00297885">
              <w:rPr>
                <w:color w:val="000000"/>
                <w:sz w:val="20"/>
                <w:szCs w:val="20"/>
              </w:rPr>
              <w:t xml:space="preserve">$200,000 </w:t>
            </w:r>
          </w:p>
        </w:tc>
        <w:tc>
          <w:tcPr>
            <w:tcW w:w="1566" w:type="dxa"/>
            <w:tcBorders>
              <w:top w:val="nil"/>
              <w:left w:val="nil"/>
              <w:bottom w:val="single" w:sz="8" w:space="0" w:color="auto"/>
              <w:right w:val="single" w:sz="8" w:space="0" w:color="auto"/>
            </w:tcBorders>
            <w:shd w:val="clear" w:color="auto" w:fill="auto"/>
            <w:vAlign w:val="center"/>
            <w:hideMark/>
          </w:tcPr>
          <w:p w:rsidR="008C5359" w:rsidRPr="00297885" w:rsidP="004D49B9" w14:paraId="263C26B3" w14:textId="77777777">
            <w:pPr>
              <w:spacing w:after="0"/>
              <w:jc w:val="center"/>
              <w:rPr>
                <w:color w:val="000000"/>
                <w:sz w:val="20"/>
                <w:szCs w:val="20"/>
              </w:rPr>
            </w:pPr>
            <w:r w:rsidRPr="00297885">
              <w:rPr>
                <w:color w:val="000000"/>
                <w:sz w:val="20"/>
                <w:szCs w:val="20"/>
              </w:rPr>
              <w:t xml:space="preserve">$468,180 </w:t>
            </w:r>
          </w:p>
        </w:tc>
      </w:tr>
      <w:tr w14:paraId="08C09CFB" w14:textId="77777777" w:rsidTr="00371DCF">
        <w:tblPrEx>
          <w:tblW w:w="10070" w:type="dxa"/>
          <w:tblLayout w:type="fixed"/>
          <w:tblLook w:val="04A0"/>
        </w:tblPrEx>
        <w:trPr>
          <w:trHeight w:val="300"/>
        </w:trPr>
        <w:tc>
          <w:tcPr>
            <w:tcW w:w="10070" w:type="dxa"/>
            <w:gridSpan w:val="6"/>
            <w:tcBorders>
              <w:top w:val="nil"/>
              <w:left w:val="nil"/>
              <w:bottom w:val="nil"/>
              <w:right w:val="nil"/>
            </w:tcBorders>
            <w:shd w:val="clear" w:color="auto" w:fill="auto"/>
            <w:vAlign w:val="center"/>
            <w:hideMark/>
          </w:tcPr>
          <w:p w:rsidR="008C5359" w:rsidP="004D49B9" w14:paraId="60BCA35D" w14:textId="77777777">
            <w:pPr>
              <w:spacing w:after="0"/>
              <w:rPr>
                <w:color w:val="000000"/>
                <w:sz w:val="16"/>
                <w:szCs w:val="16"/>
              </w:rPr>
            </w:pPr>
            <w:r>
              <w:rPr>
                <w:color w:val="000000"/>
                <w:sz w:val="16"/>
                <w:szCs w:val="16"/>
              </w:rPr>
              <w:t xml:space="preserve">* The number of respondents is the 51 CWSRFs. There is no federal burden associated with the public awareness policy. </w:t>
            </w:r>
          </w:p>
          <w:p w:rsidR="004D49B9" w:rsidP="004D49B9" w14:paraId="1133BC04" w14:textId="3FD411B5">
            <w:pPr>
              <w:spacing w:after="0"/>
              <w:rPr>
                <w:color w:val="000000"/>
                <w:sz w:val="16"/>
                <w:szCs w:val="16"/>
              </w:rPr>
            </w:pPr>
          </w:p>
        </w:tc>
      </w:tr>
    </w:tbl>
    <w:p w:rsidR="00D93788" w:rsidP="00D93788" w14:paraId="1F551B72" w14:textId="77777777"/>
    <w:tbl>
      <w:tblPr>
        <w:tblW w:w="5904" w:type="dxa"/>
        <w:tblLayout w:type="fixed"/>
        <w:tblLook w:val="04A0"/>
      </w:tblPr>
      <w:tblGrid>
        <w:gridCol w:w="3744"/>
        <w:gridCol w:w="2160"/>
      </w:tblGrid>
      <w:tr w14:paraId="647F0982" w14:textId="77777777" w:rsidTr="005B4B93">
        <w:tblPrEx>
          <w:tblW w:w="5904" w:type="dxa"/>
          <w:tblLayout w:type="fixed"/>
          <w:tblLook w:val="04A0"/>
        </w:tblPrEx>
        <w:trPr>
          <w:cantSplit/>
          <w:trHeight w:val="288"/>
        </w:trPr>
        <w:tc>
          <w:tcPr>
            <w:tcW w:w="3744" w:type="dxa"/>
            <w:tcBorders>
              <w:top w:val="nil"/>
              <w:left w:val="nil"/>
              <w:bottom w:val="nil"/>
              <w:right w:val="nil"/>
            </w:tcBorders>
            <w:shd w:val="clear" w:color="auto" w:fill="auto"/>
            <w:vAlign w:val="center"/>
            <w:hideMark/>
          </w:tcPr>
          <w:p w:rsidR="00B60FD4" w:rsidRPr="00444802" w:rsidP="00050612" w14:paraId="4AFB7937" w14:textId="77777777">
            <w:pPr>
              <w:keepNext/>
              <w:spacing w:after="0"/>
              <w:rPr>
                <w:color w:val="000000"/>
                <w:sz w:val="20"/>
              </w:rPr>
            </w:pPr>
            <w:r>
              <w:rPr>
                <w:color w:val="000000"/>
                <w:sz w:val="20"/>
                <w:szCs w:val="20"/>
              </w:rPr>
              <w:t>Average Annual # of Hours:</w:t>
            </w:r>
          </w:p>
        </w:tc>
        <w:tc>
          <w:tcPr>
            <w:tcW w:w="2160" w:type="dxa"/>
            <w:tcBorders>
              <w:top w:val="nil"/>
              <w:left w:val="nil"/>
              <w:bottom w:val="nil"/>
              <w:right w:val="nil"/>
            </w:tcBorders>
            <w:shd w:val="clear" w:color="auto" w:fill="auto"/>
            <w:noWrap/>
            <w:vAlign w:val="center"/>
            <w:hideMark/>
          </w:tcPr>
          <w:p w:rsidR="00B60FD4" w:rsidRPr="00444802" w:rsidP="00050612" w14:paraId="2C661D4E" w14:textId="77777777">
            <w:pPr>
              <w:keepNext/>
              <w:spacing w:after="0"/>
              <w:jc w:val="center"/>
              <w:rPr>
                <w:color w:val="000000"/>
                <w:sz w:val="20"/>
              </w:rPr>
            </w:pPr>
            <w:r>
              <w:rPr>
                <w:color w:val="000000"/>
                <w:sz w:val="20"/>
                <w:szCs w:val="20"/>
              </w:rPr>
              <w:t>17,672</w:t>
            </w:r>
          </w:p>
        </w:tc>
      </w:tr>
      <w:tr w14:paraId="54465952" w14:textId="77777777" w:rsidTr="005B4B93">
        <w:tblPrEx>
          <w:tblW w:w="5904" w:type="dxa"/>
          <w:tblLayout w:type="fixed"/>
          <w:tblLook w:val="04A0"/>
        </w:tblPrEx>
        <w:trPr>
          <w:cantSplit/>
          <w:trHeight w:val="288"/>
        </w:trPr>
        <w:tc>
          <w:tcPr>
            <w:tcW w:w="3744" w:type="dxa"/>
            <w:tcBorders>
              <w:top w:val="nil"/>
              <w:left w:val="nil"/>
              <w:bottom w:val="nil"/>
              <w:right w:val="nil"/>
            </w:tcBorders>
            <w:shd w:val="clear" w:color="auto" w:fill="auto"/>
            <w:vAlign w:val="center"/>
            <w:hideMark/>
          </w:tcPr>
          <w:p w:rsidR="00B60FD4" w:rsidRPr="00444802" w:rsidP="00050612" w14:paraId="789CA7B3" w14:textId="77777777">
            <w:pPr>
              <w:keepNext/>
              <w:spacing w:after="0"/>
              <w:rPr>
                <w:color w:val="000000"/>
                <w:sz w:val="20"/>
              </w:rPr>
            </w:pPr>
            <w:r>
              <w:rPr>
                <w:color w:val="000000"/>
                <w:sz w:val="20"/>
                <w:szCs w:val="20"/>
              </w:rPr>
              <w:t>Average Annual Cost:</w:t>
            </w:r>
          </w:p>
        </w:tc>
        <w:tc>
          <w:tcPr>
            <w:tcW w:w="2160" w:type="dxa"/>
            <w:tcBorders>
              <w:top w:val="nil"/>
              <w:left w:val="nil"/>
              <w:bottom w:val="nil"/>
              <w:right w:val="nil"/>
            </w:tcBorders>
            <w:shd w:val="clear" w:color="auto" w:fill="auto"/>
            <w:noWrap/>
            <w:vAlign w:val="center"/>
            <w:hideMark/>
          </w:tcPr>
          <w:p w:rsidR="00B60FD4" w:rsidRPr="00444802" w:rsidP="00050612" w14:paraId="2CDA7850" w14:textId="77777777">
            <w:pPr>
              <w:keepNext/>
              <w:spacing w:after="0"/>
              <w:jc w:val="center"/>
              <w:rPr>
                <w:color w:val="000000"/>
                <w:sz w:val="20"/>
              </w:rPr>
            </w:pPr>
            <w:r>
              <w:rPr>
                <w:color w:val="000000"/>
                <w:sz w:val="20"/>
                <w:szCs w:val="20"/>
              </w:rPr>
              <w:t xml:space="preserve">$1,622,726 </w:t>
            </w:r>
          </w:p>
        </w:tc>
      </w:tr>
      <w:tr w14:paraId="08BCA3B8" w14:textId="77777777" w:rsidTr="005B4B93">
        <w:tblPrEx>
          <w:tblW w:w="5904" w:type="dxa"/>
          <w:tblLayout w:type="fixed"/>
          <w:tblLook w:val="04A0"/>
        </w:tblPrEx>
        <w:trPr>
          <w:cantSplit/>
          <w:trHeight w:val="288"/>
        </w:trPr>
        <w:tc>
          <w:tcPr>
            <w:tcW w:w="3744" w:type="dxa"/>
            <w:tcBorders>
              <w:top w:val="nil"/>
              <w:left w:val="nil"/>
              <w:bottom w:val="nil"/>
              <w:right w:val="nil"/>
            </w:tcBorders>
            <w:shd w:val="clear" w:color="auto" w:fill="auto"/>
            <w:vAlign w:val="center"/>
            <w:hideMark/>
          </w:tcPr>
          <w:p w:rsidR="00B60FD4" w:rsidRPr="00444802" w:rsidP="00050612" w14:paraId="29DD8AD6" w14:textId="77777777">
            <w:pPr>
              <w:keepNext/>
              <w:spacing w:after="0"/>
              <w:rPr>
                <w:color w:val="000000"/>
                <w:sz w:val="20"/>
              </w:rPr>
            </w:pPr>
            <w:r>
              <w:rPr>
                <w:color w:val="000000"/>
                <w:sz w:val="20"/>
                <w:szCs w:val="20"/>
              </w:rPr>
              <w:t>Total # of Hours (FFY 2023 to FFY 2025):</w:t>
            </w:r>
          </w:p>
        </w:tc>
        <w:tc>
          <w:tcPr>
            <w:tcW w:w="2160" w:type="dxa"/>
            <w:tcBorders>
              <w:top w:val="nil"/>
              <w:left w:val="nil"/>
              <w:bottom w:val="nil"/>
              <w:right w:val="nil"/>
            </w:tcBorders>
            <w:shd w:val="clear" w:color="auto" w:fill="auto"/>
            <w:noWrap/>
            <w:vAlign w:val="center"/>
            <w:hideMark/>
          </w:tcPr>
          <w:p w:rsidR="00B60FD4" w:rsidRPr="00444802" w:rsidP="00050612" w14:paraId="33240ABC" w14:textId="77777777">
            <w:pPr>
              <w:keepNext/>
              <w:spacing w:after="0"/>
              <w:jc w:val="center"/>
              <w:rPr>
                <w:color w:val="000000"/>
                <w:sz w:val="20"/>
                <w:szCs w:val="20"/>
              </w:rPr>
            </w:pPr>
            <w:r>
              <w:rPr>
                <w:color w:val="000000"/>
                <w:sz w:val="20"/>
                <w:szCs w:val="20"/>
              </w:rPr>
              <w:t>53,016</w:t>
            </w:r>
          </w:p>
        </w:tc>
      </w:tr>
      <w:tr w14:paraId="5B7A6052" w14:textId="77777777" w:rsidTr="005B4B93">
        <w:tblPrEx>
          <w:tblW w:w="5904" w:type="dxa"/>
          <w:tblLayout w:type="fixed"/>
          <w:tblLook w:val="04A0"/>
        </w:tblPrEx>
        <w:trPr>
          <w:cantSplit/>
          <w:trHeight w:val="288"/>
        </w:trPr>
        <w:tc>
          <w:tcPr>
            <w:tcW w:w="3744" w:type="dxa"/>
            <w:tcBorders>
              <w:top w:val="nil"/>
              <w:left w:val="nil"/>
              <w:bottom w:val="nil"/>
              <w:right w:val="nil"/>
            </w:tcBorders>
            <w:shd w:val="clear" w:color="auto" w:fill="auto"/>
            <w:vAlign w:val="center"/>
            <w:hideMark/>
          </w:tcPr>
          <w:p w:rsidR="00B60FD4" w:rsidRPr="00444802" w:rsidP="00050612" w14:paraId="47E18004" w14:textId="77777777">
            <w:pPr>
              <w:keepNext/>
              <w:spacing w:after="0"/>
              <w:rPr>
                <w:color w:val="000000"/>
                <w:sz w:val="20"/>
              </w:rPr>
            </w:pPr>
            <w:r>
              <w:rPr>
                <w:color w:val="000000"/>
                <w:sz w:val="20"/>
                <w:szCs w:val="20"/>
              </w:rPr>
              <w:t>Total Cost (FFY 2023 to FFY 2025):</w:t>
            </w:r>
          </w:p>
        </w:tc>
        <w:tc>
          <w:tcPr>
            <w:tcW w:w="2160" w:type="dxa"/>
            <w:tcBorders>
              <w:top w:val="nil"/>
              <w:left w:val="nil"/>
              <w:bottom w:val="nil"/>
              <w:right w:val="nil"/>
            </w:tcBorders>
            <w:shd w:val="clear" w:color="auto" w:fill="auto"/>
            <w:noWrap/>
            <w:vAlign w:val="center"/>
            <w:hideMark/>
          </w:tcPr>
          <w:p w:rsidR="00B60FD4" w:rsidRPr="00444802" w:rsidP="00050612" w14:paraId="30F8FFCE" w14:textId="77777777">
            <w:pPr>
              <w:keepNext/>
              <w:spacing w:after="0"/>
              <w:jc w:val="center"/>
              <w:rPr>
                <w:color w:val="000000"/>
                <w:sz w:val="20"/>
              </w:rPr>
            </w:pPr>
            <w:r>
              <w:rPr>
                <w:color w:val="000000"/>
                <w:sz w:val="20"/>
                <w:szCs w:val="20"/>
              </w:rPr>
              <w:t xml:space="preserve">$4,868,177 </w:t>
            </w:r>
          </w:p>
        </w:tc>
      </w:tr>
    </w:tbl>
    <w:p w:rsidR="00B60FD4" w:rsidP="00D93788" w14:paraId="433B0A00" w14:textId="77777777"/>
    <w:p w:rsidR="00FC658E" w:rsidP="00130281" w14:paraId="4C8D6F4B" w14:textId="217993DF">
      <w:pPr>
        <w:pStyle w:val="Heading2"/>
      </w:pPr>
      <w:r>
        <w:t>F. Reasons for Change in Burden</w:t>
      </w:r>
    </w:p>
    <w:p w:rsidR="00FC658E" w:rsidRPr="00FC658E" w:rsidP="00130281" w14:paraId="2E673940" w14:textId="6241DFDC">
      <w:r>
        <w:t xml:space="preserve">The passage of IIJA created five new appropriations for SRF funding: CWSRF General Supplemental Funding, CWSRF Emerging Contaminants Funding, DWSRF General Supplemental Funding, DWSRF Emerging Contaminants Funding, and DWSRF Lead Service Line Replacement Funding. </w:t>
      </w:r>
      <w:r w:rsidR="007C0628">
        <w:t xml:space="preserve">In addition to the increased funding, the IIJA also included minor </w:t>
      </w:r>
      <w:r w:rsidR="00114C7F">
        <w:t>statutory changes that impact</w:t>
      </w:r>
      <w:r w:rsidR="005768CC">
        <w:t xml:space="preserve"> </w:t>
      </w:r>
      <w:r w:rsidR="00114C7F">
        <w:t>the reporting burden</w:t>
      </w:r>
      <w:r w:rsidR="00975AD3">
        <w:t xml:space="preserve"> associated with many of our information collection instruments</w:t>
      </w:r>
      <w:r w:rsidR="00114C7F">
        <w:t>.</w:t>
      </w:r>
      <w:r w:rsidR="00993624">
        <w:t xml:space="preserve"> </w:t>
      </w:r>
      <w:r w:rsidR="004654E5">
        <w:t>T</w:t>
      </w:r>
      <w:r w:rsidR="00EF52E1">
        <w:t xml:space="preserve">he revised estimates also reflect </w:t>
      </w:r>
      <w:r w:rsidR="004D258C">
        <w:t xml:space="preserve">feedback provided by the </w:t>
      </w:r>
      <w:r w:rsidR="00EF7509">
        <w:t>states as part of our consul</w:t>
      </w:r>
      <w:r w:rsidR="001D03FF">
        <w:t>tation process</w:t>
      </w:r>
      <w:r w:rsidR="004601C1">
        <w:t xml:space="preserve"> regarding our data collection and </w:t>
      </w:r>
      <w:r w:rsidR="00052014">
        <w:t xml:space="preserve">burden estimates. Specifically, </w:t>
      </w:r>
      <w:r w:rsidR="007B0178">
        <w:t xml:space="preserve"> </w:t>
      </w:r>
    </w:p>
    <w:p w:rsidR="00C12F0E" w:rsidRPr="00130281" w:rsidP="00130281" w14:paraId="0B221E29" w14:textId="129BF8C0">
      <w:pPr>
        <w:pStyle w:val="Heading3"/>
        <w:rPr>
          <w:b/>
          <w:bCs/>
        </w:rPr>
      </w:pPr>
      <w:r w:rsidRPr="00130281">
        <w:rPr>
          <w:b/>
          <w:bCs/>
        </w:rPr>
        <w:t>Change in CWSRF Capitalization Grant Agreement/IUP</w:t>
      </w:r>
    </w:p>
    <w:p w:rsidR="00C12F0E" w:rsidP="51801F8C" w14:paraId="10392622" w14:textId="4C54111A">
      <w:r>
        <w:t>There is a</w:t>
      </w:r>
      <w:r w:rsidR="00AF7A61">
        <w:t>n increase of 9</w:t>
      </w:r>
      <w:r w:rsidR="0025733A">
        <w:t>,</w:t>
      </w:r>
      <w:r w:rsidR="00AF7A61">
        <w:t>588 hours due to increase</w:t>
      </w:r>
      <w:r>
        <w:t>d</w:t>
      </w:r>
      <w:r w:rsidR="00AF7A61">
        <w:t xml:space="preserve"> burden </w:t>
      </w:r>
      <w:r w:rsidR="1D02DE4A">
        <w:t>from</w:t>
      </w:r>
      <w:r w:rsidR="00AF7A61">
        <w:t xml:space="preserve"> </w:t>
      </w:r>
      <w:r w:rsidR="00781A94">
        <w:t xml:space="preserve">additional </w:t>
      </w:r>
      <w:r w:rsidR="00D50D88">
        <w:t>IIJA</w:t>
      </w:r>
      <w:r w:rsidR="160ADDD8">
        <w:t xml:space="preserve"> grants</w:t>
      </w:r>
      <w:r w:rsidR="40902412">
        <w:t xml:space="preserve"> </w:t>
      </w:r>
      <w:r w:rsidR="00781A94">
        <w:t xml:space="preserve">(i.e., </w:t>
      </w:r>
      <w:r w:rsidR="00333D2A">
        <w:t xml:space="preserve">more </w:t>
      </w:r>
      <w:r w:rsidR="000C22B5">
        <w:t xml:space="preserve">award </w:t>
      </w:r>
      <w:r w:rsidR="00333D2A">
        <w:t xml:space="preserve">applications will be submitted) </w:t>
      </w:r>
      <w:r w:rsidR="40902412">
        <w:t>and</w:t>
      </w:r>
      <w:r w:rsidR="00333D2A">
        <w:t xml:space="preserve"> due to</w:t>
      </w:r>
      <w:r w:rsidR="40902412">
        <w:t xml:space="preserve"> </w:t>
      </w:r>
      <w:r w:rsidR="00753BBA">
        <w:t xml:space="preserve">the </w:t>
      </w:r>
      <w:r w:rsidR="0034489E">
        <w:t xml:space="preserve">feedback provided by the </w:t>
      </w:r>
      <w:r w:rsidR="38246CCE">
        <w:t>state</w:t>
      </w:r>
      <w:r w:rsidR="0034489E">
        <w:t>s</w:t>
      </w:r>
      <w:r w:rsidR="38246CCE">
        <w:t xml:space="preserve"> </w:t>
      </w:r>
      <w:r w:rsidR="0034489E">
        <w:t xml:space="preserve">as part of </w:t>
      </w:r>
      <w:r>
        <w:t>the</w:t>
      </w:r>
      <w:r w:rsidR="0034489E">
        <w:t xml:space="preserve"> consultation process.</w:t>
      </w:r>
    </w:p>
    <w:p w:rsidR="00AF7A61" w:rsidRPr="00130281" w:rsidP="00AF7A61" w14:paraId="5F56DA29" w14:textId="522063C5">
      <w:pPr>
        <w:pStyle w:val="Heading3"/>
        <w:rPr>
          <w:b/>
          <w:bCs/>
        </w:rPr>
      </w:pPr>
      <w:r w:rsidRPr="00130281">
        <w:rPr>
          <w:b/>
          <w:bCs/>
        </w:rPr>
        <w:t>Change in DWSRF Capitalization Grant Agreement/IUP</w:t>
      </w:r>
    </w:p>
    <w:p w:rsidR="00AF7A61" w:rsidP="00AF7A61" w14:paraId="151F9701" w14:textId="381933F1">
      <w:r>
        <w:t>There is a</w:t>
      </w:r>
      <w:r w:rsidR="00297A5D">
        <w:t>n increase of 1</w:t>
      </w:r>
      <w:r w:rsidR="003E078C">
        <w:t>,</w:t>
      </w:r>
      <w:r w:rsidR="00297A5D">
        <w:t xml:space="preserve">479 hours </w:t>
      </w:r>
      <w:r w:rsidR="003E078C">
        <w:t xml:space="preserve">due to </w:t>
      </w:r>
      <w:r w:rsidR="000C22B5">
        <w:t xml:space="preserve">increased burden from additional </w:t>
      </w:r>
      <w:r w:rsidR="00D50D88">
        <w:t>IIJA</w:t>
      </w:r>
      <w:r w:rsidR="000C22B5">
        <w:t xml:space="preserve"> grants (i.e., more award applications will be submitted) and due to the feedback provided by the states as part of the consultation process</w:t>
      </w:r>
      <w:r w:rsidR="003E078C">
        <w:t>.</w:t>
      </w:r>
    </w:p>
    <w:p w:rsidR="0086383F" w:rsidRPr="00130281" w:rsidP="0086383F" w14:paraId="32B306F5" w14:textId="2E30DCD9">
      <w:pPr>
        <w:pStyle w:val="Heading3"/>
        <w:rPr>
          <w:b/>
          <w:bCs/>
        </w:rPr>
      </w:pPr>
      <w:r w:rsidRPr="00130281">
        <w:rPr>
          <w:b/>
          <w:bCs/>
        </w:rPr>
        <w:t>Change in CWSRF Annual Report</w:t>
      </w:r>
    </w:p>
    <w:p w:rsidR="0086383F" w:rsidP="2260D4C3" w14:paraId="191EB75A" w14:textId="54D2E8AE">
      <w:r>
        <w:t>There is a</w:t>
      </w:r>
      <w:r>
        <w:t>n increase of 1</w:t>
      </w:r>
      <w:r w:rsidR="00FE67C2">
        <w:t>,</w:t>
      </w:r>
      <w:r>
        <w:t xml:space="preserve">989 hours due to increase burden </w:t>
      </w:r>
      <w:r w:rsidR="00385E56">
        <w:t>from additional</w:t>
      </w:r>
      <w:r>
        <w:t xml:space="preserve"> </w:t>
      </w:r>
      <w:r w:rsidR="00D50D88">
        <w:t>IIJA</w:t>
      </w:r>
      <w:r w:rsidR="6B4E3506">
        <w:t xml:space="preserve"> grants and </w:t>
      </w:r>
      <w:r w:rsidR="002709B1">
        <w:t xml:space="preserve">due to </w:t>
      </w:r>
      <w:r w:rsidR="00FE67C2">
        <w:t>the</w:t>
      </w:r>
      <w:r w:rsidRPr="00FE67C2" w:rsidR="00FE67C2">
        <w:t xml:space="preserve"> feedback provided by the states as part of </w:t>
      </w:r>
      <w:r w:rsidR="0011018A">
        <w:t>the</w:t>
      </w:r>
      <w:r w:rsidRPr="00FE67C2" w:rsidR="00FE67C2">
        <w:t xml:space="preserve"> consultation process.</w:t>
      </w:r>
    </w:p>
    <w:p w:rsidR="0086383F" w:rsidRPr="00130281" w:rsidP="0086383F" w14:paraId="4A6CC313" w14:textId="177C013C">
      <w:pPr>
        <w:pStyle w:val="Heading3"/>
        <w:rPr>
          <w:b/>
          <w:bCs/>
        </w:rPr>
      </w:pPr>
      <w:r w:rsidRPr="00130281">
        <w:rPr>
          <w:b/>
          <w:bCs/>
        </w:rPr>
        <w:t xml:space="preserve">Change in DWSRF </w:t>
      </w:r>
      <w:r w:rsidRPr="00130281" w:rsidR="001127D9">
        <w:rPr>
          <w:b/>
          <w:bCs/>
        </w:rPr>
        <w:t>Annual Report</w:t>
      </w:r>
    </w:p>
    <w:p w:rsidR="0086383F" w:rsidP="0086383F" w14:paraId="49847F67" w14:textId="2F90D1C4">
      <w:r>
        <w:t>There is a</w:t>
      </w:r>
      <w:r>
        <w:t xml:space="preserve">n increase of </w:t>
      </w:r>
      <w:r w:rsidR="725BF046">
        <w:t>1</w:t>
      </w:r>
      <w:r w:rsidR="300BA870">
        <w:t>,</w:t>
      </w:r>
      <w:r w:rsidR="725BF046">
        <w:t>397</w:t>
      </w:r>
      <w:r>
        <w:t xml:space="preserve"> hours </w:t>
      </w:r>
      <w:r w:rsidR="001127D9">
        <w:t>because</w:t>
      </w:r>
      <w:r>
        <w:t xml:space="preserve"> </w:t>
      </w:r>
      <w:r w:rsidR="001127D9">
        <w:t>i</w:t>
      </w:r>
      <w:r w:rsidRPr="001127D9" w:rsidR="001127D9">
        <w:t xml:space="preserve">n previous DWSRF ICRs, respondents were required to create </w:t>
      </w:r>
      <w:r w:rsidR="00B75D46">
        <w:t>reports</w:t>
      </w:r>
      <w:r w:rsidRPr="001127D9" w:rsidR="001127D9">
        <w:t xml:space="preserve"> every other year, but for this ICR, EPA increased the frequency of reporting to better align the DWSRF with the CWSRF. In practice, many States were already reporting annually for their DWSRF, so this estimate not only reflects a unification of the two SRF programs, but also, a more accurate reflection of the burden on the States.</w:t>
      </w:r>
      <w:r w:rsidR="2F9A0491">
        <w:t xml:space="preserve"> Additionally, </w:t>
      </w:r>
      <w:r w:rsidR="00D50D88">
        <w:t>IIJA</w:t>
      </w:r>
      <w:r w:rsidR="2F9A0491">
        <w:t xml:space="preserve"> grants increased burden and is supported by state </w:t>
      </w:r>
      <w:r w:rsidR="766B7E19">
        <w:t xml:space="preserve">responses from </w:t>
      </w:r>
      <w:r w:rsidR="0011018A">
        <w:t>the</w:t>
      </w:r>
      <w:r w:rsidR="766B7E19">
        <w:t xml:space="preserve"> consultation processes.</w:t>
      </w:r>
    </w:p>
    <w:p w:rsidR="001127D9" w:rsidRPr="00130281" w:rsidP="001127D9" w14:paraId="56212324" w14:textId="658BF68E">
      <w:pPr>
        <w:pStyle w:val="Heading3"/>
        <w:rPr>
          <w:b/>
          <w:bCs/>
        </w:rPr>
      </w:pPr>
      <w:r w:rsidRPr="00130281">
        <w:rPr>
          <w:b/>
          <w:bCs/>
        </w:rPr>
        <w:t>Change in CWSRF State Audit</w:t>
      </w:r>
    </w:p>
    <w:p w:rsidR="00BD6488" w:rsidP="001127D9" w14:paraId="7A5E3303" w14:textId="2B18FA11">
      <w:pPr>
        <w:tabs>
          <w:tab w:val="left" w:pos="-1440"/>
        </w:tabs>
      </w:pPr>
      <w:r>
        <w:t>There is a</w:t>
      </w:r>
      <w:r w:rsidR="001127D9">
        <w:t xml:space="preserve"> </w:t>
      </w:r>
      <w:r w:rsidR="00AD7692">
        <w:t>decrease in 19</w:t>
      </w:r>
      <w:r w:rsidR="009851F2">
        <w:t>,</w:t>
      </w:r>
      <w:r w:rsidR="00AD7692">
        <w:t>768</w:t>
      </w:r>
      <w:r w:rsidR="001127D9">
        <w:t xml:space="preserve"> hours </w:t>
      </w:r>
      <w:r w:rsidR="001A7C9F">
        <w:t>that inc</w:t>
      </w:r>
      <w:r w:rsidR="00621DD3">
        <w:t>orporates</w:t>
      </w:r>
      <w:r w:rsidR="001A7C9F">
        <w:t xml:space="preserve"> </w:t>
      </w:r>
      <w:r>
        <w:t xml:space="preserve">both </w:t>
      </w:r>
      <w:r w:rsidRPr="00AD7692" w:rsidR="00AD7692">
        <w:t xml:space="preserve">the </w:t>
      </w:r>
      <w:r w:rsidR="00890E77">
        <w:t xml:space="preserve">feedback provided by the states </w:t>
      </w:r>
      <w:r w:rsidR="002B57D9">
        <w:t xml:space="preserve">that indicated a lower reporting burden </w:t>
      </w:r>
      <w:r w:rsidR="00890E77">
        <w:t xml:space="preserve">as </w:t>
      </w:r>
      <w:r w:rsidR="00A8385D">
        <w:t>part</w:t>
      </w:r>
      <w:r w:rsidR="00BB141C">
        <w:t xml:space="preserve"> of </w:t>
      </w:r>
      <w:r w:rsidR="006A4A38">
        <w:t>the</w:t>
      </w:r>
      <w:r w:rsidR="00BB141C">
        <w:t xml:space="preserve"> consultation process</w:t>
      </w:r>
      <w:r w:rsidR="006C07A1">
        <w:t xml:space="preserve"> and the minor</w:t>
      </w:r>
      <w:r w:rsidR="005B3643">
        <w:t xml:space="preserve"> increase in burden associated with increasing the </w:t>
      </w:r>
      <w:r w:rsidR="005329D2">
        <w:t xml:space="preserve">number of respondents from 47 to 51. The increase to 51 respondents reflects </w:t>
      </w:r>
      <w:r w:rsidR="00907DEF">
        <w:t xml:space="preserve">EPA goal to </w:t>
      </w:r>
      <w:r w:rsidR="007D4FB6">
        <w:t xml:space="preserve">get al 51 CWSRF program to conduct an independent audit as opposed to just relying on the state-wide single audit. </w:t>
      </w:r>
    </w:p>
    <w:p w:rsidR="001127D9" w:rsidP="001127D9" w14:paraId="504E026E" w14:textId="716789B9">
      <w:pPr>
        <w:tabs>
          <w:tab w:val="left" w:pos="-1440"/>
        </w:tabs>
      </w:pPr>
      <w:r>
        <w:t xml:space="preserve">Total </w:t>
      </w:r>
      <w:r w:rsidRPr="00AD7692" w:rsidR="00AD7692">
        <w:t>O&amp;M cost</w:t>
      </w:r>
      <w:r>
        <w:t>s</w:t>
      </w:r>
      <w:r w:rsidRPr="00AD7692" w:rsidR="00AD7692">
        <w:t xml:space="preserve"> w</w:t>
      </w:r>
      <w:r>
        <w:t>ere</w:t>
      </w:r>
      <w:r w:rsidRPr="00AD7692" w:rsidR="00AD7692">
        <w:t xml:space="preserve"> </w:t>
      </w:r>
      <w:r>
        <w:t xml:space="preserve">also </w:t>
      </w:r>
      <w:r w:rsidRPr="00AD7692" w:rsidR="00AD7692">
        <w:t xml:space="preserve">increased </w:t>
      </w:r>
      <w:r>
        <w:t>to reflect the 4 additional respondents.</w:t>
      </w:r>
    </w:p>
    <w:p w:rsidR="001127D9" w:rsidRPr="00130281" w:rsidP="001127D9" w14:paraId="5BC01472" w14:textId="31456D74">
      <w:pPr>
        <w:pStyle w:val="Heading3"/>
        <w:rPr>
          <w:b/>
          <w:bCs/>
        </w:rPr>
      </w:pPr>
      <w:r w:rsidRPr="00130281">
        <w:rPr>
          <w:b/>
          <w:bCs/>
        </w:rPr>
        <w:t xml:space="preserve">Change in DWSRF </w:t>
      </w:r>
      <w:r w:rsidRPr="00130281" w:rsidR="00AD7692">
        <w:rPr>
          <w:b/>
          <w:bCs/>
        </w:rPr>
        <w:t>State Audit</w:t>
      </w:r>
    </w:p>
    <w:p w:rsidR="001127D9" w:rsidP="001127D9" w14:paraId="72DD3520" w14:textId="49C2CA83">
      <w:r>
        <w:t>There is a</w:t>
      </w:r>
      <w:r>
        <w:t xml:space="preserve">n increase of </w:t>
      </w:r>
      <w:r w:rsidR="00AD7692">
        <w:t>11,475</w:t>
      </w:r>
      <w:r>
        <w:t xml:space="preserve"> hours </w:t>
      </w:r>
      <w:r w:rsidR="008E70E5">
        <w:t xml:space="preserve">and $3,177,300 </w:t>
      </w:r>
      <w:r w:rsidR="00312741">
        <w:t>because t</w:t>
      </w:r>
      <w:r w:rsidRPr="00312741" w:rsidR="00312741">
        <w:t xml:space="preserve">he average annual hours burden increased due to </w:t>
      </w:r>
      <w:r w:rsidR="50484CE0">
        <w:t xml:space="preserve">feedback </w:t>
      </w:r>
      <w:r w:rsidR="77B604AF">
        <w:t>provided</w:t>
      </w:r>
      <w:r w:rsidR="432E9B99">
        <w:t xml:space="preserve"> </w:t>
      </w:r>
      <w:r w:rsidR="77B604AF">
        <w:t>by</w:t>
      </w:r>
      <w:r w:rsidR="5375B139">
        <w:t xml:space="preserve"> </w:t>
      </w:r>
      <w:r w:rsidR="432E9B99">
        <w:t>state</w:t>
      </w:r>
      <w:r w:rsidR="4B56A180">
        <w:t xml:space="preserve">s as part of </w:t>
      </w:r>
      <w:r w:rsidR="003868AD">
        <w:t>the</w:t>
      </w:r>
      <w:r w:rsidR="4B56A180">
        <w:t xml:space="preserve"> consultation</w:t>
      </w:r>
      <w:r w:rsidR="432E9B99">
        <w:t xml:space="preserve"> </w:t>
      </w:r>
      <w:r w:rsidR="0CDA1350">
        <w:t>process</w:t>
      </w:r>
      <w:r w:rsidR="432E9B99">
        <w:t>.</w:t>
      </w:r>
      <w:r w:rsidRPr="00312741" w:rsidR="00312741">
        <w:t xml:space="preserve"> The O&amp;M cost represents the cost </w:t>
      </w:r>
      <w:r w:rsidRPr="00312741" w:rsidR="00312741">
        <w:t xml:space="preserve">incurred by the state to hire a firm to conduct the audit. </w:t>
      </w:r>
      <w:r w:rsidR="003868AD">
        <w:t xml:space="preserve">In previous DWSRF ICRs, </w:t>
      </w:r>
      <w:r w:rsidR="00FA4CCA">
        <w:t xml:space="preserve">there was no O&amp;M cost, but </w:t>
      </w:r>
      <w:r w:rsidR="00186C06">
        <w:t>previous CWSRF ICRs included this cost. This change in</w:t>
      </w:r>
      <w:r w:rsidRPr="001127D9" w:rsidR="00186C06">
        <w:t xml:space="preserve"> estimate reflects a unification of the two SRF programs</w:t>
      </w:r>
      <w:r w:rsidR="00186C06">
        <w:t>.</w:t>
      </w:r>
    </w:p>
    <w:p w:rsidR="001127D9" w:rsidRPr="00130281" w:rsidP="001127D9" w14:paraId="2B4BF30E" w14:textId="3DEC7FEB">
      <w:pPr>
        <w:pStyle w:val="Heading3"/>
        <w:rPr>
          <w:b/>
          <w:bCs/>
        </w:rPr>
      </w:pPr>
      <w:r w:rsidRPr="00130281">
        <w:rPr>
          <w:b/>
          <w:bCs/>
        </w:rPr>
        <w:t xml:space="preserve">Change in CWSRF </w:t>
      </w:r>
      <w:r w:rsidRPr="00130281" w:rsidR="00870658">
        <w:rPr>
          <w:b/>
          <w:bCs/>
        </w:rPr>
        <w:t>Financial and Project Data</w:t>
      </w:r>
    </w:p>
    <w:p w:rsidR="00FB6602" w:rsidP="00130281" w14:paraId="00147C61" w14:textId="46E7ED13">
      <w:pPr>
        <w:tabs>
          <w:tab w:val="left" w:pos="-1440"/>
        </w:tabs>
      </w:pPr>
      <w:r>
        <w:t>There is a</w:t>
      </w:r>
      <w:r w:rsidR="001127D9">
        <w:t xml:space="preserve">n increase of </w:t>
      </w:r>
      <w:r w:rsidR="00870658">
        <w:t>561</w:t>
      </w:r>
      <w:r w:rsidR="001127D9">
        <w:t xml:space="preserve"> hours due to increase </w:t>
      </w:r>
      <w:r w:rsidR="002B36E7">
        <w:t>of funding through</w:t>
      </w:r>
      <w:r>
        <w:t xml:space="preserve"> </w:t>
      </w:r>
      <w:r w:rsidR="0079175F">
        <w:t>IIJA</w:t>
      </w:r>
      <w:r w:rsidR="12108D7D">
        <w:t xml:space="preserve">, </w:t>
      </w:r>
      <w:r w:rsidR="4DCDC8C1">
        <w:t xml:space="preserve">which is </w:t>
      </w:r>
      <w:r w:rsidR="7B0BA9EE">
        <w:t xml:space="preserve">expected </w:t>
      </w:r>
      <w:r w:rsidR="4DCDC8C1">
        <w:t>to increase the number of projects funde</w:t>
      </w:r>
      <w:r w:rsidRPr="004F13F3" w:rsidR="4DCDC8C1">
        <w:t>d.</w:t>
      </w:r>
      <w:r w:rsidRPr="004F13F3">
        <w:t xml:space="preserve"> </w:t>
      </w:r>
      <w:r w:rsidRPr="004F13F3" w:rsidR="006D6C18">
        <w:t xml:space="preserve">During the collection period, the SRF Data System will be updated to add several additional data fields to support oversight of </w:t>
      </w:r>
      <w:r w:rsidR="0079175F">
        <w:t>IIJA</w:t>
      </w:r>
      <w:r w:rsidRPr="004F13F3" w:rsidR="006D6C18">
        <w:t xml:space="preserve"> funding and to track progress towards meeting key Administration priorities more effectively. Specifically, these data fields will provide a further breakout of the portion of SRF funding that is coming from </w:t>
      </w:r>
      <w:r w:rsidR="0079175F">
        <w:t>IIJA</w:t>
      </w:r>
      <w:r w:rsidRPr="004F13F3" w:rsidR="006D6C18">
        <w:t>. Additionally, several data fields will be added to assist with oversight of emerging contaminants SRF projects funded through IIJA. Finally, several data fields will be added to better identify SRF funded projects that are helping to address and mitigate the impacts of climate change. The updated estimates reflect the additional reporting burden associated with these new data fields.</w:t>
      </w:r>
    </w:p>
    <w:p w:rsidR="00870658" w:rsidRPr="00130281" w:rsidP="00870658" w14:paraId="69390F5D" w14:textId="7B1DC127">
      <w:pPr>
        <w:pStyle w:val="Heading3"/>
        <w:rPr>
          <w:b/>
          <w:bCs/>
        </w:rPr>
      </w:pPr>
      <w:r w:rsidRPr="00130281">
        <w:rPr>
          <w:b/>
          <w:bCs/>
        </w:rPr>
        <w:t>Change in DWSRF Financial and Project Data</w:t>
      </w:r>
    </w:p>
    <w:p w:rsidR="00870658" w:rsidP="00130281" w14:paraId="4D0F58CC" w14:textId="0AB134EA">
      <w:pPr>
        <w:tabs>
          <w:tab w:val="left" w:pos="-1440"/>
        </w:tabs>
      </w:pPr>
      <w:r>
        <w:t>There is a</w:t>
      </w:r>
      <w:r>
        <w:t xml:space="preserve">n increase of </w:t>
      </w:r>
      <w:r w:rsidR="62645D9C">
        <w:t>3</w:t>
      </w:r>
      <w:r w:rsidR="423A7C68">
        <w:t>,</w:t>
      </w:r>
      <w:r w:rsidR="62645D9C">
        <w:t>952</w:t>
      </w:r>
      <w:r>
        <w:t xml:space="preserve"> hours due to increase </w:t>
      </w:r>
      <w:r w:rsidR="00BF74BE">
        <w:t>of funding through IIJA, which is expected to increase the number of projects funde</w:t>
      </w:r>
      <w:r w:rsidRPr="004F13F3" w:rsidR="00BF74BE">
        <w:t>d.</w:t>
      </w:r>
      <w:r w:rsidR="00BF74BE">
        <w:t xml:space="preserve"> </w:t>
      </w:r>
      <w:r w:rsidRPr="004F13F3" w:rsidR="006D6C18">
        <w:t>During the collection period, the SRF Data System will be updated to add several additional data fields to support oversight of IIJA funding and to track progress towards meeting key Administration priorities more effectively. Specifically, these data fields will provide a further breakout of the portion of SRF funding that is coming from IIJA. Additionally, several data fields will be added to assist with oversight of emerging contaminants and lead service line replacement SRF projects funded through IIJA. Finally, several data fields will be added to better identify SRF funded projects that are helping to address and mitigate the impacts of climate change. The updated estimates reflect the additional reporting burden associated with these new data fields.</w:t>
      </w:r>
    </w:p>
    <w:p w:rsidR="001905C7" w:rsidRPr="00130281" w:rsidP="001905C7" w14:paraId="3298AD57" w14:textId="5F2B0F03">
      <w:pPr>
        <w:pStyle w:val="Heading3"/>
        <w:rPr>
          <w:b/>
          <w:bCs/>
        </w:rPr>
      </w:pPr>
      <w:r w:rsidRPr="00130281">
        <w:rPr>
          <w:b/>
          <w:bCs/>
        </w:rPr>
        <w:t>Change in CWSRF Public Awareness Requirements</w:t>
      </w:r>
    </w:p>
    <w:p w:rsidR="001905C7" w:rsidP="31CDEE05" w14:paraId="263E9E2D" w14:textId="6D3F7714">
      <w:r>
        <w:t>There is a</w:t>
      </w:r>
      <w:r>
        <w:t xml:space="preserve">n increase of </w:t>
      </w:r>
      <w:r w:rsidR="62645D9C">
        <w:t>1</w:t>
      </w:r>
      <w:r w:rsidR="1DEF4F5A">
        <w:t>,</w:t>
      </w:r>
      <w:r w:rsidR="62645D9C">
        <w:t>934</w:t>
      </w:r>
      <w:r>
        <w:t xml:space="preserve"> hours due to </w:t>
      </w:r>
      <w:r w:rsidR="00A74A2E">
        <w:t>t</w:t>
      </w:r>
      <w:r w:rsidRPr="00A74A2E" w:rsidR="00A74A2E">
        <w:t xml:space="preserve">he passage of IIJA </w:t>
      </w:r>
      <w:r w:rsidR="00D437CF">
        <w:t>creating</w:t>
      </w:r>
      <w:r w:rsidRPr="00A74A2E" w:rsidR="00A74A2E">
        <w:t xml:space="preserve"> </w:t>
      </w:r>
      <w:r w:rsidR="00D437CF">
        <w:t>two</w:t>
      </w:r>
      <w:r w:rsidRPr="00A74A2E" w:rsidR="00A74A2E">
        <w:t xml:space="preserve"> new appropriations for </w:t>
      </w:r>
      <w:r w:rsidR="00D437CF">
        <w:t>CW</w:t>
      </w:r>
      <w:r w:rsidRPr="00A74A2E" w:rsidR="00A74A2E">
        <w:t>SRF funding: CWSRF General Supplemental Funding</w:t>
      </w:r>
      <w:r w:rsidR="00D437CF">
        <w:t xml:space="preserve"> and </w:t>
      </w:r>
      <w:r w:rsidRPr="00A74A2E" w:rsidR="00A74A2E">
        <w:t>CWSRF Emerging Contaminants Funding</w:t>
      </w:r>
      <w:r w:rsidR="002C0F80">
        <w:t>.</w:t>
      </w:r>
      <w:r w:rsidRPr="00A74A2E" w:rsidR="00A74A2E">
        <w:t xml:space="preserve"> EPA estimates more applications will be submitted </w:t>
      </w:r>
      <w:r w:rsidR="004E7D7F">
        <w:t>and</w:t>
      </w:r>
      <w:r w:rsidRPr="00A74A2E" w:rsidR="00A74A2E">
        <w:t xml:space="preserve"> more assistance agreements will be made.</w:t>
      </w:r>
      <w:r w:rsidR="009559B3">
        <w:t xml:space="preserve"> In addition, the burden per response was slightly increased based on the feedback provided by the states as part of </w:t>
      </w:r>
      <w:r w:rsidR="00BE27CE">
        <w:t>the</w:t>
      </w:r>
      <w:r w:rsidR="009559B3">
        <w:t xml:space="preserve"> consultation.</w:t>
      </w:r>
    </w:p>
    <w:p w:rsidR="001905C7" w:rsidRPr="00130281" w:rsidP="001905C7" w14:paraId="4B46E755" w14:textId="35629D35">
      <w:pPr>
        <w:pStyle w:val="Heading3"/>
        <w:rPr>
          <w:b/>
          <w:bCs/>
        </w:rPr>
      </w:pPr>
      <w:r w:rsidRPr="00130281">
        <w:rPr>
          <w:b/>
          <w:bCs/>
        </w:rPr>
        <w:t xml:space="preserve">Change in DWSRF </w:t>
      </w:r>
      <w:r w:rsidRPr="00130281" w:rsidR="005C1BEE">
        <w:rPr>
          <w:b/>
          <w:bCs/>
        </w:rPr>
        <w:t>Public Awareness Requirements</w:t>
      </w:r>
    </w:p>
    <w:p w:rsidR="000A5710" w:rsidP="7D30227A" w14:paraId="550ECF1E" w14:textId="5EC39DAB">
      <w:r>
        <w:t>There is a</w:t>
      </w:r>
      <w:r w:rsidR="001905C7">
        <w:t xml:space="preserve">n increase of </w:t>
      </w:r>
      <w:r w:rsidR="202773C6">
        <w:t>4</w:t>
      </w:r>
      <w:r w:rsidR="10E9304D">
        <w:t>,</w:t>
      </w:r>
      <w:r w:rsidR="202773C6">
        <w:t>972</w:t>
      </w:r>
      <w:r w:rsidR="001905C7">
        <w:t xml:space="preserve"> hours due to </w:t>
      </w:r>
      <w:r w:rsidR="005C1BEE">
        <w:t>t</w:t>
      </w:r>
      <w:r w:rsidRPr="005C1BEE" w:rsidR="005C1BEE">
        <w:t xml:space="preserve">he passage of IIJA </w:t>
      </w:r>
      <w:r>
        <w:t>creating</w:t>
      </w:r>
      <w:r w:rsidRPr="005C1BEE" w:rsidR="005C1BEE">
        <w:t xml:space="preserve"> </w:t>
      </w:r>
      <w:r w:rsidR="190944C1">
        <w:t>th</w:t>
      </w:r>
      <w:r w:rsidR="1430CA86">
        <w:t>ree</w:t>
      </w:r>
      <w:r w:rsidRPr="005C1BEE" w:rsidR="005C1BEE">
        <w:t xml:space="preserve"> new appropriations for SRF funding: DWSRF General Supplemental Funding, DWSRF Emerging Contaminants Funding, and DWSRF Lead Service Line Replacement Funding. EPA estimates more applications will be submitted </w:t>
      </w:r>
      <w:r>
        <w:t>and</w:t>
      </w:r>
      <w:r w:rsidRPr="005C1BEE" w:rsidR="005C1BEE">
        <w:t xml:space="preserve"> more assistance </w:t>
      </w:r>
      <w:r w:rsidRPr="005C1BEE" w:rsidR="00FF525E">
        <w:t>agreements</w:t>
      </w:r>
      <w:r w:rsidRPr="005C1BEE" w:rsidR="005C1BEE">
        <w:t xml:space="preserve"> will be made</w:t>
      </w:r>
      <w:r w:rsidRPr="00A74A2E">
        <w:t>.</w:t>
      </w:r>
      <w:r>
        <w:t xml:space="preserve"> In addition, the burden per response was slightly increased based on the feedback provided by the states as part of the consultation.</w:t>
      </w:r>
    </w:p>
    <w:p w:rsidR="00A460CB" w:rsidRPr="009A58F6" w:rsidP="00A460CB" w14:paraId="0451439D" w14:textId="4FB0B43F">
      <w:pPr>
        <w:pStyle w:val="Heading3"/>
        <w:rPr>
          <w:b/>
          <w:bCs/>
        </w:rPr>
      </w:pPr>
      <w:r w:rsidRPr="009A58F6">
        <w:rPr>
          <w:b/>
          <w:bCs/>
        </w:rPr>
        <w:t xml:space="preserve">Change in DWSRF </w:t>
      </w:r>
      <w:r>
        <w:rPr>
          <w:b/>
          <w:bCs/>
        </w:rPr>
        <w:t>State Review of Applications</w:t>
      </w:r>
    </w:p>
    <w:p w:rsidR="008B6E79" w:rsidP="00E91162" w14:paraId="7ADB7974" w14:textId="7F47C63A">
      <w:pPr>
        <w:tabs>
          <w:tab w:val="left" w:pos="-1440"/>
        </w:tabs>
      </w:pPr>
      <w:r>
        <w:t xml:space="preserve">There is a decrease of 55,080 hours </w:t>
      </w:r>
      <w:r w:rsidR="003D4B95">
        <w:t>because t</w:t>
      </w:r>
      <w:r w:rsidRPr="00EA5674" w:rsidR="00EA5674">
        <w:t xml:space="preserve">he Office of Management and Budget provided additional guidance regarding how the burden associated with the </w:t>
      </w:r>
      <w:r w:rsidR="0069326B">
        <w:t>C</w:t>
      </w:r>
      <w:r w:rsidR="00EA5674">
        <w:t>W</w:t>
      </w:r>
      <w:r w:rsidRPr="00EA5674" w:rsidR="00EA5674">
        <w:t xml:space="preserve">SRF </w:t>
      </w:r>
      <w:r w:rsidR="003C6890">
        <w:t xml:space="preserve">loan </w:t>
      </w:r>
      <w:r w:rsidRPr="00EA5674" w:rsidR="00EA5674">
        <w:t xml:space="preserve">applications </w:t>
      </w:r>
      <w:r w:rsidR="006839AC">
        <w:t>is</w:t>
      </w:r>
      <w:r w:rsidRPr="00EA5674" w:rsidR="00EA5674">
        <w:t xml:space="preserve"> addressed as part of </w:t>
      </w:r>
      <w:r w:rsidR="00365410">
        <w:t>the</w:t>
      </w:r>
      <w:r w:rsidR="003D3DC4">
        <w:t>ir</w:t>
      </w:r>
      <w:r w:rsidR="00365410">
        <w:t xml:space="preserve"> past</w:t>
      </w:r>
      <w:r w:rsidRPr="00EA5674" w:rsidR="00EA5674">
        <w:t xml:space="preserve"> ICR renewal. </w:t>
      </w:r>
      <w:r w:rsidR="00365410">
        <w:t>The DWSRF followed the same guidance for this ICR</w:t>
      </w:r>
      <w:r>
        <w:t>,</w:t>
      </w:r>
      <w:r w:rsidR="00365410">
        <w:t xml:space="preserve"> and </w:t>
      </w:r>
      <w:r w:rsidR="001B363A">
        <w:t>t</w:t>
      </w:r>
      <w:r w:rsidRPr="00EA5674" w:rsidR="00EA5674">
        <w:t>he burden incurred by states is no longer reflected in this ICR</w:t>
      </w:r>
      <w:r w:rsidR="00621A4F">
        <w:t xml:space="preserve">. </w:t>
      </w:r>
    </w:p>
    <w:p w:rsidR="009E38AE" w:rsidP="00E91162" w14:paraId="22FD67D0" w14:textId="77777777">
      <w:pPr>
        <w:tabs>
          <w:tab w:val="left" w:pos="-1440"/>
        </w:tabs>
      </w:pPr>
    </w:p>
    <w:p w:rsidR="00817961" w:rsidRPr="00130281" w:rsidP="00130281" w14:paraId="0D8B0096" w14:textId="693FDF2E">
      <w:pPr>
        <w:rPr>
          <w:highlight w:val="yellow"/>
        </w:rPr>
      </w:pPr>
      <w:r w:rsidRPr="00130281">
        <w:t>When all these changes are taken together</w:t>
      </w:r>
      <w:r w:rsidRPr="00F86648" w:rsidR="00CC0A32">
        <w:t xml:space="preserve">, the overall </w:t>
      </w:r>
      <w:r w:rsidRPr="00130281">
        <w:t xml:space="preserve">annual reporting </w:t>
      </w:r>
      <w:r w:rsidRPr="00F86648" w:rsidR="00CC0A32">
        <w:t>burden decreased.</w:t>
      </w:r>
      <w:r w:rsidRPr="00F86648" w:rsidR="002E6B35">
        <w:t xml:space="preserve"> </w:t>
      </w:r>
      <w:r w:rsidRPr="00130281">
        <w:t xml:space="preserve">This </w:t>
      </w:r>
      <w:r w:rsidRPr="00130281" w:rsidR="005E3872">
        <w:t>was most</w:t>
      </w:r>
      <w:r w:rsidRPr="00130281" w:rsidR="00D0338F">
        <w:t xml:space="preserve">ly due to the </w:t>
      </w:r>
      <w:r w:rsidRPr="00130281" w:rsidR="004E5704">
        <w:t>elimination of the burden associated with</w:t>
      </w:r>
      <w:r w:rsidRPr="00130281" w:rsidR="00DB4BF2">
        <w:t xml:space="preserve"> the state </w:t>
      </w:r>
      <w:r w:rsidR="003C6890">
        <w:t xml:space="preserve">review of loan </w:t>
      </w:r>
      <w:r w:rsidRPr="00130281" w:rsidR="00DB4BF2">
        <w:t>application</w:t>
      </w:r>
      <w:r w:rsidR="003C6890">
        <w:t>s.</w:t>
      </w:r>
      <w:r w:rsidRPr="00130281" w:rsidR="00DB4BF2">
        <w:t xml:space="preserve"> </w:t>
      </w:r>
    </w:p>
    <w:p w:rsidR="00E85B28" w:rsidRPr="004F13F3" w:rsidP="00E85B28" w14:paraId="6B1C6940" w14:textId="36604FDC">
      <w:pPr>
        <w:tabs>
          <w:tab w:val="left" w:pos="-1440"/>
        </w:tabs>
      </w:pPr>
      <w:r>
        <w:t>W</w:t>
      </w:r>
      <w:r w:rsidRPr="004F13F3">
        <w:t xml:space="preserve">ages increased </w:t>
      </w:r>
      <w:r w:rsidRPr="004F13F3" w:rsidR="00B90C9A">
        <w:t xml:space="preserve">for </w:t>
      </w:r>
      <w:r w:rsidRPr="004F13F3">
        <w:t xml:space="preserve">SRF State staff and SRF borrowers, which </w:t>
      </w:r>
      <w:r w:rsidRPr="004F13F3" w:rsidR="005177D0">
        <w:t>in turn</w:t>
      </w:r>
      <w:r w:rsidRPr="004F13F3">
        <w:t xml:space="preserve"> increased the average annual costs to respondents. </w:t>
      </w:r>
      <w:r w:rsidRPr="004F13F3" w:rsidR="00A67E94">
        <w:t xml:space="preserve">In the previous ICR for the CWSRF, </w:t>
      </w:r>
      <w:r w:rsidRPr="004F13F3" w:rsidR="00EC7461">
        <w:t xml:space="preserve">the estimate for State government employees was </w:t>
      </w:r>
      <w:r w:rsidRPr="004F13F3" w:rsidR="00465676">
        <w:t>$54.12</w:t>
      </w:r>
      <w:r w:rsidRPr="004F13F3" w:rsidR="002E61A7">
        <w:t xml:space="preserve"> </w:t>
      </w:r>
      <w:r w:rsidRPr="004F13F3" w:rsidR="00465676">
        <w:t>per hour</w:t>
      </w:r>
      <w:r>
        <w:rPr>
          <w:rStyle w:val="FootnoteReference"/>
        </w:rPr>
        <w:footnoteReference w:id="12"/>
      </w:r>
      <w:r w:rsidRPr="004F13F3" w:rsidR="002E61A7">
        <w:t xml:space="preserve"> </w:t>
      </w:r>
      <w:r w:rsidRPr="004F13F3" w:rsidR="00465676">
        <w:t xml:space="preserve">and the estimate for borrowers was </w:t>
      </w:r>
      <w:r w:rsidRPr="004F13F3" w:rsidR="00F53451">
        <w:t>$35.42 per hour</w:t>
      </w:r>
      <w:r>
        <w:rPr>
          <w:rStyle w:val="FootnoteReference"/>
        </w:rPr>
        <w:footnoteReference w:id="13"/>
      </w:r>
      <w:r w:rsidRPr="004F13F3" w:rsidR="00F53451">
        <w:t xml:space="preserve"> based on wages published by BLS.</w:t>
      </w:r>
      <w:r w:rsidRPr="004F13F3" w:rsidR="008E353A">
        <w:t xml:space="preserve"> </w:t>
      </w:r>
      <w:r w:rsidRPr="004F13F3" w:rsidR="00DB0EE8">
        <w:t>In the previous ICR for the DWSRF, State employee wages were estimated to be $37.81 per hour based on State wage rate information from the BLS information published in 2017.</w:t>
      </w:r>
      <w:r>
        <w:rPr>
          <w:rStyle w:val="FootnoteReference"/>
        </w:rPr>
        <w:footnoteReference w:id="14"/>
      </w:r>
      <w:r w:rsidRPr="004F13F3" w:rsidR="00DB0EE8">
        <w:t xml:space="preserve"> </w:t>
      </w:r>
      <w:r w:rsidRPr="004F13F3" w:rsidR="00A15402">
        <w:t>In this ICR, hourly wages were increased to $61.</w:t>
      </w:r>
      <w:r w:rsidRPr="004F13F3" w:rsidR="00DB0EE8">
        <w:t>20</w:t>
      </w:r>
      <w:r>
        <w:rPr>
          <w:rStyle w:val="FootnoteReference"/>
        </w:rPr>
        <w:footnoteReference w:id="15"/>
      </w:r>
      <w:r w:rsidRPr="004F13F3" w:rsidR="00DB0EE8">
        <w:t xml:space="preserve"> per hour for State government employees and $46.34</w:t>
      </w:r>
      <w:r>
        <w:rPr>
          <w:rStyle w:val="FootnoteReference"/>
        </w:rPr>
        <w:footnoteReference w:id="16"/>
      </w:r>
      <w:r w:rsidRPr="004F13F3" w:rsidR="00DB0EE8">
        <w:t xml:space="preserve"> per hour for </w:t>
      </w:r>
      <w:r w:rsidRPr="004F13F3" w:rsidR="005A4B2C">
        <w:t xml:space="preserve">SRF borrowers, reflective of changes in hourly wages reported by BLS. </w:t>
      </w:r>
    </w:p>
    <w:p w:rsidR="00C108C7" w:rsidRPr="004F13F3" w:rsidP="00E85B28" w14:paraId="53CDF8F7" w14:textId="489976A6">
      <w:pPr>
        <w:tabs>
          <w:tab w:val="left" w:pos="-1440"/>
        </w:tabs>
      </w:pPr>
      <w:r w:rsidRPr="004F13F3">
        <w:t xml:space="preserve">While the hourly burden decreased, the hourly cost increased, so the total annual cost </w:t>
      </w:r>
      <w:r w:rsidRPr="004F13F3" w:rsidR="002E03B2">
        <w:t xml:space="preserve">for states is higher than in previous ICRs. </w:t>
      </w:r>
    </w:p>
    <w:p w:rsidR="00897A1E" w:rsidP="00E91162" w14:paraId="6CFDDC07" w14:textId="257DD94B">
      <w:pPr>
        <w:tabs>
          <w:tab w:val="left" w:pos="-1440"/>
        </w:tabs>
      </w:pPr>
      <w:r w:rsidRPr="004F13F3">
        <w:t>Lastly, t</w:t>
      </w:r>
      <w:r w:rsidRPr="004F13F3">
        <w:t xml:space="preserve">he total </w:t>
      </w:r>
      <w:r w:rsidRPr="004F13F3" w:rsidR="009D65DD">
        <w:t>annual cost of burden estimate for both SRFs is higher than the previous ICR submitted since this ICR covers both the CWSRF and the DWSRF, while the previous ICR only applied to the DWSRF.</w:t>
      </w:r>
    </w:p>
    <w:p w:rsidR="006232C3" w:rsidP="00744E34" w14:paraId="6A63CB5F" w14:textId="57A8ED99">
      <w:pPr>
        <w:pStyle w:val="Heading2"/>
      </w:pPr>
      <w:r>
        <w:t>G. Burden Statement</w:t>
      </w:r>
    </w:p>
    <w:p w:rsidR="00C913FF" w:rsidP="00C913FF" w14:paraId="65960CB2" w14:textId="1A60ECC5">
      <w:pPr>
        <w:rPr>
          <w:color w:val="000000"/>
        </w:rPr>
      </w:pPr>
      <w:r w:rsidRPr="00B613CE">
        <w:t xml:space="preserve">The annual public reporting and recordkeeping burden for this collection of information is estimated to average </w:t>
      </w:r>
      <w:r w:rsidRPr="00B613CE" w:rsidR="00B613CE">
        <w:t>8,202</w:t>
      </w:r>
      <w:r w:rsidRPr="00B613CE" w:rsidR="009D65DD">
        <w:t xml:space="preserve"> hours per </w:t>
      </w:r>
      <w:r w:rsidRPr="00B613CE" w:rsidR="00113907">
        <w:t>State</w:t>
      </w:r>
      <w:r w:rsidRPr="00B613CE" w:rsidR="00B613CE">
        <w:t xml:space="preserve"> and borrower</w:t>
      </w:r>
      <w:r w:rsidRPr="7148CFE9">
        <w:rPr>
          <w:color w:val="000000" w:themeColor="text1"/>
        </w:rPr>
        <w:t xml:space="preserve">. Burden means the total time, effort, or financial resources expended by persons to generate, maintain, retain, or disclose or provide information to or for a </w:t>
      </w:r>
      <w:r w:rsidRPr="7148CFE9">
        <w:rPr>
          <w:color w:val="000000" w:themeColor="text1"/>
        </w:rPr>
        <w:t>Federal</w:t>
      </w:r>
      <w:r w:rsidRPr="7148CFE9">
        <w:rPr>
          <w:color w:val="000000" w:themeColor="text1"/>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6232C3" w:rsidRPr="006232C3" w:rsidP="00C913FF" w14:paraId="06AFE046" w14:textId="6176B545">
      <w:r w:rsidRPr="32571428">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w:t>
      </w:r>
      <w:r w:rsidR="3B1AC634">
        <w:t>O</w:t>
      </w:r>
      <w:r w:rsidR="7E61CEC4">
        <w:t>W-</w:t>
      </w:r>
      <w:r w:rsidR="65337EF6">
        <w:t>2002-0059</w:t>
      </w:r>
      <w:r w:rsidRPr="32571428">
        <w:rPr>
          <w:color w:val="0F0F0F"/>
        </w:rPr>
        <w:t xml:space="preserve">, which is available for online viewing at </w:t>
      </w:r>
      <w:hyperlink r:id="rId18">
        <w:r w:rsidRPr="32571428">
          <w:rPr>
            <w:rStyle w:val="Hyperlink"/>
          </w:rPr>
          <w:t>www.regulations.gov</w:t>
        </w:r>
      </w:hyperlink>
      <w:r w:rsidRPr="32571428">
        <w:rPr>
          <w:color w:val="0F0F0F"/>
        </w:rPr>
        <w:t xml:space="preserve">, or in person viewing at the </w:t>
      </w:r>
      <w:r w:rsidRPr="32571428" w:rsidR="7ED81183">
        <w:rPr>
          <w:color w:val="0F0F0F"/>
        </w:rPr>
        <w:t xml:space="preserve">Proposed Information Collection Request; Clean Water State Revolving Fund and Drinking Water State Revolving Fund Programs </w:t>
      </w:r>
      <w:r w:rsidRPr="32571428">
        <w:rPr>
          <w:color w:val="0F0F0F"/>
        </w:rPr>
        <w:t xml:space="preserve">in the EPA Docket Center (EPA/DC), EPA West, </w:t>
      </w:r>
      <w:r>
        <w:t>Room 3334</w:t>
      </w:r>
      <w:r w:rsidRPr="32571428">
        <w:rPr>
          <w:color w:val="0F0F0F"/>
        </w:rPr>
        <w:t xml:space="preserve">, 1301 Constitution Avenue, NW, Washington, D.C. The EPA Docket Center Public Reading Room is open </w:t>
      </w:r>
      <w:r w:rsidRPr="32571428">
        <w:rPr>
          <w:color w:val="0F0F0F"/>
        </w:rPr>
        <w:t xml:space="preserve">from 8:30 a.m. to 4:30 p.m., Monday through Friday, excluding legal holidays.  The telephone number for the Reading Room is (202) 566-1744, and the telephone number for </w:t>
      </w:r>
      <w:r w:rsidRPr="32571428" w:rsidR="5BB7CCAF">
        <w:rPr>
          <w:color w:val="0F0F0F"/>
        </w:rPr>
        <w:t xml:space="preserve">the </w:t>
      </w:r>
      <w:r w:rsidR="5BB7CCAF">
        <w:t>Information Collection Request (ICR) Supporting Statement for Clean Water State Revolving Fund and Drinking Water State Revolving Fund Programs</w:t>
      </w:r>
      <w:r w:rsidRPr="32571428" w:rsidR="5BB7CCAF">
        <w:rPr>
          <w:color w:val="0F0F0F"/>
        </w:rPr>
        <w:t xml:space="preserve"> </w:t>
      </w:r>
      <w:r w:rsidRPr="32571428">
        <w:rPr>
          <w:color w:val="0F0F0F"/>
        </w:rPr>
        <w:t>is (202) 566-</w:t>
      </w:r>
      <w:r w:rsidRPr="32571428" w:rsidR="7DA1AFD2">
        <w:rPr>
          <w:color w:val="0F0F0F"/>
        </w:rPr>
        <w:t>1744</w:t>
      </w:r>
      <w:r w:rsidRPr="32571428">
        <w:rPr>
          <w:color w:val="0F0F0F"/>
        </w:rPr>
        <w:t xml:space="preserve">. An electronic version of the public docket is available at </w:t>
      </w:r>
      <w:hyperlink r:id="rId18">
        <w:r w:rsidRPr="32571428" w:rsidR="0643836D">
          <w:rPr>
            <w:rStyle w:val="Hyperlink"/>
          </w:rPr>
          <w:t>www.regulations.gov</w:t>
        </w:r>
      </w:hyperlink>
      <w:r w:rsidRPr="32571428">
        <w:rPr>
          <w:color w:val="0F0F0F"/>
        </w:rPr>
        <w:t>.</w:t>
      </w:r>
      <w:r w:rsidRPr="32571428" w:rsidR="0643836D">
        <w:rPr>
          <w:color w:val="0F0F0F"/>
        </w:rPr>
        <w:t xml:space="preserve"> </w:t>
      </w:r>
      <w:r w:rsidRPr="32571428">
        <w:rPr>
          <w:color w:val="0F0F0F"/>
        </w:rPr>
        <w:t>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32571428" w:rsidR="68A42C4C">
        <w:rPr>
          <w:color w:val="0F0F0F"/>
        </w:rPr>
        <w:t xml:space="preserve"> </w:t>
      </w:r>
      <w:r w:rsidRPr="32571428">
        <w:rPr>
          <w:color w:val="0F0F0F"/>
        </w:rPr>
        <w:t>Number EPA</w:t>
      </w:r>
      <w:r>
        <w:t>-HQ</w:t>
      </w:r>
      <w:r w:rsidR="20C0A5E1">
        <w:t>-</w:t>
      </w:r>
      <w:r w:rsidR="7E61CEC4">
        <w:t>OW-</w:t>
      </w:r>
      <w:r w:rsidR="50DD458D">
        <w:t xml:space="preserve">2002-0059 </w:t>
      </w:r>
      <w:r w:rsidRPr="32571428">
        <w:rPr>
          <w:color w:val="0F0F0F"/>
        </w:rPr>
        <w:t>and OMB Control Numbe</w:t>
      </w:r>
      <w:r>
        <w:t xml:space="preserve">r </w:t>
      </w:r>
      <w:r w:rsidR="6473C68F">
        <w:t>2040-</w:t>
      </w:r>
      <w:r w:rsidR="344E5996">
        <w:t xml:space="preserve">0185 </w:t>
      </w:r>
      <w:r w:rsidRPr="32571428">
        <w:rPr>
          <w:color w:val="0F0F0F"/>
        </w:rPr>
        <w:t>in any correspondence.</w:t>
      </w:r>
    </w:p>
    <w:p w:rsidR="006232C3" w:rsidRPr="007619FA" w:rsidP="006232C3" w14:paraId="2F744C22" w14:textId="6B4A327B">
      <w:pPr>
        <w:pStyle w:val="Subtitle"/>
        <w:rPr>
          <w:rStyle w:val="Heading1Char"/>
          <w:bCs/>
          <w:sz w:val="22"/>
          <w:szCs w:val="22"/>
        </w:rPr>
      </w:pPr>
      <w:r w:rsidRPr="002B698E">
        <w:t xml:space="preserve">SECTION I: PART </w:t>
      </w:r>
      <w:r>
        <w:t>B</w:t>
      </w:r>
      <w:r w:rsidRPr="002B698E">
        <w:t xml:space="preserve"> OF THE SUPPORTING STATEMENT</w:t>
      </w:r>
    </w:p>
    <w:p w:rsidR="0023214E" w14:paraId="4DB530ED" w14:textId="01DD8EF7">
      <w:r w:rsidRPr="00213A3B">
        <w:rPr>
          <w:szCs w:val="24"/>
        </w:rPr>
        <w:t>Statistical methods are not used with this collection</w:t>
      </w:r>
      <w:r w:rsidR="009524FD">
        <w:rPr>
          <w:szCs w:val="24"/>
        </w:rPr>
        <w:t>.</w:t>
      </w:r>
    </w:p>
    <w:sectPr>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6694161"/>
      <w:docPartObj>
        <w:docPartGallery w:val="Page Numbers (Bottom of Page)"/>
        <w:docPartUnique/>
      </w:docPartObj>
    </w:sdtPr>
    <w:sdtEndPr>
      <w:rPr>
        <w:noProof/>
      </w:rPr>
    </w:sdtEndPr>
    <w:sdtContent>
      <w:p w:rsidR="004F03E4" w14:paraId="1ED094A5" w14:textId="39EEAFA5">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4F03E4" w14:paraId="72A8F2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1CF6" w:rsidP="008F2F6D" w14:paraId="2F5C13B1" w14:textId="77777777">
      <w:r>
        <w:separator/>
      </w:r>
    </w:p>
  </w:footnote>
  <w:footnote w:type="continuationSeparator" w:id="1">
    <w:p w:rsidR="005F1CF6" w:rsidP="008F2F6D" w14:paraId="2293D40F" w14:textId="77777777">
      <w:r>
        <w:continuationSeparator/>
      </w:r>
    </w:p>
  </w:footnote>
  <w:footnote w:type="continuationNotice" w:id="2">
    <w:p w:rsidR="005F1CF6" w14:paraId="2197C04D" w14:textId="77777777">
      <w:pPr>
        <w:spacing w:after="0" w:line="240" w:lineRule="auto"/>
      </w:pPr>
    </w:p>
  </w:footnote>
  <w:footnote w:id="3">
    <w:p w:rsidR="004F03E4" w14:paraId="74E0445B" w14:textId="2F7A12A6">
      <w:pPr>
        <w:pStyle w:val="FootnoteText"/>
      </w:pPr>
      <w:r w:rsidRPr="004A047A">
        <w:rPr>
          <w:rStyle w:val="FootnoteReference"/>
        </w:rPr>
        <w:footnoteRef/>
      </w:r>
      <w:r w:rsidRPr="004A047A">
        <w:t xml:space="preserve"> Additional subsidization is assistance provided in the form of principal forgiveness, grants, or negative interest loans.</w:t>
      </w:r>
    </w:p>
  </w:footnote>
  <w:footnote w:id="4">
    <w:p w:rsidR="004F03E4" w:rsidRPr="00892643" w14:paraId="0730DC06" w14:textId="198120FD">
      <w:pPr>
        <w:pStyle w:val="FootnoteText"/>
      </w:pPr>
      <w:r w:rsidRPr="00892643">
        <w:rPr>
          <w:rStyle w:val="FootnoteReference"/>
        </w:rPr>
        <w:footnoteRef/>
      </w:r>
      <w:r w:rsidRPr="00892643">
        <w:t xml:space="preserve"> This mainly includes leveraging, where a CWSRF </w:t>
      </w:r>
      <w:r w:rsidR="00164AFC">
        <w:t xml:space="preserve">or DWSRF </w:t>
      </w:r>
      <w:r w:rsidRPr="00892643">
        <w:t>raises addition</w:t>
      </w:r>
      <w:r>
        <w:t xml:space="preserve">al funding by selling </w:t>
      </w:r>
      <w:r w:rsidRPr="00892643">
        <w:t>bonds.</w:t>
      </w:r>
    </w:p>
  </w:footnote>
  <w:footnote w:id="5">
    <w:p w:rsidR="004F03E4" w14:paraId="78759384" w14:textId="2D4EAA64">
      <w:pPr>
        <w:pStyle w:val="FootnoteText"/>
      </w:pPr>
      <w:r w:rsidRPr="00892643">
        <w:rPr>
          <w:rStyle w:val="FootnoteReference"/>
        </w:rPr>
        <w:footnoteRef/>
      </w:r>
      <w:r w:rsidRPr="00892643">
        <w:t xml:space="preserve"> For some CWSRFs </w:t>
      </w:r>
      <w:r w:rsidR="009C0C7D">
        <w:t xml:space="preserve">and DWSRFs </w:t>
      </w:r>
      <w:r w:rsidRPr="00892643">
        <w:t xml:space="preserve">the binding commitment represents a preliminary commitment to provide funding for a project. The binding commitment is eventually finalized as an executed loan agreement. For other CWSRFs </w:t>
      </w:r>
      <w:r w:rsidR="009C0C7D">
        <w:t xml:space="preserve">and DWSRFs </w:t>
      </w:r>
      <w:r w:rsidRPr="00892643">
        <w:t>there is no distinction between the binding commitment and executed loan. Regardless, the binding commitment is considered sufficient for meeting this requirement.</w:t>
      </w:r>
    </w:p>
  </w:footnote>
  <w:footnote w:id="6">
    <w:p w:rsidR="004F03E4" w:rsidRPr="00892643" w14:paraId="5303B8B6" w14:textId="6481B145">
      <w:pPr>
        <w:pStyle w:val="FootnoteText"/>
      </w:pPr>
      <w:r w:rsidRPr="00892643">
        <w:rPr>
          <w:rStyle w:val="FootnoteReference"/>
        </w:rPr>
        <w:footnoteRef/>
      </w:r>
      <w:r w:rsidRPr="00892643">
        <w:t xml:space="preserve"> WRRDA amended the CWA to provide the CWSRFs with the ability to provide additional subsidization under certain conditions. These conditions restrict the use of this type of assistance to addressing affordability issues or to promoting projects that include sustainability, water or energy efficiency, or stormwater components.</w:t>
      </w:r>
    </w:p>
  </w:footnote>
  <w:footnote w:id="7">
    <w:p w:rsidR="004F03E4" w:rsidRPr="00E87A31" w14:paraId="757F4934" w14:textId="626D8A34">
      <w:pPr>
        <w:pStyle w:val="FootnoteText"/>
      </w:pPr>
      <w:r w:rsidRPr="00E87A31">
        <w:rPr>
          <w:rStyle w:val="FootnoteReference"/>
        </w:rPr>
        <w:footnoteRef/>
      </w:r>
      <w:r w:rsidRPr="00E87A31">
        <w:t xml:space="preserve"> A</w:t>
      </w:r>
      <w:r>
        <w:t>n</w:t>
      </w:r>
      <w:r w:rsidRPr="00E87A31">
        <w:t xml:space="preserve"> electronic copy of this report is available at http://www.epa.gov/sites/production/files/2015-04/documents/additional_subsidization_report_to_congress_.pdf</w:t>
      </w:r>
    </w:p>
  </w:footnote>
  <w:footnote w:id="8">
    <w:p w:rsidR="004F03E4" w:rsidP="00072CA3" w14:paraId="48C6DB19" w14:textId="77777777">
      <w:pPr>
        <w:pStyle w:val="FootnoteText"/>
      </w:pPr>
      <w:r w:rsidRPr="00E87A31">
        <w:rPr>
          <w:rStyle w:val="FootnoteReference"/>
        </w:rPr>
        <w:footnoteRef/>
      </w:r>
      <w:r w:rsidRPr="00E87A31">
        <w:t xml:space="preserve"> A copy of this guidance has been included with the supporting statement.</w:t>
      </w:r>
    </w:p>
  </w:footnote>
  <w:footnote w:id="9">
    <w:p w:rsidR="004F03E4" w:rsidRPr="006F0570" w14:paraId="3D4421F2" w14:textId="3A338AA4">
      <w:pPr>
        <w:pStyle w:val="FootnoteText"/>
      </w:pPr>
      <w:r w:rsidRPr="006F0570">
        <w:rPr>
          <w:rStyle w:val="FootnoteReference"/>
        </w:rPr>
        <w:footnoteRef/>
      </w:r>
      <w:r w:rsidRPr="006F0570">
        <w:t xml:space="preserve"> https://www.bls.gov/oes/current/naics4_999200.htm</w:t>
      </w:r>
    </w:p>
  </w:footnote>
  <w:footnote w:id="10">
    <w:p w:rsidR="004F03E4" w14:paraId="59191E69" w14:textId="45E9FF1B">
      <w:pPr>
        <w:pStyle w:val="FootnoteText"/>
      </w:pPr>
      <w:r w:rsidRPr="006F0570">
        <w:rPr>
          <w:rStyle w:val="FootnoteReference"/>
        </w:rPr>
        <w:footnoteRef/>
      </w:r>
      <w:r w:rsidRPr="006F0570">
        <w:t xml:space="preserve"> </w:t>
      </w:r>
      <w:r w:rsidRPr="008F1F48">
        <w:t>https://www.bls.gov/oes/current/naics4_221300.htm</w:t>
      </w:r>
    </w:p>
  </w:footnote>
  <w:footnote w:id="11">
    <w:p w:rsidR="004F03E4" w14:paraId="61001C09" w14:textId="0D2CA651">
      <w:pPr>
        <w:pStyle w:val="FootnoteText"/>
      </w:pPr>
      <w:r>
        <w:rPr>
          <w:rStyle w:val="FootnoteReference"/>
        </w:rPr>
        <w:footnoteRef/>
      </w:r>
      <w:r>
        <w:t xml:space="preserve"> </w:t>
      </w:r>
      <w:bookmarkStart w:id="4" w:name="_Hlk40365283"/>
      <w:bookmarkStart w:id="5" w:name="_Hlk40365284"/>
      <w:r w:rsidRPr="00370AAC" w:rsidR="00370AAC">
        <w:t>https://www.opm.gov/policy-data-oversight/pay-leave/salaries-wages/salary-tables/pdf/2022/RUS.pdf</w:t>
      </w:r>
      <w:r w:rsidRPr="00370AAC" w:rsidR="00370AAC">
        <w:t xml:space="preserve"> </w:t>
      </w:r>
      <w:bookmarkEnd w:id="4"/>
      <w:bookmarkEnd w:id="5"/>
    </w:p>
  </w:footnote>
  <w:footnote w:id="12">
    <w:p w:rsidR="002E61A7" w:rsidP="002E61A7" w14:paraId="6E3CF845" w14:textId="77777777">
      <w:pPr>
        <w:pStyle w:val="FootnoteText"/>
      </w:pPr>
      <w:r>
        <w:rPr>
          <w:rStyle w:val="FootnoteReference"/>
        </w:rPr>
        <w:footnoteRef/>
      </w:r>
      <w:r>
        <w:t xml:space="preserve"> </w:t>
      </w:r>
      <w:r w:rsidRPr="006F0570">
        <w:t>https://www.bls.gov/oes/current/naics4_999200.htm</w:t>
      </w:r>
    </w:p>
  </w:footnote>
  <w:footnote w:id="13">
    <w:p w:rsidR="002E61A7" w:rsidP="002E61A7" w14:paraId="4DA0813E" w14:textId="77777777">
      <w:pPr>
        <w:pStyle w:val="FootnoteText"/>
      </w:pPr>
      <w:r>
        <w:rPr>
          <w:rStyle w:val="FootnoteReference"/>
        </w:rPr>
        <w:footnoteRef/>
      </w:r>
      <w:r>
        <w:t xml:space="preserve"> </w:t>
      </w:r>
      <w:r w:rsidRPr="008F1F48">
        <w:t>https://www.bls.gov/oes/current/naics4_221300.htm</w:t>
      </w:r>
    </w:p>
  </w:footnote>
  <w:footnote w:id="14">
    <w:p w:rsidR="00DB0EE8" w:rsidP="00DB0EE8" w14:paraId="6468E7FA" w14:textId="1F44B5D5">
      <w:pPr>
        <w:pStyle w:val="FootnoteText"/>
      </w:pPr>
      <w:r>
        <w:rPr>
          <w:rStyle w:val="FootnoteReference"/>
        </w:rPr>
        <w:footnoteRef/>
      </w:r>
      <w:r>
        <w:t xml:space="preserve"> </w:t>
      </w:r>
      <w:hyperlink r:id="rId1" w:tooltip="Employment and wages by occupation, May 2017" w:history="1">
        <w:r w:rsidRPr="003C4BF0">
          <w:t>https://www.bls.gov/opub/ted/2018/employment-and-wages-by-occupation-may-2017.htm</w:t>
        </w:r>
      </w:hyperlink>
    </w:p>
  </w:footnote>
  <w:footnote w:id="15">
    <w:p w:rsidR="00CB73C0" w14:paraId="0B4C9A1E" w14:textId="4EA16593">
      <w:pPr>
        <w:pStyle w:val="FootnoteText"/>
      </w:pPr>
      <w:r>
        <w:rPr>
          <w:rStyle w:val="FootnoteReference"/>
        </w:rPr>
        <w:footnoteRef/>
      </w:r>
      <w:r>
        <w:t xml:space="preserve"> </w:t>
      </w:r>
      <w:r w:rsidRPr="006F0570" w:rsidR="00F81759">
        <w:t>https://www.bls.gov/oes/current/naics4_999200.htm</w:t>
      </w:r>
    </w:p>
  </w:footnote>
  <w:footnote w:id="16">
    <w:p w:rsidR="00F81759" w14:paraId="35EF8139" w14:textId="1CB7DB1D">
      <w:pPr>
        <w:pStyle w:val="FootnoteText"/>
      </w:pPr>
      <w:r>
        <w:rPr>
          <w:rStyle w:val="FootnoteReference"/>
        </w:rPr>
        <w:footnoteRef/>
      </w:r>
      <w:r>
        <w:t xml:space="preserve"> </w:t>
      </w:r>
      <w:r w:rsidRPr="008F1F48">
        <w:t>https://www.bls.gov/oes/current/naics4_221300.htm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62032BD"/>
    <w:multiLevelType w:val="hybridMultilevel"/>
    <w:tmpl w:val="3980471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3964E2"/>
    <w:multiLevelType w:val="hybridMultilevel"/>
    <w:tmpl w:val="ECA29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F05C0F"/>
    <w:multiLevelType w:val="hybridMultilevel"/>
    <w:tmpl w:val="E070E1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871521F"/>
    <w:multiLevelType w:val="hybridMultilevel"/>
    <w:tmpl w:val="7436A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6730F7"/>
    <w:multiLevelType w:val="hybridMultilevel"/>
    <w:tmpl w:val="6DFE0B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11603F5"/>
    <w:multiLevelType w:val="hybridMultilevel"/>
    <w:tmpl w:val="045CA1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5E3F52B1"/>
    <w:multiLevelType w:val="hybridMultilevel"/>
    <w:tmpl w:val="290AE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752D61"/>
    <w:multiLevelType w:val="hybridMultilevel"/>
    <w:tmpl w:val="5B2866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5FC280E"/>
    <w:multiLevelType w:val="hybridMultilevel"/>
    <w:tmpl w:val="F7F034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921857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20129780">
    <w:abstractNumId w:val="6"/>
  </w:num>
  <w:num w:numId="3" w16cid:durableId="1531643538">
    <w:abstractNumId w:val="5"/>
  </w:num>
  <w:num w:numId="4" w16cid:durableId="1446927137">
    <w:abstractNumId w:val="3"/>
  </w:num>
  <w:num w:numId="5" w16cid:durableId="1402487601">
    <w:abstractNumId w:val="2"/>
  </w:num>
  <w:num w:numId="6" w16cid:durableId="48118497">
    <w:abstractNumId w:val="7"/>
  </w:num>
  <w:num w:numId="7" w16cid:durableId="724305144">
    <w:abstractNumId w:val="4"/>
  </w:num>
  <w:num w:numId="8" w16cid:durableId="1101335496">
    <w:abstractNumId w:val="1"/>
  </w:num>
  <w:num w:numId="9" w16cid:durableId="1881820182">
    <w:abstractNumId w:val="8"/>
  </w:num>
  <w:num w:numId="10" w16cid:durableId="14306591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98"/>
    <w:rsid w:val="0000022B"/>
    <w:rsid w:val="00000682"/>
    <w:rsid w:val="00001691"/>
    <w:rsid w:val="000021FB"/>
    <w:rsid w:val="00002558"/>
    <w:rsid w:val="00002B32"/>
    <w:rsid w:val="00002C61"/>
    <w:rsid w:val="000031B0"/>
    <w:rsid w:val="00003DDF"/>
    <w:rsid w:val="000042A1"/>
    <w:rsid w:val="00004733"/>
    <w:rsid w:val="00004B70"/>
    <w:rsid w:val="00005179"/>
    <w:rsid w:val="000113C9"/>
    <w:rsid w:val="000121EE"/>
    <w:rsid w:val="00012FF8"/>
    <w:rsid w:val="000134B0"/>
    <w:rsid w:val="00013C55"/>
    <w:rsid w:val="00013F74"/>
    <w:rsid w:val="00015BD4"/>
    <w:rsid w:val="0001645B"/>
    <w:rsid w:val="000165CA"/>
    <w:rsid w:val="000166A4"/>
    <w:rsid w:val="0001782D"/>
    <w:rsid w:val="000178D2"/>
    <w:rsid w:val="00020990"/>
    <w:rsid w:val="00021A94"/>
    <w:rsid w:val="00021E07"/>
    <w:rsid w:val="000236C4"/>
    <w:rsid w:val="00024815"/>
    <w:rsid w:val="00024CA0"/>
    <w:rsid w:val="00026066"/>
    <w:rsid w:val="0002618F"/>
    <w:rsid w:val="00026455"/>
    <w:rsid w:val="000271B2"/>
    <w:rsid w:val="00027479"/>
    <w:rsid w:val="00027D5C"/>
    <w:rsid w:val="0003057E"/>
    <w:rsid w:val="0003231C"/>
    <w:rsid w:val="00033E1A"/>
    <w:rsid w:val="000350C5"/>
    <w:rsid w:val="00035EE5"/>
    <w:rsid w:val="00036040"/>
    <w:rsid w:val="000361B4"/>
    <w:rsid w:val="00036BC4"/>
    <w:rsid w:val="00037996"/>
    <w:rsid w:val="00037ADE"/>
    <w:rsid w:val="000417D0"/>
    <w:rsid w:val="000429A9"/>
    <w:rsid w:val="00042B21"/>
    <w:rsid w:val="00042E5F"/>
    <w:rsid w:val="00045838"/>
    <w:rsid w:val="00045DB5"/>
    <w:rsid w:val="00046B87"/>
    <w:rsid w:val="00047E22"/>
    <w:rsid w:val="00050612"/>
    <w:rsid w:val="00051796"/>
    <w:rsid w:val="00051A0F"/>
    <w:rsid w:val="00052014"/>
    <w:rsid w:val="000521C5"/>
    <w:rsid w:val="00052B5A"/>
    <w:rsid w:val="00052FB7"/>
    <w:rsid w:val="00053BC2"/>
    <w:rsid w:val="00054D3B"/>
    <w:rsid w:val="00055B09"/>
    <w:rsid w:val="00056192"/>
    <w:rsid w:val="000568AD"/>
    <w:rsid w:val="00056F2B"/>
    <w:rsid w:val="000577F1"/>
    <w:rsid w:val="00057A43"/>
    <w:rsid w:val="000606E7"/>
    <w:rsid w:val="00060B41"/>
    <w:rsid w:val="00061484"/>
    <w:rsid w:val="000621FB"/>
    <w:rsid w:val="000622F8"/>
    <w:rsid w:val="00064C9B"/>
    <w:rsid w:val="00065327"/>
    <w:rsid w:val="00065703"/>
    <w:rsid w:val="000660AA"/>
    <w:rsid w:val="0006614E"/>
    <w:rsid w:val="00066D3C"/>
    <w:rsid w:val="000675B5"/>
    <w:rsid w:val="00067C64"/>
    <w:rsid w:val="00067CF4"/>
    <w:rsid w:val="000718FE"/>
    <w:rsid w:val="00071D4F"/>
    <w:rsid w:val="00072CA3"/>
    <w:rsid w:val="00073448"/>
    <w:rsid w:val="00073929"/>
    <w:rsid w:val="000740C3"/>
    <w:rsid w:val="00074697"/>
    <w:rsid w:val="00074941"/>
    <w:rsid w:val="00074BE1"/>
    <w:rsid w:val="0007547B"/>
    <w:rsid w:val="000755AC"/>
    <w:rsid w:val="00075B62"/>
    <w:rsid w:val="00076B24"/>
    <w:rsid w:val="0008125C"/>
    <w:rsid w:val="00081AA7"/>
    <w:rsid w:val="00082290"/>
    <w:rsid w:val="000822E2"/>
    <w:rsid w:val="00082BAC"/>
    <w:rsid w:val="000839B3"/>
    <w:rsid w:val="0008404B"/>
    <w:rsid w:val="0008422A"/>
    <w:rsid w:val="00084790"/>
    <w:rsid w:val="00084A1F"/>
    <w:rsid w:val="00085016"/>
    <w:rsid w:val="000854CB"/>
    <w:rsid w:val="000871FC"/>
    <w:rsid w:val="00090A34"/>
    <w:rsid w:val="00091165"/>
    <w:rsid w:val="00091377"/>
    <w:rsid w:val="000916F7"/>
    <w:rsid w:val="00091FC5"/>
    <w:rsid w:val="000926C1"/>
    <w:rsid w:val="00093D85"/>
    <w:rsid w:val="00094FB2"/>
    <w:rsid w:val="0009503C"/>
    <w:rsid w:val="00095EF5"/>
    <w:rsid w:val="00097A7F"/>
    <w:rsid w:val="000A00B1"/>
    <w:rsid w:val="000A02E6"/>
    <w:rsid w:val="000A09B5"/>
    <w:rsid w:val="000A185B"/>
    <w:rsid w:val="000A1F65"/>
    <w:rsid w:val="000A2BEC"/>
    <w:rsid w:val="000A433D"/>
    <w:rsid w:val="000A467B"/>
    <w:rsid w:val="000A4A02"/>
    <w:rsid w:val="000A5710"/>
    <w:rsid w:val="000A5FC4"/>
    <w:rsid w:val="000A61FA"/>
    <w:rsid w:val="000A6744"/>
    <w:rsid w:val="000A696C"/>
    <w:rsid w:val="000B34AC"/>
    <w:rsid w:val="000B375C"/>
    <w:rsid w:val="000B3D3A"/>
    <w:rsid w:val="000B4520"/>
    <w:rsid w:val="000B46C7"/>
    <w:rsid w:val="000B4D9F"/>
    <w:rsid w:val="000B510F"/>
    <w:rsid w:val="000B5BB2"/>
    <w:rsid w:val="000B7296"/>
    <w:rsid w:val="000B7B23"/>
    <w:rsid w:val="000C02A0"/>
    <w:rsid w:val="000C0C90"/>
    <w:rsid w:val="000C1E63"/>
    <w:rsid w:val="000C22B5"/>
    <w:rsid w:val="000C23B9"/>
    <w:rsid w:val="000C2A6A"/>
    <w:rsid w:val="000C47C7"/>
    <w:rsid w:val="000C6186"/>
    <w:rsid w:val="000C72C8"/>
    <w:rsid w:val="000D04A5"/>
    <w:rsid w:val="000D1232"/>
    <w:rsid w:val="000D13BB"/>
    <w:rsid w:val="000D2F4A"/>
    <w:rsid w:val="000D327A"/>
    <w:rsid w:val="000D3632"/>
    <w:rsid w:val="000D4164"/>
    <w:rsid w:val="000D418F"/>
    <w:rsid w:val="000D454F"/>
    <w:rsid w:val="000D4BC5"/>
    <w:rsid w:val="000D637D"/>
    <w:rsid w:val="000D68DF"/>
    <w:rsid w:val="000D7275"/>
    <w:rsid w:val="000E0C81"/>
    <w:rsid w:val="000E0E31"/>
    <w:rsid w:val="000E34E9"/>
    <w:rsid w:val="000E4A29"/>
    <w:rsid w:val="000E5897"/>
    <w:rsid w:val="000E694F"/>
    <w:rsid w:val="000F00E1"/>
    <w:rsid w:val="000F05CF"/>
    <w:rsid w:val="000F07FB"/>
    <w:rsid w:val="000F09CE"/>
    <w:rsid w:val="000F0B20"/>
    <w:rsid w:val="000F1350"/>
    <w:rsid w:val="000F41F6"/>
    <w:rsid w:val="000F44DA"/>
    <w:rsid w:val="000F52C3"/>
    <w:rsid w:val="000F6500"/>
    <w:rsid w:val="000F725C"/>
    <w:rsid w:val="000F76D3"/>
    <w:rsid w:val="000F7F50"/>
    <w:rsid w:val="00100C34"/>
    <w:rsid w:val="00101265"/>
    <w:rsid w:val="00101895"/>
    <w:rsid w:val="00102205"/>
    <w:rsid w:val="0010286C"/>
    <w:rsid w:val="00104211"/>
    <w:rsid w:val="0010442F"/>
    <w:rsid w:val="0010749F"/>
    <w:rsid w:val="001076C6"/>
    <w:rsid w:val="0011018A"/>
    <w:rsid w:val="001115AD"/>
    <w:rsid w:val="001127D9"/>
    <w:rsid w:val="00113731"/>
    <w:rsid w:val="00113907"/>
    <w:rsid w:val="00113AA4"/>
    <w:rsid w:val="00113AC1"/>
    <w:rsid w:val="00113B60"/>
    <w:rsid w:val="00113D14"/>
    <w:rsid w:val="001147CA"/>
    <w:rsid w:val="0011495D"/>
    <w:rsid w:val="00114C7F"/>
    <w:rsid w:val="00115A20"/>
    <w:rsid w:val="001168EF"/>
    <w:rsid w:val="00117A78"/>
    <w:rsid w:val="00120A3B"/>
    <w:rsid w:val="00120B0B"/>
    <w:rsid w:val="00120F52"/>
    <w:rsid w:val="00121452"/>
    <w:rsid w:val="001231E7"/>
    <w:rsid w:val="0012320E"/>
    <w:rsid w:val="0012395E"/>
    <w:rsid w:val="0012397F"/>
    <w:rsid w:val="00123AE6"/>
    <w:rsid w:val="00123BFA"/>
    <w:rsid w:val="001253CC"/>
    <w:rsid w:val="001257CD"/>
    <w:rsid w:val="00125D5D"/>
    <w:rsid w:val="0012621C"/>
    <w:rsid w:val="001274B7"/>
    <w:rsid w:val="00127E52"/>
    <w:rsid w:val="0012946A"/>
    <w:rsid w:val="00130281"/>
    <w:rsid w:val="00131FE4"/>
    <w:rsid w:val="00134654"/>
    <w:rsid w:val="001346AD"/>
    <w:rsid w:val="00135782"/>
    <w:rsid w:val="00135964"/>
    <w:rsid w:val="00136410"/>
    <w:rsid w:val="00136510"/>
    <w:rsid w:val="00140618"/>
    <w:rsid w:val="001407D3"/>
    <w:rsid w:val="001430E2"/>
    <w:rsid w:val="001443DF"/>
    <w:rsid w:val="001444E8"/>
    <w:rsid w:val="00144566"/>
    <w:rsid w:val="00146515"/>
    <w:rsid w:val="00146722"/>
    <w:rsid w:val="00146CCF"/>
    <w:rsid w:val="001473D6"/>
    <w:rsid w:val="0014768D"/>
    <w:rsid w:val="00152281"/>
    <w:rsid w:val="00152B52"/>
    <w:rsid w:val="001530F5"/>
    <w:rsid w:val="00153ADE"/>
    <w:rsid w:val="0015426F"/>
    <w:rsid w:val="001549DC"/>
    <w:rsid w:val="00154E55"/>
    <w:rsid w:val="00156203"/>
    <w:rsid w:val="00156D0C"/>
    <w:rsid w:val="00160AEF"/>
    <w:rsid w:val="001612F0"/>
    <w:rsid w:val="001616A5"/>
    <w:rsid w:val="00162F7E"/>
    <w:rsid w:val="00163C49"/>
    <w:rsid w:val="00164647"/>
    <w:rsid w:val="00164AFC"/>
    <w:rsid w:val="00165EDF"/>
    <w:rsid w:val="00167580"/>
    <w:rsid w:val="001678D9"/>
    <w:rsid w:val="0017159A"/>
    <w:rsid w:val="001717FA"/>
    <w:rsid w:val="00171EB8"/>
    <w:rsid w:val="0017225B"/>
    <w:rsid w:val="00172D72"/>
    <w:rsid w:val="00174BDB"/>
    <w:rsid w:val="00177369"/>
    <w:rsid w:val="001775C9"/>
    <w:rsid w:val="00181758"/>
    <w:rsid w:val="001822B9"/>
    <w:rsid w:val="0018515B"/>
    <w:rsid w:val="0018531E"/>
    <w:rsid w:val="00185A97"/>
    <w:rsid w:val="00186385"/>
    <w:rsid w:val="001864EB"/>
    <w:rsid w:val="00186C06"/>
    <w:rsid w:val="001875B9"/>
    <w:rsid w:val="00190513"/>
    <w:rsid w:val="001905C7"/>
    <w:rsid w:val="00191FBD"/>
    <w:rsid w:val="00192AA5"/>
    <w:rsid w:val="00193A31"/>
    <w:rsid w:val="001966E4"/>
    <w:rsid w:val="001A02AC"/>
    <w:rsid w:val="001A3E42"/>
    <w:rsid w:val="001A47BD"/>
    <w:rsid w:val="001A4877"/>
    <w:rsid w:val="001A4A0A"/>
    <w:rsid w:val="001A587D"/>
    <w:rsid w:val="001A6925"/>
    <w:rsid w:val="001A6B1E"/>
    <w:rsid w:val="001A6C76"/>
    <w:rsid w:val="001A7828"/>
    <w:rsid w:val="001A7C9F"/>
    <w:rsid w:val="001B08DF"/>
    <w:rsid w:val="001B2A5B"/>
    <w:rsid w:val="001B363A"/>
    <w:rsid w:val="001B3FBC"/>
    <w:rsid w:val="001B580F"/>
    <w:rsid w:val="001B5BA1"/>
    <w:rsid w:val="001B61FC"/>
    <w:rsid w:val="001B7E0A"/>
    <w:rsid w:val="001C0C57"/>
    <w:rsid w:val="001C150E"/>
    <w:rsid w:val="001C1B62"/>
    <w:rsid w:val="001C23AA"/>
    <w:rsid w:val="001C29BA"/>
    <w:rsid w:val="001C2D6A"/>
    <w:rsid w:val="001C4260"/>
    <w:rsid w:val="001C4A2C"/>
    <w:rsid w:val="001C6036"/>
    <w:rsid w:val="001C6C53"/>
    <w:rsid w:val="001C7E90"/>
    <w:rsid w:val="001D03FF"/>
    <w:rsid w:val="001D0A3F"/>
    <w:rsid w:val="001D1A7E"/>
    <w:rsid w:val="001D2123"/>
    <w:rsid w:val="001D2185"/>
    <w:rsid w:val="001D26D5"/>
    <w:rsid w:val="001D2BB8"/>
    <w:rsid w:val="001D2E7B"/>
    <w:rsid w:val="001D367D"/>
    <w:rsid w:val="001D39F6"/>
    <w:rsid w:val="001D4616"/>
    <w:rsid w:val="001D4D04"/>
    <w:rsid w:val="001D5587"/>
    <w:rsid w:val="001D58D8"/>
    <w:rsid w:val="001D5E7D"/>
    <w:rsid w:val="001D5ECF"/>
    <w:rsid w:val="001D6B6E"/>
    <w:rsid w:val="001D7125"/>
    <w:rsid w:val="001D79B2"/>
    <w:rsid w:val="001D7A15"/>
    <w:rsid w:val="001E157A"/>
    <w:rsid w:val="001E207A"/>
    <w:rsid w:val="001E2293"/>
    <w:rsid w:val="001E3F5B"/>
    <w:rsid w:val="001E5674"/>
    <w:rsid w:val="001E6103"/>
    <w:rsid w:val="001E6A03"/>
    <w:rsid w:val="001E754A"/>
    <w:rsid w:val="001E767F"/>
    <w:rsid w:val="001E7E88"/>
    <w:rsid w:val="001F0EB7"/>
    <w:rsid w:val="001F122E"/>
    <w:rsid w:val="001F149F"/>
    <w:rsid w:val="001F1B5F"/>
    <w:rsid w:val="001F1DE1"/>
    <w:rsid w:val="001F33A2"/>
    <w:rsid w:val="001F365D"/>
    <w:rsid w:val="001F3B41"/>
    <w:rsid w:val="001F4159"/>
    <w:rsid w:val="001F5148"/>
    <w:rsid w:val="001F5D24"/>
    <w:rsid w:val="001F69C7"/>
    <w:rsid w:val="0020096B"/>
    <w:rsid w:val="00200FD9"/>
    <w:rsid w:val="002014F0"/>
    <w:rsid w:val="002016B1"/>
    <w:rsid w:val="00201FF9"/>
    <w:rsid w:val="002029E0"/>
    <w:rsid w:val="00202CBC"/>
    <w:rsid w:val="00203CD4"/>
    <w:rsid w:val="00204019"/>
    <w:rsid w:val="00205182"/>
    <w:rsid w:val="00206F1C"/>
    <w:rsid w:val="00210403"/>
    <w:rsid w:val="00210502"/>
    <w:rsid w:val="00213348"/>
    <w:rsid w:val="00213A3B"/>
    <w:rsid w:val="00216B40"/>
    <w:rsid w:val="00216D60"/>
    <w:rsid w:val="0021791A"/>
    <w:rsid w:val="0022058F"/>
    <w:rsid w:val="0022118F"/>
    <w:rsid w:val="002212B8"/>
    <w:rsid w:val="00223111"/>
    <w:rsid w:val="00223660"/>
    <w:rsid w:val="00223BFD"/>
    <w:rsid w:val="0022411D"/>
    <w:rsid w:val="0022511B"/>
    <w:rsid w:val="002258DD"/>
    <w:rsid w:val="0022684E"/>
    <w:rsid w:val="002272D0"/>
    <w:rsid w:val="00227EE8"/>
    <w:rsid w:val="00227F33"/>
    <w:rsid w:val="00231498"/>
    <w:rsid w:val="002319AC"/>
    <w:rsid w:val="00232098"/>
    <w:rsid w:val="0023214E"/>
    <w:rsid w:val="00233C38"/>
    <w:rsid w:val="002343E0"/>
    <w:rsid w:val="00234913"/>
    <w:rsid w:val="0023599D"/>
    <w:rsid w:val="00237165"/>
    <w:rsid w:val="002377E8"/>
    <w:rsid w:val="00237840"/>
    <w:rsid w:val="002405C6"/>
    <w:rsid w:val="00240D88"/>
    <w:rsid w:val="0024254F"/>
    <w:rsid w:val="00242B9A"/>
    <w:rsid w:val="00243E5F"/>
    <w:rsid w:val="0024401C"/>
    <w:rsid w:val="00245313"/>
    <w:rsid w:val="002456C0"/>
    <w:rsid w:val="00245ED4"/>
    <w:rsid w:val="00246A4D"/>
    <w:rsid w:val="00251BA1"/>
    <w:rsid w:val="00251DBD"/>
    <w:rsid w:val="00254A06"/>
    <w:rsid w:val="00254D54"/>
    <w:rsid w:val="002564DD"/>
    <w:rsid w:val="00256536"/>
    <w:rsid w:val="00256F48"/>
    <w:rsid w:val="0025733A"/>
    <w:rsid w:val="0025739C"/>
    <w:rsid w:val="002575BB"/>
    <w:rsid w:val="00257C5E"/>
    <w:rsid w:val="0026122C"/>
    <w:rsid w:val="00263166"/>
    <w:rsid w:val="00263298"/>
    <w:rsid w:val="00263451"/>
    <w:rsid w:val="00263E01"/>
    <w:rsid w:val="00264CD2"/>
    <w:rsid w:val="0026560E"/>
    <w:rsid w:val="00265C32"/>
    <w:rsid w:val="002674CB"/>
    <w:rsid w:val="002676D5"/>
    <w:rsid w:val="0026784D"/>
    <w:rsid w:val="00270784"/>
    <w:rsid w:val="002709B1"/>
    <w:rsid w:val="00271DDC"/>
    <w:rsid w:val="00273048"/>
    <w:rsid w:val="00273AAB"/>
    <w:rsid w:val="00273D76"/>
    <w:rsid w:val="00274E2B"/>
    <w:rsid w:val="00274FCF"/>
    <w:rsid w:val="002754A9"/>
    <w:rsid w:val="002759B4"/>
    <w:rsid w:val="002765AE"/>
    <w:rsid w:val="00276667"/>
    <w:rsid w:val="00277D42"/>
    <w:rsid w:val="002801B4"/>
    <w:rsid w:val="002810C9"/>
    <w:rsid w:val="00283657"/>
    <w:rsid w:val="002845DB"/>
    <w:rsid w:val="002852F7"/>
    <w:rsid w:val="00291BC1"/>
    <w:rsid w:val="0029261D"/>
    <w:rsid w:val="00292741"/>
    <w:rsid w:val="00292C18"/>
    <w:rsid w:val="0029320C"/>
    <w:rsid w:val="0029323C"/>
    <w:rsid w:val="00293A08"/>
    <w:rsid w:val="00294053"/>
    <w:rsid w:val="00294952"/>
    <w:rsid w:val="00295B95"/>
    <w:rsid w:val="00296DC8"/>
    <w:rsid w:val="00296EBF"/>
    <w:rsid w:val="00297489"/>
    <w:rsid w:val="002975AB"/>
    <w:rsid w:val="0029772A"/>
    <w:rsid w:val="00297885"/>
    <w:rsid w:val="00297A5D"/>
    <w:rsid w:val="00297E87"/>
    <w:rsid w:val="002A0350"/>
    <w:rsid w:val="002A04B6"/>
    <w:rsid w:val="002A0794"/>
    <w:rsid w:val="002A2696"/>
    <w:rsid w:val="002A490B"/>
    <w:rsid w:val="002A4AFE"/>
    <w:rsid w:val="002A5570"/>
    <w:rsid w:val="002A5E90"/>
    <w:rsid w:val="002A5FD3"/>
    <w:rsid w:val="002A63B5"/>
    <w:rsid w:val="002A65F7"/>
    <w:rsid w:val="002A6AEE"/>
    <w:rsid w:val="002B060F"/>
    <w:rsid w:val="002B16F4"/>
    <w:rsid w:val="002B36E7"/>
    <w:rsid w:val="002B4076"/>
    <w:rsid w:val="002B542D"/>
    <w:rsid w:val="002B57D9"/>
    <w:rsid w:val="002B605A"/>
    <w:rsid w:val="002B63CB"/>
    <w:rsid w:val="002B6571"/>
    <w:rsid w:val="002B698E"/>
    <w:rsid w:val="002B7D97"/>
    <w:rsid w:val="002C0F80"/>
    <w:rsid w:val="002C1217"/>
    <w:rsid w:val="002C1329"/>
    <w:rsid w:val="002C163F"/>
    <w:rsid w:val="002C1ABD"/>
    <w:rsid w:val="002C469D"/>
    <w:rsid w:val="002C4AB1"/>
    <w:rsid w:val="002C5614"/>
    <w:rsid w:val="002C5E7B"/>
    <w:rsid w:val="002D18C0"/>
    <w:rsid w:val="002D1C39"/>
    <w:rsid w:val="002D22D4"/>
    <w:rsid w:val="002D2638"/>
    <w:rsid w:val="002D3336"/>
    <w:rsid w:val="002D3B79"/>
    <w:rsid w:val="002D4C58"/>
    <w:rsid w:val="002D5B99"/>
    <w:rsid w:val="002D6882"/>
    <w:rsid w:val="002D716A"/>
    <w:rsid w:val="002E03B2"/>
    <w:rsid w:val="002E127B"/>
    <w:rsid w:val="002E1D40"/>
    <w:rsid w:val="002E1E69"/>
    <w:rsid w:val="002E2DDD"/>
    <w:rsid w:val="002E3C13"/>
    <w:rsid w:val="002E5A50"/>
    <w:rsid w:val="002E61A7"/>
    <w:rsid w:val="002E6B35"/>
    <w:rsid w:val="002F0231"/>
    <w:rsid w:val="002F1153"/>
    <w:rsid w:val="002F147F"/>
    <w:rsid w:val="002F22B4"/>
    <w:rsid w:val="002F25A5"/>
    <w:rsid w:val="002F296F"/>
    <w:rsid w:val="002F2BD0"/>
    <w:rsid w:val="002F403B"/>
    <w:rsid w:val="002F44D7"/>
    <w:rsid w:val="002F5444"/>
    <w:rsid w:val="002F6848"/>
    <w:rsid w:val="002F7D25"/>
    <w:rsid w:val="00301EE0"/>
    <w:rsid w:val="0030218C"/>
    <w:rsid w:val="00302389"/>
    <w:rsid w:val="003030E6"/>
    <w:rsid w:val="00303659"/>
    <w:rsid w:val="003054D0"/>
    <w:rsid w:val="00305725"/>
    <w:rsid w:val="00305A52"/>
    <w:rsid w:val="00305EDF"/>
    <w:rsid w:val="00306107"/>
    <w:rsid w:val="00307149"/>
    <w:rsid w:val="003104E4"/>
    <w:rsid w:val="003111DC"/>
    <w:rsid w:val="00311711"/>
    <w:rsid w:val="0031238D"/>
    <w:rsid w:val="0031272A"/>
    <w:rsid w:val="00312741"/>
    <w:rsid w:val="003128C9"/>
    <w:rsid w:val="00313C6B"/>
    <w:rsid w:val="00313D32"/>
    <w:rsid w:val="00314060"/>
    <w:rsid w:val="003140F1"/>
    <w:rsid w:val="0031466C"/>
    <w:rsid w:val="00314A68"/>
    <w:rsid w:val="0031651A"/>
    <w:rsid w:val="003167D8"/>
    <w:rsid w:val="003203EA"/>
    <w:rsid w:val="00321247"/>
    <w:rsid w:val="0032169A"/>
    <w:rsid w:val="00322642"/>
    <w:rsid w:val="00325A86"/>
    <w:rsid w:val="00325D77"/>
    <w:rsid w:val="003265C2"/>
    <w:rsid w:val="00326746"/>
    <w:rsid w:val="00326CC6"/>
    <w:rsid w:val="0032755D"/>
    <w:rsid w:val="00330409"/>
    <w:rsid w:val="00332795"/>
    <w:rsid w:val="0033340F"/>
    <w:rsid w:val="00333625"/>
    <w:rsid w:val="00333799"/>
    <w:rsid w:val="00333D2A"/>
    <w:rsid w:val="0033648A"/>
    <w:rsid w:val="00336624"/>
    <w:rsid w:val="00336F99"/>
    <w:rsid w:val="003421A1"/>
    <w:rsid w:val="003424BB"/>
    <w:rsid w:val="00342CD5"/>
    <w:rsid w:val="00342D65"/>
    <w:rsid w:val="0034489E"/>
    <w:rsid w:val="00344E3A"/>
    <w:rsid w:val="00346497"/>
    <w:rsid w:val="00346AE6"/>
    <w:rsid w:val="00346E68"/>
    <w:rsid w:val="003500B2"/>
    <w:rsid w:val="003501A8"/>
    <w:rsid w:val="00350B1E"/>
    <w:rsid w:val="00350B7E"/>
    <w:rsid w:val="00351F77"/>
    <w:rsid w:val="003522DF"/>
    <w:rsid w:val="003525BD"/>
    <w:rsid w:val="00352844"/>
    <w:rsid w:val="00352CD0"/>
    <w:rsid w:val="00354484"/>
    <w:rsid w:val="00355294"/>
    <w:rsid w:val="00355C5A"/>
    <w:rsid w:val="0035608E"/>
    <w:rsid w:val="003560D0"/>
    <w:rsid w:val="003562DD"/>
    <w:rsid w:val="0035632A"/>
    <w:rsid w:val="003574BB"/>
    <w:rsid w:val="003575A7"/>
    <w:rsid w:val="00357800"/>
    <w:rsid w:val="003578E4"/>
    <w:rsid w:val="00357A13"/>
    <w:rsid w:val="00357D5C"/>
    <w:rsid w:val="00357EA5"/>
    <w:rsid w:val="00360AB9"/>
    <w:rsid w:val="00360F2B"/>
    <w:rsid w:val="00361E53"/>
    <w:rsid w:val="00362709"/>
    <w:rsid w:val="003628E9"/>
    <w:rsid w:val="00363AB0"/>
    <w:rsid w:val="00365410"/>
    <w:rsid w:val="00365C33"/>
    <w:rsid w:val="00365CB7"/>
    <w:rsid w:val="00367979"/>
    <w:rsid w:val="00367FA4"/>
    <w:rsid w:val="00370402"/>
    <w:rsid w:val="00370AAC"/>
    <w:rsid w:val="00371DCF"/>
    <w:rsid w:val="00373736"/>
    <w:rsid w:val="00373E17"/>
    <w:rsid w:val="00377485"/>
    <w:rsid w:val="0038002D"/>
    <w:rsid w:val="00381861"/>
    <w:rsid w:val="003819B5"/>
    <w:rsid w:val="00381EA1"/>
    <w:rsid w:val="003840A3"/>
    <w:rsid w:val="0038486D"/>
    <w:rsid w:val="00385E56"/>
    <w:rsid w:val="0038608C"/>
    <w:rsid w:val="00386477"/>
    <w:rsid w:val="003868AD"/>
    <w:rsid w:val="0038760E"/>
    <w:rsid w:val="00390F58"/>
    <w:rsid w:val="003929B7"/>
    <w:rsid w:val="00393FF2"/>
    <w:rsid w:val="003948D5"/>
    <w:rsid w:val="00395946"/>
    <w:rsid w:val="003967D4"/>
    <w:rsid w:val="00396BA5"/>
    <w:rsid w:val="0039740B"/>
    <w:rsid w:val="003A0D67"/>
    <w:rsid w:val="003A1403"/>
    <w:rsid w:val="003A1D53"/>
    <w:rsid w:val="003A1E3C"/>
    <w:rsid w:val="003A262B"/>
    <w:rsid w:val="003A3E5D"/>
    <w:rsid w:val="003A449A"/>
    <w:rsid w:val="003A5A9A"/>
    <w:rsid w:val="003A5CA4"/>
    <w:rsid w:val="003A61AD"/>
    <w:rsid w:val="003A6FBC"/>
    <w:rsid w:val="003A73F9"/>
    <w:rsid w:val="003B0038"/>
    <w:rsid w:val="003B0108"/>
    <w:rsid w:val="003B2358"/>
    <w:rsid w:val="003B2640"/>
    <w:rsid w:val="003B277E"/>
    <w:rsid w:val="003B2A1E"/>
    <w:rsid w:val="003B3883"/>
    <w:rsid w:val="003B445F"/>
    <w:rsid w:val="003B46D3"/>
    <w:rsid w:val="003B56DF"/>
    <w:rsid w:val="003B6DC7"/>
    <w:rsid w:val="003B72DC"/>
    <w:rsid w:val="003C0A81"/>
    <w:rsid w:val="003C0E07"/>
    <w:rsid w:val="003C194D"/>
    <w:rsid w:val="003C1B07"/>
    <w:rsid w:val="003C1B11"/>
    <w:rsid w:val="003C251A"/>
    <w:rsid w:val="003C416D"/>
    <w:rsid w:val="003C4BF0"/>
    <w:rsid w:val="003C4D2D"/>
    <w:rsid w:val="003C59DA"/>
    <w:rsid w:val="003C6431"/>
    <w:rsid w:val="003C6890"/>
    <w:rsid w:val="003C6D05"/>
    <w:rsid w:val="003C76AD"/>
    <w:rsid w:val="003C7769"/>
    <w:rsid w:val="003C7F19"/>
    <w:rsid w:val="003D0501"/>
    <w:rsid w:val="003D15FA"/>
    <w:rsid w:val="003D181D"/>
    <w:rsid w:val="003D23FA"/>
    <w:rsid w:val="003D24C4"/>
    <w:rsid w:val="003D25B6"/>
    <w:rsid w:val="003D2CD5"/>
    <w:rsid w:val="003D2E21"/>
    <w:rsid w:val="003D36FB"/>
    <w:rsid w:val="003D3B9F"/>
    <w:rsid w:val="003D3DC4"/>
    <w:rsid w:val="003D4B95"/>
    <w:rsid w:val="003D61A5"/>
    <w:rsid w:val="003D6D1A"/>
    <w:rsid w:val="003D7252"/>
    <w:rsid w:val="003D754C"/>
    <w:rsid w:val="003E00A8"/>
    <w:rsid w:val="003E078C"/>
    <w:rsid w:val="003E2CBA"/>
    <w:rsid w:val="003E40D8"/>
    <w:rsid w:val="003E4B97"/>
    <w:rsid w:val="003E50C8"/>
    <w:rsid w:val="003E6228"/>
    <w:rsid w:val="003E628C"/>
    <w:rsid w:val="003E7222"/>
    <w:rsid w:val="003F00DC"/>
    <w:rsid w:val="003F1233"/>
    <w:rsid w:val="003F19A9"/>
    <w:rsid w:val="003F2128"/>
    <w:rsid w:val="003F2707"/>
    <w:rsid w:val="003F2ECD"/>
    <w:rsid w:val="003F49D8"/>
    <w:rsid w:val="003F560C"/>
    <w:rsid w:val="003F56B1"/>
    <w:rsid w:val="003F58BB"/>
    <w:rsid w:val="003F6CC1"/>
    <w:rsid w:val="003F6DBB"/>
    <w:rsid w:val="00400859"/>
    <w:rsid w:val="00401F21"/>
    <w:rsid w:val="00402F49"/>
    <w:rsid w:val="004032E9"/>
    <w:rsid w:val="00403E12"/>
    <w:rsid w:val="00404504"/>
    <w:rsid w:val="00404F53"/>
    <w:rsid w:val="00405264"/>
    <w:rsid w:val="00405E6D"/>
    <w:rsid w:val="0040675A"/>
    <w:rsid w:val="00410F7E"/>
    <w:rsid w:val="00411F28"/>
    <w:rsid w:val="00412FDF"/>
    <w:rsid w:val="004143C7"/>
    <w:rsid w:val="00414B56"/>
    <w:rsid w:val="004165F1"/>
    <w:rsid w:val="00416800"/>
    <w:rsid w:val="004201BF"/>
    <w:rsid w:val="0042028B"/>
    <w:rsid w:val="00420D70"/>
    <w:rsid w:val="0042106E"/>
    <w:rsid w:val="0042112A"/>
    <w:rsid w:val="00421894"/>
    <w:rsid w:val="00421935"/>
    <w:rsid w:val="00423DE9"/>
    <w:rsid w:val="00424E76"/>
    <w:rsid w:val="004250CD"/>
    <w:rsid w:val="004252FC"/>
    <w:rsid w:val="00426E35"/>
    <w:rsid w:val="0042728B"/>
    <w:rsid w:val="00430AF5"/>
    <w:rsid w:val="00431D05"/>
    <w:rsid w:val="00434695"/>
    <w:rsid w:val="004367A7"/>
    <w:rsid w:val="00437851"/>
    <w:rsid w:val="00437FC5"/>
    <w:rsid w:val="00440059"/>
    <w:rsid w:val="00441FF2"/>
    <w:rsid w:val="004436E2"/>
    <w:rsid w:val="00444802"/>
    <w:rsid w:val="00444BCF"/>
    <w:rsid w:val="00444D57"/>
    <w:rsid w:val="00444FD7"/>
    <w:rsid w:val="00445162"/>
    <w:rsid w:val="004457C6"/>
    <w:rsid w:val="0044682B"/>
    <w:rsid w:val="0044747C"/>
    <w:rsid w:val="00447D36"/>
    <w:rsid w:val="0045182A"/>
    <w:rsid w:val="00451F80"/>
    <w:rsid w:val="004537DA"/>
    <w:rsid w:val="00453845"/>
    <w:rsid w:val="00453B46"/>
    <w:rsid w:val="00454085"/>
    <w:rsid w:val="00454CFF"/>
    <w:rsid w:val="0045580F"/>
    <w:rsid w:val="00455DA4"/>
    <w:rsid w:val="0045658D"/>
    <w:rsid w:val="00456816"/>
    <w:rsid w:val="00456CDF"/>
    <w:rsid w:val="00460052"/>
    <w:rsid w:val="00460151"/>
    <w:rsid w:val="004601C1"/>
    <w:rsid w:val="00462E90"/>
    <w:rsid w:val="0046385D"/>
    <w:rsid w:val="00463955"/>
    <w:rsid w:val="0046499F"/>
    <w:rsid w:val="00464A8E"/>
    <w:rsid w:val="00464CA6"/>
    <w:rsid w:val="00464FCD"/>
    <w:rsid w:val="004654E5"/>
    <w:rsid w:val="0046555E"/>
    <w:rsid w:val="00465676"/>
    <w:rsid w:val="00465B26"/>
    <w:rsid w:val="004667A7"/>
    <w:rsid w:val="00466B96"/>
    <w:rsid w:val="004670D7"/>
    <w:rsid w:val="0047037E"/>
    <w:rsid w:val="00472BAD"/>
    <w:rsid w:val="0047301B"/>
    <w:rsid w:val="00473F62"/>
    <w:rsid w:val="00475EB2"/>
    <w:rsid w:val="004766E6"/>
    <w:rsid w:val="004773A8"/>
    <w:rsid w:val="0047792B"/>
    <w:rsid w:val="00480ECB"/>
    <w:rsid w:val="00482669"/>
    <w:rsid w:val="0048296C"/>
    <w:rsid w:val="004834CF"/>
    <w:rsid w:val="00484191"/>
    <w:rsid w:val="00484E79"/>
    <w:rsid w:val="00485F33"/>
    <w:rsid w:val="00486A25"/>
    <w:rsid w:val="00486BE1"/>
    <w:rsid w:val="00487E22"/>
    <w:rsid w:val="00491146"/>
    <w:rsid w:val="00491653"/>
    <w:rsid w:val="00491A9B"/>
    <w:rsid w:val="00491F16"/>
    <w:rsid w:val="00496BDF"/>
    <w:rsid w:val="004A047A"/>
    <w:rsid w:val="004A1574"/>
    <w:rsid w:val="004A1A33"/>
    <w:rsid w:val="004A3B53"/>
    <w:rsid w:val="004A5B09"/>
    <w:rsid w:val="004A5F4E"/>
    <w:rsid w:val="004A638F"/>
    <w:rsid w:val="004A68A3"/>
    <w:rsid w:val="004A76EA"/>
    <w:rsid w:val="004B1EF9"/>
    <w:rsid w:val="004B27FE"/>
    <w:rsid w:val="004B2B37"/>
    <w:rsid w:val="004B2BA9"/>
    <w:rsid w:val="004B3E7A"/>
    <w:rsid w:val="004B5540"/>
    <w:rsid w:val="004B63B9"/>
    <w:rsid w:val="004C2665"/>
    <w:rsid w:val="004C2699"/>
    <w:rsid w:val="004C2D6C"/>
    <w:rsid w:val="004C3F01"/>
    <w:rsid w:val="004C3F9A"/>
    <w:rsid w:val="004C4F7D"/>
    <w:rsid w:val="004C4F95"/>
    <w:rsid w:val="004C50DF"/>
    <w:rsid w:val="004C5C42"/>
    <w:rsid w:val="004C6C07"/>
    <w:rsid w:val="004C6EA3"/>
    <w:rsid w:val="004C73DE"/>
    <w:rsid w:val="004C799A"/>
    <w:rsid w:val="004D01A4"/>
    <w:rsid w:val="004D02E0"/>
    <w:rsid w:val="004D0A42"/>
    <w:rsid w:val="004D0F65"/>
    <w:rsid w:val="004D0FD0"/>
    <w:rsid w:val="004D100F"/>
    <w:rsid w:val="004D165D"/>
    <w:rsid w:val="004D258C"/>
    <w:rsid w:val="004D2B7E"/>
    <w:rsid w:val="004D327E"/>
    <w:rsid w:val="004D368A"/>
    <w:rsid w:val="004D49B9"/>
    <w:rsid w:val="004D4BCA"/>
    <w:rsid w:val="004D69A3"/>
    <w:rsid w:val="004D7AED"/>
    <w:rsid w:val="004E3ECF"/>
    <w:rsid w:val="004E4DCD"/>
    <w:rsid w:val="004E5041"/>
    <w:rsid w:val="004E53FD"/>
    <w:rsid w:val="004E5704"/>
    <w:rsid w:val="004E751E"/>
    <w:rsid w:val="004E7D7F"/>
    <w:rsid w:val="004E7E73"/>
    <w:rsid w:val="004F03E4"/>
    <w:rsid w:val="004F13F3"/>
    <w:rsid w:val="004F1F69"/>
    <w:rsid w:val="004F2BF8"/>
    <w:rsid w:val="004F342B"/>
    <w:rsid w:val="004F3B2A"/>
    <w:rsid w:val="004F3D8A"/>
    <w:rsid w:val="004F44EC"/>
    <w:rsid w:val="004F4935"/>
    <w:rsid w:val="0050025A"/>
    <w:rsid w:val="00500ABB"/>
    <w:rsid w:val="00500B40"/>
    <w:rsid w:val="005014D5"/>
    <w:rsid w:val="00503B09"/>
    <w:rsid w:val="00506A31"/>
    <w:rsid w:val="00506DF4"/>
    <w:rsid w:val="005073E5"/>
    <w:rsid w:val="00507759"/>
    <w:rsid w:val="0051009E"/>
    <w:rsid w:val="00510968"/>
    <w:rsid w:val="005130C3"/>
    <w:rsid w:val="0051394E"/>
    <w:rsid w:val="00513FB2"/>
    <w:rsid w:val="005141C2"/>
    <w:rsid w:val="00515ABC"/>
    <w:rsid w:val="005161E5"/>
    <w:rsid w:val="00517171"/>
    <w:rsid w:val="00517313"/>
    <w:rsid w:val="005176C1"/>
    <w:rsid w:val="005177D0"/>
    <w:rsid w:val="00517E31"/>
    <w:rsid w:val="00520202"/>
    <w:rsid w:val="0052150F"/>
    <w:rsid w:val="00522160"/>
    <w:rsid w:val="0052233F"/>
    <w:rsid w:val="0052401A"/>
    <w:rsid w:val="005246BE"/>
    <w:rsid w:val="00525156"/>
    <w:rsid w:val="005254B6"/>
    <w:rsid w:val="005258FA"/>
    <w:rsid w:val="00525BF5"/>
    <w:rsid w:val="005260AA"/>
    <w:rsid w:val="00526742"/>
    <w:rsid w:val="00526744"/>
    <w:rsid w:val="00526B86"/>
    <w:rsid w:val="0052718A"/>
    <w:rsid w:val="00527F8E"/>
    <w:rsid w:val="00530484"/>
    <w:rsid w:val="00530853"/>
    <w:rsid w:val="005316F4"/>
    <w:rsid w:val="00532531"/>
    <w:rsid w:val="00532651"/>
    <w:rsid w:val="005329D2"/>
    <w:rsid w:val="005351CF"/>
    <w:rsid w:val="00537479"/>
    <w:rsid w:val="0054042D"/>
    <w:rsid w:val="00540664"/>
    <w:rsid w:val="005423CB"/>
    <w:rsid w:val="00542741"/>
    <w:rsid w:val="0054421B"/>
    <w:rsid w:val="00544510"/>
    <w:rsid w:val="005450C8"/>
    <w:rsid w:val="005454AC"/>
    <w:rsid w:val="005461B4"/>
    <w:rsid w:val="0054695B"/>
    <w:rsid w:val="00547F01"/>
    <w:rsid w:val="00550479"/>
    <w:rsid w:val="005516F6"/>
    <w:rsid w:val="00551AA3"/>
    <w:rsid w:val="0055579F"/>
    <w:rsid w:val="005561B5"/>
    <w:rsid w:val="00556A70"/>
    <w:rsid w:val="005607C8"/>
    <w:rsid w:val="00560875"/>
    <w:rsid w:val="005619AE"/>
    <w:rsid w:val="0056541F"/>
    <w:rsid w:val="00565F51"/>
    <w:rsid w:val="005662C1"/>
    <w:rsid w:val="00567D7A"/>
    <w:rsid w:val="00570433"/>
    <w:rsid w:val="00570EB8"/>
    <w:rsid w:val="005723A2"/>
    <w:rsid w:val="00572553"/>
    <w:rsid w:val="00572785"/>
    <w:rsid w:val="00572C27"/>
    <w:rsid w:val="005735BF"/>
    <w:rsid w:val="0057378C"/>
    <w:rsid w:val="00575299"/>
    <w:rsid w:val="005768CC"/>
    <w:rsid w:val="00577B84"/>
    <w:rsid w:val="00577BDA"/>
    <w:rsid w:val="00577DAF"/>
    <w:rsid w:val="0057F6BE"/>
    <w:rsid w:val="00581593"/>
    <w:rsid w:val="00581DAD"/>
    <w:rsid w:val="00581FE3"/>
    <w:rsid w:val="005824E3"/>
    <w:rsid w:val="00582590"/>
    <w:rsid w:val="00582745"/>
    <w:rsid w:val="00582D10"/>
    <w:rsid w:val="00582EB2"/>
    <w:rsid w:val="00583DA9"/>
    <w:rsid w:val="0058411E"/>
    <w:rsid w:val="00584196"/>
    <w:rsid w:val="00584A37"/>
    <w:rsid w:val="00584F58"/>
    <w:rsid w:val="005868B4"/>
    <w:rsid w:val="00586ED4"/>
    <w:rsid w:val="00587284"/>
    <w:rsid w:val="005873FB"/>
    <w:rsid w:val="00590205"/>
    <w:rsid w:val="005907DE"/>
    <w:rsid w:val="00591D3F"/>
    <w:rsid w:val="00592A3F"/>
    <w:rsid w:val="005941BE"/>
    <w:rsid w:val="005958C2"/>
    <w:rsid w:val="00596190"/>
    <w:rsid w:val="005A18B0"/>
    <w:rsid w:val="005A3FA6"/>
    <w:rsid w:val="005A4B2C"/>
    <w:rsid w:val="005A4D1F"/>
    <w:rsid w:val="005A4ED3"/>
    <w:rsid w:val="005A5852"/>
    <w:rsid w:val="005A658B"/>
    <w:rsid w:val="005A6D89"/>
    <w:rsid w:val="005B050D"/>
    <w:rsid w:val="005B0A5E"/>
    <w:rsid w:val="005B3643"/>
    <w:rsid w:val="005B3697"/>
    <w:rsid w:val="005B3871"/>
    <w:rsid w:val="005B45A7"/>
    <w:rsid w:val="005B4B93"/>
    <w:rsid w:val="005B4EA3"/>
    <w:rsid w:val="005B53A3"/>
    <w:rsid w:val="005B739C"/>
    <w:rsid w:val="005B7536"/>
    <w:rsid w:val="005B763E"/>
    <w:rsid w:val="005C14B9"/>
    <w:rsid w:val="005C1BEE"/>
    <w:rsid w:val="005C1D0B"/>
    <w:rsid w:val="005C2C77"/>
    <w:rsid w:val="005C36ED"/>
    <w:rsid w:val="005C6063"/>
    <w:rsid w:val="005C7111"/>
    <w:rsid w:val="005C76BB"/>
    <w:rsid w:val="005D11DA"/>
    <w:rsid w:val="005D24AE"/>
    <w:rsid w:val="005D28E2"/>
    <w:rsid w:val="005D28FC"/>
    <w:rsid w:val="005D2D25"/>
    <w:rsid w:val="005D3944"/>
    <w:rsid w:val="005D65BE"/>
    <w:rsid w:val="005D7903"/>
    <w:rsid w:val="005E046E"/>
    <w:rsid w:val="005E1204"/>
    <w:rsid w:val="005E3872"/>
    <w:rsid w:val="005E3BF8"/>
    <w:rsid w:val="005E4097"/>
    <w:rsid w:val="005E41B9"/>
    <w:rsid w:val="005E45C4"/>
    <w:rsid w:val="005E4D0C"/>
    <w:rsid w:val="005E4EF7"/>
    <w:rsid w:val="005E5E75"/>
    <w:rsid w:val="005E69F4"/>
    <w:rsid w:val="005F0653"/>
    <w:rsid w:val="005F1303"/>
    <w:rsid w:val="005F19E7"/>
    <w:rsid w:val="005F1CF6"/>
    <w:rsid w:val="005F1EA8"/>
    <w:rsid w:val="005F331A"/>
    <w:rsid w:val="005F3554"/>
    <w:rsid w:val="005F3DDE"/>
    <w:rsid w:val="005F446C"/>
    <w:rsid w:val="005F460C"/>
    <w:rsid w:val="005F4CDD"/>
    <w:rsid w:val="005F5615"/>
    <w:rsid w:val="005F58C3"/>
    <w:rsid w:val="005F6810"/>
    <w:rsid w:val="00600951"/>
    <w:rsid w:val="00601544"/>
    <w:rsid w:val="006027BC"/>
    <w:rsid w:val="00603873"/>
    <w:rsid w:val="00603C6C"/>
    <w:rsid w:val="00603DA8"/>
    <w:rsid w:val="00607154"/>
    <w:rsid w:val="0060721A"/>
    <w:rsid w:val="0060754C"/>
    <w:rsid w:val="00607E43"/>
    <w:rsid w:val="006103D3"/>
    <w:rsid w:val="00610D4F"/>
    <w:rsid w:val="00610D56"/>
    <w:rsid w:val="0061122D"/>
    <w:rsid w:val="00612A26"/>
    <w:rsid w:val="0061487E"/>
    <w:rsid w:val="0061543F"/>
    <w:rsid w:val="00615505"/>
    <w:rsid w:val="00615CF5"/>
    <w:rsid w:val="00615EC4"/>
    <w:rsid w:val="00616737"/>
    <w:rsid w:val="00616C4F"/>
    <w:rsid w:val="006200B5"/>
    <w:rsid w:val="006204D2"/>
    <w:rsid w:val="00620572"/>
    <w:rsid w:val="00621A4F"/>
    <w:rsid w:val="00621D04"/>
    <w:rsid w:val="00621DD3"/>
    <w:rsid w:val="00621F2A"/>
    <w:rsid w:val="006223AD"/>
    <w:rsid w:val="006232C3"/>
    <w:rsid w:val="00623300"/>
    <w:rsid w:val="00623380"/>
    <w:rsid w:val="00625B93"/>
    <w:rsid w:val="00626482"/>
    <w:rsid w:val="00632EFA"/>
    <w:rsid w:val="0063402A"/>
    <w:rsid w:val="00636F37"/>
    <w:rsid w:val="00637056"/>
    <w:rsid w:val="006375D7"/>
    <w:rsid w:val="00637D5D"/>
    <w:rsid w:val="00637E9D"/>
    <w:rsid w:val="006404A6"/>
    <w:rsid w:val="006411EA"/>
    <w:rsid w:val="00641F2F"/>
    <w:rsid w:val="00643C88"/>
    <w:rsid w:val="00644906"/>
    <w:rsid w:val="00644A07"/>
    <w:rsid w:val="006464DA"/>
    <w:rsid w:val="0064679E"/>
    <w:rsid w:val="00647B40"/>
    <w:rsid w:val="0065083E"/>
    <w:rsid w:val="00650F8A"/>
    <w:rsid w:val="00651801"/>
    <w:rsid w:val="006529BE"/>
    <w:rsid w:val="00652ABB"/>
    <w:rsid w:val="0065337B"/>
    <w:rsid w:val="006534D3"/>
    <w:rsid w:val="006535A9"/>
    <w:rsid w:val="00653835"/>
    <w:rsid w:val="00653D51"/>
    <w:rsid w:val="00654036"/>
    <w:rsid w:val="00654122"/>
    <w:rsid w:val="006549F2"/>
    <w:rsid w:val="00654FA9"/>
    <w:rsid w:val="00655431"/>
    <w:rsid w:val="00656558"/>
    <w:rsid w:val="00656BE5"/>
    <w:rsid w:val="00657574"/>
    <w:rsid w:val="00660530"/>
    <w:rsid w:val="0066060D"/>
    <w:rsid w:val="006607BA"/>
    <w:rsid w:val="00660959"/>
    <w:rsid w:val="006616EC"/>
    <w:rsid w:val="00661B32"/>
    <w:rsid w:val="0066212E"/>
    <w:rsid w:val="0066275A"/>
    <w:rsid w:val="006629E3"/>
    <w:rsid w:val="0066388C"/>
    <w:rsid w:val="006653BD"/>
    <w:rsid w:val="00666694"/>
    <w:rsid w:val="00667927"/>
    <w:rsid w:val="00670470"/>
    <w:rsid w:val="006705FF"/>
    <w:rsid w:val="006737DF"/>
    <w:rsid w:val="0067657D"/>
    <w:rsid w:val="006776DF"/>
    <w:rsid w:val="00681030"/>
    <w:rsid w:val="00682101"/>
    <w:rsid w:val="00682161"/>
    <w:rsid w:val="006839AC"/>
    <w:rsid w:val="00685120"/>
    <w:rsid w:val="00685646"/>
    <w:rsid w:val="00686E72"/>
    <w:rsid w:val="00687ABF"/>
    <w:rsid w:val="00687F71"/>
    <w:rsid w:val="00691C92"/>
    <w:rsid w:val="0069294B"/>
    <w:rsid w:val="0069326B"/>
    <w:rsid w:val="00693B04"/>
    <w:rsid w:val="00694AB8"/>
    <w:rsid w:val="00695265"/>
    <w:rsid w:val="006955DD"/>
    <w:rsid w:val="00696093"/>
    <w:rsid w:val="0069685C"/>
    <w:rsid w:val="00696AE6"/>
    <w:rsid w:val="00697493"/>
    <w:rsid w:val="006A15D5"/>
    <w:rsid w:val="006A2E4C"/>
    <w:rsid w:val="006A31D3"/>
    <w:rsid w:val="006A335E"/>
    <w:rsid w:val="006A379E"/>
    <w:rsid w:val="006A4A38"/>
    <w:rsid w:val="006A4F40"/>
    <w:rsid w:val="006A56DD"/>
    <w:rsid w:val="006A5799"/>
    <w:rsid w:val="006A596A"/>
    <w:rsid w:val="006A5D66"/>
    <w:rsid w:val="006A61DF"/>
    <w:rsid w:val="006B06D4"/>
    <w:rsid w:val="006B14B1"/>
    <w:rsid w:val="006B14D1"/>
    <w:rsid w:val="006B2117"/>
    <w:rsid w:val="006B2694"/>
    <w:rsid w:val="006B396F"/>
    <w:rsid w:val="006B4003"/>
    <w:rsid w:val="006B45D0"/>
    <w:rsid w:val="006B4742"/>
    <w:rsid w:val="006B6BE5"/>
    <w:rsid w:val="006B78C1"/>
    <w:rsid w:val="006B7A81"/>
    <w:rsid w:val="006B7B28"/>
    <w:rsid w:val="006C000A"/>
    <w:rsid w:val="006C0636"/>
    <w:rsid w:val="006C07A1"/>
    <w:rsid w:val="006C0DAA"/>
    <w:rsid w:val="006C1795"/>
    <w:rsid w:val="006C1E9E"/>
    <w:rsid w:val="006C30AD"/>
    <w:rsid w:val="006C3AF6"/>
    <w:rsid w:val="006C3E29"/>
    <w:rsid w:val="006C4599"/>
    <w:rsid w:val="006C78AC"/>
    <w:rsid w:val="006D0C08"/>
    <w:rsid w:val="006D1FA5"/>
    <w:rsid w:val="006D4A64"/>
    <w:rsid w:val="006D4D90"/>
    <w:rsid w:val="006D54AD"/>
    <w:rsid w:val="006D5E67"/>
    <w:rsid w:val="006D6829"/>
    <w:rsid w:val="006D6C18"/>
    <w:rsid w:val="006E0FF6"/>
    <w:rsid w:val="006E244A"/>
    <w:rsid w:val="006E25DA"/>
    <w:rsid w:val="006E29FE"/>
    <w:rsid w:val="006E3010"/>
    <w:rsid w:val="006E3275"/>
    <w:rsid w:val="006E338C"/>
    <w:rsid w:val="006E38D7"/>
    <w:rsid w:val="006E3C5F"/>
    <w:rsid w:val="006E4922"/>
    <w:rsid w:val="006E5A0B"/>
    <w:rsid w:val="006E5BBC"/>
    <w:rsid w:val="006E6B1F"/>
    <w:rsid w:val="006E7DCB"/>
    <w:rsid w:val="006F0570"/>
    <w:rsid w:val="006F0DE7"/>
    <w:rsid w:val="006F15FC"/>
    <w:rsid w:val="006F27E1"/>
    <w:rsid w:val="006F2EEB"/>
    <w:rsid w:val="006F31EF"/>
    <w:rsid w:val="006F3527"/>
    <w:rsid w:val="006F38D6"/>
    <w:rsid w:val="006F3AB7"/>
    <w:rsid w:val="006F4EB3"/>
    <w:rsid w:val="006F512B"/>
    <w:rsid w:val="006F5A9D"/>
    <w:rsid w:val="006F6FA2"/>
    <w:rsid w:val="0070034D"/>
    <w:rsid w:val="00700475"/>
    <w:rsid w:val="007006E9"/>
    <w:rsid w:val="00701436"/>
    <w:rsid w:val="00701C14"/>
    <w:rsid w:val="0070309D"/>
    <w:rsid w:val="0070336C"/>
    <w:rsid w:val="00703EEC"/>
    <w:rsid w:val="00704350"/>
    <w:rsid w:val="0070507B"/>
    <w:rsid w:val="007050F4"/>
    <w:rsid w:val="0070529F"/>
    <w:rsid w:val="00705A02"/>
    <w:rsid w:val="00705C05"/>
    <w:rsid w:val="0070676B"/>
    <w:rsid w:val="00707FC2"/>
    <w:rsid w:val="00714361"/>
    <w:rsid w:val="007144CF"/>
    <w:rsid w:val="007153D4"/>
    <w:rsid w:val="0071665C"/>
    <w:rsid w:val="0071670D"/>
    <w:rsid w:val="00716C42"/>
    <w:rsid w:val="00716F48"/>
    <w:rsid w:val="00717736"/>
    <w:rsid w:val="007178D5"/>
    <w:rsid w:val="007204D5"/>
    <w:rsid w:val="0072113E"/>
    <w:rsid w:val="007221B9"/>
    <w:rsid w:val="007223D2"/>
    <w:rsid w:val="007223EA"/>
    <w:rsid w:val="00722D23"/>
    <w:rsid w:val="00722E74"/>
    <w:rsid w:val="0072371C"/>
    <w:rsid w:val="00725A9A"/>
    <w:rsid w:val="00731C07"/>
    <w:rsid w:val="00733853"/>
    <w:rsid w:val="007342DD"/>
    <w:rsid w:val="007347D4"/>
    <w:rsid w:val="007352D8"/>
    <w:rsid w:val="00735520"/>
    <w:rsid w:val="00735ED6"/>
    <w:rsid w:val="0073604A"/>
    <w:rsid w:val="007363F0"/>
    <w:rsid w:val="00736E7C"/>
    <w:rsid w:val="007373C6"/>
    <w:rsid w:val="00737D2D"/>
    <w:rsid w:val="00741BFC"/>
    <w:rsid w:val="007428B2"/>
    <w:rsid w:val="0074295E"/>
    <w:rsid w:val="00742BAD"/>
    <w:rsid w:val="0074359B"/>
    <w:rsid w:val="00744479"/>
    <w:rsid w:val="0074473D"/>
    <w:rsid w:val="00744E34"/>
    <w:rsid w:val="007456EB"/>
    <w:rsid w:val="00746D9A"/>
    <w:rsid w:val="00746DF4"/>
    <w:rsid w:val="0075183E"/>
    <w:rsid w:val="007521E1"/>
    <w:rsid w:val="0075381D"/>
    <w:rsid w:val="00753AB1"/>
    <w:rsid w:val="00753BBA"/>
    <w:rsid w:val="00754A18"/>
    <w:rsid w:val="007565F9"/>
    <w:rsid w:val="00756889"/>
    <w:rsid w:val="0075721E"/>
    <w:rsid w:val="007619FA"/>
    <w:rsid w:val="00762DA4"/>
    <w:rsid w:val="00763B39"/>
    <w:rsid w:val="00764378"/>
    <w:rsid w:val="00764461"/>
    <w:rsid w:val="00765F1E"/>
    <w:rsid w:val="0076611E"/>
    <w:rsid w:val="00766664"/>
    <w:rsid w:val="00766670"/>
    <w:rsid w:val="00766B25"/>
    <w:rsid w:val="007706AF"/>
    <w:rsid w:val="007710E1"/>
    <w:rsid w:val="00771FB4"/>
    <w:rsid w:val="00773BF0"/>
    <w:rsid w:val="00774AE2"/>
    <w:rsid w:val="00774F16"/>
    <w:rsid w:val="00775191"/>
    <w:rsid w:val="00775D01"/>
    <w:rsid w:val="0077689E"/>
    <w:rsid w:val="007779EC"/>
    <w:rsid w:val="00780439"/>
    <w:rsid w:val="00780BF5"/>
    <w:rsid w:val="00780C12"/>
    <w:rsid w:val="007816C7"/>
    <w:rsid w:val="00781A94"/>
    <w:rsid w:val="00781C93"/>
    <w:rsid w:val="00782668"/>
    <w:rsid w:val="0078473A"/>
    <w:rsid w:val="0078483E"/>
    <w:rsid w:val="007849FC"/>
    <w:rsid w:val="00785452"/>
    <w:rsid w:val="00785893"/>
    <w:rsid w:val="007858D5"/>
    <w:rsid w:val="00786DC9"/>
    <w:rsid w:val="00787936"/>
    <w:rsid w:val="00787F71"/>
    <w:rsid w:val="00790210"/>
    <w:rsid w:val="00790CC0"/>
    <w:rsid w:val="00790E43"/>
    <w:rsid w:val="007915A2"/>
    <w:rsid w:val="0079175F"/>
    <w:rsid w:val="00791A0B"/>
    <w:rsid w:val="00793FAD"/>
    <w:rsid w:val="00794E6A"/>
    <w:rsid w:val="00795158"/>
    <w:rsid w:val="00795C24"/>
    <w:rsid w:val="0079603A"/>
    <w:rsid w:val="00796255"/>
    <w:rsid w:val="00796489"/>
    <w:rsid w:val="00797E1A"/>
    <w:rsid w:val="007A1307"/>
    <w:rsid w:val="007A3B4B"/>
    <w:rsid w:val="007A3B63"/>
    <w:rsid w:val="007A4B5E"/>
    <w:rsid w:val="007A4F85"/>
    <w:rsid w:val="007A5629"/>
    <w:rsid w:val="007A5BE1"/>
    <w:rsid w:val="007A5E70"/>
    <w:rsid w:val="007A61B2"/>
    <w:rsid w:val="007A6E8F"/>
    <w:rsid w:val="007B00FD"/>
    <w:rsid w:val="007B0178"/>
    <w:rsid w:val="007B078F"/>
    <w:rsid w:val="007B2D21"/>
    <w:rsid w:val="007B46D0"/>
    <w:rsid w:val="007B476C"/>
    <w:rsid w:val="007B5D1F"/>
    <w:rsid w:val="007B63D2"/>
    <w:rsid w:val="007B70A4"/>
    <w:rsid w:val="007B7AA4"/>
    <w:rsid w:val="007C007D"/>
    <w:rsid w:val="007C0628"/>
    <w:rsid w:val="007C0926"/>
    <w:rsid w:val="007C1C0B"/>
    <w:rsid w:val="007C223E"/>
    <w:rsid w:val="007C24AC"/>
    <w:rsid w:val="007C28BE"/>
    <w:rsid w:val="007C30FA"/>
    <w:rsid w:val="007C3A60"/>
    <w:rsid w:val="007C3DD0"/>
    <w:rsid w:val="007C3DFB"/>
    <w:rsid w:val="007C62F2"/>
    <w:rsid w:val="007C7135"/>
    <w:rsid w:val="007C7D0E"/>
    <w:rsid w:val="007D161F"/>
    <w:rsid w:val="007D33DE"/>
    <w:rsid w:val="007D4D32"/>
    <w:rsid w:val="007D4DCB"/>
    <w:rsid w:val="007D4FB6"/>
    <w:rsid w:val="007D5C8B"/>
    <w:rsid w:val="007D626E"/>
    <w:rsid w:val="007D7F06"/>
    <w:rsid w:val="007E0033"/>
    <w:rsid w:val="007E0DCE"/>
    <w:rsid w:val="007E1069"/>
    <w:rsid w:val="007E1EC6"/>
    <w:rsid w:val="007E3986"/>
    <w:rsid w:val="007E47D1"/>
    <w:rsid w:val="007E50CD"/>
    <w:rsid w:val="007E5644"/>
    <w:rsid w:val="007E5B90"/>
    <w:rsid w:val="007E75D7"/>
    <w:rsid w:val="007E79DB"/>
    <w:rsid w:val="007F04E2"/>
    <w:rsid w:val="007F0B77"/>
    <w:rsid w:val="007F1412"/>
    <w:rsid w:val="007F1834"/>
    <w:rsid w:val="007F2CE0"/>
    <w:rsid w:val="007F2E07"/>
    <w:rsid w:val="007F50CD"/>
    <w:rsid w:val="007F56AA"/>
    <w:rsid w:val="007F648A"/>
    <w:rsid w:val="007F6650"/>
    <w:rsid w:val="007F6DFA"/>
    <w:rsid w:val="007F7984"/>
    <w:rsid w:val="007F7EF4"/>
    <w:rsid w:val="0080360A"/>
    <w:rsid w:val="00804734"/>
    <w:rsid w:val="008053CE"/>
    <w:rsid w:val="008065B4"/>
    <w:rsid w:val="00806E22"/>
    <w:rsid w:val="00807B67"/>
    <w:rsid w:val="00807D43"/>
    <w:rsid w:val="00810D04"/>
    <w:rsid w:val="008117CF"/>
    <w:rsid w:val="008120AA"/>
    <w:rsid w:val="00813482"/>
    <w:rsid w:val="008145D4"/>
    <w:rsid w:val="0081680D"/>
    <w:rsid w:val="00816B4A"/>
    <w:rsid w:val="00817961"/>
    <w:rsid w:val="00817B43"/>
    <w:rsid w:val="00820498"/>
    <w:rsid w:val="00821F01"/>
    <w:rsid w:val="008226D3"/>
    <w:rsid w:val="00822EAB"/>
    <w:rsid w:val="00822EE1"/>
    <w:rsid w:val="0082344D"/>
    <w:rsid w:val="0082527F"/>
    <w:rsid w:val="008278BD"/>
    <w:rsid w:val="008307BE"/>
    <w:rsid w:val="00831340"/>
    <w:rsid w:val="008328AD"/>
    <w:rsid w:val="00832A16"/>
    <w:rsid w:val="00833BA8"/>
    <w:rsid w:val="00834958"/>
    <w:rsid w:val="00834E7C"/>
    <w:rsid w:val="00835097"/>
    <w:rsid w:val="008350F9"/>
    <w:rsid w:val="00837889"/>
    <w:rsid w:val="008403E4"/>
    <w:rsid w:val="00840D36"/>
    <w:rsid w:val="008412EF"/>
    <w:rsid w:val="00841762"/>
    <w:rsid w:val="00844462"/>
    <w:rsid w:val="008444E8"/>
    <w:rsid w:val="008447D1"/>
    <w:rsid w:val="00844ADF"/>
    <w:rsid w:val="00845D00"/>
    <w:rsid w:val="00846866"/>
    <w:rsid w:val="00846985"/>
    <w:rsid w:val="008474D0"/>
    <w:rsid w:val="008504C0"/>
    <w:rsid w:val="0085216F"/>
    <w:rsid w:val="00852D92"/>
    <w:rsid w:val="0085438B"/>
    <w:rsid w:val="00854693"/>
    <w:rsid w:val="00855AC9"/>
    <w:rsid w:val="008560CD"/>
    <w:rsid w:val="00856AA1"/>
    <w:rsid w:val="00856EBC"/>
    <w:rsid w:val="008613BD"/>
    <w:rsid w:val="00861D2F"/>
    <w:rsid w:val="008624CA"/>
    <w:rsid w:val="00862E16"/>
    <w:rsid w:val="00862F42"/>
    <w:rsid w:val="0086383F"/>
    <w:rsid w:val="00863851"/>
    <w:rsid w:val="008656DB"/>
    <w:rsid w:val="00865F94"/>
    <w:rsid w:val="00865FFD"/>
    <w:rsid w:val="0086668D"/>
    <w:rsid w:val="00867149"/>
    <w:rsid w:val="00867640"/>
    <w:rsid w:val="00870658"/>
    <w:rsid w:val="008708C5"/>
    <w:rsid w:val="00872AAF"/>
    <w:rsid w:val="00872EA8"/>
    <w:rsid w:val="0087374D"/>
    <w:rsid w:val="008737D9"/>
    <w:rsid w:val="008739C0"/>
    <w:rsid w:val="008747A4"/>
    <w:rsid w:val="008761DC"/>
    <w:rsid w:val="008800A2"/>
    <w:rsid w:val="008803B1"/>
    <w:rsid w:val="00880B03"/>
    <w:rsid w:val="00880F87"/>
    <w:rsid w:val="00881478"/>
    <w:rsid w:val="0088161A"/>
    <w:rsid w:val="00882247"/>
    <w:rsid w:val="00882C89"/>
    <w:rsid w:val="00885960"/>
    <w:rsid w:val="00885D24"/>
    <w:rsid w:val="008863E1"/>
    <w:rsid w:val="008869DF"/>
    <w:rsid w:val="00886A09"/>
    <w:rsid w:val="00887576"/>
    <w:rsid w:val="008905BB"/>
    <w:rsid w:val="00890698"/>
    <w:rsid w:val="008908CE"/>
    <w:rsid w:val="00890E77"/>
    <w:rsid w:val="00890F57"/>
    <w:rsid w:val="008910AB"/>
    <w:rsid w:val="00891D32"/>
    <w:rsid w:val="0089245B"/>
    <w:rsid w:val="00892643"/>
    <w:rsid w:val="008931B6"/>
    <w:rsid w:val="00893FBF"/>
    <w:rsid w:val="00894C3F"/>
    <w:rsid w:val="0089510C"/>
    <w:rsid w:val="00895FBD"/>
    <w:rsid w:val="00896DBA"/>
    <w:rsid w:val="00897A1E"/>
    <w:rsid w:val="00897CDE"/>
    <w:rsid w:val="008A289E"/>
    <w:rsid w:val="008A2C13"/>
    <w:rsid w:val="008A37EC"/>
    <w:rsid w:val="008A39D8"/>
    <w:rsid w:val="008A4734"/>
    <w:rsid w:val="008A55DC"/>
    <w:rsid w:val="008A5FF1"/>
    <w:rsid w:val="008A683B"/>
    <w:rsid w:val="008A7498"/>
    <w:rsid w:val="008A7588"/>
    <w:rsid w:val="008B056C"/>
    <w:rsid w:val="008B0B6C"/>
    <w:rsid w:val="008B1337"/>
    <w:rsid w:val="008B2249"/>
    <w:rsid w:val="008B3678"/>
    <w:rsid w:val="008B667E"/>
    <w:rsid w:val="008B6E79"/>
    <w:rsid w:val="008C44A4"/>
    <w:rsid w:val="008C5359"/>
    <w:rsid w:val="008C55B3"/>
    <w:rsid w:val="008C577A"/>
    <w:rsid w:val="008C5A02"/>
    <w:rsid w:val="008C77F4"/>
    <w:rsid w:val="008C7E14"/>
    <w:rsid w:val="008C7E6D"/>
    <w:rsid w:val="008D000E"/>
    <w:rsid w:val="008D441A"/>
    <w:rsid w:val="008D71DD"/>
    <w:rsid w:val="008D74DF"/>
    <w:rsid w:val="008D7C3B"/>
    <w:rsid w:val="008D7C81"/>
    <w:rsid w:val="008E007E"/>
    <w:rsid w:val="008E07BF"/>
    <w:rsid w:val="008E0A2C"/>
    <w:rsid w:val="008E0C3C"/>
    <w:rsid w:val="008E1250"/>
    <w:rsid w:val="008E13F3"/>
    <w:rsid w:val="008E16EF"/>
    <w:rsid w:val="008E1F1E"/>
    <w:rsid w:val="008E2BC0"/>
    <w:rsid w:val="008E353A"/>
    <w:rsid w:val="008E4061"/>
    <w:rsid w:val="008E48F3"/>
    <w:rsid w:val="008E65E8"/>
    <w:rsid w:val="008E70E5"/>
    <w:rsid w:val="008E7B0E"/>
    <w:rsid w:val="008F016C"/>
    <w:rsid w:val="008F139B"/>
    <w:rsid w:val="008F139D"/>
    <w:rsid w:val="008F1F48"/>
    <w:rsid w:val="008F2332"/>
    <w:rsid w:val="008F29AA"/>
    <w:rsid w:val="008F2F6D"/>
    <w:rsid w:val="008F3FB3"/>
    <w:rsid w:val="008F43C2"/>
    <w:rsid w:val="008F57B6"/>
    <w:rsid w:val="008F607E"/>
    <w:rsid w:val="008F75DD"/>
    <w:rsid w:val="008F77C3"/>
    <w:rsid w:val="009009DA"/>
    <w:rsid w:val="00900F70"/>
    <w:rsid w:val="00901125"/>
    <w:rsid w:val="00901C02"/>
    <w:rsid w:val="00902156"/>
    <w:rsid w:val="009023AF"/>
    <w:rsid w:val="009024BB"/>
    <w:rsid w:val="009027DB"/>
    <w:rsid w:val="00902961"/>
    <w:rsid w:val="009036F5"/>
    <w:rsid w:val="00905229"/>
    <w:rsid w:val="00907DEF"/>
    <w:rsid w:val="009100C8"/>
    <w:rsid w:val="0091010E"/>
    <w:rsid w:val="009103A3"/>
    <w:rsid w:val="0091058A"/>
    <w:rsid w:val="009113E9"/>
    <w:rsid w:val="00911A3D"/>
    <w:rsid w:val="00911C86"/>
    <w:rsid w:val="009122D6"/>
    <w:rsid w:val="009129DC"/>
    <w:rsid w:val="00912EB3"/>
    <w:rsid w:val="00913DE9"/>
    <w:rsid w:val="00914045"/>
    <w:rsid w:val="009148C8"/>
    <w:rsid w:val="00914D1E"/>
    <w:rsid w:val="00915376"/>
    <w:rsid w:val="009172E7"/>
    <w:rsid w:val="00917CC0"/>
    <w:rsid w:val="009201BE"/>
    <w:rsid w:val="009209FE"/>
    <w:rsid w:val="00921B47"/>
    <w:rsid w:val="00922266"/>
    <w:rsid w:val="0092239F"/>
    <w:rsid w:val="009223C0"/>
    <w:rsid w:val="00923579"/>
    <w:rsid w:val="00924224"/>
    <w:rsid w:val="00924662"/>
    <w:rsid w:val="00925949"/>
    <w:rsid w:val="00926D23"/>
    <w:rsid w:val="00932284"/>
    <w:rsid w:val="009325C0"/>
    <w:rsid w:val="009347E5"/>
    <w:rsid w:val="009367F9"/>
    <w:rsid w:val="009369C3"/>
    <w:rsid w:val="00940289"/>
    <w:rsid w:val="009403DB"/>
    <w:rsid w:val="0094076B"/>
    <w:rsid w:val="00941968"/>
    <w:rsid w:val="009425EE"/>
    <w:rsid w:val="00944445"/>
    <w:rsid w:val="00944655"/>
    <w:rsid w:val="00944DA0"/>
    <w:rsid w:val="00945076"/>
    <w:rsid w:val="00945FF0"/>
    <w:rsid w:val="00946120"/>
    <w:rsid w:val="0094666B"/>
    <w:rsid w:val="00947A7A"/>
    <w:rsid w:val="009524FD"/>
    <w:rsid w:val="00953090"/>
    <w:rsid w:val="009559B3"/>
    <w:rsid w:val="00956086"/>
    <w:rsid w:val="00956D62"/>
    <w:rsid w:val="00957320"/>
    <w:rsid w:val="00960826"/>
    <w:rsid w:val="00960B42"/>
    <w:rsid w:val="00961081"/>
    <w:rsid w:val="00963259"/>
    <w:rsid w:val="00963E2E"/>
    <w:rsid w:val="00965A7B"/>
    <w:rsid w:val="00965FB7"/>
    <w:rsid w:val="00966303"/>
    <w:rsid w:val="00970AA0"/>
    <w:rsid w:val="0097157F"/>
    <w:rsid w:val="009745F2"/>
    <w:rsid w:val="00974967"/>
    <w:rsid w:val="00974C45"/>
    <w:rsid w:val="00975AD3"/>
    <w:rsid w:val="00976322"/>
    <w:rsid w:val="00980090"/>
    <w:rsid w:val="00981232"/>
    <w:rsid w:val="00981523"/>
    <w:rsid w:val="00982740"/>
    <w:rsid w:val="0098328D"/>
    <w:rsid w:val="00983561"/>
    <w:rsid w:val="0098457B"/>
    <w:rsid w:val="0098483F"/>
    <w:rsid w:val="009851F2"/>
    <w:rsid w:val="009853DF"/>
    <w:rsid w:val="0098609C"/>
    <w:rsid w:val="0098680B"/>
    <w:rsid w:val="0099235D"/>
    <w:rsid w:val="009923AB"/>
    <w:rsid w:val="0099275E"/>
    <w:rsid w:val="00992CB9"/>
    <w:rsid w:val="00992FAA"/>
    <w:rsid w:val="009930D3"/>
    <w:rsid w:val="00993624"/>
    <w:rsid w:val="00993768"/>
    <w:rsid w:val="00995401"/>
    <w:rsid w:val="00995E18"/>
    <w:rsid w:val="00997932"/>
    <w:rsid w:val="009A5048"/>
    <w:rsid w:val="009A58F6"/>
    <w:rsid w:val="009A6885"/>
    <w:rsid w:val="009A6FD3"/>
    <w:rsid w:val="009A7802"/>
    <w:rsid w:val="009A7EE4"/>
    <w:rsid w:val="009B26CC"/>
    <w:rsid w:val="009B3C6D"/>
    <w:rsid w:val="009B4015"/>
    <w:rsid w:val="009B6502"/>
    <w:rsid w:val="009B6EE6"/>
    <w:rsid w:val="009B732A"/>
    <w:rsid w:val="009B7A77"/>
    <w:rsid w:val="009C04B1"/>
    <w:rsid w:val="009C0C7D"/>
    <w:rsid w:val="009C4CBA"/>
    <w:rsid w:val="009C6B3E"/>
    <w:rsid w:val="009C796D"/>
    <w:rsid w:val="009D044B"/>
    <w:rsid w:val="009D0B29"/>
    <w:rsid w:val="009D1226"/>
    <w:rsid w:val="009D15CB"/>
    <w:rsid w:val="009D1AE7"/>
    <w:rsid w:val="009D30FE"/>
    <w:rsid w:val="009D36CF"/>
    <w:rsid w:val="009D3977"/>
    <w:rsid w:val="009D43BD"/>
    <w:rsid w:val="009D48A7"/>
    <w:rsid w:val="009D56D9"/>
    <w:rsid w:val="009D5A55"/>
    <w:rsid w:val="009D60E9"/>
    <w:rsid w:val="009D65DD"/>
    <w:rsid w:val="009D6F07"/>
    <w:rsid w:val="009D78D5"/>
    <w:rsid w:val="009D7B76"/>
    <w:rsid w:val="009E0D09"/>
    <w:rsid w:val="009E13DE"/>
    <w:rsid w:val="009E13E8"/>
    <w:rsid w:val="009E38AE"/>
    <w:rsid w:val="009E3D55"/>
    <w:rsid w:val="009E4753"/>
    <w:rsid w:val="009E604C"/>
    <w:rsid w:val="009F5576"/>
    <w:rsid w:val="009F5D99"/>
    <w:rsid w:val="009F69E1"/>
    <w:rsid w:val="009F7129"/>
    <w:rsid w:val="009F7230"/>
    <w:rsid w:val="009F778A"/>
    <w:rsid w:val="009F7F7C"/>
    <w:rsid w:val="00A00BAC"/>
    <w:rsid w:val="00A018DE"/>
    <w:rsid w:val="00A04E59"/>
    <w:rsid w:val="00A04FBF"/>
    <w:rsid w:val="00A0550E"/>
    <w:rsid w:val="00A05E83"/>
    <w:rsid w:val="00A06634"/>
    <w:rsid w:val="00A06D52"/>
    <w:rsid w:val="00A133EA"/>
    <w:rsid w:val="00A138BF"/>
    <w:rsid w:val="00A13EFA"/>
    <w:rsid w:val="00A148D0"/>
    <w:rsid w:val="00A1506D"/>
    <w:rsid w:val="00A15402"/>
    <w:rsid w:val="00A15B21"/>
    <w:rsid w:val="00A17A2F"/>
    <w:rsid w:val="00A2084D"/>
    <w:rsid w:val="00A229C8"/>
    <w:rsid w:val="00A2455A"/>
    <w:rsid w:val="00A24CA6"/>
    <w:rsid w:val="00A26463"/>
    <w:rsid w:val="00A30305"/>
    <w:rsid w:val="00A308B1"/>
    <w:rsid w:val="00A32908"/>
    <w:rsid w:val="00A33230"/>
    <w:rsid w:val="00A35478"/>
    <w:rsid w:val="00A36C35"/>
    <w:rsid w:val="00A36E93"/>
    <w:rsid w:val="00A376D1"/>
    <w:rsid w:val="00A3788A"/>
    <w:rsid w:val="00A37F69"/>
    <w:rsid w:val="00A41444"/>
    <w:rsid w:val="00A41A43"/>
    <w:rsid w:val="00A41CB1"/>
    <w:rsid w:val="00A41DBE"/>
    <w:rsid w:val="00A460CB"/>
    <w:rsid w:val="00A47024"/>
    <w:rsid w:val="00A47287"/>
    <w:rsid w:val="00A5108E"/>
    <w:rsid w:val="00A523B3"/>
    <w:rsid w:val="00A52690"/>
    <w:rsid w:val="00A52B4E"/>
    <w:rsid w:val="00A52F32"/>
    <w:rsid w:val="00A5436E"/>
    <w:rsid w:val="00A556D0"/>
    <w:rsid w:val="00A56D9C"/>
    <w:rsid w:val="00A576B3"/>
    <w:rsid w:val="00A5780A"/>
    <w:rsid w:val="00A60752"/>
    <w:rsid w:val="00A60A84"/>
    <w:rsid w:val="00A60B23"/>
    <w:rsid w:val="00A60E00"/>
    <w:rsid w:val="00A61304"/>
    <w:rsid w:val="00A61C9C"/>
    <w:rsid w:val="00A61CA1"/>
    <w:rsid w:val="00A623FB"/>
    <w:rsid w:val="00A63A33"/>
    <w:rsid w:val="00A6525C"/>
    <w:rsid w:val="00A6547F"/>
    <w:rsid w:val="00A66687"/>
    <w:rsid w:val="00A66828"/>
    <w:rsid w:val="00A670C6"/>
    <w:rsid w:val="00A6715A"/>
    <w:rsid w:val="00A67E94"/>
    <w:rsid w:val="00A70789"/>
    <w:rsid w:val="00A74A2E"/>
    <w:rsid w:val="00A76885"/>
    <w:rsid w:val="00A775A8"/>
    <w:rsid w:val="00A77B75"/>
    <w:rsid w:val="00A808F2"/>
    <w:rsid w:val="00A80D06"/>
    <w:rsid w:val="00A80FD5"/>
    <w:rsid w:val="00A813AB"/>
    <w:rsid w:val="00A81C0B"/>
    <w:rsid w:val="00A825B3"/>
    <w:rsid w:val="00A82CC5"/>
    <w:rsid w:val="00A8313A"/>
    <w:rsid w:val="00A8385D"/>
    <w:rsid w:val="00A83EF9"/>
    <w:rsid w:val="00A846F6"/>
    <w:rsid w:val="00A86973"/>
    <w:rsid w:val="00A8713F"/>
    <w:rsid w:val="00A87753"/>
    <w:rsid w:val="00A878E8"/>
    <w:rsid w:val="00A91272"/>
    <w:rsid w:val="00A9193E"/>
    <w:rsid w:val="00A91E72"/>
    <w:rsid w:val="00A926A7"/>
    <w:rsid w:val="00A929ED"/>
    <w:rsid w:val="00A92CE5"/>
    <w:rsid w:val="00A94843"/>
    <w:rsid w:val="00A963CF"/>
    <w:rsid w:val="00A97D1C"/>
    <w:rsid w:val="00AA0554"/>
    <w:rsid w:val="00AA07F4"/>
    <w:rsid w:val="00AA25FF"/>
    <w:rsid w:val="00AA2CAF"/>
    <w:rsid w:val="00AA36BC"/>
    <w:rsid w:val="00AA38DE"/>
    <w:rsid w:val="00AA429F"/>
    <w:rsid w:val="00AA53BA"/>
    <w:rsid w:val="00AA56E2"/>
    <w:rsid w:val="00AA73D7"/>
    <w:rsid w:val="00AA7881"/>
    <w:rsid w:val="00AB00AB"/>
    <w:rsid w:val="00AB169D"/>
    <w:rsid w:val="00AB3DFF"/>
    <w:rsid w:val="00AB4E79"/>
    <w:rsid w:val="00AB597B"/>
    <w:rsid w:val="00AB5C8A"/>
    <w:rsid w:val="00AB5D02"/>
    <w:rsid w:val="00AB6BC4"/>
    <w:rsid w:val="00AC0B22"/>
    <w:rsid w:val="00AC0B3A"/>
    <w:rsid w:val="00AC3407"/>
    <w:rsid w:val="00AC36C9"/>
    <w:rsid w:val="00AC40BF"/>
    <w:rsid w:val="00AC468F"/>
    <w:rsid w:val="00AC4E25"/>
    <w:rsid w:val="00AC550C"/>
    <w:rsid w:val="00AC71A1"/>
    <w:rsid w:val="00AC77FA"/>
    <w:rsid w:val="00AC7FF1"/>
    <w:rsid w:val="00AD0D3D"/>
    <w:rsid w:val="00AD280D"/>
    <w:rsid w:val="00AD316A"/>
    <w:rsid w:val="00AD3409"/>
    <w:rsid w:val="00AD3444"/>
    <w:rsid w:val="00AD35DE"/>
    <w:rsid w:val="00AD35E2"/>
    <w:rsid w:val="00AD44F2"/>
    <w:rsid w:val="00AD4AD2"/>
    <w:rsid w:val="00AD4F41"/>
    <w:rsid w:val="00AD52FA"/>
    <w:rsid w:val="00AD7692"/>
    <w:rsid w:val="00AD7C99"/>
    <w:rsid w:val="00AD7E1B"/>
    <w:rsid w:val="00AE03B8"/>
    <w:rsid w:val="00AE084E"/>
    <w:rsid w:val="00AE1C33"/>
    <w:rsid w:val="00AE1CBD"/>
    <w:rsid w:val="00AE2619"/>
    <w:rsid w:val="00AE2A19"/>
    <w:rsid w:val="00AE30D8"/>
    <w:rsid w:val="00AE3630"/>
    <w:rsid w:val="00AE62FA"/>
    <w:rsid w:val="00AE6D02"/>
    <w:rsid w:val="00AF0C9F"/>
    <w:rsid w:val="00AF1EE0"/>
    <w:rsid w:val="00AF1F60"/>
    <w:rsid w:val="00AF2C20"/>
    <w:rsid w:val="00AF36B7"/>
    <w:rsid w:val="00AF3F6D"/>
    <w:rsid w:val="00AF4A39"/>
    <w:rsid w:val="00AF675F"/>
    <w:rsid w:val="00AF7075"/>
    <w:rsid w:val="00AF731C"/>
    <w:rsid w:val="00AF7A61"/>
    <w:rsid w:val="00AF7ABB"/>
    <w:rsid w:val="00B00F83"/>
    <w:rsid w:val="00B01EA2"/>
    <w:rsid w:val="00B02262"/>
    <w:rsid w:val="00B028D5"/>
    <w:rsid w:val="00B02C57"/>
    <w:rsid w:val="00B047CA"/>
    <w:rsid w:val="00B050B3"/>
    <w:rsid w:val="00B055C1"/>
    <w:rsid w:val="00B0565A"/>
    <w:rsid w:val="00B05BFC"/>
    <w:rsid w:val="00B07A12"/>
    <w:rsid w:val="00B1124A"/>
    <w:rsid w:val="00B11C25"/>
    <w:rsid w:val="00B12C09"/>
    <w:rsid w:val="00B13C61"/>
    <w:rsid w:val="00B14C2B"/>
    <w:rsid w:val="00B151E0"/>
    <w:rsid w:val="00B16724"/>
    <w:rsid w:val="00B16768"/>
    <w:rsid w:val="00B16B16"/>
    <w:rsid w:val="00B16ED1"/>
    <w:rsid w:val="00B17620"/>
    <w:rsid w:val="00B17699"/>
    <w:rsid w:val="00B1B0F2"/>
    <w:rsid w:val="00B204DC"/>
    <w:rsid w:val="00B227E0"/>
    <w:rsid w:val="00B227F2"/>
    <w:rsid w:val="00B22F1B"/>
    <w:rsid w:val="00B26155"/>
    <w:rsid w:val="00B26254"/>
    <w:rsid w:val="00B264C4"/>
    <w:rsid w:val="00B26595"/>
    <w:rsid w:val="00B31401"/>
    <w:rsid w:val="00B31C9B"/>
    <w:rsid w:val="00B32035"/>
    <w:rsid w:val="00B32082"/>
    <w:rsid w:val="00B32DED"/>
    <w:rsid w:val="00B32E0F"/>
    <w:rsid w:val="00B3321B"/>
    <w:rsid w:val="00B337EC"/>
    <w:rsid w:val="00B3403F"/>
    <w:rsid w:val="00B35270"/>
    <w:rsid w:val="00B359EB"/>
    <w:rsid w:val="00B4050F"/>
    <w:rsid w:val="00B408CB"/>
    <w:rsid w:val="00B4133F"/>
    <w:rsid w:val="00B41A88"/>
    <w:rsid w:val="00B41F76"/>
    <w:rsid w:val="00B42E1D"/>
    <w:rsid w:val="00B44C37"/>
    <w:rsid w:val="00B459FD"/>
    <w:rsid w:val="00B461CC"/>
    <w:rsid w:val="00B46DB8"/>
    <w:rsid w:val="00B47902"/>
    <w:rsid w:val="00B50363"/>
    <w:rsid w:val="00B51999"/>
    <w:rsid w:val="00B51C7E"/>
    <w:rsid w:val="00B51FB2"/>
    <w:rsid w:val="00B520AA"/>
    <w:rsid w:val="00B52CE0"/>
    <w:rsid w:val="00B5328F"/>
    <w:rsid w:val="00B53F00"/>
    <w:rsid w:val="00B54DCC"/>
    <w:rsid w:val="00B55044"/>
    <w:rsid w:val="00B55264"/>
    <w:rsid w:val="00B55910"/>
    <w:rsid w:val="00B55B58"/>
    <w:rsid w:val="00B56213"/>
    <w:rsid w:val="00B60C61"/>
    <w:rsid w:val="00B60FD4"/>
    <w:rsid w:val="00B610D4"/>
    <w:rsid w:val="00B613CE"/>
    <w:rsid w:val="00B61A67"/>
    <w:rsid w:val="00B620D4"/>
    <w:rsid w:val="00B63596"/>
    <w:rsid w:val="00B6378D"/>
    <w:rsid w:val="00B63A0D"/>
    <w:rsid w:val="00B66438"/>
    <w:rsid w:val="00B676A5"/>
    <w:rsid w:val="00B676A9"/>
    <w:rsid w:val="00B7010D"/>
    <w:rsid w:val="00B70998"/>
    <w:rsid w:val="00B717EB"/>
    <w:rsid w:val="00B71CCB"/>
    <w:rsid w:val="00B72C26"/>
    <w:rsid w:val="00B73E71"/>
    <w:rsid w:val="00B7449C"/>
    <w:rsid w:val="00B75D46"/>
    <w:rsid w:val="00B75F18"/>
    <w:rsid w:val="00B76662"/>
    <w:rsid w:val="00B7762C"/>
    <w:rsid w:val="00B83CB7"/>
    <w:rsid w:val="00B847ED"/>
    <w:rsid w:val="00B84824"/>
    <w:rsid w:val="00B84990"/>
    <w:rsid w:val="00B84CB3"/>
    <w:rsid w:val="00B84D0A"/>
    <w:rsid w:val="00B866C4"/>
    <w:rsid w:val="00B86A8D"/>
    <w:rsid w:val="00B87E58"/>
    <w:rsid w:val="00B90C9A"/>
    <w:rsid w:val="00B918AE"/>
    <w:rsid w:val="00B91D7A"/>
    <w:rsid w:val="00B9264C"/>
    <w:rsid w:val="00B9441C"/>
    <w:rsid w:val="00B9446A"/>
    <w:rsid w:val="00B94954"/>
    <w:rsid w:val="00B96AF7"/>
    <w:rsid w:val="00B97417"/>
    <w:rsid w:val="00BA09A9"/>
    <w:rsid w:val="00BA0A5B"/>
    <w:rsid w:val="00BA0BBC"/>
    <w:rsid w:val="00BA1767"/>
    <w:rsid w:val="00BA1A47"/>
    <w:rsid w:val="00BA1CC0"/>
    <w:rsid w:val="00BA2C5B"/>
    <w:rsid w:val="00BA3194"/>
    <w:rsid w:val="00BA32B7"/>
    <w:rsid w:val="00BA4D3F"/>
    <w:rsid w:val="00BA4EC3"/>
    <w:rsid w:val="00BA5210"/>
    <w:rsid w:val="00BA5356"/>
    <w:rsid w:val="00BB021B"/>
    <w:rsid w:val="00BB1191"/>
    <w:rsid w:val="00BB141C"/>
    <w:rsid w:val="00BB1560"/>
    <w:rsid w:val="00BB323A"/>
    <w:rsid w:val="00BB38EC"/>
    <w:rsid w:val="00BB4441"/>
    <w:rsid w:val="00BB4CF5"/>
    <w:rsid w:val="00BB517E"/>
    <w:rsid w:val="00BB549C"/>
    <w:rsid w:val="00BB55C4"/>
    <w:rsid w:val="00BB7013"/>
    <w:rsid w:val="00BB7892"/>
    <w:rsid w:val="00BC0B17"/>
    <w:rsid w:val="00BC1E84"/>
    <w:rsid w:val="00BC21C7"/>
    <w:rsid w:val="00BC25AD"/>
    <w:rsid w:val="00BC425C"/>
    <w:rsid w:val="00BC49A2"/>
    <w:rsid w:val="00BC4C9C"/>
    <w:rsid w:val="00BD04CA"/>
    <w:rsid w:val="00BD127E"/>
    <w:rsid w:val="00BD1C46"/>
    <w:rsid w:val="00BD2215"/>
    <w:rsid w:val="00BD2E2C"/>
    <w:rsid w:val="00BD39C9"/>
    <w:rsid w:val="00BD3AE2"/>
    <w:rsid w:val="00BD4FCE"/>
    <w:rsid w:val="00BD6488"/>
    <w:rsid w:val="00BD6519"/>
    <w:rsid w:val="00BD6A2A"/>
    <w:rsid w:val="00BD6CCC"/>
    <w:rsid w:val="00BE1643"/>
    <w:rsid w:val="00BE27A4"/>
    <w:rsid w:val="00BE27CE"/>
    <w:rsid w:val="00BE2B6D"/>
    <w:rsid w:val="00BE4232"/>
    <w:rsid w:val="00BE493F"/>
    <w:rsid w:val="00BE4ABD"/>
    <w:rsid w:val="00BF00DC"/>
    <w:rsid w:val="00BF048A"/>
    <w:rsid w:val="00BF0F43"/>
    <w:rsid w:val="00BF3A56"/>
    <w:rsid w:val="00BF4812"/>
    <w:rsid w:val="00BF4C64"/>
    <w:rsid w:val="00BF74BE"/>
    <w:rsid w:val="00BF767D"/>
    <w:rsid w:val="00C0091F"/>
    <w:rsid w:val="00C015BD"/>
    <w:rsid w:val="00C0308B"/>
    <w:rsid w:val="00C033BD"/>
    <w:rsid w:val="00C0398D"/>
    <w:rsid w:val="00C044E2"/>
    <w:rsid w:val="00C05481"/>
    <w:rsid w:val="00C05D14"/>
    <w:rsid w:val="00C06049"/>
    <w:rsid w:val="00C0618B"/>
    <w:rsid w:val="00C0658A"/>
    <w:rsid w:val="00C0681A"/>
    <w:rsid w:val="00C06840"/>
    <w:rsid w:val="00C068A0"/>
    <w:rsid w:val="00C0717D"/>
    <w:rsid w:val="00C07562"/>
    <w:rsid w:val="00C077AB"/>
    <w:rsid w:val="00C1034B"/>
    <w:rsid w:val="00C108C7"/>
    <w:rsid w:val="00C1217A"/>
    <w:rsid w:val="00C12CB5"/>
    <w:rsid w:val="00C12F0E"/>
    <w:rsid w:val="00C13D65"/>
    <w:rsid w:val="00C15502"/>
    <w:rsid w:val="00C155CD"/>
    <w:rsid w:val="00C1574B"/>
    <w:rsid w:val="00C15890"/>
    <w:rsid w:val="00C16974"/>
    <w:rsid w:val="00C16A8E"/>
    <w:rsid w:val="00C16F6C"/>
    <w:rsid w:val="00C17665"/>
    <w:rsid w:val="00C17B30"/>
    <w:rsid w:val="00C22723"/>
    <w:rsid w:val="00C2366E"/>
    <w:rsid w:val="00C2425C"/>
    <w:rsid w:val="00C25077"/>
    <w:rsid w:val="00C26AAE"/>
    <w:rsid w:val="00C26C8D"/>
    <w:rsid w:val="00C27E6C"/>
    <w:rsid w:val="00C31DA0"/>
    <w:rsid w:val="00C31DDD"/>
    <w:rsid w:val="00C3254D"/>
    <w:rsid w:val="00C32604"/>
    <w:rsid w:val="00C33A90"/>
    <w:rsid w:val="00C3421D"/>
    <w:rsid w:val="00C349BC"/>
    <w:rsid w:val="00C36C6C"/>
    <w:rsid w:val="00C40C2F"/>
    <w:rsid w:val="00C4147A"/>
    <w:rsid w:val="00C42418"/>
    <w:rsid w:val="00C42C16"/>
    <w:rsid w:val="00C43E0A"/>
    <w:rsid w:val="00C46A40"/>
    <w:rsid w:val="00C50452"/>
    <w:rsid w:val="00C50F70"/>
    <w:rsid w:val="00C51C19"/>
    <w:rsid w:val="00C535CC"/>
    <w:rsid w:val="00C53C6D"/>
    <w:rsid w:val="00C552CC"/>
    <w:rsid w:val="00C55F66"/>
    <w:rsid w:val="00C57886"/>
    <w:rsid w:val="00C60134"/>
    <w:rsid w:val="00C6023B"/>
    <w:rsid w:val="00C60828"/>
    <w:rsid w:val="00C621BA"/>
    <w:rsid w:val="00C622AA"/>
    <w:rsid w:val="00C6291C"/>
    <w:rsid w:val="00C6351C"/>
    <w:rsid w:val="00C640FD"/>
    <w:rsid w:val="00C660B7"/>
    <w:rsid w:val="00C66343"/>
    <w:rsid w:val="00C67898"/>
    <w:rsid w:val="00C70915"/>
    <w:rsid w:val="00C72053"/>
    <w:rsid w:val="00C72789"/>
    <w:rsid w:val="00C72B1C"/>
    <w:rsid w:val="00C72E8A"/>
    <w:rsid w:val="00C752AB"/>
    <w:rsid w:val="00C7554D"/>
    <w:rsid w:val="00C75F10"/>
    <w:rsid w:val="00C7673F"/>
    <w:rsid w:val="00C767A1"/>
    <w:rsid w:val="00C767C1"/>
    <w:rsid w:val="00C77ACF"/>
    <w:rsid w:val="00C81837"/>
    <w:rsid w:val="00C81BAA"/>
    <w:rsid w:val="00C82416"/>
    <w:rsid w:val="00C827E2"/>
    <w:rsid w:val="00C82B5E"/>
    <w:rsid w:val="00C83163"/>
    <w:rsid w:val="00C856C8"/>
    <w:rsid w:val="00C859F6"/>
    <w:rsid w:val="00C864B3"/>
    <w:rsid w:val="00C86E70"/>
    <w:rsid w:val="00C873C2"/>
    <w:rsid w:val="00C87D04"/>
    <w:rsid w:val="00C908EE"/>
    <w:rsid w:val="00C913FF"/>
    <w:rsid w:val="00C91722"/>
    <w:rsid w:val="00C92C0A"/>
    <w:rsid w:val="00C9312F"/>
    <w:rsid w:val="00C93541"/>
    <w:rsid w:val="00C95C0A"/>
    <w:rsid w:val="00C976BE"/>
    <w:rsid w:val="00CA01B3"/>
    <w:rsid w:val="00CA0501"/>
    <w:rsid w:val="00CA1AF5"/>
    <w:rsid w:val="00CA43D9"/>
    <w:rsid w:val="00CA63CE"/>
    <w:rsid w:val="00CB0721"/>
    <w:rsid w:val="00CB0F9B"/>
    <w:rsid w:val="00CB1ED9"/>
    <w:rsid w:val="00CB2961"/>
    <w:rsid w:val="00CB2B7C"/>
    <w:rsid w:val="00CB32BC"/>
    <w:rsid w:val="00CB340B"/>
    <w:rsid w:val="00CB4B96"/>
    <w:rsid w:val="00CB663E"/>
    <w:rsid w:val="00CB73C0"/>
    <w:rsid w:val="00CC0852"/>
    <w:rsid w:val="00CC099B"/>
    <w:rsid w:val="00CC0A32"/>
    <w:rsid w:val="00CC0CA0"/>
    <w:rsid w:val="00CC114D"/>
    <w:rsid w:val="00CC178A"/>
    <w:rsid w:val="00CC2A7E"/>
    <w:rsid w:val="00CC38F8"/>
    <w:rsid w:val="00CC39BD"/>
    <w:rsid w:val="00CC3B23"/>
    <w:rsid w:val="00CC4588"/>
    <w:rsid w:val="00CC45D5"/>
    <w:rsid w:val="00CC4F1E"/>
    <w:rsid w:val="00CC5378"/>
    <w:rsid w:val="00CC5FE0"/>
    <w:rsid w:val="00CC64BC"/>
    <w:rsid w:val="00CC67EE"/>
    <w:rsid w:val="00CC69BD"/>
    <w:rsid w:val="00CC7563"/>
    <w:rsid w:val="00CC75D9"/>
    <w:rsid w:val="00CC7ECB"/>
    <w:rsid w:val="00CC7F50"/>
    <w:rsid w:val="00CD1A17"/>
    <w:rsid w:val="00CD2B79"/>
    <w:rsid w:val="00CD3F76"/>
    <w:rsid w:val="00CD5DA1"/>
    <w:rsid w:val="00CD6F6A"/>
    <w:rsid w:val="00CE032D"/>
    <w:rsid w:val="00CE086D"/>
    <w:rsid w:val="00CE1258"/>
    <w:rsid w:val="00CE25BB"/>
    <w:rsid w:val="00CE359F"/>
    <w:rsid w:val="00CE35C0"/>
    <w:rsid w:val="00CE37A8"/>
    <w:rsid w:val="00CE3F11"/>
    <w:rsid w:val="00CE5A84"/>
    <w:rsid w:val="00CE632A"/>
    <w:rsid w:val="00CE6537"/>
    <w:rsid w:val="00CE69CD"/>
    <w:rsid w:val="00CE6D60"/>
    <w:rsid w:val="00CF03BD"/>
    <w:rsid w:val="00CF1B08"/>
    <w:rsid w:val="00CF2F08"/>
    <w:rsid w:val="00CF4126"/>
    <w:rsid w:val="00CF5D54"/>
    <w:rsid w:val="00D00C9D"/>
    <w:rsid w:val="00D01A86"/>
    <w:rsid w:val="00D0338F"/>
    <w:rsid w:val="00D033C2"/>
    <w:rsid w:val="00D0403D"/>
    <w:rsid w:val="00D04457"/>
    <w:rsid w:val="00D0459B"/>
    <w:rsid w:val="00D05396"/>
    <w:rsid w:val="00D064BA"/>
    <w:rsid w:val="00D06541"/>
    <w:rsid w:val="00D070AC"/>
    <w:rsid w:val="00D0767F"/>
    <w:rsid w:val="00D120CB"/>
    <w:rsid w:val="00D12343"/>
    <w:rsid w:val="00D137AB"/>
    <w:rsid w:val="00D1426D"/>
    <w:rsid w:val="00D144D2"/>
    <w:rsid w:val="00D1606B"/>
    <w:rsid w:val="00D167BE"/>
    <w:rsid w:val="00D17A3B"/>
    <w:rsid w:val="00D2000E"/>
    <w:rsid w:val="00D20B80"/>
    <w:rsid w:val="00D211AA"/>
    <w:rsid w:val="00D21E88"/>
    <w:rsid w:val="00D23DD8"/>
    <w:rsid w:val="00D25326"/>
    <w:rsid w:val="00D25FD8"/>
    <w:rsid w:val="00D26D44"/>
    <w:rsid w:val="00D27704"/>
    <w:rsid w:val="00D279D6"/>
    <w:rsid w:val="00D30562"/>
    <w:rsid w:val="00D311A8"/>
    <w:rsid w:val="00D32FF6"/>
    <w:rsid w:val="00D3305E"/>
    <w:rsid w:val="00D330E0"/>
    <w:rsid w:val="00D34DAB"/>
    <w:rsid w:val="00D36717"/>
    <w:rsid w:val="00D3701D"/>
    <w:rsid w:val="00D379AD"/>
    <w:rsid w:val="00D37D97"/>
    <w:rsid w:val="00D4006E"/>
    <w:rsid w:val="00D4103A"/>
    <w:rsid w:val="00D411A5"/>
    <w:rsid w:val="00D41369"/>
    <w:rsid w:val="00D4173C"/>
    <w:rsid w:val="00D42C6D"/>
    <w:rsid w:val="00D4332D"/>
    <w:rsid w:val="00D437CF"/>
    <w:rsid w:val="00D43E94"/>
    <w:rsid w:val="00D446F4"/>
    <w:rsid w:val="00D45694"/>
    <w:rsid w:val="00D45943"/>
    <w:rsid w:val="00D45980"/>
    <w:rsid w:val="00D45E91"/>
    <w:rsid w:val="00D4666E"/>
    <w:rsid w:val="00D46B35"/>
    <w:rsid w:val="00D46D7A"/>
    <w:rsid w:val="00D475C8"/>
    <w:rsid w:val="00D50D88"/>
    <w:rsid w:val="00D50F17"/>
    <w:rsid w:val="00D51116"/>
    <w:rsid w:val="00D51900"/>
    <w:rsid w:val="00D52399"/>
    <w:rsid w:val="00D53896"/>
    <w:rsid w:val="00D55E36"/>
    <w:rsid w:val="00D562A5"/>
    <w:rsid w:val="00D56515"/>
    <w:rsid w:val="00D5664D"/>
    <w:rsid w:val="00D57038"/>
    <w:rsid w:val="00D607BB"/>
    <w:rsid w:val="00D61169"/>
    <w:rsid w:val="00D623C4"/>
    <w:rsid w:val="00D62604"/>
    <w:rsid w:val="00D62A37"/>
    <w:rsid w:val="00D64868"/>
    <w:rsid w:val="00D648BA"/>
    <w:rsid w:val="00D64929"/>
    <w:rsid w:val="00D658BF"/>
    <w:rsid w:val="00D65937"/>
    <w:rsid w:val="00D65B4E"/>
    <w:rsid w:val="00D662E0"/>
    <w:rsid w:val="00D66C76"/>
    <w:rsid w:val="00D66D69"/>
    <w:rsid w:val="00D6766E"/>
    <w:rsid w:val="00D73BFE"/>
    <w:rsid w:val="00D75801"/>
    <w:rsid w:val="00D7620F"/>
    <w:rsid w:val="00D76280"/>
    <w:rsid w:val="00D76712"/>
    <w:rsid w:val="00D774BA"/>
    <w:rsid w:val="00D77515"/>
    <w:rsid w:val="00D7783A"/>
    <w:rsid w:val="00D806E7"/>
    <w:rsid w:val="00D80D88"/>
    <w:rsid w:val="00D82058"/>
    <w:rsid w:val="00D8218A"/>
    <w:rsid w:val="00D82204"/>
    <w:rsid w:val="00D82B1A"/>
    <w:rsid w:val="00D82E00"/>
    <w:rsid w:val="00D83391"/>
    <w:rsid w:val="00D8549F"/>
    <w:rsid w:val="00D86631"/>
    <w:rsid w:val="00D86923"/>
    <w:rsid w:val="00D9073B"/>
    <w:rsid w:val="00D92DE6"/>
    <w:rsid w:val="00D92E33"/>
    <w:rsid w:val="00D93788"/>
    <w:rsid w:val="00D937E5"/>
    <w:rsid w:val="00D93866"/>
    <w:rsid w:val="00D93EAA"/>
    <w:rsid w:val="00D95BE1"/>
    <w:rsid w:val="00D96F7E"/>
    <w:rsid w:val="00D9787D"/>
    <w:rsid w:val="00DA2A33"/>
    <w:rsid w:val="00DA3312"/>
    <w:rsid w:val="00DA475A"/>
    <w:rsid w:val="00DA5A3D"/>
    <w:rsid w:val="00DA5ED8"/>
    <w:rsid w:val="00DA655A"/>
    <w:rsid w:val="00DA694A"/>
    <w:rsid w:val="00DA6D19"/>
    <w:rsid w:val="00DA7E07"/>
    <w:rsid w:val="00DB0B7F"/>
    <w:rsid w:val="00DB0EE8"/>
    <w:rsid w:val="00DB37BB"/>
    <w:rsid w:val="00DB39BE"/>
    <w:rsid w:val="00DB3C33"/>
    <w:rsid w:val="00DB3E60"/>
    <w:rsid w:val="00DB3F14"/>
    <w:rsid w:val="00DB4BA9"/>
    <w:rsid w:val="00DB4BF2"/>
    <w:rsid w:val="00DB4F3A"/>
    <w:rsid w:val="00DB59DF"/>
    <w:rsid w:val="00DC0F12"/>
    <w:rsid w:val="00DC130C"/>
    <w:rsid w:val="00DC2300"/>
    <w:rsid w:val="00DC31BB"/>
    <w:rsid w:val="00DC41BD"/>
    <w:rsid w:val="00DC4AF2"/>
    <w:rsid w:val="00DC567F"/>
    <w:rsid w:val="00DC6F7B"/>
    <w:rsid w:val="00DD0BAB"/>
    <w:rsid w:val="00DD0DFD"/>
    <w:rsid w:val="00DD1ADE"/>
    <w:rsid w:val="00DD3647"/>
    <w:rsid w:val="00DD3E0A"/>
    <w:rsid w:val="00DD4481"/>
    <w:rsid w:val="00DD5208"/>
    <w:rsid w:val="00DD5CB7"/>
    <w:rsid w:val="00DD60A0"/>
    <w:rsid w:val="00DD66FE"/>
    <w:rsid w:val="00DD72D4"/>
    <w:rsid w:val="00DD73E8"/>
    <w:rsid w:val="00DD76B0"/>
    <w:rsid w:val="00DE035B"/>
    <w:rsid w:val="00DE14E6"/>
    <w:rsid w:val="00DE173F"/>
    <w:rsid w:val="00DE2939"/>
    <w:rsid w:val="00DE4498"/>
    <w:rsid w:val="00DE4EBB"/>
    <w:rsid w:val="00DE7690"/>
    <w:rsid w:val="00DE7C00"/>
    <w:rsid w:val="00DF08EF"/>
    <w:rsid w:val="00DF24E6"/>
    <w:rsid w:val="00DF2AC5"/>
    <w:rsid w:val="00DF3285"/>
    <w:rsid w:val="00DF32ED"/>
    <w:rsid w:val="00DF420A"/>
    <w:rsid w:val="00DF51E8"/>
    <w:rsid w:val="00DF6259"/>
    <w:rsid w:val="00DF6E71"/>
    <w:rsid w:val="00DF76E2"/>
    <w:rsid w:val="00E00859"/>
    <w:rsid w:val="00E0139C"/>
    <w:rsid w:val="00E01E63"/>
    <w:rsid w:val="00E02D64"/>
    <w:rsid w:val="00E03CCB"/>
    <w:rsid w:val="00E0485D"/>
    <w:rsid w:val="00E04C8A"/>
    <w:rsid w:val="00E0505F"/>
    <w:rsid w:val="00E05AFD"/>
    <w:rsid w:val="00E05CFC"/>
    <w:rsid w:val="00E061D3"/>
    <w:rsid w:val="00E06D5F"/>
    <w:rsid w:val="00E10263"/>
    <w:rsid w:val="00E10F0A"/>
    <w:rsid w:val="00E11C9B"/>
    <w:rsid w:val="00E12875"/>
    <w:rsid w:val="00E12A92"/>
    <w:rsid w:val="00E12DDD"/>
    <w:rsid w:val="00E13365"/>
    <w:rsid w:val="00E14583"/>
    <w:rsid w:val="00E15546"/>
    <w:rsid w:val="00E155D3"/>
    <w:rsid w:val="00E162DA"/>
    <w:rsid w:val="00E16A49"/>
    <w:rsid w:val="00E16B9D"/>
    <w:rsid w:val="00E16DE6"/>
    <w:rsid w:val="00E214AC"/>
    <w:rsid w:val="00E22313"/>
    <w:rsid w:val="00E22F94"/>
    <w:rsid w:val="00E23E3F"/>
    <w:rsid w:val="00E24EE8"/>
    <w:rsid w:val="00E25398"/>
    <w:rsid w:val="00E25991"/>
    <w:rsid w:val="00E262A1"/>
    <w:rsid w:val="00E27476"/>
    <w:rsid w:val="00E301F9"/>
    <w:rsid w:val="00E3080A"/>
    <w:rsid w:val="00E30A75"/>
    <w:rsid w:val="00E31118"/>
    <w:rsid w:val="00E3205C"/>
    <w:rsid w:val="00E32063"/>
    <w:rsid w:val="00E321B0"/>
    <w:rsid w:val="00E333A0"/>
    <w:rsid w:val="00E33470"/>
    <w:rsid w:val="00E33590"/>
    <w:rsid w:val="00E349BC"/>
    <w:rsid w:val="00E34A38"/>
    <w:rsid w:val="00E34EF2"/>
    <w:rsid w:val="00E35450"/>
    <w:rsid w:val="00E3608F"/>
    <w:rsid w:val="00E3681D"/>
    <w:rsid w:val="00E368CF"/>
    <w:rsid w:val="00E36B79"/>
    <w:rsid w:val="00E36C6C"/>
    <w:rsid w:val="00E37EAC"/>
    <w:rsid w:val="00E37F27"/>
    <w:rsid w:val="00E400B2"/>
    <w:rsid w:val="00E40457"/>
    <w:rsid w:val="00E4055F"/>
    <w:rsid w:val="00E41DFA"/>
    <w:rsid w:val="00E41F4B"/>
    <w:rsid w:val="00E42077"/>
    <w:rsid w:val="00E42162"/>
    <w:rsid w:val="00E42275"/>
    <w:rsid w:val="00E42425"/>
    <w:rsid w:val="00E42AED"/>
    <w:rsid w:val="00E430D2"/>
    <w:rsid w:val="00E432A8"/>
    <w:rsid w:val="00E436E2"/>
    <w:rsid w:val="00E44E69"/>
    <w:rsid w:val="00E452EB"/>
    <w:rsid w:val="00E45709"/>
    <w:rsid w:val="00E4594A"/>
    <w:rsid w:val="00E464D6"/>
    <w:rsid w:val="00E50677"/>
    <w:rsid w:val="00E50A85"/>
    <w:rsid w:val="00E523F5"/>
    <w:rsid w:val="00E52E62"/>
    <w:rsid w:val="00E52F9B"/>
    <w:rsid w:val="00E53658"/>
    <w:rsid w:val="00E551DD"/>
    <w:rsid w:val="00E55DAD"/>
    <w:rsid w:val="00E561C9"/>
    <w:rsid w:val="00E56B02"/>
    <w:rsid w:val="00E56BD4"/>
    <w:rsid w:val="00E61668"/>
    <w:rsid w:val="00E6197A"/>
    <w:rsid w:val="00E61A16"/>
    <w:rsid w:val="00E624DD"/>
    <w:rsid w:val="00E6286C"/>
    <w:rsid w:val="00E62A20"/>
    <w:rsid w:val="00E63C92"/>
    <w:rsid w:val="00E6406A"/>
    <w:rsid w:val="00E64203"/>
    <w:rsid w:val="00E649C4"/>
    <w:rsid w:val="00E65180"/>
    <w:rsid w:val="00E6539D"/>
    <w:rsid w:val="00E67194"/>
    <w:rsid w:val="00E708CA"/>
    <w:rsid w:val="00E71986"/>
    <w:rsid w:val="00E7333D"/>
    <w:rsid w:val="00E7580F"/>
    <w:rsid w:val="00E76715"/>
    <w:rsid w:val="00E7677D"/>
    <w:rsid w:val="00E7698E"/>
    <w:rsid w:val="00E778D6"/>
    <w:rsid w:val="00E77D3A"/>
    <w:rsid w:val="00E77FFE"/>
    <w:rsid w:val="00E806EA"/>
    <w:rsid w:val="00E80897"/>
    <w:rsid w:val="00E80F49"/>
    <w:rsid w:val="00E817AE"/>
    <w:rsid w:val="00E83092"/>
    <w:rsid w:val="00E8360B"/>
    <w:rsid w:val="00E83A7E"/>
    <w:rsid w:val="00E84544"/>
    <w:rsid w:val="00E846C3"/>
    <w:rsid w:val="00E85164"/>
    <w:rsid w:val="00E852D9"/>
    <w:rsid w:val="00E85A6C"/>
    <w:rsid w:val="00E85B28"/>
    <w:rsid w:val="00E869ED"/>
    <w:rsid w:val="00E87A31"/>
    <w:rsid w:val="00E90439"/>
    <w:rsid w:val="00E906E4"/>
    <w:rsid w:val="00E908E6"/>
    <w:rsid w:val="00E90E84"/>
    <w:rsid w:val="00E91162"/>
    <w:rsid w:val="00E91419"/>
    <w:rsid w:val="00E917CB"/>
    <w:rsid w:val="00E919DB"/>
    <w:rsid w:val="00E926F0"/>
    <w:rsid w:val="00E93148"/>
    <w:rsid w:val="00E93435"/>
    <w:rsid w:val="00E93ABE"/>
    <w:rsid w:val="00E94732"/>
    <w:rsid w:val="00E94C24"/>
    <w:rsid w:val="00E94CA2"/>
    <w:rsid w:val="00E95692"/>
    <w:rsid w:val="00E95AA1"/>
    <w:rsid w:val="00E95FD7"/>
    <w:rsid w:val="00E969E0"/>
    <w:rsid w:val="00E96FCA"/>
    <w:rsid w:val="00E97FDD"/>
    <w:rsid w:val="00EA0FD5"/>
    <w:rsid w:val="00EA1E8A"/>
    <w:rsid w:val="00EA2090"/>
    <w:rsid w:val="00EA280F"/>
    <w:rsid w:val="00EA3DEE"/>
    <w:rsid w:val="00EA404E"/>
    <w:rsid w:val="00EA4C44"/>
    <w:rsid w:val="00EA5674"/>
    <w:rsid w:val="00EA6006"/>
    <w:rsid w:val="00EB10C6"/>
    <w:rsid w:val="00EB4309"/>
    <w:rsid w:val="00EB43D2"/>
    <w:rsid w:val="00EB6669"/>
    <w:rsid w:val="00EB7528"/>
    <w:rsid w:val="00EB7DDA"/>
    <w:rsid w:val="00EB7FAB"/>
    <w:rsid w:val="00EC0670"/>
    <w:rsid w:val="00EC0E84"/>
    <w:rsid w:val="00EC185A"/>
    <w:rsid w:val="00EC1D82"/>
    <w:rsid w:val="00EC34B5"/>
    <w:rsid w:val="00EC3777"/>
    <w:rsid w:val="00EC3C09"/>
    <w:rsid w:val="00EC4B1A"/>
    <w:rsid w:val="00EC5B25"/>
    <w:rsid w:val="00EC7461"/>
    <w:rsid w:val="00EC7CD7"/>
    <w:rsid w:val="00ED140C"/>
    <w:rsid w:val="00ED25DB"/>
    <w:rsid w:val="00ED3C1B"/>
    <w:rsid w:val="00ED40D9"/>
    <w:rsid w:val="00ED41BC"/>
    <w:rsid w:val="00ED5760"/>
    <w:rsid w:val="00ED63E7"/>
    <w:rsid w:val="00ED6449"/>
    <w:rsid w:val="00ED69A7"/>
    <w:rsid w:val="00ED7794"/>
    <w:rsid w:val="00ED7D21"/>
    <w:rsid w:val="00EE2D20"/>
    <w:rsid w:val="00EE4956"/>
    <w:rsid w:val="00EE53A2"/>
    <w:rsid w:val="00EE5E9D"/>
    <w:rsid w:val="00EE719B"/>
    <w:rsid w:val="00EE7648"/>
    <w:rsid w:val="00EE7C8B"/>
    <w:rsid w:val="00EF0BB8"/>
    <w:rsid w:val="00EF1952"/>
    <w:rsid w:val="00EF1966"/>
    <w:rsid w:val="00EF19B8"/>
    <w:rsid w:val="00EF20A6"/>
    <w:rsid w:val="00EF4030"/>
    <w:rsid w:val="00EF52E1"/>
    <w:rsid w:val="00EF5CE1"/>
    <w:rsid w:val="00EF5FD4"/>
    <w:rsid w:val="00EF7509"/>
    <w:rsid w:val="00EF7CC6"/>
    <w:rsid w:val="00EF7FD5"/>
    <w:rsid w:val="00F00032"/>
    <w:rsid w:val="00F00D9C"/>
    <w:rsid w:val="00F0128C"/>
    <w:rsid w:val="00F01EA0"/>
    <w:rsid w:val="00F024D5"/>
    <w:rsid w:val="00F032F8"/>
    <w:rsid w:val="00F0398A"/>
    <w:rsid w:val="00F03E49"/>
    <w:rsid w:val="00F041AC"/>
    <w:rsid w:val="00F047BF"/>
    <w:rsid w:val="00F0678B"/>
    <w:rsid w:val="00F067C4"/>
    <w:rsid w:val="00F06EEF"/>
    <w:rsid w:val="00F07628"/>
    <w:rsid w:val="00F106BF"/>
    <w:rsid w:val="00F11601"/>
    <w:rsid w:val="00F11AE5"/>
    <w:rsid w:val="00F12C27"/>
    <w:rsid w:val="00F13230"/>
    <w:rsid w:val="00F1414C"/>
    <w:rsid w:val="00F14591"/>
    <w:rsid w:val="00F1469F"/>
    <w:rsid w:val="00F14CCB"/>
    <w:rsid w:val="00F1521E"/>
    <w:rsid w:val="00F166AD"/>
    <w:rsid w:val="00F20D37"/>
    <w:rsid w:val="00F22376"/>
    <w:rsid w:val="00F236AB"/>
    <w:rsid w:val="00F23CD6"/>
    <w:rsid w:val="00F2435B"/>
    <w:rsid w:val="00F24D59"/>
    <w:rsid w:val="00F252E9"/>
    <w:rsid w:val="00F2556D"/>
    <w:rsid w:val="00F25C8E"/>
    <w:rsid w:val="00F27BEB"/>
    <w:rsid w:val="00F317D6"/>
    <w:rsid w:val="00F31808"/>
    <w:rsid w:val="00F355AF"/>
    <w:rsid w:val="00F3564E"/>
    <w:rsid w:val="00F35D66"/>
    <w:rsid w:val="00F36E0A"/>
    <w:rsid w:val="00F3701D"/>
    <w:rsid w:val="00F370B6"/>
    <w:rsid w:val="00F370E7"/>
    <w:rsid w:val="00F409E1"/>
    <w:rsid w:val="00F40F76"/>
    <w:rsid w:val="00F4170E"/>
    <w:rsid w:val="00F41C48"/>
    <w:rsid w:val="00F43DC6"/>
    <w:rsid w:val="00F43E2E"/>
    <w:rsid w:val="00F458A6"/>
    <w:rsid w:val="00F45B1E"/>
    <w:rsid w:val="00F50822"/>
    <w:rsid w:val="00F5181A"/>
    <w:rsid w:val="00F51FDE"/>
    <w:rsid w:val="00F53451"/>
    <w:rsid w:val="00F53A0E"/>
    <w:rsid w:val="00F55905"/>
    <w:rsid w:val="00F56F8F"/>
    <w:rsid w:val="00F607B3"/>
    <w:rsid w:val="00F60DFF"/>
    <w:rsid w:val="00F627C1"/>
    <w:rsid w:val="00F62F37"/>
    <w:rsid w:val="00F62FA8"/>
    <w:rsid w:val="00F62FFB"/>
    <w:rsid w:val="00F63063"/>
    <w:rsid w:val="00F64EDE"/>
    <w:rsid w:val="00F669C1"/>
    <w:rsid w:val="00F70612"/>
    <w:rsid w:val="00F70737"/>
    <w:rsid w:val="00F70E04"/>
    <w:rsid w:val="00F71665"/>
    <w:rsid w:val="00F71AE1"/>
    <w:rsid w:val="00F71FD1"/>
    <w:rsid w:val="00F7272D"/>
    <w:rsid w:val="00F72B43"/>
    <w:rsid w:val="00F72F6D"/>
    <w:rsid w:val="00F73013"/>
    <w:rsid w:val="00F740C7"/>
    <w:rsid w:val="00F75F49"/>
    <w:rsid w:val="00F76877"/>
    <w:rsid w:val="00F800D7"/>
    <w:rsid w:val="00F80650"/>
    <w:rsid w:val="00F81161"/>
    <w:rsid w:val="00F81759"/>
    <w:rsid w:val="00F82C35"/>
    <w:rsid w:val="00F82D79"/>
    <w:rsid w:val="00F83840"/>
    <w:rsid w:val="00F83AE9"/>
    <w:rsid w:val="00F841AE"/>
    <w:rsid w:val="00F84774"/>
    <w:rsid w:val="00F8594A"/>
    <w:rsid w:val="00F86648"/>
    <w:rsid w:val="00F86F18"/>
    <w:rsid w:val="00F8752E"/>
    <w:rsid w:val="00F87789"/>
    <w:rsid w:val="00F90112"/>
    <w:rsid w:val="00F90837"/>
    <w:rsid w:val="00F91257"/>
    <w:rsid w:val="00F91CDA"/>
    <w:rsid w:val="00F91F2B"/>
    <w:rsid w:val="00F92D9E"/>
    <w:rsid w:val="00F932B4"/>
    <w:rsid w:val="00F94292"/>
    <w:rsid w:val="00F9439D"/>
    <w:rsid w:val="00F96B39"/>
    <w:rsid w:val="00FA1215"/>
    <w:rsid w:val="00FA1B0F"/>
    <w:rsid w:val="00FA41DD"/>
    <w:rsid w:val="00FA4477"/>
    <w:rsid w:val="00FA4CCA"/>
    <w:rsid w:val="00FA5BBE"/>
    <w:rsid w:val="00FA766E"/>
    <w:rsid w:val="00FA795B"/>
    <w:rsid w:val="00FA7F72"/>
    <w:rsid w:val="00FB0605"/>
    <w:rsid w:val="00FB0876"/>
    <w:rsid w:val="00FB1264"/>
    <w:rsid w:val="00FB1F74"/>
    <w:rsid w:val="00FB2198"/>
    <w:rsid w:val="00FB51DB"/>
    <w:rsid w:val="00FB5C86"/>
    <w:rsid w:val="00FB6602"/>
    <w:rsid w:val="00FB67DC"/>
    <w:rsid w:val="00FB6801"/>
    <w:rsid w:val="00FB684B"/>
    <w:rsid w:val="00FB6881"/>
    <w:rsid w:val="00FC17C8"/>
    <w:rsid w:val="00FC198C"/>
    <w:rsid w:val="00FC1DA4"/>
    <w:rsid w:val="00FC3A93"/>
    <w:rsid w:val="00FC48A6"/>
    <w:rsid w:val="00FC5D62"/>
    <w:rsid w:val="00FC658E"/>
    <w:rsid w:val="00FC6F19"/>
    <w:rsid w:val="00FD00E6"/>
    <w:rsid w:val="00FD07A5"/>
    <w:rsid w:val="00FD0AF8"/>
    <w:rsid w:val="00FD0C6B"/>
    <w:rsid w:val="00FD242B"/>
    <w:rsid w:val="00FD2598"/>
    <w:rsid w:val="00FD397A"/>
    <w:rsid w:val="00FD6BA0"/>
    <w:rsid w:val="00FD6D74"/>
    <w:rsid w:val="00FDFE5C"/>
    <w:rsid w:val="00FE10EE"/>
    <w:rsid w:val="00FE52BC"/>
    <w:rsid w:val="00FE5B8F"/>
    <w:rsid w:val="00FE600B"/>
    <w:rsid w:val="00FE67C2"/>
    <w:rsid w:val="00FE7BA5"/>
    <w:rsid w:val="00FF0369"/>
    <w:rsid w:val="00FF10B5"/>
    <w:rsid w:val="00FF3D61"/>
    <w:rsid w:val="00FF3FD4"/>
    <w:rsid w:val="00FF4DBD"/>
    <w:rsid w:val="00FF51D5"/>
    <w:rsid w:val="00FF525E"/>
    <w:rsid w:val="00FF52B9"/>
    <w:rsid w:val="00FF53AD"/>
    <w:rsid w:val="00FF5C06"/>
    <w:rsid w:val="00FF62E2"/>
    <w:rsid w:val="00FF738D"/>
    <w:rsid w:val="01580034"/>
    <w:rsid w:val="017E0D4A"/>
    <w:rsid w:val="01C197C1"/>
    <w:rsid w:val="01DC652A"/>
    <w:rsid w:val="01E3182D"/>
    <w:rsid w:val="01F5D97D"/>
    <w:rsid w:val="0216BC5B"/>
    <w:rsid w:val="0238513B"/>
    <w:rsid w:val="028C3127"/>
    <w:rsid w:val="02A323DD"/>
    <w:rsid w:val="02C2DD4F"/>
    <w:rsid w:val="02CCBC30"/>
    <w:rsid w:val="02CEBBC4"/>
    <w:rsid w:val="030F30B6"/>
    <w:rsid w:val="0345DB34"/>
    <w:rsid w:val="0345F8D0"/>
    <w:rsid w:val="0360F8B9"/>
    <w:rsid w:val="0385A724"/>
    <w:rsid w:val="038F9B5A"/>
    <w:rsid w:val="039E6DB9"/>
    <w:rsid w:val="03D225F7"/>
    <w:rsid w:val="03D34B1E"/>
    <w:rsid w:val="03DFF295"/>
    <w:rsid w:val="03E364A8"/>
    <w:rsid w:val="04494941"/>
    <w:rsid w:val="044D718D"/>
    <w:rsid w:val="04A32B36"/>
    <w:rsid w:val="04A737DF"/>
    <w:rsid w:val="04A892A8"/>
    <w:rsid w:val="04C55F95"/>
    <w:rsid w:val="04D3CD9C"/>
    <w:rsid w:val="051814FF"/>
    <w:rsid w:val="051A8719"/>
    <w:rsid w:val="0533807F"/>
    <w:rsid w:val="05401A53"/>
    <w:rsid w:val="05551E68"/>
    <w:rsid w:val="0574D28A"/>
    <w:rsid w:val="0598C8CB"/>
    <w:rsid w:val="05B9C979"/>
    <w:rsid w:val="05BA403A"/>
    <w:rsid w:val="05EE621E"/>
    <w:rsid w:val="0643836D"/>
    <w:rsid w:val="06500118"/>
    <w:rsid w:val="065A289E"/>
    <w:rsid w:val="06636D4A"/>
    <w:rsid w:val="066A0A7D"/>
    <w:rsid w:val="06719062"/>
    <w:rsid w:val="06AC0474"/>
    <w:rsid w:val="06B13713"/>
    <w:rsid w:val="06C43852"/>
    <w:rsid w:val="06D0F5CE"/>
    <w:rsid w:val="071766D9"/>
    <w:rsid w:val="073355FB"/>
    <w:rsid w:val="073CB31A"/>
    <w:rsid w:val="0784D7C8"/>
    <w:rsid w:val="078D7FFF"/>
    <w:rsid w:val="079B2DFF"/>
    <w:rsid w:val="07A5FA57"/>
    <w:rsid w:val="07A871A1"/>
    <w:rsid w:val="07B10EB3"/>
    <w:rsid w:val="07CB2FB2"/>
    <w:rsid w:val="07ED6890"/>
    <w:rsid w:val="0821EDF6"/>
    <w:rsid w:val="08385C91"/>
    <w:rsid w:val="08394284"/>
    <w:rsid w:val="085B8499"/>
    <w:rsid w:val="0886B31F"/>
    <w:rsid w:val="089022CB"/>
    <w:rsid w:val="089E0F36"/>
    <w:rsid w:val="08A48B03"/>
    <w:rsid w:val="08ABDBD4"/>
    <w:rsid w:val="08B0A131"/>
    <w:rsid w:val="08F09FF2"/>
    <w:rsid w:val="08F6BCD5"/>
    <w:rsid w:val="08FC8485"/>
    <w:rsid w:val="0908995F"/>
    <w:rsid w:val="0926FDFB"/>
    <w:rsid w:val="0945BBD7"/>
    <w:rsid w:val="0991AE6C"/>
    <w:rsid w:val="09A87C9E"/>
    <w:rsid w:val="09D3BF86"/>
    <w:rsid w:val="09E87708"/>
    <w:rsid w:val="0A14CCA1"/>
    <w:rsid w:val="0A1AAB19"/>
    <w:rsid w:val="0AD1E9F7"/>
    <w:rsid w:val="0B29E2AB"/>
    <w:rsid w:val="0B30D82A"/>
    <w:rsid w:val="0B48EB59"/>
    <w:rsid w:val="0B4C5D6C"/>
    <w:rsid w:val="0B4D96F4"/>
    <w:rsid w:val="0B87A104"/>
    <w:rsid w:val="0BBD1F13"/>
    <w:rsid w:val="0BDD8A76"/>
    <w:rsid w:val="0BE2B24D"/>
    <w:rsid w:val="0BECB558"/>
    <w:rsid w:val="0C0B0381"/>
    <w:rsid w:val="0C4E94D5"/>
    <w:rsid w:val="0C5F0EA6"/>
    <w:rsid w:val="0C6DBA58"/>
    <w:rsid w:val="0C760ED8"/>
    <w:rsid w:val="0C9B5479"/>
    <w:rsid w:val="0CB951CF"/>
    <w:rsid w:val="0CDA1350"/>
    <w:rsid w:val="0D6FBDCB"/>
    <w:rsid w:val="0D77C513"/>
    <w:rsid w:val="0DE46786"/>
    <w:rsid w:val="0DF4B37B"/>
    <w:rsid w:val="0E060D8D"/>
    <w:rsid w:val="0E098AB9"/>
    <w:rsid w:val="0E384BE0"/>
    <w:rsid w:val="0E39AA6A"/>
    <w:rsid w:val="0E57EB9D"/>
    <w:rsid w:val="0E90008A"/>
    <w:rsid w:val="0EF53F63"/>
    <w:rsid w:val="0F0144BC"/>
    <w:rsid w:val="0F150F49"/>
    <w:rsid w:val="0FB690F2"/>
    <w:rsid w:val="0FC80FCF"/>
    <w:rsid w:val="10243009"/>
    <w:rsid w:val="102F0D4E"/>
    <w:rsid w:val="10BEC082"/>
    <w:rsid w:val="10E9304D"/>
    <w:rsid w:val="1105472E"/>
    <w:rsid w:val="111A7E14"/>
    <w:rsid w:val="112D100F"/>
    <w:rsid w:val="11322939"/>
    <w:rsid w:val="115BAF9F"/>
    <w:rsid w:val="116D41A1"/>
    <w:rsid w:val="11853B0E"/>
    <w:rsid w:val="1190DB23"/>
    <w:rsid w:val="11A9B48D"/>
    <w:rsid w:val="11B205BF"/>
    <w:rsid w:val="11BE85D1"/>
    <w:rsid w:val="11D6B20F"/>
    <w:rsid w:val="11EB8353"/>
    <w:rsid w:val="11F35717"/>
    <w:rsid w:val="12108D7D"/>
    <w:rsid w:val="1235AD24"/>
    <w:rsid w:val="125F45CF"/>
    <w:rsid w:val="127333E7"/>
    <w:rsid w:val="12792D94"/>
    <w:rsid w:val="12873165"/>
    <w:rsid w:val="12A3A360"/>
    <w:rsid w:val="12AF9953"/>
    <w:rsid w:val="1306E6F3"/>
    <w:rsid w:val="1307C950"/>
    <w:rsid w:val="13218291"/>
    <w:rsid w:val="13413578"/>
    <w:rsid w:val="137B1AAD"/>
    <w:rsid w:val="1395328D"/>
    <w:rsid w:val="13A84442"/>
    <w:rsid w:val="13AD4708"/>
    <w:rsid w:val="13E8DE3F"/>
    <w:rsid w:val="141E01F1"/>
    <w:rsid w:val="1430CA86"/>
    <w:rsid w:val="144273D0"/>
    <w:rsid w:val="14458750"/>
    <w:rsid w:val="1449C008"/>
    <w:rsid w:val="146BDBB1"/>
    <w:rsid w:val="147B0764"/>
    <w:rsid w:val="14822022"/>
    <w:rsid w:val="14935B83"/>
    <w:rsid w:val="14CEFEFB"/>
    <w:rsid w:val="15155C4C"/>
    <w:rsid w:val="15320CEB"/>
    <w:rsid w:val="15677D49"/>
    <w:rsid w:val="15B2E1E6"/>
    <w:rsid w:val="15E66753"/>
    <w:rsid w:val="16048BB8"/>
    <w:rsid w:val="160ADDD8"/>
    <w:rsid w:val="162B5E42"/>
    <w:rsid w:val="1664A905"/>
    <w:rsid w:val="1692122A"/>
    <w:rsid w:val="1697D481"/>
    <w:rsid w:val="16986865"/>
    <w:rsid w:val="16C7D83A"/>
    <w:rsid w:val="16D99878"/>
    <w:rsid w:val="16E9D186"/>
    <w:rsid w:val="1729EDAE"/>
    <w:rsid w:val="179DA2DA"/>
    <w:rsid w:val="17DBCB57"/>
    <w:rsid w:val="17EF722F"/>
    <w:rsid w:val="181F621D"/>
    <w:rsid w:val="185231F8"/>
    <w:rsid w:val="185FFD52"/>
    <w:rsid w:val="18AFECAB"/>
    <w:rsid w:val="18BD770A"/>
    <w:rsid w:val="190944C1"/>
    <w:rsid w:val="19161890"/>
    <w:rsid w:val="1918C61F"/>
    <w:rsid w:val="19328838"/>
    <w:rsid w:val="194F9CF8"/>
    <w:rsid w:val="19700888"/>
    <w:rsid w:val="198D7DFF"/>
    <w:rsid w:val="1994F40D"/>
    <w:rsid w:val="19E74070"/>
    <w:rsid w:val="1A1015D4"/>
    <w:rsid w:val="1A23BCDD"/>
    <w:rsid w:val="1A9B89EF"/>
    <w:rsid w:val="1AACE920"/>
    <w:rsid w:val="1AB25092"/>
    <w:rsid w:val="1AC4E28D"/>
    <w:rsid w:val="1AD0BD8F"/>
    <w:rsid w:val="1AE04E0D"/>
    <w:rsid w:val="1B117A6F"/>
    <w:rsid w:val="1B3E4520"/>
    <w:rsid w:val="1B52E0C0"/>
    <w:rsid w:val="1B563E8D"/>
    <w:rsid w:val="1B92A00D"/>
    <w:rsid w:val="1BA286B5"/>
    <w:rsid w:val="1BC38763"/>
    <w:rsid w:val="1BDC8F6A"/>
    <w:rsid w:val="1BE1D04B"/>
    <w:rsid w:val="1BF83579"/>
    <w:rsid w:val="1BF921F7"/>
    <w:rsid w:val="1C123FAD"/>
    <w:rsid w:val="1D02DE4A"/>
    <w:rsid w:val="1D161F27"/>
    <w:rsid w:val="1D39BD2B"/>
    <w:rsid w:val="1D5D3CD1"/>
    <w:rsid w:val="1D79A1DD"/>
    <w:rsid w:val="1DABFB49"/>
    <w:rsid w:val="1DE9270B"/>
    <w:rsid w:val="1DEF4F5A"/>
    <w:rsid w:val="1DF7267A"/>
    <w:rsid w:val="1E5B4E4D"/>
    <w:rsid w:val="1E654283"/>
    <w:rsid w:val="1E75682C"/>
    <w:rsid w:val="1EBE3BCF"/>
    <w:rsid w:val="1EC82189"/>
    <w:rsid w:val="1F303538"/>
    <w:rsid w:val="1F33C1AE"/>
    <w:rsid w:val="1F33DB70"/>
    <w:rsid w:val="1F3E6E52"/>
    <w:rsid w:val="1F4FAC92"/>
    <w:rsid w:val="1F7C0BDE"/>
    <w:rsid w:val="1F80A623"/>
    <w:rsid w:val="1FC55132"/>
    <w:rsid w:val="1FE12254"/>
    <w:rsid w:val="200927A8"/>
    <w:rsid w:val="202773C6"/>
    <w:rsid w:val="2035F259"/>
    <w:rsid w:val="20555D49"/>
    <w:rsid w:val="2061239A"/>
    <w:rsid w:val="2084A4AD"/>
    <w:rsid w:val="20AE3BE4"/>
    <w:rsid w:val="20B399B4"/>
    <w:rsid w:val="20C0A5E1"/>
    <w:rsid w:val="21112467"/>
    <w:rsid w:val="212CB940"/>
    <w:rsid w:val="213E21E9"/>
    <w:rsid w:val="214EBF85"/>
    <w:rsid w:val="21528F81"/>
    <w:rsid w:val="21652744"/>
    <w:rsid w:val="218A5A2B"/>
    <w:rsid w:val="21DED66A"/>
    <w:rsid w:val="22097423"/>
    <w:rsid w:val="22148E9A"/>
    <w:rsid w:val="222F0A2C"/>
    <w:rsid w:val="223DE738"/>
    <w:rsid w:val="2260D4C3"/>
    <w:rsid w:val="226A9CF7"/>
    <w:rsid w:val="227C2B2D"/>
    <w:rsid w:val="22C008E9"/>
    <w:rsid w:val="22FC5A7C"/>
    <w:rsid w:val="23547DD3"/>
    <w:rsid w:val="2357A7EC"/>
    <w:rsid w:val="235F80D2"/>
    <w:rsid w:val="24233777"/>
    <w:rsid w:val="24761077"/>
    <w:rsid w:val="2477882E"/>
    <w:rsid w:val="247CE5E8"/>
    <w:rsid w:val="248BF1D6"/>
    <w:rsid w:val="24A3EB43"/>
    <w:rsid w:val="24BE1E31"/>
    <w:rsid w:val="24F67BFF"/>
    <w:rsid w:val="250CDE1E"/>
    <w:rsid w:val="2512DDC5"/>
    <w:rsid w:val="2537891A"/>
    <w:rsid w:val="253C14F9"/>
    <w:rsid w:val="25984988"/>
    <w:rsid w:val="25DE472E"/>
    <w:rsid w:val="25F539E4"/>
    <w:rsid w:val="2620D1CB"/>
    <w:rsid w:val="26DCE82A"/>
    <w:rsid w:val="271BDAC5"/>
    <w:rsid w:val="275A066D"/>
    <w:rsid w:val="275BEB46"/>
    <w:rsid w:val="27621889"/>
    <w:rsid w:val="27630A10"/>
    <w:rsid w:val="27885775"/>
    <w:rsid w:val="279C2896"/>
    <w:rsid w:val="27B4EC42"/>
    <w:rsid w:val="27F5413D"/>
    <w:rsid w:val="28251F3A"/>
    <w:rsid w:val="2847DFDF"/>
    <w:rsid w:val="284D396B"/>
    <w:rsid w:val="284F43FA"/>
    <w:rsid w:val="28729547"/>
    <w:rsid w:val="28782F8A"/>
    <w:rsid w:val="28BB8845"/>
    <w:rsid w:val="28D2F7A0"/>
    <w:rsid w:val="2910A4DD"/>
    <w:rsid w:val="2912E426"/>
    <w:rsid w:val="291CACD8"/>
    <w:rsid w:val="2928D948"/>
    <w:rsid w:val="294C1AD4"/>
    <w:rsid w:val="2965A7B3"/>
    <w:rsid w:val="29700753"/>
    <w:rsid w:val="2985F758"/>
    <w:rsid w:val="299DD1FD"/>
    <w:rsid w:val="29B4CB71"/>
    <w:rsid w:val="29BAF669"/>
    <w:rsid w:val="29CF1821"/>
    <w:rsid w:val="29E2C8EC"/>
    <w:rsid w:val="29FFBA87"/>
    <w:rsid w:val="2A617040"/>
    <w:rsid w:val="2AB3D918"/>
    <w:rsid w:val="2ABD647D"/>
    <w:rsid w:val="2ACE8113"/>
    <w:rsid w:val="2B1E7DE9"/>
    <w:rsid w:val="2B3F7E97"/>
    <w:rsid w:val="2B5C3D61"/>
    <w:rsid w:val="2B7B85D7"/>
    <w:rsid w:val="2BA1017F"/>
    <w:rsid w:val="2BA8EF05"/>
    <w:rsid w:val="2BDDD17A"/>
    <w:rsid w:val="2BE2C139"/>
    <w:rsid w:val="2BF4E707"/>
    <w:rsid w:val="2BF8245D"/>
    <w:rsid w:val="2C033509"/>
    <w:rsid w:val="2C10B809"/>
    <w:rsid w:val="2C2A7C19"/>
    <w:rsid w:val="2C334298"/>
    <w:rsid w:val="2C3D9396"/>
    <w:rsid w:val="2C4B203A"/>
    <w:rsid w:val="2C4F4367"/>
    <w:rsid w:val="2C601241"/>
    <w:rsid w:val="2C7298ED"/>
    <w:rsid w:val="2D2F82AD"/>
    <w:rsid w:val="2D3A8D0F"/>
    <w:rsid w:val="2D4149C9"/>
    <w:rsid w:val="2D870777"/>
    <w:rsid w:val="2D877184"/>
    <w:rsid w:val="2DAA7AD0"/>
    <w:rsid w:val="2DF53715"/>
    <w:rsid w:val="2E04C641"/>
    <w:rsid w:val="2E0BCAE7"/>
    <w:rsid w:val="2E28C1E6"/>
    <w:rsid w:val="2E3190F2"/>
    <w:rsid w:val="2E6183CC"/>
    <w:rsid w:val="2E8ADBB7"/>
    <w:rsid w:val="2EAC62D3"/>
    <w:rsid w:val="2F54F398"/>
    <w:rsid w:val="2F9A0491"/>
    <w:rsid w:val="2FA1DDA6"/>
    <w:rsid w:val="2FEE8F4A"/>
    <w:rsid w:val="3004EE8C"/>
    <w:rsid w:val="300BA870"/>
    <w:rsid w:val="30120701"/>
    <w:rsid w:val="3044B299"/>
    <w:rsid w:val="305CDED7"/>
    <w:rsid w:val="30BF441C"/>
    <w:rsid w:val="30DFEF08"/>
    <w:rsid w:val="31036E53"/>
    <w:rsid w:val="310ED209"/>
    <w:rsid w:val="3123A34D"/>
    <w:rsid w:val="31404197"/>
    <w:rsid w:val="318F5304"/>
    <w:rsid w:val="31CDEE05"/>
    <w:rsid w:val="31F26E58"/>
    <w:rsid w:val="320A663F"/>
    <w:rsid w:val="3213677C"/>
    <w:rsid w:val="3254B1B4"/>
    <w:rsid w:val="32571428"/>
    <w:rsid w:val="32A9161E"/>
    <w:rsid w:val="32AD0C7C"/>
    <w:rsid w:val="32E8174D"/>
    <w:rsid w:val="32FD7A31"/>
    <w:rsid w:val="33074633"/>
    <w:rsid w:val="337B47FE"/>
    <w:rsid w:val="337FD5E0"/>
    <w:rsid w:val="3393B550"/>
    <w:rsid w:val="33D78BC6"/>
    <w:rsid w:val="33DB1E59"/>
    <w:rsid w:val="33FCAE45"/>
    <w:rsid w:val="3401B6F8"/>
    <w:rsid w:val="344E5996"/>
    <w:rsid w:val="345C8834"/>
    <w:rsid w:val="346B045E"/>
    <w:rsid w:val="346F006D"/>
    <w:rsid w:val="34900B3A"/>
    <w:rsid w:val="34ADC5A6"/>
    <w:rsid w:val="34BB5947"/>
    <w:rsid w:val="34F8EE4B"/>
    <w:rsid w:val="34FB9CF1"/>
    <w:rsid w:val="352FCCBC"/>
    <w:rsid w:val="35596A7C"/>
    <w:rsid w:val="3572C0D5"/>
    <w:rsid w:val="35A41C13"/>
    <w:rsid w:val="35BCFEE2"/>
    <w:rsid w:val="35DA8877"/>
    <w:rsid w:val="35E72198"/>
    <w:rsid w:val="35FBF2DC"/>
    <w:rsid w:val="360EBD70"/>
    <w:rsid w:val="3650D812"/>
    <w:rsid w:val="365404CC"/>
    <w:rsid w:val="3654379D"/>
    <w:rsid w:val="3658FCFA"/>
    <w:rsid w:val="36896C8F"/>
    <w:rsid w:val="36956792"/>
    <w:rsid w:val="36BC7CDC"/>
    <w:rsid w:val="36CABE9A"/>
    <w:rsid w:val="36D61E33"/>
    <w:rsid w:val="371AE251"/>
    <w:rsid w:val="3727A9FE"/>
    <w:rsid w:val="373F2525"/>
    <w:rsid w:val="37496F90"/>
    <w:rsid w:val="376BC6A6"/>
    <w:rsid w:val="378BA3F8"/>
    <w:rsid w:val="379FD801"/>
    <w:rsid w:val="37A8E600"/>
    <w:rsid w:val="37FDFD18"/>
    <w:rsid w:val="38246CCE"/>
    <w:rsid w:val="38377F79"/>
    <w:rsid w:val="385204C2"/>
    <w:rsid w:val="38CCCDA3"/>
    <w:rsid w:val="38EA26B3"/>
    <w:rsid w:val="3907675A"/>
    <w:rsid w:val="3921B6B7"/>
    <w:rsid w:val="394649F8"/>
    <w:rsid w:val="394D39CA"/>
    <w:rsid w:val="394E22D2"/>
    <w:rsid w:val="39A2E9E7"/>
    <w:rsid w:val="39A7FE88"/>
    <w:rsid w:val="39F0CE28"/>
    <w:rsid w:val="39F869CE"/>
    <w:rsid w:val="3A86A3D2"/>
    <w:rsid w:val="3AA43CC5"/>
    <w:rsid w:val="3AA70908"/>
    <w:rsid w:val="3AA72142"/>
    <w:rsid w:val="3AC7DC1B"/>
    <w:rsid w:val="3B0CECCC"/>
    <w:rsid w:val="3B1AC634"/>
    <w:rsid w:val="3B2C0911"/>
    <w:rsid w:val="3B2F82F1"/>
    <w:rsid w:val="3B34F220"/>
    <w:rsid w:val="3B769CDF"/>
    <w:rsid w:val="3B9C0F4B"/>
    <w:rsid w:val="3BBCE601"/>
    <w:rsid w:val="3BE6602B"/>
    <w:rsid w:val="3C0F03B5"/>
    <w:rsid w:val="3C428922"/>
    <w:rsid w:val="3CA1B2FF"/>
    <w:rsid w:val="3CAF6FDB"/>
    <w:rsid w:val="3CE1AAEC"/>
    <w:rsid w:val="3D451A0E"/>
    <w:rsid w:val="3D48E277"/>
    <w:rsid w:val="3D81402A"/>
    <w:rsid w:val="3D869816"/>
    <w:rsid w:val="3D9208E9"/>
    <w:rsid w:val="3DA7754A"/>
    <w:rsid w:val="3DB5873A"/>
    <w:rsid w:val="3DBDAD1C"/>
    <w:rsid w:val="3DC1DBFC"/>
    <w:rsid w:val="3DFEFF27"/>
    <w:rsid w:val="3E2FA18D"/>
    <w:rsid w:val="3E639076"/>
    <w:rsid w:val="3EADA2F7"/>
    <w:rsid w:val="3ECBB333"/>
    <w:rsid w:val="3EF5CF86"/>
    <w:rsid w:val="3F0780A9"/>
    <w:rsid w:val="3F43230E"/>
    <w:rsid w:val="3F8FF4A3"/>
    <w:rsid w:val="3FD0D66C"/>
    <w:rsid w:val="3FDDE6AB"/>
    <w:rsid w:val="400B6AD6"/>
    <w:rsid w:val="401C46DF"/>
    <w:rsid w:val="40902412"/>
    <w:rsid w:val="4097494F"/>
    <w:rsid w:val="40ABCB21"/>
    <w:rsid w:val="41080C0A"/>
    <w:rsid w:val="413B6FE3"/>
    <w:rsid w:val="4146FD7B"/>
    <w:rsid w:val="41B2ACEF"/>
    <w:rsid w:val="41B35C7B"/>
    <w:rsid w:val="41D3109D"/>
    <w:rsid w:val="41E6AF17"/>
    <w:rsid w:val="42265470"/>
    <w:rsid w:val="4237E792"/>
    <w:rsid w:val="423A7C68"/>
    <w:rsid w:val="423B14B2"/>
    <w:rsid w:val="42449F6C"/>
    <w:rsid w:val="4264A021"/>
    <w:rsid w:val="4285D7B5"/>
    <w:rsid w:val="429B8A04"/>
    <w:rsid w:val="42A65525"/>
    <w:rsid w:val="42B61722"/>
    <w:rsid w:val="42BD9F06"/>
    <w:rsid w:val="42E2E1D3"/>
    <w:rsid w:val="432E9B99"/>
    <w:rsid w:val="436B1B32"/>
    <w:rsid w:val="43761F32"/>
    <w:rsid w:val="43C98D3C"/>
    <w:rsid w:val="43E49898"/>
    <w:rsid w:val="43E64C06"/>
    <w:rsid w:val="43FF6150"/>
    <w:rsid w:val="441588D1"/>
    <w:rsid w:val="441B9329"/>
    <w:rsid w:val="446986D1"/>
    <w:rsid w:val="446B41B6"/>
    <w:rsid w:val="4495F3A9"/>
    <w:rsid w:val="44B4CB31"/>
    <w:rsid w:val="452A48C2"/>
    <w:rsid w:val="45567FAB"/>
    <w:rsid w:val="45806244"/>
    <w:rsid w:val="4593A223"/>
    <w:rsid w:val="45A8297D"/>
    <w:rsid w:val="46384BF5"/>
    <w:rsid w:val="463D4423"/>
    <w:rsid w:val="467E962E"/>
    <w:rsid w:val="469B62AA"/>
    <w:rsid w:val="46FC22CC"/>
    <w:rsid w:val="471BAE22"/>
    <w:rsid w:val="476F08C4"/>
    <w:rsid w:val="478A5193"/>
    <w:rsid w:val="479910EE"/>
    <w:rsid w:val="47A94DBD"/>
    <w:rsid w:val="47B36541"/>
    <w:rsid w:val="47DF98AC"/>
    <w:rsid w:val="47F9C7A4"/>
    <w:rsid w:val="48022E8F"/>
    <w:rsid w:val="480B055F"/>
    <w:rsid w:val="484A4519"/>
    <w:rsid w:val="489C7B21"/>
    <w:rsid w:val="48BC381C"/>
    <w:rsid w:val="4913B82D"/>
    <w:rsid w:val="4925D416"/>
    <w:rsid w:val="4938DE47"/>
    <w:rsid w:val="49536681"/>
    <w:rsid w:val="495C30AD"/>
    <w:rsid w:val="497E82AD"/>
    <w:rsid w:val="4995C65F"/>
    <w:rsid w:val="49C5AB5F"/>
    <w:rsid w:val="4A0F8149"/>
    <w:rsid w:val="4A469AD5"/>
    <w:rsid w:val="4A611B1F"/>
    <w:rsid w:val="4A7412BC"/>
    <w:rsid w:val="4A90ABBD"/>
    <w:rsid w:val="4AA31CB6"/>
    <w:rsid w:val="4AB78BBF"/>
    <w:rsid w:val="4AE9AC11"/>
    <w:rsid w:val="4AF0525E"/>
    <w:rsid w:val="4B193949"/>
    <w:rsid w:val="4B56A180"/>
    <w:rsid w:val="4B57F242"/>
    <w:rsid w:val="4B5F50B1"/>
    <w:rsid w:val="4B691732"/>
    <w:rsid w:val="4B6AB04A"/>
    <w:rsid w:val="4BABE893"/>
    <w:rsid w:val="4BBEB327"/>
    <w:rsid w:val="4BD51603"/>
    <w:rsid w:val="4BE26B36"/>
    <w:rsid w:val="4BE44661"/>
    <w:rsid w:val="4C8DB4CE"/>
    <w:rsid w:val="4CC1B7B8"/>
    <w:rsid w:val="4CEFBDDD"/>
    <w:rsid w:val="4CFC1C74"/>
    <w:rsid w:val="4D03EC20"/>
    <w:rsid w:val="4D0E368B"/>
    <w:rsid w:val="4D7E3B97"/>
    <w:rsid w:val="4DB545DB"/>
    <w:rsid w:val="4DCB62F5"/>
    <w:rsid w:val="4DCDC8C1"/>
    <w:rsid w:val="4DDADC0F"/>
    <w:rsid w:val="4DDF87AA"/>
    <w:rsid w:val="4DEB102D"/>
    <w:rsid w:val="4DEBAED7"/>
    <w:rsid w:val="4DF2523E"/>
    <w:rsid w:val="4DF7583A"/>
    <w:rsid w:val="4DF79AD9"/>
    <w:rsid w:val="4DFFEC0B"/>
    <w:rsid w:val="4E445249"/>
    <w:rsid w:val="4E64644B"/>
    <w:rsid w:val="4E7B5DE9"/>
    <w:rsid w:val="4E7F75BC"/>
    <w:rsid w:val="4EFAEB4A"/>
    <w:rsid w:val="4F0BF4B6"/>
    <w:rsid w:val="4F0E902F"/>
    <w:rsid w:val="4F0EB5D7"/>
    <w:rsid w:val="4F9415B2"/>
    <w:rsid w:val="4F9EB1C5"/>
    <w:rsid w:val="4FBD8899"/>
    <w:rsid w:val="4FCB9042"/>
    <w:rsid w:val="4FE79D11"/>
    <w:rsid w:val="4FEA6557"/>
    <w:rsid w:val="501EB9DE"/>
    <w:rsid w:val="503447EF"/>
    <w:rsid w:val="50484CE0"/>
    <w:rsid w:val="505A76BB"/>
    <w:rsid w:val="505BAA0F"/>
    <w:rsid w:val="506B6B82"/>
    <w:rsid w:val="50814B2F"/>
    <w:rsid w:val="50CC6B2C"/>
    <w:rsid w:val="50DD458D"/>
    <w:rsid w:val="50FC90D7"/>
    <w:rsid w:val="511E7E7A"/>
    <w:rsid w:val="513707A6"/>
    <w:rsid w:val="515F5172"/>
    <w:rsid w:val="51801F8C"/>
    <w:rsid w:val="51869C51"/>
    <w:rsid w:val="51B399D3"/>
    <w:rsid w:val="51BAD14A"/>
    <w:rsid w:val="51BBD143"/>
    <w:rsid w:val="51CF2989"/>
    <w:rsid w:val="51EF2237"/>
    <w:rsid w:val="51F41AE6"/>
    <w:rsid w:val="5219C856"/>
    <w:rsid w:val="523547BF"/>
    <w:rsid w:val="524C9779"/>
    <w:rsid w:val="52614B21"/>
    <w:rsid w:val="52B33839"/>
    <w:rsid w:val="52BE08AC"/>
    <w:rsid w:val="534F7E6E"/>
    <w:rsid w:val="5375B139"/>
    <w:rsid w:val="53784E86"/>
    <w:rsid w:val="5381DD9A"/>
    <w:rsid w:val="538401D5"/>
    <w:rsid w:val="53A1CC16"/>
    <w:rsid w:val="53AEF4DE"/>
    <w:rsid w:val="53CE762F"/>
    <w:rsid w:val="53EB197B"/>
    <w:rsid w:val="53EE782C"/>
    <w:rsid w:val="541BBE50"/>
    <w:rsid w:val="541BF121"/>
    <w:rsid w:val="54521AC6"/>
    <w:rsid w:val="547AA85C"/>
    <w:rsid w:val="548530B0"/>
    <w:rsid w:val="549DD7B7"/>
    <w:rsid w:val="54C1B641"/>
    <w:rsid w:val="54C2594C"/>
    <w:rsid w:val="54CF0419"/>
    <w:rsid w:val="54EAA31D"/>
    <w:rsid w:val="54F8B4C7"/>
    <w:rsid w:val="552CE2CC"/>
    <w:rsid w:val="5535E356"/>
    <w:rsid w:val="5537D17C"/>
    <w:rsid w:val="555DBE02"/>
    <w:rsid w:val="5564FAFB"/>
    <w:rsid w:val="55FA8D62"/>
    <w:rsid w:val="55FD2C38"/>
    <w:rsid w:val="562CBF85"/>
    <w:rsid w:val="564BFEF3"/>
    <w:rsid w:val="5651E25B"/>
    <w:rsid w:val="568E8F2A"/>
    <w:rsid w:val="568F7DFA"/>
    <w:rsid w:val="56921FB0"/>
    <w:rsid w:val="56D5D3AA"/>
    <w:rsid w:val="56F5A1B8"/>
    <w:rsid w:val="571A69CC"/>
    <w:rsid w:val="5732C8EA"/>
    <w:rsid w:val="574A5CA6"/>
    <w:rsid w:val="575B8142"/>
    <w:rsid w:val="576AF3D8"/>
    <w:rsid w:val="57794B92"/>
    <w:rsid w:val="57F09FD2"/>
    <w:rsid w:val="57FC04FF"/>
    <w:rsid w:val="58061D88"/>
    <w:rsid w:val="582E32A4"/>
    <w:rsid w:val="58309E93"/>
    <w:rsid w:val="583165E2"/>
    <w:rsid w:val="58336839"/>
    <w:rsid w:val="5835E72E"/>
    <w:rsid w:val="584A8749"/>
    <w:rsid w:val="588F91C5"/>
    <w:rsid w:val="58D6A574"/>
    <w:rsid w:val="58D7DEF0"/>
    <w:rsid w:val="58F07772"/>
    <w:rsid w:val="58F1D45E"/>
    <w:rsid w:val="5903BBB8"/>
    <w:rsid w:val="5912976C"/>
    <w:rsid w:val="592EFE4B"/>
    <w:rsid w:val="599F7172"/>
    <w:rsid w:val="59D86FA4"/>
    <w:rsid w:val="59DDD596"/>
    <w:rsid w:val="5A0F6DA5"/>
    <w:rsid w:val="5A3008B1"/>
    <w:rsid w:val="5A450CC6"/>
    <w:rsid w:val="5A51444D"/>
    <w:rsid w:val="5A698645"/>
    <w:rsid w:val="5A98AB26"/>
    <w:rsid w:val="5AA8EBC4"/>
    <w:rsid w:val="5AC29457"/>
    <w:rsid w:val="5AE6A77E"/>
    <w:rsid w:val="5AEB6CDB"/>
    <w:rsid w:val="5AEB869D"/>
    <w:rsid w:val="5B3E79F6"/>
    <w:rsid w:val="5B447345"/>
    <w:rsid w:val="5B4F79B6"/>
    <w:rsid w:val="5B965D0F"/>
    <w:rsid w:val="5B9D92DE"/>
    <w:rsid w:val="5BB7CCAF"/>
    <w:rsid w:val="5C121705"/>
    <w:rsid w:val="5C35908B"/>
    <w:rsid w:val="5C391966"/>
    <w:rsid w:val="5C7382BC"/>
    <w:rsid w:val="5C73CCBE"/>
    <w:rsid w:val="5C885418"/>
    <w:rsid w:val="5C8BC62B"/>
    <w:rsid w:val="5C8CFFB3"/>
    <w:rsid w:val="5CC07E62"/>
    <w:rsid w:val="5D057551"/>
    <w:rsid w:val="5D23B45C"/>
    <w:rsid w:val="5D4B72F7"/>
    <w:rsid w:val="5D6D7D40"/>
    <w:rsid w:val="5D73B27A"/>
    <w:rsid w:val="5DA401A2"/>
    <w:rsid w:val="5DCA1840"/>
    <w:rsid w:val="5E21DFA8"/>
    <w:rsid w:val="5E48865B"/>
    <w:rsid w:val="5E4ACD6D"/>
    <w:rsid w:val="5E4BB763"/>
    <w:rsid w:val="5E6274E6"/>
    <w:rsid w:val="5E97E850"/>
    <w:rsid w:val="5EDE16B1"/>
    <w:rsid w:val="5EE23E00"/>
    <w:rsid w:val="5EF07895"/>
    <w:rsid w:val="5F100C61"/>
    <w:rsid w:val="5F3026E9"/>
    <w:rsid w:val="5F5D246B"/>
    <w:rsid w:val="5F72B073"/>
    <w:rsid w:val="5FD99618"/>
    <w:rsid w:val="5FDEEFF3"/>
    <w:rsid w:val="5FE72FE5"/>
    <w:rsid w:val="6029A4DA"/>
    <w:rsid w:val="602ACBE1"/>
    <w:rsid w:val="602C26D4"/>
    <w:rsid w:val="6060BEB5"/>
    <w:rsid w:val="60998920"/>
    <w:rsid w:val="609A75AE"/>
    <w:rsid w:val="60B1C781"/>
    <w:rsid w:val="60C49B7E"/>
    <w:rsid w:val="60F73339"/>
    <w:rsid w:val="60FF0B3C"/>
    <w:rsid w:val="6151152E"/>
    <w:rsid w:val="6198CE78"/>
    <w:rsid w:val="61A9402D"/>
    <w:rsid w:val="61FDC3DD"/>
    <w:rsid w:val="62432030"/>
    <w:rsid w:val="6259E6D3"/>
    <w:rsid w:val="625C2054"/>
    <w:rsid w:val="625DF207"/>
    <w:rsid w:val="6263F09F"/>
    <w:rsid w:val="62645D9C"/>
    <w:rsid w:val="628CDC7C"/>
    <w:rsid w:val="635B5BA7"/>
    <w:rsid w:val="636FC565"/>
    <w:rsid w:val="6372224A"/>
    <w:rsid w:val="63985F77"/>
    <w:rsid w:val="639F1FCC"/>
    <w:rsid w:val="63E70F5E"/>
    <w:rsid w:val="64302A97"/>
    <w:rsid w:val="6446CB1D"/>
    <w:rsid w:val="6469A732"/>
    <w:rsid w:val="6473C68F"/>
    <w:rsid w:val="649362D9"/>
    <w:rsid w:val="649B5288"/>
    <w:rsid w:val="64D97F49"/>
    <w:rsid w:val="64F1CB59"/>
    <w:rsid w:val="6504C2F6"/>
    <w:rsid w:val="6509E176"/>
    <w:rsid w:val="6514CEDD"/>
    <w:rsid w:val="65337EF6"/>
    <w:rsid w:val="653D998B"/>
    <w:rsid w:val="6541CC5F"/>
    <w:rsid w:val="65725175"/>
    <w:rsid w:val="6590F01D"/>
    <w:rsid w:val="6596B573"/>
    <w:rsid w:val="65A12ED5"/>
    <w:rsid w:val="65C6A84D"/>
    <w:rsid w:val="65C70649"/>
    <w:rsid w:val="65EC8FF6"/>
    <w:rsid w:val="662877C8"/>
    <w:rsid w:val="6674F69B"/>
    <w:rsid w:val="66854E62"/>
    <w:rsid w:val="66945A50"/>
    <w:rsid w:val="66967AC2"/>
    <w:rsid w:val="66E631BE"/>
    <w:rsid w:val="66FF94A0"/>
    <w:rsid w:val="67064EC1"/>
    <w:rsid w:val="67129C02"/>
    <w:rsid w:val="6754F5A9"/>
    <w:rsid w:val="675609D5"/>
    <w:rsid w:val="6756C6BF"/>
    <w:rsid w:val="677F1BB4"/>
    <w:rsid w:val="67905A3B"/>
    <w:rsid w:val="67AC95C7"/>
    <w:rsid w:val="67B08B18"/>
    <w:rsid w:val="67F6D551"/>
    <w:rsid w:val="6807A89D"/>
    <w:rsid w:val="682777B7"/>
    <w:rsid w:val="6833DEBA"/>
    <w:rsid w:val="685604F6"/>
    <w:rsid w:val="685F34DD"/>
    <w:rsid w:val="686B090B"/>
    <w:rsid w:val="687037E4"/>
    <w:rsid w:val="688BEFF7"/>
    <w:rsid w:val="68A42C4C"/>
    <w:rsid w:val="68A895B2"/>
    <w:rsid w:val="68B7EA86"/>
    <w:rsid w:val="68CDEAD0"/>
    <w:rsid w:val="68DD4DE9"/>
    <w:rsid w:val="691238F1"/>
    <w:rsid w:val="6943A0A2"/>
    <w:rsid w:val="696F7337"/>
    <w:rsid w:val="6991C0C5"/>
    <w:rsid w:val="69D0AC35"/>
    <w:rsid w:val="69D128F0"/>
    <w:rsid w:val="6A1DA7C3"/>
    <w:rsid w:val="6A1ED0BB"/>
    <w:rsid w:val="6A3D580B"/>
    <w:rsid w:val="6A40D0E2"/>
    <w:rsid w:val="6A5BAC54"/>
    <w:rsid w:val="6A611BDA"/>
    <w:rsid w:val="6A69BB31"/>
    <w:rsid w:val="6A6A7329"/>
    <w:rsid w:val="6A6C4A76"/>
    <w:rsid w:val="6A932FC2"/>
    <w:rsid w:val="6A96241F"/>
    <w:rsid w:val="6AA2BC00"/>
    <w:rsid w:val="6AC76385"/>
    <w:rsid w:val="6B17873C"/>
    <w:rsid w:val="6B21CA5B"/>
    <w:rsid w:val="6B301DE4"/>
    <w:rsid w:val="6B30A609"/>
    <w:rsid w:val="6B3B28B6"/>
    <w:rsid w:val="6B4E3506"/>
    <w:rsid w:val="6B81B939"/>
    <w:rsid w:val="6C3F33F9"/>
    <w:rsid w:val="6C46B325"/>
    <w:rsid w:val="6C82733C"/>
    <w:rsid w:val="6CAE9CD8"/>
    <w:rsid w:val="6CDCF746"/>
    <w:rsid w:val="6CDD4BFA"/>
    <w:rsid w:val="6CE1EF74"/>
    <w:rsid w:val="6CFAE8DA"/>
    <w:rsid w:val="6D811812"/>
    <w:rsid w:val="6D8131D4"/>
    <w:rsid w:val="6D94E29F"/>
    <w:rsid w:val="6D977082"/>
    <w:rsid w:val="6DB33126"/>
    <w:rsid w:val="6DDE3370"/>
    <w:rsid w:val="6DF03890"/>
    <w:rsid w:val="6E0E2698"/>
    <w:rsid w:val="6E3D0265"/>
    <w:rsid w:val="6E3F8B56"/>
    <w:rsid w:val="6E5784C3"/>
    <w:rsid w:val="6EA1410F"/>
    <w:rsid w:val="6F2AC94B"/>
    <w:rsid w:val="6F7B5357"/>
    <w:rsid w:val="6FA371BA"/>
    <w:rsid w:val="6FA6DF8A"/>
    <w:rsid w:val="6FC031EC"/>
    <w:rsid w:val="6FF5027D"/>
    <w:rsid w:val="701CF7FC"/>
    <w:rsid w:val="704E91A2"/>
    <w:rsid w:val="7073442F"/>
    <w:rsid w:val="707EBD8A"/>
    <w:rsid w:val="70B42173"/>
    <w:rsid w:val="70E91055"/>
    <w:rsid w:val="710D3DF4"/>
    <w:rsid w:val="71319DB1"/>
    <w:rsid w:val="7148CFE9"/>
    <w:rsid w:val="7176AE62"/>
    <w:rsid w:val="71971210"/>
    <w:rsid w:val="71C768CC"/>
    <w:rsid w:val="7218300B"/>
    <w:rsid w:val="7242BA18"/>
    <w:rsid w:val="725BF046"/>
    <w:rsid w:val="725F988D"/>
    <w:rsid w:val="7260CBDE"/>
    <w:rsid w:val="7261EC57"/>
    <w:rsid w:val="7296FCA3"/>
    <w:rsid w:val="72A3986F"/>
    <w:rsid w:val="72A6E346"/>
    <w:rsid w:val="72AC09AF"/>
    <w:rsid w:val="7343C371"/>
    <w:rsid w:val="73508546"/>
    <w:rsid w:val="7409AFEF"/>
    <w:rsid w:val="74338709"/>
    <w:rsid w:val="7472531A"/>
    <w:rsid w:val="749FEB0E"/>
    <w:rsid w:val="74B11FA6"/>
    <w:rsid w:val="74C70BC6"/>
    <w:rsid w:val="74D5BD00"/>
    <w:rsid w:val="754DC6B5"/>
    <w:rsid w:val="756AD7A6"/>
    <w:rsid w:val="75A6479F"/>
    <w:rsid w:val="75B87D5F"/>
    <w:rsid w:val="75FD5045"/>
    <w:rsid w:val="761B0B2E"/>
    <w:rsid w:val="76512ADA"/>
    <w:rsid w:val="766B7E19"/>
    <w:rsid w:val="76751CB0"/>
    <w:rsid w:val="767AEC73"/>
    <w:rsid w:val="768245F5"/>
    <w:rsid w:val="76BABCA0"/>
    <w:rsid w:val="76C461EF"/>
    <w:rsid w:val="76FB8F79"/>
    <w:rsid w:val="76FC88D0"/>
    <w:rsid w:val="77603A8A"/>
    <w:rsid w:val="7785B028"/>
    <w:rsid w:val="77B604AF"/>
    <w:rsid w:val="77DE6FB0"/>
    <w:rsid w:val="7871DA70"/>
    <w:rsid w:val="78BD6CF0"/>
    <w:rsid w:val="7921B25F"/>
    <w:rsid w:val="7934A9FC"/>
    <w:rsid w:val="79692F62"/>
    <w:rsid w:val="79755270"/>
    <w:rsid w:val="79781AD0"/>
    <w:rsid w:val="797BE034"/>
    <w:rsid w:val="798141DE"/>
    <w:rsid w:val="798CA22A"/>
    <w:rsid w:val="79AE0C8F"/>
    <w:rsid w:val="79B0C842"/>
    <w:rsid w:val="7A07F68E"/>
    <w:rsid w:val="7A37C79C"/>
    <w:rsid w:val="7A660A20"/>
    <w:rsid w:val="7A77C283"/>
    <w:rsid w:val="7ABD09DF"/>
    <w:rsid w:val="7ADE0F5E"/>
    <w:rsid w:val="7AEA2E1C"/>
    <w:rsid w:val="7AEB1CDD"/>
    <w:rsid w:val="7B0BA9EE"/>
    <w:rsid w:val="7B0F2CC3"/>
    <w:rsid w:val="7B19E6DC"/>
    <w:rsid w:val="7B42B5D9"/>
    <w:rsid w:val="7B9D3A5A"/>
    <w:rsid w:val="7BC7FB65"/>
    <w:rsid w:val="7C2E901B"/>
    <w:rsid w:val="7C324EC1"/>
    <w:rsid w:val="7C3EB5C4"/>
    <w:rsid w:val="7C9B734F"/>
    <w:rsid w:val="7CA5860D"/>
    <w:rsid w:val="7CA865DA"/>
    <w:rsid w:val="7CD0DB12"/>
    <w:rsid w:val="7CF499B9"/>
    <w:rsid w:val="7D30227A"/>
    <w:rsid w:val="7D6183AC"/>
    <w:rsid w:val="7D6362C0"/>
    <w:rsid w:val="7DA1AFD2"/>
    <w:rsid w:val="7DE37D46"/>
    <w:rsid w:val="7DE9507D"/>
    <w:rsid w:val="7E02D284"/>
    <w:rsid w:val="7E61CEC4"/>
    <w:rsid w:val="7E8C8D91"/>
    <w:rsid w:val="7E9A5A2F"/>
    <w:rsid w:val="7ED81183"/>
    <w:rsid w:val="7EE4F8B2"/>
    <w:rsid w:val="7F022BCB"/>
    <w:rsid w:val="7F1BF6DB"/>
    <w:rsid w:val="7F7D6001"/>
    <w:rsid w:val="7F7DC7BC"/>
    <w:rsid w:val="7F961BE8"/>
    <w:rsid w:val="7F98AC99"/>
    <w:rsid w:val="7FA823DE"/>
    <w:rsid w:val="7FBE6A14"/>
    <w:rsid w:val="7FDA6A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346C69"/>
  <w15:chartTrackingRefBased/>
  <w15:docId w15:val="{944D054E-EAB6-4D17-868D-1901B4AB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7BA"/>
    <w:rPr>
      <w:rFonts w:ascii="Times New Roman" w:hAnsi="Times New Roman"/>
    </w:rPr>
  </w:style>
  <w:style w:type="paragraph" w:styleId="Heading1">
    <w:name w:val="heading 1"/>
    <w:basedOn w:val="Normal"/>
    <w:next w:val="Normal"/>
    <w:link w:val="Heading1Char"/>
    <w:uiPriority w:val="9"/>
    <w:qFormat/>
    <w:rsid w:val="009D56D9"/>
    <w:pPr>
      <w:outlineLvl w:val="0"/>
    </w:pPr>
    <w:rPr>
      <w:b/>
      <w:sz w:val="28"/>
      <w:szCs w:val="28"/>
      <w:u w:val="single"/>
    </w:rPr>
  </w:style>
  <w:style w:type="paragraph" w:styleId="Heading2">
    <w:name w:val="heading 2"/>
    <w:basedOn w:val="Normal"/>
    <w:next w:val="Normal"/>
    <w:link w:val="Heading2Char"/>
    <w:autoRedefine/>
    <w:uiPriority w:val="9"/>
    <w:unhideWhenUsed/>
    <w:qFormat/>
    <w:rsid w:val="00744E34"/>
    <w:pPr>
      <w:keepNext/>
      <w:keepLines/>
      <w:spacing w:before="40" w:after="0"/>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127E52"/>
    <w:pPr>
      <w:keepNext/>
      <w:keepLines/>
      <w:spacing w:before="40" w:after="0"/>
      <w:outlineLvl w:val="2"/>
    </w:pPr>
    <w:rPr>
      <w:rFonts w:eastAsiaTheme="majorEastAsia" w:cstheme="majorBidi"/>
      <w:i/>
      <w:color w:val="0D0D0D" w:themeColor="text1" w:themeTint="F2"/>
      <w:sz w:val="24"/>
      <w:szCs w:val="24"/>
    </w:rPr>
  </w:style>
  <w:style w:type="paragraph" w:styleId="Heading4">
    <w:name w:val="heading 4"/>
    <w:basedOn w:val="Normal"/>
    <w:next w:val="Normal"/>
    <w:link w:val="Heading4Char"/>
    <w:autoRedefine/>
    <w:uiPriority w:val="9"/>
    <w:unhideWhenUsed/>
    <w:qFormat/>
    <w:rsid w:val="006E7DCB"/>
    <w:pPr>
      <w:keepNext/>
      <w:keepLines/>
      <w:spacing w:before="40" w:after="0"/>
      <w:outlineLvl w:val="3"/>
    </w:pPr>
    <w:rPr>
      <w:iCs/>
      <w:u w:val="single"/>
    </w:rPr>
  </w:style>
  <w:style w:type="paragraph" w:styleId="Heading5">
    <w:name w:val="heading 5"/>
    <w:basedOn w:val="Normal"/>
    <w:next w:val="Normal"/>
    <w:link w:val="Heading5Char"/>
    <w:uiPriority w:val="9"/>
    <w:semiHidden/>
    <w:unhideWhenUsed/>
    <w:qFormat/>
    <w:rsid w:val="0079648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796489"/>
    <w:pPr>
      <w:keepNext/>
      <w:keepLines/>
      <w:spacing w:before="40" w:after="0"/>
      <w:outlineLvl w:val="5"/>
    </w:pPr>
  </w:style>
  <w:style w:type="paragraph" w:styleId="Heading7">
    <w:name w:val="heading 7"/>
    <w:basedOn w:val="Normal"/>
    <w:next w:val="Normal"/>
    <w:link w:val="Heading7Char"/>
    <w:uiPriority w:val="9"/>
    <w:semiHidden/>
    <w:unhideWhenUsed/>
    <w:qFormat/>
    <w:rsid w:val="0079648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648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79648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4E34"/>
    <w:rPr>
      <w:rFonts w:ascii="Times New Roman" w:hAnsi="Times New Roman" w:eastAsiaTheme="majorEastAsia" w:cstheme="majorBidi"/>
      <w:b/>
      <w:sz w:val="24"/>
      <w:szCs w:val="28"/>
    </w:rPr>
  </w:style>
  <w:style w:type="paragraph" w:styleId="BodyTextIndent">
    <w:name w:val="Body Text Indent"/>
    <w:basedOn w:val="Normal"/>
    <w:link w:val="BodyTextIndentChar"/>
    <w:rsid w:val="00C67898"/>
    <w:pPr>
      <w:ind w:left="1440"/>
    </w:pPr>
  </w:style>
  <w:style w:type="character" w:customStyle="1" w:styleId="BodyTextIndentChar">
    <w:name w:val="Body Text Indent Char"/>
    <w:basedOn w:val="DefaultParagraphFont"/>
    <w:link w:val="BodyTextIndent"/>
    <w:rsid w:val="00C67898"/>
    <w:rPr>
      <w:rFonts w:ascii="Times New Roman" w:eastAsia="Times New Roman" w:hAnsi="Times New Roman" w:cs="Times New Roman"/>
      <w:snapToGrid w:val="0"/>
      <w:sz w:val="24"/>
      <w:szCs w:val="20"/>
    </w:rPr>
  </w:style>
  <w:style w:type="paragraph" w:customStyle="1" w:styleId="Level1">
    <w:name w:val="Level 1"/>
    <w:basedOn w:val="Normal"/>
    <w:rsid w:val="00C67898"/>
    <w:pPr>
      <w:numPr>
        <w:numId w:val="1"/>
      </w:numPr>
      <w:ind w:left="474" w:hanging="186"/>
      <w:outlineLvl w:val="0"/>
    </w:pPr>
  </w:style>
  <w:style w:type="paragraph" w:customStyle="1" w:styleId="Level2">
    <w:name w:val="Level 2"/>
    <w:basedOn w:val="Normal"/>
    <w:rsid w:val="00C67898"/>
    <w:pPr>
      <w:ind w:left="722" w:hanging="361"/>
    </w:pPr>
  </w:style>
  <w:style w:type="paragraph" w:styleId="BodyTextIndent2">
    <w:name w:val="Body Text Indent 2"/>
    <w:basedOn w:val="Normal"/>
    <w:link w:val="BodyTextIndent2Char"/>
    <w:rsid w:val="00C678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i/>
    </w:rPr>
  </w:style>
  <w:style w:type="character" w:customStyle="1" w:styleId="BodyTextIndent2Char">
    <w:name w:val="Body Text Indent 2 Char"/>
    <w:basedOn w:val="DefaultParagraphFont"/>
    <w:link w:val="BodyTextIndent2"/>
    <w:rsid w:val="00C67898"/>
    <w:rPr>
      <w:rFonts w:ascii="Times New Roman" w:eastAsia="Times New Roman" w:hAnsi="Times New Roman" w:cs="Times New Roman"/>
      <w:i/>
      <w:snapToGrid w:val="0"/>
      <w:sz w:val="24"/>
      <w:szCs w:val="20"/>
    </w:rPr>
  </w:style>
  <w:style w:type="paragraph" w:styleId="BodyText">
    <w:name w:val="Body Text"/>
    <w:basedOn w:val="Normal"/>
    <w:link w:val="BodyTextChar"/>
    <w:rsid w:val="00C67898"/>
    <w:rPr>
      <w:i/>
    </w:rPr>
  </w:style>
  <w:style w:type="character" w:customStyle="1" w:styleId="BodyTextChar">
    <w:name w:val="Body Text Char"/>
    <w:basedOn w:val="DefaultParagraphFont"/>
    <w:link w:val="BodyText"/>
    <w:rsid w:val="00C67898"/>
    <w:rPr>
      <w:rFonts w:ascii="Courier" w:eastAsia="Times New Roman" w:hAnsi="Courier" w:cs="Times New Roman"/>
      <w:i/>
      <w:snapToGrid w:val="0"/>
      <w:sz w:val="24"/>
      <w:szCs w:val="20"/>
    </w:rPr>
  </w:style>
  <w:style w:type="paragraph" w:styleId="BodyTextIndent3">
    <w:name w:val="Body Text Indent 3"/>
    <w:basedOn w:val="Normal"/>
    <w:link w:val="BodyTextIndent3Char"/>
    <w:rsid w:val="00C678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rsid w:val="00C67898"/>
    <w:rPr>
      <w:rFonts w:ascii="Courier" w:eastAsia="Times New Roman" w:hAnsi="Courier" w:cs="Times New Roman"/>
      <w:i/>
      <w:snapToGrid w:val="0"/>
      <w:sz w:val="24"/>
      <w:szCs w:val="20"/>
    </w:rPr>
  </w:style>
  <w:style w:type="table" w:styleId="TableGrid">
    <w:name w:val="Table Grid"/>
    <w:basedOn w:val="TableNormal"/>
    <w:uiPriority w:val="39"/>
    <w:rsid w:val="00C67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A49"/>
    <w:pPr>
      <w:spacing w:before="120" w:after="120"/>
      <w:ind w:left="720"/>
    </w:pPr>
  </w:style>
  <w:style w:type="paragraph" w:styleId="NoSpacing">
    <w:name w:val="No Spacing"/>
    <w:uiPriority w:val="1"/>
    <w:qFormat/>
    <w:rsid w:val="00932284"/>
    <w:pPr>
      <w:spacing w:after="0" w:line="240" w:lineRule="auto"/>
    </w:pPr>
    <w:rPr>
      <w:rFonts w:ascii="Times New Roman" w:hAnsi="Times New Roman"/>
    </w:rPr>
  </w:style>
  <w:style w:type="paragraph" w:styleId="FootnoteText">
    <w:name w:val="footnote text"/>
    <w:basedOn w:val="Normal"/>
    <w:link w:val="FootnoteTextChar"/>
    <w:uiPriority w:val="99"/>
    <w:semiHidden/>
    <w:unhideWhenUsed/>
    <w:rsid w:val="008F2F6D"/>
    <w:rPr>
      <w:sz w:val="20"/>
    </w:rPr>
  </w:style>
  <w:style w:type="character" w:customStyle="1" w:styleId="FootnoteTextChar">
    <w:name w:val="Footnote Text Char"/>
    <w:basedOn w:val="DefaultParagraphFont"/>
    <w:link w:val="FootnoteText"/>
    <w:uiPriority w:val="99"/>
    <w:semiHidden/>
    <w:rsid w:val="008F2F6D"/>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8F2F6D"/>
    <w:rPr>
      <w:vertAlign w:val="superscript"/>
    </w:rPr>
  </w:style>
  <w:style w:type="paragraph" w:styleId="BalloonText">
    <w:name w:val="Balloon Text"/>
    <w:basedOn w:val="Normal"/>
    <w:link w:val="BalloonTextChar"/>
    <w:uiPriority w:val="99"/>
    <w:semiHidden/>
    <w:unhideWhenUsed/>
    <w:rsid w:val="00DD5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B7"/>
    <w:rPr>
      <w:rFonts w:ascii="Segoe UI" w:eastAsia="Times New Roman" w:hAnsi="Segoe UI" w:cs="Segoe UI"/>
      <w:snapToGrid w:val="0"/>
      <w:sz w:val="18"/>
      <w:szCs w:val="18"/>
    </w:rPr>
  </w:style>
  <w:style w:type="paragraph" w:styleId="EndnoteText">
    <w:name w:val="endnote text"/>
    <w:basedOn w:val="Normal"/>
    <w:link w:val="EndnoteTextChar"/>
    <w:uiPriority w:val="99"/>
    <w:semiHidden/>
    <w:unhideWhenUsed/>
    <w:rsid w:val="00B050B3"/>
    <w:rPr>
      <w:sz w:val="20"/>
    </w:rPr>
  </w:style>
  <w:style w:type="character" w:customStyle="1" w:styleId="EndnoteTextChar">
    <w:name w:val="Endnote Text Char"/>
    <w:basedOn w:val="DefaultParagraphFont"/>
    <w:link w:val="EndnoteText"/>
    <w:uiPriority w:val="99"/>
    <w:semiHidden/>
    <w:rsid w:val="00B050B3"/>
    <w:rPr>
      <w:rFonts w:ascii="Courier" w:eastAsia="Times New Roman" w:hAnsi="Courier" w:cs="Times New Roman"/>
      <w:snapToGrid w:val="0"/>
      <w:sz w:val="20"/>
      <w:szCs w:val="20"/>
    </w:rPr>
  </w:style>
  <w:style w:type="character" w:styleId="EndnoteReference">
    <w:name w:val="endnote reference"/>
    <w:basedOn w:val="DefaultParagraphFont"/>
    <w:uiPriority w:val="99"/>
    <w:semiHidden/>
    <w:unhideWhenUsed/>
    <w:rsid w:val="00B050B3"/>
    <w:rPr>
      <w:vertAlign w:val="superscript"/>
    </w:rPr>
  </w:style>
  <w:style w:type="character" w:styleId="CommentReference">
    <w:name w:val="annotation reference"/>
    <w:basedOn w:val="DefaultParagraphFont"/>
    <w:uiPriority w:val="99"/>
    <w:semiHidden/>
    <w:unhideWhenUsed/>
    <w:rsid w:val="0012397F"/>
    <w:rPr>
      <w:sz w:val="16"/>
      <w:szCs w:val="16"/>
    </w:rPr>
  </w:style>
  <w:style w:type="paragraph" w:styleId="CommentText">
    <w:name w:val="annotation text"/>
    <w:basedOn w:val="Normal"/>
    <w:link w:val="CommentTextChar"/>
    <w:uiPriority w:val="99"/>
    <w:semiHidden/>
    <w:unhideWhenUsed/>
    <w:rsid w:val="0012397F"/>
    <w:rPr>
      <w:sz w:val="20"/>
    </w:rPr>
  </w:style>
  <w:style w:type="character" w:customStyle="1" w:styleId="CommentTextChar">
    <w:name w:val="Comment Text Char"/>
    <w:basedOn w:val="DefaultParagraphFont"/>
    <w:link w:val="CommentText"/>
    <w:uiPriority w:val="99"/>
    <w:semiHidden/>
    <w:rsid w:val="0012397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2397F"/>
    <w:rPr>
      <w:b/>
      <w:bCs/>
    </w:rPr>
  </w:style>
  <w:style w:type="character" w:customStyle="1" w:styleId="CommentSubjectChar">
    <w:name w:val="Comment Subject Char"/>
    <w:basedOn w:val="CommentTextChar"/>
    <w:link w:val="CommentSubject"/>
    <w:uiPriority w:val="99"/>
    <w:semiHidden/>
    <w:rsid w:val="0012397F"/>
    <w:rPr>
      <w:rFonts w:ascii="Courier" w:eastAsia="Times New Roman" w:hAnsi="Courier" w:cs="Times New Roman"/>
      <w:b/>
      <w:bCs/>
      <w:snapToGrid w:val="0"/>
      <w:sz w:val="20"/>
      <w:szCs w:val="20"/>
    </w:rPr>
  </w:style>
  <w:style w:type="character" w:styleId="Hyperlink">
    <w:name w:val="Hyperlink"/>
    <w:basedOn w:val="DefaultParagraphFont"/>
    <w:uiPriority w:val="99"/>
    <w:unhideWhenUsed/>
    <w:rsid w:val="00C50F70"/>
    <w:rPr>
      <w:color w:val="0563C1" w:themeColor="hyperlink"/>
      <w:sz w:val="22"/>
      <w:u w:val="single"/>
    </w:rPr>
  </w:style>
  <w:style w:type="character" w:styleId="FollowedHyperlink">
    <w:name w:val="FollowedHyperlink"/>
    <w:basedOn w:val="DefaultParagraphFont"/>
    <w:uiPriority w:val="99"/>
    <w:semiHidden/>
    <w:unhideWhenUsed/>
    <w:rsid w:val="00342D65"/>
    <w:rPr>
      <w:color w:val="954F72" w:themeColor="followedHyperlink"/>
      <w:u w:val="single"/>
    </w:rPr>
  </w:style>
  <w:style w:type="character" w:customStyle="1" w:styleId="Heading4Char">
    <w:name w:val="Heading 4 Char"/>
    <w:basedOn w:val="DefaultParagraphFont"/>
    <w:link w:val="Heading4"/>
    <w:uiPriority w:val="9"/>
    <w:rsid w:val="006E7DCB"/>
    <w:rPr>
      <w:rFonts w:ascii="Times New Roman" w:hAnsi="Times New Roman"/>
      <w:iCs/>
      <w:u w:val="single"/>
    </w:rPr>
  </w:style>
  <w:style w:type="paragraph" w:styleId="Header">
    <w:name w:val="header"/>
    <w:basedOn w:val="Normal"/>
    <w:link w:val="HeaderChar"/>
    <w:uiPriority w:val="99"/>
    <w:unhideWhenUsed/>
    <w:rsid w:val="00115A20"/>
    <w:pPr>
      <w:tabs>
        <w:tab w:val="center" w:pos="4680"/>
        <w:tab w:val="right" w:pos="9360"/>
      </w:tabs>
    </w:pPr>
  </w:style>
  <w:style w:type="character" w:customStyle="1" w:styleId="HeaderChar">
    <w:name w:val="Header Char"/>
    <w:basedOn w:val="DefaultParagraphFont"/>
    <w:link w:val="Header"/>
    <w:uiPriority w:val="99"/>
    <w:rsid w:val="00115A2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15A20"/>
    <w:pPr>
      <w:tabs>
        <w:tab w:val="center" w:pos="4680"/>
        <w:tab w:val="right" w:pos="9360"/>
      </w:tabs>
    </w:pPr>
  </w:style>
  <w:style w:type="character" w:customStyle="1" w:styleId="FooterChar">
    <w:name w:val="Footer Char"/>
    <w:basedOn w:val="DefaultParagraphFont"/>
    <w:link w:val="Footer"/>
    <w:uiPriority w:val="99"/>
    <w:rsid w:val="00115A20"/>
    <w:rPr>
      <w:rFonts w:ascii="Courier" w:eastAsia="Times New Roman" w:hAnsi="Courier" w:cs="Times New Roman"/>
      <w:snapToGrid w:val="0"/>
      <w:sz w:val="24"/>
      <w:szCs w:val="20"/>
    </w:rPr>
  </w:style>
  <w:style w:type="paragraph" w:styleId="Revision">
    <w:name w:val="Revision"/>
    <w:hidden/>
    <w:uiPriority w:val="99"/>
    <w:semiHidden/>
    <w:rsid w:val="007F648A"/>
    <w:pPr>
      <w:spacing w:after="0" w:line="240" w:lineRule="auto"/>
    </w:pPr>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9D56D9"/>
    <w:rPr>
      <w:rFonts w:ascii="Times New Roman" w:hAnsi="Times New Roman"/>
      <w:b/>
      <w:sz w:val="28"/>
      <w:szCs w:val="28"/>
      <w:u w:val="single"/>
    </w:rPr>
  </w:style>
  <w:style w:type="character" w:customStyle="1" w:styleId="Heading3Char">
    <w:name w:val="Heading 3 Char"/>
    <w:basedOn w:val="DefaultParagraphFont"/>
    <w:link w:val="Heading3"/>
    <w:uiPriority w:val="9"/>
    <w:rsid w:val="00127E52"/>
    <w:rPr>
      <w:rFonts w:ascii="Times New Roman" w:hAnsi="Times New Roman" w:eastAsiaTheme="majorEastAsia" w:cstheme="majorBidi"/>
      <w:i/>
      <w:color w:val="0D0D0D" w:themeColor="text1" w:themeTint="F2"/>
      <w:sz w:val="24"/>
      <w:szCs w:val="24"/>
    </w:rPr>
  </w:style>
  <w:style w:type="character" w:customStyle="1" w:styleId="Heading5Char">
    <w:name w:val="Heading 5 Char"/>
    <w:basedOn w:val="DefaultParagraphFont"/>
    <w:link w:val="Heading5"/>
    <w:uiPriority w:val="9"/>
    <w:semiHidden/>
    <w:rsid w:val="00796489"/>
    <w:rPr>
      <w:color w:val="404040" w:themeColor="text1" w:themeTint="BF"/>
    </w:rPr>
  </w:style>
  <w:style w:type="character" w:customStyle="1" w:styleId="Heading6Char">
    <w:name w:val="Heading 6 Char"/>
    <w:basedOn w:val="DefaultParagraphFont"/>
    <w:link w:val="Heading6"/>
    <w:uiPriority w:val="9"/>
    <w:semiHidden/>
    <w:rsid w:val="00796489"/>
  </w:style>
  <w:style w:type="character" w:customStyle="1" w:styleId="Heading7Char">
    <w:name w:val="Heading 7 Char"/>
    <w:basedOn w:val="DefaultParagraphFont"/>
    <w:link w:val="Heading7"/>
    <w:uiPriority w:val="9"/>
    <w:semiHidden/>
    <w:rsid w:val="0079648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96489"/>
    <w:rPr>
      <w:color w:val="262626" w:themeColor="text1" w:themeTint="D9"/>
      <w:sz w:val="21"/>
      <w:szCs w:val="21"/>
    </w:rPr>
  </w:style>
  <w:style w:type="character" w:customStyle="1" w:styleId="Heading9Char">
    <w:name w:val="Heading 9 Char"/>
    <w:basedOn w:val="DefaultParagraphFont"/>
    <w:link w:val="Heading9"/>
    <w:uiPriority w:val="9"/>
    <w:semiHidden/>
    <w:rsid w:val="0079648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9648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5DA4"/>
    <w:pPr>
      <w:spacing w:after="0" w:line="240" w:lineRule="auto"/>
      <w:contextualSpacing/>
      <w:jc w:val="center"/>
    </w:pPr>
    <w:rPr>
      <w:rFonts w:eastAsiaTheme="majorEastAsia" w:cs="Times New Roman"/>
      <w:spacing w:val="-10"/>
      <w:sz w:val="48"/>
      <w:szCs w:val="48"/>
    </w:rPr>
  </w:style>
  <w:style w:type="character" w:customStyle="1" w:styleId="TitleChar">
    <w:name w:val="Title Char"/>
    <w:basedOn w:val="DefaultParagraphFont"/>
    <w:link w:val="Title"/>
    <w:uiPriority w:val="10"/>
    <w:rsid w:val="00455DA4"/>
    <w:rPr>
      <w:rFonts w:ascii="Times New Roman" w:hAnsi="Times New Roman" w:eastAsiaTheme="majorEastAsia" w:cs="Times New Roman"/>
      <w:spacing w:val="-10"/>
      <w:sz w:val="48"/>
      <w:szCs w:val="48"/>
    </w:rPr>
  </w:style>
  <w:style w:type="paragraph" w:styleId="Subtitle">
    <w:name w:val="Subtitle"/>
    <w:basedOn w:val="Normal"/>
    <w:next w:val="Normal"/>
    <w:link w:val="SubtitleChar"/>
    <w:uiPriority w:val="11"/>
    <w:qFormat/>
    <w:rsid w:val="007619FA"/>
    <w:pPr>
      <w:numPr>
        <w:ilvl w:val="1"/>
      </w:numPr>
    </w:pPr>
    <w:rPr>
      <w:spacing w:val="15"/>
      <w:sz w:val="28"/>
      <w:u w:val="single"/>
    </w:rPr>
  </w:style>
  <w:style w:type="character" w:customStyle="1" w:styleId="SubtitleChar">
    <w:name w:val="Subtitle Char"/>
    <w:basedOn w:val="DefaultParagraphFont"/>
    <w:link w:val="Subtitle"/>
    <w:uiPriority w:val="11"/>
    <w:rsid w:val="007619FA"/>
    <w:rPr>
      <w:rFonts w:ascii="Times New Roman" w:hAnsi="Times New Roman"/>
      <w:spacing w:val="15"/>
      <w:sz w:val="28"/>
      <w:u w:val="single"/>
    </w:rPr>
  </w:style>
  <w:style w:type="character" w:styleId="Strong">
    <w:name w:val="Strong"/>
    <w:basedOn w:val="DefaultParagraphFont"/>
    <w:uiPriority w:val="22"/>
    <w:qFormat/>
    <w:rsid w:val="00C82B5E"/>
    <w:rPr>
      <w:rFonts w:ascii="Times New Roman" w:hAnsi="Times New Roman"/>
      <w:b/>
      <w:bCs/>
      <w:color w:val="auto"/>
    </w:rPr>
  </w:style>
  <w:style w:type="character" w:styleId="Emphasis">
    <w:name w:val="Emphasis"/>
    <w:basedOn w:val="DefaultParagraphFont"/>
    <w:uiPriority w:val="20"/>
    <w:qFormat/>
    <w:rsid w:val="00796489"/>
    <w:rPr>
      <w:i/>
      <w:iCs/>
      <w:color w:val="auto"/>
    </w:rPr>
  </w:style>
  <w:style w:type="paragraph" w:styleId="Quote">
    <w:name w:val="Quote"/>
    <w:basedOn w:val="Normal"/>
    <w:next w:val="Normal"/>
    <w:link w:val="QuoteChar"/>
    <w:uiPriority w:val="29"/>
    <w:qFormat/>
    <w:rsid w:val="0079648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96489"/>
    <w:rPr>
      <w:i/>
      <w:iCs/>
      <w:color w:val="404040" w:themeColor="text1" w:themeTint="BF"/>
    </w:rPr>
  </w:style>
  <w:style w:type="paragraph" w:styleId="IntenseQuote">
    <w:name w:val="Intense Quote"/>
    <w:basedOn w:val="Normal"/>
    <w:next w:val="Normal"/>
    <w:link w:val="IntenseQuoteChar"/>
    <w:uiPriority w:val="30"/>
    <w:qFormat/>
    <w:rsid w:val="0079648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96489"/>
    <w:rPr>
      <w:i/>
      <w:iCs/>
      <w:color w:val="404040" w:themeColor="text1" w:themeTint="BF"/>
    </w:rPr>
  </w:style>
  <w:style w:type="character" w:styleId="SubtleEmphasis">
    <w:name w:val="Subtle Emphasis"/>
    <w:basedOn w:val="DefaultParagraphFont"/>
    <w:uiPriority w:val="19"/>
    <w:qFormat/>
    <w:rsid w:val="00796489"/>
    <w:rPr>
      <w:i/>
      <w:iCs/>
      <w:color w:val="404040" w:themeColor="text1" w:themeTint="BF"/>
    </w:rPr>
  </w:style>
  <w:style w:type="character" w:styleId="IntenseEmphasis">
    <w:name w:val="Intense Emphasis"/>
    <w:basedOn w:val="DefaultParagraphFont"/>
    <w:uiPriority w:val="21"/>
    <w:qFormat/>
    <w:rsid w:val="00796489"/>
    <w:rPr>
      <w:b/>
      <w:bCs/>
      <w:i/>
      <w:iCs/>
      <w:color w:val="auto"/>
    </w:rPr>
  </w:style>
  <w:style w:type="character" w:styleId="SubtleReference">
    <w:name w:val="Subtle Reference"/>
    <w:basedOn w:val="DefaultParagraphFont"/>
    <w:uiPriority w:val="31"/>
    <w:qFormat/>
    <w:rsid w:val="00796489"/>
    <w:rPr>
      <w:smallCaps/>
      <w:color w:val="404040" w:themeColor="text1" w:themeTint="BF"/>
    </w:rPr>
  </w:style>
  <w:style w:type="character" w:styleId="IntenseReference">
    <w:name w:val="Intense Reference"/>
    <w:basedOn w:val="DefaultParagraphFont"/>
    <w:uiPriority w:val="32"/>
    <w:qFormat/>
    <w:rsid w:val="00796489"/>
    <w:rPr>
      <w:b/>
      <w:bCs/>
      <w:smallCaps/>
      <w:color w:val="404040" w:themeColor="text1" w:themeTint="BF"/>
      <w:spacing w:val="5"/>
    </w:rPr>
  </w:style>
  <w:style w:type="character" w:styleId="BookTitle">
    <w:name w:val="Book Title"/>
    <w:basedOn w:val="DefaultParagraphFont"/>
    <w:uiPriority w:val="33"/>
    <w:qFormat/>
    <w:rsid w:val="00796489"/>
    <w:rPr>
      <w:b/>
      <w:bCs/>
      <w:i/>
      <w:iCs/>
      <w:spacing w:val="5"/>
    </w:rPr>
  </w:style>
  <w:style w:type="paragraph" w:styleId="TOCHeading">
    <w:name w:val="TOC Heading"/>
    <w:basedOn w:val="Heading1"/>
    <w:next w:val="Normal"/>
    <w:uiPriority w:val="39"/>
    <w:semiHidden/>
    <w:unhideWhenUsed/>
    <w:qFormat/>
    <w:rsid w:val="00796489"/>
    <w:pPr>
      <w:outlineLvl w:val="9"/>
    </w:pPr>
  </w:style>
  <w:style w:type="character" w:styleId="UnresolvedMention">
    <w:name w:val="Unresolved Mention"/>
    <w:basedOn w:val="DefaultParagraphFont"/>
    <w:uiPriority w:val="99"/>
    <w:unhideWhenUsed/>
    <w:rsid w:val="00C50F70"/>
    <w:rPr>
      <w:color w:val="605E5C"/>
      <w:shd w:val="clear" w:color="auto" w:fill="E1DFDD"/>
    </w:rPr>
  </w:style>
  <w:style w:type="character" w:styleId="Mention">
    <w:name w:val="Mention"/>
    <w:basedOn w:val="DefaultParagraphFont"/>
    <w:uiPriority w:val="99"/>
    <w:unhideWhenUsed/>
    <w:rsid w:val="00E90E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pa.gov/cwsrf/learn-about-clean-water-state-revolving-fund-cwsrf" TargetMode="External" /><Relationship Id="rId11" Type="http://schemas.openxmlformats.org/officeDocument/2006/relationships/hyperlink" Target="https://www.epa.gov/dwsrf/how-drinking-water-state-revolving-fund-works" TargetMode="External" /><Relationship Id="rId12" Type="http://schemas.openxmlformats.org/officeDocument/2006/relationships/hyperlink" Target="mailto:dfinn@cifanet.org" TargetMode="External" /><Relationship Id="rId13" Type="http://schemas.openxmlformats.org/officeDocument/2006/relationships/hyperlink" Target="mailto:aroberson@asdwa.org" TargetMode="External" /><Relationship Id="rId14" Type="http://schemas.openxmlformats.org/officeDocument/2006/relationships/hyperlink" Target="http://www.grants.gov" TargetMode="External" /><Relationship Id="rId15" Type="http://schemas.openxmlformats.org/officeDocument/2006/relationships/hyperlink" Target="https://owsrf.epa.gov/" TargetMode="External" /><Relationship Id="rId16" Type="http://schemas.openxmlformats.org/officeDocument/2006/relationships/hyperlink" Target="http://www.epa.gov/cwsrf/clean-water-state-revolving-fund-cwsrf-results" TargetMode="External" /><Relationship Id="rId17" Type="http://schemas.openxmlformats.org/officeDocument/2006/relationships/hyperlink" Target="https://www.epa.gov/dwsrf/reports-and-fact-sheets-about-drinking-water-state-revolving-fund-dwsrf" TargetMode="External" /><Relationship Id="rId18" Type="http://schemas.openxmlformats.org/officeDocument/2006/relationships/hyperlink" Target="http://www.regulations.gov"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pub/ted/2018/employment-and-wages-by-occupation-may-2017.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2019-12-12T16:53:02+00:00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dd4e8a02-3ac8-419b-9390-b5ce233d0618">
      <UserInfo>
        <DisplayName>Baldwin, Keelan</DisplayName>
        <AccountId>23</AccountId>
        <AccountType/>
      </UserInfo>
      <UserInfo>
        <DisplayName>Wirth, Karen</DisplayName>
        <AccountId>32</AccountId>
        <AccountType/>
      </UserInfo>
      <UserInfo>
        <DisplayName>Schwartz, Ethan</DisplayName>
        <AccountId>33</AccountId>
        <AccountType/>
      </UserInfo>
      <UserInfo>
        <DisplayName>Rubin, Howard E</DisplayName>
        <AccountId>14</AccountId>
        <AccountType/>
      </UserInfo>
      <UserInfo>
        <DisplayName>Thompkins, Anita</DisplayName>
        <AccountId>29</AccountId>
        <AccountType/>
      </UserInfo>
      <UserInfo>
        <DisplayName>Simbanin, Cynthia</DisplayName>
        <AccountId>34</AccountId>
        <AccountType/>
      </UserInfo>
      <UserInfo>
        <DisplayName>Mylin, Mark</DisplayName>
        <AccountId>15</AccountId>
        <AccountType/>
      </UserInfo>
      <UserInfo>
        <DisplayName>Berg, Bizzy</DisplayName>
        <AccountId>9</AccountId>
        <AccountType/>
      </UserInfo>
      <UserInfo>
        <DisplayName>Swetland-Johnson, Karen</DisplayName>
        <AccountId>35</AccountId>
        <AccountType/>
      </UserInfo>
      <UserInfo>
        <DisplayName>Deane, Michael</DisplayName>
        <AccountId>26</AccountId>
        <AccountType/>
      </UserInfo>
      <UserInfo>
        <DisplayName>Stein, Raffael</DisplayName>
        <AccountId>30</AccountId>
        <AccountType/>
      </UserInfo>
      <UserInfo>
        <DisplayName>Gueriguian, Leo</DisplayName>
        <AccountId>31</AccountId>
        <AccountType/>
      </UserInfo>
      <UserInfo>
        <DisplayName>Miller, Wynne</DisplayName>
        <AccountId>36</AccountId>
        <AccountType/>
      </UserInfo>
      <UserInfo>
        <DisplayName>Sawyers, Andrew</DisplayName>
        <AccountId>37</AccountId>
        <AccountType/>
      </UserInfo>
      <UserInfo>
        <DisplayName>McLain, Jennifer L.</DisplayName>
        <AccountId>40</AccountId>
        <AccountType/>
      </UserInfo>
      <UserInfo>
        <DisplayName>Guilaran, Yu-Ting</DisplayName>
        <AccountId>41</AccountId>
        <AccountType/>
      </UserInfo>
      <UserInfo>
        <DisplayName>Tiago, Joseph</DisplayName>
        <AccountId>42</AccountId>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C5EB65C6028B4398E4334560A48F53" ma:contentTypeVersion="6" ma:contentTypeDescription="Create a new document." ma:contentTypeScope="" ma:versionID="0ca9c7b83fa23af7b01e470d40ec300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34afce10-3016-489e-a9f8-2706d0a601a5" xmlns:ns6="dd4e8a02-3ac8-419b-9390-b5ce233d0618" targetNamespace="http://schemas.microsoft.com/office/2006/metadata/properties" ma:root="true" ma:fieldsID="9820325bd13edde11c5059057dbc1427" ns1:_="" ns2:_="" ns3:_="" ns4:_="" ns5:_="" ns6:_="">
    <xsd:import namespace="http://schemas.microsoft.com/sharepoint/v3"/>
    <xsd:import namespace="4ffa91fb-a0ff-4ac5-b2db-65c790d184a4"/>
    <xsd:import namespace="http://schemas.microsoft.com/sharepoint.v3"/>
    <xsd:import namespace="http://schemas.microsoft.com/sharepoint/v3/fields"/>
    <xsd:import namespace="34afce10-3016-489e-a9f8-2706d0a601a5"/>
    <xsd:import namespace="dd4e8a02-3ac8-419b-9390-b5ce233d061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fc7ff01-15d0-4245-b2d3-0655e5d8f097}" ma:internalName="TaxCatchAllLabel" ma:readOnly="true" ma:showField="CatchAllDataLabel" ma:web="dd4e8a02-3ac8-419b-9390-b5ce233d0618">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fc7ff01-15d0-4245-b2d3-0655e5d8f097}" ma:internalName="TaxCatchAll" ma:showField="CatchAllData" ma:web="dd4e8a02-3ac8-419b-9390-b5ce233d06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fce10-3016-489e-a9f8-2706d0a601a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e8a02-3ac8-419b-9390-b5ce233d061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A8C73-4561-4AE0-BA0F-2FE57A2FC36F}">
  <ds:schemaRefs>
    <ds:schemaRef ds:uri="http://purl.org/dc/elements/1.1/"/>
    <ds:schemaRef ds:uri="http://schemas.microsoft.com/sharepoint/v3/fields"/>
    <ds:schemaRef ds:uri="http://schemas.openxmlformats.org/package/2006/metadata/core-properties"/>
    <ds:schemaRef ds:uri="34afce10-3016-489e-a9f8-2706d0a601a5"/>
    <ds:schemaRef ds:uri="http://schemas.microsoft.com/sharepoint/v3"/>
    <ds:schemaRef ds:uri="http://schemas.microsoft.com/office/infopath/2007/PartnerControls"/>
    <ds:schemaRef ds:uri="4ffa91fb-a0ff-4ac5-b2db-65c790d184a4"/>
    <ds:schemaRef ds:uri="http://www.w3.org/XML/1998/namespace"/>
    <ds:schemaRef ds:uri="dd4e8a02-3ac8-419b-9390-b5ce233d0618"/>
    <ds:schemaRef ds:uri="http://purl.org/dc/dcmitype/"/>
    <ds:schemaRef ds:uri="http://schemas.microsoft.com/office/2006/documentManagement/type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A345931-D3B4-41EC-B83C-880FBD8156EC}">
  <ds:schemaRefs>
    <ds:schemaRef ds:uri="Microsoft.SharePoint.Taxonomy.ContentTypeSync"/>
  </ds:schemaRefs>
</ds:datastoreItem>
</file>

<file path=customXml/itemProps3.xml><?xml version="1.0" encoding="utf-8"?>
<ds:datastoreItem xmlns:ds="http://schemas.openxmlformats.org/officeDocument/2006/customXml" ds:itemID="{7A583BCB-E5DE-445F-AD05-5E6D971B83F6}">
  <ds:schemaRefs>
    <ds:schemaRef ds:uri="http://schemas.openxmlformats.org/officeDocument/2006/bibliography"/>
  </ds:schemaRefs>
</ds:datastoreItem>
</file>

<file path=customXml/itemProps4.xml><?xml version="1.0" encoding="utf-8"?>
<ds:datastoreItem xmlns:ds="http://schemas.openxmlformats.org/officeDocument/2006/customXml" ds:itemID="{E004BEDD-EC20-45E8-B32E-C5667866D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4afce10-3016-489e-a9f8-2706d0a601a5"/>
    <ds:schemaRef ds:uri="dd4e8a02-3ac8-419b-9390-b5ce233d0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AE32E6-24C9-4C11-B450-88479A173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9548</Words>
  <Characters>54424</Characters>
  <Application>Microsoft Office Word</Application>
  <DocSecurity>0</DocSecurity>
  <Lines>453</Lines>
  <Paragraphs>127</Paragraphs>
  <ScaleCrop>false</ScaleCrop>
  <Company/>
  <LinksUpToDate>false</LinksUpToDate>
  <CharactersWithSpaces>63845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Mylin, Mark</dc:creator>
  <cp:lastModifiedBy>Rubin, Howard E</cp:lastModifiedBy>
  <cp:revision>2</cp:revision>
  <cp:lastPrinted>2019-12-09T10:06:00Z</cp:lastPrinted>
  <dcterms:created xsi:type="dcterms:W3CDTF">2023-05-11T13:38:00Z</dcterms:created>
  <dcterms:modified xsi:type="dcterms:W3CDTF">2023-05-11T13:38:00Z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0x0101005CC5EB65C6028B4398E4334560A48F53</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