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6717" w:rsidP="00BE6717" w14:paraId="63C5204B" w14:textId="77777777">
      <w:pPr>
        <w:widowControl w:val="0"/>
        <w:autoSpaceDE w:val="0"/>
        <w:autoSpaceDN w:val="0"/>
        <w:adjustRightInd w:val="0"/>
        <w:jc w:val="center"/>
        <w:rPr>
          <w:b/>
          <w:bCs/>
          <w:sz w:val="24"/>
          <w:szCs w:val="24"/>
        </w:rPr>
      </w:pPr>
      <w:bookmarkStart w:id="0" w:name="_Hlk126687013"/>
      <w:bookmarkStart w:id="1" w:name="_Hlk2240431"/>
      <w:r w:rsidRPr="00A53316">
        <w:rPr>
          <w:b/>
          <w:bCs/>
          <w:sz w:val="24"/>
          <w:szCs w:val="24"/>
        </w:rPr>
        <w:t>U.S. Department of Transportation</w:t>
      </w:r>
    </w:p>
    <w:p w:rsidR="00BE6717" w:rsidP="00BE6717" w14:paraId="1C74C2ED" w14:textId="77777777">
      <w:pPr>
        <w:widowControl w:val="0"/>
        <w:autoSpaceDE w:val="0"/>
        <w:autoSpaceDN w:val="0"/>
        <w:adjustRightInd w:val="0"/>
        <w:jc w:val="center"/>
        <w:rPr>
          <w:b/>
          <w:bCs/>
          <w:sz w:val="24"/>
          <w:szCs w:val="24"/>
        </w:rPr>
      </w:pPr>
      <w:r>
        <w:rPr>
          <w:b/>
          <w:bCs/>
          <w:sz w:val="24"/>
          <w:szCs w:val="24"/>
        </w:rPr>
        <w:t>Federal Highway Administration (FHWA)</w:t>
      </w:r>
    </w:p>
    <w:p w:rsidR="00BE6717" w:rsidRPr="00A53316" w:rsidP="00BE6717" w14:paraId="4666C43B" w14:textId="77777777">
      <w:pPr>
        <w:widowControl w:val="0"/>
        <w:autoSpaceDE w:val="0"/>
        <w:autoSpaceDN w:val="0"/>
        <w:adjustRightInd w:val="0"/>
        <w:jc w:val="center"/>
        <w:rPr>
          <w:b/>
          <w:bCs/>
          <w:sz w:val="24"/>
          <w:szCs w:val="24"/>
        </w:rPr>
      </w:pPr>
      <w:r>
        <w:rPr>
          <w:b/>
          <w:bCs/>
          <w:sz w:val="24"/>
          <w:szCs w:val="24"/>
        </w:rPr>
        <w:t>Office of Operations Transportation Management (HOTM)</w:t>
      </w:r>
    </w:p>
    <w:p w:rsidR="00BE6717" w:rsidRPr="00A53316" w:rsidP="00BE6717" w14:paraId="6F82E5DF" w14:textId="77777777">
      <w:pPr>
        <w:widowControl w:val="0"/>
        <w:autoSpaceDE w:val="0"/>
        <w:autoSpaceDN w:val="0"/>
        <w:adjustRightInd w:val="0"/>
        <w:jc w:val="center"/>
        <w:rPr>
          <w:b/>
          <w:bCs/>
          <w:sz w:val="24"/>
          <w:szCs w:val="24"/>
          <w:u w:val="single"/>
        </w:rPr>
      </w:pPr>
    </w:p>
    <w:p w:rsidR="00BE6717" w:rsidRPr="00A53316" w:rsidP="00BE6717" w14:paraId="0BB97F12" w14:textId="77777777">
      <w:pPr>
        <w:widowControl w:val="0"/>
        <w:autoSpaceDE w:val="0"/>
        <w:autoSpaceDN w:val="0"/>
        <w:adjustRightInd w:val="0"/>
        <w:jc w:val="center"/>
        <w:rPr>
          <w:b/>
          <w:bCs/>
          <w:sz w:val="24"/>
          <w:szCs w:val="24"/>
          <w:u w:val="single"/>
        </w:rPr>
      </w:pPr>
      <w:r w:rsidRPr="00A53316">
        <w:rPr>
          <w:b/>
          <w:bCs/>
          <w:sz w:val="24"/>
          <w:szCs w:val="24"/>
          <w:u w:val="single"/>
        </w:rPr>
        <w:t>SUPPORTING STATEMENT</w:t>
      </w:r>
    </w:p>
    <w:p w:rsidR="00BE6717" w:rsidRPr="00A53316" w:rsidP="00BE6717" w14:paraId="664C8E1C" w14:textId="77777777">
      <w:pPr>
        <w:widowControl w:val="0"/>
        <w:autoSpaceDE w:val="0"/>
        <w:autoSpaceDN w:val="0"/>
        <w:adjustRightInd w:val="0"/>
        <w:jc w:val="center"/>
        <w:rPr>
          <w:b/>
          <w:bCs/>
          <w:sz w:val="24"/>
          <w:szCs w:val="24"/>
          <w:u w:val="single"/>
        </w:rPr>
      </w:pPr>
    </w:p>
    <w:p w:rsidR="00BE6717" w:rsidRPr="00A53316" w:rsidP="00BE6717" w14:paraId="21F4A755" w14:textId="77777777">
      <w:pPr>
        <w:widowControl w:val="0"/>
        <w:autoSpaceDE w:val="0"/>
        <w:autoSpaceDN w:val="0"/>
        <w:adjustRightInd w:val="0"/>
        <w:jc w:val="center"/>
        <w:rPr>
          <w:b/>
          <w:bCs/>
          <w:sz w:val="24"/>
          <w:szCs w:val="24"/>
        </w:rPr>
      </w:pPr>
      <w:bookmarkStart w:id="2" w:name="_Hlk126659117"/>
      <w:r w:rsidRPr="00A53316">
        <w:rPr>
          <w:b/>
          <w:bCs/>
          <w:sz w:val="24"/>
          <w:szCs w:val="24"/>
        </w:rPr>
        <w:t>Strategic Innovation for Revenue Collection (SIRC) Program</w:t>
      </w:r>
      <w:r w:rsidRPr="00A53316">
        <w:rPr>
          <w:b/>
          <w:bCs/>
          <w:sz w:val="24"/>
          <w:szCs w:val="24"/>
        </w:rPr>
        <w:t xml:space="preserve"> </w:t>
      </w:r>
      <w:r w:rsidRPr="00A53316">
        <w:rPr>
          <w:b/>
          <w:bCs/>
          <w:sz w:val="24"/>
          <w:szCs w:val="24"/>
        </w:rPr>
        <w:t xml:space="preserve">Grant </w:t>
      </w:r>
      <w:bookmarkEnd w:id="2"/>
      <w:r w:rsidRPr="00A53316">
        <w:rPr>
          <w:b/>
          <w:bCs/>
          <w:sz w:val="24"/>
          <w:szCs w:val="24"/>
        </w:rPr>
        <w:t>Application Template</w:t>
      </w:r>
    </w:p>
    <w:p w:rsidR="00BE6717" w:rsidRPr="00A53316" w:rsidP="00BE6717" w14:paraId="41C43594" w14:textId="77777777">
      <w:pPr>
        <w:widowControl w:val="0"/>
        <w:autoSpaceDE w:val="0"/>
        <w:autoSpaceDN w:val="0"/>
        <w:adjustRightInd w:val="0"/>
        <w:jc w:val="center"/>
        <w:rPr>
          <w:b/>
          <w:bCs/>
          <w:sz w:val="24"/>
          <w:szCs w:val="24"/>
        </w:rPr>
      </w:pPr>
      <w:r w:rsidRPr="00A53316">
        <w:rPr>
          <w:b/>
          <w:bCs/>
          <w:sz w:val="24"/>
          <w:szCs w:val="24"/>
        </w:rPr>
        <w:t>OMB Control No.</w:t>
      </w:r>
    </w:p>
    <w:p w:rsidR="00BE6717" w:rsidRPr="00A53316" w:rsidP="00BE6717" w14:paraId="1F485678" w14:textId="77777777">
      <w:pPr>
        <w:widowControl w:val="0"/>
        <w:autoSpaceDE w:val="0"/>
        <w:autoSpaceDN w:val="0"/>
        <w:adjustRightInd w:val="0"/>
        <w:rPr>
          <w:b/>
          <w:bCs/>
          <w:sz w:val="24"/>
          <w:szCs w:val="24"/>
        </w:rPr>
      </w:pPr>
    </w:p>
    <w:p w:rsidR="00BE6717" w:rsidRPr="00A53316" w:rsidP="00BE6717" w14:paraId="3529FC0E" w14:textId="77777777">
      <w:pPr>
        <w:widowControl w:val="0"/>
        <w:tabs>
          <w:tab w:val="center" w:pos="4680"/>
        </w:tabs>
        <w:rPr>
          <w:sz w:val="24"/>
          <w:szCs w:val="24"/>
        </w:rPr>
      </w:pPr>
      <w:r w:rsidRPr="00A53316">
        <w:rPr>
          <w:sz w:val="24"/>
          <w:szCs w:val="24"/>
          <w:u w:val="single"/>
        </w:rPr>
        <w:t>Introduction</w:t>
      </w:r>
      <w:r w:rsidRPr="00A53316">
        <w:rPr>
          <w:sz w:val="24"/>
          <w:szCs w:val="24"/>
        </w:rPr>
        <w:t xml:space="preserve">: </w:t>
      </w:r>
    </w:p>
    <w:p w:rsidR="00BE6717" w:rsidP="00BE6717" w14:paraId="26B78359" w14:textId="740BC46A">
      <w:pPr>
        <w:widowControl w:val="0"/>
        <w:tabs>
          <w:tab w:val="center" w:pos="4680"/>
        </w:tabs>
        <w:rPr>
          <w:sz w:val="24"/>
          <w:szCs w:val="24"/>
        </w:rPr>
      </w:pPr>
      <w:r w:rsidRPr="00A53316">
        <w:rPr>
          <w:sz w:val="24"/>
          <w:szCs w:val="24"/>
        </w:rPr>
        <w:t xml:space="preserve">This is a request for the Office of Management and Budget (OMB) to approve a 180-day clearance for the information collection entitled, </w:t>
      </w:r>
      <w:r w:rsidRPr="009F3F35">
        <w:rPr>
          <w:sz w:val="24"/>
          <w:szCs w:val="24"/>
        </w:rPr>
        <w:t xml:space="preserve">Strategic Innovation for Revenue Collection (SIRC) </w:t>
      </w:r>
      <w:r w:rsidRPr="00A53316">
        <w:rPr>
          <w:sz w:val="24"/>
          <w:szCs w:val="24"/>
        </w:rPr>
        <w:t xml:space="preserve">Grant Application Template.  </w:t>
      </w:r>
      <w:r w:rsidR="00DE43EA">
        <w:rPr>
          <w:sz w:val="24"/>
          <w:szCs w:val="24"/>
        </w:rPr>
        <w:t>I</w:t>
      </w:r>
      <w:r w:rsidRPr="00DE43EA" w:rsidR="00DE43EA">
        <w:rPr>
          <w:sz w:val="24"/>
          <w:szCs w:val="24"/>
        </w:rPr>
        <w:t>n adherence with 5 CFR 1320.13</w:t>
      </w:r>
      <w:r w:rsidR="00DE43EA">
        <w:rPr>
          <w:sz w:val="24"/>
          <w:szCs w:val="24"/>
        </w:rPr>
        <w:t>, t</w:t>
      </w:r>
      <w:r>
        <w:rPr>
          <w:sz w:val="24"/>
          <w:szCs w:val="24"/>
        </w:rPr>
        <w:t xml:space="preserve">his </w:t>
      </w:r>
      <w:r w:rsidR="00DE43EA">
        <w:rPr>
          <w:sz w:val="24"/>
          <w:szCs w:val="24"/>
        </w:rPr>
        <w:t xml:space="preserve">is </w:t>
      </w:r>
      <w:r>
        <w:rPr>
          <w:sz w:val="24"/>
          <w:szCs w:val="24"/>
        </w:rPr>
        <w:t xml:space="preserve">a request for approval for an </w:t>
      </w:r>
      <w:r w:rsidRPr="00B06E09">
        <w:rPr>
          <w:sz w:val="24"/>
          <w:szCs w:val="24"/>
        </w:rPr>
        <w:t xml:space="preserve">emergency </w:t>
      </w:r>
      <w:r>
        <w:rPr>
          <w:sz w:val="24"/>
          <w:szCs w:val="24"/>
        </w:rPr>
        <w:t xml:space="preserve">clearance for </w:t>
      </w:r>
      <w:r w:rsidRPr="00B06E09">
        <w:rPr>
          <w:sz w:val="24"/>
          <w:szCs w:val="24"/>
        </w:rPr>
        <w:t>processing of information</w:t>
      </w:r>
      <w:r>
        <w:rPr>
          <w:sz w:val="24"/>
          <w:szCs w:val="24"/>
        </w:rPr>
        <w:t xml:space="preserve"> related to a new collection of information for the </w:t>
      </w:r>
      <w:bookmarkStart w:id="3" w:name="_Hlk126664391"/>
      <w:r w:rsidRPr="00B06E09">
        <w:rPr>
          <w:sz w:val="24"/>
          <w:szCs w:val="24"/>
        </w:rPr>
        <w:t xml:space="preserve">SIRC </w:t>
      </w:r>
      <w:bookmarkEnd w:id="3"/>
      <w:r w:rsidRPr="00B06E09">
        <w:rPr>
          <w:sz w:val="24"/>
          <w:szCs w:val="24"/>
        </w:rPr>
        <w:t xml:space="preserve">Program </w:t>
      </w:r>
      <w:r>
        <w:rPr>
          <w:sz w:val="24"/>
          <w:szCs w:val="24"/>
        </w:rPr>
        <w:t>grant application submission and quarterly re</w:t>
      </w:r>
      <w:r w:rsidR="00DE43EA">
        <w:rPr>
          <w:sz w:val="24"/>
          <w:szCs w:val="24"/>
        </w:rPr>
        <w:t xml:space="preserve">porting requirements for FY 2023 – 2024 </w:t>
      </w:r>
      <w:r>
        <w:rPr>
          <w:sz w:val="24"/>
          <w:szCs w:val="24"/>
        </w:rPr>
        <w:t>program of projects</w:t>
      </w:r>
      <w:r w:rsidR="00DE43EA">
        <w:rPr>
          <w:sz w:val="24"/>
          <w:szCs w:val="24"/>
        </w:rPr>
        <w:t xml:space="preserve"> awards.  </w:t>
      </w:r>
      <w:r>
        <w:rPr>
          <w:sz w:val="24"/>
          <w:szCs w:val="24"/>
        </w:rPr>
        <w:t xml:space="preserve"> </w:t>
      </w:r>
    </w:p>
    <w:p w:rsidR="00BE6717" w:rsidP="00BE6717" w14:paraId="6936B423" w14:textId="77777777">
      <w:pPr>
        <w:widowControl w:val="0"/>
        <w:tabs>
          <w:tab w:val="center" w:pos="4680"/>
        </w:tabs>
        <w:rPr>
          <w:sz w:val="24"/>
          <w:szCs w:val="24"/>
        </w:rPr>
      </w:pPr>
    </w:p>
    <w:p w:rsidR="00BE6717" w:rsidRPr="00A53316" w:rsidP="00BE6717" w14:paraId="72A99581" w14:textId="47E0350B">
      <w:pPr>
        <w:widowControl w:val="0"/>
        <w:tabs>
          <w:tab w:val="center" w:pos="4680"/>
        </w:tabs>
        <w:rPr>
          <w:sz w:val="24"/>
          <w:szCs w:val="24"/>
        </w:rPr>
      </w:pPr>
      <w:r>
        <w:rPr>
          <w:sz w:val="24"/>
          <w:szCs w:val="24"/>
        </w:rPr>
        <w:t xml:space="preserve">The collection of information will support implementation of </w:t>
      </w:r>
      <w:r w:rsidRPr="009F3F35">
        <w:rPr>
          <w:sz w:val="24"/>
          <w:szCs w:val="24"/>
        </w:rPr>
        <w:t>T</w:t>
      </w:r>
      <w:r>
        <w:rPr>
          <w:sz w:val="24"/>
          <w:szCs w:val="24"/>
        </w:rPr>
        <w:t xml:space="preserve">itle </w:t>
      </w:r>
      <w:r w:rsidRPr="009F3F35">
        <w:rPr>
          <w:sz w:val="24"/>
          <w:szCs w:val="24"/>
        </w:rPr>
        <w:t>III</w:t>
      </w:r>
      <w:r>
        <w:rPr>
          <w:sz w:val="24"/>
          <w:szCs w:val="24"/>
        </w:rPr>
        <w:t xml:space="preserve"> - </w:t>
      </w:r>
      <w:r w:rsidRPr="009F3F35">
        <w:rPr>
          <w:sz w:val="24"/>
          <w:szCs w:val="24"/>
        </w:rPr>
        <w:t>R</w:t>
      </w:r>
      <w:r>
        <w:rPr>
          <w:sz w:val="24"/>
          <w:szCs w:val="24"/>
        </w:rPr>
        <w:t>esearch</w:t>
      </w:r>
      <w:r w:rsidRPr="009F3F35">
        <w:rPr>
          <w:sz w:val="24"/>
          <w:szCs w:val="24"/>
        </w:rPr>
        <w:t>,</w:t>
      </w:r>
      <w:r>
        <w:rPr>
          <w:sz w:val="24"/>
          <w:szCs w:val="24"/>
        </w:rPr>
        <w:t xml:space="preserve"> </w:t>
      </w:r>
      <w:r w:rsidRPr="009F3F35">
        <w:rPr>
          <w:sz w:val="24"/>
          <w:szCs w:val="24"/>
        </w:rPr>
        <w:t>T</w:t>
      </w:r>
      <w:r>
        <w:rPr>
          <w:sz w:val="24"/>
          <w:szCs w:val="24"/>
        </w:rPr>
        <w:t xml:space="preserve">echnology, and </w:t>
      </w:r>
      <w:r w:rsidRPr="009F3F35">
        <w:rPr>
          <w:sz w:val="24"/>
          <w:szCs w:val="24"/>
        </w:rPr>
        <w:t>E</w:t>
      </w:r>
      <w:r>
        <w:rPr>
          <w:sz w:val="24"/>
          <w:szCs w:val="24"/>
        </w:rPr>
        <w:t xml:space="preserve">ducation </w:t>
      </w:r>
      <w:r w:rsidRPr="009F3F35">
        <w:rPr>
          <w:sz w:val="24"/>
          <w:szCs w:val="24"/>
        </w:rPr>
        <w:t>S</w:t>
      </w:r>
      <w:r>
        <w:rPr>
          <w:sz w:val="24"/>
          <w:szCs w:val="24"/>
        </w:rPr>
        <w:t>ec</w:t>
      </w:r>
      <w:r w:rsidRPr="009F3F35">
        <w:rPr>
          <w:sz w:val="24"/>
          <w:szCs w:val="24"/>
        </w:rPr>
        <w:t>. 13001.</w:t>
      </w:r>
      <w:r w:rsidR="00FF25AA">
        <w:rPr>
          <w:sz w:val="24"/>
          <w:szCs w:val="24"/>
        </w:rPr>
        <w:t xml:space="preserve">  </w:t>
      </w:r>
      <w:r w:rsidRPr="009F3F35">
        <w:rPr>
          <w:sz w:val="24"/>
          <w:szCs w:val="24"/>
        </w:rPr>
        <w:t>S</w:t>
      </w:r>
      <w:r>
        <w:rPr>
          <w:sz w:val="24"/>
          <w:szCs w:val="24"/>
        </w:rPr>
        <w:t xml:space="preserve">trategic Innovation for Revenue Collection (a) and </w:t>
      </w:r>
      <w:r w:rsidRPr="000449CF">
        <w:rPr>
          <w:sz w:val="24"/>
          <w:szCs w:val="24"/>
        </w:rPr>
        <w:t>(b) of the Infrastructure Investment and Jobs Act (Public Law No: 117-58</w:t>
      </w:r>
      <w:r>
        <w:rPr>
          <w:sz w:val="24"/>
          <w:szCs w:val="24"/>
        </w:rPr>
        <w:t>,</w:t>
      </w:r>
      <w:r w:rsidRPr="000449CF">
        <w:rPr>
          <w:sz w:val="24"/>
          <w:szCs w:val="24"/>
        </w:rPr>
        <w:t xml:space="preserve"> or also referred to as the Bipartisan Infrastructure Law</w:t>
      </w:r>
      <w:r>
        <w:rPr>
          <w:sz w:val="24"/>
          <w:szCs w:val="24"/>
        </w:rPr>
        <w:t>-</w:t>
      </w:r>
      <w:r w:rsidRPr="000449CF">
        <w:rPr>
          <w:sz w:val="24"/>
          <w:szCs w:val="24"/>
        </w:rPr>
        <w:t>BIL</w:t>
      </w:r>
      <w:r>
        <w:rPr>
          <w:sz w:val="24"/>
          <w:szCs w:val="24"/>
        </w:rPr>
        <w:t xml:space="preserve"> (</w:t>
      </w:r>
      <w:r w:rsidRPr="00A657C7" w:rsidR="00DE43EA">
        <w:rPr>
          <w:sz w:val="24"/>
          <w:szCs w:val="24"/>
          <w:u w:val="single"/>
        </w:rPr>
        <w:t xml:space="preserve">see </w:t>
      </w:r>
      <w:r w:rsidRPr="00A657C7">
        <w:rPr>
          <w:sz w:val="24"/>
          <w:szCs w:val="24"/>
          <w:u w:val="single"/>
        </w:rPr>
        <w:t>Exhibit A</w:t>
      </w:r>
      <w:r w:rsidR="00DE43EA">
        <w:rPr>
          <w:sz w:val="24"/>
          <w:szCs w:val="24"/>
        </w:rPr>
        <w:t xml:space="preserve"> </w:t>
      </w:r>
      <w:r w:rsidRPr="00A657C7" w:rsidR="00DE43EA">
        <w:rPr>
          <w:sz w:val="24"/>
          <w:szCs w:val="24"/>
          <w:u w:val="single"/>
        </w:rPr>
        <w:t>page 12</w:t>
      </w:r>
      <w:r>
        <w:rPr>
          <w:sz w:val="24"/>
          <w:szCs w:val="24"/>
        </w:rPr>
        <w:t>).</w:t>
      </w:r>
      <w:r w:rsidR="00FF25AA">
        <w:rPr>
          <w:sz w:val="24"/>
          <w:szCs w:val="24"/>
        </w:rPr>
        <w:t xml:space="preserve">  </w:t>
      </w:r>
      <w:r>
        <w:rPr>
          <w:sz w:val="24"/>
          <w:szCs w:val="24"/>
        </w:rPr>
        <w:t>T</w:t>
      </w:r>
      <w:r w:rsidRPr="00A53316">
        <w:rPr>
          <w:sz w:val="24"/>
          <w:szCs w:val="24"/>
        </w:rPr>
        <w:t>he Office of the Secretary of Transportation (</w:t>
      </w:r>
      <w:r w:rsidRPr="00A53316">
        <w:rPr>
          <w:snapToGrid w:val="0"/>
          <w:color w:val="000000"/>
          <w:sz w:val="24"/>
          <w:szCs w:val="24"/>
        </w:rPr>
        <w:t>OST)</w:t>
      </w:r>
      <w:r>
        <w:rPr>
          <w:snapToGrid w:val="0"/>
          <w:color w:val="000000"/>
          <w:sz w:val="24"/>
          <w:szCs w:val="24"/>
        </w:rPr>
        <w:t xml:space="preserve"> and the </w:t>
      </w:r>
      <w:r w:rsidRPr="00A53316">
        <w:rPr>
          <w:color w:val="000000" w:themeColor="text1"/>
          <w:sz w:val="24"/>
          <w:szCs w:val="24"/>
        </w:rPr>
        <w:t xml:space="preserve">Federal Highway </w:t>
      </w:r>
      <w:r w:rsidRPr="00461A31">
        <w:rPr>
          <w:color w:val="000000" w:themeColor="text1"/>
          <w:sz w:val="24"/>
          <w:szCs w:val="24"/>
        </w:rPr>
        <w:t xml:space="preserve">Administration </w:t>
      </w:r>
      <w:r>
        <w:rPr>
          <w:color w:val="000000" w:themeColor="text1"/>
          <w:sz w:val="24"/>
          <w:szCs w:val="24"/>
        </w:rPr>
        <w:t>(FHWA) has coordinated on the development of public information to solicit responses to a Notice of Funding Opportunity (NOFO) for the SIRC Pr</w:t>
      </w:r>
      <w:r w:rsidRPr="001B7701">
        <w:rPr>
          <w:color w:val="000000" w:themeColor="text1"/>
          <w:sz w:val="24"/>
          <w:szCs w:val="24"/>
        </w:rPr>
        <w:t>ogram</w:t>
      </w:r>
      <w:r>
        <w:rPr>
          <w:color w:val="000000" w:themeColor="text1"/>
          <w:sz w:val="24"/>
          <w:szCs w:val="24"/>
        </w:rPr>
        <w:t xml:space="preserve">.  Awarded funds to </w:t>
      </w:r>
      <w:r w:rsidRPr="00024F57">
        <w:rPr>
          <w:color w:val="000000" w:themeColor="text1"/>
          <w:sz w:val="24"/>
          <w:szCs w:val="24"/>
        </w:rPr>
        <w:t xml:space="preserve">eligible applicants </w:t>
      </w:r>
      <w:r>
        <w:rPr>
          <w:color w:val="000000" w:themeColor="text1"/>
          <w:sz w:val="24"/>
          <w:szCs w:val="24"/>
        </w:rPr>
        <w:t xml:space="preserve">will </w:t>
      </w:r>
      <w:r w:rsidRPr="001B7701">
        <w:rPr>
          <w:color w:val="000000" w:themeColor="text1"/>
          <w:sz w:val="24"/>
          <w:szCs w:val="24"/>
        </w:rPr>
        <w:t>test the feasibility</w:t>
      </w:r>
      <w:r>
        <w:rPr>
          <w:color w:val="000000" w:themeColor="text1"/>
          <w:sz w:val="24"/>
          <w:szCs w:val="24"/>
        </w:rPr>
        <w:t xml:space="preserve"> </w:t>
      </w:r>
      <w:r w:rsidRPr="001B7701">
        <w:rPr>
          <w:color w:val="000000" w:themeColor="text1"/>
          <w:sz w:val="24"/>
          <w:szCs w:val="24"/>
        </w:rPr>
        <w:t>of a road usage fee and other user-based alternative revenue mechanisms (referred to in this section as</w:t>
      </w:r>
      <w:r>
        <w:rPr>
          <w:color w:val="000000" w:themeColor="text1"/>
          <w:sz w:val="24"/>
          <w:szCs w:val="24"/>
        </w:rPr>
        <w:t xml:space="preserve"> </w:t>
      </w:r>
      <w:r w:rsidRPr="001B7701">
        <w:rPr>
          <w:color w:val="000000" w:themeColor="text1"/>
          <w:sz w:val="24"/>
          <w:szCs w:val="24"/>
        </w:rPr>
        <w:t>‘‘user</w:t>
      </w:r>
      <w:r>
        <w:rPr>
          <w:color w:val="000000" w:themeColor="text1"/>
          <w:sz w:val="24"/>
          <w:szCs w:val="24"/>
        </w:rPr>
        <w:t xml:space="preserve"> </w:t>
      </w:r>
      <w:r w:rsidRPr="001B7701">
        <w:rPr>
          <w:color w:val="000000" w:themeColor="text1"/>
          <w:sz w:val="24"/>
          <w:szCs w:val="24"/>
        </w:rPr>
        <w:t>based alternative revenue mechanisms’’) to help maintain the long</w:t>
      </w:r>
      <w:r>
        <w:rPr>
          <w:color w:val="000000" w:themeColor="text1"/>
          <w:sz w:val="24"/>
          <w:szCs w:val="24"/>
        </w:rPr>
        <w:t>-term</w:t>
      </w:r>
      <w:r w:rsidRPr="001B7701">
        <w:rPr>
          <w:color w:val="000000" w:themeColor="text1"/>
          <w:sz w:val="24"/>
          <w:szCs w:val="24"/>
        </w:rPr>
        <w:t xml:space="preserve"> solvency of the Highway</w:t>
      </w:r>
      <w:r>
        <w:rPr>
          <w:color w:val="000000" w:themeColor="text1"/>
          <w:sz w:val="24"/>
          <w:szCs w:val="24"/>
        </w:rPr>
        <w:t xml:space="preserve"> </w:t>
      </w:r>
      <w:r w:rsidRPr="001B7701">
        <w:rPr>
          <w:color w:val="000000" w:themeColor="text1"/>
          <w:sz w:val="24"/>
          <w:szCs w:val="24"/>
        </w:rPr>
        <w:t>Trust Fund</w:t>
      </w:r>
      <w:r>
        <w:rPr>
          <w:color w:val="000000" w:themeColor="text1"/>
          <w:sz w:val="24"/>
          <w:szCs w:val="24"/>
        </w:rPr>
        <w:t xml:space="preserve">.  </w:t>
      </w:r>
      <w:r w:rsidRPr="00C438BF">
        <w:rPr>
          <w:b/>
          <w:bCs/>
          <w:i/>
          <w:iCs/>
          <w:color w:val="000000" w:themeColor="text1"/>
          <w:sz w:val="24"/>
          <w:szCs w:val="24"/>
        </w:rPr>
        <w:t xml:space="preserve">The primary affected public are the eligible applicants, which includes </w:t>
      </w:r>
      <w:r w:rsidRPr="00C438BF">
        <w:rPr>
          <w:b/>
          <w:bCs/>
          <w:i/>
          <w:iCs/>
          <w:snapToGrid w:val="0"/>
          <w:color w:val="000000"/>
          <w:sz w:val="24"/>
          <w:szCs w:val="24"/>
        </w:rPr>
        <w:t>a State or a group of States, Metropolitan Planning Organization (MPO) or a group of Metropolitan Planning Organizations (as defined in section 134(b) of title 23, United States Code), a local government or a group of local governments</w:t>
      </w:r>
      <w:r>
        <w:rPr>
          <w:snapToGrid w:val="0"/>
          <w:color w:val="000000"/>
          <w:sz w:val="24"/>
          <w:szCs w:val="24"/>
        </w:rPr>
        <w:t>.</w:t>
      </w:r>
      <w:r w:rsidRPr="00A53316">
        <w:rPr>
          <w:snapToGrid w:val="0"/>
          <w:color w:val="000000"/>
          <w:sz w:val="24"/>
          <w:szCs w:val="24"/>
        </w:rPr>
        <w:t xml:space="preserve"> </w:t>
      </w:r>
    </w:p>
    <w:p w:rsidR="00BE6717" w:rsidRPr="00A53316" w:rsidP="00BE6717" w14:paraId="6ED95A31" w14:textId="77777777">
      <w:pPr>
        <w:widowControl w:val="0"/>
        <w:tabs>
          <w:tab w:val="center" w:pos="4680"/>
        </w:tabs>
        <w:rPr>
          <w:sz w:val="24"/>
          <w:szCs w:val="24"/>
        </w:rPr>
      </w:pPr>
    </w:p>
    <w:p w:rsidR="00C37390" w14:paraId="77E327A7" w14:textId="501C54A0">
      <w:pPr>
        <w:widowControl w:val="0"/>
        <w:numPr>
          <w:ilvl w:val="0"/>
          <w:numId w:val="29"/>
        </w:numPr>
        <w:autoSpaceDE w:val="0"/>
        <w:autoSpaceDN w:val="0"/>
        <w:adjustRightInd w:val="0"/>
        <w:ind w:left="720" w:hanging="360"/>
        <w:rPr>
          <w:sz w:val="24"/>
          <w:szCs w:val="24"/>
        </w:rPr>
      </w:pPr>
      <w:r w:rsidRPr="00C37390">
        <w:rPr>
          <w:sz w:val="24"/>
          <w:szCs w:val="24"/>
        </w:rPr>
        <w:t>The information will be received by the FHWA to fulfill the grant application submittal requirements and agreements prescribed in the NOFO</w:t>
      </w:r>
      <w:r w:rsidR="008F4BE4">
        <w:rPr>
          <w:sz w:val="24"/>
          <w:szCs w:val="24"/>
        </w:rPr>
        <w:t>.</w:t>
      </w:r>
    </w:p>
    <w:p w:rsidR="008F4BE4" w:rsidRPr="00C37390" w:rsidP="008F4BE4" w14:paraId="6326AD39" w14:textId="77777777">
      <w:pPr>
        <w:widowControl w:val="0"/>
        <w:autoSpaceDE w:val="0"/>
        <w:autoSpaceDN w:val="0"/>
        <w:adjustRightInd w:val="0"/>
        <w:ind w:left="720"/>
        <w:rPr>
          <w:sz w:val="24"/>
          <w:szCs w:val="24"/>
        </w:rPr>
      </w:pPr>
    </w:p>
    <w:p w:rsidR="00C37390" w14:paraId="75CBD149" w14:textId="03CDFACC">
      <w:pPr>
        <w:widowControl w:val="0"/>
        <w:numPr>
          <w:ilvl w:val="0"/>
          <w:numId w:val="29"/>
        </w:numPr>
        <w:autoSpaceDE w:val="0"/>
        <w:autoSpaceDN w:val="0"/>
        <w:adjustRightInd w:val="0"/>
        <w:ind w:left="720" w:hanging="360"/>
        <w:rPr>
          <w:sz w:val="24"/>
          <w:szCs w:val="24"/>
        </w:rPr>
      </w:pPr>
      <w:r w:rsidRPr="00C37390">
        <w:rPr>
          <w:sz w:val="24"/>
          <w:szCs w:val="24"/>
        </w:rPr>
        <w:t>The collection of information will include grant application</w:t>
      </w:r>
      <w:r>
        <w:rPr>
          <w:sz w:val="24"/>
          <w:szCs w:val="24"/>
        </w:rPr>
        <w:t xml:space="preserve"> forms and narratives</w:t>
      </w:r>
      <w:r w:rsidRPr="00C37390">
        <w:rPr>
          <w:sz w:val="24"/>
          <w:szCs w:val="24"/>
        </w:rPr>
        <w:t xml:space="preserve">, grant agreements, and project management quarterly reporting. </w:t>
      </w:r>
    </w:p>
    <w:p w:rsidR="008F4BE4" w:rsidRPr="00C37390" w:rsidP="008F4BE4" w14:paraId="101B071B" w14:textId="77777777">
      <w:pPr>
        <w:widowControl w:val="0"/>
        <w:autoSpaceDE w:val="0"/>
        <w:autoSpaceDN w:val="0"/>
        <w:adjustRightInd w:val="0"/>
        <w:ind w:left="720"/>
        <w:rPr>
          <w:sz w:val="24"/>
          <w:szCs w:val="24"/>
        </w:rPr>
      </w:pPr>
    </w:p>
    <w:p w:rsidR="00C37390" w:rsidP="00C37390" w14:paraId="4883D029" w14:textId="1CFAF79B">
      <w:pPr>
        <w:widowControl w:val="0"/>
        <w:numPr>
          <w:ilvl w:val="0"/>
          <w:numId w:val="29"/>
        </w:numPr>
        <w:autoSpaceDE w:val="0"/>
        <w:autoSpaceDN w:val="0"/>
        <w:adjustRightInd w:val="0"/>
        <w:ind w:left="720" w:hanging="360"/>
        <w:rPr>
          <w:sz w:val="24"/>
          <w:szCs w:val="24"/>
        </w:rPr>
      </w:pPr>
      <w:r w:rsidRPr="00A53316">
        <w:rPr>
          <w:sz w:val="24"/>
          <w:szCs w:val="24"/>
        </w:rPr>
        <w:t xml:space="preserve">The purpose of the collection is to receive information relevant to evaluating applications to the SIRC grant program, per the NOFO, and reporting requirements agreed to by recipients of the Grants. </w:t>
      </w:r>
    </w:p>
    <w:p w:rsidR="008F4BE4" w:rsidRPr="00A53316" w:rsidP="008F4BE4" w14:paraId="62F9A722" w14:textId="77777777">
      <w:pPr>
        <w:widowControl w:val="0"/>
        <w:autoSpaceDE w:val="0"/>
        <w:autoSpaceDN w:val="0"/>
        <w:adjustRightInd w:val="0"/>
        <w:ind w:left="720"/>
        <w:rPr>
          <w:sz w:val="24"/>
          <w:szCs w:val="24"/>
        </w:rPr>
      </w:pPr>
    </w:p>
    <w:p w:rsidR="00BE6717" w:rsidP="00BE6717" w14:paraId="7F69D777" w14:textId="0CAE9FBF">
      <w:pPr>
        <w:widowControl w:val="0"/>
        <w:numPr>
          <w:ilvl w:val="0"/>
          <w:numId w:val="29"/>
        </w:numPr>
        <w:autoSpaceDE w:val="0"/>
        <w:autoSpaceDN w:val="0"/>
        <w:adjustRightInd w:val="0"/>
        <w:ind w:left="720" w:hanging="360"/>
        <w:rPr>
          <w:sz w:val="24"/>
          <w:szCs w:val="24"/>
        </w:rPr>
      </w:pPr>
      <w:r w:rsidRPr="00832110">
        <w:rPr>
          <w:sz w:val="24"/>
          <w:szCs w:val="24"/>
        </w:rPr>
        <w:t xml:space="preserve">The obligation to respond </w:t>
      </w:r>
      <w:r w:rsidRPr="00A53316">
        <w:rPr>
          <w:sz w:val="24"/>
          <w:szCs w:val="24"/>
        </w:rPr>
        <w:t xml:space="preserve">to the collection </w:t>
      </w:r>
      <w:r>
        <w:rPr>
          <w:sz w:val="24"/>
          <w:szCs w:val="24"/>
        </w:rPr>
        <w:t xml:space="preserve">of information </w:t>
      </w:r>
      <w:r w:rsidRPr="00A53316">
        <w:rPr>
          <w:sz w:val="24"/>
          <w:szCs w:val="24"/>
        </w:rPr>
        <w:t>is voluntary and is required to obtain or retain a benefit.</w:t>
      </w:r>
    </w:p>
    <w:p w:rsidR="00C37390" w:rsidP="00C37390" w14:paraId="223326B9" w14:textId="1F6153DC">
      <w:pPr>
        <w:widowControl w:val="0"/>
        <w:autoSpaceDE w:val="0"/>
        <w:autoSpaceDN w:val="0"/>
        <w:adjustRightInd w:val="0"/>
        <w:rPr>
          <w:sz w:val="24"/>
          <w:szCs w:val="24"/>
        </w:rPr>
      </w:pPr>
    </w:p>
    <w:p w:rsidR="00C37390" w:rsidP="00C37390" w14:paraId="73DAF1CA" w14:textId="317ACE8A">
      <w:pPr>
        <w:widowControl w:val="0"/>
        <w:autoSpaceDE w:val="0"/>
        <w:autoSpaceDN w:val="0"/>
        <w:adjustRightInd w:val="0"/>
        <w:rPr>
          <w:sz w:val="24"/>
          <w:szCs w:val="24"/>
        </w:rPr>
      </w:pPr>
    </w:p>
    <w:p w:rsidR="00C37390" w:rsidP="00C37390" w14:paraId="4F525D39" w14:textId="25CF2C6D">
      <w:pPr>
        <w:widowControl w:val="0"/>
        <w:autoSpaceDE w:val="0"/>
        <w:autoSpaceDN w:val="0"/>
        <w:adjustRightInd w:val="0"/>
        <w:rPr>
          <w:sz w:val="24"/>
          <w:szCs w:val="24"/>
        </w:rPr>
      </w:pPr>
    </w:p>
    <w:p w:rsidR="00BE6717" w:rsidRPr="00A53316" w:rsidP="00BE6717" w14:paraId="1CE984EC" w14:textId="77777777">
      <w:pPr>
        <w:pStyle w:val="NormalWeb"/>
      </w:pPr>
      <w:r w:rsidRPr="00A53316">
        <w:rPr>
          <w:u w:val="single"/>
        </w:rPr>
        <w:t>Part A. Justification</w:t>
      </w:r>
      <w:r w:rsidRPr="00A53316">
        <w:t>.</w:t>
      </w:r>
    </w:p>
    <w:p w:rsidR="00BE6717" w:rsidRPr="00A53316" w:rsidP="00BE6717" w14:paraId="459D16AB" w14:textId="77777777">
      <w:pPr>
        <w:pStyle w:val="NormalWeb"/>
      </w:pPr>
      <w:r w:rsidRPr="00A53316">
        <w:t xml:space="preserve">1. </w:t>
      </w:r>
      <w:r w:rsidRPr="00A53316">
        <w:rPr>
          <w:u w:val="single"/>
        </w:rPr>
        <w:t>Circumstances that make collection of information necessary</w:t>
      </w:r>
      <w:r w:rsidRPr="00A53316">
        <w:t>:</w:t>
      </w:r>
    </w:p>
    <w:p w:rsidR="00BE6717" w:rsidP="00BE6717" w14:paraId="367B7C28" w14:textId="46C604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themeColor="text1"/>
          <w:sz w:val="24"/>
          <w:szCs w:val="24"/>
        </w:rPr>
      </w:pPr>
      <w:r w:rsidRPr="00A53316">
        <w:rPr>
          <w:snapToGrid w:val="0"/>
          <w:color w:val="000000"/>
          <w:sz w:val="24"/>
          <w:szCs w:val="24"/>
        </w:rPr>
        <w:t xml:space="preserve">The collection of information is necessary to receive applications for grant funds, evaluate the effectiveness of projects that have been awarded grant funds, and monitor project financial conditions and project progress pursuant </w:t>
      </w:r>
      <w:bookmarkStart w:id="4" w:name="_Hlk126659319"/>
      <w:r w:rsidRPr="00A53316">
        <w:rPr>
          <w:snapToGrid w:val="0"/>
          <w:color w:val="000000"/>
          <w:sz w:val="24"/>
          <w:szCs w:val="24"/>
        </w:rPr>
        <w:t xml:space="preserve">to </w:t>
      </w:r>
      <w:bookmarkStart w:id="5" w:name="_Hlk126665684"/>
      <w:r w:rsidRPr="00A53316">
        <w:rPr>
          <w:snapToGrid w:val="0"/>
          <w:color w:val="000000"/>
          <w:sz w:val="24"/>
          <w:szCs w:val="24"/>
        </w:rPr>
        <w:t>Section 1330</w:t>
      </w:r>
      <w:r>
        <w:rPr>
          <w:snapToGrid w:val="0"/>
          <w:color w:val="000000"/>
          <w:sz w:val="24"/>
          <w:szCs w:val="24"/>
        </w:rPr>
        <w:t>0</w:t>
      </w:r>
      <w:r w:rsidRPr="00A53316">
        <w:rPr>
          <w:snapToGrid w:val="0"/>
          <w:color w:val="000000"/>
          <w:sz w:val="24"/>
          <w:szCs w:val="24"/>
        </w:rPr>
        <w:t>1 (</w:t>
      </w:r>
      <w:r>
        <w:rPr>
          <w:snapToGrid w:val="0"/>
          <w:color w:val="000000"/>
          <w:sz w:val="24"/>
          <w:szCs w:val="24"/>
        </w:rPr>
        <w:t>b</w:t>
      </w:r>
      <w:r w:rsidRPr="00A53316">
        <w:rPr>
          <w:snapToGrid w:val="0"/>
          <w:color w:val="000000"/>
          <w:sz w:val="24"/>
          <w:szCs w:val="24"/>
        </w:rPr>
        <w:t>)</w:t>
      </w:r>
      <w:r>
        <w:rPr>
          <w:color w:val="000000" w:themeColor="text1"/>
          <w:sz w:val="24"/>
          <w:szCs w:val="24"/>
        </w:rPr>
        <w:t xml:space="preserve"> (3) </w:t>
      </w:r>
      <w:bookmarkEnd w:id="5"/>
      <w:r>
        <w:rPr>
          <w:color w:val="000000" w:themeColor="text1"/>
          <w:sz w:val="24"/>
          <w:szCs w:val="24"/>
        </w:rPr>
        <w:t>as prescribed in Exhibit A of this document</w:t>
      </w:r>
      <w:bookmarkEnd w:id="4"/>
      <w:r w:rsidRPr="00A53316">
        <w:rPr>
          <w:sz w:val="24"/>
          <w:szCs w:val="24"/>
        </w:rPr>
        <w:t xml:space="preserve">.  </w:t>
      </w:r>
      <w:r w:rsidRPr="00897FE4">
        <w:rPr>
          <w:color w:val="000000" w:themeColor="text1"/>
          <w:sz w:val="24"/>
          <w:szCs w:val="24"/>
        </w:rPr>
        <w:t>FY 202</w:t>
      </w:r>
      <w:r w:rsidR="00C37390">
        <w:rPr>
          <w:color w:val="000000" w:themeColor="text1"/>
          <w:sz w:val="24"/>
          <w:szCs w:val="24"/>
        </w:rPr>
        <w:t>3</w:t>
      </w:r>
      <w:r w:rsidRPr="00897FE4">
        <w:rPr>
          <w:color w:val="000000" w:themeColor="text1"/>
          <w:sz w:val="24"/>
          <w:szCs w:val="24"/>
        </w:rPr>
        <w:t xml:space="preserve"> – FY 202</w:t>
      </w:r>
      <w:r>
        <w:rPr>
          <w:color w:val="000000" w:themeColor="text1"/>
          <w:sz w:val="24"/>
          <w:szCs w:val="24"/>
        </w:rPr>
        <w:t>4</w:t>
      </w:r>
      <w:r w:rsidRPr="00897FE4">
        <w:rPr>
          <w:color w:val="000000" w:themeColor="text1"/>
          <w:sz w:val="24"/>
          <w:szCs w:val="24"/>
        </w:rPr>
        <w:t xml:space="preserve"> is the first year of </w:t>
      </w:r>
      <w:r>
        <w:rPr>
          <w:color w:val="000000" w:themeColor="text1"/>
          <w:sz w:val="24"/>
          <w:szCs w:val="24"/>
        </w:rPr>
        <w:t xml:space="preserve">implementation for </w:t>
      </w:r>
      <w:r w:rsidRPr="00897FE4">
        <w:rPr>
          <w:color w:val="000000" w:themeColor="text1"/>
          <w:sz w:val="24"/>
          <w:szCs w:val="24"/>
        </w:rPr>
        <w:t xml:space="preserve">the SIRC </w:t>
      </w:r>
      <w:r>
        <w:rPr>
          <w:color w:val="000000" w:themeColor="text1"/>
          <w:sz w:val="24"/>
          <w:szCs w:val="24"/>
        </w:rPr>
        <w:t>P</w:t>
      </w:r>
      <w:r w:rsidRPr="00897FE4">
        <w:rPr>
          <w:color w:val="000000" w:themeColor="text1"/>
          <w:sz w:val="24"/>
          <w:szCs w:val="24"/>
        </w:rPr>
        <w:t>rogram.  FHWA implemented a similar predecessor program, the Surface Transportation System Funding Alternatives (STSFA) program authorized by section 6020 of the Fixing America’s Surface Transportation (FAST) Act, Pub. L. No. 114-94,</w:t>
      </w:r>
      <w:r>
        <w:rPr>
          <w:color w:val="000000" w:themeColor="text1"/>
          <w:sz w:val="24"/>
          <w:szCs w:val="24"/>
        </w:rPr>
        <w:t xml:space="preserve"> FY 2016 – 2021, which was repealed with the passage of BIL.  </w:t>
      </w:r>
      <w:r w:rsidRPr="00897FE4">
        <w:rPr>
          <w:color w:val="000000" w:themeColor="text1"/>
          <w:sz w:val="24"/>
          <w:szCs w:val="24"/>
        </w:rPr>
        <w:t xml:space="preserve">Information about awards funded under the STSFA program is available at: </w:t>
      </w:r>
      <w:hyperlink r:id="rId7" w:history="1">
        <w:r w:rsidRPr="008027CA">
          <w:rPr>
            <w:rStyle w:val="Hyperlink"/>
            <w:sz w:val="24"/>
            <w:szCs w:val="24"/>
          </w:rPr>
          <w:t>https://ops.fhwa.dot.gov/stsfa/index.htm</w:t>
        </w:r>
      </w:hyperlink>
      <w:r w:rsidRPr="00897FE4">
        <w:rPr>
          <w:color w:val="000000" w:themeColor="text1"/>
          <w:sz w:val="24"/>
          <w:szCs w:val="24"/>
        </w:rPr>
        <w:t xml:space="preserve">.  </w:t>
      </w:r>
    </w:p>
    <w:p w:rsidR="00BE6717" w:rsidP="00BE6717" w14:paraId="3A56E2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E6717" w:rsidP="00BE6717" w14:paraId="324784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The </w:t>
      </w:r>
      <w:r w:rsidRPr="00A9412E">
        <w:rPr>
          <w:sz w:val="24"/>
          <w:szCs w:val="24"/>
        </w:rPr>
        <w:t>Strategic Innovation for Revenue Collection (SIRC) Program seeks to fund pilot projects that test the implementation of user-based alternative revenue mechanisms that utilize a road user fee structure.  The budget will provide $15 million annually (FY 2022 – 2026) to</w:t>
      </w:r>
      <w:r>
        <w:rPr>
          <w:sz w:val="24"/>
          <w:szCs w:val="24"/>
        </w:rPr>
        <w:t xml:space="preserve"> </w:t>
      </w:r>
      <w:r w:rsidRPr="00A9412E">
        <w:rPr>
          <w:sz w:val="24"/>
          <w:szCs w:val="24"/>
        </w:rPr>
        <w:t>eligible State, Metropolitan Planning Organization (MPO), and local government agencies or a group of eligible entities to test the feasibility of the program objectives</w:t>
      </w:r>
      <w:r>
        <w:rPr>
          <w:sz w:val="24"/>
          <w:szCs w:val="24"/>
        </w:rPr>
        <w:t xml:space="preserve"> outlined in </w:t>
      </w:r>
      <w:r w:rsidRPr="00A5316A">
        <w:rPr>
          <w:sz w:val="24"/>
          <w:szCs w:val="24"/>
        </w:rPr>
        <w:t>Section 133001 (b) (3)</w:t>
      </w:r>
      <w:r w:rsidRPr="00A9412E">
        <w:rPr>
          <w:sz w:val="24"/>
          <w:szCs w:val="24"/>
        </w:rPr>
        <w:t xml:space="preserve">.  Grant awards test innovative ways to replace or supplement the Federal gas tax to maintain the long-term solvency of the Highway Trust Fund.  </w:t>
      </w:r>
    </w:p>
    <w:p w:rsidR="00BE6717" w:rsidP="00BE6717" w14:paraId="7CC24E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BE6717" w:rsidP="00BE6717" w14:paraId="455455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A9412E">
        <w:rPr>
          <w:sz w:val="24"/>
          <w:szCs w:val="24"/>
        </w:rPr>
        <w:t xml:space="preserve">Awarded projects will test the design, acceptance, equity, and implementation of user-based alternative revenue mechanisms that meet one or more of the following program objectives; test the potential for adoption and integration of nationwide regulations for a revenue collection network, ease of compliance, use of innovation, imposition on transportation revenues and travel, quantifying and minimizing the administrative costs, privacy and security of the data collected, public acceptance, education and outreach to increase public awareness of user-based alternative revenue mechanisms, as well as the potential for revenue collection along a network of alternative fueling stations.  </w:t>
      </w:r>
    </w:p>
    <w:p w:rsidR="00BE6717" w:rsidRPr="00A53316" w:rsidP="00BE6717" w14:paraId="4F554E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BE6717" w:rsidRPr="00B345D6" w:rsidP="00BE6717" w14:paraId="16B487CB" w14:textId="7F5FC1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B345D6">
        <w:rPr>
          <w:snapToGrid w:val="0"/>
          <w:color w:val="000000"/>
          <w:sz w:val="24"/>
          <w:szCs w:val="24"/>
        </w:rPr>
        <w:t>The DOT seek</w:t>
      </w:r>
      <w:r>
        <w:rPr>
          <w:snapToGrid w:val="0"/>
          <w:color w:val="000000"/>
          <w:sz w:val="24"/>
          <w:szCs w:val="24"/>
        </w:rPr>
        <w:t>s</w:t>
      </w:r>
      <w:r w:rsidRPr="00B345D6">
        <w:rPr>
          <w:snapToGrid w:val="0"/>
          <w:color w:val="000000"/>
          <w:sz w:val="24"/>
          <w:szCs w:val="24"/>
        </w:rPr>
        <w:t xml:space="preserve"> full new demonstration project applications and extensions or enhancements of existing demonstration projects.  </w:t>
      </w:r>
      <w:r w:rsidRPr="00B345D6">
        <w:rPr>
          <w:snapToGrid w:val="0"/>
          <w:color w:val="000000"/>
          <w:sz w:val="24"/>
          <w:szCs w:val="24"/>
        </w:rPr>
        <w:t>For the purpose of</w:t>
      </w:r>
      <w:r w:rsidRPr="00B345D6">
        <w:rPr>
          <w:snapToGrid w:val="0"/>
          <w:color w:val="000000"/>
          <w:sz w:val="24"/>
          <w:szCs w:val="24"/>
        </w:rPr>
        <w:t xml:space="preserve"> th</w:t>
      </w:r>
      <w:r w:rsidR="00B10E3C">
        <w:rPr>
          <w:snapToGrid w:val="0"/>
          <w:color w:val="000000"/>
          <w:sz w:val="24"/>
          <w:szCs w:val="24"/>
        </w:rPr>
        <w:t>e</w:t>
      </w:r>
      <w:r w:rsidRPr="00B345D6">
        <w:rPr>
          <w:snapToGrid w:val="0"/>
          <w:color w:val="000000"/>
          <w:sz w:val="24"/>
          <w:szCs w:val="24"/>
        </w:rPr>
        <w:t xml:space="preserve"> NOFO</w:t>
      </w:r>
      <w:r w:rsidR="00B10E3C">
        <w:rPr>
          <w:snapToGrid w:val="0"/>
          <w:color w:val="000000"/>
          <w:sz w:val="24"/>
          <w:szCs w:val="24"/>
        </w:rPr>
        <w:t xml:space="preserve"> and this ICR</w:t>
      </w:r>
      <w:r w:rsidRPr="00B345D6">
        <w:rPr>
          <w:snapToGrid w:val="0"/>
          <w:color w:val="000000"/>
          <w:sz w:val="24"/>
          <w:szCs w:val="24"/>
        </w:rPr>
        <w:t>, a demonstration project is defined based on the definition of “innovation lifecycle” found in 23 U.S.C. 501(3)(D) and (E): a demonstration project will carry out development, deployment, and testing of the resulting technology or innovation; and will carry out an evaluation of the costs and benefits of the resulting technology or innovation.</w:t>
      </w:r>
      <w:r>
        <w:rPr>
          <w:snapToGrid w:val="0"/>
          <w:color w:val="000000"/>
          <w:sz w:val="24"/>
          <w:szCs w:val="24"/>
        </w:rPr>
        <w:t xml:space="preserve">  </w:t>
      </w:r>
      <w:r w:rsidRPr="00B345D6">
        <w:rPr>
          <w:snapToGrid w:val="0"/>
          <w:color w:val="000000"/>
          <w:sz w:val="24"/>
          <w:szCs w:val="24"/>
        </w:rPr>
        <w:t xml:space="preserve">The type of alternative revenue mechanism proposed is flexible, </w:t>
      </w:r>
      <w:r w:rsidRPr="00B345D6">
        <w:rPr>
          <w:snapToGrid w:val="0"/>
          <w:color w:val="000000"/>
          <w:sz w:val="24"/>
          <w:szCs w:val="24"/>
        </w:rPr>
        <w:t>as long as</w:t>
      </w:r>
      <w:r w:rsidRPr="00B345D6">
        <w:rPr>
          <w:snapToGrid w:val="0"/>
          <w:color w:val="000000"/>
          <w:sz w:val="24"/>
          <w:szCs w:val="24"/>
        </w:rPr>
        <w:t xml:space="preserve"> it is user-based</w:t>
      </w:r>
      <w:r w:rsidR="00A657C7">
        <w:rPr>
          <w:snapToGrid w:val="0"/>
          <w:color w:val="000000"/>
          <w:sz w:val="24"/>
          <w:szCs w:val="24"/>
        </w:rPr>
        <w:t xml:space="preserve">.  </w:t>
      </w:r>
      <w:r w:rsidRPr="00B345D6">
        <w:rPr>
          <w:snapToGrid w:val="0"/>
          <w:color w:val="000000"/>
          <w:sz w:val="24"/>
          <w:szCs w:val="24"/>
        </w:rPr>
        <w:t>Any revenue collected through a user-based alternative revenue mechanism established using funds provided under this section shall not be considered a toll.</w:t>
      </w:r>
    </w:p>
    <w:p w:rsidR="00BE6717" w:rsidRPr="00B345D6" w:rsidP="00BE6717" w14:paraId="26CA2C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E6717" w:rsidP="00BE6717" w14:paraId="57D7BBFC" w14:textId="213707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b/>
          <w:bCs/>
          <w:snapToGrid w:val="0"/>
          <w:color w:val="000000"/>
          <w:sz w:val="24"/>
          <w:szCs w:val="24"/>
        </w:rPr>
        <w:t>SIRC Program Collection of Information Stages</w:t>
      </w:r>
    </w:p>
    <w:p w:rsidR="00FF25AA" w:rsidP="00BE6717" w14:paraId="738CF1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C84761">
        <w:rPr>
          <w:snapToGrid w:val="0"/>
          <w:color w:val="000000"/>
          <w:sz w:val="24"/>
          <w:szCs w:val="24"/>
        </w:rPr>
        <w:t xml:space="preserve">DOT requests information from applicants in the form an electronic application, which will represent </w:t>
      </w:r>
      <w:r w:rsidR="00F56650">
        <w:rPr>
          <w:snapToGrid w:val="0"/>
          <w:color w:val="000000"/>
          <w:sz w:val="24"/>
          <w:szCs w:val="24"/>
        </w:rPr>
        <w:t>100</w:t>
      </w:r>
      <w:r w:rsidRPr="00C84761">
        <w:rPr>
          <w:snapToGrid w:val="0"/>
          <w:color w:val="000000"/>
          <w:sz w:val="24"/>
          <w:szCs w:val="24"/>
        </w:rPr>
        <w:t>% of the submissions.  The application will assist in soliciting proposals for funding from eligible applicants for the five-year grant program, to monitor the grant program recipients, project progress, assess project outcomes and permit evaluation.</w:t>
      </w:r>
      <w:r>
        <w:rPr>
          <w:snapToGrid w:val="0"/>
          <w:color w:val="000000"/>
          <w:sz w:val="24"/>
          <w:szCs w:val="24"/>
        </w:rPr>
        <w:t xml:space="preserve">  </w:t>
      </w:r>
    </w:p>
    <w:p w:rsidR="00FF25AA" w:rsidP="00BE6717" w14:paraId="6545E4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E6717" w:rsidRPr="00A53316" w:rsidP="00BE6717" w14:paraId="0A5395D5" w14:textId="535E57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color w:val="000000" w:themeColor="text1"/>
          <w:sz w:val="24"/>
          <w:szCs w:val="24"/>
        </w:rPr>
        <w:t>The reporting requirements are submitted by recipients and will be completed during the application stage, grant agreement, and the project management</w:t>
      </w:r>
      <w:r w:rsidR="00F56650">
        <w:rPr>
          <w:color w:val="000000" w:themeColor="text1"/>
          <w:sz w:val="24"/>
          <w:szCs w:val="24"/>
        </w:rPr>
        <w:t xml:space="preserve"> stages</w:t>
      </w:r>
      <w:r w:rsidRPr="00A53316">
        <w:rPr>
          <w:color w:val="000000" w:themeColor="text1"/>
          <w:sz w:val="24"/>
          <w:szCs w:val="24"/>
        </w:rPr>
        <w:t xml:space="preserve">. </w:t>
      </w:r>
    </w:p>
    <w:p w:rsidR="00BE6717" w:rsidRPr="00C35B89" w:rsidP="00BE6717" w14:paraId="43A7B3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BE6717" w:rsidRPr="00A53316" w:rsidP="00BE6717" w14:paraId="1397FB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snapToGrid w:val="0"/>
          <w:color w:val="000000"/>
          <w:sz w:val="24"/>
          <w:szCs w:val="24"/>
        </w:rPr>
      </w:pPr>
      <w:r w:rsidRPr="00A53316">
        <w:rPr>
          <w:bCs/>
          <w:snapToGrid w:val="0"/>
          <w:color w:val="000000"/>
          <w:sz w:val="24"/>
          <w:szCs w:val="24"/>
          <w:u w:val="single"/>
        </w:rPr>
        <w:t>Application Stage</w:t>
      </w:r>
      <w:r w:rsidRPr="00A53316">
        <w:rPr>
          <w:bCs/>
          <w:snapToGrid w:val="0"/>
          <w:color w:val="000000"/>
          <w:sz w:val="24"/>
          <w:szCs w:val="24"/>
        </w:rPr>
        <w:tab/>
      </w:r>
    </w:p>
    <w:p w:rsidR="00BE6717" w:rsidRPr="00A53316" w:rsidP="00BE6717" w14:paraId="48A4CB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 xml:space="preserve">To be considered an eligible applicant and a SIRC Program grant </w:t>
      </w:r>
      <w:r w:rsidRPr="00B84DD4">
        <w:rPr>
          <w:snapToGrid w:val="0"/>
          <w:color w:val="000000"/>
          <w:sz w:val="24"/>
          <w:szCs w:val="24"/>
        </w:rPr>
        <w:t>recipient</w:t>
      </w:r>
      <w:r w:rsidRPr="00A53316">
        <w:rPr>
          <w:snapToGrid w:val="0"/>
          <w:color w:val="000000"/>
          <w:sz w:val="24"/>
          <w:szCs w:val="24"/>
        </w:rPr>
        <w:t xml:space="preserve">, applicants must </w:t>
      </w:r>
      <w:r w:rsidRPr="00A53316">
        <w:rPr>
          <w:snapToGrid w:val="0"/>
          <w:color w:val="000000"/>
          <w:sz w:val="24"/>
          <w:szCs w:val="24"/>
        </w:rPr>
        <w:t>submit an application</w:t>
      </w:r>
      <w:r w:rsidRPr="00A53316">
        <w:rPr>
          <w:snapToGrid w:val="0"/>
          <w:color w:val="000000"/>
          <w:sz w:val="24"/>
          <w:szCs w:val="24"/>
        </w:rPr>
        <w:t xml:space="preserve"> to DOT containing </w:t>
      </w:r>
      <w:r w:rsidRPr="00A53316">
        <w:rPr>
          <w:color w:val="000000" w:themeColor="text1"/>
          <w:sz w:val="24"/>
          <w:szCs w:val="24"/>
        </w:rPr>
        <w:t xml:space="preserve">information </w:t>
      </w:r>
      <w:r w:rsidRPr="00A53316">
        <w:rPr>
          <w:snapToGrid w:val="0"/>
          <w:color w:val="000000"/>
          <w:sz w:val="24"/>
          <w:szCs w:val="24"/>
        </w:rPr>
        <w:t>as detailed in the Notice of Funding Opportunity (NOFO).</w:t>
      </w:r>
      <w:r>
        <w:rPr>
          <w:snapToGrid w:val="0"/>
          <w:color w:val="000000"/>
          <w:sz w:val="24"/>
          <w:szCs w:val="24"/>
        </w:rPr>
        <w:t xml:space="preserve">  </w:t>
      </w:r>
      <w:r w:rsidRPr="00A53316">
        <w:rPr>
          <w:snapToGrid w:val="0"/>
          <w:color w:val="000000"/>
          <w:sz w:val="24"/>
          <w:szCs w:val="24"/>
        </w:rPr>
        <w:t xml:space="preserve">The </w:t>
      </w:r>
      <w:r w:rsidRPr="00A53316">
        <w:rPr>
          <w:snapToGrid w:val="0"/>
          <w:color w:val="000000"/>
          <w:sz w:val="24"/>
          <w:szCs w:val="24"/>
        </w:rPr>
        <w:t>project narrative</w:t>
      </w:r>
      <w:r w:rsidRPr="00A53316">
        <w:rPr>
          <w:snapToGrid w:val="0"/>
          <w:color w:val="000000"/>
          <w:sz w:val="24"/>
          <w:szCs w:val="24"/>
        </w:rPr>
        <w:t xml:space="preserve"> </w:t>
      </w:r>
      <w:r w:rsidRPr="00A53316">
        <w:rPr>
          <w:snapToGrid w:val="0"/>
          <w:color w:val="000000"/>
          <w:sz w:val="24"/>
          <w:szCs w:val="24"/>
        </w:rPr>
        <w:t>should include the information necessary for the Department to determine that the project satisfies eligibility requirements as warranted by law.</w:t>
      </w:r>
      <w:r>
        <w:rPr>
          <w:snapToGrid w:val="0"/>
          <w:color w:val="000000"/>
          <w:sz w:val="24"/>
          <w:szCs w:val="24"/>
        </w:rPr>
        <w:t xml:space="preserve">  STSFA the predecessor program of the SIRC Program application package contained 5 electronic documents with an average of 3 pages per document.   </w:t>
      </w:r>
    </w:p>
    <w:p w:rsidR="00BE6717" w:rsidRPr="00C35B89" w:rsidP="00BE6717" w14:paraId="750FC10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Cs/>
          <w:snapToGrid w:val="0"/>
          <w:color w:val="000000"/>
          <w:sz w:val="24"/>
          <w:szCs w:val="24"/>
          <w:u w:val="single"/>
        </w:rPr>
      </w:pPr>
    </w:p>
    <w:p w:rsidR="00BE6717" w:rsidRPr="00A53316" w:rsidP="00BE6717" w14:paraId="786C8E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snapToGrid w:val="0"/>
          <w:color w:val="000000"/>
          <w:sz w:val="24"/>
          <w:szCs w:val="24"/>
        </w:rPr>
      </w:pPr>
      <w:r w:rsidRPr="00A53316">
        <w:rPr>
          <w:bCs/>
          <w:snapToGrid w:val="0"/>
          <w:color w:val="000000"/>
          <w:sz w:val="24"/>
          <w:szCs w:val="24"/>
          <w:u w:val="single"/>
        </w:rPr>
        <w:t>Grant Agreement Stage</w:t>
      </w:r>
      <w:r w:rsidRPr="00A53316">
        <w:rPr>
          <w:bCs/>
          <w:snapToGrid w:val="0"/>
          <w:color w:val="000000"/>
          <w:sz w:val="24"/>
          <w:szCs w:val="24"/>
        </w:rPr>
        <w:tab/>
      </w:r>
    </w:p>
    <w:p w:rsidR="00BE6717" w:rsidRPr="00C35B89" w:rsidP="00BE6717" w14:paraId="77B1C1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r w:rsidRPr="00A53316">
        <w:rPr>
          <w:snapToGrid w:val="0"/>
          <w:color w:val="000000"/>
          <w:sz w:val="24"/>
          <w:szCs w:val="24"/>
        </w:rPr>
        <w:t xml:space="preserve">The grant agreement is an agreement between </w:t>
      </w:r>
      <w:r w:rsidRPr="00A53316">
        <w:rPr>
          <w:color w:val="000000" w:themeColor="text1"/>
          <w:sz w:val="24"/>
          <w:szCs w:val="24"/>
        </w:rPr>
        <w:t>FHWA</w:t>
      </w:r>
      <w:r w:rsidRPr="00A53316">
        <w:rPr>
          <w:snapToGrid w:val="0"/>
          <w:color w:val="000000"/>
          <w:sz w:val="24"/>
          <w:szCs w:val="24"/>
        </w:rPr>
        <w:t xml:space="preserve"> and the </w:t>
      </w:r>
      <w:r>
        <w:rPr>
          <w:snapToGrid w:val="0"/>
          <w:color w:val="000000"/>
          <w:sz w:val="24"/>
          <w:szCs w:val="24"/>
        </w:rPr>
        <w:t xml:space="preserve">grantee </w:t>
      </w:r>
      <w:r w:rsidRPr="00A53316">
        <w:rPr>
          <w:snapToGrid w:val="0"/>
          <w:color w:val="000000"/>
          <w:sz w:val="24"/>
          <w:szCs w:val="24"/>
        </w:rPr>
        <w:t>recipient.</w:t>
      </w:r>
      <w:r>
        <w:rPr>
          <w:snapToGrid w:val="0"/>
          <w:color w:val="000000"/>
          <w:sz w:val="24"/>
          <w:szCs w:val="24"/>
        </w:rPr>
        <w:t xml:space="preserve">  </w:t>
      </w:r>
      <w:r w:rsidRPr="00A53316">
        <w:rPr>
          <w:snapToGrid w:val="0"/>
          <w:color w:val="000000"/>
          <w:sz w:val="24"/>
          <w:szCs w:val="24"/>
        </w:rPr>
        <w:t>In the grant agreement</w:t>
      </w:r>
      <w:r>
        <w:rPr>
          <w:snapToGrid w:val="0"/>
          <w:color w:val="000000"/>
          <w:sz w:val="24"/>
          <w:szCs w:val="24"/>
        </w:rPr>
        <w:t xml:space="preserve"> </w:t>
      </w:r>
      <w:r w:rsidRPr="00A53316">
        <w:rPr>
          <w:snapToGrid w:val="0"/>
          <w:color w:val="000000"/>
          <w:sz w:val="24"/>
          <w:szCs w:val="24"/>
        </w:rPr>
        <w:t xml:space="preserve">the recipient must describe the project that FHWA agreed to fund, which is typically the project that was described in the </w:t>
      </w:r>
      <w:r>
        <w:rPr>
          <w:snapToGrid w:val="0"/>
          <w:color w:val="000000"/>
          <w:sz w:val="24"/>
          <w:szCs w:val="24"/>
        </w:rPr>
        <w:t>SIRC</w:t>
      </w:r>
      <w:r w:rsidRPr="00A53316">
        <w:rPr>
          <w:snapToGrid w:val="0"/>
          <w:color w:val="000000"/>
          <w:sz w:val="24"/>
          <w:szCs w:val="24"/>
        </w:rPr>
        <w:t xml:space="preserve"> Program</w:t>
      </w:r>
      <w:r w:rsidRPr="00A53316">
        <w:rPr>
          <w:color w:val="000000" w:themeColor="text1"/>
          <w:sz w:val="24"/>
          <w:szCs w:val="24"/>
        </w:rPr>
        <w:t xml:space="preserve"> </w:t>
      </w:r>
      <w:r w:rsidRPr="00A53316">
        <w:rPr>
          <w:snapToGrid w:val="0"/>
          <w:color w:val="000000"/>
          <w:sz w:val="24"/>
          <w:szCs w:val="24"/>
        </w:rPr>
        <w:t>application</w:t>
      </w:r>
      <w:r>
        <w:rPr>
          <w:snapToGrid w:val="0"/>
          <w:color w:val="000000"/>
          <w:sz w:val="24"/>
          <w:szCs w:val="24"/>
        </w:rPr>
        <w:t xml:space="preserve"> (</w:t>
      </w:r>
      <w:r w:rsidRPr="00A53316">
        <w:rPr>
          <w:snapToGrid w:val="0"/>
          <w:color w:val="000000"/>
          <w:sz w:val="24"/>
          <w:szCs w:val="24"/>
        </w:rPr>
        <w:t>or a reduced-scope version of that project</w:t>
      </w:r>
      <w:r>
        <w:rPr>
          <w:snapToGrid w:val="0"/>
          <w:color w:val="000000"/>
          <w:sz w:val="24"/>
          <w:szCs w:val="24"/>
        </w:rPr>
        <w:t>)</w:t>
      </w:r>
      <w:r w:rsidRPr="00A53316">
        <w:rPr>
          <w:snapToGrid w:val="0"/>
          <w:color w:val="000000"/>
          <w:sz w:val="24"/>
          <w:szCs w:val="24"/>
        </w:rPr>
        <w:t>.</w:t>
      </w:r>
      <w:r>
        <w:rPr>
          <w:snapToGrid w:val="0"/>
          <w:color w:val="000000"/>
          <w:sz w:val="24"/>
          <w:szCs w:val="24"/>
        </w:rPr>
        <w:t xml:space="preserve">  </w:t>
      </w:r>
      <w:r w:rsidRPr="00A53316">
        <w:rPr>
          <w:snapToGrid w:val="0"/>
          <w:color w:val="000000"/>
          <w:sz w:val="24"/>
          <w:szCs w:val="24"/>
        </w:rPr>
        <w:t xml:space="preserve">The grant agreement must also include a detailed breakdown of the project schedule and a budget listing all major activities that will be completed as part of the project. </w:t>
      </w:r>
    </w:p>
    <w:p w:rsidR="00BE6717" w:rsidP="00BE6717" w14:paraId="79545A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sz w:val="24"/>
          <w:szCs w:val="24"/>
        </w:rPr>
      </w:pPr>
      <w:r w:rsidRPr="00C35B89">
        <w:rPr>
          <w:rFonts w:ascii="Arial" w:hAnsi="Arial" w:cs="Arial"/>
          <w:b/>
          <w:snapToGrid w:val="0"/>
          <w:color w:val="000000"/>
          <w:sz w:val="24"/>
          <w:szCs w:val="24"/>
        </w:rPr>
        <w:t xml:space="preserve">      </w:t>
      </w:r>
    </w:p>
    <w:p w:rsidR="00BE6717" w:rsidRPr="00A53316" w:rsidP="00BE6717" w14:paraId="343091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4"/>
          <w:szCs w:val="24"/>
        </w:rPr>
      </w:pPr>
      <w:r w:rsidRPr="00A53316">
        <w:rPr>
          <w:b/>
          <w:snapToGrid w:val="0"/>
          <w:color w:val="000000"/>
          <w:sz w:val="24"/>
          <w:szCs w:val="24"/>
        </w:rPr>
        <w:t xml:space="preserve">     </w:t>
      </w:r>
      <w:r w:rsidRPr="00A53316">
        <w:rPr>
          <w:bCs/>
          <w:snapToGrid w:val="0"/>
          <w:color w:val="000000"/>
          <w:sz w:val="24"/>
          <w:szCs w:val="24"/>
          <w:u w:val="single"/>
        </w:rPr>
        <w:t>Project Management Stage</w:t>
      </w:r>
    </w:p>
    <w:p w:rsidR="00BE6717" w:rsidRPr="00A53316" w:rsidP="00BE6717" w14:paraId="463D96C1" w14:textId="7AFB1A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 xml:space="preserve">The reporting requirements under this stage are necessary to ensure the proper and timely expenditure of federal funds within the scope of the approved project.  The requirements comply with the Common Grant Rule and are also included in sections of the grant agreement.  During the project management stage, the </w:t>
      </w:r>
      <w:r w:rsidRPr="002F64A5">
        <w:rPr>
          <w:snapToGrid w:val="0"/>
          <w:color w:val="000000"/>
          <w:sz w:val="24"/>
          <w:szCs w:val="24"/>
        </w:rPr>
        <w:t>grantee recipient</w:t>
      </w:r>
      <w:r w:rsidRPr="00A53316">
        <w:rPr>
          <w:snapToGrid w:val="0"/>
          <w:color w:val="000000"/>
          <w:sz w:val="24"/>
          <w:szCs w:val="24"/>
        </w:rPr>
        <w:t xml:space="preserve"> will complete Quarterly Progress and Monitoring Reports to ensure that the project budget and schedule will be maintained to the maximum extent possible, </w:t>
      </w:r>
      <w:r>
        <w:rPr>
          <w:snapToGrid w:val="0"/>
          <w:color w:val="000000"/>
          <w:sz w:val="24"/>
          <w:szCs w:val="24"/>
        </w:rPr>
        <w:t xml:space="preserve">in addition to </w:t>
      </w:r>
      <w:r w:rsidRPr="00A53316">
        <w:rPr>
          <w:snapToGrid w:val="0"/>
          <w:color w:val="000000"/>
          <w:sz w:val="24"/>
          <w:szCs w:val="24"/>
        </w:rPr>
        <w:t>the project be</w:t>
      </w:r>
      <w:r>
        <w:rPr>
          <w:snapToGrid w:val="0"/>
          <w:color w:val="000000"/>
          <w:sz w:val="24"/>
          <w:szCs w:val="24"/>
        </w:rPr>
        <w:t>ing</w:t>
      </w:r>
      <w:r w:rsidRPr="00A53316">
        <w:rPr>
          <w:snapToGrid w:val="0"/>
          <w:color w:val="000000"/>
          <w:sz w:val="24"/>
          <w:szCs w:val="24"/>
        </w:rPr>
        <w:t xml:space="preserve"> completed with the highest degree of quality</w:t>
      </w:r>
      <w:r>
        <w:rPr>
          <w:snapToGrid w:val="0"/>
          <w:color w:val="000000"/>
          <w:sz w:val="24"/>
          <w:szCs w:val="24"/>
        </w:rPr>
        <w:t xml:space="preserve"> </w:t>
      </w:r>
      <w:r w:rsidRPr="00A53316">
        <w:rPr>
          <w:snapToGrid w:val="0"/>
          <w:color w:val="000000"/>
          <w:sz w:val="24"/>
          <w:szCs w:val="24"/>
        </w:rPr>
        <w:t xml:space="preserve">and </w:t>
      </w:r>
      <w:r>
        <w:rPr>
          <w:snapToGrid w:val="0"/>
          <w:color w:val="000000"/>
          <w:sz w:val="24"/>
          <w:szCs w:val="24"/>
        </w:rPr>
        <w:t xml:space="preserve">in compliance </w:t>
      </w:r>
      <w:r w:rsidRPr="00A53316">
        <w:rPr>
          <w:snapToGrid w:val="0"/>
          <w:color w:val="000000"/>
          <w:sz w:val="24"/>
          <w:szCs w:val="24"/>
        </w:rPr>
        <w:t>with Federal regulations</w:t>
      </w:r>
      <w:r>
        <w:rPr>
          <w:snapToGrid w:val="0"/>
          <w:color w:val="000000"/>
          <w:sz w:val="24"/>
          <w:szCs w:val="24"/>
        </w:rPr>
        <w:t xml:space="preserve">.  </w:t>
      </w:r>
      <w:r w:rsidRPr="00A53316">
        <w:rPr>
          <w:snapToGrid w:val="0"/>
          <w:color w:val="000000"/>
          <w:sz w:val="24"/>
          <w:szCs w:val="24"/>
        </w:rPr>
        <w:t>The substantive requirements of the report include: the project’s overall status; significant project activities and issues; action items/outstanding issues; project scope overview; project schedule; project cost; an SF-425 Federal Financial Report; and certifications.</w:t>
      </w:r>
      <w:r>
        <w:rPr>
          <w:snapToGrid w:val="0"/>
          <w:color w:val="000000"/>
          <w:sz w:val="24"/>
          <w:szCs w:val="24"/>
        </w:rPr>
        <w:t xml:space="preserve">  </w:t>
      </w:r>
      <w:r w:rsidRPr="00A53316">
        <w:rPr>
          <w:snapToGrid w:val="0"/>
          <w:color w:val="000000"/>
          <w:sz w:val="24"/>
          <w:szCs w:val="24"/>
        </w:rPr>
        <w:t xml:space="preserve">This reporting requirement will greatly reduce the need for on-site visits by staff.  </w:t>
      </w:r>
    </w:p>
    <w:p w:rsidR="00BE6717" w:rsidRPr="00C35B89" w:rsidP="00BE6717" w14:paraId="43CD41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val="0"/>
          <w:color w:val="000000"/>
          <w:sz w:val="24"/>
          <w:szCs w:val="24"/>
        </w:rPr>
      </w:pPr>
    </w:p>
    <w:p w:rsidR="00BE6717" w:rsidRPr="00A53316" w:rsidP="00BE6717" w14:paraId="344A5E19" w14:textId="77777777">
      <w:pPr>
        <w:pStyle w:val="NormalWeb"/>
        <w:jc w:val="both"/>
      </w:pPr>
      <w:r w:rsidRPr="00A53316">
        <w:t xml:space="preserve">2. </w:t>
      </w:r>
      <w:r w:rsidRPr="00A53316">
        <w:rPr>
          <w:u w:val="single"/>
        </w:rPr>
        <w:t>How, by whom, and for what purpose is the information used</w:t>
      </w:r>
      <w:r w:rsidRPr="00A53316">
        <w:t>:</w:t>
      </w:r>
    </w:p>
    <w:p w:rsidR="00BE6717" w:rsidRPr="00A53316" w:rsidP="00BE6717" w14:paraId="2408BD80"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 xml:space="preserve">The information collected will be used by FHWA. </w:t>
      </w:r>
    </w:p>
    <w:p w:rsidR="00BE6717" w:rsidRPr="00A53316" w:rsidP="00BE6717" w14:paraId="7E5A97DC"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2"/>
          <w:szCs w:val="22"/>
        </w:rPr>
      </w:pPr>
    </w:p>
    <w:p w:rsidR="00BE6717" w:rsidP="00BE6717" w14:paraId="7480D43F" w14:textId="1C9728A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 xml:space="preserve">FHWA will continue to use the information collected in the application phase to evaluate proposals and make decisions to award grants to applicants for any future similar </w:t>
      </w:r>
      <w:r w:rsidR="00207EFC">
        <w:rPr>
          <w:snapToGrid w:val="0"/>
          <w:color w:val="000000"/>
          <w:sz w:val="24"/>
          <w:szCs w:val="24"/>
        </w:rPr>
        <w:t>a</w:t>
      </w:r>
      <w:r w:rsidRPr="00A53316">
        <w:rPr>
          <w:snapToGrid w:val="0"/>
          <w:color w:val="000000"/>
          <w:sz w:val="24"/>
          <w:szCs w:val="24"/>
        </w:rPr>
        <w:t>ppropriations.</w:t>
      </w:r>
      <w:r>
        <w:rPr>
          <w:snapToGrid w:val="0"/>
          <w:color w:val="000000"/>
          <w:sz w:val="24"/>
          <w:szCs w:val="24"/>
        </w:rPr>
        <w:t xml:space="preserve">  </w:t>
      </w:r>
      <w:r w:rsidRPr="00A53316">
        <w:rPr>
          <w:snapToGrid w:val="0"/>
          <w:color w:val="000000"/>
          <w:sz w:val="24"/>
          <w:szCs w:val="24"/>
        </w:rPr>
        <w:t xml:space="preserve">FHWA will use the information to monitor the progress of projects that have been awarded </w:t>
      </w:r>
      <w:r>
        <w:rPr>
          <w:snapToGrid w:val="0"/>
          <w:color w:val="000000"/>
          <w:sz w:val="24"/>
          <w:szCs w:val="24"/>
        </w:rPr>
        <w:t>SIRC</w:t>
      </w:r>
      <w:r w:rsidRPr="00A53316">
        <w:rPr>
          <w:snapToGrid w:val="0"/>
          <w:color w:val="000000"/>
          <w:sz w:val="24"/>
          <w:szCs w:val="24"/>
        </w:rPr>
        <w:t xml:space="preserve"> Program funds, and to monitor the proper expenditure of Federal funds.  </w:t>
      </w:r>
    </w:p>
    <w:p w:rsidR="00BE6CF5" w:rsidP="00BE6717" w14:paraId="08BE2F1B"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The project management information will be collected by grant recipients.</w:t>
      </w:r>
      <w:r>
        <w:rPr>
          <w:snapToGrid w:val="0"/>
          <w:color w:val="000000"/>
          <w:sz w:val="24"/>
          <w:szCs w:val="24"/>
        </w:rPr>
        <w:t xml:space="preserve">  </w:t>
      </w:r>
    </w:p>
    <w:p w:rsidR="00BE6CF5" w:rsidP="00BE6717" w14:paraId="451F7A16"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FF25AA" w:rsidP="00BE6717" w14:paraId="428D27EA"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Much of the information will be produced and collected through the normal process of project management, so the additional burden of Government information collection is small</w:t>
      </w:r>
      <w:r w:rsidRPr="00C35B89">
        <w:rPr>
          <w:rFonts w:ascii="Arial" w:hAnsi="Arial" w:cs="Arial"/>
          <w:snapToGrid w:val="0"/>
          <w:color w:val="000000"/>
          <w:sz w:val="24"/>
          <w:szCs w:val="24"/>
        </w:rPr>
        <w:t xml:space="preserve"> </w:t>
      </w:r>
      <w:r w:rsidRPr="00A53316">
        <w:rPr>
          <w:snapToGrid w:val="0"/>
          <w:color w:val="000000"/>
          <w:sz w:val="24"/>
          <w:szCs w:val="24"/>
        </w:rPr>
        <w:t>in comparison to the</w:t>
      </w:r>
      <w:r w:rsidRPr="00C35B89">
        <w:rPr>
          <w:rFonts w:ascii="Arial" w:hAnsi="Arial" w:cs="Arial"/>
          <w:snapToGrid w:val="0"/>
          <w:color w:val="000000"/>
          <w:sz w:val="24"/>
          <w:szCs w:val="24"/>
        </w:rPr>
        <w:t xml:space="preserve"> </w:t>
      </w:r>
      <w:r w:rsidRPr="00A657C7" w:rsidR="00207EFC">
        <w:rPr>
          <w:snapToGrid w:val="0"/>
          <w:color w:val="000000"/>
          <w:sz w:val="24"/>
          <w:szCs w:val="24"/>
        </w:rPr>
        <w:t xml:space="preserve">data </w:t>
      </w:r>
      <w:r w:rsidR="00207EFC">
        <w:rPr>
          <w:snapToGrid w:val="0"/>
          <w:color w:val="000000"/>
          <w:sz w:val="24"/>
          <w:szCs w:val="24"/>
        </w:rPr>
        <w:t>management relate</w:t>
      </w:r>
      <w:r w:rsidR="00BE6CF5">
        <w:rPr>
          <w:snapToGrid w:val="0"/>
          <w:color w:val="000000"/>
          <w:sz w:val="24"/>
          <w:szCs w:val="24"/>
        </w:rPr>
        <w:t xml:space="preserve">d to </w:t>
      </w:r>
      <w:r w:rsidRPr="00207EFC">
        <w:rPr>
          <w:snapToGrid w:val="0"/>
          <w:color w:val="000000"/>
          <w:sz w:val="24"/>
          <w:szCs w:val="24"/>
        </w:rPr>
        <w:t>information</w:t>
      </w:r>
      <w:r w:rsidRPr="00A53316">
        <w:rPr>
          <w:snapToGrid w:val="0"/>
          <w:color w:val="000000"/>
          <w:sz w:val="24"/>
          <w:szCs w:val="24"/>
        </w:rPr>
        <w:t xml:space="preserve"> that grant recipients already collect to manage their projects properly.</w:t>
      </w:r>
      <w:r>
        <w:rPr>
          <w:snapToGrid w:val="0"/>
          <w:color w:val="000000"/>
          <w:sz w:val="24"/>
          <w:szCs w:val="24"/>
        </w:rPr>
        <w:t xml:space="preserve">  </w:t>
      </w:r>
    </w:p>
    <w:p w:rsidR="00FF25AA" w:rsidP="00BE6717" w14:paraId="2F6D9587" w14:textId="7777777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BE6717" w:rsidRPr="00C35B89" w:rsidP="00BE6717" w14:paraId="05DEE52E" w14:textId="6DA0085C">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rFonts w:ascii="Arial" w:hAnsi="Arial" w:cs="Arial"/>
          <w:snapToGrid w:val="0"/>
          <w:color w:val="000000"/>
          <w:sz w:val="24"/>
          <w:szCs w:val="24"/>
        </w:rPr>
      </w:pPr>
      <w:r w:rsidRPr="00A53316">
        <w:rPr>
          <w:snapToGrid w:val="0"/>
          <w:color w:val="000000"/>
          <w:sz w:val="24"/>
          <w:szCs w:val="24"/>
        </w:rPr>
        <w:t xml:space="preserve">The purpose of the project management information collection is to ensure that the project </w:t>
      </w:r>
      <w:r w:rsidR="00BE6CF5">
        <w:rPr>
          <w:snapToGrid w:val="0"/>
          <w:color w:val="000000"/>
          <w:sz w:val="24"/>
          <w:szCs w:val="24"/>
        </w:rPr>
        <w:t xml:space="preserve">scope, </w:t>
      </w:r>
      <w:r w:rsidRPr="00A53316" w:rsidR="001E609D">
        <w:rPr>
          <w:snapToGrid w:val="0"/>
          <w:color w:val="000000"/>
          <w:sz w:val="24"/>
          <w:szCs w:val="24"/>
        </w:rPr>
        <w:t>budget,</w:t>
      </w:r>
      <w:r w:rsidRPr="00A53316">
        <w:rPr>
          <w:snapToGrid w:val="0"/>
          <w:color w:val="000000"/>
          <w:sz w:val="24"/>
          <w:szCs w:val="24"/>
        </w:rPr>
        <w:t xml:space="preserve"> and schedule will be maintained to the maximum extent possible</w:t>
      </w:r>
      <w:r w:rsidR="00BE6CF5">
        <w:rPr>
          <w:snapToGrid w:val="0"/>
          <w:color w:val="000000"/>
          <w:sz w:val="24"/>
          <w:szCs w:val="24"/>
        </w:rPr>
        <w:t xml:space="preserve"> to support </w:t>
      </w:r>
      <w:r w:rsidRPr="00A53316">
        <w:rPr>
          <w:snapToGrid w:val="0"/>
          <w:color w:val="000000"/>
          <w:sz w:val="24"/>
          <w:szCs w:val="24"/>
        </w:rPr>
        <w:t>project complet</w:t>
      </w:r>
      <w:r w:rsidR="00BE6CF5">
        <w:rPr>
          <w:snapToGrid w:val="0"/>
          <w:color w:val="000000"/>
          <w:sz w:val="24"/>
          <w:szCs w:val="24"/>
        </w:rPr>
        <w:t xml:space="preserve">ion to </w:t>
      </w:r>
      <w:r w:rsidRPr="00A53316">
        <w:rPr>
          <w:snapToGrid w:val="0"/>
          <w:color w:val="000000"/>
          <w:sz w:val="24"/>
          <w:szCs w:val="24"/>
        </w:rPr>
        <w:t xml:space="preserve">the highest degree of quality, and </w:t>
      </w:r>
      <w:r w:rsidR="00BE6CF5">
        <w:rPr>
          <w:snapToGrid w:val="0"/>
          <w:color w:val="000000"/>
          <w:sz w:val="24"/>
          <w:szCs w:val="24"/>
        </w:rPr>
        <w:t xml:space="preserve">in </w:t>
      </w:r>
      <w:r w:rsidRPr="00A53316">
        <w:rPr>
          <w:snapToGrid w:val="0"/>
          <w:color w:val="000000"/>
          <w:sz w:val="24"/>
          <w:szCs w:val="24"/>
        </w:rPr>
        <w:t>compliance with Federal regulations.</w:t>
      </w:r>
    </w:p>
    <w:p w:rsidR="00BE6717" w:rsidP="00BE6717" w14:paraId="530AC1EB" w14:textId="77777777">
      <w:pPr>
        <w:pStyle w:val="NormalWeb"/>
        <w:contextualSpacing/>
      </w:pPr>
    </w:p>
    <w:p w:rsidR="00BE6717" w:rsidRPr="00A53316" w:rsidP="00BE6717" w14:paraId="5EBE34A7" w14:textId="77777777">
      <w:pPr>
        <w:pStyle w:val="NormalWeb"/>
        <w:contextualSpacing/>
      </w:pPr>
      <w:r w:rsidRPr="00A53316">
        <w:t xml:space="preserve">3. </w:t>
      </w:r>
      <w:r w:rsidRPr="00A53316">
        <w:rPr>
          <w:u w:val="single"/>
        </w:rPr>
        <w:t>Extent of automated information collection</w:t>
      </w:r>
      <w:r w:rsidRPr="00A53316">
        <w:t>:</w:t>
      </w:r>
    </w:p>
    <w:p w:rsidR="00BE6717" w:rsidRPr="00A53316" w:rsidP="00BE6717" w14:paraId="41F6D42B"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 xml:space="preserve">The Department will receive application reports electronically via email and via websites from grant awardees upon approval from OMB.  Certain agencies within the Department have found that delivery of reports electronically is the most reliable way to collect information and will use their existing grant administration systems to collect the information covered under this request.  To minimize the burden on applicants, OMB approved standard forms are being used to collect information where possible. Such standard forms include the Application for Federal Assistance (SF-424), available online at </w:t>
      </w:r>
      <w:hyperlink r:id="rId8" w:history="1">
        <w:r w:rsidRPr="00A53316">
          <w:rPr>
            <w:rStyle w:val="Hyperlink"/>
            <w:snapToGrid w:val="0"/>
            <w:sz w:val="24"/>
            <w:szCs w:val="24"/>
          </w:rPr>
          <w:t>https://apply07.grants.gov/apply/forms/sample/SF424_2_1-V2.1.pdf</w:t>
        </w:r>
      </w:hyperlink>
      <w:r w:rsidRPr="00A53316">
        <w:rPr>
          <w:snapToGrid w:val="0"/>
          <w:color w:val="000000"/>
          <w:sz w:val="24"/>
          <w:szCs w:val="24"/>
        </w:rPr>
        <w:t xml:space="preserve">, and the post-award Federal Financial Reports form (SF–425), available online at </w:t>
      </w:r>
      <w:hyperlink r:id="rId9" w:history="1">
        <w:r w:rsidRPr="00A53316">
          <w:rPr>
            <w:rStyle w:val="Hyperlink"/>
            <w:snapToGrid w:val="0"/>
            <w:sz w:val="24"/>
            <w:szCs w:val="24"/>
          </w:rPr>
          <w:t>https://apply07.grants.gov/apply/forms/sample/SF425_2_0-V2.0.pdf</w:t>
        </w:r>
      </w:hyperlink>
      <w:r w:rsidRPr="00A53316">
        <w:rPr>
          <w:snapToGrid w:val="0"/>
          <w:color w:val="000000"/>
          <w:sz w:val="24"/>
          <w:szCs w:val="24"/>
        </w:rPr>
        <w:t>.</w:t>
      </w:r>
    </w:p>
    <w:p w:rsidR="00BE6717" w:rsidRPr="00A53316" w:rsidP="00BE6717" w14:paraId="353645DF"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2"/>
          <w:szCs w:val="22"/>
        </w:rPr>
      </w:pPr>
    </w:p>
    <w:p w:rsidR="00BE6717" w:rsidP="00BE6717" w14:paraId="7E234417" w14:textId="6E39625E">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53316">
        <w:rPr>
          <w:snapToGrid w:val="0"/>
          <w:color w:val="000000"/>
          <w:sz w:val="24"/>
          <w:szCs w:val="24"/>
        </w:rPr>
        <w:t>All information submitted as part of or in support of any application shall use publicly available data or data that can be made public.</w:t>
      </w:r>
      <w:r>
        <w:rPr>
          <w:snapToGrid w:val="0"/>
          <w:color w:val="000000"/>
          <w:sz w:val="24"/>
          <w:szCs w:val="24"/>
        </w:rPr>
        <w:t xml:space="preserve">  </w:t>
      </w:r>
      <w:r w:rsidRPr="00A53316">
        <w:rPr>
          <w:snapToGrid w:val="0"/>
          <w:color w:val="000000"/>
          <w:sz w:val="24"/>
          <w:szCs w:val="24"/>
        </w:rPr>
        <w:t>If the application includes information the applicant considers to be a trade secret or confidential commercial or financial information, the applicant should do the following: (1) Note on the front cover that the submission “Contains Confidential Business Information (CBI)”; (2) mark each affected page “CBI”; and (3) highlight or otherwise denote the CBI portions.</w:t>
      </w:r>
      <w:r>
        <w:rPr>
          <w:snapToGrid w:val="0"/>
          <w:color w:val="000000"/>
          <w:sz w:val="24"/>
          <w:szCs w:val="24"/>
        </w:rPr>
        <w:t xml:space="preserve">  </w:t>
      </w:r>
      <w:r w:rsidRPr="00A53316">
        <w:rPr>
          <w:snapToGrid w:val="0"/>
          <w:color w:val="000000"/>
          <w:sz w:val="24"/>
          <w:szCs w:val="24"/>
        </w:rPr>
        <w:t>DOT protects such information from disclosure to the extent allowed under applicable law.</w:t>
      </w:r>
      <w:r>
        <w:rPr>
          <w:snapToGrid w:val="0"/>
          <w:color w:val="000000"/>
          <w:sz w:val="24"/>
          <w:szCs w:val="24"/>
        </w:rPr>
        <w:t xml:space="preserve">  </w:t>
      </w:r>
      <w:r w:rsidRPr="00A53316">
        <w:rPr>
          <w:snapToGrid w:val="0"/>
          <w:color w:val="000000"/>
          <w:sz w:val="24"/>
          <w:szCs w:val="24"/>
        </w:rPr>
        <w:t>In the event DOT receives a Freedom of Information Act (FOIA) request for the information, DOT will follow the procedures described in its FOIA regulations at 49 CFR 7.17.</w:t>
      </w:r>
      <w:r>
        <w:rPr>
          <w:snapToGrid w:val="0"/>
          <w:color w:val="000000"/>
          <w:sz w:val="24"/>
          <w:szCs w:val="24"/>
        </w:rPr>
        <w:t xml:space="preserve">  </w:t>
      </w:r>
      <w:r w:rsidRPr="00A53316">
        <w:rPr>
          <w:snapToGrid w:val="0"/>
          <w:color w:val="000000"/>
          <w:sz w:val="24"/>
          <w:szCs w:val="24"/>
        </w:rPr>
        <w:t>Only information that is ultimately determined to be confidential under that</w:t>
      </w:r>
      <w:r>
        <w:rPr>
          <w:snapToGrid w:val="0"/>
          <w:color w:val="000000"/>
          <w:sz w:val="24"/>
          <w:szCs w:val="24"/>
        </w:rPr>
        <w:t xml:space="preserve"> </w:t>
      </w:r>
      <w:r w:rsidRPr="00A53316">
        <w:rPr>
          <w:snapToGrid w:val="0"/>
          <w:color w:val="000000"/>
          <w:sz w:val="24"/>
          <w:szCs w:val="24"/>
        </w:rPr>
        <w:t>procedure will be exempt from disclosure under FOIA.</w:t>
      </w:r>
      <w:r w:rsidR="00BE6CF5">
        <w:rPr>
          <w:snapToGrid w:val="0"/>
          <w:color w:val="000000"/>
          <w:sz w:val="24"/>
          <w:szCs w:val="24"/>
        </w:rPr>
        <w:t xml:space="preserve">  </w:t>
      </w:r>
      <w:r w:rsidRPr="00BE6CF5" w:rsidR="00BE6CF5">
        <w:rPr>
          <w:snapToGrid w:val="0"/>
          <w:color w:val="000000"/>
          <w:sz w:val="24"/>
          <w:szCs w:val="24"/>
        </w:rPr>
        <w:t xml:space="preserve">Retention of records will adhere to DOT Order 1351.28 Records Management, 28.4.5 Electronic Records.  </w:t>
      </w:r>
    </w:p>
    <w:p w:rsidR="00BE6717" w:rsidRPr="00A53316" w:rsidP="00BE6717" w14:paraId="29F81C85"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BE6717" w:rsidRPr="00A53316" w:rsidP="00BE6717" w14:paraId="2E6ADF07" w14:textId="77777777">
      <w:pPr>
        <w:pStyle w:val="NormalWeb"/>
      </w:pPr>
      <w:r w:rsidRPr="00A53316">
        <w:t xml:space="preserve">4. </w:t>
      </w:r>
      <w:r w:rsidRPr="00A53316">
        <w:rPr>
          <w:u w:val="single"/>
        </w:rPr>
        <w:t>Efforts to identify duplication</w:t>
      </w:r>
      <w:r w:rsidRPr="00A53316">
        <w:t>:</w:t>
      </w:r>
    </w:p>
    <w:p w:rsidR="00BE6717" w:rsidRPr="00A53316" w:rsidP="00BE6717" w14:paraId="54FAD8AC" w14:textId="77777777">
      <w:pPr>
        <w:widowControl w:val="0"/>
        <w:tabs>
          <w:tab w:val="left" w:pos="2160"/>
          <w:tab w:val="left" w:pos="2880"/>
          <w:tab w:val="left" w:pos="3600"/>
          <w:tab w:val="left" w:pos="4320"/>
          <w:tab w:val="left" w:pos="5040"/>
          <w:tab w:val="left" w:pos="5760"/>
          <w:tab w:val="left" w:pos="6480"/>
          <w:tab w:val="left" w:pos="7200"/>
          <w:tab w:val="left" w:pos="7920"/>
          <w:tab w:val="left" w:pos="8640"/>
        </w:tabs>
        <w:ind w:left="360"/>
        <w:rPr>
          <w:b/>
          <w:snapToGrid w:val="0"/>
          <w:color w:val="000000"/>
          <w:sz w:val="24"/>
          <w:szCs w:val="24"/>
        </w:rPr>
      </w:pPr>
      <w:r w:rsidRPr="00A53316">
        <w:rPr>
          <w:snapToGrid w:val="0"/>
          <w:color w:val="000000"/>
          <w:sz w:val="24"/>
          <w:szCs w:val="24"/>
        </w:rPr>
        <w:t xml:space="preserve">The information collected from </w:t>
      </w:r>
      <w:r w:rsidRPr="00E23D87">
        <w:rPr>
          <w:snapToGrid w:val="0"/>
          <w:color w:val="000000"/>
          <w:sz w:val="24"/>
          <w:szCs w:val="24"/>
        </w:rPr>
        <w:t>grant recipients</w:t>
      </w:r>
      <w:r w:rsidRPr="00E23D87">
        <w:rPr>
          <w:snapToGrid w:val="0"/>
          <w:color w:val="000000"/>
          <w:sz w:val="24"/>
          <w:szCs w:val="24"/>
        </w:rPr>
        <w:t xml:space="preserve"> </w:t>
      </w:r>
      <w:r w:rsidRPr="00A53316">
        <w:rPr>
          <w:snapToGrid w:val="0"/>
          <w:color w:val="000000"/>
          <w:sz w:val="24"/>
          <w:szCs w:val="24"/>
        </w:rPr>
        <w:t>is project specific and the information is not available other than from the grantees.  The information will be used to monitor projects on a quarterly basis, and to ensure on an annual basis that the project’s plan conforms to the project’s real operating environment.</w:t>
      </w:r>
    </w:p>
    <w:p w:rsidR="00BE6717" w:rsidRPr="00C35B89" w:rsidP="00BE6717" w14:paraId="3657231D" w14:textId="77777777">
      <w:pPr>
        <w:widowControl w:val="0"/>
        <w:autoSpaceDE w:val="0"/>
        <w:autoSpaceDN w:val="0"/>
        <w:adjustRightInd w:val="0"/>
        <w:rPr>
          <w:rFonts w:ascii="Arial" w:hAnsi="Arial" w:cs="Arial"/>
          <w:sz w:val="24"/>
          <w:szCs w:val="24"/>
        </w:rPr>
      </w:pPr>
      <w:r w:rsidRPr="00C35B89">
        <w:rPr>
          <w:rFonts w:ascii="Arial" w:hAnsi="Arial" w:cs="Arial"/>
          <w:sz w:val="24"/>
          <w:szCs w:val="24"/>
        </w:rPr>
        <w:t xml:space="preserve"> </w:t>
      </w:r>
    </w:p>
    <w:p w:rsidR="00BE6717" w:rsidRPr="00A53316" w:rsidP="00BE6717" w14:paraId="47EAE733" w14:textId="77777777">
      <w:pPr>
        <w:pStyle w:val="NormalWeb"/>
        <w:contextualSpacing/>
      </w:pPr>
      <w:r w:rsidRPr="00A53316">
        <w:t xml:space="preserve">5. </w:t>
      </w:r>
      <w:r w:rsidRPr="00A53316">
        <w:rPr>
          <w:u w:val="single"/>
        </w:rPr>
        <w:t>Efforts to minimize the burden on small businesses</w:t>
      </w:r>
      <w:r w:rsidRPr="00A53316">
        <w:t>:</w:t>
      </w:r>
    </w:p>
    <w:p w:rsidR="00BE6717" w:rsidP="00BE6717" w14:paraId="19B47D4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C84761">
        <w:rPr>
          <w:snapToGrid w:val="0"/>
          <w:color w:val="000000"/>
          <w:sz w:val="24"/>
          <w:szCs w:val="24"/>
        </w:rPr>
        <w:t>Business organizations, small or otherwise are not eligible applicants</w:t>
      </w:r>
      <w:r>
        <w:rPr>
          <w:snapToGrid w:val="0"/>
          <w:color w:val="000000"/>
          <w:sz w:val="24"/>
          <w:szCs w:val="24"/>
        </w:rPr>
        <w:t xml:space="preserve"> (State, regional MPO bodies, and local governments).</w:t>
      </w:r>
    </w:p>
    <w:p w:rsidR="00BE6717" w:rsidP="00BE6717" w14:paraId="3C37AA6C"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D3224E" w:rsidP="00BE6717" w14:paraId="233C04E0" w14:textId="2FB21AC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D3224E" w:rsidP="00BE6717" w14:paraId="5EBAA633" w14:textId="24DA5C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D3224E" w:rsidP="00BE6717" w14:paraId="68171A27" w14:textId="74F88F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D3224E" w:rsidP="00BE6717" w14:paraId="7EB2C434"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BE6717" w:rsidRPr="00A53316" w:rsidP="00BE6717" w14:paraId="40E2EE98" w14:textId="77777777">
      <w:pPr>
        <w:pStyle w:val="NormalWeb"/>
      </w:pPr>
      <w:r w:rsidRPr="00A53316">
        <w:t xml:space="preserve">6. </w:t>
      </w:r>
      <w:r w:rsidRPr="00A53316">
        <w:rPr>
          <w:u w:val="single"/>
        </w:rPr>
        <w:t>Impact of less frequent collection of information</w:t>
      </w:r>
      <w:r w:rsidRPr="00A53316">
        <w:t>:</w:t>
      </w:r>
    </w:p>
    <w:p w:rsidR="00BE6717" w:rsidRPr="00A53316" w:rsidP="00BE6717" w14:paraId="5CE80E37"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 xml:space="preserve">If the information requested in the reports is not collected, the Department will not be able to evaluate project progress or financial conditions in accordance with the 23 U.S.C., </w:t>
      </w:r>
      <w:r w:rsidRPr="00A53316">
        <w:rPr>
          <w:color w:val="000000" w:themeColor="text1"/>
          <w:sz w:val="24"/>
          <w:szCs w:val="24"/>
        </w:rPr>
        <w:t xml:space="preserve">Bipartisan Infrastructure Law </w:t>
      </w:r>
      <w:r w:rsidRPr="00A53316">
        <w:rPr>
          <w:snapToGrid w:val="0"/>
          <w:color w:val="000000"/>
          <w:sz w:val="24"/>
          <w:szCs w:val="24"/>
        </w:rPr>
        <w:t xml:space="preserve">and the Notice of Funding Opportunity </w:t>
      </w:r>
      <w:r>
        <w:rPr>
          <w:snapToGrid w:val="0"/>
          <w:color w:val="000000"/>
          <w:sz w:val="24"/>
          <w:szCs w:val="24"/>
        </w:rPr>
        <w:t xml:space="preserve">(NOFO) </w:t>
      </w:r>
      <w:r w:rsidRPr="00A53316">
        <w:rPr>
          <w:snapToGrid w:val="0"/>
          <w:color w:val="000000"/>
          <w:sz w:val="24"/>
          <w:szCs w:val="24"/>
        </w:rPr>
        <w:t xml:space="preserve">for </w:t>
      </w:r>
      <w:r w:rsidRPr="00A53316">
        <w:rPr>
          <w:color w:val="000000" w:themeColor="text1"/>
          <w:sz w:val="24"/>
          <w:szCs w:val="24"/>
        </w:rPr>
        <w:t xml:space="preserve">the </w:t>
      </w:r>
      <w:r w:rsidRPr="00A53316">
        <w:rPr>
          <w:snapToGrid w:val="0"/>
          <w:color w:val="000000"/>
          <w:sz w:val="24"/>
          <w:szCs w:val="24"/>
        </w:rPr>
        <w:t xml:space="preserve">program published in the </w:t>
      </w:r>
      <w:r w:rsidRPr="00A53316">
        <w:rPr>
          <w:i/>
          <w:iCs/>
          <w:snapToGrid w:val="0"/>
          <w:color w:val="000000"/>
          <w:sz w:val="24"/>
          <w:szCs w:val="24"/>
        </w:rPr>
        <w:t>Federal Register</w:t>
      </w:r>
      <w:r w:rsidRPr="00A53316">
        <w:rPr>
          <w:snapToGrid w:val="0"/>
          <w:color w:val="000000"/>
          <w:sz w:val="24"/>
          <w:szCs w:val="24"/>
        </w:rPr>
        <w:t xml:space="preserve">.  The quarterly collection of financial data ensures that the use of Federal funds can be appropriately monitored.  </w:t>
      </w:r>
    </w:p>
    <w:p w:rsidR="00BE6717" w:rsidRPr="00C35B89" w:rsidP="00BE6717" w14:paraId="4D763B62" w14:textId="77777777">
      <w:pPr>
        <w:contextualSpacing/>
        <w:rPr>
          <w:rFonts w:ascii="Arial" w:hAnsi="Arial" w:cs="Arial"/>
          <w:color w:val="FF0000"/>
          <w:sz w:val="24"/>
          <w:szCs w:val="24"/>
        </w:rPr>
      </w:pPr>
    </w:p>
    <w:p w:rsidR="00BE6717" w:rsidRPr="00A53316" w:rsidP="00BE6717" w14:paraId="4BD0EB8D" w14:textId="77777777">
      <w:pPr>
        <w:pStyle w:val="NormalWeb"/>
        <w:contextualSpacing/>
      </w:pPr>
      <w:r w:rsidRPr="00A53316">
        <w:t xml:space="preserve">7. </w:t>
      </w:r>
      <w:r w:rsidRPr="00A53316">
        <w:rPr>
          <w:u w:val="single"/>
        </w:rPr>
        <w:t>Special circumstances</w:t>
      </w:r>
      <w:r w:rsidRPr="00A53316">
        <w:t>:</w:t>
      </w:r>
    </w:p>
    <w:p w:rsidR="00BE6717" w:rsidRPr="00A53316" w:rsidP="00BE6717" w14:paraId="28E96EF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 xml:space="preserve">During the negotiation of the grant agreement, FHWA may require the recipient to report information to the agency more often than quarterly. Otherwise, all information collected is consistent with the guidelines in 5 CFR 1320.6. </w:t>
      </w:r>
    </w:p>
    <w:p w:rsidR="00BE6717" w:rsidP="00BE6717" w14:paraId="1E52E56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rFonts w:ascii="Arial" w:hAnsi="Arial" w:cs="Arial"/>
          <w:snapToGrid w:val="0"/>
          <w:color w:val="000000"/>
          <w:sz w:val="24"/>
          <w:szCs w:val="24"/>
        </w:rPr>
      </w:pPr>
    </w:p>
    <w:p w:rsidR="00BE6717" w:rsidRPr="00A53316" w:rsidP="00BE6717" w14:paraId="6D377AEE" w14:textId="77777777">
      <w:pPr>
        <w:pStyle w:val="NormalWeb"/>
        <w:contextualSpacing/>
      </w:pPr>
      <w:r w:rsidRPr="00A53316">
        <w:t xml:space="preserve">8. </w:t>
      </w:r>
      <w:r w:rsidRPr="00A53316">
        <w:rPr>
          <w:u w:val="single"/>
        </w:rPr>
        <w:t>Compliance with 5 CFR 1320.8</w:t>
      </w:r>
      <w:r w:rsidRPr="00A53316">
        <w:t>:</w:t>
      </w:r>
    </w:p>
    <w:p w:rsidR="00BE6717" w:rsidRPr="00A53316" w:rsidP="00BE6717" w14:paraId="0473E67D"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 xml:space="preserve">This </w:t>
      </w:r>
      <w:r w:rsidRPr="00A53316">
        <w:rPr>
          <w:sz w:val="24"/>
          <w:szCs w:val="24"/>
        </w:rPr>
        <w:t xml:space="preserve">180-day clearance is requested pursuant to 5 CFR 1320.8(d)(4). </w:t>
      </w:r>
    </w:p>
    <w:p w:rsidR="00BE6717" w:rsidRPr="00C35B89" w:rsidP="00BE6717" w14:paraId="6D5DFDC8" w14:textId="77777777">
      <w:pPr>
        <w:widowControl w:val="0"/>
        <w:autoSpaceDE w:val="0"/>
        <w:autoSpaceDN w:val="0"/>
        <w:adjustRightInd w:val="0"/>
        <w:contextualSpacing/>
        <w:rPr>
          <w:rFonts w:ascii="Arial" w:hAnsi="Arial" w:cs="Arial"/>
          <w:sz w:val="24"/>
          <w:szCs w:val="24"/>
        </w:rPr>
      </w:pPr>
    </w:p>
    <w:p w:rsidR="00BE6717" w:rsidRPr="00A53316" w:rsidP="00BE6717" w14:paraId="49DDE096" w14:textId="77777777">
      <w:pPr>
        <w:pStyle w:val="NormalWeb"/>
        <w:contextualSpacing/>
      </w:pPr>
      <w:r w:rsidRPr="00A53316">
        <w:t xml:space="preserve">9. </w:t>
      </w:r>
      <w:r w:rsidRPr="00A53316">
        <w:rPr>
          <w:u w:val="single"/>
        </w:rPr>
        <w:t>Payments or gifts to respondents</w:t>
      </w:r>
      <w:r w:rsidRPr="00A53316">
        <w:t>:</w:t>
      </w:r>
    </w:p>
    <w:p w:rsidR="00BE6717" w:rsidRPr="00A53316" w:rsidP="00BE6717" w14:paraId="5FFDA8F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 xml:space="preserve">No payment is made to respondents, other than remuneration to successful </w:t>
      </w:r>
      <w:r>
        <w:rPr>
          <w:snapToGrid w:val="0"/>
          <w:color w:val="000000"/>
          <w:sz w:val="24"/>
          <w:szCs w:val="24"/>
        </w:rPr>
        <w:t>SIRC</w:t>
      </w:r>
      <w:r w:rsidRPr="00A53316">
        <w:rPr>
          <w:snapToGrid w:val="0"/>
          <w:color w:val="000000"/>
          <w:sz w:val="24"/>
          <w:szCs w:val="24"/>
        </w:rPr>
        <w:t xml:space="preserve"> Program grantees.  The remuneration to grantees </w:t>
      </w:r>
      <w:r w:rsidRPr="00897FE4">
        <w:rPr>
          <w:snapToGrid w:val="0"/>
          <w:color w:val="000000"/>
          <w:sz w:val="24"/>
          <w:szCs w:val="24"/>
        </w:rPr>
        <w:t>is</w:t>
      </w:r>
      <w:r w:rsidRPr="00A53316">
        <w:rPr>
          <w:snapToGrid w:val="0"/>
          <w:color w:val="000000"/>
          <w:sz w:val="24"/>
          <w:szCs w:val="24"/>
        </w:rPr>
        <w:t xml:space="preserve"> in the form of reimbursements up to the amount of the </w:t>
      </w:r>
      <w:r>
        <w:rPr>
          <w:snapToGrid w:val="0"/>
          <w:color w:val="000000"/>
          <w:sz w:val="24"/>
          <w:szCs w:val="24"/>
        </w:rPr>
        <w:t>SIRC</w:t>
      </w:r>
      <w:r w:rsidRPr="00A53316">
        <w:rPr>
          <w:snapToGrid w:val="0"/>
          <w:color w:val="000000"/>
          <w:sz w:val="24"/>
          <w:szCs w:val="24"/>
        </w:rPr>
        <w:t xml:space="preserve"> Program grant award as negotiated in the signed and executed grant agreement.</w:t>
      </w:r>
    </w:p>
    <w:p w:rsidR="00BE6717" w:rsidRPr="00C35B89" w:rsidP="00BE6717" w14:paraId="21470636"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rFonts w:ascii="Arial" w:hAnsi="Arial" w:cs="Arial"/>
          <w:snapToGrid w:val="0"/>
          <w:color w:val="000000"/>
          <w:sz w:val="24"/>
          <w:szCs w:val="24"/>
        </w:rPr>
      </w:pPr>
    </w:p>
    <w:p w:rsidR="00BE6717" w:rsidRPr="00A53316" w:rsidP="00BE6717" w14:paraId="3CC6053B" w14:textId="77777777">
      <w:pPr>
        <w:pStyle w:val="NormalWeb"/>
        <w:contextualSpacing/>
      </w:pPr>
      <w:r w:rsidRPr="00A53316">
        <w:t xml:space="preserve">10. </w:t>
      </w:r>
      <w:r w:rsidRPr="00A53316">
        <w:rPr>
          <w:u w:val="single"/>
        </w:rPr>
        <w:t>Assurance of confidentiality</w:t>
      </w:r>
      <w:r w:rsidRPr="00A53316">
        <w:t xml:space="preserve">: </w:t>
      </w:r>
    </w:p>
    <w:p w:rsidR="00BE6717" w:rsidRPr="00A53316" w:rsidP="00BE6717" w14:paraId="13C38A7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There is no assurance of confidentiality regarding these submissions.</w:t>
      </w:r>
    </w:p>
    <w:p w:rsidR="00BE6717" w:rsidP="00BE6717" w14:paraId="4FA2DB01" w14:textId="77777777">
      <w:pPr>
        <w:pStyle w:val="NormalWeb"/>
        <w:contextualSpacing/>
      </w:pPr>
    </w:p>
    <w:p w:rsidR="00BE6717" w:rsidRPr="00A53316" w:rsidP="00BE6717" w14:paraId="35B899EB" w14:textId="77777777">
      <w:pPr>
        <w:pStyle w:val="NormalWeb"/>
        <w:contextualSpacing/>
      </w:pPr>
      <w:r w:rsidRPr="00A53316">
        <w:t xml:space="preserve">11. </w:t>
      </w:r>
      <w:r w:rsidRPr="00A53316">
        <w:rPr>
          <w:u w:val="single"/>
        </w:rPr>
        <w:t>Justification for collection of sensitive information</w:t>
      </w:r>
      <w:r w:rsidRPr="00A53316">
        <w:t>:</w:t>
      </w:r>
    </w:p>
    <w:p w:rsidR="00BE6717" w:rsidP="00BE6717" w14:paraId="05F59D13"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None of the information is of a sensitive nature.</w:t>
      </w:r>
    </w:p>
    <w:p w:rsidR="00BE6717" w:rsidRPr="00A53316" w:rsidP="00BE6717" w14:paraId="3A97871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p>
    <w:p w:rsidR="00BE6717" w:rsidP="00BE6717" w14:paraId="6225749C" w14:textId="77777777">
      <w:pPr>
        <w:pStyle w:val="NormalWeb"/>
      </w:pPr>
      <w:r w:rsidRPr="00A53316">
        <w:t xml:space="preserve">12. </w:t>
      </w:r>
      <w:r w:rsidRPr="00A53316">
        <w:rPr>
          <w:u w:val="single"/>
        </w:rPr>
        <w:t>Estimate of burden hours for information requested</w:t>
      </w:r>
      <w:r w:rsidRPr="00A53316">
        <w:t>:</w:t>
      </w:r>
    </w:p>
    <w:p w:rsidR="00BE6717" w:rsidP="00BE6717" w14:paraId="51F771EB" w14:textId="77777777">
      <w:pPr>
        <w:pStyle w:val="NormalWeb"/>
        <w:widowControl w:val="0"/>
        <w:contextualSpacing/>
      </w:pPr>
      <w:r>
        <w:t xml:space="preserve">      </w:t>
      </w:r>
      <w:r w:rsidRPr="00A1375F">
        <w:t xml:space="preserve">All burden hour estimates are based on an estimated review of all the requirements </w:t>
      </w:r>
      <w:r>
        <w:t xml:space="preserve">  </w:t>
      </w:r>
    </w:p>
    <w:p w:rsidR="00BE6717" w:rsidP="00BE6717" w14:paraId="1CDA17C5" w14:textId="77777777">
      <w:pPr>
        <w:pStyle w:val="NormalWeb"/>
        <w:widowControl w:val="0"/>
        <w:contextualSpacing/>
      </w:pPr>
      <w:r>
        <w:t xml:space="preserve">      </w:t>
      </w:r>
      <w:r w:rsidRPr="00A1375F">
        <w:t xml:space="preserve">associated with the SIRC Program and previous hours performed for the </w:t>
      </w:r>
      <w:r>
        <w:t xml:space="preserve">application    </w:t>
      </w:r>
    </w:p>
    <w:p w:rsidR="00BE6717" w:rsidP="00BE6717" w14:paraId="75CE9A68" w14:textId="77777777">
      <w:pPr>
        <w:pStyle w:val="NormalWeb"/>
        <w:widowControl w:val="0"/>
        <w:contextualSpacing/>
      </w:pPr>
      <w:r>
        <w:t xml:space="preserve">      submission, grant agreement, and </w:t>
      </w:r>
      <w:r w:rsidRPr="00A1375F">
        <w:t xml:space="preserve">management </w:t>
      </w:r>
      <w:r>
        <w:t xml:space="preserve">stages </w:t>
      </w:r>
      <w:r w:rsidRPr="00A1375F">
        <w:t xml:space="preserve">of the STSFA Program (predecessor </w:t>
      </w:r>
      <w:r>
        <w:t xml:space="preserve">  </w:t>
      </w:r>
    </w:p>
    <w:p w:rsidR="00BE6717" w:rsidP="00BE6717" w14:paraId="120690AE" w14:textId="056DCEEF">
      <w:pPr>
        <w:pStyle w:val="NormalWeb"/>
        <w:widowControl w:val="0"/>
        <w:contextualSpacing/>
      </w:pPr>
      <w:r>
        <w:t xml:space="preserve">      </w:t>
      </w:r>
      <w:r w:rsidRPr="00A1375F">
        <w:t>program), discussions with appropriate modal staff, and analysis of other Department</w:t>
      </w:r>
      <w:r w:rsidR="00BE6CF5">
        <w:t xml:space="preserve">al </w:t>
      </w:r>
      <w:r>
        <w:t xml:space="preserve">  </w:t>
      </w:r>
    </w:p>
    <w:p w:rsidR="00BE6717" w:rsidP="00BE6717" w14:paraId="20E9114B" w14:textId="77777777">
      <w:pPr>
        <w:pStyle w:val="NormalWeb"/>
        <w:widowControl w:val="0"/>
        <w:contextualSpacing/>
      </w:pPr>
      <w:r>
        <w:t xml:space="preserve">      </w:t>
      </w:r>
      <w:r w:rsidRPr="00A1375F">
        <w:t>programs.</w:t>
      </w:r>
    </w:p>
    <w:p w:rsidR="00BE6717" w:rsidP="00BE6717" w14:paraId="284938EC" w14:textId="77777777">
      <w:pPr>
        <w:pStyle w:val="NormalWeb"/>
        <w:widowControl w:val="0"/>
        <w:contextualSpacing/>
      </w:pPr>
    </w:p>
    <w:p w:rsidR="00BE6717" w:rsidRPr="00A53316" w:rsidP="00BE6717" w14:paraId="1C1984F0" w14:textId="76832B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b/>
          <w:bCs/>
          <w:snapToGrid w:val="0"/>
          <w:color w:val="000000"/>
          <w:sz w:val="24"/>
          <w:szCs w:val="24"/>
        </w:rPr>
      </w:pPr>
      <w:r w:rsidRPr="00A53316">
        <w:rPr>
          <w:b/>
          <w:bCs/>
          <w:snapToGrid w:val="0"/>
          <w:color w:val="000000"/>
          <w:sz w:val="24"/>
          <w:szCs w:val="24"/>
          <w:u w:val="single"/>
        </w:rPr>
        <w:t xml:space="preserve">Estimate of the cost to </w:t>
      </w:r>
      <w:r w:rsidR="00D327E7">
        <w:rPr>
          <w:b/>
          <w:bCs/>
          <w:snapToGrid w:val="0"/>
          <w:color w:val="000000"/>
          <w:sz w:val="24"/>
          <w:szCs w:val="24"/>
          <w:u w:val="single"/>
        </w:rPr>
        <w:t xml:space="preserve">application </w:t>
      </w:r>
      <w:r w:rsidRPr="00A53316">
        <w:rPr>
          <w:b/>
          <w:bCs/>
          <w:snapToGrid w:val="0"/>
          <w:color w:val="000000"/>
          <w:sz w:val="24"/>
          <w:szCs w:val="24"/>
          <w:u w:val="single"/>
        </w:rPr>
        <w:t>respondents</w:t>
      </w:r>
      <w:r w:rsidRPr="00A53316">
        <w:rPr>
          <w:b/>
          <w:bCs/>
          <w:snapToGrid w:val="0"/>
          <w:color w:val="000000"/>
          <w:sz w:val="24"/>
          <w:szCs w:val="24"/>
        </w:rPr>
        <w:t>:</w:t>
      </w:r>
    </w:p>
    <w:p w:rsidR="00BE6717" w:rsidP="00BE6717" w14:paraId="1A0D9E71" w14:textId="389E6D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rPr>
          <w:snapToGrid w:val="0"/>
          <w:color w:val="000000"/>
          <w:sz w:val="24"/>
          <w:szCs w:val="24"/>
        </w:rPr>
      </w:pPr>
      <w:r w:rsidRPr="00A53316">
        <w:rPr>
          <w:snapToGrid w:val="0"/>
          <w:color w:val="000000"/>
          <w:sz w:val="24"/>
          <w:szCs w:val="24"/>
        </w:rPr>
        <w:t xml:space="preserve">There is a wide variance in the level of effort required by recipients to comply with the </w:t>
      </w:r>
      <w:r>
        <w:rPr>
          <w:snapToGrid w:val="0"/>
          <w:color w:val="000000"/>
          <w:sz w:val="24"/>
          <w:szCs w:val="24"/>
        </w:rPr>
        <w:t>application, grant agreement, and p</w:t>
      </w:r>
      <w:r w:rsidRPr="00A53316">
        <w:rPr>
          <w:snapToGrid w:val="0"/>
          <w:color w:val="000000"/>
          <w:sz w:val="24"/>
          <w:szCs w:val="24"/>
        </w:rPr>
        <w:t xml:space="preserve">roject </w:t>
      </w:r>
      <w:r w:rsidR="0005262E">
        <w:rPr>
          <w:snapToGrid w:val="0"/>
          <w:color w:val="000000"/>
          <w:sz w:val="24"/>
          <w:szCs w:val="24"/>
        </w:rPr>
        <w:t>m</w:t>
      </w:r>
      <w:r w:rsidRPr="00A53316">
        <w:rPr>
          <w:snapToGrid w:val="0"/>
          <w:color w:val="000000"/>
          <w:sz w:val="24"/>
          <w:szCs w:val="24"/>
        </w:rPr>
        <w:t xml:space="preserve">anagement </w:t>
      </w:r>
      <w:r>
        <w:rPr>
          <w:snapToGrid w:val="0"/>
          <w:color w:val="000000"/>
          <w:sz w:val="24"/>
          <w:szCs w:val="24"/>
        </w:rPr>
        <w:t>s</w:t>
      </w:r>
      <w:r w:rsidRPr="00A53316">
        <w:rPr>
          <w:snapToGrid w:val="0"/>
          <w:color w:val="000000"/>
          <w:sz w:val="24"/>
          <w:szCs w:val="24"/>
        </w:rPr>
        <w:t>tage reporting requirements.</w:t>
      </w:r>
      <w:r>
        <w:rPr>
          <w:snapToGrid w:val="0"/>
          <w:color w:val="000000"/>
          <w:sz w:val="24"/>
          <w:szCs w:val="24"/>
        </w:rPr>
        <w:t xml:space="preserve">  As denoted applications and grant agreements will be submitted electronically, and many</w:t>
      </w:r>
      <w:r w:rsidRPr="00A53316">
        <w:rPr>
          <w:snapToGrid w:val="0"/>
          <w:color w:val="000000"/>
          <w:sz w:val="24"/>
          <w:szCs w:val="24"/>
        </w:rPr>
        <w:t xml:space="preserve"> reports</w:t>
      </w:r>
      <w:r>
        <w:rPr>
          <w:snapToGrid w:val="0"/>
          <w:color w:val="000000"/>
          <w:sz w:val="24"/>
          <w:szCs w:val="24"/>
        </w:rPr>
        <w:t xml:space="preserve"> </w:t>
      </w:r>
      <w:r w:rsidRPr="00A53316">
        <w:rPr>
          <w:snapToGrid w:val="0"/>
          <w:color w:val="000000"/>
          <w:sz w:val="24"/>
          <w:szCs w:val="24"/>
        </w:rPr>
        <w:t>will be simple and straightforward</w:t>
      </w:r>
      <w:r>
        <w:rPr>
          <w:snapToGrid w:val="0"/>
          <w:color w:val="000000"/>
          <w:sz w:val="24"/>
          <w:szCs w:val="24"/>
        </w:rPr>
        <w:t xml:space="preserve"> based on status updates.  Th</w:t>
      </w:r>
      <w:r w:rsidRPr="00A53316">
        <w:rPr>
          <w:snapToGrid w:val="0"/>
          <w:color w:val="000000"/>
          <w:sz w:val="24"/>
          <w:szCs w:val="24"/>
        </w:rPr>
        <w:t xml:space="preserve">e figures below </w:t>
      </w:r>
      <w:r w:rsidR="0077763C">
        <w:rPr>
          <w:snapToGrid w:val="0"/>
          <w:color w:val="000000"/>
          <w:sz w:val="24"/>
          <w:szCs w:val="24"/>
        </w:rPr>
        <w:t xml:space="preserve">in </w:t>
      </w:r>
      <w:r w:rsidRPr="00C438BF" w:rsidR="0077763C">
        <w:rPr>
          <w:i/>
          <w:iCs/>
          <w:snapToGrid w:val="0"/>
          <w:color w:val="000000"/>
          <w:sz w:val="24"/>
          <w:szCs w:val="24"/>
        </w:rPr>
        <w:t>Table 1</w:t>
      </w:r>
      <w:r w:rsidR="0077763C">
        <w:rPr>
          <w:snapToGrid w:val="0"/>
          <w:color w:val="000000"/>
          <w:sz w:val="24"/>
          <w:szCs w:val="24"/>
        </w:rPr>
        <w:t xml:space="preserve"> </w:t>
      </w:r>
      <w:r w:rsidRPr="00A53316">
        <w:rPr>
          <w:snapToGrid w:val="0"/>
          <w:color w:val="000000"/>
          <w:sz w:val="24"/>
          <w:szCs w:val="24"/>
        </w:rPr>
        <w:t xml:space="preserve">are representative of a straightforward project of average complexity that has completed </w:t>
      </w:r>
      <w:r w:rsidR="0005262E">
        <w:rPr>
          <w:snapToGrid w:val="0"/>
          <w:color w:val="000000"/>
          <w:sz w:val="24"/>
          <w:szCs w:val="24"/>
        </w:rPr>
        <w:t>the pilot project scope of work</w:t>
      </w:r>
      <w:r w:rsidRPr="00A53316" w:rsidR="0005262E">
        <w:rPr>
          <w:snapToGrid w:val="0"/>
          <w:color w:val="000000"/>
          <w:sz w:val="24"/>
          <w:szCs w:val="24"/>
        </w:rPr>
        <w:t xml:space="preserve"> </w:t>
      </w:r>
      <w:r w:rsidRPr="00A53316">
        <w:rPr>
          <w:snapToGrid w:val="0"/>
          <w:color w:val="000000"/>
          <w:sz w:val="24"/>
          <w:szCs w:val="24"/>
        </w:rPr>
        <w:t>over a five-year period with a five-year period of performance measurement once the project is complete.</w:t>
      </w:r>
    </w:p>
    <w:p w:rsidR="00E44CDC" w:rsidRPr="00C438BF" w:rsidP="00BE6717" w14:paraId="5C5B7632" w14:textId="688A19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napToGrid w:val="0"/>
          <w:color w:val="000000"/>
          <w:sz w:val="24"/>
          <w:szCs w:val="24"/>
          <w:u w:val="single"/>
        </w:rPr>
      </w:pPr>
      <w:bookmarkStart w:id="6" w:name="_Hlk131089331"/>
      <w:r w:rsidRPr="00C438BF">
        <w:rPr>
          <w:b/>
          <w:bCs/>
          <w:snapToGrid w:val="0"/>
          <w:color w:val="000000"/>
          <w:sz w:val="24"/>
          <w:szCs w:val="24"/>
          <w:u w:val="single"/>
        </w:rPr>
        <w:t>Application, Grant Agreement, and Project Management Stages</w:t>
      </w:r>
      <w:bookmarkEnd w:id="6"/>
      <w:r w:rsidRPr="00C438BF">
        <w:rPr>
          <w:b/>
          <w:bCs/>
          <w:snapToGrid w:val="0"/>
          <w:color w:val="000000"/>
          <w:sz w:val="24"/>
          <w:szCs w:val="24"/>
        </w:rPr>
        <w:tab/>
      </w:r>
      <w:r w:rsidRPr="00C438BF">
        <w:rPr>
          <w:b/>
          <w:bCs/>
          <w:snapToGrid w:val="0"/>
          <w:color w:val="000000"/>
          <w:sz w:val="24"/>
          <w:szCs w:val="24"/>
        </w:rPr>
        <w:tab/>
      </w:r>
      <w:r w:rsidRPr="00C438BF">
        <w:rPr>
          <w:b/>
          <w:bCs/>
          <w:snapToGrid w:val="0"/>
          <w:color w:val="000000"/>
          <w:sz w:val="24"/>
          <w:szCs w:val="24"/>
        </w:rPr>
        <w:tab/>
      </w:r>
      <w:r w:rsidRPr="00C438BF" w:rsidR="00DE526C">
        <w:rPr>
          <w:b/>
          <w:bCs/>
          <w:snapToGrid w:val="0"/>
          <w:color w:val="000000"/>
          <w:sz w:val="24"/>
          <w:szCs w:val="24"/>
        </w:rPr>
        <w:t xml:space="preserve">          </w:t>
      </w:r>
    </w:p>
    <w:tbl>
      <w:tblPr>
        <w:tblpPr w:leftFromText="180" w:rightFromText="180" w:vertAnchor="page" w:horzAnchor="margin" w:tblpXSpec="center" w:tblpY="1871"/>
        <w:tblW w:w="10255" w:type="dxa"/>
        <w:tblLayout w:type="fixed"/>
        <w:tblLook w:val="04A0"/>
      </w:tblPr>
      <w:tblGrid>
        <w:gridCol w:w="3595"/>
        <w:gridCol w:w="2590"/>
        <w:gridCol w:w="1748"/>
        <w:gridCol w:w="1152"/>
        <w:gridCol w:w="1170"/>
      </w:tblGrid>
      <w:tr w14:paraId="6D64B538" w14:textId="77777777" w:rsidTr="00C438BF">
        <w:tblPrEx>
          <w:tblW w:w="10255" w:type="dxa"/>
          <w:tblLayout w:type="fixed"/>
          <w:tblLook w:val="04A0"/>
        </w:tblPrEx>
        <w:trPr>
          <w:trHeight w:val="77"/>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26C" w:rsidRPr="00F330DA" w:rsidP="00DE526C" w14:paraId="67A2D8D1" w14:textId="14D1A39E">
            <w:pPr>
              <w:rPr>
                <w:b/>
                <w:bCs/>
                <w:color w:val="000000"/>
                <w:sz w:val="24"/>
                <w:szCs w:val="24"/>
              </w:rPr>
            </w:pPr>
            <w:bookmarkStart w:id="7" w:name="_Hlk130913111"/>
            <w:r w:rsidRPr="00C438BF">
              <w:rPr>
                <w:b/>
                <w:bCs/>
                <w:snapToGrid w:val="0"/>
                <w:color w:val="000000"/>
                <w:sz w:val="22"/>
                <w:szCs w:val="22"/>
                <w:shd w:val="clear" w:color="auto" w:fill="BFBFBF" w:themeFill="background1" w:themeFillShade="BF"/>
              </w:rPr>
              <w:t>Table 1</w:t>
            </w:r>
            <w:r w:rsidRPr="00C438BF">
              <w:rPr>
                <w:b/>
                <w:bCs/>
                <w:snapToGrid w:val="0"/>
                <w:color w:val="000000"/>
                <w:sz w:val="22"/>
                <w:szCs w:val="22"/>
              </w:rPr>
              <w:t xml:space="preserve">                    </w:t>
            </w:r>
            <w:r w:rsidRPr="00C438BF" w:rsidR="00D3224E">
              <w:rPr>
                <w:b/>
                <w:bCs/>
                <w:snapToGrid w:val="0"/>
                <w:color w:val="000000"/>
                <w:sz w:val="22"/>
                <w:szCs w:val="22"/>
              </w:rPr>
              <w:t xml:space="preserve">                     </w:t>
            </w:r>
            <w:r w:rsidRPr="00C438BF">
              <w:rPr>
                <w:b/>
                <w:bCs/>
                <w:color w:val="000000"/>
              </w:rPr>
              <w:t>SIRC Program Burden Hours for Applicants</w:t>
            </w:r>
            <w:r w:rsidRPr="00C438BF" w:rsidR="0077763C">
              <w:rPr>
                <w:b/>
                <w:bCs/>
                <w:color w:val="000000"/>
              </w:rPr>
              <w:t>/Respondents</w:t>
            </w:r>
            <w:r w:rsidRPr="00C438BF" w:rsidR="0077763C">
              <w:rPr>
                <w:b/>
                <w:bCs/>
                <w:color w:val="000000"/>
              </w:rPr>
              <w:t xml:space="preserve"> </w:t>
            </w:r>
          </w:p>
        </w:tc>
      </w:tr>
      <w:tr w14:paraId="774909E3" w14:textId="77777777" w:rsidTr="00C438BF">
        <w:tblPrEx>
          <w:tblW w:w="10255" w:type="dxa"/>
          <w:tblLayout w:type="fixed"/>
          <w:tblLook w:val="04A0"/>
        </w:tblPrEx>
        <w:trPr>
          <w:trHeight w:val="360"/>
        </w:trPr>
        <w:tc>
          <w:tcPr>
            <w:tcW w:w="3595" w:type="dxa"/>
            <w:vMerge w:val="restart"/>
            <w:tcBorders>
              <w:top w:val="nil"/>
              <w:left w:val="single" w:sz="4" w:space="0" w:color="auto"/>
              <w:right w:val="single" w:sz="4" w:space="0" w:color="auto"/>
            </w:tcBorders>
            <w:shd w:val="clear" w:color="auto" w:fill="auto"/>
            <w:vAlign w:val="center"/>
            <w:hideMark/>
          </w:tcPr>
          <w:p w:rsidR="00F73639" w:rsidRPr="00C438BF" w:rsidP="00DE526C" w14:paraId="4B8929BE" w14:textId="77777777">
            <w:pPr>
              <w:jc w:val="center"/>
              <w:rPr>
                <w:b/>
                <w:bCs/>
                <w:color w:val="000000"/>
                <w:sz w:val="16"/>
                <w:szCs w:val="16"/>
              </w:rPr>
            </w:pPr>
            <w:r w:rsidRPr="00C438BF">
              <w:rPr>
                <w:rFonts w:eastAsiaTheme="minorHAnsi"/>
                <w:b/>
                <w:bCs/>
                <w:color w:val="000000"/>
                <w:sz w:val="16"/>
                <w:szCs w:val="16"/>
              </w:rPr>
              <w:t>Requirements</w:t>
            </w:r>
          </w:p>
        </w:tc>
        <w:tc>
          <w:tcPr>
            <w:tcW w:w="2590" w:type="dxa"/>
            <w:vMerge w:val="restart"/>
            <w:tcBorders>
              <w:top w:val="nil"/>
              <w:left w:val="nil"/>
              <w:right w:val="single" w:sz="4" w:space="0" w:color="auto"/>
            </w:tcBorders>
            <w:shd w:val="clear" w:color="auto" w:fill="auto"/>
            <w:vAlign w:val="center"/>
            <w:hideMark/>
          </w:tcPr>
          <w:p w:rsidR="00F73639" w:rsidRPr="00C438BF" w:rsidP="00DE526C" w14:paraId="6813365D" w14:textId="497EA2AA">
            <w:pPr>
              <w:jc w:val="center"/>
              <w:rPr>
                <w:b/>
                <w:bCs/>
                <w:color w:val="000000"/>
                <w:sz w:val="16"/>
                <w:szCs w:val="16"/>
              </w:rPr>
            </w:pPr>
            <w:r>
              <w:rPr>
                <w:rFonts w:eastAsiaTheme="minorHAnsi"/>
                <w:b/>
                <w:bCs/>
                <w:color w:val="000000"/>
                <w:sz w:val="16"/>
                <w:szCs w:val="16"/>
              </w:rPr>
              <w:t xml:space="preserve">Estimated </w:t>
            </w:r>
            <w:r w:rsidRPr="00C438BF">
              <w:rPr>
                <w:rFonts w:eastAsiaTheme="minorHAnsi"/>
                <w:b/>
                <w:bCs/>
                <w:color w:val="000000"/>
                <w:sz w:val="16"/>
                <w:szCs w:val="16"/>
              </w:rPr>
              <w:t xml:space="preserve">Number of Annual Application Submissions for SIRC Program Funding and Reporting    </w:t>
            </w:r>
            <w:r w:rsidRPr="00C438BF" w:rsidR="006C17C6">
              <w:rPr>
                <w:rFonts w:eastAsiaTheme="minorHAnsi"/>
                <w:b/>
                <w:bCs/>
                <w:color w:val="000000"/>
                <w:sz w:val="16"/>
                <w:szCs w:val="16"/>
              </w:rPr>
              <w:t xml:space="preserve">        </w:t>
            </w:r>
            <w:r w:rsidRPr="00C438BF">
              <w:rPr>
                <w:rFonts w:eastAsiaTheme="minorHAnsi"/>
                <w:b/>
                <w:bCs/>
                <w:color w:val="000000"/>
                <w:sz w:val="16"/>
                <w:szCs w:val="16"/>
              </w:rPr>
              <w:t xml:space="preserve">             </w:t>
            </w:r>
            <w:r w:rsidRPr="00C438BF" w:rsidR="009A0526">
              <w:rPr>
                <w:rFonts w:eastAsiaTheme="minorHAnsi"/>
                <w:b/>
                <w:bCs/>
                <w:color w:val="000000"/>
                <w:sz w:val="16"/>
                <w:szCs w:val="16"/>
              </w:rPr>
              <w:t xml:space="preserve">  </w:t>
            </w:r>
            <w:r w:rsidRPr="00C438BF">
              <w:rPr>
                <w:rFonts w:eastAsiaTheme="minorHAnsi"/>
                <w:b/>
                <w:bCs/>
                <w:color w:val="000000"/>
                <w:sz w:val="16"/>
                <w:szCs w:val="16"/>
              </w:rPr>
              <w:t xml:space="preserve"> </w:t>
            </w:r>
            <w:r w:rsidRPr="00C438BF">
              <w:rPr>
                <w:rFonts w:eastAsiaTheme="minorHAnsi"/>
                <w:color w:val="000000"/>
                <w:sz w:val="14"/>
                <w:szCs w:val="14"/>
              </w:rPr>
              <w:t>(</w:t>
            </w:r>
            <w:r w:rsidRPr="00C438BF">
              <w:rPr>
                <w:rFonts w:eastAsiaTheme="minorHAnsi"/>
                <w:color w:val="000000"/>
                <w:sz w:val="14"/>
                <w:szCs w:val="14"/>
              </w:rPr>
              <w:t>15 applications annually based on previous STSFA Program)</w:t>
            </w:r>
            <w:r w:rsidRPr="00C438BF">
              <w:rPr>
                <w:rFonts w:eastAsiaTheme="minorHAnsi"/>
                <w:b/>
                <w:bCs/>
                <w:color w:val="000000"/>
                <w:sz w:val="16"/>
                <w:szCs w:val="16"/>
              </w:rPr>
              <w:t xml:space="preserve">  </w:t>
            </w:r>
          </w:p>
        </w:tc>
        <w:tc>
          <w:tcPr>
            <w:tcW w:w="1748" w:type="dxa"/>
            <w:vMerge w:val="restart"/>
            <w:tcBorders>
              <w:top w:val="nil"/>
              <w:left w:val="nil"/>
              <w:right w:val="single" w:sz="4" w:space="0" w:color="auto"/>
            </w:tcBorders>
            <w:shd w:val="clear" w:color="auto" w:fill="auto"/>
            <w:vAlign w:val="center"/>
            <w:hideMark/>
          </w:tcPr>
          <w:p w:rsidR="00F73639" w:rsidRPr="00C438BF" w:rsidP="00DE526C" w14:paraId="44196D8B" w14:textId="34DA502D">
            <w:pPr>
              <w:jc w:val="center"/>
              <w:rPr>
                <w:b/>
                <w:bCs/>
                <w:color w:val="000000"/>
                <w:sz w:val="16"/>
                <w:szCs w:val="16"/>
              </w:rPr>
            </w:pPr>
            <w:r w:rsidRPr="00C438BF">
              <w:rPr>
                <w:rFonts w:eastAsiaTheme="minorHAnsi"/>
                <w:b/>
                <w:bCs/>
                <w:color w:val="000000"/>
                <w:sz w:val="16"/>
                <w:szCs w:val="16"/>
              </w:rPr>
              <w:t>Applicant/Respondent Burden</w:t>
            </w:r>
            <w:r w:rsidRPr="00C438BF">
              <w:rPr>
                <w:rFonts w:eastAsiaTheme="minorHAnsi"/>
                <w:b/>
                <w:bCs/>
                <w:color w:val="000000"/>
                <w:sz w:val="16"/>
                <w:szCs w:val="16"/>
              </w:rPr>
              <w:t xml:space="preserve"> Hours Per Submission </w:t>
            </w:r>
            <w:r w:rsidRPr="00C438BF" w:rsidR="006C17C6">
              <w:rPr>
                <w:rFonts w:eastAsiaTheme="minorHAnsi"/>
                <w:b/>
                <w:bCs/>
                <w:color w:val="000000"/>
                <w:sz w:val="16"/>
                <w:szCs w:val="16"/>
              </w:rPr>
              <w:t xml:space="preserve">   </w:t>
            </w:r>
            <w:r w:rsidRPr="00C438BF" w:rsidR="00937FBA">
              <w:rPr>
                <w:rFonts w:eastAsiaTheme="minorHAnsi"/>
                <w:b/>
                <w:bCs/>
                <w:color w:val="000000"/>
                <w:sz w:val="16"/>
                <w:szCs w:val="16"/>
              </w:rPr>
              <w:t xml:space="preserve"> </w:t>
            </w:r>
            <w:r w:rsidRPr="00C438BF">
              <w:rPr>
                <w:rFonts w:eastAsiaTheme="minorHAnsi"/>
                <w:b/>
                <w:bCs/>
                <w:color w:val="000000"/>
                <w:sz w:val="16"/>
                <w:szCs w:val="16"/>
              </w:rPr>
              <w:t xml:space="preserve">   </w:t>
            </w:r>
            <w:r w:rsidR="00D3224E">
              <w:rPr>
                <w:rFonts w:eastAsiaTheme="minorHAnsi"/>
                <w:b/>
                <w:bCs/>
                <w:color w:val="000000"/>
                <w:sz w:val="16"/>
                <w:szCs w:val="16"/>
              </w:rPr>
              <w:t xml:space="preserve">       </w:t>
            </w:r>
            <w:r w:rsidR="00D3224E">
              <w:rPr>
                <w:rFonts w:eastAsiaTheme="minorHAnsi"/>
                <w:b/>
                <w:bCs/>
                <w:color w:val="000000"/>
                <w:sz w:val="16"/>
                <w:szCs w:val="16"/>
              </w:rPr>
              <w:t xml:space="preserve">   </w:t>
            </w:r>
            <w:r w:rsidRPr="00C438BF">
              <w:rPr>
                <w:rFonts w:eastAsiaTheme="minorHAnsi"/>
                <w:color w:val="000000"/>
                <w:sz w:val="14"/>
                <w:szCs w:val="14"/>
              </w:rPr>
              <w:t>(</w:t>
            </w:r>
            <w:r w:rsidRPr="00C438BF">
              <w:rPr>
                <w:rFonts w:eastAsiaTheme="minorHAnsi"/>
                <w:color w:val="000000"/>
                <w:sz w:val="14"/>
                <w:szCs w:val="14"/>
              </w:rPr>
              <w:t>burden hours are based on 8 hours per day with 5 business days a week)</w:t>
            </w:r>
          </w:p>
        </w:tc>
        <w:tc>
          <w:tcPr>
            <w:tcW w:w="1152" w:type="dxa"/>
            <w:vMerge w:val="restart"/>
            <w:tcBorders>
              <w:top w:val="nil"/>
              <w:left w:val="nil"/>
              <w:right w:val="single" w:sz="4" w:space="0" w:color="auto"/>
            </w:tcBorders>
            <w:shd w:val="clear" w:color="auto" w:fill="BFBFBF" w:themeFill="background1" w:themeFillShade="BF"/>
            <w:vAlign w:val="center"/>
            <w:hideMark/>
          </w:tcPr>
          <w:p w:rsidR="00F73639" w:rsidRPr="00C438BF" w:rsidP="00DE526C" w14:paraId="06E00B8F" w14:textId="32DCB1E9">
            <w:pPr>
              <w:jc w:val="center"/>
              <w:rPr>
                <w:b/>
                <w:bCs/>
                <w:color w:val="000000"/>
                <w:sz w:val="16"/>
                <w:szCs w:val="16"/>
              </w:rPr>
            </w:pPr>
            <w:r w:rsidRPr="00C438BF">
              <w:rPr>
                <w:b/>
                <w:bCs/>
                <w:color w:val="000000"/>
                <w:sz w:val="16"/>
                <w:szCs w:val="16"/>
              </w:rPr>
              <w:t>Applicant/</w:t>
            </w:r>
            <w:r w:rsidR="00416DF0">
              <w:rPr>
                <w:b/>
                <w:bCs/>
                <w:color w:val="000000"/>
                <w:sz w:val="16"/>
                <w:szCs w:val="16"/>
              </w:rPr>
              <w:t xml:space="preserve"> </w:t>
            </w:r>
            <w:r w:rsidRPr="00C438BF">
              <w:rPr>
                <w:b/>
                <w:bCs/>
                <w:color w:val="000000"/>
                <w:sz w:val="16"/>
                <w:szCs w:val="16"/>
              </w:rPr>
              <w:t>Respondent</w:t>
            </w:r>
            <w:r w:rsidRPr="00C438BF">
              <w:rPr>
                <w:b/>
                <w:bCs/>
                <w:color w:val="000000"/>
                <w:sz w:val="16"/>
                <w:szCs w:val="16"/>
              </w:rPr>
              <w:t xml:space="preserve"> </w:t>
            </w:r>
            <w:r w:rsidRPr="00C438BF" w:rsidR="00AF7CC2">
              <w:rPr>
                <w:b/>
                <w:bCs/>
                <w:color w:val="000000"/>
                <w:sz w:val="16"/>
                <w:szCs w:val="16"/>
              </w:rPr>
              <w:t xml:space="preserve">Total </w:t>
            </w:r>
            <w:r w:rsidRPr="00C438BF">
              <w:rPr>
                <w:rFonts w:eastAsiaTheme="minorHAnsi"/>
                <w:b/>
                <w:bCs/>
                <w:color w:val="000000"/>
                <w:sz w:val="16"/>
                <w:szCs w:val="16"/>
              </w:rPr>
              <w:t xml:space="preserve">Burden Hours </w:t>
            </w:r>
          </w:p>
        </w:tc>
        <w:tc>
          <w:tcPr>
            <w:tcW w:w="1170" w:type="dxa"/>
            <w:vMerge w:val="restart"/>
            <w:tcBorders>
              <w:top w:val="nil"/>
              <w:left w:val="nil"/>
              <w:right w:val="single" w:sz="4" w:space="0" w:color="auto"/>
            </w:tcBorders>
            <w:shd w:val="clear" w:color="auto" w:fill="D9D9D9" w:themeFill="background1" w:themeFillShade="D9"/>
            <w:vAlign w:val="center"/>
          </w:tcPr>
          <w:p w:rsidR="00F73639" w:rsidRPr="00C438BF" w:rsidP="00DE526C" w14:paraId="1E8C4C95" w14:textId="0CA0758C">
            <w:pPr>
              <w:jc w:val="center"/>
              <w:rPr>
                <w:b/>
                <w:bCs/>
                <w:color w:val="000000"/>
                <w:sz w:val="16"/>
                <w:szCs w:val="16"/>
              </w:rPr>
            </w:pPr>
            <w:r w:rsidRPr="00C438BF">
              <w:rPr>
                <w:b/>
                <w:bCs/>
                <w:color w:val="000000"/>
                <w:sz w:val="16"/>
                <w:szCs w:val="16"/>
              </w:rPr>
              <w:t xml:space="preserve">Percentage of Responses (submissions) collected electronically  </w:t>
            </w:r>
          </w:p>
        </w:tc>
      </w:tr>
      <w:tr w14:paraId="43B95C84" w14:textId="77777777" w:rsidTr="00C438BF">
        <w:tblPrEx>
          <w:tblW w:w="10255" w:type="dxa"/>
          <w:tblLayout w:type="fixed"/>
          <w:tblLook w:val="04A0"/>
        </w:tblPrEx>
        <w:trPr>
          <w:trHeight w:val="360"/>
        </w:trPr>
        <w:tc>
          <w:tcPr>
            <w:tcW w:w="3595" w:type="dxa"/>
            <w:vMerge/>
            <w:tcBorders>
              <w:left w:val="single" w:sz="4" w:space="0" w:color="auto"/>
              <w:bottom w:val="single" w:sz="4" w:space="0" w:color="auto"/>
              <w:right w:val="single" w:sz="4" w:space="0" w:color="auto"/>
            </w:tcBorders>
            <w:shd w:val="clear" w:color="auto" w:fill="auto"/>
            <w:vAlign w:val="center"/>
          </w:tcPr>
          <w:p w:rsidR="00F73639" w:rsidRPr="00F330DA" w:rsidP="00DE526C" w14:paraId="480D32D0" w14:textId="77777777">
            <w:pPr>
              <w:jc w:val="center"/>
              <w:rPr>
                <w:rFonts w:eastAsiaTheme="minorHAnsi"/>
                <w:b/>
                <w:bCs/>
                <w:color w:val="000000"/>
                <w:sz w:val="21"/>
                <w:szCs w:val="21"/>
              </w:rPr>
            </w:pPr>
          </w:p>
        </w:tc>
        <w:tc>
          <w:tcPr>
            <w:tcW w:w="2590" w:type="dxa"/>
            <w:vMerge/>
            <w:tcBorders>
              <w:left w:val="nil"/>
              <w:bottom w:val="single" w:sz="4" w:space="0" w:color="auto"/>
              <w:right w:val="single" w:sz="4" w:space="0" w:color="auto"/>
            </w:tcBorders>
            <w:shd w:val="clear" w:color="auto" w:fill="auto"/>
            <w:vAlign w:val="center"/>
          </w:tcPr>
          <w:p w:rsidR="00F73639" w:rsidRPr="00F330DA" w:rsidP="00DE526C" w14:paraId="3D633E63" w14:textId="77777777">
            <w:pPr>
              <w:jc w:val="center"/>
              <w:rPr>
                <w:rFonts w:eastAsiaTheme="minorHAnsi"/>
                <w:b/>
                <w:bCs/>
                <w:color w:val="000000"/>
                <w:sz w:val="21"/>
                <w:szCs w:val="21"/>
              </w:rPr>
            </w:pPr>
          </w:p>
        </w:tc>
        <w:tc>
          <w:tcPr>
            <w:tcW w:w="1748" w:type="dxa"/>
            <w:vMerge/>
            <w:tcBorders>
              <w:left w:val="nil"/>
              <w:bottom w:val="single" w:sz="4" w:space="0" w:color="auto"/>
              <w:right w:val="single" w:sz="4" w:space="0" w:color="auto"/>
            </w:tcBorders>
            <w:shd w:val="clear" w:color="auto" w:fill="auto"/>
            <w:vAlign w:val="center"/>
          </w:tcPr>
          <w:p w:rsidR="00F73639" w:rsidRPr="00F330DA" w:rsidP="00DE526C" w14:paraId="235D3A3A" w14:textId="77777777">
            <w:pPr>
              <w:jc w:val="center"/>
              <w:rPr>
                <w:rFonts w:eastAsiaTheme="minorHAnsi"/>
                <w:b/>
                <w:bCs/>
                <w:color w:val="000000"/>
                <w:sz w:val="21"/>
                <w:szCs w:val="21"/>
              </w:rPr>
            </w:pPr>
          </w:p>
        </w:tc>
        <w:tc>
          <w:tcPr>
            <w:tcW w:w="1152" w:type="dxa"/>
            <w:vMerge/>
            <w:tcBorders>
              <w:left w:val="nil"/>
              <w:bottom w:val="single" w:sz="4" w:space="0" w:color="auto"/>
              <w:right w:val="single" w:sz="4" w:space="0" w:color="auto"/>
            </w:tcBorders>
            <w:shd w:val="clear" w:color="auto" w:fill="BFBFBF" w:themeFill="background1" w:themeFillShade="BF"/>
            <w:vAlign w:val="center"/>
          </w:tcPr>
          <w:p w:rsidR="00F73639" w:rsidRPr="00F330DA" w:rsidP="00DE526C" w14:paraId="13463178" w14:textId="77777777">
            <w:pPr>
              <w:jc w:val="center"/>
              <w:rPr>
                <w:rFonts w:eastAsiaTheme="minorHAnsi"/>
                <w:b/>
                <w:bCs/>
                <w:color w:val="000000"/>
                <w:sz w:val="21"/>
                <w:szCs w:val="21"/>
              </w:rPr>
            </w:pPr>
          </w:p>
        </w:tc>
        <w:tc>
          <w:tcPr>
            <w:tcW w:w="1170" w:type="dxa"/>
            <w:vMerge/>
            <w:tcBorders>
              <w:left w:val="nil"/>
              <w:bottom w:val="single" w:sz="4" w:space="0" w:color="auto"/>
              <w:right w:val="single" w:sz="4" w:space="0" w:color="auto"/>
            </w:tcBorders>
            <w:shd w:val="clear" w:color="auto" w:fill="D9D9D9" w:themeFill="background1" w:themeFillShade="D9"/>
            <w:vAlign w:val="center"/>
          </w:tcPr>
          <w:p w:rsidR="00F73639" w:rsidRPr="00F330DA" w:rsidP="00DE526C" w14:paraId="4A8F89E1" w14:textId="5DE7737C">
            <w:pPr>
              <w:jc w:val="center"/>
              <w:rPr>
                <w:rFonts w:eastAsiaTheme="minorHAnsi"/>
                <w:b/>
                <w:bCs/>
                <w:color w:val="000000"/>
                <w:sz w:val="21"/>
                <w:szCs w:val="21"/>
              </w:rPr>
            </w:pPr>
          </w:p>
        </w:tc>
      </w:tr>
      <w:tr w14:paraId="78440C33" w14:textId="77777777" w:rsidTr="00C438BF">
        <w:tblPrEx>
          <w:tblW w:w="10255" w:type="dxa"/>
          <w:tblLayout w:type="fixed"/>
          <w:tblLook w:val="04A0"/>
        </w:tblPrEx>
        <w:trPr>
          <w:trHeight w:val="126"/>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E526C" w:rsidRPr="00C438BF" w:rsidP="00DE526C" w14:paraId="391F13B6" w14:textId="7B0207B4">
            <w:pPr>
              <w:rPr>
                <w:b/>
                <w:bCs/>
                <w:color w:val="000000"/>
              </w:rPr>
            </w:pPr>
            <w:r w:rsidRPr="00C438BF">
              <w:rPr>
                <w:rFonts w:eastAsiaTheme="minorHAnsi"/>
                <w:b/>
                <w:bCs/>
                <w:color w:val="000000"/>
              </w:rPr>
              <w:t>Application and Grant Agreement Stage</w:t>
            </w:r>
          </w:p>
        </w:tc>
      </w:tr>
      <w:tr w14:paraId="28F8DA30" w14:textId="77777777" w:rsidTr="00C438BF">
        <w:tblPrEx>
          <w:tblW w:w="10255" w:type="dxa"/>
          <w:tblLayout w:type="fixed"/>
          <w:tblLook w:val="04A0"/>
        </w:tblPrEx>
        <w:trPr>
          <w:trHeight w:val="191"/>
        </w:trPr>
        <w:tc>
          <w:tcPr>
            <w:tcW w:w="3595" w:type="dxa"/>
            <w:tcBorders>
              <w:top w:val="nil"/>
              <w:left w:val="single" w:sz="4" w:space="0" w:color="auto"/>
              <w:bottom w:val="single" w:sz="4" w:space="0" w:color="auto"/>
              <w:right w:val="single" w:sz="4" w:space="0" w:color="auto"/>
            </w:tcBorders>
            <w:shd w:val="clear" w:color="auto" w:fill="auto"/>
            <w:vAlign w:val="center"/>
          </w:tcPr>
          <w:p w:rsidR="006529F3" w:rsidRPr="00C438BF" w:rsidP="00DE526C" w14:paraId="26CE20BB" w14:textId="0493D0A6">
            <w:pPr>
              <w:jc w:val="center"/>
              <w:rPr>
                <w:rFonts w:eastAsiaTheme="minorHAnsi"/>
                <w:color w:val="000000"/>
                <w:sz w:val="16"/>
                <w:szCs w:val="16"/>
              </w:rPr>
            </w:pPr>
            <w:r w:rsidRPr="00C438BF">
              <w:rPr>
                <w:rFonts w:eastAsiaTheme="minorHAnsi"/>
                <w:color w:val="000000"/>
                <w:sz w:val="16"/>
                <w:szCs w:val="16"/>
              </w:rPr>
              <w:t xml:space="preserve">Letter of Intent to Submit Applications                          </w:t>
            </w:r>
            <w:r w:rsidRPr="00C438BF">
              <w:rPr>
                <w:rFonts w:eastAsiaTheme="minorHAnsi"/>
                <w:color w:val="000000"/>
                <w:sz w:val="16"/>
                <w:szCs w:val="16"/>
              </w:rPr>
              <w:t xml:space="preserve">   </w:t>
            </w:r>
            <w:r w:rsidRPr="00C438BF">
              <w:rPr>
                <w:rFonts w:eastAsiaTheme="minorHAnsi"/>
                <w:b/>
                <w:bCs/>
                <w:color w:val="000000"/>
                <w:sz w:val="14"/>
                <w:szCs w:val="14"/>
              </w:rPr>
              <w:t>(</w:t>
            </w:r>
            <w:r w:rsidRPr="00C438BF">
              <w:rPr>
                <w:rFonts w:eastAsiaTheme="minorHAnsi"/>
                <w:b/>
                <w:bCs/>
                <w:color w:val="000000"/>
                <w:sz w:val="14"/>
                <w:szCs w:val="14"/>
              </w:rPr>
              <w:t>a minimum of 1 Letter of Intent has been submitted annually based on previous STSFA Program)</w:t>
            </w:r>
            <w:r w:rsidRPr="00D3224E">
              <w:rPr>
                <w:rFonts w:eastAsiaTheme="minorHAnsi"/>
                <w:b/>
                <w:bCs/>
                <w:color w:val="000000"/>
                <w:sz w:val="16"/>
                <w:szCs w:val="16"/>
              </w:rPr>
              <w:t xml:space="preserve">  </w:t>
            </w:r>
          </w:p>
        </w:tc>
        <w:tc>
          <w:tcPr>
            <w:tcW w:w="2590" w:type="dxa"/>
            <w:tcBorders>
              <w:top w:val="nil"/>
              <w:left w:val="single" w:sz="4" w:space="0" w:color="auto"/>
              <w:bottom w:val="single" w:sz="4" w:space="0" w:color="auto"/>
              <w:right w:val="single" w:sz="4" w:space="0" w:color="auto"/>
            </w:tcBorders>
            <w:shd w:val="clear" w:color="auto" w:fill="auto"/>
            <w:vAlign w:val="center"/>
          </w:tcPr>
          <w:p w:rsidR="006529F3" w:rsidRPr="00C438BF" w:rsidP="00DE526C" w14:paraId="4CCA6420" w14:textId="5989BD84">
            <w:pPr>
              <w:jc w:val="center"/>
              <w:rPr>
                <w:rFonts w:eastAsiaTheme="minorHAnsi"/>
                <w:color w:val="000000"/>
                <w:sz w:val="16"/>
                <w:szCs w:val="16"/>
              </w:rPr>
            </w:pPr>
            <w:r w:rsidRPr="00C438BF">
              <w:rPr>
                <w:rFonts w:eastAsiaTheme="minorHAnsi"/>
                <w:color w:val="000000"/>
                <w:sz w:val="16"/>
                <w:szCs w:val="16"/>
              </w:rPr>
              <w:t>1</w:t>
            </w:r>
          </w:p>
        </w:tc>
        <w:tc>
          <w:tcPr>
            <w:tcW w:w="1748" w:type="dxa"/>
            <w:tcBorders>
              <w:top w:val="nil"/>
              <w:left w:val="single" w:sz="4" w:space="0" w:color="auto"/>
              <w:bottom w:val="single" w:sz="4" w:space="0" w:color="auto"/>
              <w:right w:val="single" w:sz="4" w:space="0" w:color="auto"/>
            </w:tcBorders>
            <w:shd w:val="clear" w:color="auto" w:fill="auto"/>
            <w:vAlign w:val="center"/>
          </w:tcPr>
          <w:p w:rsidR="006529F3" w:rsidRPr="00C438BF" w:rsidP="00DE526C" w14:paraId="0B6FF054" w14:textId="5B9D8543">
            <w:pPr>
              <w:jc w:val="center"/>
              <w:rPr>
                <w:rFonts w:eastAsiaTheme="minorHAnsi"/>
                <w:color w:val="000000"/>
                <w:sz w:val="16"/>
                <w:szCs w:val="16"/>
              </w:rPr>
            </w:pPr>
            <w:r w:rsidRPr="00C438BF">
              <w:rPr>
                <w:rFonts w:eastAsiaTheme="minorHAnsi"/>
                <w:color w:val="000000"/>
                <w:sz w:val="16"/>
                <w:szCs w:val="16"/>
              </w:rPr>
              <w:t>2</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29F3" w:rsidRPr="00C438BF" w:rsidP="00687D19" w14:paraId="08344DE0" w14:textId="059E2678">
            <w:pPr>
              <w:jc w:val="center"/>
              <w:rPr>
                <w:b/>
                <w:bCs/>
                <w:color w:val="000000"/>
                <w:sz w:val="16"/>
                <w:szCs w:val="16"/>
              </w:rPr>
            </w:pPr>
            <w:r w:rsidRPr="00C438BF">
              <w:rPr>
                <w:b/>
                <w:bCs/>
                <w:color w:val="000000"/>
                <w:sz w:val="16"/>
                <w:szCs w:val="16"/>
              </w:rPr>
              <w:t xml:space="preserve">   2</w:t>
            </w:r>
          </w:p>
        </w:tc>
        <w:tc>
          <w:tcPr>
            <w:tcW w:w="1170" w:type="dxa"/>
            <w:vMerge w:val="restart"/>
            <w:tcBorders>
              <w:top w:val="nil"/>
              <w:left w:val="single" w:sz="4" w:space="0" w:color="auto"/>
              <w:right w:val="single" w:sz="4" w:space="0" w:color="auto"/>
            </w:tcBorders>
            <w:shd w:val="clear" w:color="auto" w:fill="D9D9D9" w:themeFill="background1" w:themeFillShade="D9"/>
            <w:vAlign w:val="center"/>
          </w:tcPr>
          <w:p w:rsidR="006529F3" w:rsidRPr="00C438BF" w:rsidP="00DE526C" w14:paraId="2EE7C1D0" w14:textId="77777777">
            <w:pPr>
              <w:jc w:val="center"/>
              <w:rPr>
                <w:color w:val="000000"/>
                <w:sz w:val="16"/>
                <w:szCs w:val="16"/>
              </w:rPr>
            </w:pPr>
            <w:r w:rsidRPr="00C438BF">
              <w:rPr>
                <w:color w:val="000000"/>
                <w:sz w:val="16"/>
                <w:szCs w:val="16"/>
              </w:rPr>
              <w:t>100%</w:t>
            </w:r>
          </w:p>
          <w:p w:rsidR="006529F3" w:rsidRPr="00C438BF" w:rsidP="008D147A" w14:paraId="60636BAE" w14:textId="4D82E2DC">
            <w:pPr>
              <w:jc w:val="center"/>
              <w:rPr>
                <w:color w:val="000000"/>
                <w:sz w:val="16"/>
                <w:szCs w:val="16"/>
              </w:rPr>
            </w:pPr>
          </w:p>
        </w:tc>
      </w:tr>
      <w:tr w14:paraId="3178F2F4" w14:textId="77777777" w:rsidTr="00C438BF">
        <w:tblPrEx>
          <w:tblW w:w="10255" w:type="dxa"/>
          <w:tblLayout w:type="fixed"/>
          <w:tblLook w:val="04A0"/>
        </w:tblPrEx>
        <w:trPr>
          <w:trHeight w:val="711"/>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6529F3" w:rsidRPr="00C438BF" w:rsidP="00DE526C" w14:paraId="6594ED9F" w14:textId="0AFE0F78">
            <w:pPr>
              <w:jc w:val="center"/>
              <w:rPr>
                <w:color w:val="000000"/>
                <w:sz w:val="16"/>
                <w:szCs w:val="16"/>
              </w:rPr>
            </w:pPr>
            <w:r w:rsidRPr="00C438BF">
              <w:rPr>
                <w:rFonts w:eastAsiaTheme="minorHAnsi"/>
                <w:color w:val="000000"/>
                <w:sz w:val="16"/>
                <w:szCs w:val="16"/>
              </w:rPr>
              <w:t xml:space="preserve">Applications submissions       </w:t>
            </w:r>
            <w:r w:rsidR="00D3224E">
              <w:rPr>
                <w:rFonts w:eastAsiaTheme="minorHAnsi"/>
                <w:color w:val="000000"/>
                <w:sz w:val="16"/>
                <w:szCs w:val="16"/>
              </w:rPr>
              <w:t xml:space="preserve">                </w:t>
            </w:r>
            <w:r w:rsidR="00416DF0">
              <w:rPr>
                <w:rFonts w:eastAsiaTheme="minorHAnsi"/>
                <w:color w:val="000000"/>
                <w:sz w:val="16"/>
                <w:szCs w:val="16"/>
              </w:rPr>
              <w:t xml:space="preserve">             </w:t>
            </w:r>
            <w:r w:rsidR="00416DF0">
              <w:rPr>
                <w:rFonts w:eastAsiaTheme="minorHAnsi"/>
                <w:color w:val="000000"/>
                <w:sz w:val="16"/>
                <w:szCs w:val="16"/>
              </w:rPr>
              <w:t xml:space="preserve">   </w:t>
            </w:r>
            <w:r w:rsidRPr="00C438BF">
              <w:rPr>
                <w:rFonts w:eastAsiaTheme="minorHAnsi"/>
                <w:b/>
                <w:bCs/>
                <w:color w:val="000000"/>
                <w:sz w:val="14"/>
                <w:szCs w:val="14"/>
              </w:rPr>
              <w:t>(</w:t>
            </w:r>
            <w:r w:rsidRPr="00C438BF">
              <w:rPr>
                <w:rFonts w:eastAsiaTheme="minorHAnsi"/>
                <w:b/>
                <w:bCs/>
                <w:color w:val="000000"/>
                <w:sz w:val="14"/>
                <w:szCs w:val="14"/>
              </w:rPr>
              <w:t>15 applications annually based on previous STSFA Program)</w:t>
            </w:r>
            <w:r w:rsidRPr="00D3224E">
              <w:rPr>
                <w:rFonts w:eastAsiaTheme="minorHAnsi"/>
                <w:b/>
                <w:bCs/>
                <w:color w:val="000000"/>
                <w:sz w:val="16"/>
                <w:szCs w:val="16"/>
              </w:rPr>
              <w:t xml:space="preserve">  </w:t>
            </w:r>
          </w:p>
        </w:tc>
        <w:tc>
          <w:tcPr>
            <w:tcW w:w="2590" w:type="dxa"/>
            <w:tcBorders>
              <w:top w:val="nil"/>
              <w:left w:val="single" w:sz="4" w:space="0" w:color="auto"/>
              <w:bottom w:val="single" w:sz="4" w:space="0" w:color="auto"/>
              <w:right w:val="single" w:sz="4" w:space="0" w:color="auto"/>
            </w:tcBorders>
            <w:shd w:val="clear" w:color="auto" w:fill="auto"/>
            <w:vAlign w:val="center"/>
            <w:hideMark/>
          </w:tcPr>
          <w:p w:rsidR="006529F3" w:rsidRPr="00C438BF" w:rsidP="00DE526C" w14:paraId="1D6CD896" w14:textId="4FA42CDC">
            <w:pPr>
              <w:jc w:val="center"/>
              <w:rPr>
                <w:color w:val="000000"/>
                <w:sz w:val="16"/>
                <w:szCs w:val="16"/>
              </w:rPr>
            </w:pPr>
            <w:r w:rsidRPr="00C438BF">
              <w:rPr>
                <w:rFonts w:eastAsiaTheme="minorHAnsi"/>
                <w:color w:val="000000"/>
                <w:sz w:val="16"/>
                <w:szCs w:val="16"/>
              </w:rPr>
              <w:t>15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rsidR="006529F3" w:rsidRPr="00C438BF" w:rsidP="00DE526C" w14:paraId="73BDB493" w14:textId="66C31326">
            <w:pPr>
              <w:jc w:val="center"/>
              <w:rPr>
                <w:color w:val="000000"/>
                <w:sz w:val="16"/>
                <w:szCs w:val="16"/>
              </w:rPr>
            </w:pPr>
            <w:r w:rsidRPr="00C438BF">
              <w:rPr>
                <w:rFonts w:eastAsiaTheme="minorHAnsi"/>
                <w:color w:val="000000"/>
                <w:sz w:val="16"/>
                <w:szCs w:val="16"/>
              </w:rPr>
              <w:t>40</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9F3" w:rsidRPr="00C438BF" w:rsidP="00687D19" w14:paraId="059A692B" w14:textId="45933765">
            <w:pPr>
              <w:jc w:val="center"/>
              <w:rPr>
                <w:b/>
                <w:bCs/>
                <w:color w:val="000000"/>
                <w:sz w:val="16"/>
                <w:szCs w:val="16"/>
              </w:rPr>
            </w:pPr>
            <w:r w:rsidRPr="00C438BF">
              <w:rPr>
                <w:b/>
                <w:bCs/>
                <w:color w:val="000000"/>
                <w:sz w:val="16"/>
                <w:szCs w:val="16"/>
              </w:rPr>
              <w:t>600</w:t>
            </w:r>
          </w:p>
        </w:tc>
        <w:tc>
          <w:tcPr>
            <w:tcW w:w="1170" w:type="dxa"/>
            <w:vMerge/>
            <w:tcBorders>
              <w:left w:val="single" w:sz="4" w:space="0" w:color="auto"/>
              <w:right w:val="single" w:sz="4" w:space="0" w:color="auto"/>
            </w:tcBorders>
            <w:shd w:val="clear" w:color="auto" w:fill="D9D9D9" w:themeFill="background1" w:themeFillShade="D9"/>
            <w:vAlign w:val="center"/>
          </w:tcPr>
          <w:p w:rsidR="006529F3" w:rsidRPr="00C438BF" w:rsidP="008D147A" w14:paraId="4FC5738C" w14:textId="086BE974">
            <w:pPr>
              <w:jc w:val="center"/>
              <w:rPr>
                <w:color w:val="000000"/>
                <w:sz w:val="16"/>
                <w:szCs w:val="16"/>
              </w:rPr>
            </w:pPr>
          </w:p>
        </w:tc>
      </w:tr>
      <w:tr w14:paraId="6101CBD5" w14:textId="77777777" w:rsidTr="00C438BF">
        <w:tblPrEx>
          <w:tblW w:w="10255" w:type="dxa"/>
          <w:tblLayout w:type="fixed"/>
          <w:tblLook w:val="04A0"/>
        </w:tblPrEx>
        <w:trPr>
          <w:trHeight w:val="163"/>
        </w:trPr>
        <w:tc>
          <w:tcPr>
            <w:tcW w:w="3595" w:type="dxa"/>
            <w:tcBorders>
              <w:top w:val="nil"/>
              <w:left w:val="single" w:sz="4" w:space="0" w:color="auto"/>
              <w:bottom w:val="single" w:sz="8" w:space="0" w:color="auto"/>
              <w:right w:val="single" w:sz="4" w:space="0" w:color="auto"/>
            </w:tcBorders>
            <w:shd w:val="clear" w:color="auto" w:fill="auto"/>
            <w:vAlign w:val="center"/>
            <w:hideMark/>
          </w:tcPr>
          <w:p w:rsidR="006529F3" w:rsidRPr="00C438BF" w:rsidP="00DE526C" w14:paraId="4D417642" w14:textId="1A8BA89D">
            <w:pPr>
              <w:jc w:val="center"/>
              <w:rPr>
                <w:color w:val="000000"/>
                <w:sz w:val="16"/>
                <w:szCs w:val="16"/>
              </w:rPr>
            </w:pPr>
            <w:bookmarkStart w:id="8" w:name="_Hlk130914939"/>
            <w:r w:rsidRPr="00C438BF">
              <w:rPr>
                <w:rFonts w:eastAsiaTheme="minorHAnsi"/>
                <w:color w:val="000000"/>
                <w:sz w:val="16"/>
                <w:szCs w:val="16"/>
              </w:rPr>
              <w:t xml:space="preserve">Requests for information related to signing grant agreements                             </w:t>
            </w:r>
            <w:bookmarkEnd w:id="8"/>
            <w:r w:rsidRPr="00C438BF">
              <w:rPr>
                <w:rFonts w:eastAsiaTheme="minorHAnsi"/>
                <w:color w:val="000000"/>
                <w:sz w:val="16"/>
                <w:szCs w:val="16"/>
              </w:rPr>
              <w:t xml:space="preserve">   </w:t>
            </w:r>
          </w:p>
        </w:tc>
        <w:tc>
          <w:tcPr>
            <w:tcW w:w="2590" w:type="dxa"/>
            <w:tcBorders>
              <w:top w:val="nil"/>
              <w:left w:val="nil"/>
              <w:bottom w:val="single" w:sz="8" w:space="0" w:color="auto"/>
              <w:right w:val="single" w:sz="4" w:space="0" w:color="auto"/>
            </w:tcBorders>
            <w:shd w:val="clear" w:color="auto" w:fill="auto"/>
            <w:vAlign w:val="center"/>
            <w:hideMark/>
          </w:tcPr>
          <w:p w:rsidR="006529F3" w:rsidRPr="00C438BF" w:rsidP="00DE526C" w14:paraId="6362ABDA" w14:textId="64C28287">
            <w:pPr>
              <w:jc w:val="center"/>
              <w:rPr>
                <w:color w:val="000000"/>
                <w:sz w:val="16"/>
                <w:szCs w:val="16"/>
              </w:rPr>
            </w:pPr>
            <w:r w:rsidRPr="00C438BF">
              <w:rPr>
                <w:rFonts w:eastAsiaTheme="minorHAnsi"/>
                <w:color w:val="000000"/>
                <w:sz w:val="16"/>
                <w:szCs w:val="16"/>
              </w:rPr>
              <w:t>7</w:t>
            </w:r>
          </w:p>
        </w:tc>
        <w:tc>
          <w:tcPr>
            <w:tcW w:w="1748" w:type="dxa"/>
            <w:tcBorders>
              <w:top w:val="nil"/>
              <w:left w:val="nil"/>
              <w:bottom w:val="single" w:sz="8" w:space="0" w:color="auto"/>
              <w:right w:val="single" w:sz="4" w:space="0" w:color="auto"/>
            </w:tcBorders>
            <w:shd w:val="clear" w:color="auto" w:fill="auto"/>
            <w:vAlign w:val="center"/>
            <w:hideMark/>
          </w:tcPr>
          <w:p w:rsidR="006529F3" w:rsidRPr="00C438BF" w:rsidP="00DE526C" w14:paraId="5B67A54F" w14:textId="15165A33">
            <w:pPr>
              <w:jc w:val="center"/>
              <w:rPr>
                <w:color w:val="000000"/>
                <w:sz w:val="16"/>
                <w:szCs w:val="16"/>
              </w:rPr>
            </w:pPr>
            <w:r w:rsidRPr="00C438BF">
              <w:rPr>
                <w:rFonts w:eastAsiaTheme="minorHAnsi"/>
                <w:color w:val="000000"/>
                <w:sz w:val="16"/>
                <w:szCs w:val="16"/>
              </w:rPr>
              <w:t>1</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529F3" w:rsidRPr="00C438BF" w:rsidP="00DE526C" w14:paraId="75B0F48B" w14:textId="545F1C46">
            <w:pPr>
              <w:jc w:val="center"/>
              <w:rPr>
                <w:b/>
                <w:bCs/>
                <w:color w:val="000000"/>
                <w:sz w:val="16"/>
                <w:szCs w:val="16"/>
              </w:rPr>
            </w:pPr>
            <w:r w:rsidRPr="00C438BF">
              <w:rPr>
                <w:b/>
                <w:bCs/>
                <w:color w:val="000000"/>
                <w:sz w:val="16"/>
                <w:szCs w:val="16"/>
              </w:rPr>
              <w:t>7</w:t>
            </w:r>
          </w:p>
          <w:p w:rsidR="006529F3" w:rsidRPr="00C438BF" w:rsidP="00C438BF" w14:paraId="6F20ED44" w14:textId="3810C060">
            <w:pPr>
              <w:rPr>
                <w:sz w:val="16"/>
                <w:szCs w:val="16"/>
              </w:rPr>
            </w:pPr>
          </w:p>
        </w:tc>
        <w:tc>
          <w:tcPr>
            <w:tcW w:w="1170" w:type="dxa"/>
            <w:vMerge/>
            <w:tcBorders>
              <w:left w:val="single" w:sz="4" w:space="0" w:color="auto"/>
              <w:bottom w:val="single" w:sz="8" w:space="0" w:color="auto"/>
              <w:right w:val="single" w:sz="4" w:space="0" w:color="auto"/>
            </w:tcBorders>
            <w:shd w:val="clear" w:color="auto" w:fill="D9D9D9" w:themeFill="background1" w:themeFillShade="D9"/>
            <w:vAlign w:val="center"/>
          </w:tcPr>
          <w:p w:rsidR="006529F3" w:rsidRPr="00C438BF" w:rsidP="00DE526C" w14:paraId="323D9CBE" w14:textId="6751CD0B">
            <w:pPr>
              <w:jc w:val="center"/>
              <w:rPr>
                <w:color w:val="000000"/>
                <w:sz w:val="16"/>
                <w:szCs w:val="16"/>
              </w:rPr>
            </w:pPr>
          </w:p>
        </w:tc>
      </w:tr>
      <w:tr w14:paraId="2B472645" w14:textId="77777777" w:rsidTr="00C438BF">
        <w:tblPrEx>
          <w:tblW w:w="10255" w:type="dxa"/>
          <w:tblLayout w:type="fixed"/>
          <w:tblLook w:val="04A0"/>
        </w:tblPrEx>
        <w:trPr>
          <w:trHeight w:val="80"/>
        </w:trPr>
        <w:tc>
          <w:tcPr>
            <w:tcW w:w="7933" w:type="dxa"/>
            <w:gridSpan w:val="3"/>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8F239B" w:rsidRPr="00C438BF" w:rsidP="00C11CC3" w14:paraId="1848438C" w14:textId="2CBBCBD0">
            <w:pPr>
              <w:jc w:val="center"/>
              <w:rPr>
                <w:b/>
                <w:bCs/>
                <w:color w:val="000000"/>
                <w:sz w:val="16"/>
                <w:szCs w:val="16"/>
              </w:rPr>
            </w:pPr>
            <w:r w:rsidRPr="00C438BF">
              <w:rPr>
                <w:b/>
                <w:bCs/>
                <w:color w:val="000000"/>
                <w:sz w:val="16"/>
                <w:szCs w:val="16"/>
              </w:rPr>
              <w:t>Subtotal</w:t>
            </w:r>
          </w:p>
          <w:p w:rsidR="008F239B" w:rsidRPr="00C438BF" w:rsidP="00DE526C" w14:paraId="4B9BE7FA" w14:textId="07BFB3A5">
            <w:pPr>
              <w:jc w:val="center"/>
              <w:rPr>
                <w:b/>
                <w:bCs/>
                <w:color w:val="000000"/>
                <w:sz w:val="16"/>
                <w:szCs w:val="16"/>
              </w:rPr>
            </w:pPr>
          </w:p>
        </w:tc>
        <w:tc>
          <w:tcPr>
            <w:tcW w:w="1152" w:type="dxa"/>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rsidR="008F239B" w:rsidRPr="00C438BF" w:rsidP="00DE526C" w14:paraId="4A96B196" w14:textId="605B6355">
            <w:pPr>
              <w:jc w:val="center"/>
              <w:rPr>
                <w:b/>
                <w:bCs/>
                <w:color w:val="000000"/>
                <w:sz w:val="16"/>
                <w:szCs w:val="16"/>
              </w:rPr>
            </w:pPr>
            <w:r w:rsidRPr="00C438BF">
              <w:rPr>
                <w:b/>
                <w:bCs/>
                <w:color w:val="000000"/>
                <w:sz w:val="16"/>
                <w:szCs w:val="16"/>
              </w:rPr>
              <w:t>609</w:t>
            </w:r>
          </w:p>
        </w:tc>
        <w:tc>
          <w:tcPr>
            <w:tcW w:w="1170" w:type="dxa"/>
            <w:tcBorders>
              <w:top w:val="single" w:sz="8" w:space="0" w:color="auto"/>
              <w:left w:val="nil"/>
              <w:bottom w:val="single" w:sz="8" w:space="0" w:color="auto"/>
              <w:right w:val="single" w:sz="4" w:space="0" w:color="auto"/>
            </w:tcBorders>
            <w:shd w:val="clear" w:color="auto" w:fill="D9D9D9" w:themeFill="background1" w:themeFillShade="D9"/>
            <w:vAlign w:val="center"/>
          </w:tcPr>
          <w:p w:rsidR="008F239B" w:rsidRPr="00C438BF" w:rsidP="00DE526C" w14:paraId="371F463A" w14:textId="3D1231C3">
            <w:pPr>
              <w:jc w:val="center"/>
              <w:rPr>
                <w:b/>
                <w:bCs/>
                <w:color w:val="000000"/>
                <w:sz w:val="16"/>
                <w:szCs w:val="16"/>
              </w:rPr>
            </w:pPr>
            <w:r w:rsidRPr="00C438BF">
              <w:rPr>
                <w:b/>
                <w:bCs/>
                <w:color w:val="000000"/>
                <w:sz w:val="16"/>
                <w:szCs w:val="16"/>
              </w:rPr>
              <w:t>100%</w:t>
            </w:r>
          </w:p>
        </w:tc>
      </w:tr>
      <w:tr w14:paraId="400E574C" w14:textId="77777777" w:rsidTr="00C438BF">
        <w:tblPrEx>
          <w:tblW w:w="10255" w:type="dxa"/>
          <w:tblLayout w:type="fixed"/>
          <w:tblLook w:val="04A0"/>
        </w:tblPrEx>
        <w:trPr>
          <w:trHeight w:val="319"/>
        </w:trPr>
        <w:tc>
          <w:tcPr>
            <w:tcW w:w="10255" w:type="dxa"/>
            <w:gridSpan w:val="5"/>
            <w:tcBorders>
              <w:top w:val="single" w:sz="8" w:space="0" w:color="auto"/>
              <w:left w:val="single" w:sz="4" w:space="0" w:color="auto"/>
              <w:bottom w:val="single" w:sz="4" w:space="0" w:color="auto"/>
              <w:right w:val="single" w:sz="4" w:space="0" w:color="000000"/>
            </w:tcBorders>
            <w:shd w:val="clear" w:color="auto" w:fill="auto"/>
            <w:vAlign w:val="center"/>
            <w:hideMark/>
          </w:tcPr>
          <w:p w:rsidR="00673A7D" w:rsidRPr="00C438BF" w:rsidP="00DE526C" w14:paraId="279039DB" w14:textId="77777777">
            <w:pPr>
              <w:rPr>
                <w:rFonts w:eastAsiaTheme="minorHAnsi"/>
                <w:b/>
                <w:bCs/>
                <w:color w:val="000000"/>
              </w:rPr>
            </w:pPr>
            <w:r w:rsidRPr="00F330DA">
              <w:rPr>
                <w:rFonts w:eastAsiaTheme="minorHAnsi"/>
                <w:b/>
                <w:bCs/>
                <w:color w:val="000000"/>
                <w:sz w:val="21"/>
                <w:szCs w:val="21"/>
              </w:rPr>
              <w:t xml:space="preserve">   </w:t>
            </w:r>
            <w:r w:rsidRPr="00C438BF">
              <w:rPr>
                <w:rFonts w:eastAsiaTheme="minorHAnsi"/>
                <w:b/>
                <w:bCs/>
                <w:color w:val="000000"/>
              </w:rPr>
              <w:t>Project Management Stage</w:t>
            </w:r>
            <w:r w:rsidRPr="00C438BF">
              <w:rPr>
                <w:rFonts w:eastAsiaTheme="minorHAnsi"/>
                <w:b/>
                <w:bCs/>
                <w:color w:val="000000"/>
              </w:rPr>
              <w:t xml:space="preserve"> </w:t>
            </w:r>
          </w:p>
          <w:p w:rsidR="00DE526C" w:rsidRPr="00C438BF" w:rsidP="00DE526C" w14:paraId="6394019A" w14:textId="39E8A420">
            <w:pPr>
              <w:rPr>
                <w:b/>
                <w:bCs/>
                <w:color w:val="000000"/>
                <w:sz w:val="14"/>
                <w:szCs w:val="14"/>
              </w:rPr>
            </w:pPr>
            <w:r w:rsidRPr="00C438BF">
              <w:rPr>
                <w:rFonts w:eastAsiaTheme="minorHAnsi"/>
                <w:b/>
                <w:bCs/>
                <w:color w:val="000000"/>
                <w:sz w:val="14"/>
                <w:szCs w:val="14"/>
              </w:rPr>
              <w:t>(</w:t>
            </w:r>
            <w:bookmarkStart w:id="9" w:name="_Hlk130915466"/>
            <w:r w:rsidRPr="00C438BF">
              <w:rPr>
                <w:rFonts w:eastAsiaTheme="minorHAnsi"/>
                <w:b/>
                <w:bCs/>
                <w:color w:val="000000"/>
                <w:sz w:val="14"/>
                <w:szCs w:val="14"/>
              </w:rPr>
              <w:t xml:space="preserve">Based on </w:t>
            </w:r>
            <w:r w:rsidRPr="00C438BF" w:rsidR="00673A7D">
              <w:rPr>
                <w:rFonts w:eastAsiaTheme="minorHAnsi"/>
                <w:b/>
                <w:bCs/>
                <w:color w:val="000000"/>
                <w:sz w:val="14"/>
                <w:szCs w:val="14"/>
              </w:rPr>
              <w:t xml:space="preserve">the </w:t>
            </w:r>
            <w:r w:rsidRPr="00C438BF">
              <w:rPr>
                <w:rFonts w:eastAsiaTheme="minorHAnsi"/>
                <w:b/>
                <w:bCs/>
                <w:color w:val="000000"/>
                <w:sz w:val="14"/>
                <w:szCs w:val="14"/>
              </w:rPr>
              <w:t>predecessor STSFA Program</w:t>
            </w:r>
            <w:r w:rsidRPr="00C438BF" w:rsidR="00673A7D">
              <w:rPr>
                <w:rFonts w:eastAsiaTheme="minorHAnsi"/>
                <w:b/>
                <w:bCs/>
                <w:color w:val="000000"/>
                <w:sz w:val="14"/>
                <w:szCs w:val="14"/>
              </w:rPr>
              <w:t xml:space="preserve"> </w:t>
            </w:r>
            <w:bookmarkEnd w:id="9"/>
            <w:r w:rsidRPr="00C438BF" w:rsidR="00673A7D">
              <w:rPr>
                <w:rFonts w:eastAsiaTheme="minorHAnsi"/>
                <w:b/>
                <w:bCs/>
                <w:color w:val="000000"/>
                <w:sz w:val="14"/>
                <w:szCs w:val="14"/>
              </w:rPr>
              <w:t xml:space="preserve">there has been 7 </w:t>
            </w:r>
            <w:r w:rsidRPr="00C438BF" w:rsidR="008E3A9D">
              <w:rPr>
                <w:rFonts w:eastAsiaTheme="minorHAnsi"/>
                <w:b/>
                <w:bCs/>
                <w:color w:val="000000"/>
                <w:sz w:val="14"/>
                <w:szCs w:val="14"/>
              </w:rPr>
              <w:t>projects</w:t>
            </w:r>
            <w:r w:rsidRPr="00C438BF" w:rsidR="00673A7D">
              <w:rPr>
                <w:rFonts w:eastAsiaTheme="minorHAnsi"/>
                <w:b/>
                <w:bCs/>
                <w:color w:val="000000"/>
                <w:sz w:val="14"/>
                <w:szCs w:val="14"/>
              </w:rPr>
              <w:t xml:space="preserve"> award</w:t>
            </w:r>
            <w:r w:rsidRPr="00C438BF" w:rsidR="00231420">
              <w:rPr>
                <w:rFonts w:eastAsiaTheme="minorHAnsi"/>
                <w:b/>
                <w:bCs/>
                <w:color w:val="000000"/>
                <w:sz w:val="14"/>
                <w:szCs w:val="14"/>
              </w:rPr>
              <w:t>ed</w:t>
            </w:r>
            <w:r w:rsidRPr="00C438BF" w:rsidR="00673A7D">
              <w:rPr>
                <w:rFonts w:eastAsiaTheme="minorHAnsi"/>
                <w:b/>
                <w:bCs/>
                <w:color w:val="000000"/>
                <w:sz w:val="14"/>
                <w:szCs w:val="14"/>
              </w:rPr>
              <w:t xml:space="preserve"> annually</w:t>
            </w:r>
            <w:r w:rsidRPr="00C438BF">
              <w:rPr>
                <w:rFonts w:eastAsiaTheme="minorHAnsi"/>
                <w:b/>
                <w:bCs/>
                <w:color w:val="000000"/>
                <w:sz w:val="14"/>
                <w:szCs w:val="14"/>
              </w:rPr>
              <w:t>)</w:t>
            </w:r>
          </w:p>
        </w:tc>
      </w:tr>
      <w:tr w14:paraId="30046845" w14:textId="77777777" w:rsidTr="00C438BF">
        <w:tblPrEx>
          <w:tblW w:w="10255" w:type="dxa"/>
          <w:tblLayout w:type="fixed"/>
          <w:tblLook w:val="04A0"/>
        </w:tblPrEx>
        <w:trPr>
          <w:trHeight w:val="9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AF7CC2" w:rsidRPr="00C438BF" w:rsidP="00DE526C" w14:paraId="0137DD19" w14:textId="2CFE9C08">
            <w:pPr>
              <w:jc w:val="center"/>
              <w:rPr>
                <w:color w:val="000000"/>
                <w:sz w:val="16"/>
                <w:szCs w:val="16"/>
              </w:rPr>
            </w:pPr>
            <w:r w:rsidRPr="00C438BF">
              <w:rPr>
                <w:rFonts w:eastAsiaTheme="minorHAnsi"/>
                <w:color w:val="000000"/>
                <w:sz w:val="16"/>
                <w:szCs w:val="16"/>
              </w:rPr>
              <w:t xml:space="preserve">Quarterly Progress Report                                  </w:t>
            </w:r>
            <w:r w:rsidR="00416DF0">
              <w:rPr>
                <w:rFonts w:eastAsiaTheme="minorHAnsi"/>
                <w:color w:val="000000"/>
                <w:sz w:val="16"/>
                <w:szCs w:val="16"/>
              </w:rPr>
              <w:t xml:space="preserve">   </w:t>
            </w:r>
            <w:r w:rsidR="00416DF0">
              <w:rPr>
                <w:rFonts w:eastAsiaTheme="minorHAnsi"/>
                <w:color w:val="000000"/>
                <w:sz w:val="16"/>
                <w:szCs w:val="16"/>
              </w:rPr>
              <w:t xml:space="preserve">   </w:t>
            </w:r>
            <w:r w:rsidRPr="00C438BF">
              <w:rPr>
                <w:rFonts w:eastAsiaTheme="minorHAnsi"/>
                <w:b/>
                <w:bCs/>
                <w:color w:val="000000"/>
                <w:sz w:val="14"/>
                <w:szCs w:val="14"/>
              </w:rPr>
              <w:t>(</w:t>
            </w:r>
            <w:bookmarkStart w:id="10" w:name="_Hlk131088132"/>
            <w:r w:rsidRPr="00C438BF">
              <w:rPr>
                <w:rFonts w:eastAsiaTheme="minorHAnsi"/>
                <w:b/>
                <w:bCs/>
                <w:color w:val="000000"/>
                <w:sz w:val="14"/>
                <w:szCs w:val="14"/>
              </w:rPr>
              <w:t>7 annual reports x 4 quarters /24 hours per submission</w:t>
            </w:r>
            <w:bookmarkEnd w:id="10"/>
            <w:r w:rsidRPr="00C438BF">
              <w:rPr>
                <w:rFonts w:eastAsiaTheme="minorHAnsi"/>
                <w:b/>
                <w:bCs/>
                <w:color w:val="000000"/>
                <w:sz w:val="14"/>
                <w:szCs w:val="14"/>
              </w:rPr>
              <w:t>)</w:t>
            </w:r>
            <w:r w:rsidRPr="00C438BF">
              <w:rPr>
                <w:rFonts w:eastAsiaTheme="minorHAnsi"/>
                <w:color w:val="000000"/>
                <w:sz w:val="16"/>
                <w:szCs w:val="16"/>
              </w:rPr>
              <w:t xml:space="preserve"> </w:t>
            </w:r>
          </w:p>
        </w:tc>
        <w:tc>
          <w:tcPr>
            <w:tcW w:w="2590" w:type="dxa"/>
            <w:tcBorders>
              <w:top w:val="nil"/>
              <w:left w:val="nil"/>
              <w:bottom w:val="single" w:sz="4" w:space="0" w:color="auto"/>
              <w:right w:val="single" w:sz="4" w:space="0" w:color="auto"/>
            </w:tcBorders>
            <w:shd w:val="clear" w:color="auto" w:fill="auto"/>
            <w:vAlign w:val="center"/>
            <w:hideMark/>
          </w:tcPr>
          <w:p w:rsidR="00AF7CC2" w:rsidRPr="00C438BF" w:rsidP="00DE526C" w14:paraId="5729BD6E" w14:textId="3323AB76">
            <w:pPr>
              <w:jc w:val="center"/>
              <w:rPr>
                <w:color w:val="000000"/>
                <w:sz w:val="16"/>
                <w:szCs w:val="16"/>
              </w:rPr>
            </w:pPr>
            <w:r w:rsidRPr="00C438BF">
              <w:rPr>
                <w:rFonts w:eastAsiaTheme="minorHAnsi"/>
                <w:color w:val="000000"/>
                <w:sz w:val="16"/>
                <w:szCs w:val="16"/>
              </w:rPr>
              <w:t>28</w:t>
            </w:r>
          </w:p>
        </w:tc>
        <w:tc>
          <w:tcPr>
            <w:tcW w:w="1748" w:type="dxa"/>
            <w:tcBorders>
              <w:top w:val="nil"/>
              <w:left w:val="nil"/>
              <w:bottom w:val="single" w:sz="4" w:space="0" w:color="auto"/>
              <w:right w:val="single" w:sz="4" w:space="0" w:color="auto"/>
            </w:tcBorders>
            <w:shd w:val="clear" w:color="auto" w:fill="auto"/>
            <w:vAlign w:val="center"/>
            <w:hideMark/>
          </w:tcPr>
          <w:p w:rsidR="00AF7CC2" w:rsidRPr="00C438BF" w:rsidP="00DE526C" w14:paraId="77550B63" w14:textId="7A7596EB">
            <w:pPr>
              <w:jc w:val="center"/>
              <w:rPr>
                <w:color w:val="000000"/>
                <w:sz w:val="16"/>
                <w:szCs w:val="16"/>
              </w:rPr>
            </w:pPr>
            <w:r w:rsidRPr="00C438BF">
              <w:rPr>
                <w:rFonts w:eastAsiaTheme="minorHAnsi"/>
                <w:color w:val="000000"/>
                <w:sz w:val="16"/>
                <w:szCs w:val="16"/>
              </w:rPr>
              <w:t>24</w:t>
            </w:r>
          </w:p>
        </w:tc>
        <w:tc>
          <w:tcPr>
            <w:tcW w:w="1152" w:type="dxa"/>
            <w:tcBorders>
              <w:top w:val="nil"/>
              <w:left w:val="nil"/>
              <w:bottom w:val="single" w:sz="4" w:space="0" w:color="auto"/>
              <w:right w:val="single" w:sz="4" w:space="0" w:color="auto"/>
            </w:tcBorders>
            <w:shd w:val="clear" w:color="auto" w:fill="BFBFBF" w:themeFill="background1" w:themeFillShade="BF"/>
            <w:vAlign w:val="center"/>
            <w:hideMark/>
          </w:tcPr>
          <w:p w:rsidR="00AF7CC2" w:rsidRPr="00C438BF" w:rsidP="00DE526C" w14:paraId="531AE612" w14:textId="047433A2">
            <w:pPr>
              <w:jc w:val="center"/>
              <w:rPr>
                <w:b/>
                <w:bCs/>
                <w:color w:val="000000"/>
                <w:sz w:val="16"/>
                <w:szCs w:val="16"/>
              </w:rPr>
            </w:pPr>
            <w:r w:rsidRPr="00C438BF">
              <w:rPr>
                <w:b/>
                <w:bCs/>
                <w:color w:val="000000"/>
                <w:sz w:val="16"/>
                <w:szCs w:val="16"/>
              </w:rPr>
              <w:t>672</w:t>
            </w:r>
          </w:p>
        </w:tc>
        <w:tc>
          <w:tcPr>
            <w:tcW w:w="1170" w:type="dxa"/>
            <w:vMerge w:val="restart"/>
            <w:tcBorders>
              <w:top w:val="nil"/>
              <w:left w:val="nil"/>
              <w:right w:val="single" w:sz="4" w:space="0" w:color="auto"/>
            </w:tcBorders>
            <w:shd w:val="clear" w:color="auto" w:fill="D9D9D9" w:themeFill="background1" w:themeFillShade="D9"/>
            <w:vAlign w:val="center"/>
          </w:tcPr>
          <w:p w:rsidR="00AF7CC2" w:rsidRPr="00C438BF" w:rsidP="00DE526C" w14:paraId="3A5625F7" w14:textId="77777777">
            <w:pPr>
              <w:jc w:val="center"/>
              <w:rPr>
                <w:color w:val="000000"/>
                <w:sz w:val="16"/>
                <w:szCs w:val="16"/>
              </w:rPr>
            </w:pPr>
            <w:r w:rsidRPr="00C438BF">
              <w:rPr>
                <w:color w:val="000000"/>
                <w:sz w:val="16"/>
                <w:szCs w:val="16"/>
              </w:rPr>
              <w:t>100%</w:t>
            </w:r>
          </w:p>
          <w:p w:rsidR="00AF7CC2" w:rsidRPr="00C438BF" w:rsidP="00AB740D" w14:paraId="14A2C5E2" w14:textId="2C96614C">
            <w:pPr>
              <w:jc w:val="center"/>
              <w:rPr>
                <w:color w:val="000000"/>
                <w:sz w:val="16"/>
                <w:szCs w:val="16"/>
              </w:rPr>
            </w:pPr>
          </w:p>
        </w:tc>
      </w:tr>
      <w:tr w14:paraId="3E6A88F4" w14:textId="77777777" w:rsidTr="00C438BF">
        <w:tblPrEx>
          <w:tblW w:w="10255" w:type="dxa"/>
          <w:tblLayout w:type="fixed"/>
          <w:tblLook w:val="04A0"/>
        </w:tblPrEx>
        <w:trPr>
          <w:trHeight w:val="88"/>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AF7CC2" w:rsidRPr="00C438BF" w:rsidP="00DE526C" w14:paraId="3420ECEB" w14:textId="10FAA4DD">
            <w:pPr>
              <w:jc w:val="center"/>
              <w:rPr>
                <w:color w:val="000000"/>
                <w:sz w:val="16"/>
                <w:szCs w:val="16"/>
              </w:rPr>
            </w:pPr>
            <w:r w:rsidRPr="00C438BF">
              <w:rPr>
                <w:rFonts w:eastAsiaTheme="minorHAnsi"/>
                <w:color w:val="000000"/>
                <w:sz w:val="16"/>
                <w:szCs w:val="16"/>
              </w:rPr>
              <w:t xml:space="preserve">System Engineering Document                              </w:t>
            </w:r>
            <w:r w:rsidR="00416DF0">
              <w:rPr>
                <w:rFonts w:eastAsiaTheme="minorHAnsi"/>
                <w:color w:val="000000"/>
                <w:sz w:val="16"/>
                <w:szCs w:val="16"/>
              </w:rPr>
              <w:t xml:space="preserve">   </w:t>
            </w:r>
            <w:r w:rsidRPr="00C438BF">
              <w:rPr>
                <w:rFonts w:eastAsiaTheme="minorHAnsi"/>
                <w:b/>
                <w:bCs/>
                <w:color w:val="000000"/>
                <w:sz w:val="14"/>
                <w:szCs w:val="14"/>
              </w:rPr>
              <w:t>(</w:t>
            </w:r>
            <w:bookmarkStart w:id="11" w:name="_Hlk131088368"/>
            <w:r w:rsidRPr="00C438BF">
              <w:rPr>
                <w:rFonts w:eastAsiaTheme="minorHAnsi"/>
                <w:b/>
                <w:bCs/>
                <w:color w:val="000000"/>
                <w:sz w:val="14"/>
                <w:szCs w:val="14"/>
              </w:rPr>
              <w:t>1 document annually x 24 hours per submission</w:t>
            </w:r>
            <w:bookmarkEnd w:id="11"/>
            <w:r w:rsidRPr="00C438BF">
              <w:rPr>
                <w:rFonts w:eastAsiaTheme="minorHAnsi"/>
                <w:b/>
                <w:bCs/>
                <w:color w:val="000000"/>
                <w:sz w:val="14"/>
                <w:szCs w:val="14"/>
              </w:rPr>
              <w:t>)</w:t>
            </w:r>
          </w:p>
        </w:tc>
        <w:tc>
          <w:tcPr>
            <w:tcW w:w="2590" w:type="dxa"/>
            <w:tcBorders>
              <w:top w:val="nil"/>
              <w:left w:val="nil"/>
              <w:bottom w:val="single" w:sz="4" w:space="0" w:color="auto"/>
              <w:right w:val="single" w:sz="4" w:space="0" w:color="auto"/>
            </w:tcBorders>
            <w:shd w:val="clear" w:color="auto" w:fill="auto"/>
            <w:vAlign w:val="center"/>
            <w:hideMark/>
          </w:tcPr>
          <w:p w:rsidR="00AF7CC2" w:rsidRPr="00C438BF" w:rsidP="00DE526C" w14:paraId="6E2DC2A5" w14:textId="207AF077">
            <w:pPr>
              <w:jc w:val="center"/>
              <w:rPr>
                <w:color w:val="000000"/>
                <w:sz w:val="16"/>
                <w:szCs w:val="16"/>
              </w:rPr>
            </w:pPr>
            <w:r w:rsidRPr="00C438BF">
              <w:rPr>
                <w:rFonts w:eastAsiaTheme="minorHAnsi"/>
                <w:color w:val="000000"/>
                <w:sz w:val="16"/>
                <w:szCs w:val="16"/>
              </w:rPr>
              <w:t xml:space="preserve"> 1</w:t>
            </w:r>
          </w:p>
        </w:tc>
        <w:tc>
          <w:tcPr>
            <w:tcW w:w="1748" w:type="dxa"/>
            <w:tcBorders>
              <w:top w:val="nil"/>
              <w:left w:val="nil"/>
              <w:bottom w:val="single" w:sz="4" w:space="0" w:color="auto"/>
              <w:right w:val="single" w:sz="4" w:space="0" w:color="auto"/>
            </w:tcBorders>
            <w:shd w:val="clear" w:color="auto" w:fill="auto"/>
            <w:vAlign w:val="center"/>
            <w:hideMark/>
          </w:tcPr>
          <w:p w:rsidR="00AF7CC2" w:rsidRPr="00C438BF" w:rsidP="00DE526C" w14:paraId="6C911486" w14:textId="78ED7C74">
            <w:pPr>
              <w:jc w:val="center"/>
              <w:rPr>
                <w:color w:val="000000"/>
                <w:sz w:val="16"/>
                <w:szCs w:val="16"/>
              </w:rPr>
            </w:pPr>
            <w:r w:rsidRPr="00C438BF">
              <w:rPr>
                <w:rFonts w:eastAsiaTheme="minorHAnsi"/>
                <w:color w:val="000000"/>
                <w:sz w:val="16"/>
                <w:szCs w:val="16"/>
              </w:rPr>
              <w:t>24</w:t>
            </w:r>
          </w:p>
        </w:tc>
        <w:tc>
          <w:tcPr>
            <w:tcW w:w="1152" w:type="dxa"/>
            <w:tcBorders>
              <w:top w:val="nil"/>
              <w:left w:val="nil"/>
              <w:bottom w:val="single" w:sz="4" w:space="0" w:color="auto"/>
              <w:right w:val="single" w:sz="4" w:space="0" w:color="auto"/>
            </w:tcBorders>
            <w:shd w:val="clear" w:color="auto" w:fill="BFBFBF" w:themeFill="background1" w:themeFillShade="BF"/>
            <w:vAlign w:val="center"/>
            <w:hideMark/>
          </w:tcPr>
          <w:p w:rsidR="00AF7CC2" w:rsidRPr="00C438BF" w:rsidP="00DE526C" w14:paraId="7620A076" w14:textId="77777777">
            <w:pPr>
              <w:jc w:val="center"/>
              <w:rPr>
                <w:b/>
                <w:bCs/>
                <w:color w:val="000000"/>
                <w:sz w:val="16"/>
                <w:szCs w:val="16"/>
              </w:rPr>
            </w:pPr>
            <w:r w:rsidRPr="00C438BF">
              <w:rPr>
                <w:b/>
                <w:bCs/>
                <w:color w:val="000000"/>
                <w:sz w:val="16"/>
                <w:szCs w:val="16"/>
              </w:rPr>
              <w:t>24</w:t>
            </w:r>
          </w:p>
        </w:tc>
        <w:tc>
          <w:tcPr>
            <w:tcW w:w="1170" w:type="dxa"/>
            <w:vMerge/>
            <w:tcBorders>
              <w:left w:val="nil"/>
              <w:right w:val="single" w:sz="4" w:space="0" w:color="auto"/>
            </w:tcBorders>
            <w:shd w:val="clear" w:color="auto" w:fill="D9D9D9" w:themeFill="background1" w:themeFillShade="D9"/>
            <w:vAlign w:val="center"/>
          </w:tcPr>
          <w:p w:rsidR="00AF7CC2" w:rsidRPr="00C438BF" w:rsidP="00AB740D" w14:paraId="14CD37C4" w14:textId="5CEAE4BE">
            <w:pPr>
              <w:jc w:val="center"/>
              <w:rPr>
                <w:color w:val="000000"/>
                <w:sz w:val="16"/>
                <w:szCs w:val="16"/>
              </w:rPr>
            </w:pPr>
          </w:p>
        </w:tc>
      </w:tr>
      <w:tr w14:paraId="6B4410EB" w14:textId="77777777" w:rsidTr="00C438BF">
        <w:tblPrEx>
          <w:tblW w:w="10255" w:type="dxa"/>
          <w:tblLayout w:type="fixed"/>
          <w:tblLook w:val="04A0"/>
        </w:tblPrEx>
        <w:trPr>
          <w:trHeight w:val="88"/>
        </w:trPr>
        <w:tc>
          <w:tcPr>
            <w:tcW w:w="3595" w:type="dxa"/>
            <w:tcBorders>
              <w:top w:val="nil"/>
              <w:left w:val="single" w:sz="4" w:space="0" w:color="auto"/>
              <w:bottom w:val="single" w:sz="4" w:space="0" w:color="auto"/>
              <w:right w:val="single" w:sz="4" w:space="0" w:color="auto"/>
            </w:tcBorders>
            <w:shd w:val="clear" w:color="auto" w:fill="auto"/>
            <w:vAlign w:val="center"/>
          </w:tcPr>
          <w:p w:rsidR="00AF7CC2" w:rsidRPr="00C438BF" w:rsidP="00DE526C" w14:paraId="1814D4F4" w14:textId="4838C2D8">
            <w:pPr>
              <w:jc w:val="center"/>
              <w:rPr>
                <w:rFonts w:eastAsiaTheme="minorHAnsi"/>
                <w:color w:val="000000"/>
                <w:sz w:val="16"/>
                <w:szCs w:val="16"/>
              </w:rPr>
            </w:pPr>
            <w:r w:rsidRPr="00C438BF">
              <w:rPr>
                <w:rFonts w:eastAsiaTheme="minorHAnsi"/>
                <w:color w:val="000000"/>
                <w:sz w:val="16"/>
                <w:szCs w:val="16"/>
              </w:rPr>
              <w:t xml:space="preserve">Data Management Plan                                           </w:t>
            </w:r>
            <w:r w:rsidRPr="00C438BF">
              <w:rPr>
                <w:rFonts w:eastAsiaTheme="minorHAnsi"/>
                <w:color w:val="000000"/>
                <w:sz w:val="16"/>
                <w:szCs w:val="16"/>
              </w:rPr>
              <w:t xml:space="preserve">   </w:t>
            </w:r>
            <w:r w:rsidRPr="00C438BF">
              <w:rPr>
                <w:rFonts w:eastAsiaTheme="minorHAnsi"/>
                <w:b/>
                <w:bCs/>
                <w:color w:val="000000"/>
                <w:sz w:val="14"/>
                <w:szCs w:val="14"/>
              </w:rPr>
              <w:t>(</w:t>
            </w:r>
            <w:r w:rsidRPr="00C438BF">
              <w:rPr>
                <w:rFonts w:eastAsiaTheme="minorHAnsi"/>
                <w:b/>
                <w:bCs/>
                <w:color w:val="000000"/>
                <w:sz w:val="14"/>
                <w:szCs w:val="14"/>
              </w:rPr>
              <w:t>3 document annually x 24 hours per submission)</w:t>
            </w:r>
          </w:p>
        </w:tc>
        <w:tc>
          <w:tcPr>
            <w:tcW w:w="2590" w:type="dxa"/>
            <w:tcBorders>
              <w:top w:val="nil"/>
              <w:left w:val="nil"/>
              <w:bottom w:val="single" w:sz="4" w:space="0" w:color="auto"/>
              <w:right w:val="single" w:sz="4" w:space="0" w:color="auto"/>
            </w:tcBorders>
            <w:shd w:val="clear" w:color="auto" w:fill="auto"/>
            <w:vAlign w:val="center"/>
          </w:tcPr>
          <w:p w:rsidR="00AF7CC2" w:rsidRPr="00C438BF" w:rsidP="00DE526C" w14:paraId="723A6616" w14:textId="49CC6D98">
            <w:pPr>
              <w:jc w:val="center"/>
              <w:rPr>
                <w:rFonts w:eastAsiaTheme="minorHAnsi"/>
                <w:color w:val="000000"/>
                <w:sz w:val="16"/>
                <w:szCs w:val="16"/>
              </w:rPr>
            </w:pPr>
            <w:r w:rsidRPr="00C438BF">
              <w:rPr>
                <w:rFonts w:eastAsiaTheme="minorHAnsi"/>
                <w:color w:val="000000"/>
                <w:sz w:val="16"/>
                <w:szCs w:val="16"/>
              </w:rPr>
              <w:t xml:space="preserve"> 3</w:t>
            </w:r>
          </w:p>
        </w:tc>
        <w:tc>
          <w:tcPr>
            <w:tcW w:w="1748" w:type="dxa"/>
            <w:tcBorders>
              <w:top w:val="nil"/>
              <w:left w:val="nil"/>
              <w:bottom w:val="single" w:sz="4" w:space="0" w:color="auto"/>
              <w:right w:val="single" w:sz="4" w:space="0" w:color="auto"/>
            </w:tcBorders>
            <w:shd w:val="clear" w:color="auto" w:fill="auto"/>
            <w:vAlign w:val="center"/>
          </w:tcPr>
          <w:p w:rsidR="00AF7CC2" w:rsidRPr="00C438BF" w:rsidP="00DE526C" w14:paraId="456B44D7" w14:textId="42953902">
            <w:pPr>
              <w:jc w:val="center"/>
              <w:rPr>
                <w:rFonts w:eastAsiaTheme="minorHAnsi"/>
                <w:color w:val="000000"/>
                <w:sz w:val="16"/>
                <w:szCs w:val="16"/>
              </w:rPr>
            </w:pPr>
            <w:r w:rsidRPr="00C438BF">
              <w:rPr>
                <w:rFonts w:eastAsiaTheme="minorHAnsi"/>
                <w:color w:val="000000"/>
                <w:sz w:val="16"/>
                <w:szCs w:val="16"/>
              </w:rPr>
              <w:t>24</w:t>
            </w:r>
          </w:p>
        </w:tc>
        <w:tc>
          <w:tcPr>
            <w:tcW w:w="1152" w:type="dxa"/>
            <w:tcBorders>
              <w:top w:val="nil"/>
              <w:left w:val="nil"/>
              <w:bottom w:val="single" w:sz="4" w:space="0" w:color="auto"/>
              <w:right w:val="single" w:sz="4" w:space="0" w:color="auto"/>
            </w:tcBorders>
            <w:shd w:val="clear" w:color="auto" w:fill="BFBFBF" w:themeFill="background1" w:themeFillShade="BF"/>
            <w:vAlign w:val="center"/>
          </w:tcPr>
          <w:p w:rsidR="00AF7CC2" w:rsidRPr="00C438BF" w:rsidP="00DE526C" w14:paraId="138948F5" w14:textId="71B8E4EE">
            <w:pPr>
              <w:jc w:val="center"/>
              <w:rPr>
                <w:b/>
                <w:bCs/>
                <w:color w:val="000000"/>
                <w:sz w:val="16"/>
                <w:szCs w:val="16"/>
              </w:rPr>
            </w:pPr>
            <w:r w:rsidRPr="00C438BF">
              <w:rPr>
                <w:b/>
                <w:bCs/>
                <w:color w:val="000000"/>
                <w:sz w:val="16"/>
                <w:szCs w:val="16"/>
              </w:rPr>
              <w:t>72</w:t>
            </w:r>
          </w:p>
        </w:tc>
        <w:tc>
          <w:tcPr>
            <w:tcW w:w="1170" w:type="dxa"/>
            <w:vMerge/>
            <w:tcBorders>
              <w:left w:val="nil"/>
              <w:bottom w:val="single" w:sz="4" w:space="0" w:color="auto"/>
              <w:right w:val="single" w:sz="4" w:space="0" w:color="auto"/>
            </w:tcBorders>
            <w:shd w:val="clear" w:color="auto" w:fill="D9D9D9" w:themeFill="background1" w:themeFillShade="D9"/>
            <w:vAlign w:val="center"/>
          </w:tcPr>
          <w:p w:rsidR="00AF7CC2" w:rsidRPr="00C438BF" w:rsidP="00DE526C" w14:paraId="3F3CC6D8" w14:textId="4E41DA7D">
            <w:pPr>
              <w:jc w:val="center"/>
              <w:rPr>
                <w:color w:val="000000"/>
                <w:sz w:val="16"/>
                <w:szCs w:val="16"/>
              </w:rPr>
            </w:pPr>
          </w:p>
        </w:tc>
      </w:tr>
      <w:tr w14:paraId="147C7054" w14:textId="77777777" w:rsidTr="00C438BF">
        <w:tblPrEx>
          <w:tblW w:w="10255" w:type="dxa"/>
          <w:tblLayout w:type="fixed"/>
          <w:tblLook w:val="04A0"/>
        </w:tblPrEx>
        <w:trPr>
          <w:trHeight w:val="75"/>
        </w:trPr>
        <w:tc>
          <w:tcPr>
            <w:tcW w:w="7933" w:type="dxa"/>
            <w:gridSpan w:val="3"/>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AF7CC2" w:rsidRPr="00C438BF" w:rsidP="00C11CC3" w14:paraId="7D46363C" w14:textId="18A3B322">
            <w:pPr>
              <w:jc w:val="center"/>
              <w:rPr>
                <w:b/>
                <w:bCs/>
                <w:color w:val="000000"/>
                <w:sz w:val="16"/>
                <w:szCs w:val="16"/>
              </w:rPr>
            </w:pPr>
            <w:r w:rsidRPr="00C438BF">
              <w:rPr>
                <w:b/>
                <w:bCs/>
                <w:color w:val="000000"/>
                <w:sz w:val="16"/>
                <w:szCs w:val="16"/>
              </w:rPr>
              <w:t>Subtotal</w:t>
            </w:r>
          </w:p>
          <w:p w:rsidR="00AF7CC2" w:rsidRPr="00C438BF" w:rsidP="00DE526C" w14:paraId="524824CD" w14:textId="56067A17">
            <w:pPr>
              <w:jc w:val="center"/>
              <w:rPr>
                <w:b/>
                <w:bCs/>
                <w:color w:val="000000"/>
                <w:sz w:val="16"/>
                <w:szCs w:val="16"/>
              </w:rPr>
            </w:pPr>
          </w:p>
        </w:tc>
        <w:tc>
          <w:tcPr>
            <w:tcW w:w="115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AF7CC2" w:rsidRPr="00C438BF" w:rsidP="00DE526C" w14:paraId="76258140" w14:textId="5186B1C0">
            <w:pPr>
              <w:jc w:val="center"/>
              <w:rPr>
                <w:b/>
                <w:bCs/>
                <w:color w:val="000000"/>
                <w:sz w:val="16"/>
                <w:szCs w:val="16"/>
              </w:rPr>
            </w:pPr>
            <w:r w:rsidRPr="00C438BF">
              <w:rPr>
                <w:b/>
                <w:bCs/>
                <w:color w:val="000000"/>
                <w:sz w:val="16"/>
                <w:szCs w:val="16"/>
              </w:rPr>
              <w:t>768</w:t>
            </w:r>
          </w:p>
        </w:tc>
        <w:tc>
          <w:tcPr>
            <w:tcW w:w="1170" w:type="dxa"/>
            <w:tcBorders>
              <w:top w:val="single" w:sz="8" w:space="0" w:color="auto"/>
              <w:left w:val="nil"/>
              <w:bottom w:val="single" w:sz="8" w:space="0" w:color="auto"/>
              <w:right w:val="single" w:sz="4" w:space="0" w:color="auto"/>
            </w:tcBorders>
            <w:shd w:val="clear" w:color="auto" w:fill="D9D9D9" w:themeFill="background1" w:themeFillShade="D9"/>
            <w:vAlign w:val="center"/>
          </w:tcPr>
          <w:p w:rsidR="00AF7CC2" w:rsidRPr="00C438BF" w:rsidP="00DE526C" w14:paraId="34B89C7F" w14:textId="56499CDA">
            <w:pPr>
              <w:jc w:val="center"/>
              <w:rPr>
                <w:b/>
                <w:bCs/>
                <w:color w:val="000000"/>
                <w:sz w:val="16"/>
                <w:szCs w:val="16"/>
              </w:rPr>
            </w:pPr>
            <w:r w:rsidRPr="00C438BF">
              <w:rPr>
                <w:b/>
                <w:bCs/>
                <w:color w:val="000000"/>
                <w:sz w:val="16"/>
                <w:szCs w:val="16"/>
              </w:rPr>
              <w:t>100%</w:t>
            </w:r>
          </w:p>
        </w:tc>
      </w:tr>
      <w:tr w14:paraId="2D357970" w14:textId="77777777" w:rsidTr="00C438BF">
        <w:tblPrEx>
          <w:tblW w:w="10255" w:type="dxa"/>
          <w:tblLayout w:type="fixed"/>
          <w:tblLook w:val="04A0"/>
        </w:tblPrEx>
        <w:trPr>
          <w:trHeight w:val="74"/>
        </w:trPr>
        <w:tc>
          <w:tcPr>
            <w:tcW w:w="7933" w:type="dxa"/>
            <w:gridSpan w:val="3"/>
            <w:tcBorders>
              <w:top w:val="trip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7CC2" w:rsidRPr="00C438BF" w:rsidP="00AF7CC2" w14:paraId="3569264B" w14:textId="31692780">
            <w:pPr>
              <w:jc w:val="center"/>
              <w:rPr>
                <w:color w:val="000000"/>
                <w:sz w:val="16"/>
                <w:szCs w:val="16"/>
              </w:rPr>
            </w:pPr>
            <w:r w:rsidRPr="00C438BF">
              <w:rPr>
                <w:rFonts w:eastAsiaTheme="minorHAnsi"/>
                <w:b/>
                <w:bCs/>
                <w:color w:val="000000"/>
                <w:sz w:val="16"/>
                <w:szCs w:val="16"/>
              </w:rPr>
              <w:t>Total Burden Hours</w:t>
            </w:r>
            <w:r w:rsidRPr="00C438BF">
              <w:rPr>
                <w:rFonts w:eastAsiaTheme="minorHAnsi"/>
                <w:color w:val="000000"/>
                <w:sz w:val="16"/>
                <w:szCs w:val="16"/>
              </w:rPr>
              <w:t> </w:t>
            </w:r>
          </w:p>
        </w:tc>
        <w:tc>
          <w:tcPr>
            <w:tcW w:w="1152" w:type="dxa"/>
            <w:tcBorders>
              <w:top w:val="triple" w:sz="4" w:space="0" w:color="auto"/>
              <w:left w:val="nil"/>
              <w:bottom w:val="single" w:sz="4" w:space="0" w:color="auto"/>
              <w:right w:val="single" w:sz="4" w:space="0" w:color="auto"/>
            </w:tcBorders>
            <w:shd w:val="clear" w:color="auto" w:fill="A6A6A6" w:themeFill="background1" w:themeFillShade="A6"/>
            <w:vAlign w:val="center"/>
            <w:hideMark/>
          </w:tcPr>
          <w:p w:rsidR="00AF7CC2" w:rsidRPr="00C438BF" w:rsidP="00DE526C" w14:paraId="3BBA5C24" w14:textId="6F11CDC2">
            <w:pPr>
              <w:rPr>
                <w:b/>
                <w:bCs/>
                <w:color w:val="000000"/>
                <w:sz w:val="16"/>
                <w:szCs w:val="16"/>
              </w:rPr>
            </w:pPr>
            <w:r w:rsidRPr="00C438BF">
              <w:rPr>
                <w:b/>
                <w:bCs/>
                <w:color w:val="000000"/>
                <w:sz w:val="16"/>
                <w:szCs w:val="16"/>
              </w:rPr>
              <w:t xml:space="preserve">    </w:t>
            </w:r>
            <w:r w:rsidR="00416DF0">
              <w:rPr>
                <w:b/>
                <w:bCs/>
                <w:color w:val="000000"/>
                <w:sz w:val="16"/>
                <w:szCs w:val="16"/>
              </w:rPr>
              <w:t xml:space="preserve">  </w:t>
            </w:r>
            <w:r w:rsidRPr="00C438BF">
              <w:rPr>
                <w:b/>
                <w:bCs/>
                <w:color w:val="000000"/>
                <w:sz w:val="16"/>
                <w:szCs w:val="16"/>
              </w:rPr>
              <w:t>1,377</w:t>
            </w:r>
          </w:p>
        </w:tc>
        <w:tc>
          <w:tcPr>
            <w:tcW w:w="1170" w:type="dxa"/>
            <w:tcBorders>
              <w:top w:val="triple" w:sz="4" w:space="0" w:color="auto"/>
              <w:left w:val="nil"/>
              <w:bottom w:val="single" w:sz="4" w:space="0" w:color="auto"/>
              <w:right w:val="single" w:sz="4" w:space="0" w:color="auto"/>
            </w:tcBorders>
            <w:shd w:val="clear" w:color="auto" w:fill="A6A6A6" w:themeFill="background1" w:themeFillShade="A6"/>
            <w:vAlign w:val="center"/>
          </w:tcPr>
          <w:p w:rsidR="00AF7CC2" w:rsidRPr="00C438BF" w:rsidP="00DE526C" w14:paraId="1DEEE6A9" w14:textId="44871D43">
            <w:pPr>
              <w:rPr>
                <w:b/>
                <w:bCs/>
                <w:color w:val="000000"/>
                <w:sz w:val="16"/>
                <w:szCs w:val="16"/>
              </w:rPr>
            </w:pPr>
            <w:r w:rsidRPr="00C438BF">
              <w:rPr>
                <w:b/>
                <w:bCs/>
                <w:color w:val="000000"/>
                <w:sz w:val="16"/>
                <w:szCs w:val="16"/>
              </w:rPr>
              <w:t xml:space="preserve">  </w:t>
            </w:r>
            <w:r w:rsidR="00416DF0">
              <w:rPr>
                <w:b/>
                <w:bCs/>
                <w:color w:val="000000"/>
                <w:sz w:val="16"/>
                <w:szCs w:val="16"/>
              </w:rPr>
              <w:t xml:space="preserve">     </w:t>
            </w:r>
            <w:r w:rsidRPr="00C438BF">
              <w:rPr>
                <w:b/>
                <w:bCs/>
                <w:color w:val="000000"/>
                <w:sz w:val="16"/>
                <w:szCs w:val="16"/>
              </w:rPr>
              <w:t>100%</w:t>
            </w:r>
          </w:p>
        </w:tc>
      </w:tr>
    </w:tbl>
    <w:bookmarkEnd w:id="7"/>
    <w:p w:rsidR="007564F9" w:rsidP="00DA0DFB" w14:paraId="48742525" w14:textId="5A590D42">
      <w:pPr>
        <w:widowControl w:val="0"/>
        <w:contextualSpacing/>
        <w:rPr>
          <w:snapToGrid w:val="0"/>
          <w:color w:val="000000"/>
          <w:sz w:val="24"/>
          <w:szCs w:val="24"/>
        </w:rPr>
      </w:pPr>
      <w:r>
        <w:rPr>
          <w:snapToGrid w:val="0"/>
          <w:color w:val="000000"/>
          <w:sz w:val="24"/>
          <w:szCs w:val="24"/>
        </w:rPr>
        <w:t xml:space="preserve">    </w:t>
      </w:r>
    </w:p>
    <w:p w:rsidR="007564F9" w:rsidP="007564F9" w14:paraId="0695353D" w14:textId="51F199A5">
      <w:pPr>
        <w:rPr>
          <w:snapToGrid w:val="0"/>
          <w:color w:val="000000"/>
          <w:sz w:val="24"/>
          <w:szCs w:val="24"/>
        </w:rPr>
      </w:pPr>
      <w:r>
        <w:rPr>
          <w:snapToGrid w:val="0"/>
          <w:color w:val="000000"/>
          <w:sz w:val="24"/>
          <w:szCs w:val="24"/>
        </w:rPr>
        <w:t xml:space="preserve">The total burden hours for both the </w:t>
      </w:r>
      <w:r w:rsidRPr="004F259E">
        <w:rPr>
          <w:b/>
          <w:bCs/>
          <w:snapToGrid w:val="0"/>
          <w:color w:val="000000"/>
          <w:sz w:val="24"/>
          <w:szCs w:val="24"/>
        </w:rPr>
        <w:t>Application and Grant Agreement Stage</w:t>
      </w:r>
      <w:r>
        <w:rPr>
          <w:snapToGrid w:val="0"/>
          <w:color w:val="000000"/>
          <w:sz w:val="24"/>
          <w:szCs w:val="24"/>
        </w:rPr>
        <w:t xml:space="preserve">, as well as the </w:t>
      </w:r>
      <w:r w:rsidRPr="004F259E">
        <w:rPr>
          <w:b/>
          <w:bCs/>
          <w:snapToGrid w:val="0"/>
          <w:color w:val="000000"/>
          <w:sz w:val="24"/>
          <w:szCs w:val="24"/>
        </w:rPr>
        <w:t xml:space="preserve">Project Management Stage is </w:t>
      </w:r>
      <w:r>
        <w:rPr>
          <w:b/>
          <w:bCs/>
          <w:snapToGrid w:val="0"/>
          <w:color w:val="000000"/>
          <w:sz w:val="24"/>
          <w:szCs w:val="24"/>
        </w:rPr>
        <w:t>1,377</w:t>
      </w:r>
      <w:r w:rsidRPr="004F259E">
        <w:rPr>
          <w:b/>
          <w:bCs/>
          <w:snapToGrid w:val="0"/>
          <w:color w:val="000000"/>
          <w:sz w:val="24"/>
          <w:szCs w:val="24"/>
        </w:rPr>
        <w:t xml:space="preserve"> burden hours</w:t>
      </w:r>
      <w:r>
        <w:rPr>
          <w:b/>
          <w:bCs/>
          <w:snapToGrid w:val="0"/>
          <w:color w:val="000000"/>
          <w:sz w:val="24"/>
          <w:szCs w:val="24"/>
        </w:rPr>
        <w:t xml:space="preserve"> as shown above in Table 1</w:t>
      </w:r>
      <w:r>
        <w:rPr>
          <w:snapToGrid w:val="0"/>
          <w:color w:val="000000"/>
          <w:sz w:val="24"/>
          <w:szCs w:val="24"/>
        </w:rPr>
        <w:t xml:space="preserve">.  </w:t>
      </w:r>
    </w:p>
    <w:p w:rsidR="00F330DA" w:rsidP="00DA0DFB" w14:paraId="46C8C9E8" w14:textId="02A3294D">
      <w:pPr>
        <w:widowControl w:val="0"/>
        <w:contextualSpacing/>
        <w:rPr>
          <w:snapToGrid w:val="0"/>
          <w:color w:val="000000"/>
          <w:sz w:val="24"/>
          <w:szCs w:val="24"/>
        </w:rPr>
      </w:pP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r>
        <w:rPr>
          <w:snapToGrid w:val="0"/>
          <w:color w:val="000000"/>
          <w:sz w:val="24"/>
          <w:szCs w:val="24"/>
        </w:rPr>
        <w:tab/>
      </w:r>
    </w:p>
    <w:p w:rsidR="00341D80" w:rsidRPr="004F259E" w:rsidP="00341D80" w14:paraId="1812D68C" w14:textId="21ACDAAC">
      <w:pPr>
        <w:widowControl w:val="0"/>
        <w:contextualSpacing/>
        <w:rPr>
          <w:b/>
          <w:bCs/>
          <w:snapToGrid w:val="0"/>
          <w:color w:val="000000"/>
          <w:sz w:val="24"/>
          <w:szCs w:val="24"/>
          <w:u w:val="single"/>
        </w:rPr>
      </w:pPr>
      <w:r w:rsidRPr="004F259E">
        <w:rPr>
          <w:b/>
          <w:bCs/>
          <w:snapToGrid w:val="0"/>
          <w:color w:val="000000"/>
          <w:sz w:val="24"/>
          <w:szCs w:val="24"/>
          <w:u w:val="single"/>
        </w:rPr>
        <w:t xml:space="preserve">Application </w:t>
      </w:r>
      <w:r w:rsidR="00A22477">
        <w:rPr>
          <w:b/>
          <w:bCs/>
          <w:snapToGrid w:val="0"/>
          <w:color w:val="000000"/>
          <w:sz w:val="24"/>
          <w:szCs w:val="24"/>
          <w:u w:val="single"/>
        </w:rPr>
        <w:t xml:space="preserve">and </w:t>
      </w:r>
      <w:r w:rsidR="004C578F">
        <w:rPr>
          <w:b/>
          <w:bCs/>
          <w:snapToGrid w:val="0"/>
          <w:color w:val="000000"/>
          <w:sz w:val="24"/>
          <w:szCs w:val="24"/>
          <w:u w:val="single"/>
        </w:rPr>
        <w:t xml:space="preserve">Grant Agreement </w:t>
      </w:r>
      <w:r w:rsidRPr="004F259E">
        <w:rPr>
          <w:b/>
          <w:bCs/>
          <w:snapToGrid w:val="0"/>
          <w:color w:val="000000"/>
          <w:sz w:val="24"/>
          <w:szCs w:val="24"/>
          <w:u w:val="single"/>
        </w:rPr>
        <w:t>Stage:</w:t>
      </w:r>
    </w:p>
    <w:p w:rsidR="007A3831" w:rsidP="007A3831" w14:paraId="457FBD6B" w14:textId="77777777">
      <w:pPr>
        <w:rPr>
          <w:snapToGrid w:val="0"/>
          <w:color w:val="000000"/>
          <w:sz w:val="24"/>
          <w:szCs w:val="24"/>
        </w:rPr>
      </w:pPr>
      <w:r w:rsidRPr="00F52DAF">
        <w:rPr>
          <w:snapToGrid w:val="0"/>
          <w:color w:val="000000"/>
          <w:sz w:val="24"/>
          <w:szCs w:val="24"/>
        </w:rPr>
        <w:t xml:space="preserve">The 50-to-70-word application narrative and budget summary at a minimum will provide the following information: table of contents, detailed statement of work, detailed project schedules (identifying all major project milestones), staffing description, and any appropriate exhibits or attachments that will aid in the review and assessment of the application.  All exhibits and attachments must clearly identify what technical area of the project narrative the document supports.  </w:t>
      </w:r>
    </w:p>
    <w:p w:rsidR="007A3831" w:rsidP="007A3831" w14:paraId="6E800277" w14:textId="77777777">
      <w:pPr>
        <w:rPr>
          <w:snapToGrid w:val="0"/>
          <w:color w:val="000000"/>
          <w:sz w:val="24"/>
          <w:szCs w:val="24"/>
        </w:rPr>
      </w:pPr>
    </w:p>
    <w:p w:rsidR="007A3831" w:rsidP="007A3831" w14:paraId="19234870" w14:textId="41261632">
      <w:pPr>
        <w:rPr>
          <w:rFonts w:eastAsiaTheme="minorHAnsi"/>
          <w:snapToGrid w:val="0"/>
          <w:color w:val="000000"/>
          <w:sz w:val="24"/>
          <w:szCs w:val="24"/>
        </w:rPr>
      </w:pPr>
      <w:r w:rsidRPr="007A3831">
        <w:rPr>
          <w:rFonts w:eastAsiaTheme="minorHAnsi"/>
          <w:snapToGrid w:val="0"/>
          <w:color w:val="000000"/>
          <w:sz w:val="24"/>
          <w:szCs w:val="24"/>
        </w:rPr>
        <w:t>We estimate that it takes approximately 4</w:t>
      </w:r>
      <w:r w:rsidR="00A22477">
        <w:rPr>
          <w:rFonts w:eastAsiaTheme="minorHAnsi"/>
          <w:snapToGrid w:val="0"/>
          <w:color w:val="000000"/>
          <w:sz w:val="24"/>
          <w:szCs w:val="24"/>
        </w:rPr>
        <w:t>2</w:t>
      </w:r>
      <w:r w:rsidRPr="007A3831">
        <w:rPr>
          <w:rFonts w:eastAsiaTheme="minorHAnsi"/>
          <w:snapToGrid w:val="0"/>
          <w:color w:val="000000"/>
          <w:sz w:val="24"/>
          <w:szCs w:val="24"/>
        </w:rPr>
        <w:t xml:space="preserve"> person-hours to read the Notice of Funding Opportunity and compile a letter of intent and/or application package for a Strategic Innovation for Revenue Collection Program application.</w:t>
      </w:r>
      <w:r w:rsidR="00416DF0">
        <w:rPr>
          <w:rFonts w:eastAsiaTheme="minorHAnsi"/>
          <w:snapToGrid w:val="0"/>
          <w:color w:val="000000"/>
          <w:sz w:val="24"/>
          <w:szCs w:val="24"/>
        </w:rPr>
        <w:t xml:space="preserve">  </w:t>
      </w:r>
      <w:bookmarkStart w:id="12" w:name="_Hlk131091978"/>
      <w:r w:rsidRPr="007A3831">
        <w:rPr>
          <w:rFonts w:eastAsiaTheme="minorHAnsi"/>
          <w:snapToGrid w:val="0"/>
          <w:color w:val="000000"/>
          <w:sz w:val="24"/>
          <w:szCs w:val="24"/>
        </w:rPr>
        <w:t>Based on the previous submittals from the predecessor Surface Transportation System Funding Alternative (STSFA) Program, FHWA expects to receive the following from respondents electronically per NOFO announcement:</w:t>
      </w:r>
    </w:p>
    <w:p w:rsidR="007A3831" w:rsidRPr="007A3831" w:rsidP="007A3831" w14:paraId="04024FE9" w14:textId="77777777">
      <w:pPr>
        <w:rPr>
          <w:rFonts w:eastAsiaTheme="minorHAnsi"/>
          <w:snapToGrid w:val="0"/>
          <w:color w:val="000000"/>
          <w:sz w:val="24"/>
          <w:szCs w:val="24"/>
        </w:rPr>
      </w:pPr>
    </w:p>
    <w:p w:rsidR="007A3831" w:rsidRPr="007A3831" w:rsidP="00C438BF" w14:paraId="5A5C7F44" w14:textId="21BA91AE">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 xml:space="preserve">1 letter of intent </w:t>
      </w:r>
      <w:r w:rsidR="00D242FA">
        <w:rPr>
          <w:rFonts w:eastAsiaTheme="minorHAnsi"/>
          <w:snapToGrid w:val="0"/>
          <w:color w:val="000000"/>
          <w:sz w:val="24"/>
          <w:szCs w:val="24"/>
        </w:rPr>
        <w:t xml:space="preserve">* </w:t>
      </w:r>
      <w:r w:rsidRPr="007A3831">
        <w:rPr>
          <w:rFonts w:eastAsiaTheme="minorHAnsi"/>
          <w:snapToGrid w:val="0"/>
          <w:color w:val="000000"/>
          <w:sz w:val="24"/>
          <w:szCs w:val="24"/>
        </w:rPr>
        <w:t xml:space="preserve">2 hours per submission = 2 burden hours, </w:t>
      </w:r>
    </w:p>
    <w:p w:rsidR="007A3831" w:rsidRPr="007A3831" w:rsidP="007A3831" w14:paraId="298B4A04" w14:textId="77777777">
      <w:pPr>
        <w:spacing w:after="160" w:line="259" w:lineRule="auto"/>
        <w:ind w:left="1440"/>
        <w:contextualSpacing/>
        <w:rPr>
          <w:rFonts w:asciiTheme="minorHAnsi" w:eastAsiaTheme="minorHAnsi" w:hAnsiTheme="minorHAnsi" w:cstheme="minorBidi"/>
          <w:sz w:val="22"/>
          <w:szCs w:val="22"/>
        </w:rPr>
      </w:pPr>
    </w:p>
    <w:p w:rsidR="007A3831" w:rsidRPr="007A3831" w:rsidP="00C438BF" w14:paraId="16F51C77" w14:textId="0AD52D24">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 xml:space="preserve">15 applications * 40 hours per submission = 600 burden hours, and </w:t>
      </w:r>
    </w:p>
    <w:p w:rsidR="007A3831" w:rsidRPr="007A3831" w:rsidP="007A3831" w14:paraId="5451C45E" w14:textId="77777777">
      <w:pPr>
        <w:spacing w:after="160" w:line="259" w:lineRule="auto"/>
        <w:ind w:left="1440"/>
        <w:contextualSpacing/>
        <w:rPr>
          <w:rFonts w:asciiTheme="minorHAnsi" w:eastAsiaTheme="minorHAnsi" w:hAnsiTheme="minorHAnsi" w:cstheme="minorBidi"/>
          <w:sz w:val="22"/>
          <w:szCs w:val="22"/>
        </w:rPr>
      </w:pPr>
    </w:p>
    <w:p w:rsidR="007A3831" w:rsidRPr="007A3831" w:rsidP="007A3831" w14:paraId="5FE71A65" w14:textId="77777777">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7 requests for information related to signing grant agreements, with 1 estimated burden hour</w:t>
      </w:r>
    </w:p>
    <w:p w:rsidR="007A3831" w:rsidRPr="007A3831" w:rsidP="007A3831" w14:paraId="3FEC8323" w14:textId="0546BE47">
      <w:pPr>
        <w:numPr>
          <w:ilvl w:val="1"/>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 xml:space="preserve">7 awards * 1 hour per submission = </w:t>
      </w:r>
      <w:r w:rsidRPr="00D242FA">
        <w:rPr>
          <w:rFonts w:eastAsiaTheme="minorHAnsi"/>
          <w:snapToGrid w:val="0"/>
          <w:color w:val="000000"/>
          <w:sz w:val="24"/>
          <w:szCs w:val="24"/>
        </w:rPr>
        <w:t>7 burden hours</w:t>
      </w:r>
      <w:bookmarkEnd w:id="12"/>
    </w:p>
    <w:p w:rsidR="007A3831" w:rsidRPr="007A3831" w:rsidP="007A3831" w14:paraId="292D7D97" w14:textId="66B88536">
      <w:pPr>
        <w:spacing w:after="160" w:line="259" w:lineRule="auto"/>
        <w:contextualSpacing/>
        <w:rPr>
          <w:rFonts w:asciiTheme="minorHAnsi" w:eastAsiaTheme="minorHAnsi" w:hAnsiTheme="minorHAnsi" w:cstheme="minorBidi"/>
          <w:sz w:val="22"/>
          <w:szCs w:val="22"/>
        </w:rPr>
      </w:pPr>
      <w:bookmarkStart w:id="13" w:name="_Hlk131089033"/>
      <w:bookmarkStart w:id="14" w:name="_Hlk131092521"/>
      <w:r w:rsidRPr="007A3831">
        <w:rPr>
          <w:rFonts w:eastAsiaTheme="minorHAnsi"/>
          <w:snapToGrid w:val="0"/>
          <w:color w:val="000000"/>
          <w:sz w:val="24"/>
          <w:szCs w:val="24"/>
        </w:rPr>
        <w:t xml:space="preserve">We estimate 609 total hours (2 + 600 + 7 burden hours = 609 total burden hours) required on a one-time basis for the </w:t>
      </w:r>
      <w:bookmarkStart w:id="15" w:name="_Hlk131089922"/>
      <w:r w:rsidRPr="007A3831">
        <w:rPr>
          <w:rFonts w:eastAsiaTheme="minorHAnsi"/>
          <w:i/>
          <w:iCs/>
          <w:snapToGrid w:val="0"/>
          <w:color w:val="000000"/>
          <w:sz w:val="24"/>
          <w:szCs w:val="24"/>
        </w:rPr>
        <w:t>Application and Grant Agreement Stage</w:t>
      </w:r>
      <w:bookmarkEnd w:id="15"/>
      <w:r w:rsidRPr="007A3831">
        <w:rPr>
          <w:rFonts w:eastAsiaTheme="minorHAnsi"/>
          <w:i/>
          <w:iCs/>
          <w:snapToGrid w:val="0"/>
          <w:color w:val="000000"/>
          <w:sz w:val="24"/>
          <w:szCs w:val="24"/>
        </w:rPr>
        <w:t>.</w:t>
      </w:r>
      <w:r w:rsidRPr="007A3831">
        <w:rPr>
          <w:rFonts w:eastAsiaTheme="minorHAnsi"/>
          <w:snapToGrid w:val="0"/>
          <w:color w:val="000000"/>
          <w:sz w:val="24"/>
          <w:szCs w:val="24"/>
        </w:rPr>
        <w:t xml:space="preserve">  </w:t>
      </w:r>
      <w:bookmarkEnd w:id="13"/>
      <w:r w:rsidRPr="007A3831">
        <w:rPr>
          <w:rFonts w:eastAsiaTheme="minorHAnsi"/>
          <w:snapToGrid w:val="0"/>
          <w:color w:val="000000"/>
          <w:sz w:val="24"/>
          <w:szCs w:val="24"/>
        </w:rPr>
        <w:t xml:space="preserve">Although various personnel are involved in the development of an application, the average salary is estimated to be $55 per hour. This is based on the average wage of a project manager in the local government sector of $54.96 </w:t>
      </w:r>
      <w:bookmarkStart w:id="16" w:name="_Hlk131090162"/>
      <w:r w:rsidRPr="007A3831">
        <w:rPr>
          <w:rFonts w:eastAsiaTheme="minorHAnsi"/>
          <w:snapToGrid w:val="0"/>
          <w:color w:val="000000"/>
          <w:sz w:val="24"/>
          <w:szCs w:val="24"/>
        </w:rPr>
        <w:t>(</w:t>
      </w:r>
      <w:hyperlink r:id="rId10" w:history="1">
        <w:r w:rsidRPr="007A3831">
          <w:rPr>
            <w:rFonts w:eastAsiaTheme="minorHAnsi"/>
            <w:snapToGrid w:val="0"/>
            <w:color w:val="0563C1" w:themeColor="hyperlink"/>
            <w:sz w:val="24"/>
            <w:szCs w:val="24"/>
            <w:u w:val="single"/>
          </w:rPr>
          <w:t>Bureau of Labor Statistics</w:t>
        </w:r>
      </w:hyperlink>
      <w:r w:rsidRPr="007A3831">
        <w:rPr>
          <w:rFonts w:eastAsiaTheme="minorHAnsi"/>
          <w:snapToGrid w:val="0"/>
          <w:color w:val="000000"/>
          <w:sz w:val="24"/>
          <w:szCs w:val="24"/>
        </w:rPr>
        <w:t xml:space="preserve">). </w:t>
      </w:r>
      <w:bookmarkEnd w:id="16"/>
      <w:r w:rsidRPr="00C438BF">
        <w:rPr>
          <w:rFonts w:eastAsiaTheme="minorHAnsi"/>
          <w:b/>
          <w:bCs/>
          <w:snapToGrid w:val="0"/>
          <w:color w:val="000000"/>
          <w:sz w:val="24"/>
          <w:szCs w:val="24"/>
        </w:rPr>
        <w:t>Therefore, the cost to the respondents is computed at $33,495 (609 hours x $55 = $33,495)</w:t>
      </w:r>
      <w:r w:rsidR="00654C77">
        <w:rPr>
          <w:rFonts w:eastAsiaTheme="minorHAnsi"/>
          <w:b/>
          <w:bCs/>
          <w:snapToGrid w:val="0"/>
          <w:color w:val="000000"/>
          <w:sz w:val="24"/>
          <w:szCs w:val="24"/>
        </w:rPr>
        <w:t xml:space="preserve"> to adhere to the</w:t>
      </w:r>
      <w:r w:rsidRPr="00654C77" w:rsidR="00654C77">
        <w:rPr>
          <w:rFonts w:eastAsiaTheme="minorHAnsi"/>
          <w:i/>
          <w:iCs/>
          <w:snapToGrid w:val="0"/>
          <w:color w:val="000000"/>
          <w:sz w:val="24"/>
          <w:szCs w:val="24"/>
        </w:rPr>
        <w:t xml:space="preserve"> </w:t>
      </w:r>
      <w:r w:rsidRPr="00C438BF">
        <w:rPr>
          <w:rFonts w:eastAsiaTheme="minorHAnsi"/>
          <w:b/>
          <w:bCs/>
          <w:i/>
          <w:iCs/>
          <w:snapToGrid w:val="0"/>
          <w:color w:val="000000"/>
          <w:sz w:val="24"/>
          <w:szCs w:val="24"/>
        </w:rPr>
        <w:t>Application and Grant Agreement Stage</w:t>
      </w:r>
      <w:r w:rsidRPr="007A3831">
        <w:rPr>
          <w:rFonts w:eastAsiaTheme="minorHAnsi"/>
          <w:snapToGrid w:val="0"/>
          <w:color w:val="000000"/>
          <w:sz w:val="24"/>
          <w:szCs w:val="24"/>
        </w:rPr>
        <w:t>.</w:t>
      </w:r>
    </w:p>
    <w:bookmarkEnd w:id="14"/>
    <w:p w:rsidR="00CA4E01" w:rsidP="007A3831" w14:paraId="160FF4BE" w14:textId="3D53D068">
      <w:pPr>
        <w:widowControl w:val="0"/>
        <w:contextualSpacing/>
        <w:rPr>
          <w:snapToGrid w:val="0"/>
          <w:color w:val="000000"/>
          <w:sz w:val="24"/>
          <w:szCs w:val="24"/>
        </w:rPr>
      </w:pPr>
    </w:p>
    <w:p w:rsidR="00341D80" w:rsidRPr="00C438BF" w:rsidP="00DA0DFB" w14:paraId="52F21540" w14:textId="57CDFB3A">
      <w:pPr>
        <w:widowControl w:val="0"/>
        <w:contextualSpacing/>
        <w:rPr>
          <w:b/>
          <w:bCs/>
          <w:snapToGrid w:val="0"/>
          <w:color w:val="000000"/>
          <w:sz w:val="24"/>
          <w:szCs w:val="24"/>
          <w:u w:val="single"/>
        </w:rPr>
      </w:pPr>
      <w:r w:rsidRPr="00C438BF">
        <w:rPr>
          <w:b/>
          <w:bCs/>
          <w:snapToGrid w:val="0"/>
          <w:color w:val="000000"/>
          <w:sz w:val="24"/>
          <w:szCs w:val="24"/>
          <w:u w:val="single"/>
        </w:rPr>
        <w:t>Project Management Stage:</w:t>
      </w:r>
    </w:p>
    <w:p w:rsidR="00F73639" w:rsidP="00AF3F68" w14:paraId="7C456AE7" w14:textId="1F639D69">
      <w:pPr>
        <w:widowControl w:val="0"/>
        <w:contextualSpacing/>
        <w:rPr>
          <w:b/>
          <w:bCs/>
          <w:i/>
          <w:iCs/>
          <w:snapToGrid w:val="0"/>
          <w:color w:val="000000"/>
          <w:sz w:val="24"/>
          <w:szCs w:val="24"/>
        </w:rPr>
      </w:pPr>
      <w:r>
        <w:rPr>
          <w:snapToGrid w:val="0"/>
          <w:color w:val="000000"/>
          <w:sz w:val="24"/>
          <w:szCs w:val="24"/>
        </w:rPr>
        <w:t>FHWA anticipates awarding at least 7 projects under the SIRC Program (b</w:t>
      </w:r>
      <w:r w:rsidRPr="00CA4E01">
        <w:rPr>
          <w:snapToGrid w:val="0"/>
          <w:color w:val="000000"/>
          <w:sz w:val="24"/>
          <w:szCs w:val="24"/>
        </w:rPr>
        <w:t>ased on the predecessor STSFA Program</w:t>
      </w:r>
      <w:r>
        <w:rPr>
          <w:snapToGrid w:val="0"/>
          <w:color w:val="000000"/>
          <w:sz w:val="24"/>
          <w:szCs w:val="24"/>
        </w:rPr>
        <w:t xml:space="preserve">) </w:t>
      </w:r>
      <w:r w:rsidR="00416DF0">
        <w:rPr>
          <w:snapToGrid w:val="0"/>
          <w:color w:val="000000"/>
          <w:sz w:val="24"/>
          <w:szCs w:val="24"/>
        </w:rPr>
        <w:t>that will require p</w:t>
      </w:r>
      <w:r w:rsidR="00BE6717">
        <w:rPr>
          <w:snapToGrid w:val="0"/>
          <w:color w:val="000000"/>
          <w:sz w:val="24"/>
          <w:szCs w:val="24"/>
        </w:rPr>
        <w:t xml:space="preserve">roject </w:t>
      </w:r>
      <w:r w:rsidR="00416DF0">
        <w:rPr>
          <w:snapToGrid w:val="0"/>
          <w:color w:val="000000"/>
          <w:sz w:val="24"/>
          <w:szCs w:val="24"/>
        </w:rPr>
        <w:t>m</w:t>
      </w:r>
      <w:r w:rsidR="00BE6717">
        <w:rPr>
          <w:snapToGrid w:val="0"/>
          <w:color w:val="000000"/>
          <w:sz w:val="24"/>
          <w:szCs w:val="24"/>
        </w:rPr>
        <w:t xml:space="preserve">anagement </w:t>
      </w:r>
      <w:r w:rsidR="00416DF0">
        <w:rPr>
          <w:snapToGrid w:val="0"/>
          <w:color w:val="000000"/>
          <w:sz w:val="24"/>
          <w:szCs w:val="24"/>
        </w:rPr>
        <w:t>and q</w:t>
      </w:r>
      <w:r w:rsidR="00513407">
        <w:rPr>
          <w:snapToGrid w:val="0"/>
          <w:color w:val="000000"/>
          <w:sz w:val="24"/>
          <w:szCs w:val="24"/>
        </w:rPr>
        <w:t xml:space="preserve">uarterly </w:t>
      </w:r>
      <w:r w:rsidR="00416DF0">
        <w:rPr>
          <w:snapToGrid w:val="0"/>
          <w:color w:val="000000"/>
          <w:sz w:val="24"/>
          <w:szCs w:val="24"/>
        </w:rPr>
        <w:t>r</w:t>
      </w:r>
      <w:r w:rsidR="00513407">
        <w:rPr>
          <w:snapToGrid w:val="0"/>
          <w:color w:val="000000"/>
          <w:sz w:val="24"/>
          <w:szCs w:val="24"/>
        </w:rPr>
        <w:t>eporting</w:t>
      </w:r>
      <w:bookmarkStart w:id="17" w:name="_Hlk131094642"/>
      <w:r w:rsidR="00416DF0">
        <w:rPr>
          <w:snapToGrid w:val="0"/>
          <w:color w:val="000000"/>
          <w:sz w:val="24"/>
          <w:szCs w:val="24"/>
        </w:rPr>
        <w:t xml:space="preserve"> oversight</w:t>
      </w:r>
      <w:r w:rsidR="00513407">
        <w:rPr>
          <w:snapToGrid w:val="0"/>
          <w:color w:val="000000"/>
          <w:sz w:val="24"/>
          <w:szCs w:val="24"/>
        </w:rPr>
        <w:t xml:space="preserve">.  We estimated </w:t>
      </w:r>
      <w:r w:rsidR="00AF3F68">
        <w:rPr>
          <w:snapToGrid w:val="0"/>
          <w:color w:val="000000"/>
          <w:sz w:val="24"/>
          <w:szCs w:val="24"/>
        </w:rPr>
        <w:t xml:space="preserve">672 total burden </w:t>
      </w:r>
      <w:r w:rsidR="00513407">
        <w:rPr>
          <w:snapToGrid w:val="0"/>
          <w:color w:val="000000"/>
          <w:sz w:val="24"/>
          <w:szCs w:val="24"/>
        </w:rPr>
        <w:t xml:space="preserve">hours </w:t>
      </w:r>
      <w:r w:rsidR="00AF3F68">
        <w:rPr>
          <w:snapToGrid w:val="0"/>
          <w:color w:val="000000"/>
          <w:sz w:val="24"/>
          <w:szCs w:val="24"/>
        </w:rPr>
        <w:t xml:space="preserve">for quarterly </w:t>
      </w:r>
      <w:r w:rsidR="00513407">
        <w:rPr>
          <w:snapToGrid w:val="0"/>
          <w:color w:val="000000"/>
          <w:sz w:val="24"/>
          <w:szCs w:val="24"/>
        </w:rPr>
        <w:t>report</w:t>
      </w:r>
      <w:r w:rsidR="00AF3F68">
        <w:rPr>
          <w:snapToGrid w:val="0"/>
          <w:color w:val="000000"/>
          <w:sz w:val="24"/>
          <w:szCs w:val="24"/>
        </w:rPr>
        <w:t>ing, 24 burden hours for system engineering document submittal, and 72 burden hours for data management plan submittal as shown in Table 1 and below.</w:t>
      </w:r>
      <w:r w:rsidRPr="00C438BF">
        <w:rPr>
          <w:b/>
          <w:bCs/>
          <w:i/>
          <w:iCs/>
          <w:snapToGrid w:val="0"/>
          <w:color w:val="000000"/>
          <w:sz w:val="24"/>
          <w:szCs w:val="24"/>
        </w:rPr>
        <w:t xml:space="preserve">  </w:t>
      </w:r>
    </w:p>
    <w:p w:rsidR="00AF3F68" w:rsidP="00DA0DFB" w14:paraId="39DD9C5C" w14:textId="663E77EB">
      <w:pPr>
        <w:widowControl w:val="0"/>
        <w:contextualSpacing/>
        <w:rPr>
          <w:b/>
          <w:bCs/>
          <w:i/>
          <w:iCs/>
          <w:snapToGrid w:val="0"/>
          <w:color w:val="000000"/>
          <w:sz w:val="24"/>
          <w:szCs w:val="24"/>
        </w:rPr>
      </w:pPr>
    </w:p>
    <w:p w:rsidR="00AF3F68" w:rsidRPr="00AF3F68" w:rsidP="00AF3F68" w14:paraId="2717C51B" w14:textId="77777777">
      <w:pPr>
        <w:numPr>
          <w:ilvl w:val="0"/>
          <w:numId w:val="43"/>
        </w:numPr>
        <w:spacing w:after="160" w:line="259" w:lineRule="auto"/>
        <w:contextualSpacing/>
        <w:rPr>
          <w:rFonts w:eastAsiaTheme="minorHAnsi"/>
          <w:sz w:val="24"/>
          <w:szCs w:val="24"/>
        </w:rPr>
      </w:pPr>
      <w:r w:rsidRPr="00AF3F68">
        <w:rPr>
          <w:rFonts w:eastAsiaTheme="minorHAnsi"/>
          <w:sz w:val="24"/>
          <w:szCs w:val="24"/>
        </w:rPr>
        <w:t>7 annual reports * 4 quarterly reports = 28 quarterly reports</w:t>
      </w:r>
    </w:p>
    <w:p w:rsidR="00AF3F68" w:rsidRPr="00AF3F68" w:rsidP="00AF3F68" w14:paraId="55F1712D" w14:textId="77777777">
      <w:pPr>
        <w:numPr>
          <w:ilvl w:val="1"/>
          <w:numId w:val="43"/>
        </w:numPr>
        <w:spacing w:after="160" w:line="259" w:lineRule="auto"/>
        <w:contextualSpacing/>
        <w:rPr>
          <w:rFonts w:eastAsiaTheme="minorHAnsi"/>
          <w:sz w:val="24"/>
          <w:szCs w:val="24"/>
        </w:rPr>
      </w:pPr>
      <w:r w:rsidRPr="00AF3F68">
        <w:rPr>
          <w:rFonts w:eastAsiaTheme="minorHAnsi"/>
          <w:sz w:val="24"/>
          <w:szCs w:val="24"/>
        </w:rPr>
        <w:t>28</w:t>
      </w:r>
      <w:r w:rsidRPr="00AF3F68">
        <w:rPr>
          <w:rFonts w:asciiTheme="minorHAnsi" w:eastAsiaTheme="minorHAnsi" w:hAnsiTheme="minorHAnsi" w:cstheme="minorBidi"/>
          <w:sz w:val="22"/>
          <w:szCs w:val="22"/>
        </w:rPr>
        <w:t xml:space="preserve"> </w:t>
      </w:r>
      <w:r w:rsidRPr="00AF3F68">
        <w:rPr>
          <w:rFonts w:eastAsiaTheme="minorHAnsi"/>
          <w:sz w:val="24"/>
          <w:szCs w:val="24"/>
        </w:rPr>
        <w:t>quarterly reports * 24 hours per submission = 672 burden hours</w:t>
      </w:r>
    </w:p>
    <w:p w:rsidR="00AF3F68" w:rsidRPr="00AF3F68" w:rsidP="00AF3F68" w14:paraId="2A8FB96B" w14:textId="77777777">
      <w:pPr>
        <w:spacing w:after="160" w:line="259" w:lineRule="auto"/>
        <w:ind w:left="1440"/>
        <w:contextualSpacing/>
        <w:rPr>
          <w:rFonts w:eastAsiaTheme="minorHAnsi"/>
          <w:sz w:val="24"/>
          <w:szCs w:val="24"/>
        </w:rPr>
      </w:pPr>
    </w:p>
    <w:p w:rsidR="00AF3F68" w:rsidRPr="00AF3F68" w:rsidP="00AF3F68" w14:paraId="66C91130" w14:textId="77777777">
      <w:pPr>
        <w:numPr>
          <w:ilvl w:val="0"/>
          <w:numId w:val="43"/>
        </w:numPr>
        <w:spacing w:after="160" w:line="259" w:lineRule="auto"/>
        <w:contextualSpacing/>
        <w:rPr>
          <w:rFonts w:eastAsiaTheme="minorHAnsi"/>
          <w:sz w:val="24"/>
          <w:szCs w:val="24"/>
        </w:rPr>
      </w:pPr>
      <w:r w:rsidRPr="00AF3F68">
        <w:rPr>
          <w:rFonts w:eastAsiaTheme="minorHAnsi"/>
          <w:sz w:val="24"/>
          <w:szCs w:val="24"/>
        </w:rPr>
        <w:t xml:space="preserve"> 1 system engineering document annually * 24 hours per submission = 24 burden hours </w:t>
      </w:r>
    </w:p>
    <w:p w:rsidR="00AF3F68" w:rsidRPr="00AF3F68" w:rsidP="00AF3F68" w14:paraId="4AA55E0A" w14:textId="77777777">
      <w:pPr>
        <w:spacing w:after="160" w:line="259" w:lineRule="auto"/>
        <w:ind w:left="720"/>
        <w:contextualSpacing/>
        <w:rPr>
          <w:rFonts w:eastAsiaTheme="minorHAnsi"/>
          <w:sz w:val="24"/>
          <w:szCs w:val="24"/>
        </w:rPr>
      </w:pPr>
    </w:p>
    <w:p w:rsidR="00AF3F68" w:rsidRPr="00AF3F68" w:rsidP="00AF3F68" w14:paraId="45158C49" w14:textId="77777777">
      <w:pPr>
        <w:numPr>
          <w:ilvl w:val="0"/>
          <w:numId w:val="43"/>
        </w:numPr>
        <w:spacing w:after="160" w:line="259" w:lineRule="auto"/>
        <w:contextualSpacing/>
        <w:rPr>
          <w:rFonts w:eastAsiaTheme="minorHAnsi"/>
          <w:sz w:val="24"/>
          <w:szCs w:val="24"/>
        </w:rPr>
      </w:pPr>
      <w:r w:rsidRPr="00AF3F68">
        <w:rPr>
          <w:rFonts w:eastAsiaTheme="minorHAnsi"/>
          <w:sz w:val="24"/>
          <w:szCs w:val="24"/>
        </w:rPr>
        <w:t xml:space="preserve"> 3 data management plans annually * 24 hours per submission = 72 burden hours</w:t>
      </w:r>
    </w:p>
    <w:p w:rsidR="00F73639" w:rsidP="00DA0DFB" w14:paraId="69284D37" w14:textId="77777777">
      <w:pPr>
        <w:widowControl w:val="0"/>
        <w:contextualSpacing/>
        <w:rPr>
          <w:snapToGrid w:val="0"/>
          <w:color w:val="000000"/>
          <w:sz w:val="24"/>
          <w:szCs w:val="24"/>
        </w:rPr>
      </w:pPr>
    </w:p>
    <w:p w:rsidR="00654C77" w:rsidP="00F26FBE" w14:paraId="26F2538F" w14:textId="1AEB3D7C">
      <w:pPr>
        <w:rPr>
          <w:b/>
          <w:bCs/>
          <w:snapToGrid w:val="0"/>
          <w:color w:val="000000"/>
          <w:sz w:val="24"/>
          <w:szCs w:val="24"/>
        </w:rPr>
      </w:pPr>
      <w:r w:rsidRPr="00AF3F68">
        <w:rPr>
          <w:snapToGrid w:val="0"/>
          <w:color w:val="000000"/>
          <w:sz w:val="24"/>
          <w:szCs w:val="24"/>
        </w:rPr>
        <w:t xml:space="preserve">We estimate </w:t>
      </w:r>
      <w:r w:rsidRPr="00C438BF">
        <w:rPr>
          <w:i/>
          <w:iCs/>
          <w:snapToGrid w:val="0"/>
          <w:color w:val="000000"/>
          <w:sz w:val="24"/>
          <w:szCs w:val="24"/>
        </w:rPr>
        <w:t>768 total burden hours</w:t>
      </w:r>
      <w:r w:rsidRPr="00AF3F68">
        <w:rPr>
          <w:snapToGrid w:val="0"/>
          <w:color w:val="000000"/>
          <w:sz w:val="24"/>
          <w:szCs w:val="24"/>
        </w:rPr>
        <w:t xml:space="preserve"> (</w:t>
      </w:r>
      <w:r>
        <w:rPr>
          <w:snapToGrid w:val="0"/>
          <w:color w:val="000000"/>
          <w:sz w:val="24"/>
          <w:szCs w:val="24"/>
        </w:rPr>
        <w:t>672</w:t>
      </w:r>
      <w:r w:rsidRPr="00AF3F68">
        <w:rPr>
          <w:snapToGrid w:val="0"/>
          <w:color w:val="000000"/>
          <w:sz w:val="24"/>
          <w:szCs w:val="24"/>
        </w:rPr>
        <w:t xml:space="preserve"> + </w:t>
      </w:r>
      <w:r>
        <w:rPr>
          <w:snapToGrid w:val="0"/>
          <w:color w:val="000000"/>
          <w:sz w:val="24"/>
          <w:szCs w:val="24"/>
        </w:rPr>
        <w:t>24</w:t>
      </w:r>
      <w:r w:rsidRPr="00AF3F68">
        <w:rPr>
          <w:snapToGrid w:val="0"/>
          <w:color w:val="000000"/>
          <w:sz w:val="24"/>
          <w:szCs w:val="24"/>
        </w:rPr>
        <w:t xml:space="preserve"> + </w:t>
      </w:r>
      <w:r>
        <w:rPr>
          <w:snapToGrid w:val="0"/>
          <w:color w:val="000000"/>
          <w:sz w:val="24"/>
          <w:szCs w:val="24"/>
        </w:rPr>
        <w:t>72</w:t>
      </w:r>
      <w:r w:rsidRPr="00AF3F68">
        <w:rPr>
          <w:snapToGrid w:val="0"/>
          <w:color w:val="000000"/>
          <w:sz w:val="24"/>
          <w:szCs w:val="24"/>
        </w:rPr>
        <w:t xml:space="preserve"> burden hours = </w:t>
      </w:r>
      <w:r>
        <w:rPr>
          <w:snapToGrid w:val="0"/>
          <w:color w:val="000000"/>
          <w:sz w:val="24"/>
          <w:szCs w:val="24"/>
        </w:rPr>
        <w:t>768</w:t>
      </w:r>
      <w:r w:rsidRPr="00AF3F68">
        <w:rPr>
          <w:snapToGrid w:val="0"/>
          <w:color w:val="000000"/>
          <w:sz w:val="24"/>
          <w:szCs w:val="24"/>
        </w:rPr>
        <w:t xml:space="preserve"> total burden hours) required for the </w:t>
      </w:r>
      <w:r w:rsidRPr="00C438BF">
        <w:rPr>
          <w:i/>
          <w:iCs/>
          <w:snapToGrid w:val="0"/>
          <w:color w:val="000000"/>
          <w:sz w:val="24"/>
          <w:szCs w:val="24"/>
        </w:rPr>
        <w:t>Project Management Stage</w:t>
      </w:r>
      <w:r w:rsidRPr="00AF3F68">
        <w:rPr>
          <w:snapToGrid w:val="0"/>
          <w:color w:val="000000"/>
          <w:sz w:val="24"/>
          <w:szCs w:val="24"/>
        </w:rPr>
        <w:t xml:space="preserve">.  </w:t>
      </w:r>
      <w:bookmarkEnd w:id="17"/>
      <w:r w:rsidRPr="008C7B37" w:rsidR="00BE6717">
        <w:rPr>
          <w:snapToGrid w:val="0"/>
          <w:color w:val="000000"/>
          <w:sz w:val="24"/>
          <w:szCs w:val="24"/>
        </w:rPr>
        <w:t>Although various personnel are involved in the development of an application</w:t>
      </w:r>
      <w:r w:rsidR="00BE6717">
        <w:rPr>
          <w:snapToGrid w:val="0"/>
          <w:color w:val="000000"/>
          <w:sz w:val="24"/>
          <w:szCs w:val="24"/>
        </w:rPr>
        <w:t xml:space="preserve"> and project management</w:t>
      </w:r>
      <w:r w:rsidRPr="008C7B37" w:rsidR="00BE6717">
        <w:rPr>
          <w:snapToGrid w:val="0"/>
          <w:color w:val="000000"/>
          <w:sz w:val="24"/>
          <w:szCs w:val="24"/>
        </w:rPr>
        <w:t xml:space="preserve">, </w:t>
      </w:r>
      <w:r w:rsidR="004C578F">
        <w:rPr>
          <w:snapToGrid w:val="0"/>
          <w:color w:val="000000"/>
          <w:sz w:val="24"/>
          <w:szCs w:val="24"/>
        </w:rPr>
        <w:t xml:space="preserve">the primary staff person is a </w:t>
      </w:r>
      <w:r w:rsidR="00F26FBE">
        <w:rPr>
          <w:snapToGrid w:val="0"/>
          <w:color w:val="000000"/>
          <w:sz w:val="24"/>
          <w:szCs w:val="24"/>
        </w:rPr>
        <w:t xml:space="preserve">local government </w:t>
      </w:r>
      <w:r w:rsidR="004C578F">
        <w:rPr>
          <w:snapToGrid w:val="0"/>
          <w:color w:val="000000"/>
          <w:sz w:val="24"/>
          <w:szCs w:val="24"/>
        </w:rPr>
        <w:t>project</w:t>
      </w:r>
      <w:r w:rsidRPr="00F26FBE" w:rsidR="00F26FBE">
        <w:rPr>
          <w:snapToGrid w:val="0"/>
          <w:color w:val="000000"/>
          <w:sz w:val="24"/>
          <w:szCs w:val="24"/>
        </w:rPr>
        <w:t xml:space="preserve"> management specialist</w:t>
      </w:r>
      <w:r w:rsidR="00F26FBE">
        <w:rPr>
          <w:snapToGrid w:val="0"/>
          <w:color w:val="000000"/>
          <w:sz w:val="24"/>
          <w:szCs w:val="24"/>
        </w:rPr>
        <w:t xml:space="preserve">.  The </w:t>
      </w:r>
      <w:hyperlink r:id="rId10" w:history="1">
        <w:r w:rsidRPr="007A3831" w:rsidR="006F7BEA">
          <w:rPr>
            <w:rFonts w:eastAsiaTheme="minorHAnsi"/>
            <w:snapToGrid w:val="0"/>
            <w:color w:val="0563C1" w:themeColor="hyperlink"/>
            <w:sz w:val="24"/>
            <w:szCs w:val="24"/>
            <w:u w:val="single"/>
          </w:rPr>
          <w:t>Bureau of Labor Statistics</w:t>
        </w:r>
      </w:hyperlink>
      <w:r w:rsidR="006F7BEA">
        <w:rPr>
          <w:rFonts w:eastAsiaTheme="minorHAnsi"/>
          <w:snapToGrid w:val="0"/>
          <w:color w:val="000000"/>
          <w:sz w:val="24"/>
          <w:szCs w:val="24"/>
        </w:rPr>
        <w:t xml:space="preserve"> </w:t>
      </w:r>
      <w:r w:rsidR="00F26FBE">
        <w:rPr>
          <w:snapToGrid w:val="0"/>
          <w:color w:val="000000"/>
          <w:sz w:val="24"/>
          <w:szCs w:val="24"/>
        </w:rPr>
        <w:t xml:space="preserve">denotes that </w:t>
      </w:r>
      <w:r w:rsidRPr="008C7B37" w:rsidR="00BE6717">
        <w:rPr>
          <w:snapToGrid w:val="0"/>
          <w:color w:val="000000"/>
          <w:sz w:val="24"/>
          <w:szCs w:val="24"/>
        </w:rPr>
        <w:t>the average salary is estimated to be $55 per hour.</w:t>
      </w:r>
      <w:r w:rsidR="003F188B">
        <w:rPr>
          <w:snapToGrid w:val="0"/>
          <w:color w:val="000000"/>
          <w:sz w:val="24"/>
          <w:szCs w:val="24"/>
        </w:rPr>
        <w:t xml:space="preserve">  </w:t>
      </w:r>
      <w:r w:rsidRPr="008C7B37" w:rsidR="00BE6717">
        <w:rPr>
          <w:snapToGrid w:val="0"/>
          <w:color w:val="000000"/>
          <w:sz w:val="24"/>
          <w:szCs w:val="24"/>
        </w:rPr>
        <w:t>This is based on the average wage in the local government sector of $54.96</w:t>
      </w:r>
      <w:r w:rsidRPr="00C438BF" w:rsidR="00F52DAF">
        <w:rPr>
          <w:b/>
          <w:bCs/>
          <w:snapToGrid w:val="0"/>
          <w:color w:val="000000"/>
          <w:sz w:val="24"/>
          <w:szCs w:val="24"/>
        </w:rPr>
        <w:t xml:space="preserve">.  </w:t>
      </w:r>
      <w:r w:rsidRPr="00C438BF" w:rsidR="00503BD2">
        <w:rPr>
          <w:b/>
          <w:bCs/>
          <w:snapToGrid w:val="0"/>
          <w:color w:val="000000"/>
          <w:sz w:val="24"/>
          <w:szCs w:val="24"/>
        </w:rPr>
        <w:t>T</w:t>
      </w:r>
      <w:r w:rsidRPr="00C438BF" w:rsidR="00BE6717">
        <w:rPr>
          <w:b/>
          <w:bCs/>
          <w:snapToGrid w:val="0"/>
          <w:color w:val="000000"/>
          <w:sz w:val="24"/>
          <w:szCs w:val="24"/>
        </w:rPr>
        <w:t>herefore, the cost to the respondents is computed at $</w:t>
      </w:r>
      <w:r>
        <w:rPr>
          <w:b/>
          <w:bCs/>
          <w:snapToGrid w:val="0"/>
          <w:color w:val="000000"/>
          <w:sz w:val="24"/>
          <w:szCs w:val="24"/>
        </w:rPr>
        <w:t>42,240</w:t>
      </w:r>
      <w:r w:rsidRPr="00C438BF" w:rsidR="00BE6717">
        <w:rPr>
          <w:b/>
          <w:bCs/>
          <w:snapToGrid w:val="0"/>
          <w:color w:val="000000"/>
          <w:sz w:val="24"/>
          <w:szCs w:val="24"/>
        </w:rPr>
        <w:t xml:space="preserve"> (</w:t>
      </w:r>
      <w:bookmarkStart w:id="18" w:name="_Hlk131089357"/>
      <w:r>
        <w:rPr>
          <w:b/>
          <w:bCs/>
          <w:snapToGrid w:val="0"/>
          <w:color w:val="000000"/>
          <w:sz w:val="24"/>
          <w:szCs w:val="24"/>
        </w:rPr>
        <w:t>768</w:t>
      </w:r>
      <w:r w:rsidRPr="00C438BF" w:rsidR="00BE6717">
        <w:rPr>
          <w:b/>
          <w:bCs/>
          <w:snapToGrid w:val="0"/>
          <w:color w:val="000000"/>
          <w:sz w:val="24"/>
          <w:szCs w:val="24"/>
        </w:rPr>
        <w:t xml:space="preserve"> </w:t>
      </w:r>
      <w:r w:rsidR="00BF4B45">
        <w:rPr>
          <w:b/>
          <w:bCs/>
          <w:snapToGrid w:val="0"/>
          <w:color w:val="000000"/>
          <w:sz w:val="24"/>
          <w:szCs w:val="24"/>
        </w:rPr>
        <w:t xml:space="preserve">burden </w:t>
      </w:r>
      <w:r w:rsidRPr="00C438BF" w:rsidR="00BE6717">
        <w:rPr>
          <w:b/>
          <w:bCs/>
          <w:snapToGrid w:val="0"/>
          <w:color w:val="000000"/>
          <w:sz w:val="24"/>
          <w:szCs w:val="24"/>
        </w:rPr>
        <w:t xml:space="preserve">hours </w:t>
      </w:r>
      <w:bookmarkEnd w:id="18"/>
      <w:r w:rsidRPr="00C438BF" w:rsidR="00BE6717">
        <w:rPr>
          <w:b/>
          <w:bCs/>
          <w:snapToGrid w:val="0"/>
          <w:color w:val="000000"/>
          <w:sz w:val="24"/>
          <w:szCs w:val="24"/>
        </w:rPr>
        <w:t>x $55 = $</w:t>
      </w:r>
      <w:r w:rsidRPr="00C438BF" w:rsidR="00F52DAF">
        <w:rPr>
          <w:b/>
          <w:bCs/>
          <w:snapToGrid w:val="0"/>
          <w:color w:val="000000"/>
          <w:sz w:val="24"/>
          <w:szCs w:val="24"/>
        </w:rPr>
        <w:t>4</w:t>
      </w:r>
      <w:r>
        <w:rPr>
          <w:b/>
          <w:bCs/>
          <w:snapToGrid w:val="0"/>
          <w:color w:val="000000"/>
          <w:sz w:val="24"/>
          <w:szCs w:val="24"/>
        </w:rPr>
        <w:t>2,240</w:t>
      </w:r>
      <w:r w:rsidRPr="00C438BF" w:rsidR="00BE6717">
        <w:rPr>
          <w:b/>
          <w:bCs/>
          <w:snapToGrid w:val="0"/>
          <w:color w:val="000000"/>
          <w:sz w:val="24"/>
          <w:szCs w:val="24"/>
        </w:rPr>
        <w:t xml:space="preserve">) to adhere </w:t>
      </w:r>
      <w:r>
        <w:rPr>
          <w:b/>
          <w:bCs/>
          <w:snapToGrid w:val="0"/>
          <w:color w:val="000000"/>
          <w:sz w:val="24"/>
          <w:szCs w:val="24"/>
        </w:rPr>
        <w:t>the Project Management Stage requirements.</w:t>
      </w:r>
      <w:r w:rsidR="00416DF0">
        <w:rPr>
          <w:b/>
          <w:bCs/>
          <w:snapToGrid w:val="0"/>
          <w:color w:val="000000"/>
          <w:sz w:val="24"/>
          <w:szCs w:val="24"/>
        </w:rPr>
        <w:t xml:space="preserve"> </w:t>
      </w:r>
      <w:r w:rsidRPr="00416DF0" w:rsidR="00416DF0">
        <w:rPr>
          <w:b/>
          <w:bCs/>
          <w:snapToGrid w:val="0"/>
          <w:color w:val="000000"/>
          <w:sz w:val="24"/>
          <w:szCs w:val="24"/>
        </w:rPr>
        <w:t xml:space="preserve">The combined burden hours for the Application, Grant Agreement, and Project Management Stages are 1,370 burden hours.  </w:t>
      </w:r>
      <w:r w:rsidR="00416DF0">
        <w:rPr>
          <w:b/>
          <w:bCs/>
          <w:snapToGrid w:val="0"/>
          <w:color w:val="000000"/>
          <w:sz w:val="24"/>
          <w:szCs w:val="24"/>
        </w:rPr>
        <w:t xml:space="preserve"> </w:t>
      </w:r>
      <w:r>
        <w:rPr>
          <w:b/>
          <w:bCs/>
          <w:snapToGrid w:val="0"/>
          <w:color w:val="000000"/>
          <w:sz w:val="24"/>
          <w:szCs w:val="24"/>
        </w:rPr>
        <w:t xml:space="preserve"> </w:t>
      </w:r>
    </w:p>
    <w:p w:rsidR="00813312" w:rsidP="00F26FBE" w14:paraId="706CAD61" w14:textId="6CE52F77">
      <w:pPr>
        <w:rPr>
          <w:b/>
          <w:bCs/>
          <w:snapToGrid w:val="0"/>
          <w:color w:val="000000"/>
          <w:sz w:val="24"/>
          <w:szCs w:val="24"/>
        </w:rPr>
      </w:pPr>
    </w:p>
    <w:p w:rsidR="00BE6717" w:rsidP="00C438BF" w14:paraId="6D8CD657" w14:textId="2180C8D4">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color w:val="auto"/>
          <w:szCs w:val="24"/>
        </w:rPr>
      </w:pPr>
      <w:r w:rsidRPr="00A53316">
        <w:rPr>
          <w:b/>
          <w:szCs w:val="24"/>
        </w:rPr>
        <w:t xml:space="preserve">The grand total annual cost to respondents for the </w:t>
      </w:r>
      <w:bookmarkStart w:id="19" w:name="_Hlk131004852"/>
      <w:r w:rsidRPr="00A53316">
        <w:rPr>
          <w:b/>
          <w:szCs w:val="24"/>
        </w:rPr>
        <w:t>application, grant negotiation, program management</w:t>
      </w:r>
      <w:r w:rsidR="00BF4B45">
        <w:rPr>
          <w:b/>
          <w:szCs w:val="24"/>
        </w:rPr>
        <w:t>,</w:t>
      </w:r>
      <w:r w:rsidRPr="00A53316">
        <w:rPr>
          <w:b/>
          <w:szCs w:val="24"/>
        </w:rPr>
        <w:t xml:space="preserve"> and evaluation stages </w:t>
      </w:r>
      <w:bookmarkEnd w:id="19"/>
      <w:r w:rsidRPr="00A53316">
        <w:rPr>
          <w:b/>
          <w:szCs w:val="24"/>
        </w:rPr>
        <w:t>is $</w:t>
      </w:r>
      <w:r w:rsidR="00F73639">
        <w:rPr>
          <w:b/>
          <w:szCs w:val="24"/>
        </w:rPr>
        <w:t>75,350</w:t>
      </w:r>
      <w:r w:rsidRPr="00A53316">
        <w:rPr>
          <w:b/>
          <w:color w:val="auto"/>
          <w:szCs w:val="24"/>
        </w:rPr>
        <w:t>.</w:t>
      </w:r>
    </w:p>
    <w:p w:rsidR="00BE6717" w:rsidP="00BE6717" w14:paraId="4F07ACD5" w14:textId="77777777">
      <w:pPr>
        <w:pStyle w:val="Heading9"/>
        <w:tabs>
          <w:tab w:val="left" w:pos="80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b/>
          <w:color w:val="auto"/>
          <w:szCs w:val="24"/>
        </w:rPr>
      </w:pPr>
    </w:p>
    <w:bookmarkEnd w:id="0"/>
    <w:p w:rsidR="00F52DAF" w:rsidRPr="00C438BF" w:rsidP="00F52DAF" w14:paraId="00F7872A" w14:textId="77777777">
      <w:pPr>
        <w:pStyle w:val="Heading9"/>
        <w:rPr>
          <w:b/>
          <w:bCs/>
          <w:szCs w:val="24"/>
        </w:rPr>
      </w:pPr>
      <w:r w:rsidRPr="00C438BF">
        <w:rPr>
          <w:b/>
          <w:bCs/>
          <w:szCs w:val="24"/>
        </w:rPr>
        <w:t>The total annual hourly burden and costs are shown below for all respondents:</w:t>
      </w:r>
    </w:p>
    <w:tbl>
      <w:tblPr>
        <w:tblStyle w:val="TableGrid"/>
        <w:tblpPr w:leftFromText="180" w:rightFromText="180" w:vertAnchor="text" w:tblpY="1"/>
        <w:tblOverlap w:val="never"/>
        <w:tblW w:w="0" w:type="auto"/>
        <w:tblLook w:val="04A0"/>
      </w:tblPr>
      <w:tblGrid>
        <w:gridCol w:w="2145"/>
        <w:gridCol w:w="4960"/>
      </w:tblGrid>
      <w:tr w14:paraId="318C6D0D" w14:textId="77777777" w:rsidTr="00C438BF">
        <w:tblPrEx>
          <w:tblW w:w="0" w:type="auto"/>
          <w:tblLook w:val="04A0"/>
        </w:tblPrEx>
        <w:tc>
          <w:tcPr>
            <w:tcW w:w="2145" w:type="dxa"/>
            <w:vAlign w:val="bottom"/>
          </w:tcPr>
          <w:p w:rsidR="00F52DAF" w:rsidRPr="00F52DAF" w14:paraId="330900D1" w14:textId="77777777">
            <w:pPr>
              <w:pStyle w:val="Heading9"/>
              <w:rPr>
                <w:szCs w:val="24"/>
              </w:rPr>
            </w:pPr>
          </w:p>
        </w:tc>
        <w:tc>
          <w:tcPr>
            <w:tcW w:w="4960" w:type="dxa"/>
            <w:vAlign w:val="bottom"/>
          </w:tcPr>
          <w:p w:rsidR="00347688" w:rsidRPr="00C438BF" w14:paraId="7D610539" w14:textId="77777777">
            <w:pPr>
              <w:pStyle w:val="Heading9"/>
              <w:rPr>
                <w:b/>
                <w:bCs/>
                <w:szCs w:val="24"/>
              </w:rPr>
            </w:pPr>
            <w:r w:rsidRPr="00C438BF">
              <w:rPr>
                <w:b/>
                <w:bCs/>
                <w:szCs w:val="24"/>
              </w:rPr>
              <w:t>Eligible SIRC Program Applicants</w:t>
            </w:r>
            <w:r w:rsidRPr="00C438BF">
              <w:rPr>
                <w:b/>
                <w:bCs/>
                <w:szCs w:val="24"/>
              </w:rPr>
              <w:t xml:space="preserve"> </w:t>
            </w:r>
          </w:p>
          <w:p w:rsidR="00F73639" w:rsidRPr="00C438BF" w14:paraId="47D38F18" w14:textId="3F0AFEEF">
            <w:pPr>
              <w:pStyle w:val="Heading9"/>
              <w:rPr>
                <w:b/>
                <w:bCs/>
                <w:szCs w:val="24"/>
              </w:rPr>
            </w:pPr>
            <w:r w:rsidRPr="00C438BF">
              <w:rPr>
                <w:b/>
                <w:bCs/>
                <w:szCs w:val="24"/>
              </w:rPr>
              <w:t xml:space="preserve">(States, local governments, and MPO entities) </w:t>
            </w:r>
            <w:r w:rsidRPr="00C438BF">
              <w:rPr>
                <w:b/>
                <w:bCs/>
                <w:szCs w:val="24"/>
              </w:rPr>
              <w:t>Application</w:t>
            </w:r>
            <w:r w:rsidR="006F7BEA">
              <w:rPr>
                <w:b/>
                <w:bCs/>
                <w:szCs w:val="24"/>
              </w:rPr>
              <w:t xml:space="preserve">, </w:t>
            </w:r>
            <w:r w:rsidRPr="00C438BF">
              <w:rPr>
                <w:b/>
                <w:bCs/>
                <w:szCs w:val="24"/>
              </w:rPr>
              <w:t>Grant Agreement</w:t>
            </w:r>
            <w:r w:rsidR="006F7BEA">
              <w:rPr>
                <w:b/>
                <w:bCs/>
                <w:szCs w:val="24"/>
              </w:rPr>
              <w:t>, and</w:t>
            </w:r>
            <w:r w:rsidRPr="00C438BF">
              <w:rPr>
                <w:b/>
                <w:bCs/>
                <w:szCs w:val="24"/>
              </w:rPr>
              <w:t xml:space="preserve"> </w:t>
            </w:r>
          </w:p>
          <w:p w:rsidR="00F52DAF" w:rsidRPr="00F52DAF" w14:paraId="7B71325B" w14:textId="2FDA276E">
            <w:pPr>
              <w:pStyle w:val="Heading9"/>
              <w:rPr>
                <w:szCs w:val="24"/>
              </w:rPr>
            </w:pPr>
            <w:r w:rsidRPr="00C438BF">
              <w:rPr>
                <w:b/>
                <w:bCs/>
                <w:szCs w:val="24"/>
              </w:rPr>
              <w:t>Project Management Stage</w:t>
            </w:r>
            <w:r w:rsidR="006F7BEA">
              <w:rPr>
                <w:b/>
                <w:bCs/>
                <w:szCs w:val="24"/>
              </w:rPr>
              <w:t>s</w:t>
            </w:r>
          </w:p>
        </w:tc>
      </w:tr>
      <w:tr w14:paraId="6B9AEF6B" w14:textId="77777777" w:rsidTr="00C438BF">
        <w:tblPrEx>
          <w:tblW w:w="0" w:type="auto"/>
          <w:tblLook w:val="04A0"/>
        </w:tblPrEx>
        <w:tc>
          <w:tcPr>
            <w:tcW w:w="2145" w:type="dxa"/>
            <w:vAlign w:val="center"/>
          </w:tcPr>
          <w:p w:rsidR="00F52DAF" w:rsidRPr="00F52DAF" w14:paraId="34294054" w14:textId="77777777">
            <w:pPr>
              <w:pStyle w:val="Heading9"/>
              <w:rPr>
                <w:szCs w:val="24"/>
              </w:rPr>
            </w:pPr>
            <w:r w:rsidRPr="00F52DAF">
              <w:rPr>
                <w:szCs w:val="24"/>
              </w:rPr>
              <w:t>Average Wage Rate</w:t>
            </w:r>
          </w:p>
        </w:tc>
        <w:tc>
          <w:tcPr>
            <w:tcW w:w="4960" w:type="dxa"/>
            <w:vAlign w:val="center"/>
          </w:tcPr>
          <w:p w:rsidR="00F52DAF" w:rsidRPr="00F52DAF" w14:paraId="2D95B66D" w14:textId="74B55920">
            <w:pPr>
              <w:pStyle w:val="Heading9"/>
              <w:rPr>
                <w:szCs w:val="24"/>
              </w:rPr>
            </w:pPr>
            <w:r w:rsidRPr="00F52DAF">
              <w:rPr>
                <w:szCs w:val="24"/>
              </w:rPr>
              <w:t>$</w:t>
            </w:r>
            <w:r w:rsidR="00980CCE">
              <w:rPr>
                <w:szCs w:val="24"/>
              </w:rPr>
              <w:t>55</w:t>
            </w:r>
            <w:r w:rsidRPr="00F52DAF">
              <w:rPr>
                <w:szCs w:val="24"/>
              </w:rPr>
              <w:t>/hour</w:t>
            </w:r>
          </w:p>
        </w:tc>
      </w:tr>
      <w:tr w14:paraId="574B1FB4" w14:textId="77777777" w:rsidTr="00C438BF">
        <w:tblPrEx>
          <w:tblW w:w="0" w:type="auto"/>
          <w:tblLook w:val="04A0"/>
        </w:tblPrEx>
        <w:tc>
          <w:tcPr>
            <w:tcW w:w="2145" w:type="dxa"/>
            <w:vAlign w:val="center"/>
          </w:tcPr>
          <w:p w:rsidR="00F52DAF" w:rsidRPr="00F52DAF" w14:paraId="62BBB477" w14:textId="77777777">
            <w:pPr>
              <w:pStyle w:val="Heading9"/>
              <w:rPr>
                <w:szCs w:val="24"/>
              </w:rPr>
            </w:pPr>
            <w:r w:rsidRPr="00F52DAF">
              <w:rPr>
                <w:szCs w:val="24"/>
              </w:rPr>
              <w:t>Hours</w:t>
            </w:r>
          </w:p>
        </w:tc>
        <w:tc>
          <w:tcPr>
            <w:tcW w:w="4960" w:type="dxa"/>
            <w:vAlign w:val="center"/>
          </w:tcPr>
          <w:p w:rsidR="00F52DAF" w:rsidRPr="00F52DAF" w14:paraId="560725CD" w14:textId="713B135C">
            <w:pPr>
              <w:pStyle w:val="Heading9"/>
              <w:rPr>
                <w:szCs w:val="24"/>
              </w:rPr>
            </w:pPr>
            <w:r>
              <w:rPr>
                <w:szCs w:val="24"/>
              </w:rPr>
              <w:t>1,37</w:t>
            </w:r>
            <w:r w:rsidR="006F7BEA">
              <w:rPr>
                <w:szCs w:val="24"/>
              </w:rPr>
              <w:t>7</w:t>
            </w:r>
          </w:p>
        </w:tc>
      </w:tr>
      <w:tr w14:paraId="0D5B94FB" w14:textId="77777777" w:rsidTr="00C438BF">
        <w:tblPrEx>
          <w:tblW w:w="0" w:type="auto"/>
          <w:tblLook w:val="04A0"/>
        </w:tblPrEx>
        <w:tc>
          <w:tcPr>
            <w:tcW w:w="2145" w:type="dxa"/>
            <w:vAlign w:val="center"/>
          </w:tcPr>
          <w:p w:rsidR="00F52DAF" w:rsidRPr="00C438BF" w14:paraId="5FA838AC" w14:textId="77777777">
            <w:pPr>
              <w:pStyle w:val="Heading9"/>
              <w:rPr>
                <w:b/>
                <w:bCs/>
                <w:szCs w:val="24"/>
              </w:rPr>
            </w:pPr>
            <w:r w:rsidRPr="00C438BF">
              <w:rPr>
                <w:b/>
                <w:bCs/>
                <w:szCs w:val="24"/>
              </w:rPr>
              <w:t>Total</w:t>
            </w:r>
          </w:p>
        </w:tc>
        <w:tc>
          <w:tcPr>
            <w:tcW w:w="4960" w:type="dxa"/>
            <w:vAlign w:val="bottom"/>
          </w:tcPr>
          <w:p w:rsidR="00F52DAF" w:rsidRPr="00C438BF" w14:paraId="5392FDB8" w14:textId="29ADDF27">
            <w:pPr>
              <w:pStyle w:val="Heading9"/>
              <w:rPr>
                <w:b/>
                <w:bCs/>
                <w:szCs w:val="24"/>
              </w:rPr>
            </w:pPr>
            <w:r w:rsidRPr="00C438BF">
              <w:rPr>
                <w:b/>
                <w:bCs/>
                <w:szCs w:val="24"/>
              </w:rPr>
              <w:t>$</w:t>
            </w:r>
            <w:r w:rsidRPr="00C438BF" w:rsidR="00F73639">
              <w:rPr>
                <w:b/>
                <w:bCs/>
                <w:szCs w:val="24"/>
              </w:rPr>
              <w:t>75,</w:t>
            </w:r>
            <w:r w:rsidR="006F7BEA">
              <w:rPr>
                <w:b/>
                <w:bCs/>
                <w:szCs w:val="24"/>
              </w:rPr>
              <w:t>735</w:t>
            </w:r>
          </w:p>
        </w:tc>
      </w:tr>
    </w:tbl>
    <w:p w:rsidR="0077763C" w:rsidP="00A657C7" w14:paraId="50AB12C0" w14:textId="77777777">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rsidR="0077763C" w:rsidRPr="0077763C" w:rsidP="00C438BF" w14:paraId="394342D6" w14:textId="77777777"/>
    <w:p w:rsidR="0077763C" w:rsidRPr="0077763C" w:rsidP="00C438BF" w14:paraId="7FBA23FD" w14:textId="77777777"/>
    <w:p w:rsidR="0077763C" w:rsidRPr="0077763C" w:rsidP="00C438BF" w14:paraId="5CF82AE7" w14:textId="77777777"/>
    <w:p w:rsidR="0077763C" w:rsidRPr="0077763C" w:rsidP="00C438BF" w14:paraId="13F2AD62" w14:textId="77777777"/>
    <w:p w:rsidR="0077763C" w:rsidRPr="0077763C" w:rsidP="00C438BF" w14:paraId="6C30EED7" w14:textId="77777777"/>
    <w:p w:rsidR="0077763C" w:rsidRPr="0077763C" w:rsidP="00C438BF" w14:paraId="50D22E3E" w14:textId="77777777"/>
    <w:p w:rsidR="0077763C" w:rsidP="00A657C7" w14:paraId="2E6B941B" w14:textId="77777777">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rsidR="00416DF0" w:rsidP="00416DF0" w14:paraId="1E81E955" w14:textId="1B39A5B3">
      <w:pPr>
        <w:pStyle w:val="Heading9"/>
        <w:tabs>
          <w:tab w:val="center" w:pos="1025"/>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ab/>
      </w:r>
      <w:r>
        <w:rPr>
          <w:szCs w:val="24"/>
        </w:rPr>
        <w:br w:type="textWrapping" w:clear="all"/>
      </w:r>
    </w:p>
    <w:p w:rsidR="00445B3F" w:rsidRPr="00A657C7" w:rsidP="00C438BF" w14:paraId="4A4639E3" w14:textId="636E6E14">
      <w:pPr>
        <w:pStyle w:val="Heading9"/>
        <w:tabs>
          <w:tab w:val="center" w:pos="1025"/>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A657C7">
        <w:rPr>
          <w:szCs w:val="24"/>
        </w:rPr>
        <w:t xml:space="preserve">13. </w:t>
      </w:r>
      <w:r w:rsidRPr="00A657C7">
        <w:rPr>
          <w:szCs w:val="24"/>
          <w:u w:val="single"/>
        </w:rPr>
        <w:t>Estimate of total annual costs to respondents</w:t>
      </w:r>
      <w:r w:rsidRPr="00A657C7">
        <w:rPr>
          <w:szCs w:val="24"/>
        </w:rPr>
        <w:t>:</w:t>
      </w:r>
    </w:p>
    <w:p w:rsidR="00445B3F" w:rsidRPr="00A657C7" w:rsidP="00A657C7" w14:paraId="03279A47" w14:textId="27965F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u w:val="single"/>
        </w:rPr>
      </w:pPr>
      <w:r w:rsidRPr="00A657C7">
        <w:rPr>
          <w:snapToGrid w:val="0"/>
          <w:color w:val="000000"/>
          <w:sz w:val="24"/>
          <w:szCs w:val="24"/>
        </w:rPr>
        <w:t xml:space="preserve">There is no additional cost beyond that shown in items 12 </w:t>
      </w:r>
      <w:r w:rsidRPr="00640994" w:rsidR="00BA0237">
        <w:rPr>
          <w:snapToGrid w:val="0"/>
          <w:color w:val="000000"/>
          <w:sz w:val="24"/>
          <w:szCs w:val="24"/>
        </w:rPr>
        <w:t xml:space="preserve">above </w:t>
      </w:r>
      <w:r w:rsidRPr="00A657C7">
        <w:rPr>
          <w:snapToGrid w:val="0"/>
          <w:color w:val="000000"/>
          <w:sz w:val="24"/>
          <w:szCs w:val="24"/>
        </w:rPr>
        <w:t>and 14</w:t>
      </w:r>
      <w:r w:rsidRPr="00640994" w:rsidR="00BA0237">
        <w:rPr>
          <w:snapToGrid w:val="0"/>
          <w:color w:val="000000"/>
          <w:sz w:val="24"/>
          <w:szCs w:val="24"/>
        </w:rPr>
        <w:t xml:space="preserve"> below</w:t>
      </w:r>
      <w:r w:rsidRPr="00A657C7">
        <w:rPr>
          <w:snapToGrid w:val="0"/>
          <w:color w:val="000000"/>
          <w:sz w:val="24"/>
          <w:szCs w:val="24"/>
        </w:rPr>
        <w:t>.</w:t>
      </w:r>
    </w:p>
    <w:p w:rsidR="00640994" w:rsidRPr="00A657C7" w:rsidP="00640994" w14:paraId="25CBDCF9" w14:textId="401C2AC4">
      <w:pPr>
        <w:pStyle w:val="BodyText"/>
        <w:rPr>
          <w:sz w:val="24"/>
          <w:szCs w:val="24"/>
        </w:rPr>
      </w:pPr>
      <w:r w:rsidRPr="00640994">
        <w:rPr>
          <w:rFonts w:ascii="Arial" w:hAnsi="Arial" w:cs="Arial"/>
          <w:sz w:val="24"/>
          <w:szCs w:val="24"/>
        </w:rPr>
        <w:t xml:space="preserve"> </w:t>
      </w:r>
    </w:p>
    <w:p w:rsidR="00445B3F" w:rsidRPr="00A657C7" w:rsidP="00A657C7" w14:paraId="046E42F4" w14:textId="0EE2971D">
      <w:pPr>
        <w:pStyle w:val="BodyText"/>
        <w:rPr>
          <w:b/>
          <w:bCs/>
        </w:rPr>
      </w:pPr>
      <w:r w:rsidRPr="00A657C7">
        <w:rPr>
          <w:sz w:val="24"/>
          <w:szCs w:val="24"/>
        </w:rPr>
        <w:t xml:space="preserve">14. </w:t>
      </w:r>
      <w:r w:rsidRPr="00A657C7">
        <w:rPr>
          <w:b/>
          <w:bCs/>
          <w:sz w:val="24"/>
          <w:szCs w:val="24"/>
          <w:u w:val="single"/>
        </w:rPr>
        <w:t>Estimate of cost to the Federal government</w:t>
      </w:r>
      <w:r w:rsidRPr="00A657C7">
        <w:rPr>
          <w:b/>
          <w:bCs/>
          <w:sz w:val="24"/>
          <w:szCs w:val="24"/>
        </w:rPr>
        <w:t>:</w:t>
      </w:r>
    </w:p>
    <w:p w:rsidR="00445B3F" w14:paraId="150B45FD" w14:textId="0D9683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A657C7">
        <w:rPr>
          <w:snapToGrid w:val="0"/>
          <w:color w:val="000000"/>
          <w:sz w:val="24"/>
          <w:szCs w:val="24"/>
        </w:rPr>
        <w:t xml:space="preserve">The </w:t>
      </w:r>
      <w:r w:rsidR="00DE526C">
        <w:rPr>
          <w:snapToGrid w:val="0"/>
          <w:color w:val="000000"/>
          <w:sz w:val="24"/>
          <w:szCs w:val="24"/>
        </w:rPr>
        <w:t xml:space="preserve">Federal government </w:t>
      </w:r>
      <w:r w:rsidRPr="00A657C7">
        <w:rPr>
          <w:snapToGrid w:val="0"/>
          <w:color w:val="000000"/>
          <w:sz w:val="24"/>
          <w:szCs w:val="24"/>
        </w:rPr>
        <w:t xml:space="preserve">cost </w:t>
      </w:r>
      <w:r w:rsidR="00DE526C">
        <w:rPr>
          <w:snapToGrid w:val="0"/>
          <w:color w:val="000000"/>
          <w:sz w:val="24"/>
          <w:szCs w:val="24"/>
        </w:rPr>
        <w:t xml:space="preserve">as shown above in Table </w:t>
      </w:r>
      <w:r w:rsidR="0077763C">
        <w:rPr>
          <w:snapToGrid w:val="0"/>
          <w:color w:val="000000"/>
          <w:sz w:val="24"/>
          <w:szCs w:val="24"/>
        </w:rPr>
        <w:t>2</w:t>
      </w:r>
      <w:r w:rsidR="00DE526C">
        <w:rPr>
          <w:snapToGrid w:val="0"/>
          <w:color w:val="000000"/>
          <w:sz w:val="24"/>
          <w:szCs w:val="24"/>
        </w:rPr>
        <w:t xml:space="preserve"> are </w:t>
      </w:r>
      <w:r w:rsidRPr="00A657C7">
        <w:rPr>
          <w:snapToGrid w:val="0"/>
          <w:color w:val="000000"/>
          <w:sz w:val="24"/>
          <w:szCs w:val="24"/>
        </w:rPr>
        <w:t>calculated as follows:</w:t>
      </w:r>
    </w:p>
    <w:p w:rsidR="00F96CF4" w14:paraId="3F604C72" w14:textId="090563F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F96CF4" w14:paraId="2ED867A0" w14:textId="2EA5AE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F96CF4" w:rsidP="00F96CF4" w14:paraId="19D7828C" w14:textId="47140E40">
      <w:pPr>
        <w:pStyle w:val="BodyText"/>
        <w:rPr>
          <w:b/>
          <w:bCs/>
          <w:sz w:val="24"/>
          <w:szCs w:val="24"/>
        </w:rPr>
      </w:pPr>
      <w:r w:rsidRPr="004F259E">
        <w:rPr>
          <w:b/>
          <w:bCs/>
          <w:sz w:val="24"/>
          <w:szCs w:val="24"/>
          <w:u w:val="single"/>
        </w:rPr>
        <w:t>Estimate of cost to the Federal government</w:t>
      </w:r>
      <w:r w:rsidRPr="004F259E">
        <w:rPr>
          <w:b/>
          <w:bCs/>
          <w:sz w:val="24"/>
          <w:szCs w:val="24"/>
        </w:rPr>
        <w:t>:</w:t>
      </w:r>
    </w:p>
    <w:p w:rsidR="00F96CF4" w:rsidP="00F96CF4" w14:paraId="7BB7F96A"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r w:rsidRPr="004F259E">
        <w:rPr>
          <w:snapToGrid w:val="0"/>
          <w:color w:val="000000"/>
          <w:sz w:val="24"/>
          <w:szCs w:val="24"/>
        </w:rPr>
        <w:t>The cost is calculated as follows:</w:t>
      </w:r>
    </w:p>
    <w:tbl>
      <w:tblPr>
        <w:tblStyle w:val="TableGrid1"/>
        <w:tblW w:w="9569" w:type="dxa"/>
        <w:tblInd w:w="-5" w:type="dxa"/>
        <w:tblLook w:val="04A0"/>
      </w:tblPr>
      <w:tblGrid>
        <w:gridCol w:w="3843"/>
        <w:gridCol w:w="1448"/>
        <w:gridCol w:w="2027"/>
        <w:gridCol w:w="1110"/>
        <w:gridCol w:w="1141"/>
      </w:tblGrid>
      <w:tr w14:paraId="24FECCE9" w14:textId="77777777" w:rsidTr="00C438BF">
        <w:tblPrEx>
          <w:tblW w:w="9569" w:type="dxa"/>
          <w:tblInd w:w="-5" w:type="dxa"/>
          <w:tblLook w:val="04A0"/>
        </w:tblPrEx>
        <w:trPr>
          <w:trHeight w:val="197"/>
        </w:trPr>
        <w:tc>
          <w:tcPr>
            <w:tcW w:w="9569" w:type="dxa"/>
            <w:gridSpan w:val="5"/>
          </w:tcPr>
          <w:p w:rsidR="00995CA9" w:rsidRPr="00995CA9" w:rsidP="00C438BF" w14:paraId="3D34932C" w14:textId="58B39AE3">
            <w:pPr>
              <w:rPr>
                <w:b/>
                <w:bCs/>
              </w:rPr>
            </w:pPr>
            <w:r w:rsidRPr="00995CA9">
              <w:rPr>
                <w:b/>
                <w:bCs/>
              </w:rPr>
              <w:t xml:space="preserve">Table 2 </w:t>
            </w:r>
            <w:r>
              <w:rPr>
                <w:rFonts w:ascii="Times New Roman" w:hAnsi="Times New Roman" w:cs="Times New Roman"/>
                <w:b/>
                <w:bCs/>
              </w:rPr>
              <w:t xml:space="preserve">                                 </w:t>
            </w:r>
            <w:r w:rsidRPr="00995CA9">
              <w:rPr>
                <w:rFonts w:ascii="Times New Roman" w:hAnsi="Times New Roman" w:cs="Times New Roman"/>
                <w:b/>
                <w:bCs/>
              </w:rPr>
              <w:t xml:space="preserve">SIRC Program Burden Hours for </w:t>
            </w:r>
            <w:r>
              <w:rPr>
                <w:rFonts w:ascii="Times New Roman" w:hAnsi="Times New Roman" w:cs="Times New Roman"/>
                <w:b/>
                <w:bCs/>
              </w:rPr>
              <w:t xml:space="preserve">Federal Government </w:t>
            </w:r>
          </w:p>
        </w:tc>
      </w:tr>
      <w:tr w14:paraId="588C3F05" w14:textId="77777777" w:rsidTr="00995CA9">
        <w:tblPrEx>
          <w:tblW w:w="9569" w:type="dxa"/>
          <w:tblInd w:w="-5" w:type="dxa"/>
          <w:tblLook w:val="04A0"/>
        </w:tblPrEx>
        <w:trPr>
          <w:trHeight w:val="627"/>
        </w:trPr>
        <w:tc>
          <w:tcPr>
            <w:tcW w:w="3864" w:type="dxa"/>
            <w:hideMark/>
          </w:tcPr>
          <w:p w:rsidR="00995CA9" w:rsidRPr="00C438BF" w:rsidP="004F259E" w14:paraId="5BE85F6D" w14:textId="77777777">
            <w:pPr>
              <w:jc w:val="center"/>
              <w:rPr>
                <w:rFonts w:ascii="Times New Roman" w:hAnsi="Times New Roman" w:cs="Times New Roman"/>
                <w:b/>
                <w:bCs/>
                <w:sz w:val="16"/>
                <w:szCs w:val="16"/>
              </w:rPr>
            </w:pPr>
            <w:r w:rsidRPr="00C438BF">
              <w:rPr>
                <w:b/>
                <w:bCs/>
                <w:sz w:val="16"/>
                <w:szCs w:val="16"/>
              </w:rPr>
              <w:t>Requirements</w:t>
            </w:r>
          </w:p>
        </w:tc>
        <w:tc>
          <w:tcPr>
            <w:tcW w:w="1451" w:type="dxa"/>
            <w:hideMark/>
          </w:tcPr>
          <w:p w:rsidR="00995CA9" w:rsidRPr="00C438BF" w:rsidP="004F259E" w14:paraId="7CA1C59D" w14:textId="77777777">
            <w:pPr>
              <w:jc w:val="center"/>
              <w:rPr>
                <w:rFonts w:ascii="Times New Roman" w:hAnsi="Times New Roman" w:cs="Times New Roman"/>
                <w:b/>
                <w:bCs/>
                <w:sz w:val="16"/>
                <w:szCs w:val="16"/>
              </w:rPr>
            </w:pPr>
            <w:r w:rsidRPr="00C438BF">
              <w:rPr>
                <w:b/>
                <w:bCs/>
                <w:sz w:val="16"/>
                <w:szCs w:val="16"/>
              </w:rPr>
              <w:t>Number of Annual Application Submissions</w:t>
            </w:r>
          </w:p>
        </w:tc>
        <w:tc>
          <w:tcPr>
            <w:tcW w:w="2034" w:type="dxa"/>
            <w:hideMark/>
          </w:tcPr>
          <w:p w:rsidR="00995CA9" w:rsidRPr="00C438BF" w:rsidP="004F259E" w14:paraId="56A59CA5" w14:textId="0B38F3F4">
            <w:pPr>
              <w:jc w:val="center"/>
              <w:rPr>
                <w:rFonts w:ascii="Times New Roman" w:hAnsi="Times New Roman" w:cs="Times New Roman"/>
                <w:b/>
                <w:bCs/>
                <w:sz w:val="16"/>
                <w:szCs w:val="16"/>
              </w:rPr>
            </w:pPr>
            <w:r w:rsidRPr="00C438BF">
              <w:rPr>
                <w:b/>
                <w:bCs/>
                <w:sz w:val="16"/>
                <w:szCs w:val="16"/>
              </w:rPr>
              <w:t xml:space="preserve">Federal Government Burden Hours Per Submission </w:t>
            </w:r>
          </w:p>
          <w:p w:rsidR="00995CA9" w:rsidRPr="00C438BF" w:rsidP="004F259E" w14:paraId="65272340" w14:textId="31EC7086">
            <w:pPr>
              <w:jc w:val="center"/>
              <w:rPr>
                <w:rFonts w:ascii="Times New Roman" w:hAnsi="Times New Roman" w:cs="Times New Roman"/>
                <w:b/>
                <w:bCs/>
                <w:sz w:val="14"/>
                <w:szCs w:val="14"/>
              </w:rPr>
            </w:pPr>
            <w:r w:rsidRPr="00C438BF">
              <w:rPr>
                <w:b/>
                <w:bCs/>
                <w:sz w:val="14"/>
                <w:szCs w:val="14"/>
              </w:rPr>
              <w:t>(8 hours per day with 5 business days a week)</w:t>
            </w:r>
          </w:p>
        </w:tc>
        <w:tc>
          <w:tcPr>
            <w:tcW w:w="1079" w:type="dxa"/>
            <w:shd w:val="clear" w:color="auto" w:fill="BFBFBF" w:themeFill="background1" w:themeFillShade="BF"/>
            <w:hideMark/>
          </w:tcPr>
          <w:p w:rsidR="00995CA9" w:rsidRPr="00995CA9" w:rsidP="004F259E" w14:paraId="23942F79" w14:textId="77777777">
            <w:pPr>
              <w:jc w:val="center"/>
              <w:rPr>
                <w:b/>
                <w:bCs/>
                <w:sz w:val="16"/>
                <w:szCs w:val="16"/>
              </w:rPr>
            </w:pPr>
            <w:r w:rsidRPr="00C438BF">
              <w:rPr>
                <w:b/>
                <w:bCs/>
                <w:sz w:val="16"/>
                <w:szCs w:val="16"/>
              </w:rPr>
              <w:t>Federal Government Total Burden Hours</w:t>
            </w:r>
          </w:p>
        </w:tc>
        <w:tc>
          <w:tcPr>
            <w:tcW w:w="1141" w:type="dxa"/>
            <w:shd w:val="clear" w:color="auto" w:fill="BFBFBF" w:themeFill="background1" w:themeFillShade="BF"/>
          </w:tcPr>
          <w:p w:rsidR="00995CA9" w:rsidRPr="00C438BF" w:rsidP="004F259E" w14:paraId="29803AF9" w14:textId="660018DA">
            <w:pPr>
              <w:jc w:val="center"/>
              <w:rPr>
                <w:rFonts w:ascii="Times New Roman" w:hAnsi="Times New Roman" w:cs="Times New Roman"/>
                <w:b/>
                <w:bCs/>
                <w:sz w:val="16"/>
                <w:szCs w:val="16"/>
              </w:rPr>
            </w:pPr>
            <w:r w:rsidRPr="00995CA9">
              <w:rPr>
                <w:rFonts w:ascii="Times New Roman" w:hAnsi="Times New Roman" w:cs="Times New Roman"/>
                <w:b/>
                <w:bCs/>
                <w:sz w:val="16"/>
                <w:szCs w:val="16"/>
              </w:rPr>
              <w:t xml:space="preserve">Percentage of Responses (submissions) collected electronically  </w:t>
            </w:r>
          </w:p>
        </w:tc>
      </w:tr>
      <w:tr w14:paraId="2313EF26" w14:textId="77777777" w:rsidTr="00C438BF">
        <w:tblPrEx>
          <w:tblW w:w="9569" w:type="dxa"/>
          <w:tblInd w:w="-5" w:type="dxa"/>
          <w:tblLook w:val="04A0"/>
        </w:tblPrEx>
        <w:trPr>
          <w:trHeight w:val="89"/>
        </w:trPr>
        <w:tc>
          <w:tcPr>
            <w:tcW w:w="9569" w:type="dxa"/>
            <w:gridSpan w:val="5"/>
            <w:hideMark/>
          </w:tcPr>
          <w:p w:rsidR="00F96CF4" w:rsidRPr="00C438BF" w:rsidP="004F259E" w14:paraId="72863E60" w14:textId="320CA54E">
            <w:pPr>
              <w:rPr>
                <w:rFonts w:ascii="Times New Roman" w:hAnsi="Times New Roman" w:cs="Times New Roman"/>
                <w:b/>
                <w:bCs/>
                <w:sz w:val="20"/>
                <w:szCs w:val="20"/>
              </w:rPr>
            </w:pPr>
            <w:r w:rsidRPr="00995CA9">
              <w:rPr>
                <w:b/>
                <w:bCs/>
              </w:rPr>
              <w:t xml:space="preserve">      Application Stage</w:t>
            </w:r>
            <w:r w:rsidRPr="00995CA9" w:rsidR="00A22477">
              <w:rPr>
                <w:b/>
                <w:bCs/>
              </w:rPr>
              <w:t xml:space="preserve"> and Grant Agreement Stage</w:t>
            </w:r>
          </w:p>
        </w:tc>
      </w:tr>
      <w:tr w14:paraId="3B632390" w14:textId="77777777" w:rsidTr="00995CA9">
        <w:tblPrEx>
          <w:tblW w:w="9569" w:type="dxa"/>
          <w:tblInd w:w="-5" w:type="dxa"/>
          <w:tblLook w:val="04A0"/>
        </w:tblPrEx>
        <w:trPr>
          <w:trHeight w:val="580"/>
        </w:trPr>
        <w:tc>
          <w:tcPr>
            <w:tcW w:w="3864" w:type="dxa"/>
            <w:tcBorders>
              <w:top w:val="nil"/>
              <w:left w:val="single" w:sz="4" w:space="0" w:color="auto"/>
              <w:bottom w:val="single" w:sz="4" w:space="0" w:color="auto"/>
              <w:right w:val="single" w:sz="4" w:space="0" w:color="auto"/>
            </w:tcBorders>
            <w:shd w:val="clear" w:color="auto" w:fill="auto"/>
            <w:vAlign w:val="center"/>
          </w:tcPr>
          <w:p w:rsidR="00995CA9" w:rsidRPr="00C438BF" w:rsidP="00561F95" w14:paraId="6D5C156B" w14:textId="77777777">
            <w:pPr>
              <w:jc w:val="center"/>
              <w:rPr>
                <w:rFonts w:ascii="Times New Roman" w:hAnsi="Times New Roman" w:cs="Times New Roman"/>
                <w:color w:val="000000"/>
                <w:sz w:val="16"/>
                <w:szCs w:val="16"/>
              </w:rPr>
            </w:pPr>
            <w:r w:rsidRPr="00C438BF">
              <w:rPr>
                <w:color w:val="000000"/>
                <w:sz w:val="16"/>
                <w:szCs w:val="16"/>
              </w:rPr>
              <w:t xml:space="preserve">Letter of Intent to Submit Applications                         </w:t>
            </w:r>
          </w:p>
          <w:p w:rsidR="00995CA9" w:rsidRPr="00C438BF" w:rsidP="00561F95" w14:paraId="7B93B917" w14:textId="56B15D7B">
            <w:pPr>
              <w:jc w:val="center"/>
              <w:rPr>
                <w:rFonts w:ascii="Times New Roman" w:hAnsi="Times New Roman" w:cs="Times New Roman"/>
                <w:sz w:val="14"/>
                <w:szCs w:val="14"/>
              </w:rPr>
            </w:pPr>
            <w:r w:rsidRPr="00C438BF">
              <w:rPr>
                <w:color w:val="000000"/>
                <w:sz w:val="16"/>
                <w:szCs w:val="16"/>
              </w:rPr>
              <w:t xml:space="preserve"> </w:t>
            </w:r>
            <w:r w:rsidRPr="00C438BF">
              <w:rPr>
                <w:b/>
                <w:bCs/>
                <w:color w:val="000000"/>
                <w:sz w:val="14"/>
                <w:szCs w:val="14"/>
              </w:rPr>
              <w:t xml:space="preserve">(a minimum of 1 Letter of Intent has been submitted annually based on previous STSFA Program)  </w:t>
            </w:r>
          </w:p>
        </w:tc>
        <w:tc>
          <w:tcPr>
            <w:tcW w:w="1451" w:type="dxa"/>
            <w:tcBorders>
              <w:top w:val="nil"/>
              <w:left w:val="single" w:sz="4" w:space="0" w:color="auto"/>
              <w:bottom w:val="single" w:sz="4" w:space="0" w:color="auto"/>
              <w:right w:val="single" w:sz="4" w:space="0" w:color="auto"/>
            </w:tcBorders>
            <w:shd w:val="clear" w:color="auto" w:fill="auto"/>
            <w:vAlign w:val="center"/>
          </w:tcPr>
          <w:p w:rsidR="00995CA9" w:rsidRPr="00C438BF" w:rsidP="00561F95" w14:paraId="6D30B3B2" w14:textId="4A1B476D">
            <w:pPr>
              <w:jc w:val="center"/>
              <w:rPr>
                <w:rFonts w:ascii="Times New Roman" w:hAnsi="Times New Roman" w:cs="Times New Roman"/>
                <w:sz w:val="16"/>
                <w:szCs w:val="16"/>
              </w:rPr>
            </w:pPr>
            <w:r w:rsidRPr="00C438BF">
              <w:rPr>
                <w:color w:val="000000"/>
                <w:sz w:val="16"/>
                <w:szCs w:val="16"/>
              </w:rPr>
              <w:t>1</w:t>
            </w:r>
          </w:p>
        </w:tc>
        <w:tc>
          <w:tcPr>
            <w:tcW w:w="2034" w:type="dxa"/>
            <w:tcBorders>
              <w:top w:val="nil"/>
              <w:left w:val="single" w:sz="4" w:space="0" w:color="auto"/>
              <w:bottom w:val="single" w:sz="4" w:space="0" w:color="auto"/>
              <w:right w:val="single" w:sz="4" w:space="0" w:color="auto"/>
            </w:tcBorders>
            <w:shd w:val="clear" w:color="auto" w:fill="auto"/>
            <w:vAlign w:val="center"/>
          </w:tcPr>
          <w:p w:rsidR="00995CA9" w:rsidRPr="00C438BF" w:rsidP="00561F95" w14:paraId="006A95C0" w14:textId="143EDE5F">
            <w:pPr>
              <w:jc w:val="center"/>
              <w:rPr>
                <w:rFonts w:ascii="Times New Roman" w:hAnsi="Times New Roman" w:cs="Times New Roman"/>
                <w:sz w:val="16"/>
                <w:szCs w:val="16"/>
              </w:rPr>
            </w:pPr>
            <w:r w:rsidRPr="00C438BF">
              <w:rPr>
                <w:sz w:val="16"/>
                <w:szCs w:val="16"/>
              </w:rPr>
              <w:t>2</w:t>
            </w:r>
          </w:p>
        </w:tc>
        <w:tc>
          <w:tcPr>
            <w:tcW w:w="1091"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995CA9" w:rsidRPr="00995CA9" w:rsidP="00561F95" w14:paraId="23650732" w14:textId="77777777">
            <w:pPr>
              <w:jc w:val="center"/>
              <w:rPr>
                <w:b/>
                <w:bCs/>
                <w:sz w:val="16"/>
                <w:szCs w:val="16"/>
              </w:rPr>
            </w:pPr>
            <w:r w:rsidRPr="00C438BF">
              <w:rPr>
                <w:b/>
                <w:bCs/>
                <w:color w:val="000000"/>
                <w:sz w:val="16"/>
                <w:szCs w:val="16"/>
              </w:rPr>
              <w:t xml:space="preserve">    2</w:t>
            </w:r>
          </w:p>
        </w:tc>
        <w:tc>
          <w:tcPr>
            <w:tcW w:w="1129" w:type="dxa"/>
            <w:vMerge w:val="restart"/>
            <w:tcBorders>
              <w:top w:val="nil"/>
              <w:left w:val="single" w:sz="4" w:space="0" w:color="auto"/>
              <w:right w:val="single" w:sz="4" w:space="0" w:color="auto"/>
            </w:tcBorders>
            <w:shd w:val="clear" w:color="auto" w:fill="BFBFBF" w:themeFill="background1" w:themeFillShade="BF"/>
            <w:vAlign w:val="center"/>
          </w:tcPr>
          <w:p w:rsidR="00995CA9" w:rsidRPr="00C438BF" w:rsidP="00561F95" w14:paraId="13FF9163" w14:textId="637D42E2">
            <w:pPr>
              <w:jc w:val="center"/>
              <w:rPr>
                <w:rFonts w:ascii="Times New Roman" w:hAnsi="Times New Roman" w:cs="Times New Roman"/>
                <w:b/>
                <w:bCs/>
                <w:sz w:val="16"/>
                <w:szCs w:val="16"/>
              </w:rPr>
            </w:pPr>
            <w:r>
              <w:rPr>
                <w:rFonts w:ascii="Times New Roman" w:hAnsi="Times New Roman" w:cs="Times New Roman"/>
                <w:b/>
                <w:bCs/>
                <w:sz w:val="16"/>
                <w:szCs w:val="16"/>
              </w:rPr>
              <w:t>100%</w:t>
            </w:r>
          </w:p>
        </w:tc>
      </w:tr>
      <w:tr w14:paraId="64DB92E1" w14:textId="77777777" w:rsidTr="00995CA9">
        <w:tblPrEx>
          <w:tblW w:w="9569" w:type="dxa"/>
          <w:tblInd w:w="-5" w:type="dxa"/>
          <w:tblLook w:val="04A0"/>
        </w:tblPrEx>
        <w:trPr>
          <w:trHeight w:val="431"/>
        </w:trPr>
        <w:tc>
          <w:tcPr>
            <w:tcW w:w="3864" w:type="dxa"/>
            <w:hideMark/>
          </w:tcPr>
          <w:p w:rsidR="00995CA9" w:rsidRPr="00C438BF" w:rsidP="00561F95" w14:paraId="48F44516" w14:textId="1B66FE9B">
            <w:pPr>
              <w:jc w:val="center"/>
              <w:rPr>
                <w:rFonts w:ascii="Times New Roman" w:hAnsi="Times New Roman" w:cs="Times New Roman"/>
                <w:sz w:val="16"/>
                <w:szCs w:val="16"/>
              </w:rPr>
            </w:pPr>
            <w:r w:rsidRPr="00C438BF">
              <w:rPr>
                <w:sz w:val="16"/>
                <w:szCs w:val="16"/>
              </w:rPr>
              <w:t>Responding Applications</w:t>
            </w:r>
          </w:p>
          <w:p w:rsidR="00995CA9" w:rsidRPr="00C438BF" w:rsidP="00561F95" w14:paraId="4ECA4B76" w14:textId="74FA7F58">
            <w:pPr>
              <w:jc w:val="center"/>
              <w:rPr>
                <w:rFonts w:ascii="Times New Roman" w:hAnsi="Times New Roman" w:cs="Times New Roman"/>
                <w:b/>
                <w:bCs/>
                <w:sz w:val="14"/>
                <w:szCs w:val="14"/>
              </w:rPr>
            </w:pPr>
            <w:r w:rsidRPr="00C438BF">
              <w:rPr>
                <w:b/>
                <w:bCs/>
                <w:sz w:val="16"/>
                <w:szCs w:val="16"/>
              </w:rPr>
              <w:t xml:space="preserve"> </w:t>
            </w:r>
            <w:r w:rsidRPr="00C438BF">
              <w:rPr>
                <w:b/>
                <w:bCs/>
                <w:sz w:val="14"/>
                <w:szCs w:val="14"/>
              </w:rPr>
              <w:t>(Based on predecessor STSFA Program)</w:t>
            </w:r>
          </w:p>
        </w:tc>
        <w:tc>
          <w:tcPr>
            <w:tcW w:w="1451" w:type="dxa"/>
            <w:hideMark/>
          </w:tcPr>
          <w:p w:rsidR="00995CA9" w:rsidRPr="00C438BF" w:rsidP="00561F95" w14:paraId="41BDD2B9" w14:textId="77777777">
            <w:pPr>
              <w:jc w:val="center"/>
              <w:rPr>
                <w:rFonts w:ascii="Times New Roman" w:hAnsi="Times New Roman" w:cs="Times New Roman"/>
                <w:sz w:val="16"/>
                <w:szCs w:val="16"/>
              </w:rPr>
            </w:pPr>
            <w:r w:rsidRPr="00C438BF">
              <w:rPr>
                <w:sz w:val="16"/>
                <w:szCs w:val="16"/>
              </w:rPr>
              <w:t>15</w:t>
            </w:r>
          </w:p>
        </w:tc>
        <w:tc>
          <w:tcPr>
            <w:tcW w:w="2034" w:type="dxa"/>
            <w:hideMark/>
          </w:tcPr>
          <w:p w:rsidR="00995CA9" w:rsidRPr="00C438BF" w:rsidP="00561F95" w14:paraId="2A49C96B" w14:textId="77777777">
            <w:pPr>
              <w:jc w:val="center"/>
              <w:rPr>
                <w:rFonts w:ascii="Times New Roman" w:hAnsi="Times New Roman" w:cs="Times New Roman"/>
                <w:sz w:val="16"/>
                <w:szCs w:val="16"/>
              </w:rPr>
            </w:pPr>
            <w:r w:rsidRPr="00C438BF">
              <w:rPr>
                <w:sz w:val="16"/>
                <w:szCs w:val="16"/>
              </w:rPr>
              <w:t xml:space="preserve"> 20</w:t>
            </w:r>
          </w:p>
        </w:tc>
        <w:tc>
          <w:tcPr>
            <w:tcW w:w="1091" w:type="dxa"/>
            <w:tcBorders>
              <w:right w:val="single" w:sz="4" w:space="0" w:color="auto"/>
            </w:tcBorders>
            <w:shd w:val="clear" w:color="auto" w:fill="BFBFBF" w:themeFill="background1" w:themeFillShade="BF"/>
            <w:hideMark/>
          </w:tcPr>
          <w:p w:rsidR="00995CA9" w:rsidRPr="00995CA9" w:rsidP="00561F95" w14:paraId="391CD156" w14:textId="77777777">
            <w:pPr>
              <w:jc w:val="center"/>
              <w:rPr>
                <w:b/>
                <w:bCs/>
                <w:sz w:val="16"/>
                <w:szCs w:val="16"/>
              </w:rPr>
            </w:pPr>
            <w:r w:rsidRPr="00C438BF">
              <w:rPr>
                <w:b/>
                <w:bCs/>
                <w:sz w:val="16"/>
                <w:szCs w:val="16"/>
              </w:rPr>
              <w:t xml:space="preserve"> 300</w:t>
            </w:r>
          </w:p>
        </w:tc>
        <w:tc>
          <w:tcPr>
            <w:tcW w:w="1129" w:type="dxa"/>
            <w:vMerge/>
            <w:tcBorders>
              <w:left w:val="single" w:sz="4" w:space="0" w:color="auto"/>
              <w:right w:val="single" w:sz="4" w:space="0" w:color="auto"/>
            </w:tcBorders>
            <w:shd w:val="clear" w:color="auto" w:fill="BFBFBF" w:themeFill="background1" w:themeFillShade="BF"/>
          </w:tcPr>
          <w:p w:rsidR="00995CA9" w:rsidRPr="00C438BF" w:rsidP="00561F95" w14:paraId="6BC0C8EA" w14:textId="1A6BEAD6">
            <w:pPr>
              <w:jc w:val="center"/>
              <w:rPr>
                <w:rFonts w:ascii="Times New Roman" w:hAnsi="Times New Roman" w:cs="Times New Roman"/>
                <w:b/>
                <w:bCs/>
                <w:sz w:val="16"/>
                <w:szCs w:val="16"/>
              </w:rPr>
            </w:pPr>
          </w:p>
        </w:tc>
      </w:tr>
      <w:tr w14:paraId="1EF8A6DC" w14:textId="77777777" w:rsidTr="00995CA9">
        <w:tblPrEx>
          <w:tblW w:w="9569" w:type="dxa"/>
          <w:tblInd w:w="-5" w:type="dxa"/>
          <w:tblLook w:val="04A0"/>
        </w:tblPrEx>
        <w:trPr>
          <w:trHeight w:val="296"/>
        </w:trPr>
        <w:tc>
          <w:tcPr>
            <w:tcW w:w="3864" w:type="dxa"/>
            <w:tcBorders>
              <w:bottom w:val="single" w:sz="12" w:space="0" w:color="auto"/>
            </w:tcBorders>
            <w:hideMark/>
          </w:tcPr>
          <w:p w:rsidR="00995CA9" w:rsidRPr="00C438BF" w:rsidP="00561F95" w14:paraId="61D85984" w14:textId="608DB86A">
            <w:pPr>
              <w:jc w:val="center"/>
              <w:rPr>
                <w:rFonts w:ascii="Times New Roman" w:hAnsi="Times New Roman" w:cs="Times New Roman"/>
                <w:sz w:val="16"/>
                <w:szCs w:val="16"/>
              </w:rPr>
            </w:pPr>
            <w:bookmarkStart w:id="20" w:name="_Hlk131005065"/>
            <w:r w:rsidRPr="00C438BF">
              <w:rPr>
                <w:sz w:val="16"/>
                <w:szCs w:val="16"/>
              </w:rPr>
              <w:t>Requests for information related to signing grant agreements</w:t>
            </w:r>
            <w:bookmarkEnd w:id="20"/>
          </w:p>
        </w:tc>
        <w:tc>
          <w:tcPr>
            <w:tcW w:w="1451" w:type="dxa"/>
            <w:tcBorders>
              <w:bottom w:val="single" w:sz="12" w:space="0" w:color="auto"/>
            </w:tcBorders>
            <w:hideMark/>
          </w:tcPr>
          <w:p w:rsidR="00995CA9" w:rsidRPr="00C438BF" w:rsidP="00561F95" w14:paraId="43EF0627" w14:textId="0B17F3F0">
            <w:pPr>
              <w:jc w:val="center"/>
              <w:rPr>
                <w:rFonts w:ascii="Times New Roman" w:hAnsi="Times New Roman" w:cs="Times New Roman"/>
                <w:sz w:val="16"/>
                <w:szCs w:val="16"/>
              </w:rPr>
            </w:pPr>
            <w:r w:rsidRPr="00C438BF">
              <w:rPr>
                <w:sz w:val="16"/>
                <w:szCs w:val="16"/>
              </w:rPr>
              <w:t>7</w:t>
            </w:r>
          </w:p>
        </w:tc>
        <w:tc>
          <w:tcPr>
            <w:tcW w:w="2034" w:type="dxa"/>
            <w:tcBorders>
              <w:bottom w:val="single" w:sz="12" w:space="0" w:color="auto"/>
            </w:tcBorders>
            <w:hideMark/>
          </w:tcPr>
          <w:p w:rsidR="00995CA9" w:rsidRPr="00C438BF" w:rsidP="00561F95" w14:paraId="43CBE0E8" w14:textId="5325FEC3">
            <w:pPr>
              <w:jc w:val="center"/>
              <w:rPr>
                <w:rFonts w:ascii="Times New Roman" w:hAnsi="Times New Roman" w:cs="Times New Roman"/>
                <w:sz w:val="16"/>
                <w:szCs w:val="16"/>
              </w:rPr>
            </w:pPr>
            <w:r w:rsidRPr="00C438BF">
              <w:rPr>
                <w:sz w:val="16"/>
                <w:szCs w:val="16"/>
              </w:rPr>
              <w:t xml:space="preserve"> 1</w:t>
            </w:r>
          </w:p>
        </w:tc>
        <w:tc>
          <w:tcPr>
            <w:tcW w:w="1091" w:type="dxa"/>
            <w:tcBorders>
              <w:bottom w:val="single" w:sz="12" w:space="0" w:color="auto"/>
              <w:right w:val="single" w:sz="4" w:space="0" w:color="auto"/>
            </w:tcBorders>
            <w:shd w:val="clear" w:color="auto" w:fill="BFBFBF" w:themeFill="background1" w:themeFillShade="BF"/>
            <w:hideMark/>
          </w:tcPr>
          <w:p w:rsidR="00995CA9" w:rsidRPr="00995CA9" w:rsidP="00561F95" w14:paraId="4E2EB6E3" w14:textId="77777777">
            <w:pPr>
              <w:jc w:val="center"/>
              <w:rPr>
                <w:b/>
                <w:bCs/>
                <w:sz w:val="16"/>
                <w:szCs w:val="16"/>
              </w:rPr>
            </w:pPr>
            <w:r w:rsidRPr="00C438BF">
              <w:rPr>
                <w:b/>
                <w:bCs/>
                <w:sz w:val="16"/>
                <w:szCs w:val="16"/>
              </w:rPr>
              <w:t xml:space="preserve">  7</w:t>
            </w:r>
          </w:p>
        </w:tc>
        <w:tc>
          <w:tcPr>
            <w:tcW w:w="1129" w:type="dxa"/>
            <w:vMerge/>
            <w:tcBorders>
              <w:left w:val="single" w:sz="4" w:space="0" w:color="auto"/>
              <w:bottom w:val="single" w:sz="12" w:space="0" w:color="auto"/>
              <w:right w:val="single" w:sz="4" w:space="0" w:color="auto"/>
            </w:tcBorders>
            <w:shd w:val="clear" w:color="auto" w:fill="BFBFBF" w:themeFill="background1" w:themeFillShade="BF"/>
          </w:tcPr>
          <w:p w:rsidR="00995CA9" w:rsidRPr="00C438BF" w:rsidP="00561F95" w14:paraId="7F7FFCD8" w14:textId="34CA410F">
            <w:pPr>
              <w:jc w:val="center"/>
              <w:rPr>
                <w:rFonts w:ascii="Times New Roman" w:hAnsi="Times New Roman" w:cs="Times New Roman"/>
                <w:b/>
                <w:bCs/>
                <w:sz w:val="16"/>
                <w:szCs w:val="16"/>
              </w:rPr>
            </w:pPr>
          </w:p>
        </w:tc>
      </w:tr>
      <w:tr w14:paraId="139761B4" w14:textId="77777777" w:rsidTr="00995CA9">
        <w:tblPrEx>
          <w:tblW w:w="9569" w:type="dxa"/>
          <w:tblInd w:w="-5" w:type="dxa"/>
          <w:tblLook w:val="04A0"/>
        </w:tblPrEx>
        <w:trPr>
          <w:trHeight w:val="211"/>
        </w:trPr>
        <w:tc>
          <w:tcPr>
            <w:tcW w:w="7349" w:type="dxa"/>
            <w:gridSpan w:val="3"/>
            <w:tcBorders>
              <w:top w:val="single" w:sz="12" w:space="0" w:color="auto"/>
              <w:bottom w:val="single" w:sz="12" w:space="0" w:color="auto"/>
            </w:tcBorders>
            <w:shd w:val="clear" w:color="auto" w:fill="BFBFBF" w:themeFill="background1" w:themeFillShade="BF"/>
            <w:hideMark/>
          </w:tcPr>
          <w:p w:rsidR="00995CA9" w:rsidRPr="00C438BF" w:rsidP="00A22477" w14:paraId="700C3B7E" w14:textId="219F2C25">
            <w:pPr>
              <w:jc w:val="center"/>
              <w:rPr>
                <w:rFonts w:ascii="Times New Roman" w:hAnsi="Times New Roman" w:cs="Times New Roman"/>
                <w:b/>
                <w:bCs/>
                <w:sz w:val="16"/>
                <w:szCs w:val="16"/>
              </w:rPr>
            </w:pPr>
            <w:r w:rsidRPr="00C438BF">
              <w:rPr>
                <w:b/>
                <w:bCs/>
                <w:sz w:val="16"/>
                <w:szCs w:val="16"/>
              </w:rPr>
              <w:t>Total</w:t>
            </w:r>
          </w:p>
        </w:tc>
        <w:tc>
          <w:tcPr>
            <w:tcW w:w="1091" w:type="dxa"/>
            <w:tcBorders>
              <w:top w:val="single" w:sz="12" w:space="0" w:color="auto"/>
            </w:tcBorders>
            <w:shd w:val="clear" w:color="auto" w:fill="BFBFBF" w:themeFill="background1" w:themeFillShade="BF"/>
            <w:hideMark/>
          </w:tcPr>
          <w:p w:rsidR="00995CA9" w:rsidRPr="00995CA9" w:rsidP="00561F95" w14:paraId="745DF775" w14:textId="77777777">
            <w:pPr>
              <w:jc w:val="center"/>
              <w:rPr>
                <w:b/>
                <w:bCs/>
                <w:sz w:val="16"/>
                <w:szCs w:val="16"/>
              </w:rPr>
            </w:pPr>
            <w:r w:rsidRPr="00C438BF">
              <w:rPr>
                <w:b/>
                <w:bCs/>
                <w:sz w:val="16"/>
                <w:szCs w:val="16"/>
              </w:rPr>
              <w:t xml:space="preserve">  309</w:t>
            </w:r>
          </w:p>
        </w:tc>
        <w:tc>
          <w:tcPr>
            <w:tcW w:w="1129" w:type="dxa"/>
            <w:tcBorders>
              <w:top w:val="single" w:sz="12" w:space="0" w:color="auto"/>
            </w:tcBorders>
            <w:shd w:val="clear" w:color="auto" w:fill="BFBFBF" w:themeFill="background1" w:themeFillShade="BF"/>
          </w:tcPr>
          <w:p w:rsidR="00995CA9" w:rsidRPr="00C438BF" w:rsidP="00561F95" w14:paraId="20534464" w14:textId="7D4C6664">
            <w:pPr>
              <w:jc w:val="center"/>
              <w:rPr>
                <w:rFonts w:ascii="Times New Roman" w:hAnsi="Times New Roman" w:cs="Times New Roman"/>
                <w:b/>
                <w:bCs/>
                <w:sz w:val="16"/>
                <w:szCs w:val="16"/>
              </w:rPr>
            </w:pPr>
            <w:r>
              <w:rPr>
                <w:rFonts w:ascii="Times New Roman" w:hAnsi="Times New Roman" w:cs="Times New Roman"/>
                <w:b/>
                <w:bCs/>
                <w:sz w:val="16"/>
                <w:szCs w:val="16"/>
              </w:rPr>
              <w:t>100%</w:t>
            </w:r>
          </w:p>
        </w:tc>
      </w:tr>
      <w:tr w14:paraId="197B7ADB" w14:textId="77777777" w:rsidTr="00C438BF">
        <w:tblPrEx>
          <w:tblW w:w="9569" w:type="dxa"/>
          <w:tblInd w:w="-5" w:type="dxa"/>
          <w:tblLook w:val="04A0"/>
        </w:tblPrEx>
        <w:trPr>
          <w:trHeight w:val="211"/>
        </w:trPr>
        <w:tc>
          <w:tcPr>
            <w:tcW w:w="9569" w:type="dxa"/>
            <w:gridSpan w:val="5"/>
            <w:tcBorders>
              <w:top w:val="single" w:sz="12" w:space="0" w:color="auto"/>
            </w:tcBorders>
            <w:hideMark/>
          </w:tcPr>
          <w:p w:rsidR="00561F95" w:rsidRPr="00C438BF" w:rsidP="00561F95" w14:paraId="2BCAADD4" w14:textId="77777777">
            <w:pPr>
              <w:rPr>
                <w:rFonts w:ascii="Times New Roman" w:hAnsi="Times New Roman" w:cs="Times New Roman"/>
                <w:b/>
                <w:bCs/>
                <w:sz w:val="20"/>
                <w:szCs w:val="20"/>
              </w:rPr>
            </w:pPr>
            <w:r w:rsidRPr="00C438BF">
              <w:rPr>
                <w:b/>
                <w:bCs/>
                <w:sz w:val="16"/>
                <w:szCs w:val="16"/>
              </w:rPr>
              <w:t xml:space="preserve">   </w:t>
            </w:r>
            <w:r w:rsidRPr="00995CA9">
              <w:rPr>
                <w:b/>
                <w:bCs/>
              </w:rPr>
              <w:t>Project Management Stage</w:t>
            </w:r>
          </w:p>
        </w:tc>
      </w:tr>
      <w:tr w14:paraId="2E2613E6" w14:textId="77777777" w:rsidTr="00995CA9">
        <w:tblPrEx>
          <w:tblW w:w="9569" w:type="dxa"/>
          <w:tblInd w:w="-5" w:type="dxa"/>
          <w:tblLook w:val="04A0"/>
        </w:tblPrEx>
        <w:trPr>
          <w:trHeight w:val="201"/>
        </w:trPr>
        <w:tc>
          <w:tcPr>
            <w:tcW w:w="3864" w:type="dxa"/>
            <w:tcBorders>
              <w:top w:val="nil"/>
              <w:left w:val="single" w:sz="4" w:space="0" w:color="auto"/>
              <w:bottom w:val="single" w:sz="4" w:space="0" w:color="auto"/>
              <w:right w:val="single" w:sz="4" w:space="0" w:color="auto"/>
            </w:tcBorders>
            <w:shd w:val="clear" w:color="auto" w:fill="auto"/>
            <w:vAlign w:val="center"/>
            <w:hideMark/>
          </w:tcPr>
          <w:p w:rsidR="00995CA9" w:rsidRPr="00C438BF" w:rsidP="00E52F6D" w14:paraId="3124D90F" w14:textId="2578AA4A">
            <w:pPr>
              <w:jc w:val="center"/>
              <w:rPr>
                <w:rFonts w:ascii="Times New Roman" w:hAnsi="Times New Roman" w:cs="Times New Roman"/>
                <w:sz w:val="16"/>
                <w:szCs w:val="16"/>
              </w:rPr>
            </w:pPr>
            <w:r w:rsidRPr="00C438BF">
              <w:rPr>
                <w:color w:val="000000"/>
                <w:sz w:val="16"/>
                <w:szCs w:val="16"/>
              </w:rPr>
              <w:t xml:space="preserve">Quarterly Progress Report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C438BF">
              <w:rPr>
                <w:b/>
                <w:bCs/>
                <w:color w:val="000000"/>
                <w:sz w:val="16"/>
                <w:szCs w:val="16"/>
              </w:rPr>
              <w:t>(</w:t>
            </w:r>
            <w:r w:rsidRPr="00C438BF">
              <w:rPr>
                <w:b/>
                <w:bCs/>
                <w:color w:val="000000"/>
                <w:sz w:val="14"/>
                <w:szCs w:val="14"/>
              </w:rPr>
              <w:t>7 annual reports x 4 quarters /24 hours per submission)</w:t>
            </w:r>
            <w:r w:rsidRPr="00C438BF">
              <w:rPr>
                <w:color w:val="000000"/>
                <w:sz w:val="14"/>
                <w:szCs w:val="14"/>
              </w:rPr>
              <w:t xml:space="preserve"> </w:t>
            </w:r>
          </w:p>
        </w:tc>
        <w:tc>
          <w:tcPr>
            <w:tcW w:w="1451" w:type="dxa"/>
            <w:tcBorders>
              <w:top w:val="nil"/>
              <w:left w:val="nil"/>
              <w:bottom w:val="single" w:sz="4" w:space="0" w:color="auto"/>
              <w:right w:val="single" w:sz="4" w:space="0" w:color="auto"/>
            </w:tcBorders>
            <w:shd w:val="clear" w:color="auto" w:fill="auto"/>
            <w:vAlign w:val="center"/>
            <w:hideMark/>
          </w:tcPr>
          <w:p w:rsidR="00995CA9" w:rsidRPr="00C438BF" w:rsidP="00E52F6D" w14:paraId="6DA7E272" w14:textId="00C842DB">
            <w:pPr>
              <w:jc w:val="center"/>
              <w:rPr>
                <w:rFonts w:ascii="Times New Roman" w:hAnsi="Times New Roman" w:cs="Times New Roman"/>
                <w:sz w:val="16"/>
                <w:szCs w:val="16"/>
              </w:rPr>
            </w:pPr>
            <w:r w:rsidRPr="00C438BF">
              <w:rPr>
                <w:color w:val="000000"/>
                <w:sz w:val="16"/>
                <w:szCs w:val="16"/>
              </w:rPr>
              <w:t>28</w:t>
            </w:r>
          </w:p>
        </w:tc>
        <w:tc>
          <w:tcPr>
            <w:tcW w:w="2034" w:type="dxa"/>
            <w:tcBorders>
              <w:top w:val="nil"/>
              <w:left w:val="nil"/>
              <w:bottom w:val="single" w:sz="4" w:space="0" w:color="auto"/>
              <w:right w:val="single" w:sz="4" w:space="0" w:color="auto"/>
            </w:tcBorders>
            <w:shd w:val="clear" w:color="auto" w:fill="auto"/>
            <w:vAlign w:val="center"/>
            <w:hideMark/>
          </w:tcPr>
          <w:p w:rsidR="00995CA9" w:rsidRPr="00C438BF" w:rsidP="00E52F6D" w14:paraId="5CA732FD" w14:textId="10D9FA01">
            <w:pPr>
              <w:jc w:val="center"/>
              <w:rPr>
                <w:rFonts w:ascii="Times New Roman" w:hAnsi="Times New Roman" w:cs="Times New Roman"/>
                <w:sz w:val="16"/>
                <w:szCs w:val="16"/>
              </w:rPr>
            </w:pPr>
            <w:r w:rsidRPr="00C438BF">
              <w:rPr>
                <w:sz w:val="16"/>
                <w:szCs w:val="16"/>
              </w:rPr>
              <w:t>8</w:t>
            </w:r>
          </w:p>
        </w:tc>
        <w:tc>
          <w:tcPr>
            <w:tcW w:w="1110" w:type="dxa"/>
            <w:shd w:val="clear" w:color="auto" w:fill="BFBFBF" w:themeFill="background1" w:themeFillShade="BF"/>
            <w:hideMark/>
          </w:tcPr>
          <w:p w:rsidR="00995CA9" w:rsidRPr="00995CA9" w:rsidP="00E52F6D" w14:paraId="0E157B22" w14:textId="28F45465">
            <w:pPr>
              <w:jc w:val="center"/>
              <w:rPr>
                <w:b/>
                <w:bCs/>
                <w:sz w:val="16"/>
                <w:szCs w:val="16"/>
              </w:rPr>
            </w:pPr>
            <w:r w:rsidRPr="00995CA9">
              <w:rPr>
                <w:rFonts w:ascii="Times New Roman" w:hAnsi="Times New Roman" w:cs="Times New Roman"/>
                <w:b/>
                <w:bCs/>
                <w:sz w:val="16"/>
                <w:szCs w:val="16"/>
              </w:rPr>
              <w:t>224</w:t>
            </w:r>
            <w:r w:rsidRPr="00C438BF">
              <w:rPr>
                <w:b/>
                <w:bCs/>
                <w:sz w:val="16"/>
                <w:szCs w:val="16"/>
              </w:rPr>
              <w:t xml:space="preserve"> </w:t>
            </w:r>
          </w:p>
        </w:tc>
        <w:tc>
          <w:tcPr>
            <w:tcW w:w="1110" w:type="dxa"/>
            <w:vMerge w:val="restart"/>
            <w:shd w:val="clear" w:color="auto" w:fill="BFBFBF" w:themeFill="background1" w:themeFillShade="BF"/>
          </w:tcPr>
          <w:p w:rsidR="00995CA9" w:rsidP="00E52F6D" w14:paraId="17D5BAF9" w14:textId="77777777">
            <w:pPr>
              <w:jc w:val="center"/>
              <w:rPr>
                <w:rFonts w:ascii="Times New Roman" w:hAnsi="Times New Roman" w:cs="Times New Roman"/>
                <w:b/>
                <w:bCs/>
                <w:sz w:val="16"/>
                <w:szCs w:val="16"/>
              </w:rPr>
            </w:pPr>
          </w:p>
          <w:p w:rsidR="00995CA9" w:rsidP="00E52F6D" w14:paraId="70FC27A8" w14:textId="77777777">
            <w:pPr>
              <w:jc w:val="center"/>
              <w:rPr>
                <w:rFonts w:ascii="Times New Roman" w:hAnsi="Times New Roman" w:cs="Times New Roman"/>
                <w:b/>
                <w:bCs/>
                <w:sz w:val="16"/>
                <w:szCs w:val="16"/>
              </w:rPr>
            </w:pPr>
          </w:p>
          <w:p w:rsidR="00995CA9" w:rsidRPr="00C438BF" w:rsidP="00E52F6D" w14:paraId="155BEC41" w14:textId="02361CD1">
            <w:pPr>
              <w:jc w:val="center"/>
              <w:rPr>
                <w:rFonts w:ascii="Times New Roman" w:hAnsi="Times New Roman" w:cs="Times New Roman"/>
                <w:b/>
                <w:bCs/>
                <w:sz w:val="16"/>
                <w:szCs w:val="16"/>
              </w:rPr>
            </w:pPr>
            <w:r>
              <w:rPr>
                <w:rFonts w:ascii="Times New Roman" w:hAnsi="Times New Roman" w:cs="Times New Roman"/>
                <w:b/>
                <w:bCs/>
                <w:sz w:val="16"/>
                <w:szCs w:val="16"/>
              </w:rPr>
              <w:t>100%</w:t>
            </w:r>
          </w:p>
        </w:tc>
      </w:tr>
      <w:tr w14:paraId="5D58C525" w14:textId="77777777" w:rsidTr="00B3203E">
        <w:tblPrEx>
          <w:tblW w:w="9569" w:type="dxa"/>
          <w:tblInd w:w="-5" w:type="dxa"/>
          <w:tblLook w:val="04A0"/>
        </w:tblPrEx>
        <w:trPr>
          <w:trHeight w:val="188"/>
        </w:trPr>
        <w:tc>
          <w:tcPr>
            <w:tcW w:w="3864" w:type="dxa"/>
            <w:hideMark/>
          </w:tcPr>
          <w:p w:rsidR="00995CA9" w:rsidRPr="00C438BF" w:rsidP="00561F95" w14:paraId="7E48B2CF" w14:textId="77777777">
            <w:pPr>
              <w:jc w:val="center"/>
              <w:rPr>
                <w:rFonts w:ascii="Times New Roman" w:hAnsi="Times New Roman" w:cs="Times New Roman"/>
                <w:sz w:val="16"/>
                <w:szCs w:val="16"/>
              </w:rPr>
            </w:pPr>
            <w:r w:rsidRPr="00C438BF">
              <w:rPr>
                <w:sz w:val="16"/>
                <w:szCs w:val="16"/>
              </w:rPr>
              <w:t>System Engineering Document</w:t>
            </w:r>
          </w:p>
        </w:tc>
        <w:tc>
          <w:tcPr>
            <w:tcW w:w="1451" w:type="dxa"/>
            <w:hideMark/>
          </w:tcPr>
          <w:p w:rsidR="00995CA9" w:rsidRPr="00C438BF" w:rsidP="00561F95" w14:paraId="46009C4C" w14:textId="60FBC45D">
            <w:pPr>
              <w:jc w:val="center"/>
              <w:rPr>
                <w:rFonts w:ascii="Times New Roman" w:hAnsi="Times New Roman" w:cs="Times New Roman"/>
                <w:sz w:val="16"/>
                <w:szCs w:val="16"/>
              </w:rPr>
            </w:pPr>
            <w:r w:rsidRPr="00C438BF">
              <w:rPr>
                <w:sz w:val="16"/>
                <w:szCs w:val="16"/>
              </w:rPr>
              <w:t xml:space="preserve">  1</w:t>
            </w:r>
          </w:p>
        </w:tc>
        <w:tc>
          <w:tcPr>
            <w:tcW w:w="2034" w:type="dxa"/>
            <w:hideMark/>
          </w:tcPr>
          <w:p w:rsidR="00995CA9" w:rsidRPr="00C438BF" w:rsidP="00561F95" w14:paraId="2078EC26" w14:textId="39D4F68C">
            <w:pPr>
              <w:jc w:val="center"/>
              <w:rPr>
                <w:rFonts w:ascii="Times New Roman" w:hAnsi="Times New Roman" w:cs="Times New Roman"/>
                <w:sz w:val="16"/>
                <w:szCs w:val="16"/>
              </w:rPr>
            </w:pPr>
            <w:r w:rsidRPr="00C438BF">
              <w:rPr>
                <w:sz w:val="16"/>
                <w:szCs w:val="16"/>
              </w:rPr>
              <w:t>8</w:t>
            </w:r>
          </w:p>
        </w:tc>
        <w:tc>
          <w:tcPr>
            <w:tcW w:w="1110" w:type="dxa"/>
            <w:shd w:val="clear" w:color="auto" w:fill="BFBFBF" w:themeFill="background1" w:themeFillShade="BF"/>
            <w:hideMark/>
          </w:tcPr>
          <w:p w:rsidR="00995CA9" w:rsidRPr="00995CA9" w:rsidP="00561F95" w14:paraId="5B9AD1E3" w14:textId="77777777">
            <w:pPr>
              <w:jc w:val="center"/>
              <w:rPr>
                <w:b/>
                <w:bCs/>
                <w:sz w:val="16"/>
                <w:szCs w:val="16"/>
              </w:rPr>
            </w:pPr>
            <w:r w:rsidRPr="00C438BF">
              <w:rPr>
                <w:b/>
                <w:bCs/>
                <w:sz w:val="16"/>
                <w:szCs w:val="16"/>
              </w:rPr>
              <w:t xml:space="preserve">  8</w:t>
            </w:r>
          </w:p>
        </w:tc>
        <w:tc>
          <w:tcPr>
            <w:tcW w:w="1110" w:type="dxa"/>
            <w:vMerge/>
            <w:shd w:val="clear" w:color="auto" w:fill="BFBFBF" w:themeFill="background1" w:themeFillShade="BF"/>
          </w:tcPr>
          <w:p w:rsidR="00995CA9" w:rsidRPr="00C438BF" w:rsidP="00561F95" w14:paraId="5A082DCB" w14:textId="189307B1">
            <w:pPr>
              <w:jc w:val="center"/>
              <w:rPr>
                <w:rFonts w:ascii="Times New Roman" w:hAnsi="Times New Roman" w:cs="Times New Roman"/>
                <w:b/>
                <w:bCs/>
                <w:sz w:val="16"/>
                <w:szCs w:val="16"/>
              </w:rPr>
            </w:pPr>
          </w:p>
        </w:tc>
      </w:tr>
      <w:tr w14:paraId="78C454FA" w14:textId="77777777" w:rsidTr="00BD75D3">
        <w:tblPrEx>
          <w:tblW w:w="9569" w:type="dxa"/>
          <w:tblInd w:w="-5" w:type="dxa"/>
          <w:tblLook w:val="04A0"/>
        </w:tblPrEx>
        <w:trPr>
          <w:trHeight w:val="204"/>
        </w:trPr>
        <w:tc>
          <w:tcPr>
            <w:tcW w:w="3864" w:type="dxa"/>
            <w:hideMark/>
          </w:tcPr>
          <w:p w:rsidR="00995CA9" w:rsidRPr="00C438BF" w:rsidP="00561F95" w14:paraId="336FEA26" w14:textId="77777777">
            <w:pPr>
              <w:jc w:val="center"/>
              <w:rPr>
                <w:rFonts w:ascii="Times New Roman" w:hAnsi="Times New Roman" w:cs="Times New Roman"/>
                <w:sz w:val="16"/>
                <w:szCs w:val="16"/>
              </w:rPr>
            </w:pPr>
            <w:r w:rsidRPr="00C438BF">
              <w:rPr>
                <w:sz w:val="16"/>
                <w:szCs w:val="16"/>
              </w:rPr>
              <w:t>Data Management Plan</w:t>
            </w:r>
          </w:p>
        </w:tc>
        <w:tc>
          <w:tcPr>
            <w:tcW w:w="1451" w:type="dxa"/>
            <w:hideMark/>
          </w:tcPr>
          <w:p w:rsidR="00995CA9" w:rsidRPr="00C438BF" w:rsidP="00561F95" w14:paraId="677673DE" w14:textId="5338DA46">
            <w:pPr>
              <w:jc w:val="center"/>
              <w:rPr>
                <w:rFonts w:ascii="Times New Roman" w:hAnsi="Times New Roman" w:cs="Times New Roman"/>
                <w:sz w:val="16"/>
                <w:szCs w:val="16"/>
              </w:rPr>
            </w:pPr>
            <w:r w:rsidRPr="00C438BF">
              <w:rPr>
                <w:sz w:val="16"/>
                <w:szCs w:val="16"/>
              </w:rPr>
              <w:t xml:space="preserve">  3</w:t>
            </w:r>
          </w:p>
        </w:tc>
        <w:tc>
          <w:tcPr>
            <w:tcW w:w="2034" w:type="dxa"/>
            <w:hideMark/>
          </w:tcPr>
          <w:p w:rsidR="00995CA9" w:rsidRPr="00C438BF" w:rsidP="00561F95" w14:paraId="4647F11A" w14:textId="093AD331">
            <w:pPr>
              <w:jc w:val="center"/>
              <w:rPr>
                <w:rFonts w:ascii="Times New Roman" w:hAnsi="Times New Roman" w:cs="Times New Roman"/>
                <w:sz w:val="16"/>
                <w:szCs w:val="16"/>
              </w:rPr>
            </w:pPr>
            <w:r w:rsidRPr="00C438BF">
              <w:rPr>
                <w:sz w:val="16"/>
                <w:szCs w:val="16"/>
              </w:rPr>
              <w:t>8</w:t>
            </w:r>
          </w:p>
        </w:tc>
        <w:tc>
          <w:tcPr>
            <w:tcW w:w="1110" w:type="dxa"/>
            <w:shd w:val="clear" w:color="auto" w:fill="BFBFBF" w:themeFill="background1" w:themeFillShade="BF"/>
            <w:hideMark/>
          </w:tcPr>
          <w:p w:rsidR="00995CA9" w:rsidRPr="00995CA9" w:rsidP="00561F95" w14:paraId="6CA2EE30" w14:textId="77777777">
            <w:pPr>
              <w:jc w:val="center"/>
              <w:rPr>
                <w:b/>
                <w:bCs/>
                <w:sz w:val="16"/>
                <w:szCs w:val="16"/>
              </w:rPr>
            </w:pPr>
            <w:r w:rsidRPr="00C438BF">
              <w:rPr>
                <w:b/>
                <w:bCs/>
                <w:sz w:val="16"/>
                <w:szCs w:val="16"/>
              </w:rPr>
              <w:t xml:space="preserve">  24</w:t>
            </w:r>
          </w:p>
        </w:tc>
        <w:tc>
          <w:tcPr>
            <w:tcW w:w="1110" w:type="dxa"/>
            <w:vMerge/>
            <w:shd w:val="clear" w:color="auto" w:fill="BFBFBF" w:themeFill="background1" w:themeFillShade="BF"/>
          </w:tcPr>
          <w:p w:rsidR="00995CA9" w:rsidRPr="00C438BF" w:rsidP="00561F95" w14:paraId="50F94A09" w14:textId="6564F1F3">
            <w:pPr>
              <w:jc w:val="center"/>
              <w:rPr>
                <w:rFonts w:ascii="Times New Roman" w:hAnsi="Times New Roman" w:cs="Times New Roman"/>
                <w:b/>
                <w:bCs/>
                <w:sz w:val="16"/>
                <w:szCs w:val="16"/>
              </w:rPr>
            </w:pPr>
          </w:p>
        </w:tc>
      </w:tr>
      <w:tr w14:paraId="5B080393" w14:textId="77777777" w:rsidTr="00410B2D">
        <w:tblPrEx>
          <w:tblW w:w="9569" w:type="dxa"/>
          <w:tblInd w:w="-5" w:type="dxa"/>
          <w:tblLook w:val="04A0"/>
        </w:tblPrEx>
        <w:trPr>
          <w:trHeight w:val="211"/>
        </w:trPr>
        <w:tc>
          <w:tcPr>
            <w:tcW w:w="7349" w:type="dxa"/>
            <w:gridSpan w:val="3"/>
            <w:tcBorders>
              <w:top w:val="single" w:sz="12" w:space="0" w:color="auto"/>
              <w:bottom w:val="thinThickThinSmallGap" w:sz="24" w:space="0" w:color="auto"/>
            </w:tcBorders>
            <w:shd w:val="clear" w:color="auto" w:fill="BFBFBF" w:themeFill="background1" w:themeFillShade="BF"/>
            <w:hideMark/>
          </w:tcPr>
          <w:p w:rsidR="00995CA9" w:rsidRPr="00C438BF" w:rsidP="00561F95" w14:paraId="4844F622" w14:textId="628D017C">
            <w:pPr>
              <w:jc w:val="center"/>
              <w:rPr>
                <w:rFonts w:ascii="Times New Roman" w:hAnsi="Times New Roman" w:cs="Times New Roman"/>
                <w:sz w:val="16"/>
                <w:szCs w:val="16"/>
              </w:rPr>
            </w:pPr>
            <w:r w:rsidRPr="00C438BF">
              <w:rPr>
                <w:b/>
                <w:bCs/>
                <w:sz w:val="16"/>
                <w:szCs w:val="16"/>
              </w:rPr>
              <w:t>Total</w:t>
            </w:r>
          </w:p>
        </w:tc>
        <w:tc>
          <w:tcPr>
            <w:tcW w:w="1110" w:type="dxa"/>
            <w:tcBorders>
              <w:top w:val="single" w:sz="12" w:space="0" w:color="auto"/>
              <w:bottom w:val="thinThickThinSmallGap" w:sz="24" w:space="0" w:color="auto"/>
            </w:tcBorders>
            <w:shd w:val="clear" w:color="auto" w:fill="BFBFBF" w:themeFill="background1" w:themeFillShade="BF"/>
            <w:hideMark/>
          </w:tcPr>
          <w:p w:rsidR="00995CA9" w:rsidRPr="00995CA9" w:rsidP="00561F95" w14:paraId="7D13292A" w14:textId="77777777">
            <w:pPr>
              <w:jc w:val="center"/>
              <w:rPr>
                <w:b/>
                <w:bCs/>
                <w:sz w:val="16"/>
                <w:szCs w:val="16"/>
              </w:rPr>
            </w:pPr>
            <w:r w:rsidRPr="00C438BF">
              <w:rPr>
                <w:b/>
                <w:bCs/>
                <w:sz w:val="16"/>
                <w:szCs w:val="16"/>
              </w:rPr>
              <w:t>256</w:t>
            </w:r>
          </w:p>
        </w:tc>
        <w:tc>
          <w:tcPr>
            <w:tcW w:w="1110" w:type="dxa"/>
            <w:tcBorders>
              <w:top w:val="single" w:sz="12" w:space="0" w:color="auto"/>
              <w:bottom w:val="thinThickThinSmallGap" w:sz="24" w:space="0" w:color="auto"/>
            </w:tcBorders>
            <w:shd w:val="clear" w:color="auto" w:fill="BFBFBF" w:themeFill="background1" w:themeFillShade="BF"/>
          </w:tcPr>
          <w:p w:rsidR="00995CA9" w:rsidRPr="00C438BF" w:rsidP="00561F95" w14:paraId="18A35178" w14:textId="17DE45B0">
            <w:pPr>
              <w:jc w:val="center"/>
              <w:rPr>
                <w:rFonts w:ascii="Times New Roman" w:hAnsi="Times New Roman" w:cs="Times New Roman"/>
                <w:b/>
                <w:bCs/>
                <w:sz w:val="16"/>
                <w:szCs w:val="16"/>
              </w:rPr>
            </w:pPr>
            <w:r>
              <w:rPr>
                <w:rFonts w:ascii="Times New Roman" w:hAnsi="Times New Roman" w:cs="Times New Roman"/>
                <w:b/>
                <w:bCs/>
                <w:sz w:val="16"/>
                <w:szCs w:val="16"/>
              </w:rPr>
              <w:t>100%</w:t>
            </w:r>
          </w:p>
        </w:tc>
      </w:tr>
      <w:tr w14:paraId="134195B7" w14:textId="77777777" w:rsidTr="0013354F">
        <w:tblPrEx>
          <w:tblW w:w="9569" w:type="dxa"/>
          <w:tblInd w:w="-5" w:type="dxa"/>
          <w:tblLook w:val="04A0"/>
        </w:tblPrEx>
        <w:trPr>
          <w:trHeight w:val="211"/>
        </w:trPr>
        <w:tc>
          <w:tcPr>
            <w:tcW w:w="7349" w:type="dxa"/>
            <w:gridSpan w:val="3"/>
            <w:tcBorders>
              <w:top w:val="thinThickThinSmallGap" w:sz="24" w:space="0" w:color="auto"/>
            </w:tcBorders>
            <w:shd w:val="clear" w:color="auto" w:fill="A6A6A6" w:themeFill="background1" w:themeFillShade="A6"/>
            <w:hideMark/>
          </w:tcPr>
          <w:p w:rsidR="00995CA9" w:rsidRPr="00C438BF" w:rsidP="00561F95" w14:paraId="1A3ACAFA" w14:textId="0FD124E3">
            <w:pPr>
              <w:jc w:val="center"/>
              <w:rPr>
                <w:rFonts w:ascii="Times New Roman" w:hAnsi="Times New Roman" w:cs="Times New Roman"/>
                <w:sz w:val="16"/>
                <w:szCs w:val="16"/>
              </w:rPr>
            </w:pPr>
            <w:r w:rsidRPr="00C438BF">
              <w:rPr>
                <w:b/>
                <w:bCs/>
                <w:sz w:val="16"/>
                <w:szCs w:val="16"/>
              </w:rPr>
              <w:t>Total Burden Hours</w:t>
            </w:r>
          </w:p>
        </w:tc>
        <w:tc>
          <w:tcPr>
            <w:tcW w:w="1110" w:type="dxa"/>
            <w:tcBorders>
              <w:top w:val="thinThickThinSmallGap" w:sz="24" w:space="0" w:color="auto"/>
            </w:tcBorders>
            <w:shd w:val="clear" w:color="auto" w:fill="A6A6A6" w:themeFill="background1" w:themeFillShade="A6"/>
            <w:hideMark/>
          </w:tcPr>
          <w:p w:rsidR="00995CA9" w:rsidRPr="00995CA9" w:rsidP="00561F95" w14:paraId="6AFEB6F2" w14:textId="77777777">
            <w:pPr>
              <w:jc w:val="center"/>
              <w:rPr>
                <w:b/>
                <w:bCs/>
                <w:sz w:val="16"/>
                <w:szCs w:val="16"/>
              </w:rPr>
            </w:pPr>
            <w:r w:rsidRPr="00C438BF">
              <w:rPr>
                <w:b/>
                <w:bCs/>
                <w:sz w:val="16"/>
                <w:szCs w:val="16"/>
              </w:rPr>
              <w:t>565</w:t>
            </w:r>
          </w:p>
        </w:tc>
        <w:tc>
          <w:tcPr>
            <w:tcW w:w="1110" w:type="dxa"/>
            <w:tcBorders>
              <w:top w:val="thinThickThinSmallGap" w:sz="24" w:space="0" w:color="auto"/>
            </w:tcBorders>
            <w:shd w:val="clear" w:color="auto" w:fill="A6A6A6" w:themeFill="background1" w:themeFillShade="A6"/>
          </w:tcPr>
          <w:p w:rsidR="00995CA9" w:rsidRPr="00C438BF" w:rsidP="00561F95" w14:paraId="5C899FC7" w14:textId="2A03C9C2">
            <w:pPr>
              <w:jc w:val="center"/>
              <w:rPr>
                <w:rFonts w:ascii="Times New Roman" w:hAnsi="Times New Roman" w:cs="Times New Roman"/>
                <w:b/>
                <w:bCs/>
                <w:sz w:val="16"/>
                <w:szCs w:val="16"/>
              </w:rPr>
            </w:pPr>
            <w:r>
              <w:rPr>
                <w:rFonts w:ascii="Times New Roman" w:hAnsi="Times New Roman" w:cs="Times New Roman"/>
                <w:b/>
                <w:bCs/>
                <w:sz w:val="16"/>
                <w:szCs w:val="16"/>
              </w:rPr>
              <w:t>100%</w:t>
            </w:r>
          </w:p>
        </w:tc>
      </w:tr>
    </w:tbl>
    <w:p w:rsidR="00F96CF4" w:rsidRPr="00E52F6D" w14:paraId="0B50C13F"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4"/>
          <w:szCs w:val="24"/>
        </w:rPr>
      </w:pPr>
    </w:p>
    <w:p w:rsidR="00A22477" w:rsidRPr="004F259E" w:rsidP="00C438BF" w14:paraId="70C8C82B" w14:textId="0D36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4"/>
          <w:szCs w:val="24"/>
          <w:u w:val="single"/>
        </w:rPr>
      </w:pPr>
      <w:r w:rsidRPr="004F259E">
        <w:rPr>
          <w:b/>
          <w:bCs/>
          <w:snapToGrid w:val="0"/>
          <w:color w:val="000000"/>
          <w:sz w:val="24"/>
          <w:szCs w:val="24"/>
          <w:u w:val="single"/>
        </w:rPr>
        <w:t xml:space="preserve">Application </w:t>
      </w:r>
      <w:r>
        <w:rPr>
          <w:b/>
          <w:bCs/>
          <w:snapToGrid w:val="0"/>
          <w:color w:val="000000"/>
          <w:sz w:val="24"/>
          <w:szCs w:val="24"/>
          <w:u w:val="single"/>
        </w:rPr>
        <w:t xml:space="preserve">and Grant Agreement </w:t>
      </w:r>
      <w:r w:rsidRPr="004F259E">
        <w:rPr>
          <w:b/>
          <w:bCs/>
          <w:snapToGrid w:val="0"/>
          <w:color w:val="000000"/>
          <w:sz w:val="24"/>
          <w:szCs w:val="24"/>
          <w:u w:val="single"/>
        </w:rPr>
        <w:t>Stage:</w:t>
      </w:r>
    </w:p>
    <w:p w:rsidR="00813312" w:rsidP="00813312" w14:paraId="7A227710" w14:textId="2D979E40">
      <w:pPr>
        <w:rPr>
          <w:rFonts w:eastAsiaTheme="minorHAnsi"/>
          <w:snapToGrid w:val="0"/>
          <w:color w:val="000000"/>
          <w:sz w:val="24"/>
          <w:szCs w:val="24"/>
        </w:rPr>
      </w:pPr>
      <w:r w:rsidRPr="007A3831">
        <w:rPr>
          <w:rFonts w:eastAsiaTheme="minorHAnsi"/>
          <w:snapToGrid w:val="0"/>
          <w:color w:val="000000"/>
          <w:sz w:val="24"/>
          <w:szCs w:val="24"/>
        </w:rPr>
        <w:t xml:space="preserve">Based on the previous submittals from the predecessor Surface Transportation System Funding Alternative (STSFA) Program, FHWA expects to </w:t>
      </w:r>
      <w:r w:rsidRPr="00813312">
        <w:rPr>
          <w:rFonts w:eastAsiaTheme="minorHAnsi"/>
          <w:snapToGrid w:val="0"/>
          <w:color w:val="000000"/>
          <w:sz w:val="24"/>
          <w:szCs w:val="24"/>
        </w:rPr>
        <w:t>evaluate 15 applications</w:t>
      </w:r>
      <w:r w:rsidR="00995CA9">
        <w:rPr>
          <w:rFonts w:eastAsiaTheme="minorHAnsi"/>
          <w:snapToGrid w:val="0"/>
          <w:color w:val="000000"/>
          <w:sz w:val="24"/>
          <w:szCs w:val="24"/>
        </w:rPr>
        <w:t xml:space="preserve">, </w:t>
      </w:r>
      <w:r>
        <w:rPr>
          <w:rFonts w:eastAsiaTheme="minorHAnsi"/>
          <w:snapToGrid w:val="0"/>
          <w:color w:val="000000"/>
          <w:sz w:val="24"/>
          <w:szCs w:val="24"/>
        </w:rPr>
        <w:t>1</w:t>
      </w:r>
      <w:r w:rsidRPr="00813312">
        <w:rPr>
          <w:rFonts w:eastAsiaTheme="minorHAnsi"/>
          <w:snapToGrid w:val="0"/>
          <w:color w:val="000000"/>
          <w:sz w:val="24"/>
          <w:szCs w:val="24"/>
        </w:rPr>
        <w:t xml:space="preserve"> estimated </w:t>
      </w:r>
      <w:r w:rsidR="00995CA9">
        <w:rPr>
          <w:rFonts w:eastAsiaTheme="minorHAnsi"/>
          <w:snapToGrid w:val="0"/>
          <w:color w:val="000000"/>
          <w:sz w:val="24"/>
          <w:szCs w:val="24"/>
        </w:rPr>
        <w:t>l</w:t>
      </w:r>
      <w:r w:rsidRPr="00813312">
        <w:rPr>
          <w:rFonts w:eastAsiaTheme="minorHAnsi"/>
          <w:snapToGrid w:val="0"/>
          <w:color w:val="000000"/>
          <w:sz w:val="24"/>
          <w:szCs w:val="24"/>
        </w:rPr>
        <w:t xml:space="preserve">etter of </w:t>
      </w:r>
      <w:r w:rsidR="00995CA9">
        <w:rPr>
          <w:rFonts w:eastAsiaTheme="minorHAnsi"/>
          <w:snapToGrid w:val="0"/>
          <w:color w:val="000000"/>
          <w:sz w:val="24"/>
          <w:szCs w:val="24"/>
        </w:rPr>
        <w:t>i</w:t>
      </w:r>
      <w:r w:rsidRPr="00813312">
        <w:rPr>
          <w:rFonts w:eastAsiaTheme="minorHAnsi"/>
          <w:snapToGrid w:val="0"/>
          <w:color w:val="000000"/>
          <w:sz w:val="24"/>
          <w:szCs w:val="24"/>
        </w:rPr>
        <w:t>ntent</w:t>
      </w:r>
      <w:r w:rsidR="00995CA9">
        <w:rPr>
          <w:rFonts w:eastAsiaTheme="minorHAnsi"/>
          <w:snapToGrid w:val="0"/>
          <w:color w:val="000000"/>
          <w:sz w:val="24"/>
          <w:szCs w:val="24"/>
        </w:rPr>
        <w:t xml:space="preserve">, </w:t>
      </w:r>
      <w:r w:rsidRPr="00813312">
        <w:rPr>
          <w:rFonts w:eastAsiaTheme="minorHAnsi"/>
          <w:snapToGrid w:val="0"/>
          <w:color w:val="000000"/>
          <w:sz w:val="24"/>
          <w:szCs w:val="24"/>
        </w:rPr>
        <w:t xml:space="preserve">and </w:t>
      </w:r>
      <w:r>
        <w:rPr>
          <w:rFonts w:eastAsiaTheme="minorHAnsi"/>
          <w:snapToGrid w:val="0"/>
          <w:color w:val="000000"/>
          <w:sz w:val="24"/>
          <w:szCs w:val="24"/>
        </w:rPr>
        <w:t xml:space="preserve">1 </w:t>
      </w:r>
      <w:r w:rsidRPr="00813312">
        <w:rPr>
          <w:rFonts w:eastAsiaTheme="minorHAnsi"/>
          <w:snapToGrid w:val="0"/>
          <w:color w:val="000000"/>
          <w:sz w:val="24"/>
          <w:szCs w:val="24"/>
        </w:rPr>
        <w:t>request for information related to signing grant agreement</w:t>
      </w:r>
      <w:r w:rsidR="00995CA9">
        <w:rPr>
          <w:rFonts w:eastAsiaTheme="minorHAnsi"/>
          <w:snapToGrid w:val="0"/>
          <w:color w:val="000000"/>
          <w:sz w:val="24"/>
          <w:szCs w:val="24"/>
        </w:rPr>
        <w:t xml:space="preserve">s </w:t>
      </w:r>
      <w:r w:rsidRPr="007A3831">
        <w:rPr>
          <w:rFonts w:eastAsiaTheme="minorHAnsi"/>
          <w:snapToGrid w:val="0"/>
          <w:color w:val="000000"/>
          <w:sz w:val="24"/>
          <w:szCs w:val="24"/>
        </w:rPr>
        <w:t xml:space="preserve">from </w:t>
      </w:r>
      <w:r w:rsidRPr="007A3831" w:rsidR="007A3831">
        <w:rPr>
          <w:rFonts w:eastAsiaTheme="minorHAnsi"/>
          <w:snapToGrid w:val="0"/>
          <w:color w:val="000000"/>
          <w:sz w:val="24"/>
          <w:szCs w:val="24"/>
        </w:rPr>
        <w:t xml:space="preserve">respondents </w:t>
      </w:r>
      <w:r w:rsidRPr="007A3831">
        <w:rPr>
          <w:rFonts w:eastAsiaTheme="minorHAnsi"/>
          <w:snapToGrid w:val="0"/>
          <w:color w:val="000000"/>
          <w:sz w:val="24"/>
          <w:szCs w:val="24"/>
        </w:rPr>
        <w:t xml:space="preserve">electronically </w:t>
      </w:r>
      <w:r w:rsidRPr="007A3831" w:rsidR="007A3831">
        <w:rPr>
          <w:rFonts w:eastAsiaTheme="minorHAnsi"/>
          <w:snapToGrid w:val="0"/>
          <w:color w:val="000000"/>
          <w:sz w:val="24"/>
          <w:szCs w:val="24"/>
        </w:rPr>
        <w:t>per NOFO announcement</w:t>
      </w:r>
      <w:r w:rsidRPr="007A3831">
        <w:rPr>
          <w:rFonts w:eastAsiaTheme="minorHAnsi"/>
          <w:snapToGrid w:val="0"/>
          <w:color w:val="000000"/>
          <w:sz w:val="24"/>
          <w:szCs w:val="24"/>
        </w:rPr>
        <w:t>:</w:t>
      </w:r>
    </w:p>
    <w:p w:rsidR="00813312" w:rsidRPr="007A3831" w:rsidP="00813312" w14:paraId="173EA48A" w14:textId="77777777">
      <w:pPr>
        <w:rPr>
          <w:rFonts w:eastAsiaTheme="minorHAnsi"/>
          <w:snapToGrid w:val="0"/>
          <w:color w:val="000000"/>
          <w:sz w:val="24"/>
          <w:szCs w:val="24"/>
        </w:rPr>
      </w:pPr>
    </w:p>
    <w:p w:rsidR="00813312" w:rsidRPr="007A3831" w:rsidP="00813312" w14:paraId="593B0232" w14:textId="77777777">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 xml:space="preserve">1 letter of intent </w:t>
      </w:r>
      <w:r>
        <w:rPr>
          <w:rFonts w:eastAsiaTheme="minorHAnsi"/>
          <w:snapToGrid w:val="0"/>
          <w:color w:val="000000"/>
          <w:sz w:val="24"/>
          <w:szCs w:val="24"/>
        </w:rPr>
        <w:t xml:space="preserve">* </w:t>
      </w:r>
      <w:r w:rsidRPr="007A3831">
        <w:rPr>
          <w:rFonts w:eastAsiaTheme="minorHAnsi"/>
          <w:snapToGrid w:val="0"/>
          <w:color w:val="000000"/>
          <w:sz w:val="24"/>
          <w:szCs w:val="24"/>
        </w:rPr>
        <w:t>2 hours</w:t>
      </w:r>
      <w:r w:rsidRPr="007A3831">
        <w:rPr>
          <w:rFonts w:eastAsiaTheme="minorHAnsi"/>
          <w:snapToGrid w:val="0"/>
          <w:color w:val="000000"/>
          <w:sz w:val="24"/>
          <w:szCs w:val="24"/>
        </w:rPr>
        <w:t xml:space="preserve"> per submission = 2 burden hours</w:t>
      </w:r>
      <w:r w:rsidRPr="007A3831">
        <w:rPr>
          <w:rFonts w:eastAsiaTheme="minorHAnsi"/>
          <w:snapToGrid w:val="0"/>
          <w:color w:val="000000"/>
          <w:sz w:val="24"/>
          <w:szCs w:val="24"/>
        </w:rPr>
        <w:t xml:space="preserve">, </w:t>
      </w:r>
    </w:p>
    <w:p w:rsidR="00813312" w:rsidRPr="007A3831" w:rsidP="00813312" w14:paraId="47D01D9E" w14:textId="77777777">
      <w:pPr>
        <w:spacing w:after="160" w:line="259" w:lineRule="auto"/>
        <w:ind w:left="1440"/>
        <w:contextualSpacing/>
        <w:rPr>
          <w:rFonts w:asciiTheme="minorHAnsi" w:eastAsiaTheme="minorHAnsi" w:hAnsiTheme="minorHAnsi" w:cstheme="minorBidi"/>
          <w:sz w:val="22"/>
          <w:szCs w:val="22"/>
        </w:rPr>
      </w:pPr>
    </w:p>
    <w:p w:rsidR="00813312" w:rsidRPr="007A3831" w:rsidP="00813312" w14:paraId="160D0DFE" w14:textId="77777777">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1</w:t>
      </w:r>
      <w:r w:rsidRPr="007A3831">
        <w:rPr>
          <w:rFonts w:eastAsiaTheme="minorHAnsi"/>
          <w:snapToGrid w:val="0"/>
          <w:color w:val="000000"/>
          <w:sz w:val="24"/>
          <w:szCs w:val="24"/>
        </w:rPr>
        <w:t xml:space="preserve">5 applications </w:t>
      </w:r>
      <w:r w:rsidRPr="007A3831">
        <w:rPr>
          <w:rFonts w:eastAsiaTheme="minorHAnsi"/>
          <w:snapToGrid w:val="0"/>
          <w:color w:val="000000"/>
          <w:sz w:val="24"/>
          <w:szCs w:val="24"/>
        </w:rPr>
        <w:t xml:space="preserve">* </w:t>
      </w:r>
      <w:r>
        <w:rPr>
          <w:rFonts w:eastAsiaTheme="minorHAnsi"/>
          <w:snapToGrid w:val="0"/>
          <w:color w:val="000000"/>
          <w:sz w:val="24"/>
          <w:szCs w:val="24"/>
        </w:rPr>
        <w:t>2</w:t>
      </w:r>
      <w:r w:rsidRPr="007A3831">
        <w:rPr>
          <w:rFonts w:eastAsiaTheme="minorHAnsi"/>
          <w:snapToGrid w:val="0"/>
          <w:color w:val="000000"/>
          <w:sz w:val="24"/>
          <w:szCs w:val="24"/>
        </w:rPr>
        <w:t>0</w:t>
      </w:r>
      <w:r w:rsidRPr="007A3831">
        <w:rPr>
          <w:rFonts w:eastAsiaTheme="minorHAnsi"/>
          <w:snapToGrid w:val="0"/>
          <w:color w:val="000000"/>
          <w:sz w:val="24"/>
          <w:szCs w:val="24"/>
        </w:rPr>
        <w:t xml:space="preserve"> hours</w:t>
      </w:r>
      <w:r w:rsidRPr="007A3831">
        <w:rPr>
          <w:rFonts w:eastAsiaTheme="minorHAnsi"/>
          <w:snapToGrid w:val="0"/>
          <w:color w:val="000000"/>
          <w:sz w:val="24"/>
          <w:szCs w:val="24"/>
        </w:rPr>
        <w:t xml:space="preserve"> per submission = </w:t>
      </w:r>
      <w:r>
        <w:rPr>
          <w:rFonts w:eastAsiaTheme="minorHAnsi"/>
          <w:snapToGrid w:val="0"/>
          <w:color w:val="000000"/>
          <w:sz w:val="24"/>
          <w:szCs w:val="24"/>
        </w:rPr>
        <w:t>3</w:t>
      </w:r>
      <w:r w:rsidRPr="007A3831">
        <w:rPr>
          <w:rFonts w:eastAsiaTheme="minorHAnsi"/>
          <w:snapToGrid w:val="0"/>
          <w:color w:val="000000"/>
          <w:sz w:val="24"/>
          <w:szCs w:val="24"/>
        </w:rPr>
        <w:t>00 burden hours</w:t>
      </w:r>
      <w:r w:rsidRPr="007A3831">
        <w:rPr>
          <w:rFonts w:eastAsiaTheme="minorHAnsi"/>
          <w:snapToGrid w:val="0"/>
          <w:color w:val="000000"/>
          <w:sz w:val="24"/>
          <w:szCs w:val="24"/>
        </w:rPr>
        <w:t>,</w:t>
      </w:r>
      <w:r w:rsidRPr="007A3831">
        <w:rPr>
          <w:rFonts w:eastAsiaTheme="minorHAnsi"/>
          <w:snapToGrid w:val="0"/>
          <w:color w:val="000000"/>
          <w:sz w:val="24"/>
          <w:szCs w:val="24"/>
        </w:rPr>
        <w:t xml:space="preserve"> and </w:t>
      </w:r>
    </w:p>
    <w:p w:rsidR="00813312" w:rsidRPr="007A3831" w:rsidP="00813312" w14:paraId="0DDE89B7" w14:textId="77777777">
      <w:pPr>
        <w:spacing w:after="160" w:line="259" w:lineRule="auto"/>
        <w:ind w:left="1440"/>
        <w:contextualSpacing/>
        <w:rPr>
          <w:rFonts w:asciiTheme="minorHAnsi" w:eastAsiaTheme="minorHAnsi" w:hAnsiTheme="minorHAnsi" w:cstheme="minorBidi"/>
          <w:sz w:val="22"/>
          <w:szCs w:val="22"/>
        </w:rPr>
      </w:pPr>
    </w:p>
    <w:p w:rsidR="00813312" w:rsidP="00813312" w14:paraId="2D55ED0D" w14:textId="77777777">
      <w:pPr>
        <w:numPr>
          <w:ilvl w:val="0"/>
          <w:numId w:val="42"/>
        </w:numPr>
        <w:spacing w:after="160" w:line="259" w:lineRule="auto"/>
        <w:contextualSpacing/>
        <w:rPr>
          <w:rFonts w:asciiTheme="minorHAnsi" w:eastAsiaTheme="minorHAnsi" w:hAnsiTheme="minorHAnsi" w:cstheme="minorBidi"/>
          <w:sz w:val="22"/>
          <w:szCs w:val="22"/>
        </w:rPr>
      </w:pPr>
      <w:r w:rsidRPr="007A3831">
        <w:rPr>
          <w:rFonts w:eastAsiaTheme="minorHAnsi"/>
          <w:snapToGrid w:val="0"/>
          <w:color w:val="000000"/>
          <w:sz w:val="24"/>
          <w:szCs w:val="24"/>
        </w:rPr>
        <w:t>7 request</w:t>
      </w:r>
      <w:r w:rsidRPr="007A3831">
        <w:rPr>
          <w:rFonts w:eastAsiaTheme="minorHAnsi"/>
          <w:snapToGrid w:val="0"/>
          <w:color w:val="000000"/>
          <w:sz w:val="24"/>
          <w:szCs w:val="24"/>
        </w:rPr>
        <w:t>s for</w:t>
      </w:r>
      <w:r w:rsidRPr="007A3831">
        <w:rPr>
          <w:rFonts w:eastAsiaTheme="minorHAnsi"/>
          <w:snapToGrid w:val="0"/>
          <w:color w:val="000000"/>
          <w:sz w:val="24"/>
          <w:szCs w:val="24"/>
        </w:rPr>
        <w:t xml:space="preserve"> information related to signing grant agreements</w:t>
      </w:r>
      <w:r w:rsidRPr="007A3831">
        <w:rPr>
          <w:rFonts w:eastAsiaTheme="minorHAnsi"/>
          <w:snapToGrid w:val="0"/>
          <w:color w:val="000000"/>
          <w:sz w:val="24"/>
          <w:szCs w:val="24"/>
        </w:rPr>
        <w:t xml:space="preserve">, with </w:t>
      </w:r>
      <w:r>
        <w:rPr>
          <w:rFonts w:eastAsiaTheme="minorHAnsi"/>
          <w:snapToGrid w:val="0"/>
          <w:color w:val="000000"/>
          <w:sz w:val="24"/>
          <w:szCs w:val="24"/>
        </w:rPr>
        <w:t>1</w:t>
      </w:r>
      <w:r w:rsidRPr="007A3831">
        <w:rPr>
          <w:rFonts w:eastAsiaTheme="minorHAnsi"/>
          <w:snapToGrid w:val="0"/>
          <w:color w:val="000000"/>
          <w:sz w:val="24"/>
          <w:szCs w:val="24"/>
        </w:rPr>
        <w:t xml:space="preserve"> estimated burden hour</w:t>
      </w:r>
    </w:p>
    <w:p w:rsidR="00813312" w:rsidRPr="004F259E" w:rsidP="00813312" w14:paraId="5473CEB5" w14:textId="77777777">
      <w:pPr>
        <w:numPr>
          <w:ilvl w:val="1"/>
          <w:numId w:val="42"/>
        </w:numPr>
        <w:spacing w:after="160" w:line="259" w:lineRule="auto"/>
        <w:contextualSpacing/>
        <w:rPr>
          <w:rFonts w:asciiTheme="minorHAnsi" w:eastAsiaTheme="minorHAnsi" w:hAnsiTheme="minorHAnsi" w:cstheme="minorBidi"/>
          <w:sz w:val="22"/>
          <w:szCs w:val="22"/>
        </w:rPr>
      </w:pPr>
      <w:r w:rsidRPr="004F259E">
        <w:rPr>
          <w:rFonts w:eastAsiaTheme="minorHAnsi"/>
          <w:snapToGrid w:val="0"/>
          <w:color w:val="000000"/>
          <w:sz w:val="24"/>
          <w:szCs w:val="24"/>
        </w:rPr>
        <w:t>7 awards * 1 hour per submission = 7 burden hours</w:t>
      </w:r>
    </w:p>
    <w:p w:rsidR="00995CA9" w:rsidP="00A657C7" w14:paraId="50E008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813312" w:rsidRPr="00A657C7" w:rsidP="00A657C7" w14:paraId="168890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7A3831" w:rsidRPr="007A3831" w:rsidP="00C438BF" w14:paraId="630E4F83" w14:textId="6ECC9302">
      <w:pPr>
        <w:spacing w:after="160" w:line="259" w:lineRule="auto"/>
        <w:ind w:left="360"/>
        <w:contextualSpacing/>
        <w:rPr>
          <w:rFonts w:asciiTheme="minorHAnsi" w:eastAsiaTheme="minorHAnsi" w:hAnsiTheme="minorHAnsi" w:cstheme="minorBidi"/>
          <w:sz w:val="22"/>
          <w:szCs w:val="22"/>
        </w:rPr>
      </w:pPr>
      <w:r w:rsidRPr="00A657C7">
        <w:rPr>
          <w:snapToGrid w:val="0"/>
          <w:color w:val="000000"/>
          <w:sz w:val="24"/>
          <w:szCs w:val="24"/>
        </w:rPr>
        <w:t>FHWA</w:t>
      </w:r>
      <w:r w:rsidRPr="00A657C7" w:rsidR="00445B3F">
        <w:rPr>
          <w:snapToGrid w:val="0"/>
          <w:color w:val="000000"/>
          <w:sz w:val="24"/>
          <w:szCs w:val="24"/>
        </w:rPr>
        <w:t xml:space="preserve"> will review the applications to assess project eligibility and merit and to provide information for the discretionary decision-making process prior to the award of any future </w:t>
      </w:r>
      <w:r w:rsidR="00BA0237">
        <w:rPr>
          <w:snapToGrid w:val="0"/>
          <w:color w:val="000000"/>
          <w:sz w:val="24"/>
          <w:szCs w:val="24"/>
        </w:rPr>
        <w:t xml:space="preserve">SIRC </w:t>
      </w:r>
      <w:r w:rsidRPr="00A657C7">
        <w:rPr>
          <w:snapToGrid w:val="0"/>
          <w:color w:val="000000"/>
          <w:sz w:val="24"/>
          <w:szCs w:val="24"/>
        </w:rPr>
        <w:t>Program</w:t>
      </w:r>
      <w:r w:rsidRPr="00A657C7" w:rsidR="009C536F">
        <w:rPr>
          <w:snapToGrid w:val="0"/>
          <w:color w:val="000000"/>
          <w:sz w:val="24"/>
          <w:szCs w:val="24"/>
        </w:rPr>
        <w:t xml:space="preserve"> </w:t>
      </w:r>
      <w:r w:rsidRPr="00A657C7" w:rsidR="00445B3F">
        <w:rPr>
          <w:snapToGrid w:val="0"/>
          <w:color w:val="000000"/>
          <w:sz w:val="24"/>
          <w:szCs w:val="24"/>
        </w:rPr>
        <w:t>grants.</w:t>
      </w:r>
      <w:r w:rsidR="00DA0DFB">
        <w:rPr>
          <w:snapToGrid w:val="0"/>
          <w:color w:val="000000"/>
          <w:sz w:val="24"/>
          <w:szCs w:val="24"/>
        </w:rPr>
        <w:t xml:space="preserve">  </w:t>
      </w:r>
      <w:r w:rsidRPr="00A657C7" w:rsidR="00256451">
        <w:rPr>
          <w:snapToGrid w:val="0"/>
          <w:color w:val="000000"/>
          <w:sz w:val="24"/>
          <w:szCs w:val="24"/>
        </w:rPr>
        <w:t xml:space="preserve">Individuals managing projects throughout FHWA vary from GS-11 to GS-14; </w:t>
      </w:r>
      <w:r w:rsidR="00AA433A">
        <w:rPr>
          <w:snapToGrid w:val="0"/>
          <w:color w:val="000000"/>
          <w:sz w:val="24"/>
          <w:szCs w:val="24"/>
        </w:rPr>
        <w:t xml:space="preserve">however </w:t>
      </w:r>
      <w:bookmarkStart w:id="21" w:name="_Hlk131148763"/>
      <w:r w:rsidR="00256451">
        <w:rPr>
          <w:snapToGrid w:val="0"/>
          <w:color w:val="000000"/>
          <w:sz w:val="24"/>
          <w:szCs w:val="24"/>
        </w:rPr>
        <w:t xml:space="preserve">according to </w:t>
      </w:r>
      <w:bookmarkStart w:id="22" w:name="_Hlk131094149"/>
      <w:hyperlink r:id="rId11" w:history="1">
        <w:r w:rsidRPr="001B26CD" w:rsidR="00256451">
          <w:rPr>
            <w:rStyle w:val="Hyperlink"/>
            <w:snapToGrid w:val="0"/>
            <w:sz w:val="24"/>
            <w:szCs w:val="24"/>
          </w:rPr>
          <w:t>Office of Personnel Management (OPM)</w:t>
        </w:r>
      </w:hyperlink>
      <w:bookmarkEnd w:id="22"/>
      <w:r w:rsidR="00256451">
        <w:rPr>
          <w:snapToGrid w:val="0"/>
          <w:color w:val="000000"/>
          <w:sz w:val="24"/>
          <w:szCs w:val="24"/>
        </w:rPr>
        <w:t xml:space="preserve"> </w:t>
      </w:r>
      <w:r w:rsidRPr="00A657C7" w:rsidR="00256451">
        <w:rPr>
          <w:snapToGrid w:val="0"/>
          <w:color w:val="000000"/>
          <w:sz w:val="24"/>
          <w:szCs w:val="24"/>
        </w:rPr>
        <w:t>the average</w:t>
      </w:r>
      <w:r w:rsidR="00256451">
        <w:rPr>
          <w:snapToGrid w:val="0"/>
          <w:color w:val="000000"/>
          <w:sz w:val="24"/>
          <w:szCs w:val="24"/>
        </w:rPr>
        <w:t xml:space="preserve"> hourly rate for a </w:t>
      </w:r>
      <w:r w:rsidRPr="00A657C7" w:rsidR="00256451">
        <w:rPr>
          <w:snapToGrid w:val="0"/>
          <w:color w:val="000000"/>
          <w:sz w:val="24"/>
          <w:szCs w:val="24"/>
        </w:rPr>
        <w:t>GS-13/</w:t>
      </w:r>
      <w:r w:rsidR="00256451">
        <w:rPr>
          <w:snapToGrid w:val="0"/>
          <w:color w:val="000000"/>
          <w:sz w:val="24"/>
          <w:szCs w:val="24"/>
        </w:rPr>
        <w:t>S</w:t>
      </w:r>
      <w:r w:rsidRPr="00A657C7" w:rsidR="00256451">
        <w:rPr>
          <w:snapToGrid w:val="0"/>
          <w:color w:val="000000"/>
          <w:sz w:val="24"/>
          <w:szCs w:val="24"/>
        </w:rPr>
        <w:t xml:space="preserve">tep </w:t>
      </w:r>
      <w:r w:rsidR="00256451">
        <w:rPr>
          <w:snapToGrid w:val="0"/>
          <w:color w:val="000000"/>
          <w:sz w:val="24"/>
          <w:szCs w:val="24"/>
        </w:rPr>
        <w:t>6</w:t>
      </w:r>
      <w:r w:rsidRPr="00A657C7" w:rsidR="00256451">
        <w:rPr>
          <w:snapToGrid w:val="0"/>
          <w:color w:val="000000"/>
          <w:sz w:val="24"/>
          <w:szCs w:val="24"/>
        </w:rPr>
        <w:t xml:space="preserve"> </w:t>
      </w:r>
      <w:r w:rsidR="00256451">
        <w:rPr>
          <w:snapToGrid w:val="0"/>
          <w:color w:val="000000"/>
          <w:sz w:val="24"/>
          <w:szCs w:val="24"/>
        </w:rPr>
        <w:t xml:space="preserve">and GS-14/Step 1 is </w:t>
      </w:r>
      <w:r w:rsidR="00174EEB">
        <w:rPr>
          <w:snapToGrid w:val="0"/>
          <w:color w:val="000000"/>
          <w:sz w:val="24"/>
          <w:szCs w:val="24"/>
        </w:rPr>
        <w:t xml:space="preserve">approximately </w:t>
      </w:r>
      <w:r w:rsidRPr="00A657C7" w:rsidR="00256451">
        <w:rPr>
          <w:snapToGrid w:val="0"/>
          <w:color w:val="000000"/>
          <w:sz w:val="24"/>
          <w:szCs w:val="24"/>
        </w:rPr>
        <w:t>$</w:t>
      </w:r>
      <w:r w:rsidR="00174EEB">
        <w:rPr>
          <w:snapToGrid w:val="0"/>
          <w:color w:val="000000"/>
          <w:sz w:val="24"/>
          <w:szCs w:val="24"/>
        </w:rPr>
        <w:t>60</w:t>
      </w:r>
      <w:r w:rsidRPr="00A657C7" w:rsidR="00256451">
        <w:rPr>
          <w:snapToGrid w:val="0"/>
          <w:color w:val="000000"/>
          <w:sz w:val="24"/>
          <w:szCs w:val="24"/>
        </w:rPr>
        <w:t xml:space="preserve"> per hour</w:t>
      </w:r>
      <w:r w:rsidR="00995CA9">
        <w:rPr>
          <w:snapToGrid w:val="0"/>
          <w:color w:val="000000"/>
          <w:sz w:val="24"/>
          <w:szCs w:val="24"/>
        </w:rPr>
        <w:t xml:space="preserve"> with</w:t>
      </w:r>
      <w:r w:rsidR="00174EEB">
        <w:rPr>
          <w:snapToGrid w:val="0"/>
          <w:color w:val="000000"/>
          <w:sz w:val="24"/>
          <w:szCs w:val="24"/>
        </w:rPr>
        <w:t xml:space="preserve"> locality pay</w:t>
      </w:r>
      <w:r w:rsidR="00AA433A">
        <w:rPr>
          <w:snapToGrid w:val="0"/>
          <w:color w:val="000000"/>
          <w:sz w:val="24"/>
          <w:szCs w:val="24"/>
        </w:rPr>
        <w:t xml:space="preserve">. </w:t>
      </w:r>
      <w:bookmarkEnd w:id="21"/>
      <w:r w:rsidR="00AA433A">
        <w:rPr>
          <w:snapToGrid w:val="0"/>
          <w:color w:val="000000"/>
          <w:sz w:val="24"/>
          <w:szCs w:val="24"/>
        </w:rPr>
        <w:t xml:space="preserve"> </w:t>
      </w:r>
      <w:r w:rsidRPr="007A3831">
        <w:rPr>
          <w:rFonts w:eastAsiaTheme="minorHAnsi"/>
          <w:snapToGrid w:val="0"/>
          <w:color w:val="000000"/>
          <w:sz w:val="24"/>
          <w:szCs w:val="24"/>
        </w:rPr>
        <w:t xml:space="preserve">We estimate </w:t>
      </w:r>
      <w:r w:rsidR="001B26CD">
        <w:rPr>
          <w:rFonts w:eastAsiaTheme="minorHAnsi"/>
          <w:snapToGrid w:val="0"/>
          <w:color w:val="000000"/>
          <w:sz w:val="24"/>
          <w:szCs w:val="24"/>
        </w:rPr>
        <w:t>309</w:t>
      </w:r>
      <w:r w:rsidRPr="007A3831" w:rsidR="0008633B">
        <w:rPr>
          <w:rFonts w:eastAsiaTheme="minorHAnsi"/>
          <w:snapToGrid w:val="0"/>
          <w:color w:val="000000"/>
          <w:sz w:val="24"/>
          <w:szCs w:val="24"/>
        </w:rPr>
        <w:t xml:space="preserve"> </w:t>
      </w:r>
      <w:r w:rsidRPr="007A3831">
        <w:rPr>
          <w:rFonts w:eastAsiaTheme="minorHAnsi"/>
          <w:snapToGrid w:val="0"/>
          <w:color w:val="000000"/>
          <w:sz w:val="24"/>
          <w:szCs w:val="24"/>
        </w:rPr>
        <w:t>total hours (</w:t>
      </w:r>
      <w:r w:rsidR="001B26CD">
        <w:rPr>
          <w:rFonts w:eastAsiaTheme="minorHAnsi"/>
          <w:snapToGrid w:val="0"/>
          <w:color w:val="000000"/>
          <w:sz w:val="24"/>
          <w:szCs w:val="24"/>
        </w:rPr>
        <w:t xml:space="preserve">2 </w:t>
      </w:r>
      <w:r w:rsidRPr="007A3831" w:rsidR="0008633B">
        <w:rPr>
          <w:rFonts w:eastAsiaTheme="minorHAnsi"/>
          <w:snapToGrid w:val="0"/>
          <w:color w:val="000000"/>
          <w:sz w:val="24"/>
          <w:szCs w:val="24"/>
        </w:rPr>
        <w:t xml:space="preserve">+ </w:t>
      </w:r>
      <w:r w:rsidR="00802A87">
        <w:rPr>
          <w:rFonts w:eastAsiaTheme="minorHAnsi"/>
          <w:snapToGrid w:val="0"/>
          <w:color w:val="000000"/>
          <w:sz w:val="24"/>
          <w:szCs w:val="24"/>
        </w:rPr>
        <w:t>30</w:t>
      </w:r>
      <w:r w:rsidR="001B26CD">
        <w:rPr>
          <w:rFonts w:eastAsiaTheme="minorHAnsi"/>
          <w:snapToGrid w:val="0"/>
          <w:color w:val="000000"/>
          <w:sz w:val="24"/>
          <w:szCs w:val="24"/>
        </w:rPr>
        <w:t xml:space="preserve">0 + 7 </w:t>
      </w:r>
      <w:r w:rsidRPr="007A3831" w:rsidR="0008633B">
        <w:rPr>
          <w:rFonts w:eastAsiaTheme="minorHAnsi"/>
          <w:snapToGrid w:val="0"/>
          <w:color w:val="000000"/>
          <w:sz w:val="24"/>
          <w:szCs w:val="24"/>
        </w:rPr>
        <w:t xml:space="preserve">burden hours = </w:t>
      </w:r>
      <w:r w:rsidR="001B26CD">
        <w:rPr>
          <w:rFonts w:eastAsiaTheme="minorHAnsi"/>
          <w:snapToGrid w:val="0"/>
          <w:color w:val="000000"/>
          <w:sz w:val="24"/>
          <w:szCs w:val="24"/>
        </w:rPr>
        <w:t>309</w:t>
      </w:r>
      <w:r w:rsidRPr="007A3831">
        <w:rPr>
          <w:rFonts w:eastAsiaTheme="minorHAnsi"/>
          <w:snapToGrid w:val="0"/>
          <w:color w:val="000000"/>
          <w:sz w:val="24"/>
          <w:szCs w:val="24"/>
        </w:rPr>
        <w:t xml:space="preserve"> </w:t>
      </w:r>
      <w:r w:rsidRPr="007A3831" w:rsidR="0008633B">
        <w:rPr>
          <w:rFonts w:eastAsiaTheme="minorHAnsi"/>
          <w:snapToGrid w:val="0"/>
          <w:color w:val="000000"/>
          <w:sz w:val="24"/>
          <w:szCs w:val="24"/>
        </w:rPr>
        <w:t xml:space="preserve">total burden </w:t>
      </w:r>
      <w:r w:rsidRPr="007A3831">
        <w:rPr>
          <w:rFonts w:eastAsiaTheme="minorHAnsi"/>
          <w:snapToGrid w:val="0"/>
          <w:color w:val="000000"/>
          <w:sz w:val="24"/>
          <w:szCs w:val="24"/>
        </w:rPr>
        <w:t xml:space="preserve">hours) required on a one-time basis for the </w:t>
      </w:r>
      <w:r w:rsidRPr="007A3831">
        <w:rPr>
          <w:rFonts w:eastAsiaTheme="minorHAnsi"/>
          <w:i/>
          <w:iCs/>
          <w:snapToGrid w:val="0"/>
          <w:color w:val="000000"/>
          <w:sz w:val="24"/>
          <w:szCs w:val="24"/>
        </w:rPr>
        <w:t>Application and Grant Agreement Stage</w:t>
      </w:r>
      <w:r w:rsidRPr="007A3831" w:rsidR="0008633B">
        <w:rPr>
          <w:rFonts w:eastAsiaTheme="minorHAnsi"/>
          <w:i/>
          <w:iCs/>
          <w:snapToGrid w:val="0"/>
          <w:color w:val="000000"/>
          <w:sz w:val="24"/>
          <w:szCs w:val="24"/>
        </w:rPr>
        <w:t>.</w:t>
      </w:r>
      <w:r w:rsidRPr="007A3831">
        <w:rPr>
          <w:rFonts w:eastAsiaTheme="minorHAnsi"/>
          <w:snapToGrid w:val="0"/>
          <w:color w:val="000000"/>
          <w:sz w:val="24"/>
          <w:szCs w:val="24"/>
        </w:rPr>
        <w:t xml:space="preserve">  </w:t>
      </w:r>
      <w:bookmarkStart w:id="23" w:name="_Hlk131095454"/>
      <w:r w:rsidRPr="004F259E" w:rsidR="0008633B">
        <w:rPr>
          <w:rFonts w:eastAsiaTheme="minorHAnsi"/>
          <w:b/>
          <w:bCs/>
          <w:snapToGrid w:val="0"/>
          <w:color w:val="000000"/>
          <w:sz w:val="24"/>
          <w:szCs w:val="24"/>
        </w:rPr>
        <w:t>Therefore, the cost to the respondents is computed at $</w:t>
      </w:r>
      <w:r w:rsidR="001B26CD">
        <w:rPr>
          <w:rFonts w:eastAsiaTheme="minorHAnsi"/>
          <w:b/>
          <w:bCs/>
          <w:snapToGrid w:val="0"/>
          <w:color w:val="000000"/>
          <w:sz w:val="24"/>
          <w:szCs w:val="24"/>
        </w:rPr>
        <w:t>1</w:t>
      </w:r>
      <w:r w:rsidR="00174EEB">
        <w:rPr>
          <w:rFonts w:eastAsiaTheme="minorHAnsi"/>
          <w:b/>
          <w:bCs/>
          <w:snapToGrid w:val="0"/>
          <w:color w:val="000000"/>
          <w:sz w:val="24"/>
          <w:szCs w:val="24"/>
        </w:rPr>
        <w:t>8</w:t>
      </w:r>
      <w:r w:rsidR="001B26CD">
        <w:rPr>
          <w:rFonts w:eastAsiaTheme="minorHAnsi"/>
          <w:b/>
          <w:bCs/>
          <w:snapToGrid w:val="0"/>
          <w:color w:val="000000"/>
          <w:sz w:val="24"/>
          <w:szCs w:val="24"/>
        </w:rPr>
        <w:t>,</w:t>
      </w:r>
      <w:r w:rsidR="00174EEB">
        <w:rPr>
          <w:rFonts w:eastAsiaTheme="minorHAnsi"/>
          <w:b/>
          <w:bCs/>
          <w:snapToGrid w:val="0"/>
          <w:color w:val="000000"/>
          <w:sz w:val="24"/>
          <w:szCs w:val="24"/>
        </w:rPr>
        <w:t>540</w:t>
      </w:r>
      <w:r w:rsidRPr="004F259E" w:rsidR="0008633B">
        <w:rPr>
          <w:rFonts w:eastAsiaTheme="minorHAnsi"/>
          <w:b/>
          <w:bCs/>
          <w:snapToGrid w:val="0"/>
          <w:color w:val="000000"/>
          <w:sz w:val="24"/>
          <w:szCs w:val="24"/>
        </w:rPr>
        <w:t xml:space="preserve"> (</w:t>
      </w:r>
      <w:r w:rsidR="001B26CD">
        <w:rPr>
          <w:rFonts w:eastAsiaTheme="minorHAnsi"/>
          <w:b/>
          <w:bCs/>
          <w:snapToGrid w:val="0"/>
          <w:color w:val="000000"/>
          <w:sz w:val="24"/>
          <w:szCs w:val="24"/>
        </w:rPr>
        <w:t>3</w:t>
      </w:r>
      <w:r w:rsidRPr="004F259E" w:rsidR="0008633B">
        <w:rPr>
          <w:rFonts w:eastAsiaTheme="minorHAnsi"/>
          <w:b/>
          <w:bCs/>
          <w:snapToGrid w:val="0"/>
          <w:color w:val="000000"/>
          <w:sz w:val="24"/>
          <w:szCs w:val="24"/>
        </w:rPr>
        <w:t>09 hours x $</w:t>
      </w:r>
      <w:r w:rsidR="00174EEB">
        <w:rPr>
          <w:rFonts w:eastAsiaTheme="minorHAnsi"/>
          <w:b/>
          <w:bCs/>
          <w:snapToGrid w:val="0"/>
          <w:color w:val="000000"/>
          <w:sz w:val="24"/>
          <w:szCs w:val="24"/>
        </w:rPr>
        <w:t>60</w:t>
      </w:r>
      <w:r w:rsidRPr="004F259E" w:rsidR="0008633B">
        <w:rPr>
          <w:rFonts w:eastAsiaTheme="minorHAnsi"/>
          <w:b/>
          <w:bCs/>
          <w:snapToGrid w:val="0"/>
          <w:color w:val="000000"/>
          <w:sz w:val="24"/>
          <w:szCs w:val="24"/>
        </w:rPr>
        <w:t>= $</w:t>
      </w:r>
      <w:r w:rsidR="001B26CD">
        <w:rPr>
          <w:rFonts w:eastAsiaTheme="minorHAnsi"/>
          <w:b/>
          <w:bCs/>
          <w:snapToGrid w:val="0"/>
          <w:color w:val="000000"/>
          <w:sz w:val="24"/>
          <w:szCs w:val="24"/>
        </w:rPr>
        <w:t>1</w:t>
      </w:r>
      <w:r w:rsidR="00174EEB">
        <w:rPr>
          <w:rFonts w:eastAsiaTheme="minorHAnsi"/>
          <w:b/>
          <w:bCs/>
          <w:snapToGrid w:val="0"/>
          <w:color w:val="000000"/>
          <w:sz w:val="24"/>
          <w:szCs w:val="24"/>
        </w:rPr>
        <w:t>8</w:t>
      </w:r>
      <w:r w:rsidR="001B26CD">
        <w:rPr>
          <w:rFonts w:eastAsiaTheme="minorHAnsi"/>
          <w:b/>
          <w:bCs/>
          <w:snapToGrid w:val="0"/>
          <w:color w:val="000000"/>
          <w:sz w:val="24"/>
          <w:szCs w:val="24"/>
        </w:rPr>
        <w:t>,</w:t>
      </w:r>
      <w:r w:rsidR="00174EEB">
        <w:rPr>
          <w:rFonts w:eastAsiaTheme="minorHAnsi"/>
          <w:b/>
          <w:bCs/>
          <w:snapToGrid w:val="0"/>
          <w:color w:val="000000"/>
          <w:sz w:val="24"/>
          <w:szCs w:val="24"/>
        </w:rPr>
        <w:t>540</w:t>
      </w:r>
      <w:r w:rsidRPr="004F259E" w:rsidR="0008633B">
        <w:rPr>
          <w:rFonts w:eastAsiaTheme="minorHAnsi"/>
          <w:b/>
          <w:bCs/>
          <w:snapToGrid w:val="0"/>
          <w:color w:val="000000"/>
          <w:sz w:val="24"/>
          <w:szCs w:val="24"/>
        </w:rPr>
        <w:t>)</w:t>
      </w:r>
      <w:r w:rsidR="0008633B">
        <w:rPr>
          <w:rFonts w:eastAsiaTheme="minorHAnsi"/>
          <w:b/>
          <w:bCs/>
          <w:snapToGrid w:val="0"/>
          <w:color w:val="000000"/>
          <w:sz w:val="24"/>
          <w:szCs w:val="24"/>
        </w:rPr>
        <w:t xml:space="preserve"> to </w:t>
      </w:r>
      <w:r w:rsidR="001B26CD">
        <w:rPr>
          <w:rFonts w:eastAsiaTheme="minorHAnsi"/>
          <w:b/>
          <w:bCs/>
          <w:snapToGrid w:val="0"/>
          <w:color w:val="000000"/>
          <w:sz w:val="24"/>
          <w:szCs w:val="24"/>
        </w:rPr>
        <w:t xml:space="preserve">evaluate </w:t>
      </w:r>
      <w:r w:rsidR="0008633B">
        <w:rPr>
          <w:rFonts w:eastAsiaTheme="minorHAnsi"/>
          <w:b/>
          <w:bCs/>
          <w:snapToGrid w:val="0"/>
          <w:color w:val="000000"/>
          <w:sz w:val="24"/>
          <w:szCs w:val="24"/>
        </w:rPr>
        <w:t>the</w:t>
      </w:r>
      <w:r w:rsidRPr="00654C77" w:rsidR="0008633B">
        <w:rPr>
          <w:rFonts w:eastAsiaTheme="minorHAnsi"/>
          <w:i/>
          <w:iCs/>
          <w:snapToGrid w:val="0"/>
          <w:color w:val="000000"/>
          <w:sz w:val="24"/>
          <w:szCs w:val="24"/>
        </w:rPr>
        <w:t xml:space="preserve"> </w:t>
      </w:r>
      <w:r w:rsidRPr="004F259E" w:rsidR="0008633B">
        <w:rPr>
          <w:rFonts w:eastAsiaTheme="minorHAnsi"/>
          <w:b/>
          <w:bCs/>
          <w:i/>
          <w:iCs/>
          <w:snapToGrid w:val="0"/>
          <w:color w:val="000000"/>
          <w:sz w:val="24"/>
          <w:szCs w:val="24"/>
        </w:rPr>
        <w:t>Application and Grant Agreement Stage</w:t>
      </w:r>
      <w:r w:rsidRPr="007A3831">
        <w:rPr>
          <w:rFonts w:eastAsiaTheme="minorHAnsi"/>
          <w:snapToGrid w:val="0"/>
          <w:color w:val="000000"/>
          <w:sz w:val="24"/>
          <w:szCs w:val="24"/>
        </w:rPr>
        <w:t>.</w:t>
      </w:r>
    </w:p>
    <w:bookmarkEnd w:id="23"/>
    <w:p w:rsidR="001E609D" w:rsidRPr="00C35B89" w:rsidP="0008633B" w14:paraId="29E4E3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napToGrid w:val="0"/>
          <w:color w:val="000000"/>
          <w:sz w:val="24"/>
          <w:szCs w:val="24"/>
        </w:rPr>
      </w:pPr>
    </w:p>
    <w:p w:rsidR="00445B3F" w:rsidRPr="00C438BF" w:rsidP="00445B3F" w14:paraId="1256DD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b/>
          <w:bCs/>
          <w:snapToGrid w:val="0"/>
          <w:color w:val="000000"/>
          <w:sz w:val="24"/>
          <w:szCs w:val="24"/>
        </w:rPr>
      </w:pPr>
      <w:r w:rsidRPr="00C438BF">
        <w:rPr>
          <w:b/>
          <w:bCs/>
          <w:snapToGrid w:val="0"/>
          <w:color w:val="000000"/>
          <w:sz w:val="24"/>
          <w:szCs w:val="24"/>
          <w:u w:val="single"/>
        </w:rPr>
        <w:t>Project Management Stage</w:t>
      </w:r>
      <w:r w:rsidRPr="00C438BF">
        <w:rPr>
          <w:b/>
          <w:bCs/>
          <w:snapToGrid w:val="0"/>
          <w:color w:val="000000"/>
          <w:sz w:val="24"/>
          <w:szCs w:val="24"/>
        </w:rPr>
        <w:t>:</w:t>
      </w:r>
    </w:p>
    <w:p w:rsidR="00F11038" w:rsidP="00C438BF" w14:paraId="50622516" w14:textId="116410C6">
      <w:pPr>
        <w:widowControl w:val="0"/>
        <w:ind w:left="360"/>
        <w:contextualSpacing/>
        <w:rPr>
          <w:b/>
          <w:bCs/>
          <w:i/>
          <w:iCs/>
          <w:snapToGrid w:val="0"/>
          <w:color w:val="000000"/>
          <w:sz w:val="24"/>
          <w:szCs w:val="24"/>
        </w:rPr>
      </w:pPr>
      <w:r>
        <w:rPr>
          <w:snapToGrid w:val="0"/>
          <w:color w:val="000000"/>
          <w:sz w:val="24"/>
          <w:szCs w:val="24"/>
        </w:rPr>
        <w:t>We estimated 224 total burden hours for quarterly reporting, 8 burden hours for system engineering document submittal, and 2</w:t>
      </w:r>
      <w:r w:rsidR="00174EEB">
        <w:rPr>
          <w:snapToGrid w:val="0"/>
          <w:color w:val="000000"/>
          <w:sz w:val="24"/>
          <w:szCs w:val="24"/>
        </w:rPr>
        <w:t>4</w:t>
      </w:r>
      <w:r>
        <w:rPr>
          <w:snapToGrid w:val="0"/>
          <w:color w:val="000000"/>
          <w:sz w:val="24"/>
          <w:szCs w:val="24"/>
        </w:rPr>
        <w:t xml:space="preserve"> burden hours for data management plan submittal as shown in Table 1 and above.</w:t>
      </w:r>
      <w:r w:rsidRPr="004F259E">
        <w:rPr>
          <w:b/>
          <w:bCs/>
          <w:i/>
          <w:iCs/>
          <w:snapToGrid w:val="0"/>
          <w:color w:val="000000"/>
          <w:sz w:val="24"/>
          <w:szCs w:val="24"/>
        </w:rPr>
        <w:t xml:space="preserve">  </w:t>
      </w:r>
    </w:p>
    <w:p w:rsidR="00F11038" w:rsidP="00F11038" w14:paraId="60359555" w14:textId="77777777">
      <w:pPr>
        <w:widowControl w:val="0"/>
        <w:contextualSpacing/>
        <w:rPr>
          <w:b/>
          <w:bCs/>
          <w:i/>
          <w:iCs/>
          <w:snapToGrid w:val="0"/>
          <w:color w:val="000000"/>
          <w:sz w:val="24"/>
          <w:szCs w:val="24"/>
        </w:rPr>
      </w:pPr>
    </w:p>
    <w:p w:rsidR="00F11038" w:rsidRPr="00AF3F68" w:rsidP="00F11038" w14:paraId="02AEBDA4" w14:textId="77777777">
      <w:pPr>
        <w:numPr>
          <w:ilvl w:val="0"/>
          <w:numId w:val="43"/>
        </w:numPr>
        <w:spacing w:after="160" w:line="259" w:lineRule="auto"/>
        <w:contextualSpacing/>
        <w:rPr>
          <w:rFonts w:eastAsiaTheme="minorHAnsi"/>
          <w:sz w:val="24"/>
          <w:szCs w:val="24"/>
        </w:rPr>
      </w:pPr>
      <w:r w:rsidRPr="00AF3F68">
        <w:rPr>
          <w:rFonts w:eastAsiaTheme="minorHAnsi"/>
          <w:sz w:val="24"/>
          <w:szCs w:val="24"/>
        </w:rPr>
        <w:t>7 annual reports * 4 quarterly reports = 28 quarterly reports</w:t>
      </w:r>
    </w:p>
    <w:p w:rsidR="00F11038" w:rsidRPr="00AF3F68" w:rsidP="00F11038" w14:paraId="04ADF54E" w14:textId="26934832">
      <w:pPr>
        <w:numPr>
          <w:ilvl w:val="1"/>
          <w:numId w:val="43"/>
        </w:numPr>
        <w:spacing w:after="160" w:line="259" w:lineRule="auto"/>
        <w:contextualSpacing/>
        <w:rPr>
          <w:rFonts w:eastAsiaTheme="minorHAnsi"/>
          <w:sz w:val="24"/>
          <w:szCs w:val="24"/>
        </w:rPr>
      </w:pPr>
      <w:r w:rsidRPr="00AF3F68">
        <w:rPr>
          <w:rFonts w:eastAsiaTheme="minorHAnsi"/>
          <w:sz w:val="24"/>
          <w:szCs w:val="24"/>
        </w:rPr>
        <w:t>28</w:t>
      </w:r>
      <w:r w:rsidRPr="00AF3F68">
        <w:rPr>
          <w:rFonts w:asciiTheme="minorHAnsi" w:eastAsiaTheme="minorHAnsi" w:hAnsiTheme="minorHAnsi" w:cstheme="minorBidi"/>
          <w:sz w:val="22"/>
          <w:szCs w:val="22"/>
        </w:rPr>
        <w:t xml:space="preserve"> </w:t>
      </w:r>
      <w:r w:rsidRPr="00AF3F68">
        <w:rPr>
          <w:rFonts w:eastAsiaTheme="minorHAnsi"/>
          <w:sz w:val="24"/>
          <w:szCs w:val="24"/>
        </w:rPr>
        <w:t xml:space="preserve">quarterly reports * </w:t>
      </w:r>
      <w:r>
        <w:rPr>
          <w:rFonts w:eastAsiaTheme="minorHAnsi"/>
          <w:sz w:val="24"/>
          <w:szCs w:val="24"/>
        </w:rPr>
        <w:t>8</w:t>
      </w:r>
      <w:r w:rsidRPr="00AF3F68">
        <w:rPr>
          <w:rFonts w:eastAsiaTheme="minorHAnsi"/>
          <w:sz w:val="24"/>
          <w:szCs w:val="24"/>
        </w:rPr>
        <w:t xml:space="preserve"> hours per submission = </w:t>
      </w:r>
      <w:r>
        <w:rPr>
          <w:rFonts w:eastAsiaTheme="minorHAnsi"/>
          <w:sz w:val="24"/>
          <w:szCs w:val="24"/>
        </w:rPr>
        <w:t xml:space="preserve">224 </w:t>
      </w:r>
      <w:r w:rsidRPr="00AF3F68">
        <w:rPr>
          <w:rFonts w:eastAsiaTheme="minorHAnsi"/>
          <w:sz w:val="24"/>
          <w:szCs w:val="24"/>
        </w:rPr>
        <w:t>burden hours</w:t>
      </w:r>
    </w:p>
    <w:p w:rsidR="00F11038" w:rsidRPr="00AF3F68" w:rsidP="00F11038" w14:paraId="20A851B6" w14:textId="77777777">
      <w:pPr>
        <w:spacing w:after="160" w:line="259" w:lineRule="auto"/>
        <w:ind w:left="1440"/>
        <w:contextualSpacing/>
        <w:rPr>
          <w:rFonts w:eastAsiaTheme="minorHAnsi"/>
          <w:sz w:val="24"/>
          <w:szCs w:val="24"/>
        </w:rPr>
      </w:pPr>
    </w:p>
    <w:p w:rsidR="00F11038" w:rsidRPr="00AF3F68" w:rsidP="00F11038" w14:paraId="74536934" w14:textId="3E45EC93">
      <w:pPr>
        <w:numPr>
          <w:ilvl w:val="0"/>
          <w:numId w:val="43"/>
        </w:numPr>
        <w:spacing w:after="160" w:line="259" w:lineRule="auto"/>
        <w:contextualSpacing/>
        <w:rPr>
          <w:rFonts w:eastAsiaTheme="minorHAnsi"/>
          <w:sz w:val="24"/>
          <w:szCs w:val="24"/>
        </w:rPr>
      </w:pPr>
      <w:r w:rsidRPr="00AF3F68">
        <w:rPr>
          <w:rFonts w:eastAsiaTheme="minorHAnsi"/>
          <w:sz w:val="24"/>
          <w:szCs w:val="24"/>
        </w:rPr>
        <w:t xml:space="preserve"> 1 system engineering document annually * </w:t>
      </w:r>
      <w:r>
        <w:rPr>
          <w:rFonts w:eastAsiaTheme="minorHAnsi"/>
          <w:sz w:val="24"/>
          <w:szCs w:val="24"/>
        </w:rPr>
        <w:t>8</w:t>
      </w:r>
      <w:r w:rsidRPr="00AF3F68">
        <w:rPr>
          <w:rFonts w:eastAsiaTheme="minorHAnsi"/>
          <w:sz w:val="24"/>
          <w:szCs w:val="24"/>
        </w:rPr>
        <w:t xml:space="preserve"> hours per submission = </w:t>
      </w:r>
      <w:r>
        <w:rPr>
          <w:rFonts w:eastAsiaTheme="minorHAnsi"/>
          <w:sz w:val="24"/>
          <w:szCs w:val="24"/>
        </w:rPr>
        <w:t>8</w:t>
      </w:r>
      <w:r w:rsidRPr="00AF3F68">
        <w:rPr>
          <w:rFonts w:eastAsiaTheme="minorHAnsi"/>
          <w:sz w:val="24"/>
          <w:szCs w:val="24"/>
        </w:rPr>
        <w:t xml:space="preserve"> burden hours </w:t>
      </w:r>
    </w:p>
    <w:p w:rsidR="00F11038" w:rsidRPr="00AF3F68" w:rsidP="00F11038" w14:paraId="3EF7E664" w14:textId="77777777">
      <w:pPr>
        <w:spacing w:after="160" w:line="259" w:lineRule="auto"/>
        <w:ind w:left="720"/>
        <w:contextualSpacing/>
        <w:rPr>
          <w:rFonts w:eastAsiaTheme="minorHAnsi"/>
          <w:sz w:val="24"/>
          <w:szCs w:val="24"/>
        </w:rPr>
      </w:pPr>
    </w:p>
    <w:p w:rsidR="00AF3F68" w:rsidRPr="00AF3F68" w:rsidP="00F11038" w14:paraId="474E5B2D" w14:textId="1E76B94A">
      <w:pPr>
        <w:numPr>
          <w:ilvl w:val="0"/>
          <w:numId w:val="43"/>
        </w:numPr>
        <w:spacing w:after="160" w:line="259" w:lineRule="auto"/>
        <w:contextualSpacing/>
        <w:rPr>
          <w:rFonts w:eastAsiaTheme="minorHAnsi"/>
          <w:sz w:val="24"/>
          <w:szCs w:val="24"/>
        </w:rPr>
      </w:pPr>
      <w:r w:rsidRPr="00AF3F68">
        <w:rPr>
          <w:rFonts w:eastAsiaTheme="minorHAnsi"/>
          <w:sz w:val="24"/>
          <w:szCs w:val="24"/>
        </w:rPr>
        <w:t xml:space="preserve"> 3 data management plans annually * </w:t>
      </w:r>
      <w:r w:rsidR="00DB2144">
        <w:rPr>
          <w:rFonts w:eastAsiaTheme="minorHAnsi"/>
          <w:sz w:val="24"/>
          <w:szCs w:val="24"/>
        </w:rPr>
        <w:t>8</w:t>
      </w:r>
      <w:r w:rsidRPr="00AF3F68">
        <w:rPr>
          <w:rFonts w:eastAsiaTheme="minorHAnsi"/>
          <w:sz w:val="24"/>
          <w:szCs w:val="24"/>
        </w:rPr>
        <w:t xml:space="preserve"> hours per submission = </w:t>
      </w:r>
      <w:r w:rsidR="00DB2144">
        <w:rPr>
          <w:rFonts w:eastAsiaTheme="minorHAnsi"/>
          <w:sz w:val="24"/>
          <w:szCs w:val="24"/>
        </w:rPr>
        <w:t>24</w:t>
      </w:r>
      <w:r w:rsidRPr="00AF3F68">
        <w:rPr>
          <w:rFonts w:eastAsiaTheme="minorHAnsi"/>
          <w:sz w:val="24"/>
          <w:szCs w:val="24"/>
        </w:rPr>
        <w:t xml:space="preserve"> burden hours</w:t>
      </w:r>
    </w:p>
    <w:p w:rsidR="00F11038" w:rsidP="00F11038" w14:paraId="240CA6D0" w14:textId="77777777">
      <w:pPr>
        <w:widowControl w:val="0"/>
        <w:contextualSpacing/>
        <w:rPr>
          <w:snapToGrid w:val="0"/>
          <w:color w:val="000000"/>
          <w:sz w:val="24"/>
          <w:szCs w:val="24"/>
        </w:rPr>
      </w:pPr>
    </w:p>
    <w:p w:rsidR="007A3831" w:rsidRPr="007A3831" w:rsidP="00002A6B" w14:paraId="395C4979" w14:textId="402338FF">
      <w:pPr>
        <w:spacing w:after="160" w:line="259" w:lineRule="auto"/>
        <w:ind w:left="360"/>
        <w:contextualSpacing/>
        <w:rPr>
          <w:rFonts w:asciiTheme="minorHAnsi" w:eastAsiaTheme="minorHAnsi" w:hAnsiTheme="minorHAnsi" w:cstheme="minorBidi"/>
          <w:sz w:val="22"/>
          <w:szCs w:val="22"/>
        </w:rPr>
      </w:pPr>
      <w:r w:rsidRPr="00AF3F68">
        <w:rPr>
          <w:snapToGrid w:val="0"/>
          <w:color w:val="000000"/>
          <w:sz w:val="24"/>
          <w:szCs w:val="24"/>
        </w:rPr>
        <w:t xml:space="preserve">We estimate </w:t>
      </w:r>
      <w:r w:rsidR="00002A6B">
        <w:rPr>
          <w:i/>
          <w:iCs/>
          <w:snapToGrid w:val="0"/>
          <w:color w:val="000000"/>
          <w:sz w:val="24"/>
          <w:szCs w:val="24"/>
        </w:rPr>
        <w:t>256</w:t>
      </w:r>
      <w:r w:rsidRPr="004F259E">
        <w:rPr>
          <w:i/>
          <w:iCs/>
          <w:snapToGrid w:val="0"/>
          <w:color w:val="000000"/>
          <w:sz w:val="24"/>
          <w:szCs w:val="24"/>
        </w:rPr>
        <w:t xml:space="preserve"> total burden hours</w:t>
      </w:r>
      <w:r w:rsidRPr="00AF3F68">
        <w:rPr>
          <w:snapToGrid w:val="0"/>
          <w:color w:val="000000"/>
          <w:sz w:val="24"/>
          <w:szCs w:val="24"/>
        </w:rPr>
        <w:t xml:space="preserve"> (</w:t>
      </w:r>
      <w:r w:rsidR="00002A6B">
        <w:rPr>
          <w:snapToGrid w:val="0"/>
          <w:color w:val="000000"/>
          <w:sz w:val="24"/>
          <w:szCs w:val="24"/>
        </w:rPr>
        <w:t>224</w:t>
      </w:r>
      <w:r w:rsidRPr="00AF3F68">
        <w:rPr>
          <w:snapToGrid w:val="0"/>
          <w:color w:val="000000"/>
          <w:sz w:val="24"/>
          <w:szCs w:val="24"/>
        </w:rPr>
        <w:t xml:space="preserve"> + </w:t>
      </w:r>
      <w:r w:rsidR="00002A6B">
        <w:rPr>
          <w:snapToGrid w:val="0"/>
          <w:color w:val="000000"/>
          <w:sz w:val="24"/>
          <w:szCs w:val="24"/>
        </w:rPr>
        <w:t>8</w:t>
      </w:r>
      <w:r w:rsidRPr="00AF3F68">
        <w:rPr>
          <w:snapToGrid w:val="0"/>
          <w:color w:val="000000"/>
          <w:sz w:val="24"/>
          <w:szCs w:val="24"/>
        </w:rPr>
        <w:t xml:space="preserve"> + </w:t>
      </w:r>
      <w:r w:rsidR="00002A6B">
        <w:rPr>
          <w:snapToGrid w:val="0"/>
          <w:color w:val="000000"/>
          <w:sz w:val="24"/>
          <w:szCs w:val="24"/>
        </w:rPr>
        <w:t>24</w:t>
      </w:r>
      <w:r w:rsidRPr="00AF3F68">
        <w:rPr>
          <w:snapToGrid w:val="0"/>
          <w:color w:val="000000"/>
          <w:sz w:val="24"/>
          <w:szCs w:val="24"/>
        </w:rPr>
        <w:t xml:space="preserve"> burden hours = </w:t>
      </w:r>
      <w:r w:rsidR="00002A6B">
        <w:rPr>
          <w:snapToGrid w:val="0"/>
          <w:color w:val="000000"/>
          <w:sz w:val="24"/>
          <w:szCs w:val="24"/>
        </w:rPr>
        <w:t>256</w:t>
      </w:r>
      <w:r w:rsidRPr="00AF3F68">
        <w:rPr>
          <w:snapToGrid w:val="0"/>
          <w:color w:val="000000"/>
          <w:sz w:val="24"/>
          <w:szCs w:val="24"/>
        </w:rPr>
        <w:t xml:space="preserve"> total burden hours) required for the </w:t>
      </w:r>
      <w:r w:rsidRPr="004F259E">
        <w:rPr>
          <w:i/>
          <w:iCs/>
          <w:snapToGrid w:val="0"/>
          <w:color w:val="000000"/>
          <w:sz w:val="24"/>
          <w:szCs w:val="24"/>
        </w:rPr>
        <w:t>Project Management Stage</w:t>
      </w:r>
      <w:r w:rsidRPr="00AF3F68">
        <w:rPr>
          <w:snapToGrid w:val="0"/>
          <w:color w:val="000000"/>
          <w:sz w:val="24"/>
          <w:szCs w:val="24"/>
        </w:rPr>
        <w:t xml:space="preserve">.  </w:t>
      </w:r>
      <w:r w:rsidRPr="004F259E">
        <w:rPr>
          <w:b/>
          <w:bCs/>
          <w:snapToGrid w:val="0"/>
          <w:color w:val="000000"/>
          <w:sz w:val="24"/>
          <w:szCs w:val="24"/>
        </w:rPr>
        <w:t xml:space="preserve">The combined burden hours for the Application, Grant Agreement, and Project Management Stages are </w:t>
      </w:r>
      <w:r w:rsidR="00002A6B">
        <w:rPr>
          <w:b/>
          <w:bCs/>
          <w:snapToGrid w:val="0"/>
          <w:color w:val="000000"/>
          <w:sz w:val="24"/>
          <w:szCs w:val="24"/>
        </w:rPr>
        <w:t>565</w:t>
      </w:r>
      <w:r w:rsidRPr="004F259E">
        <w:rPr>
          <w:b/>
          <w:bCs/>
          <w:snapToGrid w:val="0"/>
          <w:color w:val="000000"/>
          <w:sz w:val="24"/>
          <w:szCs w:val="24"/>
        </w:rPr>
        <w:t xml:space="preserve"> burden hours</w:t>
      </w:r>
      <w:r>
        <w:rPr>
          <w:snapToGrid w:val="0"/>
          <w:color w:val="000000"/>
          <w:sz w:val="24"/>
          <w:szCs w:val="24"/>
        </w:rPr>
        <w:t xml:space="preserve">.  </w:t>
      </w:r>
      <w:r w:rsidR="00174EEB">
        <w:rPr>
          <w:snapToGrid w:val="0"/>
          <w:color w:val="000000"/>
          <w:sz w:val="24"/>
          <w:szCs w:val="24"/>
        </w:rPr>
        <w:t>As denoted above, w</w:t>
      </w:r>
      <w:r w:rsidRPr="00A657C7" w:rsidR="00AA433A">
        <w:rPr>
          <w:snapToGrid w:val="0"/>
          <w:color w:val="000000"/>
          <w:sz w:val="24"/>
          <w:szCs w:val="24"/>
        </w:rPr>
        <w:t xml:space="preserve">e estimate that the average grade level of </w:t>
      </w:r>
      <w:r w:rsidR="00AA433A">
        <w:rPr>
          <w:snapToGrid w:val="0"/>
          <w:color w:val="000000"/>
          <w:sz w:val="24"/>
          <w:szCs w:val="24"/>
        </w:rPr>
        <w:t xml:space="preserve">a FHWA Program Manager </w:t>
      </w:r>
      <w:r w:rsidRPr="00A657C7" w:rsidR="00AA433A">
        <w:rPr>
          <w:snapToGrid w:val="0"/>
          <w:color w:val="000000"/>
          <w:sz w:val="24"/>
          <w:szCs w:val="24"/>
        </w:rPr>
        <w:t>is GS-13/</w:t>
      </w:r>
      <w:r w:rsidR="00174EEB">
        <w:rPr>
          <w:snapToGrid w:val="0"/>
          <w:color w:val="000000"/>
          <w:sz w:val="24"/>
          <w:szCs w:val="24"/>
        </w:rPr>
        <w:t>S</w:t>
      </w:r>
      <w:r w:rsidRPr="00A657C7" w:rsidR="00AA433A">
        <w:rPr>
          <w:snapToGrid w:val="0"/>
          <w:color w:val="000000"/>
          <w:sz w:val="24"/>
          <w:szCs w:val="24"/>
        </w:rPr>
        <w:t xml:space="preserve">tep </w:t>
      </w:r>
      <w:r w:rsidR="00174EEB">
        <w:rPr>
          <w:snapToGrid w:val="0"/>
          <w:color w:val="000000"/>
          <w:sz w:val="24"/>
          <w:szCs w:val="24"/>
        </w:rPr>
        <w:t>6</w:t>
      </w:r>
      <w:r w:rsidRPr="00A657C7" w:rsidR="00AA433A">
        <w:rPr>
          <w:snapToGrid w:val="0"/>
          <w:color w:val="000000"/>
          <w:sz w:val="24"/>
          <w:szCs w:val="24"/>
        </w:rPr>
        <w:t xml:space="preserve">, </w:t>
      </w:r>
      <w:r w:rsidR="00174EEB">
        <w:rPr>
          <w:snapToGrid w:val="0"/>
          <w:color w:val="000000"/>
          <w:sz w:val="24"/>
          <w:szCs w:val="24"/>
        </w:rPr>
        <w:t xml:space="preserve">according to </w:t>
      </w:r>
      <w:hyperlink r:id="rId11" w:history="1">
        <w:r w:rsidRPr="001B26CD" w:rsidR="00174EEB">
          <w:rPr>
            <w:rStyle w:val="Hyperlink"/>
            <w:snapToGrid w:val="0"/>
            <w:sz w:val="24"/>
            <w:szCs w:val="24"/>
          </w:rPr>
          <w:t>Office of Personnel Management (OPM)</w:t>
        </w:r>
      </w:hyperlink>
      <w:r w:rsidR="00174EEB">
        <w:rPr>
          <w:snapToGrid w:val="0"/>
          <w:color w:val="000000"/>
          <w:sz w:val="24"/>
          <w:szCs w:val="24"/>
        </w:rPr>
        <w:t xml:space="preserve"> </w:t>
      </w:r>
      <w:r w:rsidRPr="00A657C7" w:rsidR="00174EEB">
        <w:rPr>
          <w:snapToGrid w:val="0"/>
          <w:color w:val="000000"/>
          <w:sz w:val="24"/>
          <w:szCs w:val="24"/>
        </w:rPr>
        <w:t>the average</w:t>
      </w:r>
      <w:r w:rsidR="00174EEB">
        <w:rPr>
          <w:snapToGrid w:val="0"/>
          <w:color w:val="000000"/>
          <w:sz w:val="24"/>
          <w:szCs w:val="24"/>
        </w:rPr>
        <w:t xml:space="preserve"> hourly rate for a </w:t>
      </w:r>
      <w:r w:rsidRPr="00A657C7" w:rsidR="00174EEB">
        <w:rPr>
          <w:snapToGrid w:val="0"/>
          <w:color w:val="000000"/>
          <w:sz w:val="24"/>
          <w:szCs w:val="24"/>
        </w:rPr>
        <w:t>GS-13/</w:t>
      </w:r>
      <w:r w:rsidR="00174EEB">
        <w:rPr>
          <w:snapToGrid w:val="0"/>
          <w:color w:val="000000"/>
          <w:sz w:val="24"/>
          <w:szCs w:val="24"/>
        </w:rPr>
        <w:t>S</w:t>
      </w:r>
      <w:r w:rsidRPr="00A657C7" w:rsidR="00174EEB">
        <w:rPr>
          <w:snapToGrid w:val="0"/>
          <w:color w:val="000000"/>
          <w:sz w:val="24"/>
          <w:szCs w:val="24"/>
        </w:rPr>
        <w:t xml:space="preserve">tep </w:t>
      </w:r>
      <w:r w:rsidR="00174EEB">
        <w:rPr>
          <w:snapToGrid w:val="0"/>
          <w:color w:val="000000"/>
          <w:sz w:val="24"/>
          <w:szCs w:val="24"/>
        </w:rPr>
        <w:t>6</w:t>
      </w:r>
      <w:r w:rsidRPr="00A657C7" w:rsidR="00174EEB">
        <w:rPr>
          <w:snapToGrid w:val="0"/>
          <w:color w:val="000000"/>
          <w:sz w:val="24"/>
          <w:szCs w:val="24"/>
        </w:rPr>
        <w:t xml:space="preserve"> </w:t>
      </w:r>
      <w:r w:rsidR="00174EEB">
        <w:rPr>
          <w:snapToGrid w:val="0"/>
          <w:color w:val="000000"/>
          <w:sz w:val="24"/>
          <w:szCs w:val="24"/>
        </w:rPr>
        <w:t xml:space="preserve">and GS-14/Step 1 is approximately </w:t>
      </w:r>
      <w:r w:rsidRPr="00A657C7" w:rsidR="00174EEB">
        <w:rPr>
          <w:snapToGrid w:val="0"/>
          <w:color w:val="000000"/>
          <w:sz w:val="24"/>
          <w:szCs w:val="24"/>
        </w:rPr>
        <w:t>$</w:t>
      </w:r>
      <w:r w:rsidR="00174EEB">
        <w:rPr>
          <w:snapToGrid w:val="0"/>
          <w:color w:val="000000"/>
          <w:sz w:val="24"/>
          <w:szCs w:val="24"/>
        </w:rPr>
        <w:t>60</w:t>
      </w:r>
      <w:r w:rsidRPr="00A657C7" w:rsidR="00174EEB">
        <w:rPr>
          <w:snapToGrid w:val="0"/>
          <w:color w:val="000000"/>
          <w:sz w:val="24"/>
          <w:szCs w:val="24"/>
        </w:rPr>
        <w:t xml:space="preserve"> per hour</w:t>
      </w:r>
      <w:r w:rsidR="00174EEB">
        <w:rPr>
          <w:snapToGrid w:val="0"/>
          <w:color w:val="000000"/>
          <w:sz w:val="24"/>
          <w:szCs w:val="24"/>
        </w:rPr>
        <w:t xml:space="preserve"> with locality pay.  </w:t>
      </w:r>
      <w:r w:rsidRPr="004F259E" w:rsidR="00002A6B">
        <w:rPr>
          <w:rFonts w:eastAsiaTheme="minorHAnsi"/>
          <w:b/>
          <w:bCs/>
          <w:snapToGrid w:val="0"/>
          <w:color w:val="000000"/>
          <w:sz w:val="24"/>
          <w:szCs w:val="24"/>
        </w:rPr>
        <w:t>Therefore, the cost to the respondents is computed at $</w:t>
      </w:r>
      <w:r w:rsidR="00174EEB">
        <w:rPr>
          <w:rFonts w:eastAsiaTheme="minorHAnsi"/>
          <w:b/>
          <w:bCs/>
          <w:snapToGrid w:val="0"/>
          <w:color w:val="000000"/>
          <w:sz w:val="24"/>
          <w:szCs w:val="24"/>
        </w:rPr>
        <w:t>33,900</w:t>
      </w:r>
      <w:r w:rsidRPr="004F259E" w:rsidR="00002A6B">
        <w:rPr>
          <w:rFonts w:eastAsiaTheme="minorHAnsi"/>
          <w:b/>
          <w:bCs/>
          <w:snapToGrid w:val="0"/>
          <w:color w:val="000000"/>
          <w:sz w:val="24"/>
          <w:szCs w:val="24"/>
        </w:rPr>
        <w:t xml:space="preserve"> (</w:t>
      </w:r>
      <w:r w:rsidR="00002A6B">
        <w:rPr>
          <w:rFonts w:eastAsiaTheme="minorHAnsi"/>
          <w:b/>
          <w:bCs/>
          <w:snapToGrid w:val="0"/>
          <w:color w:val="000000"/>
          <w:sz w:val="24"/>
          <w:szCs w:val="24"/>
        </w:rPr>
        <w:t>565</w:t>
      </w:r>
      <w:r w:rsidRPr="004F259E" w:rsidR="00002A6B">
        <w:rPr>
          <w:rFonts w:eastAsiaTheme="minorHAnsi"/>
          <w:b/>
          <w:bCs/>
          <w:snapToGrid w:val="0"/>
          <w:color w:val="000000"/>
          <w:sz w:val="24"/>
          <w:szCs w:val="24"/>
        </w:rPr>
        <w:t xml:space="preserve"> hours x $</w:t>
      </w:r>
      <w:r w:rsidR="00174EEB">
        <w:rPr>
          <w:rFonts w:eastAsiaTheme="minorHAnsi"/>
          <w:b/>
          <w:bCs/>
          <w:snapToGrid w:val="0"/>
          <w:color w:val="000000"/>
          <w:sz w:val="24"/>
          <w:szCs w:val="24"/>
        </w:rPr>
        <w:t>60</w:t>
      </w:r>
      <w:r w:rsidRPr="004F259E" w:rsidR="00002A6B">
        <w:rPr>
          <w:rFonts w:eastAsiaTheme="minorHAnsi"/>
          <w:b/>
          <w:bCs/>
          <w:snapToGrid w:val="0"/>
          <w:color w:val="000000"/>
          <w:sz w:val="24"/>
          <w:szCs w:val="24"/>
        </w:rPr>
        <w:t xml:space="preserve"> = $</w:t>
      </w:r>
      <w:r w:rsidR="00174EEB">
        <w:rPr>
          <w:rFonts w:eastAsiaTheme="minorHAnsi"/>
          <w:b/>
          <w:bCs/>
          <w:snapToGrid w:val="0"/>
          <w:color w:val="000000"/>
          <w:sz w:val="24"/>
          <w:szCs w:val="24"/>
        </w:rPr>
        <w:t>33,900</w:t>
      </w:r>
      <w:r w:rsidRPr="004F259E" w:rsidR="00002A6B">
        <w:rPr>
          <w:rFonts w:eastAsiaTheme="minorHAnsi"/>
          <w:b/>
          <w:bCs/>
          <w:snapToGrid w:val="0"/>
          <w:color w:val="000000"/>
          <w:sz w:val="24"/>
          <w:szCs w:val="24"/>
        </w:rPr>
        <w:t>)</w:t>
      </w:r>
      <w:r w:rsidR="00002A6B">
        <w:rPr>
          <w:rFonts w:eastAsiaTheme="minorHAnsi"/>
          <w:b/>
          <w:bCs/>
          <w:snapToGrid w:val="0"/>
          <w:color w:val="000000"/>
          <w:sz w:val="24"/>
          <w:szCs w:val="24"/>
        </w:rPr>
        <w:t xml:space="preserve"> to evaluate the</w:t>
      </w:r>
      <w:r w:rsidRPr="00654C77" w:rsidR="00002A6B">
        <w:rPr>
          <w:rFonts w:eastAsiaTheme="minorHAnsi"/>
          <w:i/>
          <w:iCs/>
          <w:snapToGrid w:val="0"/>
          <w:color w:val="000000"/>
          <w:sz w:val="24"/>
          <w:szCs w:val="24"/>
        </w:rPr>
        <w:t xml:space="preserve"> </w:t>
      </w:r>
      <w:r w:rsidRPr="004F259E" w:rsidR="00002A6B">
        <w:rPr>
          <w:rFonts w:eastAsiaTheme="minorHAnsi"/>
          <w:b/>
          <w:bCs/>
          <w:i/>
          <w:iCs/>
          <w:snapToGrid w:val="0"/>
          <w:color w:val="000000"/>
          <w:sz w:val="24"/>
          <w:szCs w:val="24"/>
        </w:rPr>
        <w:t>Application and Grant Agreement Stage</w:t>
      </w:r>
      <w:r w:rsidRPr="007A3831">
        <w:rPr>
          <w:rFonts w:eastAsiaTheme="minorHAnsi"/>
          <w:snapToGrid w:val="0"/>
          <w:color w:val="000000"/>
          <w:sz w:val="24"/>
          <w:szCs w:val="24"/>
        </w:rPr>
        <w:t>.</w:t>
      </w:r>
    </w:p>
    <w:p w:rsidR="00445B3F" w:rsidRPr="00A657C7" w:rsidP="00A657C7" w14:paraId="55750750" w14:textId="5FD089F2">
      <w:pPr>
        <w:pStyle w:val="Heading9"/>
        <w:ind w:left="360"/>
        <w:rPr>
          <w:b/>
          <w:color w:val="auto"/>
          <w:szCs w:val="24"/>
        </w:rPr>
      </w:pPr>
      <w:r w:rsidRPr="00A657C7">
        <w:rPr>
          <w:b/>
          <w:szCs w:val="24"/>
        </w:rPr>
        <w:t xml:space="preserve">The grand total </w:t>
      </w:r>
      <w:bookmarkStart w:id="24" w:name="_Hlk126167218"/>
      <w:r w:rsidRPr="00A657C7">
        <w:rPr>
          <w:b/>
          <w:szCs w:val="24"/>
        </w:rPr>
        <w:t xml:space="preserve">annual cost to the Federal Government </w:t>
      </w:r>
      <w:bookmarkEnd w:id="24"/>
      <w:r w:rsidRPr="00A657C7">
        <w:rPr>
          <w:b/>
          <w:szCs w:val="24"/>
        </w:rPr>
        <w:t>for the application, grant negotiation, program management and evaluation stage is $</w:t>
      </w:r>
      <w:r w:rsidR="00174EEB">
        <w:rPr>
          <w:b/>
          <w:szCs w:val="24"/>
        </w:rPr>
        <w:t>52,440</w:t>
      </w:r>
      <w:r w:rsidRPr="00A657C7" w:rsidR="00002B66">
        <w:rPr>
          <w:b/>
          <w:color w:val="auto"/>
          <w:szCs w:val="24"/>
        </w:rPr>
        <w:t xml:space="preserve"> </w:t>
      </w:r>
      <w:r w:rsidRPr="00A657C7">
        <w:rPr>
          <w:b/>
          <w:color w:val="auto"/>
          <w:szCs w:val="24"/>
        </w:rPr>
        <w:t>as shown in the table below:</w:t>
      </w:r>
    </w:p>
    <w:p w:rsidR="00445B3F" w:rsidRPr="00A657C7" w:rsidP="0094229F" w14:paraId="05A65AF0" w14:textId="1C5101E9">
      <w:pPr>
        <w:widowControl w:val="0"/>
        <w:ind w:left="360"/>
        <w:rPr>
          <w:snapToGrid w:val="0"/>
          <w:color w:val="000000"/>
          <w:sz w:val="22"/>
          <w:szCs w:val="22"/>
        </w:rPr>
      </w:pPr>
    </w:p>
    <w:p w:rsidR="0094229F" w:rsidRPr="00A657C7" w:rsidP="00A657C7" w14:paraId="6AC30515" w14:textId="0889EAF2">
      <w:pPr>
        <w:widowControl w:val="0"/>
        <w:ind w:left="360"/>
        <w:rPr>
          <w:b/>
          <w:bCs/>
          <w:snapToGrid w:val="0"/>
          <w:color w:val="000000"/>
          <w:sz w:val="24"/>
          <w:szCs w:val="24"/>
        </w:rPr>
      </w:pPr>
      <w:r w:rsidRPr="00A657C7">
        <w:rPr>
          <w:b/>
          <w:bCs/>
          <w:snapToGrid w:val="0"/>
          <w:color w:val="000000"/>
          <w:sz w:val="24"/>
          <w:szCs w:val="24"/>
        </w:rPr>
        <w:t>Annual Cost to the Federal Government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41957A41" w14:textId="77777777" w:rsidTr="00816D3E">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445B3F" w:rsidRPr="00A657C7" w:rsidP="00A657C7" w14:paraId="59FB589E" w14:textId="77777777">
            <w:pPr>
              <w:widowControl w:val="0"/>
              <w:rPr>
                <w:b/>
                <w:snapToGrid w:val="0"/>
                <w:color w:val="000000"/>
                <w:sz w:val="22"/>
                <w:szCs w:val="22"/>
              </w:rPr>
            </w:pPr>
            <w:bookmarkStart w:id="25" w:name="_Hlk126167257"/>
            <w:r w:rsidRPr="00A657C7">
              <w:rPr>
                <w:b/>
                <w:snapToGrid w:val="0"/>
                <w:color w:val="000000"/>
                <w:sz w:val="22"/>
                <w:szCs w:val="22"/>
              </w:rPr>
              <w:t>Project Stages</w:t>
            </w:r>
          </w:p>
        </w:tc>
        <w:tc>
          <w:tcPr>
            <w:tcW w:w="4489" w:type="dxa"/>
            <w:shd w:val="clear" w:color="auto" w:fill="auto"/>
          </w:tcPr>
          <w:p w:rsidR="00445B3F" w:rsidRPr="00A657C7" w:rsidP="00A657C7" w14:paraId="1A837E6A" w14:textId="178F7F38">
            <w:pPr>
              <w:widowControl w:val="0"/>
              <w:rPr>
                <w:b/>
                <w:snapToGrid w:val="0"/>
                <w:color w:val="000000"/>
                <w:sz w:val="22"/>
                <w:szCs w:val="22"/>
              </w:rPr>
            </w:pPr>
            <w:r w:rsidRPr="00A657C7">
              <w:rPr>
                <w:b/>
                <w:snapToGrid w:val="0"/>
                <w:color w:val="000000"/>
                <w:sz w:val="22"/>
                <w:szCs w:val="22"/>
              </w:rPr>
              <w:t>Cost to the Federal Government</w:t>
            </w:r>
            <w:r w:rsidR="00EA7990">
              <w:rPr>
                <w:b/>
                <w:snapToGrid w:val="0"/>
                <w:color w:val="000000"/>
                <w:sz w:val="22"/>
                <w:szCs w:val="22"/>
              </w:rPr>
              <w:t>-FHWA</w:t>
            </w:r>
          </w:p>
        </w:tc>
      </w:tr>
      <w:tr w14:paraId="23177971" w14:textId="77777777" w:rsidTr="00816D3E">
        <w:tblPrEx>
          <w:tblW w:w="0" w:type="auto"/>
          <w:tblInd w:w="360" w:type="dxa"/>
          <w:tblLook w:val="04A0"/>
        </w:tblPrEx>
        <w:tc>
          <w:tcPr>
            <w:tcW w:w="4487" w:type="dxa"/>
            <w:shd w:val="clear" w:color="auto" w:fill="auto"/>
          </w:tcPr>
          <w:p w:rsidR="00445B3F" w:rsidRPr="00A657C7" w:rsidP="00A657C7" w14:paraId="1E7FEFF9" w14:textId="05D996FA">
            <w:pPr>
              <w:widowControl w:val="0"/>
              <w:rPr>
                <w:snapToGrid w:val="0"/>
                <w:color w:val="000000"/>
                <w:sz w:val="22"/>
                <w:szCs w:val="22"/>
              </w:rPr>
            </w:pPr>
            <w:r w:rsidRPr="00A657C7">
              <w:rPr>
                <w:snapToGrid w:val="0"/>
                <w:color w:val="000000"/>
                <w:sz w:val="22"/>
                <w:szCs w:val="22"/>
              </w:rPr>
              <w:t>Application Stage</w:t>
            </w:r>
            <w:r w:rsidR="00A465F0">
              <w:rPr>
                <w:snapToGrid w:val="0"/>
                <w:color w:val="000000"/>
                <w:sz w:val="22"/>
                <w:szCs w:val="22"/>
              </w:rPr>
              <w:t xml:space="preserve"> and </w:t>
            </w:r>
            <w:r w:rsidRPr="00A465F0" w:rsidR="00A465F0">
              <w:rPr>
                <w:snapToGrid w:val="0"/>
                <w:color w:val="000000"/>
                <w:sz w:val="22"/>
                <w:szCs w:val="22"/>
              </w:rPr>
              <w:t>Grant Agreement Stage</w:t>
            </w:r>
          </w:p>
        </w:tc>
        <w:tc>
          <w:tcPr>
            <w:tcW w:w="4489" w:type="dxa"/>
            <w:shd w:val="clear" w:color="auto" w:fill="auto"/>
          </w:tcPr>
          <w:p w:rsidR="00445B3F" w:rsidRPr="00A657C7" w:rsidP="00EA7990" w14:paraId="2D25ED90" w14:textId="5E48F9FB">
            <w:pPr>
              <w:widowControl w:val="0"/>
              <w:jc w:val="center"/>
              <w:rPr>
                <w:snapToGrid w:val="0"/>
                <w:color w:val="000000"/>
                <w:sz w:val="22"/>
                <w:szCs w:val="22"/>
              </w:rPr>
            </w:pPr>
            <w:r w:rsidRPr="00A657C7">
              <w:rPr>
                <w:snapToGrid w:val="0"/>
                <w:color w:val="000000"/>
                <w:sz w:val="22"/>
                <w:szCs w:val="22"/>
              </w:rPr>
              <w:t>$</w:t>
            </w:r>
            <w:r w:rsidR="00A465F0">
              <w:rPr>
                <w:snapToGrid w:val="0"/>
                <w:color w:val="000000"/>
                <w:sz w:val="22"/>
                <w:szCs w:val="22"/>
              </w:rPr>
              <w:t>1</w:t>
            </w:r>
            <w:r w:rsidR="00174EEB">
              <w:rPr>
                <w:snapToGrid w:val="0"/>
                <w:color w:val="000000"/>
                <w:sz w:val="22"/>
                <w:szCs w:val="22"/>
              </w:rPr>
              <w:t>8</w:t>
            </w:r>
            <w:r w:rsidR="00A465F0">
              <w:rPr>
                <w:snapToGrid w:val="0"/>
                <w:color w:val="000000"/>
                <w:sz w:val="22"/>
                <w:szCs w:val="22"/>
              </w:rPr>
              <w:t>,</w:t>
            </w:r>
            <w:r w:rsidR="00174EEB">
              <w:rPr>
                <w:snapToGrid w:val="0"/>
                <w:color w:val="000000"/>
                <w:sz w:val="22"/>
                <w:szCs w:val="22"/>
              </w:rPr>
              <w:t>540</w:t>
            </w:r>
          </w:p>
        </w:tc>
      </w:tr>
      <w:tr w14:paraId="065C8ECB" w14:textId="77777777" w:rsidTr="00816D3E">
        <w:tblPrEx>
          <w:tblW w:w="0" w:type="auto"/>
          <w:tblInd w:w="360" w:type="dxa"/>
          <w:tblLook w:val="04A0"/>
        </w:tblPrEx>
        <w:tc>
          <w:tcPr>
            <w:tcW w:w="4487" w:type="dxa"/>
            <w:shd w:val="clear" w:color="auto" w:fill="auto"/>
          </w:tcPr>
          <w:p w:rsidR="00445B3F" w:rsidRPr="00A657C7" w:rsidP="00A657C7" w14:paraId="21506203" w14:textId="77777777">
            <w:pPr>
              <w:widowControl w:val="0"/>
              <w:rPr>
                <w:snapToGrid w:val="0"/>
                <w:color w:val="000000"/>
                <w:sz w:val="22"/>
                <w:szCs w:val="22"/>
              </w:rPr>
            </w:pPr>
            <w:r w:rsidRPr="00A657C7">
              <w:rPr>
                <w:snapToGrid w:val="0"/>
                <w:color w:val="000000"/>
                <w:sz w:val="22"/>
                <w:szCs w:val="22"/>
              </w:rPr>
              <w:t xml:space="preserve">Project Management Stage </w:t>
            </w:r>
          </w:p>
        </w:tc>
        <w:tc>
          <w:tcPr>
            <w:tcW w:w="4489" w:type="dxa"/>
            <w:shd w:val="clear" w:color="auto" w:fill="auto"/>
          </w:tcPr>
          <w:p w:rsidR="00445B3F" w:rsidRPr="00A657C7" w:rsidP="00EA7990" w14:paraId="23CCE43C" w14:textId="28BA4D84">
            <w:pPr>
              <w:widowControl w:val="0"/>
              <w:jc w:val="center"/>
              <w:rPr>
                <w:snapToGrid w:val="0"/>
                <w:color w:val="000000"/>
                <w:sz w:val="22"/>
                <w:szCs w:val="22"/>
              </w:rPr>
            </w:pPr>
            <w:r w:rsidRPr="00A657C7">
              <w:rPr>
                <w:snapToGrid w:val="0"/>
                <w:color w:val="000000"/>
                <w:sz w:val="22"/>
                <w:szCs w:val="22"/>
              </w:rPr>
              <w:t>$</w:t>
            </w:r>
            <w:r w:rsidR="00174EEB">
              <w:rPr>
                <w:snapToGrid w:val="0"/>
                <w:color w:val="000000"/>
                <w:sz w:val="22"/>
                <w:szCs w:val="22"/>
              </w:rPr>
              <w:t>33,900</w:t>
            </w:r>
          </w:p>
        </w:tc>
      </w:tr>
      <w:tr w14:paraId="0BCE4B34" w14:textId="77777777" w:rsidTr="00816D3E">
        <w:tblPrEx>
          <w:tblW w:w="0" w:type="auto"/>
          <w:tblInd w:w="360" w:type="dxa"/>
          <w:tblLook w:val="04A0"/>
        </w:tblPrEx>
        <w:tc>
          <w:tcPr>
            <w:tcW w:w="4487" w:type="dxa"/>
            <w:shd w:val="clear" w:color="auto" w:fill="auto"/>
          </w:tcPr>
          <w:p w:rsidR="00445B3F" w:rsidRPr="00A657C7" w:rsidP="00A657C7" w14:paraId="31071EB6" w14:textId="77777777">
            <w:pPr>
              <w:widowControl w:val="0"/>
              <w:rPr>
                <w:snapToGrid w:val="0"/>
                <w:color w:val="000000"/>
                <w:sz w:val="22"/>
                <w:szCs w:val="22"/>
              </w:rPr>
            </w:pPr>
            <w:r w:rsidRPr="00A657C7">
              <w:rPr>
                <w:b/>
                <w:sz w:val="22"/>
                <w:szCs w:val="22"/>
              </w:rPr>
              <w:t>The grand total</w:t>
            </w:r>
          </w:p>
        </w:tc>
        <w:tc>
          <w:tcPr>
            <w:tcW w:w="4489" w:type="dxa"/>
            <w:shd w:val="clear" w:color="auto" w:fill="auto"/>
          </w:tcPr>
          <w:p w:rsidR="00445B3F" w:rsidRPr="00A657C7" w:rsidP="00EA7990" w14:paraId="7931EFED" w14:textId="0E3C903B">
            <w:pPr>
              <w:widowControl w:val="0"/>
              <w:jc w:val="center"/>
              <w:rPr>
                <w:snapToGrid w:val="0"/>
                <w:color w:val="000000"/>
                <w:sz w:val="22"/>
                <w:szCs w:val="22"/>
              </w:rPr>
            </w:pPr>
            <w:r w:rsidRPr="00A657C7">
              <w:rPr>
                <w:b/>
                <w:sz w:val="22"/>
                <w:szCs w:val="22"/>
              </w:rPr>
              <w:t>$</w:t>
            </w:r>
            <w:r w:rsidR="00174EEB">
              <w:rPr>
                <w:b/>
                <w:sz w:val="22"/>
                <w:szCs w:val="22"/>
              </w:rPr>
              <w:t>52,440</w:t>
            </w:r>
          </w:p>
        </w:tc>
      </w:tr>
      <w:bookmarkEnd w:id="25"/>
    </w:tbl>
    <w:p w:rsidR="009E0FA5" w:rsidP="00445B3F" w14:paraId="1EA0C0F3" w14:textId="1816E061">
      <w:pPr>
        <w:widowControl w:val="0"/>
        <w:ind w:left="360"/>
        <w:jc w:val="both"/>
        <w:rPr>
          <w:rFonts w:ascii="Arial" w:hAnsi="Arial" w:cs="Arial"/>
          <w:snapToGrid w:val="0"/>
          <w:color w:val="000000"/>
          <w:sz w:val="24"/>
          <w:szCs w:val="24"/>
        </w:rPr>
      </w:pPr>
    </w:p>
    <w:p w:rsidR="00445B3F" w:rsidRPr="00A657C7" w:rsidP="00445B3F" w14:paraId="385EB44E" w14:textId="754A8CD1">
      <w:pPr>
        <w:pStyle w:val="NormalWeb"/>
      </w:pPr>
      <w:r w:rsidRPr="00A657C7">
        <w:t xml:space="preserve">15. </w:t>
      </w:r>
      <w:r w:rsidRPr="00A657C7">
        <w:rPr>
          <w:u w:val="single"/>
        </w:rPr>
        <w:t>Explanation of program changes or adjustments</w:t>
      </w:r>
      <w:r w:rsidRPr="00A657C7">
        <w:t>:</w:t>
      </w:r>
    </w:p>
    <w:p w:rsidR="00043452" w:rsidP="00445B3F" w14:paraId="58CC3B9F" w14:textId="7777777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szCs w:val="24"/>
        </w:rPr>
      </w:pPr>
      <w:r w:rsidRPr="00A657C7">
        <w:rPr>
          <w:szCs w:val="24"/>
        </w:rPr>
        <w:t xml:space="preserve">The purpose of this request is to approve collection of information related to the application and implementation of the </w:t>
      </w:r>
      <w:r w:rsidR="00640994">
        <w:rPr>
          <w:szCs w:val="24"/>
        </w:rPr>
        <w:t xml:space="preserve">SIRC </w:t>
      </w:r>
      <w:r w:rsidRPr="00A657C7">
        <w:rPr>
          <w:szCs w:val="24"/>
        </w:rPr>
        <w:t>Program for FY</w:t>
      </w:r>
      <w:r w:rsidRPr="00A657C7" w:rsidR="008E7A36">
        <w:rPr>
          <w:szCs w:val="24"/>
        </w:rPr>
        <w:t xml:space="preserve"> 20</w:t>
      </w:r>
      <w:r w:rsidRPr="00A657C7">
        <w:rPr>
          <w:szCs w:val="24"/>
        </w:rPr>
        <w:t>22</w:t>
      </w:r>
      <w:r w:rsidR="003F188B">
        <w:rPr>
          <w:szCs w:val="24"/>
        </w:rPr>
        <w:t xml:space="preserve"> - </w:t>
      </w:r>
      <w:r w:rsidRPr="00A657C7" w:rsidR="008E7A36">
        <w:rPr>
          <w:szCs w:val="24"/>
        </w:rPr>
        <w:t>FY 202</w:t>
      </w:r>
      <w:r w:rsidR="00640994">
        <w:rPr>
          <w:szCs w:val="24"/>
        </w:rPr>
        <w:t>4</w:t>
      </w:r>
      <w:r w:rsidRPr="00A657C7">
        <w:rPr>
          <w:szCs w:val="24"/>
        </w:rPr>
        <w:t xml:space="preserve">.  </w:t>
      </w:r>
    </w:p>
    <w:p w:rsidR="00445B3F" w:rsidRPr="00A657C7" w:rsidP="00445B3F" w14:paraId="2437D993" w14:textId="27A0A44F">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szCs w:val="24"/>
        </w:rPr>
      </w:pPr>
      <w:r w:rsidRPr="00A657C7">
        <w:rPr>
          <w:szCs w:val="24"/>
        </w:rPr>
        <w:t xml:space="preserve">An application template is under development to reduce the burden on applicants and to reduce the burden on the review process.  It is anticipated that this revised template will be available for the FY23 application </w:t>
      </w:r>
      <w:r w:rsidRPr="00A657C7" w:rsidR="00A64F60">
        <w:rPr>
          <w:szCs w:val="24"/>
        </w:rPr>
        <w:t>process,</w:t>
      </w:r>
      <w:r w:rsidRPr="00A657C7">
        <w:rPr>
          <w:szCs w:val="24"/>
        </w:rPr>
        <w:t xml:space="preserve"> and a new request will be required.</w:t>
      </w:r>
      <w:r w:rsidRPr="00A657C7" w:rsidR="00816D3E">
        <w:rPr>
          <w:szCs w:val="24"/>
        </w:rPr>
        <w:t xml:space="preserve">  </w:t>
      </w:r>
    </w:p>
    <w:p w:rsidR="00640994" w:rsidP="00445B3F" w14:paraId="58AE7D3A" w14:textId="77777777">
      <w:pPr>
        <w:pStyle w:val="NormalWeb"/>
      </w:pPr>
    </w:p>
    <w:p w:rsidR="00445B3F" w:rsidRPr="00A657C7" w:rsidP="00A657C7" w14:paraId="32F77F92" w14:textId="0029A513">
      <w:pPr>
        <w:pStyle w:val="NormalWeb"/>
        <w:contextualSpacing/>
      </w:pPr>
      <w:r w:rsidRPr="00A657C7">
        <w:t xml:space="preserve">16. </w:t>
      </w:r>
      <w:r w:rsidRPr="00A657C7">
        <w:rPr>
          <w:u w:val="single"/>
        </w:rPr>
        <w:t>Publication of results of data collection</w:t>
      </w:r>
      <w:r w:rsidRPr="00A657C7">
        <w:t>:</w:t>
      </w:r>
    </w:p>
    <w:p w:rsidR="00E96502" w:rsidP="00640994" w14:paraId="5E95FAD4" w14:textId="4DC69F56">
      <w:pPr>
        <w:pStyle w:val="NormalWeb"/>
        <w:ind w:left="360"/>
        <w:contextualSpacing/>
      </w:pPr>
      <w:r w:rsidRPr="00A657C7">
        <w:rPr>
          <w:snapToGrid w:val="0"/>
          <w:color w:val="000000"/>
        </w:rPr>
        <w:t>FHWA</w:t>
      </w:r>
      <w:r w:rsidRPr="00A657C7" w:rsidR="00816D3E">
        <w:rPr>
          <w:snapToGrid w:val="0"/>
          <w:color w:val="000000"/>
        </w:rPr>
        <w:t xml:space="preserve"> is required to provide a report to Congress annually for a subset of applicants under this program (23 U.S.C. </w:t>
      </w:r>
      <w:r w:rsidRPr="00E96502">
        <w:rPr>
          <w:snapToGrid w:val="0"/>
          <w:color w:val="000000"/>
        </w:rPr>
        <w:t>503. Research and technology development and deployment</w:t>
      </w:r>
      <w:r>
        <w:rPr>
          <w:snapToGrid w:val="0"/>
          <w:color w:val="000000"/>
        </w:rPr>
        <w:t xml:space="preserve">, </w:t>
      </w:r>
      <w:r w:rsidRPr="00E96502">
        <w:rPr>
          <w:snapToGrid w:val="0"/>
          <w:color w:val="000000"/>
        </w:rPr>
        <w:t>(b) Highway Research and Development Program</w:t>
      </w:r>
      <w:r>
        <w:rPr>
          <w:snapToGrid w:val="0"/>
          <w:color w:val="000000"/>
        </w:rPr>
        <w:t>)</w:t>
      </w:r>
      <w:r w:rsidRPr="00E96502">
        <w:rPr>
          <w:snapToGrid w:val="0"/>
          <w:color w:val="000000"/>
        </w:rPr>
        <w:t>.</w:t>
      </w:r>
      <w:r w:rsidRPr="00E96502">
        <w:rPr>
          <w:snapToGrid w:val="0"/>
          <w:color w:val="000000"/>
        </w:rPr>
        <w:t xml:space="preserve"> </w:t>
      </w:r>
    </w:p>
    <w:p w:rsidR="00E96502" w:rsidP="00640994" w14:paraId="1CC897A1" w14:textId="77777777">
      <w:pPr>
        <w:pStyle w:val="NormalWeb"/>
        <w:ind w:left="360"/>
        <w:contextualSpacing/>
      </w:pPr>
    </w:p>
    <w:p w:rsidR="00445B3F" w:rsidRPr="00A657C7" w:rsidP="00A657C7" w14:paraId="1CAEB037" w14:textId="3AC46E4F">
      <w:pPr>
        <w:pStyle w:val="NormalWeb"/>
        <w:ind w:left="360"/>
        <w:contextualSpacing/>
      </w:pPr>
      <w:r w:rsidRPr="00A657C7">
        <w:rPr>
          <w:u w:val="single"/>
        </w:rPr>
        <w:t>Approval for not displaying the expiration date of OMB approval</w:t>
      </w:r>
      <w:r w:rsidRPr="00A657C7">
        <w:t>:</w:t>
      </w:r>
    </w:p>
    <w:p w:rsidR="00445B3F" w:rsidRPr="00A657C7" w:rsidP="00A657C7" w14:paraId="74AAE7AC" w14:textId="2F39A9F1">
      <w:pPr>
        <w:ind w:left="360"/>
        <w:contextualSpacing/>
        <w:jc w:val="both"/>
        <w:rPr>
          <w:sz w:val="24"/>
          <w:szCs w:val="24"/>
        </w:rPr>
      </w:pPr>
      <w:r w:rsidRPr="00A657C7">
        <w:rPr>
          <w:sz w:val="24"/>
          <w:szCs w:val="24"/>
        </w:rPr>
        <w:t>There is no reason not to display the expiration date of OMB approval.</w:t>
      </w:r>
    </w:p>
    <w:p w:rsidR="00E96502" w:rsidP="00A657C7" w14:paraId="59F704B5" w14:textId="77777777">
      <w:pPr>
        <w:pStyle w:val="NormalWeb"/>
        <w:contextualSpacing/>
      </w:pPr>
    </w:p>
    <w:p w:rsidR="00445B3F" w:rsidRPr="00A657C7" w:rsidP="00A657C7" w14:paraId="589247BC" w14:textId="5B5EABF0">
      <w:pPr>
        <w:pStyle w:val="NormalWeb"/>
        <w:contextualSpacing/>
      </w:pPr>
      <w:r w:rsidRPr="00A657C7">
        <w:t xml:space="preserve">18. </w:t>
      </w:r>
      <w:r w:rsidRPr="00A657C7">
        <w:rPr>
          <w:u w:val="single"/>
        </w:rPr>
        <w:t>Exceptions to certification statement</w:t>
      </w:r>
      <w:r w:rsidRPr="00A657C7">
        <w:t>:</w:t>
      </w:r>
    </w:p>
    <w:p w:rsidR="00445B3F" w:rsidRPr="00A657C7" w:rsidP="00A657C7" w14:paraId="7ED6EB95" w14:textId="77777777">
      <w:pPr>
        <w:ind w:left="360"/>
        <w:contextualSpacing/>
        <w:jc w:val="both"/>
        <w:rPr>
          <w:sz w:val="24"/>
          <w:szCs w:val="24"/>
        </w:rPr>
      </w:pPr>
      <w:r w:rsidRPr="00A657C7">
        <w:rPr>
          <w:sz w:val="24"/>
          <w:szCs w:val="24"/>
        </w:rPr>
        <w:t>No exceptions are stated.</w:t>
      </w:r>
    </w:p>
    <w:p w:rsidR="00DE526C" w:rsidP="0047648D" w14:paraId="52151A30" w14:textId="77777777">
      <w:pPr>
        <w:rPr>
          <w:sz w:val="24"/>
          <w:szCs w:val="24"/>
        </w:rPr>
      </w:pPr>
      <w:bookmarkStart w:id="26" w:name="_Hlk2240770"/>
      <w:bookmarkEnd w:id="1"/>
    </w:p>
    <w:p w:rsidR="00DE526C" w:rsidP="0047648D" w14:paraId="5BAA5196" w14:textId="77777777">
      <w:pPr>
        <w:rPr>
          <w:sz w:val="24"/>
          <w:szCs w:val="24"/>
        </w:rPr>
      </w:pPr>
    </w:p>
    <w:p w:rsidR="002B4644" w:rsidP="0047648D" w14:paraId="696A650C" w14:textId="77777777">
      <w:pPr>
        <w:rPr>
          <w:b/>
          <w:bCs/>
          <w:sz w:val="24"/>
          <w:szCs w:val="24"/>
        </w:rPr>
      </w:pPr>
    </w:p>
    <w:p w:rsidR="002B4644" w:rsidP="0047648D" w14:paraId="62B7C09C" w14:textId="77777777">
      <w:pPr>
        <w:rPr>
          <w:b/>
          <w:bCs/>
          <w:sz w:val="24"/>
          <w:szCs w:val="24"/>
        </w:rPr>
      </w:pPr>
    </w:p>
    <w:p w:rsidR="002B4644" w:rsidP="0047648D" w14:paraId="20127750" w14:textId="77777777">
      <w:pPr>
        <w:rPr>
          <w:b/>
          <w:bCs/>
          <w:sz w:val="24"/>
          <w:szCs w:val="24"/>
        </w:rPr>
      </w:pPr>
    </w:p>
    <w:p w:rsidR="002B4644" w:rsidP="0047648D" w14:paraId="56D56451" w14:textId="77777777">
      <w:pPr>
        <w:rPr>
          <w:b/>
          <w:bCs/>
          <w:sz w:val="24"/>
          <w:szCs w:val="24"/>
        </w:rPr>
      </w:pPr>
    </w:p>
    <w:p w:rsidR="002B4644" w:rsidP="0047648D" w14:paraId="0B64A1AC" w14:textId="77777777">
      <w:pPr>
        <w:rPr>
          <w:b/>
          <w:bCs/>
          <w:sz w:val="24"/>
          <w:szCs w:val="24"/>
        </w:rPr>
      </w:pPr>
    </w:p>
    <w:p w:rsidR="002B4644" w:rsidP="0047648D" w14:paraId="11156042" w14:textId="77777777">
      <w:pPr>
        <w:rPr>
          <w:b/>
          <w:bCs/>
          <w:sz w:val="24"/>
          <w:szCs w:val="24"/>
        </w:rPr>
      </w:pPr>
    </w:p>
    <w:p w:rsidR="002B4644" w:rsidP="0047648D" w14:paraId="091E6516" w14:textId="77777777">
      <w:pPr>
        <w:rPr>
          <w:b/>
          <w:bCs/>
          <w:sz w:val="24"/>
          <w:szCs w:val="24"/>
        </w:rPr>
      </w:pPr>
    </w:p>
    <w:p w:rsidR="002B4644" w:rsidP="0047648D" w14:paraId="4049B865" w14:textId="77777777">
      <w:pPr>
        <w:rPr>
          <w:b/>
          <w:bCs/>
          <w:sz w:val="24"/>
          <w:szCs w:val="24"/>
        </w:rPr>
      </w:pPr>
    </w:p>
    <w:p w:rsidR="002B4644" w:rsidP="0047648D" w14:paraId="1E473097" w14:textId="77777777">
      <w:pPr>
        <w:rPr>
          <w:b/>
          <w:bCs/>
          <w:sz w:val="24"/>
          <w:szCs w:val="24"/>
        </w:rPr>
      </w:pPr>
    </w:p>
    <w:p w:rsidR="002B4644" w:rsidP="0047648D" w14:paraId="64990435" w14:textId="77777777">
      <w:pPr>
        <w:rPr>
          <w:b/>
          <w:bCs/>
          <w:sz w:val="24"/>
          <w:szCs w:val="24"/>
        </w:rPr>
      </w:pPr>
    </w:p>
    <w:p w:rsidR="002B4644" w:rsidP="0047648D" w14:paraId="2D48D9D5" w14:textId="77777777">
      <w:pPr>
        <w:rPr>
          <w:b/>
          <w:bCs/>
          <w:sz w:val="24"/>
          <w:szCs w:val="24"/>
        </w:rPr>
      </w:pPr>
    </w:p>
    <w:p w:rsidR="002B4644" w:rsidP="0047648D" w14:paraId="0A2F842C" w14:textId="77777777">
      <w:pPr>
        <w:rPr>
          <w:b/>
          <w:bCs/>
          <w:sz w:val="24"/>
          <w:szCs w:val="24"/>
        </w:rPr>
      </w:pPr>
    </w:p>
    <w:p w:rsidR="002B4644" w:rsidP="0047648D" w14:paraId="48CEC9B1" w14:textId="77777777">
      <w:pPr>
        <w:rPr>
          <w:b/>
          <w:bCs/>
          <w:sz w:val="24"/>
          <w:szCs w:val="24"/>
        </w:rPr>
      </w:pPr>
    </w:p>
    <w:p w:rsidR="002B4644" w:rsidP="0047648D" w14:paraId="053DD2E2" w14:textId="77777777">
      <w:pPr>
        <w:rPr>
          <w:b/>
          <w:bCs/>
          <w:sz w:val="24"/>
          <w:szCs w:val="24"/>
        </w:rPr>
      </w:pPr>
    </w:p>
    <w:p w:rsidR="002B4644" w:rsidP="0047648D" w14:paraId="275728DA" w14:textId="77777777">
      <w:pPr>
        <w:rPr>
          <w:b/>
          <w:bCs/>
          <w:sz w:val="24"/>
          <w:szCs w:val="24"/>
        </w:rPr>
      </w:pPr>
    </w:p>
    <w:p w:rsidR="002B4644" w:rsidP="0047648D" w14:paraId="2E3B7A30" w14:textId="77777777">
      <w:pPr>
        <w:rPr>
          <w:b/>
          <w:bCs/>
          <w:sz w:val="24"/>
          <w:szCs w:val="24"/>
        </w:rPr>
      </w:pPr>
    </w:p>
    <w:p w:rsidR="002B4644" w:rsidP="0047648D" w14:paraId="0AB6DE19" w14:textId="77777777">
      <w:pPr>
        <w:rPr>
          <w:b/>
          <w:bCs/>
          <w:sz w:val="24"/>
          <w:szCs w:val="24"/>
        </w:rPr>
      </w:pPr>
    </w:p>
    <w:p w:rsidR="002B4644" w:rsidP="0047648D" w14:paraId="3DCF052D" w14:textId="77777777">
      <w:pPr>
        <w:rPr>
          <w:b/>
          <w:bCs/>
          <w:sz w:val="24"/>
          <w:szCs w:val="24"/>
        </w:rPr>
      </w:pPr>
    </w:p>
    <w:p w:rsidR="002B4644" w:rsidP="0047648D" w14:paraId="0D61BD7A" w14:textId="77777777">
      <w:pPr>
        <w:rPr>
          <w:b/>
          <w:bCs/>
          <w:sz w:val="24"/>
          <w:szCs w:val="24"/>
        </w:rPr>
      </w:pPr>
    </w:p>
    <w:p w:rsidR="002B4644" w:rsidP="0047648D" w14:paraId="10A0128D" w14:textId="77777777">
      <w:pPr>
        <w:rPr>
          <w:b/>
          <w:bCs/>
          <w:sz w:val="24"/>
          <w:szCs w:val="24"/>
        </w:rPr>
      </w:pPr>
    </w:p>
    <w:p w:rsidR="002B4644" w:rsidP="0047648D" w14:paraId="40F06008" w14:textId="77777777">
      <w:pPr>
        <w:rPr>
          <w:b/>
          <w:bCs/>
          <w:sz w:val="24"/>
          <w:szCs w:val="24"/>
        </w:rPr>
      </w:pPr>
    </w:p>
    <w:p w:rsidR="002B4644" w:rsidP="0047648D" w14:paraId="4082242A" w14:textId="77777777">
      <w:pPr>
        <w:rPr>
          <w:b/>
          <w:bCs/>
          <w:sz w:val="24"/>
          <w:szCs w:val="24"/>
        </w:rPr>
      </w:pPr>
    </w:p>
    <w:p w:rsidR="002B4644" w:rsidP="0047648D" w14:paraId="0BFF94C7" w14:textId="77777777">
      <w:pPr>
        <w:rPr>
          <w:b/>
          <w:bCs/>
          <w:sz w:val="24"/>
          <w:szCs w:val="24"/>
        </w:rPr>
      </w:pPr>
    </w:p>
    <w:p w:rsidR="002B4644" w:rsidP="0047648D" w14:paraId="622B9247" w14:textId="77777777">
      <w:pPr>
        <w:rPr>
          <w:b/>
          <w:bCs/>
          <w:sz w:val="24"/>
          <w:szCs w:val="24"/>
        </w:rPr>
      </w:pPr>
    </w:p>
    <w:p w:rsidR="002B4644" w:rsidP="0047648D" w14:paraId="3EAB7487" w14:textId="77777777">
      <w:pPr>
        <w:rPr>
          <w:b/>
          <w:bCs/>
          <w:sz w:val="24"/>
          <w:szCs w:val="24"/>
        </w:rPr>
      </w:pPr>
    </w:p>
    <w:p w:rsidR="002B4644" w:rsidP="0047648D" w14:paraId="645927D9" w14:textId="77777777">
      <w:pPr>
        <w:rPr>
          <w:b/>
          <w:bCs/>
          <w:sz w:val="24"/>
          <w:szCs w:val="24"/>
        </w:rPr>
      </w:pPr>
    </w:p>
    <w:p w:rsidR="002B4644" w:rsidP="0047648D" w14:paraId="2E7177BC" w14:textId="77777777">
      <w:pPr>
        <w:rPr>
          <w:b/>
          <w:bCs/>
          <w:sz w:val="24"/>
          <w:szCs w:val="24"/>
        </w:rPr>
      </w:pPr>
    </w:p>
    <w:p w:rsidR="002B4644" w:rsidP="0047648D" w14:paraId="3E744F30" w14:textId="77777777">
      <w:pPr>
        <w:rPr>
          <w:b/>
          <w:bCs/>
          <w:sz w:val="24"/>
          <w:szCs w:val="24"/>
        </w:rPr>
      </w:pPr>
    </w:p>
    <w:p w:rsidR="0047648D" w:rsidRPr="00C438BF" w:rsidP="0047648D" w14:paraId="77E0448A" w14:textId="280AB952">
      <w:pPr>
        <w:rPr>
          <w:b/>
          <w:bCs/>
          <w:sz w:val="24"/>
          <w:szCs w:val="24"/>
        </w:rPr>
      </w:pPr>
      <w:r w:rsidRPr="00C438BF">
        <w:rPr>
          <w:b/>
          <w:bCs/>
          <w:sz w:val="24"/>
          <w:szCs w:val="24"/>
        </w:rPr>
        <w:t xml:space="preserve">This Information Collection Request (ICR) supports the FY 2022 – 2026 DOT Strategic Plan, including the six strategic goals of: </w:t>
      </w:r>
    </w:p>
    <w:p w:rsidR="0047648D" w:rsidRPr="00A53316" w:rsidP="0047648D" w14:paraId="71B248A2" w14:textId="77777777">
      <w:pPr>
        <w:pStyle w:val="NormalWeb"/>
        <w:numPr>
          <w:ilvl w:val="0"/>
          <w:numId w:val="32"/>
        </w:numPr>
        <w:shd w:val="clear" w:color="auto" w:fill="FFFFFF"/>
        <w:rPr>
          <w:rStyle w:val="Emphasis"/>
          <w:i w:val="0"/>
          <w:iCs w:val="0"/>
        </w:rPr>
      </w:pPr>
      <w:r w:rsidRPr="00A53316">
        <w:rPr>
          <w:rStyle w:val="Emphasis"/>
          <w:i w:val="0"/>
          <w:iCs w:val="0"/>
        </w:rPr>
        <w:t>Safety</w:t>
      </w:r>
    </w:p>
    <w:p w:rsidR="0047648D" w:rsidRPr="00A53316" w:rsidP="0047648D" w14:paraId="5F995B45" w14:textId="77777777">
      <w:pPr>
        <w:pStyle w:val="NormalWeb"/>
        <w:numPr>
          <w:ilvl w:val="1"/>
          <w:numId w:val="32"/>
        </w:numPr>
        <w:shd w:val="clear" w:color="auto" w:fill="FFFFFF"/>
        <w:contextualSpacing/>
        <w:rPr>
          <w:u w:val="single"/>
        </w:rPr>
      </w:pPr>
      <w:r w:rsidRPr="00A53316">
        <w:rPr>
          <w:u w:val="single"/>
        </w:rPr>
        <w:t xml:space="preserve">Safe Public </w:t>
      </w:r>
    </w:p>
    <w:p w:rsidR="0047648D" w:rsidP="0047648D" w14:paraId="194F5FFA" w14:textId="2ECC3CDB">
      <w:pPr>
        <w:pStyle w:val="NormalWeb"/>
        <w:shd w:val="clear" w:color="auto" w:fill="FFFFFF"/>
        <w:ind w:left="1440"/>
        <w:contextualSpacing/>
      </w:pPr>
      <w:r w:rsidRPr="00A53316">
        <w:t>Protect urban and rural communities and travelers, including vulnerable populations, from health and safety risks.</w:t>
      </w:r>
    </w:p>
    <w:p w:rsidR="00D327E7" w:rsidRPr="00A53316" w:rsidP="0047648D" w14:paraId="6C4775E6" w14:textId="77777777">
      <w:pPr>
        <w:pStyle w:val="NormalWeb"/>
        <w:shd w:val="clear" w:color="auto" w:fill="FFFFFF"/>
        <w:ind w:left="1440"/>
        <w:contextualSpacing/>
      </w:pPr>
    </w:p>
    <w:p w:rsidR="0047648D" w:rsidRPr="00A53316" w:rsidP="0047648D" w14:paraId="4B0D0B3C" w14:textId="77777777">
      <w:pPr>
        <w:pStyle w:val="NormalWeb"/>
        <w:numPr>
          <w:ilvl w:val="1"/>
          <w:numId w:val="32"/>
        </w:numPr>
        <w:shd w:val="clear" w:color="auto" w:fill="FFFFFF"/>
        <w:contextualSpacing/>
        <w:rPr>
          <w:u w:val="single"/>
        </w:rPr>
      </w:pPr>
      <w:r w:rsidRPr="00A53316">
        <w:rPr>
          <w:u w:val="single"/>
        </w:rPr>
        <w:t xml:space="preserve">Critical Infrastructure Cybersecurity </w:t>
      </w:r>
    </w:p>
    <w:p w:rsidR="0047648D" w:rsidRPr="00A53316" w:rsidP="0047648D" w14:paraId="4E74D1EA" w14:textId="77777777">
      <w:pPr>
        <w:pStyle w:val="NormalWeb"/>
        <w:shd w:val="clear" w:color="auto" w:fill="FFFFFF"/>
        <w:ind w:left="1440"/>
        <w:contextualSpacing/>
      </w:pPr>
      <w:r w:rsidRPr="00A53316">
        <w:t xml:space="preserve"> Strengthen transportation system resilience to protect it from disruption  </w:t>
      </w:r>
    </w:p>
    <w:p w:rsidR="0047648D" w:rsidRPr="00A53316" w:rsidP="0047648D" w14:paraId="72A5E508" w14:textId="77777777">
      <w:pPr>
        <w:pStyle w:val="NormalWeb"/>
        <w:shd w:val="clear" w:color="auto" w:fill="FFFFFF"/>
        <w:ind w:left="1440"/>
        <w:contextualSpacing/>
      </w:pPr>
      <w:r w:rsidRPr="00A53316">
        <w:t xml:space="preserve"> from cyber and other attacks.</w:t>
      </w:r>
    </w:p>
    <w:p w:rsidR="0047648D" w:rsidRPr="00A53316" w:rsidP="0047648D" w14:paraId="61505ABE" w14:textId="77777777">
      <w:pPr>
        <w:pStyle w:val="NormalWeb"/>
        <w:shd w:val="clear" w:color="auto" w:fill="FFFFFF"/>
        <w:ind w:left="1440"/>
        <w:contextualSpacing/>
      </w:pPr>
    </w:p>
    <w:p w:rsidR="0047648D" w:rsidRPr="00A53316" w:rsidP="0047648D" w14:paraId="62B60828" w14:textId="77777777">
      <w:pPr>
        <w:pStyle w:val="NormalWeb"/>
        <w:numPr>
          <w:ilvl w:val="0"/>
          <w:numId w:val="32"/>
        </w:numPr>
        <w:shd w:val="clear" w:color="auto" w:fill="FFFFFF"/>
        <w:rPr>
          <w:rStyle w:val="Emphasis"/>
          <w:i w:val="0"/>
          <w:iCs w:val="0"/>
        </w:rPr>
      </w:pPr>
      <w:r w:rsidRPr="00A53316">
        <w:rPr>
          <w:rStyle w:val="Emphasis"/>
          <w:i w:val="0"/>
          <w:iCs w:val="0"/>
        </w:rPr>
        <w:t>Economic Strength &amp; Global Competitiveness</w:t>
      </w:r>
    </w:p>
    <w:p w:rsidR="0047648D" w:rsidRPr="00A53316" w:rsidP="0047648D" w14:paraId="7C63DE43" w14:textId="77777777">
      <w:pPr>
        <w:pStyle w:val="NormalWeb"/>
        <w:numPr>
          <w:ilvl w:val="1"/>
          <w:numId w:val="32"/>
        </w:numPr>
        <w:shd w:val="clear" w:color="auto" w:fill="FFFFFF"/>
        <w:contextualSpacing/>
        <w:rPr>
          <w:rStyle w:val="Emphasis"/>
          <w:i w:val="0"/>
          <w:iCs w:val="0"/>
          <w:u w:val="single"/>
        </w:rPr>
      </w:pPr>
      <w:r w:rsidRPr="00A53316">
        <w:rPr>
          <w:rStyle w:val="Emphasis"/>
          <w:i w:val="0"/>
          <w:iCs w:val="0"/>
          <w:u w:val="single"/>
        </w:rPr>
        <w:t xml:space="preserve">High Performing Core Assets </w:t>
      </w:r>
    </w:p>
    <w:p w:rsidR="0047648D" w:rsidP="0047648D" w14:paraId="1E52BA96" w14:textId="3C4B2AFD">
      <w:pPr>
        <w:pStyle w:val="NormalWeb"/>
        <w:shd w:val="clear" w:color="auto" w:fill="FFFFFF"/>
        <w:ind w:left="1440"/>
        <w:contextualSpacing/>
        <w:rPr>
          <w:rStyle w:val="Emphasis"/>
          <w:i w:val="0"/>
          <w:iCs w:val="0"/>
        </w:rPr>
      </w:pPr>
      <w:r w:rsidRPr="00A53316">
        <w:rPr>
          <w:rStyle w:val="Emphasis"/>
          <w:i w:val="0"/>
          <w:iCs w:val="0"/>
        </w:rPr>
        <w:t>Restore and modernize core assets to improve the state of good repair, enhance resiliency, and expand beneficial new projects.</w:t>
      </w:r>
    </w:p>
    <w:p w:rsidR="00D327E7" w:rsidRPr="00A53316" w:rsidP="0047648D" w14:paraId="2ABCF9EA" w14:textId="77777777">
      <w:pPr>
        <w:pStyle w:val="NormalWeb"/>
        <w:shd w:val="clear" w:color="auto" w:fill="FFFFFF"/>
        <w:ind w:left="1440"/>
        <w:contextualSpacing/>
        <w:rPr>
          <w:rStyle w:val="Emphasis"/>
          <w:i w:val="0"/>
          <w:iCs w:val="0"/>
        </w:rPr>
      </w:pPr>
    </w:p>
    <w:p w:rsidR="0047648D" w:rsidRPr="00A53316" w:rsidP="0047648D" w14:paraId="66CCC4E9" w14:textId="77777777">
      <w:pPr>
        <w:pStyle w:val="NormalWeb"/>
        <w:numPr>
          <w:ilvl w:val="1"/>
          <w:numId w:val="32"/>
        </w:numPr>
        <w:shd w:val="clear" w:color="auto" w:fill="FFFFFF"/>
        <w:contextualSpacing/>
      </w:pPr>
      <w:r w:rsidRPr="00A53316">
        <w:rPr>
          <w:u w:val="single"/>
        </w:rPr>
        <w:t>Resilient Supply Chains</w:t>
      </w:r>
      <w:r w:rsidRPr="00A53316">
        <w:t xml:space="preserve"> </w:t>
      </w:r>
    </w:p>
    <w:p w:rsidR="0047648D" w:rsidRPr="00A53316" w:rsidP="0047648D" w14:paraId="58AB163B" w14:textId="77777777">
      <w:pPr>
        <w:pStyle w:val="NormalWeb"/>
        <w:shd w:val="clear" w:color="auto" w:fill="FFFFFF"/>
        <w:ind w:left="1440"/>
        <w:contextualSpacing/>
      </w:pPr>
      <w:r w:rsidRPr="00A53316">
        <w:t>Modernize infrastructure for safer and more efficient movement of goods to support the U.S. economy while maintaining community and regional livability, as well as supply chain resiliency.</w:t>
      </w:r>
    </w:p>
    <w:p w:rsidR="0047648D" w:rsidRPr="00A53316" w:rsidP="0047648D" w14:paraId="3680AB61" w14:textId="77777777">
      <w:pPr>
        <w:pStyle w:val="NormalWeb"/>
        <w:shd w:val="clear" w:color="auto" w:fill="FFFFFF"/>
        <w:ind w:left="1080"/>
        <w:contextualSpacing/>
      </w:pPr>
    </w:p>
    <w:p w:rsidR="0047648D" w:rsidRPr="00A53316" w:rsidP="0047648D" w14:paraId="013B68D5" w14:textId="77777777">
      <w:pPr>
        <w:pStyle w:val="NormalWeb"/>
        <w:numPr>
          <w:ilvl w:val="0"/>
          <w:numId w:val="39"/>
        </w:numPr>
        <w:shd w:val="clear" w:color="auto" w:fill="FFFFFF"/>
        <w:contextualSpacing/>
        <w:rPr>
          <w:u w:val="single"/>
        </w:rPr>
      </w:pPr>
      <w:r w:rsidRPr="00A53316">
        <w:rPr>
          <w:u w:val="single"/>
        </w:rPr>
        <w:t xml:space="preserve">System Reliability and Connectivity </w:t>
      </w:r>
    </w:p>
    <w:p w:rsidR="0047648D" w:rsidP="0047648D" w14:paraId="5F315685" w14:textId="5DA58450">
      <w:pPr>
        <w:pStyle w:val="NormalWeb"/>
        <w:shd w:val="clear" w:color="auto" w:fill="FFFFFF"/>
        <w:ind w:left="1440"/>
        <w:contextualSpacing/>
      </w:pPr>
      <w:r w:rsidRPr="00A53316">
        <w:t>Improve system operations to increase travel time reliability, manage travel demand, and improve connectivity.</w:t>
      </w:r>
    </w:p>
    <w:p w:rsidR="0047648D" w:rsidRPr="00A53316" w:rsidP="0047648D" w14:paraId="02D10D6E" w14:textId="77777777">
      <w:pPr>
        <w:pStyle w:val="NormalWeb"/>
        <w:shd w:val="clear" w:color="auto" w:fill="FFFFFF"/>
        <w:ind w:left="1440"/>
        <w:contextualSpacing/>
      </w:pPr>
    </w:p>
    <w:p w:rsidR="0047648D" w:rsidRPr="00A53316" w:rsidP="0047648D" w14:paraId="28FCDD20" w14:textId="77777777">
      <w:pPr>
        <w:pStyle w:val="NormalWeb"/>
        <w:numPr>
          <w:ilvl w:val="0"/>
          <w:numId w:val="32"/>
        </w:numPr>
        <w:shd w:val="clear" w:color="auto" w:fill="FFFFFF"/>
        <w:rPr>
          <w:rStyle w:val="Emphasis"/>
          <w:i w:val="0"/>
          <w:iCs w:val="0"/>
        </w:rPr>
      </w:pPr>
      <w:r w:rsidRPr="00A53316">
        <w:rPr>
          <w:rStyle w:val="Emphasis"/>
          <w:i w:val="0"/>
          <w:iCs w:val="0"/>
        </w:rPr>
        <w:t>Equity</w:t>
      </w:r>
    </w:p>
    <w:p w:rsidR="0047648D" w:rsidRPr="00A53316" w:rsidP="0047648D" w14:paraId="07BBD5E5" w14:textId="77777777">
      <w:pPr>
        <w:pStyle w:val="NormalWeb"/>
        <w:numPr>
          <w:ilvl w:val="1"/>
          <w:numId w:val="32"/>
        </w:numPr>
        <w:shd w:val="clear" w:color="auto" w:fill="FFFFFF"/>
        <w:contextualSpacing/>
        <w:rPr>
          <w:u w:val="single"/>
        </w:rPr>
      </w:pPr>
      <w:r w:rsidRPr="00A53316">
        <w:rPr>
          <w:u w:val="single"/>
        </w:rPr>
        <w:t xml:space="preserve">Expanding Access </w:t>
      </w:r>
    </w:p>
    <w:p w:rsidR="0047648D" w:rsidRPr="00A53316" w:rsidP="0047648D" w14:paraId="4C095E53" w14:textId="77777777">
      <w:pPr>
        <w:pStyle w:val="NormalWeb"/>
        <w:shd w:val="clear" w:color="auto" w:fill="FFFFFF"/>
        <w:ind w:left="1440"/>
        <w:contextualSpacing/>
      </w:pPr>
      <w:r w:rsidRPr="00A53316">
        <w:t>Expand affordable access to transportation jobs and business opportunities by removing barriers for individuals, businesses, and communities.</w:t>
      </w:r>
    </w:p>
    <w:p w:rsidR="0047648D" w:rsidRPr="00A53316" w:rsidP="0047648D" w14:paraId="1E746F78" w14:textId="77777777">
      <w:pPr>
        <w:pStyle w:val="NormalWeb"/>
        <w:shd w:val="clear" w:color="auto" w:fill="FFFFFF"/>
        <w:ind w:left="1440"/>
        <w:contextualSpacing/>
      </w:pPr>
    </w:p>
    <w:p w:rsidR="0047648D" w:rsidRPr="00A53316" w:rsidP="0047648D" w14:paraId="73E515D9" w14:textId="77777777">
      <w:pPr>
        <w:pStyle w:val="NormalWeb"/>
        <w:numPr>
          <w:ilvl w:val="0"/>
          <w:numId w:val="39"/>
        </w:numPr>
        <w:shd w:val="clear" w:color="auto" w:fill="FFFFFF"/>
        <w:contextualSpacing/>
        <w:rPr>
          <w:u w:val="single"/>
        </w:rPr>
      </w:pPr>
      <w:r w:rsidRPr="00A53316">
        <w:rPr>
          <w:u w:val="single"/>
        </w:rPr>
        <w:t xml:space="preserve">Power of Community </w:t>
      </w:r>
    </w:p>
    <w:p w:rsidR="0047648D" w:rsidRPr="00A53316" w:rsidP="0047648D" w14:paraId="36841C12" w14:textId="77777777">
      <w:pPr>
        <w:pStyle w:val="NormalWeb"/>
        <w:shd w:val="clear" w:color="auto" w:fill="FFFFFF"/>
        <w:ind w:left="1440"/>
        <w:contextualSpacing/>
      </w:pPr>
      <w:r w:rsidRPr="00A53316">
        <w:t>Empower communities through innovative public engagement with diverse stakeholders and thought leaders to foster exchange and ownership.</w:t>
      </w:r>
    </w:p>
    <w:p w:rsidR="0047648D" w:rsidRPr="00A53316" w:rsidP="0047648D" w14:paraId="0535AA4C" w14:textId="77777777">
      <w:pPr>
        <w:pStyle w:val="NormalWeb"/>
        <w:shd w:val="clear" w:color="auto" w:fill="FFFFFF"/>
        <w:ind w:left="1440"/>
        <w:contextualSpacing/>
      </w:pPr>
    </w:p>
    <w:p w:rsidR="0047648D" w:rsidRPr="00A53316" w:rsidP="0047648D" w14:paraId="76D2CB38" w14:textId="77777777">
      <w:pPr>
        <w:pStyle w:val="NormalWeb"/>
        <w:numPr>
          <w:ilvl w:val="0"/>
          <w:numId w:val="39"/>
        </w:numPr>
        <w:shd w:val="clear" w:color="auto" w:fill="FFFFFF"/>
        <w:contextualSpacing/>
        <w:rPr>
          <w:u w:val="single"/>
        </w:rPr>
      </w:pPr>
      <w:r w:rsidRPr="00A53316">
        <w:rPr>
          <w:u w:val="single"/>
        </w:rPr>
        <w:t xml:space="preserve">Proactive Intervention, Planning, and Capacity Building </w:t>
      </w:r>
    </w:p>
    <w:p w:rsidR="0047648D" w:rsidRPr="00A53316" w:rsidP="0047648D" w14:paraId="0FCB2A98" w14:textId="77777777">
      <w:pPr>
        <w:pStyle w:val="NormalWeb"/>
        <w:shd w:val="clear" w:color="auto" w:fill="FFFFFF"/>
        <w:ind w:left="1440"/>
        <w:contextualSpacing/>
      </w:pPr>
      <w:r w:rsidRPr="00A53316">
        <w:t>Ensure that equity considerations for disadvantaged and underserved communities are integrated into the planning, development, and implementation of all transportation investments.</w:t>
      </w:r>
    </w:p>
    <w:p w:rsidR="0047648D" w:rsidRPr="00A53316" w:rsidP="0047648D" w14:paraId="002DB774" w14:textId="77777777">
      <w:pPr>
        <w:pStyle w:val="NormalWeb"/>
        <w:shd w:val="clear" w:color="auto" w:fill="FFFFFF"/>
        <w:ind w:left="1440"/>
        <w:contextualSpacing/>
      </w:pPr>
    </w:p>
    <w:p w:rsidR="0047648D" w:rsidRPr="00A53316" w:rsidP="0047648D" w14:paraId="74E39363" w14:textId="77777777">
      <w:pPr>
        <w:pStyle w:val="NormalWeb"/>
        <w:numPr>
          <w:ilvl w:val="0"/>
          <w:numId w:val="32"/>
        </w:numPr>
        <w:shd w:val="clear" w:color="auto" w:fill="FFFFFF"/>
        <w:rPr>
          <w:rStyle w:val="Emphasis"/>
          <w:i w:val="0"/>
          <w:iCs w:val="0"/>
        </w:rPr>
      </w:pPr>
      <w:r w:rsidRPr="00A53316">
        <w:rPr>
          <w:rStyle w:val="Emphasis"/>
          <w:i w:val="0"/>
          <w:iCs w:val="0"/>
        </w:rPr>
        <w:t>Climate &amp; Sustainability</w:t>
      </w:r>
    </w:p>
    <w:p w:rsidR="0047648D" w:rsidRPr="00A53316" w:rsidP="0047648D" w14:paraId="599A2A49" w14:textId="77777777">
      <w:pPr>
        <w:pStyle w:val="NormalWeb"/>
        <w:numPr>
          <w:ilvl w:val="0"/>
          <w:numId w:val="39"/>
        </w:numPr>
        <w:shd w:val="clear" w:color="auto" w:fill="FFFFFF"/>
        <w:contextualSpacing/>
        <w:rPr>
          <w:u w:val="single"/>
        </w:rPr>
      </w:pPr>
      <w:r w:rsidRPr="00A53316">
        <w:rPr>
          <w:u w:val="single"/>
        </w:rPr>
        <w:t>Path to Economy-Wide Net-Zero Emissions by 2050</w:t>
      </w:r>
    </w:p>
    <w:p w:rsidR="0047648D" w:rsidRPr="00A53316" w:rsidP="0047648D" w14:paraId="0A551B59" w14:textId="77777777">
      <w:pPr>
        <w:pStyle w:val="NormalWeb"/>
        <w:shd w:val="clear" w:color="auto" w:fill="FFFFFF"/>
        <w:ind w:left="1440"/>
        <w:contextualSpacing/>
      </w:pPr>
      <w:r w:rsidRPr="00A53316">
        <w:t>Reduce air pollution and greenhouse gas emissions from transportation and advance a sustainable transportation system.</w:t>
      </w:r>
    </w:p>
    <w:p w:rsidR="0047648D" w:rsidRPr="00A53316" w:rsidP="0047648D" w14:paraId="7E06DD3A" w14:textId="77777777">
      <w:pPr>
        <w:pStyle w:val="NormalWeb"/>
        <w:shd w:val="clear" w:color="auto" w:fill="FFFFFF"/>
        <w:ind w:left="1440"/>
        <w:contextualSpacing/>
      </w:pPr>
    </w:p>
    <w:p w:rsidR="0047648D" w:rsidRPr="00A53316" w:rsidP="0047648D" w14:paraId="6861E73D" w14:textId="77777777">
      <w:pPr>
        <w:pStyle w:val="NormalWeb"/>
        <w:numPr>
          <w:ilvl w:val="0"/>
          <w:numId w:val="39"/>
        </w:numPr>
        <w:shd w:val="clear" w:color="auto" w:fill="FFFFFF"/>
        <w:contextualSpacing/>
        <w:rPr>
          <w:u w:val="single"/>
        </w:rPr>
      </w:pPr>
      <w:r w:rsidRPr="00A53316">
        <w:rPr>
          <w:u w:val="single"/>
        </w:rPr>
        <w:t xml:space="preserve">Climate Justice and Environmental Justice </w:t>
      </w:r>
    </w:p>
    <w:p w:rsidR="0047648D" w:rsidRPr="00A53316" w:rsidP="0047648D" w14:paraId="0EF10207" w14:textId="77777777">
      <w:pPr>
        <w:pStyle w:val="NormalWeb"/>
        <w:shd w:val="clear" w:color="auto" w:fill="FFFFFF"/>
        <w:ind w:left="1440"/>
        <w:contextualSpacing/>
      </w:pPr>
      <w:r w:rsidRPr="00A53316">
        <w:t>Address the disproportionate negative environmental impacts of transportation on disadvantaged communities.</w:t>
      </w:r>
    </w:p>
    <w:p w:rsidR="0047648D" w:rsidRPr="00A53316" w:rsidP="0047648D" w14:paraId="4EE78B7A" w14:textId="77777777">
      <w:pPr>
        <w:pStyle w:val="NormalWeb"/>
        <w:shd w:val="clear" w:color="auto" w:fill="FFFFFF"/>
        <w:ind w:left="1440"/>
        <w:contextualSpacing/>
      </w:pPr>
    </w:p>
    <w:p w:rsidR="0047648D" w:rsidRPr="00A53316" w:rsidP="0047648D" w14:paraId="23DEA55B" w14:textId="77777777">
      <w:pPr>
        <w:pStyle w:val="NormalWeb"/>
        <w:numPr>
          <w:ilvl w:val="0"/>
          <w:numId w:val="32"/>
        </w:numPr>
        <w:shd w:val="clear" w:color="auto" w:fill="FFFFFF"/>
        <w:rPr>
          <w:rStyle w:val="Emphasis"/>
          <w:i w:val="0"/>
          <w:iCs w:val="0"/>
        </w:rPr>
      </w:pPr>
      <w:r w:rsidRPr="00A53316">
        <w:rPr>
          <w:rStyle w:val="Emphasis"/>
          <w:i w:val="0"/>
          <w:iCs w:val="0"/>
        </w:rPr>
        <w:t>Transformation</w:t>
      </w:r>
    </w:p>
    <w:p w:rsidR="0047648D" w:rsidRPr="00A53316" w:rsidP="0047648D" w14:paraId="2F7A6C53" w14:textId="77777777">
      <w:pPr>
        <w:pStyle w:val="NormalWeb"/>
        <w:numPr>
          <w:ilvl w:val="0"/>
          <w:numId w:val="40"/>
        </w:numPr>
        <w:shd w:val="clear" w:color="auto" w:fill="FFFFFF"/>
        <w:rPr>
          <w:u w:val="single"/>
        </w:rPr>
      </w:pPr>
      <w:r w:rsidRPr="00A53316">
        <w:rPr>
          <w:u w:val="single"/>
        </w:rPr>
        <w:t xml:space="preserve">Matching Research and Policy to Advance Breakthroughs </w:t>
      </w:r>
    </w:p>
    <w:p w:rsidR="0047648D" w:rsidRPr="00A53316" w:rsidP="0047648D" w14:paraId="069A84F2" w14:textId="77777777">
      <w:pPr>
        <w:pStyle w:val="NormalWeb"/>
        <w:shd w:val="clear" w:color="auto" w:fill="FFFFFF"/>
        <w:ind w:left="1440"/>
        <w:contextualSpacing/>
      </w:pPr>
      <w:r w:rsidRPr="00A53316">
        <w:t>Foster breakthrough discoveries and new knowledge through high-risk, high-reward research driven by policy objectives.</w:t>
      </w:r>
    </w:p>
    <w:p w:rsidR="0047648D" w:rsidRPr="00A53316" w:rsidP="0047648D" w14:paraId="70EAF4C1" w14:textId="77777777">
      <w:pPr>
        <w:pStyle w:val="NormalWeb"/>
        <w:shd w:val="clear" w:color="auto" w:fill="FFFFFF"/>
        <w:ind w:left="1440"/>
        <w:contextualSpacing/>
      </w:pPr>
    </w:p>
    <w:p w:rsidR="0047648D" w:rsidRPr="00A53316" w:rsidP="0047648D" w14:paraId="00BC7CD7" w14:textId="77777777">
      <w:pPr>
        <w:pStyle w:val="NormalWeb"/>
        <w:numPr>
          <w:ilvl w:val="0"/>
          <w:numId w:val="40"/>
        </w:numPr>
        <w:shd w:val="clear" w:color="auto" w:fill="FFFFFF"/>
        <w:contextualSpacing/>
        <w:rPr>
          <w:u w:val="single"/>
        </w:rPr>
      </w:pPr>
      <w:r w:rsidRPr="00A53316">
        <w:rPr>
          <w:u w:val="single"/>
        </w:rPr>
        <w:t>Experimentation</w:t>
      </w:r>
    </w:p>
    <w:p w:rsidR="0047648D" w:rsidP="0047648D" w14:paraId="5A0DE6CC" w14:textId="77777777">
      <w:pPr>
        <w:pStyle w:val="NormalWeb"/>
        <w:shd w:val="clear" w:color="auto" w:fill="FFFFFF"/>
        <w:ind w:left="1440"/>
        <w:contextualSpacing/>
      </w:pPr>
      <w:r w:rsidRPr="00A53316">
        <w:t>Identify new ideas, new innovations, and new possibilities. Evaluate the opportunities and risks so the Department can support public benefits.</w:t>
      </w:r>
    </w:p>
    <w:p w:rsidR="0047648D" w:rsidRPr="00A53316" w:rsidP="0047648D" w14:paraId="625BFDC5" w14:textId="77777777">
      <w:pPr>
        <w:pStyle w:val="NormalWeb"/>
        <w:shd w:val="clear" w:color="auto" w:fill="FFFFFF"/>
        <w:ind w:left="1440"/>
        <w:contextualSpacing/>
      </w:pPr>
    </w:p>
    <w:p w:rsidR="0047648D" w:rsidRPr="00A53316" w:rsidP="0047648D" w14:paraId="7E2355D0" w14:textId="77777777">
      <w:pPr>
        <w:pStyle w:val="NormalWeb"/>
        <w:numPr>
          <w:ilvl w:val="0"/>
          <w:numId w:val="40"/>
        </w:numPr>
        <w:shd w:val="clear" w:color="auto" w:fill="FFFFFF"/>
        <w:contextualSpacing/>
        <w:rPr>
          <w:u w:val="single"/>
        </w:rPr>
      </w:pPr>
      <w:r w:rsidRPr="00A53316">
        <w:rPr>
          <w:u w:val="single"/>
        </w:rPr>
        <w:t xml:space="preserve">Collaboration and Competitiveness </w:t>
      </w:r>
    </w:p>
    <w:p w:rsidR="0047648D" w:rsidP="0047648D" w14:paraId="2CA0184E" w14:textId="189ACF53">
      <w:pPr>
        <w:pStyle w:val="NormalWeb"/>
        <w:shd w:val="clear" w:color="auto" w:fill="FFFFFF"/>
        <w:ind w:left="1440"/>
        <w:contextualSpacing/>
      </w:pPr>
      <w:r w:rsidRPr="00A53316">
        <w:t>Work with diverse stakeholders to share noteworthy practices and accelerate the adoption of innovations and technologies</w:t>
      </w:r>
    </w:p>
    <w:p w:rsidR="00D327E7" w:rsidRPr="00A53316" w:rsidP="0047648D" w14:paraId="061059A1" w14:textId="77777777">
      <w:pPr>
        <w:pStyle w:val="NormalWeb"/>
        <w:shd w:val="clear" w:color="auto" w:fill="FFFFFF"/>
        <w:ind w:left="1440"/>
        <w:contextualSpacing/>
      </w:pPr>
    </w:p>
    <w:p w:rsidR="0047648D" w:rsidRPr="00A53316" w:rsidP="0047648D" w14:paraId="14D13909" w14:textId="77777777">
      <w:pPr>
        <w:pStyle w:val="NormalWeb"/>
        <w:numPr>
          <w:ilvl w:val="0"/>
          <w:numId w:val="40"/>
        </w:numPr>
        <w:shd w:val="clear" w:color="auto" w:fill="FFFFFF"/>
        <w:contextualSpacing/>
        <w:rPr>
          <w:u w:val="single"/>
        </w:rPr>
      </w:pPr>
      <w:r w:rsidRPr="00A53316">
        <w:rPr>
          <w:u w:val="single"/>
        </w:rPr>
        <w:t xml:space="preserve">Flexibility and Adaptability </w:t>
      </w:r>
    </w:p>
    <w:p w:rsidR="0047648D" w:rsidRPr="00A53316" w:rsidP="0047648D" w14:paraId="3985D9CC" w14:textId="77777777">
      <w:pPr>
        <w:pStyle w:val="NormalWeb"/>
        <w:shd w:val="clear" w:color="auto" w:fill="FFFFFF"/>
        <w:ind w:left="1440"/>
        <w:contextualSpacing/>
      </w:pPr>
      <w:r w:rsidRPr="00A53316">
        <w:t>Design flexibility into transportation system investments to accommodate and respond to changing needs and capabilities to provide long-term benefits.</w:t>
      </w:r>
    </w:p>
    <w:p w:rsidR="0047648D" w:rsidRPr="00A53316" w:rsidP="0047648D" w14:paraId="5F01448B" w14:textId="77777777">
      <w:pPr>
        <w:pStyle w:val="NormalWeb"/>
        <w:shd w:val="clear" w:color="auto" w:fill="FFFFFF"/>
        <w:ind w:left="1440"/>
        <w:contextualSpacing/>
      </w:pPr>
    </w:p>
    <w:p w:rsidR="0047648D" w:rsidRPr="00A53316" w:rsidP="0047648D" w14:paraId="4EAF75BE" w14:textId="77777777">
      <w:pPr>
        <w:pStyle w:val="NormalWeb"/>
        <w:numPr>
          <w:ilvl w:val="0"/>
          <w:numId w:val="32"/>
        </w:numPr>
        <w:shd w:val="clear" w:color="auto" w:fill="FFFFFF"/>
        <w:rPr>
          <w:rStyle w:val="Emphasis"/>
          <w:i w:val="0"/>
          <w:iCs w:val="0"/>
        </w:rPr>
      </w:pPr>
      <w:r w:rsidRPr="00A53316">
        <w:rPr>
          <w:rStyle w:val="Emphasis"/>
          <w:i w:val="0"/>
          <w:iCs w:val="0"/>
        </w:rPr>
        <w:t>Organizational Excellence</w:t>
      </w:r>
    </w:p>
    <w:p w:rsidR="0047648D" w:rsidRPr="00A53316" w:rsidP="0047648D" w14:paraId="3C44CD6B" w14:textId="77777777">
      <w:pPr>
        <w:pStyle w:val="NormalWeb"/>
        <w:numPr>
          <w:ilvl w:val="0"/>
          <w:numId w:val="40"/>
        </w:numPr>
        <w:shd w:val="clear" w:color="auto" w:fill="FFFFFF"/>
        <w:contextualSpacing/>
        <w:rPr>
          <w:u w:val="single"/>
        </w:rPr>
      </w:pPr>
      <w:r w:rsidRPr="00A53316">
        <w:rPr>
          <w:u w:val="single"/>
        </w:rPr>
        <w:t xml:space="preserve">Customer Service </w:t>
      </w:r>
    </w:p>
    <w:p w:rsidR="0047648D" w:rsidRPr="00A53316" w:rsidP="0047648D" w14:paraId="36896214" w14:textId="77777777">
      <w:pPr>
        <w:pStyle w:val="NormalWeb"/>
        <w:shd w:val="clear" w:color="auto" w:fill="FFFFFF"/>
        <w:ind w:left="1440"/>
        <w:contextualSpacing/>
      </w:pPr>
      <w:r w:rsidRPr="00A53316">
        <w:t>Deliver responsive, efficient, and accessible government services.</w:t>
      </w:r>
    </w:p>
    <w:p w:rsidR="0047648D" w:rsidRPr="00A53316" w:rsidP="0047648D" w14:paraId="4F847BCC" w14:textId="77777777">
      <w:pPr>
        <w:pStyle w:val="NormalWeb"/>
        <w:shd w:val="clear" w:color="auto" w:fill="FFFFFF"/>
        <w:ind w:left="1440"/>
        <w:contextualSpacing/>
        <w:rPr>
          <w:u w:val="single"/>
        </w:rPr>
      </w:pPr>
    </w:p>
    <w:p w:rsidR="0047648D" w:rsidRPr="00A53316" w:rsidP="0047648D" w14:paraId="288E157B" w14:textId="77777777">
      <w:pPr>
        <w:pStyle w:val="NormalWeb"/>
        <w:numPr>
          <w:ilvl w:val="0"/>
          <w:numId w:val="40"/>
        </w:numPr>
        <w:shd w:val="clear" w:color="auto" w:fill="FFFFFF"/>
        <w:contextualSpacing/>
        <w:rPr>
          <w:u w:val="single"/>
        </w:rPr>
      </w:pPr>
      <w:r w:rsidRPr="00A53316">
        <w:rPr>
          <w:u w:val="single"/>
        </w:rPr>
        <w:t>Data-driven Programs and Policies</w:t>
      </w:r>
    </w:p>
    <w:p w:rsidR="0047648D" w:rsidRPr="00A53316" w:rsidP="0047648D" w14:paraId="6DDAD763" w14:textId="77777777">
      <w:pPr>
        <w:pStyle w:val="NormalWeb"/>
        <w:shd w:val="clear" w:color="auto" w:fill="FFFFFF"/>
        <w:ind w:left="1440"/>
        <w:contextualSpacing/>
      </w:pPr>
      <w:r w:rsidRPr="00A53316">
        <w:t>Develop and manage data systems and tools to provide objective, reliable, timely, and accessible data to support decision-making, transparency, and accountability.</w:t>
      </w:r>
    </w:p>
    <w:p w:rsidR="0047648D" w:rsidP="0047648D" w14:paraId="7F85EAA5" w14:textId="77777777">
      <w:pPr>
        <w:ind w:left="360"/>
        <w:jc w:val="center"/>
        <w:rPr>
          <w:sz w:val="24"/>
          <w:u w:val="single"/>
        </w:rPr>
      </w:pPr>
    </w:p>
    <w:p w:rsidR="0047648D" w14:paraId="48A79909" w14:textId="77777777">
      <w:pPr>
        <w:ind w:left="3600"/>
        <w:rPr>
          <w:sz w:val="28"/>
          <w:szCs w:val="22"/>
          <w:u w:val="single"/>
        </w:rPr>
      </w:pPr>
    </w:p>
    <w:p w:rsidR="0047648D" w14:paraId="79C7C6CC" w14:textId="77777777">
      <w:pPr>
        <w:ind w:left="3600"/>
        <w:rPr>
          <w:sz w:val="28"/>
          <w:szCs w:val="22"/>
          <w:u w:val="single"/>
        </w:rPr>
      </w:pPr>
    </w:p>
    <w:p w:rsidR="0047648D" w14:paraId="09442836" w14:textId="77777777">
      <w:pPr>
        <w:ind w:left="3600"/>
        <w:rPr>
          <w:sz w:val="28"/>
          <w:szCs w:val="22"/>
          <w:u w:val="single"/>
        </w:rPr>
      </w:pPr>
    </w:p>
    <w:p w:rsidR="0047648D" w14:paraId="7963BF06" w14:textId="77777777">
      <w:pPr>
        <w:ind w:left="3600"/>
        <w:rPr>
          <w:sz w:val="28"/>
          <w:szCs w:val="22"/>
          <w:u w:val="single"/>
        </w:rPr>
      </w:pPr>
    </w:p>
    <w:p w:rsidR="0047648D" w14:paraId="721917EF" w14:textId="77777777">
      <w:pPr>
        <w:ind w:left="3600"/>
        <w:rPr>
          <w:sz w:val="28"/>
          <w:szCs w:val="22"/>
          <w:u w:val="single"/>
        </w:rPr>
      </w:pPr>
    </w:p>
    <w:p w:rsidR="0047648D" w14:paraId="7E391FE7" w14:textId="77777777">
      <w:pPr>
        <w:ind w:left="3600"/>
        <w:rPr>
          <w:sz w:val="28"/>
          <w:szCs w:val="22"/>
          <w:u w:val="single"/>
        </w:rPr>
      </w:pPr>
    </w:p>
    <w:p w:rsidR="0047648D" w14:paraId="74F88F25" w14:textId="77777777">
      <w:pPr>
        <w:ind w:left="3600"/>
        <w:rPr>
          <w:sz w:val="28"/>
          <w:szCs w:val="22"/>
          <w:u w:val="single"/>
        </w:rPr>
      </w:pPr>
    </w:p>
    <w:p w:rsidR="0047648D" w14:paraId="3B5650A7" w14:textId="77777777">
      <w:pPr>
        <w:ind w:left="3600"/>
        <w:rPr>
          <w:sz w:val="28"/>
          <w:szCs w:val="22"/>
          <w:u w:val="single"/>
        </w:rPr>
      </w:pPr>
    </w:p>
    <w:p w:rsidR="0047648D" w14:paraId="18C36836" w14:textId="77777777">
      <w:pPr>
        <w:ind w:left="3600"/>
        <w:rPr>
          <w:sz w:val="28"/>
          <w:szCs w:val="22"/>
          <w:u w:val="single"/>
        </w:rPr>
      </w:pPr>
    </w:p>
    <w:p w:rsidR="0047648D" w14:paraId="53D55E53" w14:textId="77777777">
      <w:pPr>
        <w:ind w:left="3600"/>
        <w:rPr>
          <w:sz w:val="28"/>
          <w:szCs w:val="22"/>
          <w:u w:val="single"/>
        </w:rPr>
      </w:pPr>
    </w:p>
    <w:p w:rsidR="0047648D" w14:paraId="2D9886CB" w14:textId="77777777">
      <w:pPr>
        <w:ind w:left="3600"/>
        <w:rPr>
          <w:sz w:val="28"/>
          <w:szCs w:val="22"/>
          <w:u w:val="single"/>
        </w:rPr>
      </w:pPr>
    </w:p>
    <w:p w:rsidR="0047648D" w14:paraId="46B49F94" w14:textId="145AAC53">
      <w:pPr>
        <w:ind w:left="3600"/>
        <w:rPr>
          <w:sz w:val="28"/>
          <w:szCs w:val="22"/>
          <w:u w:val="single"/>
        </w:rPr>
      </w:pPr>
    </w:p>
    <w:p w:rsidR="002B4644" w14:paraId="441BD0AB" w14:textId="77777777">
      <w:pPr>
        <w:ind w:left="3600"/>
        <w:rPr>
          <w:sz w:val="28"/>
          <w:szCs w:val="22"/>
          <w:u w:val="single"/>
        </w:rPr>
      </w:pPr>
    </w:p>
    <w:p w:rsidR="00083C3B" w:rsidRPr="00E96502" w:rsidP="00A657C7" w14:paraId="7189A0D5" w14:textId="31CA7240">
      <w:pPr>
        <w:ind w:left="3600"/>
        <w:rPr>
          <w:sz w:val="24"/>
          <w:u w:val="single"/>
        </w:rPr>
      </w:pPr>
      <w:r w:rsidRPr="00A657C7">
        <w:rPr>
          <w:sz w:val="28"/>
          <w:szCs w:val="22"/>
          <w:u w:val="single"/>
        </w:rPr>
        <w:t>E</w:t>
      </w:r>
      <w:r w:rsidR="00E96502">
        <w:rPr>
          <w:sz w:val="28"/>
          <w:szCs w:val="22"/>
          <w:u w:val="single"/>
        </w:rPr>
        <w:t xml:space="preserve">xhibit </w:t>
      </w:r>
      <w:r w:rsidRPr="00A657C7">
        <w:rPr>
          <w:sz w:val="28"/>
          <w:szCs w:val="28"/>
          <w:u w:val="single"/>
        </w:rPr>
        <w:t>A</w:t>
      </w:r>
    </w:p>
    <w:p w:rsidR="00E96502" w:rsidRPr="00E96502" w:rsidP="00E96502" w14:paraId="12079E4C" w14:textId="77777777">
      <w:pPr>
        <w:autoSpaceDE w:val="0"/>
        <w:autoSpaceDN w:val="0"/>
        <w:adjustRightInd w:val="0"/>
        <w:rPr>
          <w:rFonts w:ascii="Calibri" w:hAnsi="Calibri" w:cs="Calibri"/>
          <w:color w:val="000000"/>
          <w:sz w:val="24"/>
          <w:szCs w:val="24"/>
          <w:lang w:eastAsia="ja-JP"/>
        </w:rPr>
      </w:pPr>
      <w:bookmarkStart w:id="27" w:name="_Toc99397865"/>
      <w:bookmarkStart w:id="28" w:name="_Hlk80873024"/>
    </w:p>
    <w:p w:rsidR="00E96502" w:rsidRPr="00A657C7" w:rsidP="00E96502" w14:paraId="49508AC2" w14:textId="3CD42FB2">
      <w:pPr>
        <w:autoSpaceDE w:val="0"/>
        <w:autoSpaceDN w:val="0"/>
        <w:adjustRightInd w:val="0"/>
        <w:jc w:val="center"/>
        <w:rPr>
          <w:b/>
          <w:bCs/>
          <w:color w:val="000000"/>
          <w:sz w:val="28"/>
          <w:szCs w:val="28"/>
          <w:lang w:eastAsia="ja-JP"/>
        </w:rPr>
      </w:pPr>
      <w:r w:rsidRPr="00A657C7">
        <w:rPr>
          <w:b/>
          <w:bCs/>
          <w:color w:val="000000"/>
          <w:sz w:val="28"/>
          <w:szCs w:val="28"/>
          <w:lang w:eastAsia="ja-JP"/>
        </w:rPr>
        <w:t>Section 13001 Strategic Innovation for Revenue Collection</w:t>
      </w:r>
    </w:p>
    <w:p w:rsidR="00E96502" w:rsidRPr="00A657C7" w:rsidP="00A657C7" w14:paraId="33368918" w14:textId="77777777">
      <w:pPr>
        <w:autoSpaceDE w:val="0"/>
        <w:autoSpaceDN w:val="0"/>
        <w:adjustRightInd w:val="0"/>
        <w:jc w:val="center"/>
        <w:rPr>
          <w:color w:val="000000"/>
          <w:sz w:val="24"/>
          <w:szCs w:val="24"/>
          <w:lang w:eastAsia="ja-JP"/>
        </w:rPr>
      </w:pPr>
    </w:p>
    <w:p w:rsidR="00E96502" w:rsidP="00E96502" w14:paraId="3A523584" w14:textId="77777777">
      <w:pPr>
        <w:autoSpaceDE w:val="0"/>
        <w:autoSpaceDN w:val="0"/>
        <w:adjustRightInd w:val="0"/>
        <w:rPr>
          <w:color w:val="000000"/>
          <w:sz w:val="24"/>
          <w:szCs w:val="24"/>
          <w:lang w:eastAsia="ja-JP"/>
        </w:rPr>
      </w:pPr>
      <w:r w:rsidRPr="00A657C7">
        <w:rPr>
          <w:color w:val="000000"/>
          <w:sz w:val="24"/>
          <w:szCs w:val="24"/>
          <w:lang w:eastAsia="ja-JP"/>
        </w:rPr>
        <w:t>TITLE III—RESEARCH, TECHNOLOGY, AND EDUCATION SEC. 13001. STRATEGIC INNOVATION FOR REVENUE COLLECTION.</w:t>
      </w:r>
    </w:p>
    <w:p w:rsidR="00E96502" w:rsidP="00E96502" w14:paraId="515F5C89" w14:textId="77777777">
      <w:pPr>
        <w:autoSpaceDE w:val="0"/>
        <w:autoSpaceDN w:val="0"/>
        <w:adjustRightInd w:val="0"/>
        <w:rPr>
          <w:color w:val="000000"/>
          <w:sz w:val="24"/>
          <w:szCs w:val="24"/>
          <w:lang w:eastAsia="ja-JP"/>
        </w:rPr>
      </w:pPr>
    </w:p>
    <w:p w:rsidR="00E96502" w:rsidP="00E96502" w14:paraId="5965891C" w14:textId="77777777">
      <w:pPr>
        <w:autoSpaceDE w:val="0"/>
        <w:autoSpaceDN w:val="0"/>
        <w:adjustRightInd w:val="0"/>
        <w:rPr>
          <w:color w:val="000000"/>
          <w:sz w:val="24"/>
          <w:szCs w:val="24"/>
          <w:lang w:eastAsia="ja-JP"/>
        </w:rPr>
      </w:pPr>
      <w:r w:rsidRPr="00A657C7">
        <w:rPr>
          <w:color w:val="000000"/>
          <w:sz w:val="24"/>
          <w:szCs w:val="24"/>
          <w:lang w:eastAsia="ja-JP"/>
        </w:rPr>
        <w:t xml:space="preserve">(a) IN </w:t>
      </w:r>
      <w:r w:rsidRPr="00A657C7">
        <w:rPr>
          <w:b/>
          <w:bCs/>
          <w:color w:val="000000"/>
          <w:sz w:val="24"/>
          <w:szCs w:val="24"/>
          <w:lang w:eastAsia="ja-JP"/>
        </w:rPr>
        <w:t>GENERAL</w:t>
      </w:r>
      <w:r w:rsidRPr="00A657C7">
        <w:rPr>
          <w:color w:val="000000"/>
          <w:sz w:val="24"/>
          <w:szCs w:val="24"/>
          <w:lang w:eastAsia="ja-JP"/>
        </w:rPr>
        <w:t>.—</w:t>
      </w:r>
      <w:r w:rsidRPr="00A657C7">
        <w:rPr>
          <w:color w:val="000000"/>
          <w:sz w:val="24"/>
          <w:szCs w:val="24"/>
          <w:lang w:eastAsia="ja-JP"/>
        </w:rPr>
        <w:t>The Secretary shall establish a program to test the feasibility of a road usage fee and other user-based alternative revenue mechanisms (referred to in this section as ‘‘user</w:t>
      </w:r>
      <w:r>
        <w:rPr>
          <w:color w:val="000000"/>
          <w:sz w:val="24"/>
          <w:szCs w:val="24"/>
          <w:lang w:eastAsia="ja-JP"/>
        </w:rPr>
        <w:t xml:space="preserve"> </w:t>
      </w:r>
      <w:r w:rsidRPr="00A657C7">
        <w:rPr>
          <w:color w:val="000000"/>
          <w:sz w:val="24"/>
          <w:szCs w:val="24"/>
          <w:lang w:eastAsia="ja-JP"/>
        </w:rPr>
        <w:t>based alternative revenue mechanisms’’) to help maintain the long</w:t>
      </w:r>
      <w:r>
        <w:rPr>
          <w:color w:val="000000"/>
          <w:sz w:val="24"/>
          <w:szCs w:val="24"/>
          <w:lang w:eastAsia="ja-JP"/>
        </w:rPr>
        <w:t xml:space="preserve"> </w:t>
      </w:r>
      <w:r w:rsidRPr="00A657C7">
        <w:rPr>
          <w:color w:val="000000"/>
          <w:sz w:val="24"/>
          <w:szCs w:val="24"/>
          <w:lang w:eastAsia="ja-JP"/>
        </w:rPr>
        <w:t xml:space="preserve">term solvency of the Highway Trust Fund, through pilot projects at the State, local, and regional level. </w:t>
      </w:r>
    </w:p>
    <w:p w:rsidR="00E96502" w:rsidP="00E96502" w14:paraId="5631CE45" w14:textId="77777777">
      <w:pPr>
        <w:autoSpaceDE w:val="0"/>
        <w:autoSpaceDN w:val="0"/>
        <w:adjustRightInd w:val="0"/>
        <w:rPr>
          <w:color w:val="000000"/>
          <w:sz w:val="24"/>
          <w:szCs w:val="24"/>
          <w:lang w:eastAsia="ja-JP"/>
        </w:rPr>
      </w:pPr>
    </w:p>
    <w:p w:rsidR="00E96502" w:rsidP="00E96502" w14:paraId="6CAFA46C" w14:textId="77777777">
      <w:pPr>
        <w:autoSpaceDE w:val="0"/>
        <w:autoSpaceDN w:val="0"/>
        <w:adjustRightInd w:val="0"/>
        <w:rPr>
          <w:color w:val="000000"/>
          <w:sz w:val="24"/>
          <w:szCs w:val="24"/>
          <w:lang w:eastAsia="ja-JP"/>
        </w:rPr>
      </w:pPr>
      <w:r w:rsidRPr="00A657C7">
        <w:rPr>
          <w:color w:val="000000"/>
          <w:sz w:val="24"/>
          <w:szCs w:val="24"/>
          <w:lang w:eastAsia="ja-JP"/>
        </w:rPr>
        <w:t xml:space="preserve">(b) </w:t>
      </w:r>
      <w:r w:rsidRPr="00A657C7">
        <w:rPr>
          <w:b/>
          <w:bCs/>
          <w:color w:val="000000"/>
          <w:sz w:val="24"/>
          <w:szCs w:val="24"/>
          <w:lang w:eastAsia="ja-JP"/>
        </w:rPr>
        <w:t>GRANTS.—</w:t>
      </w:r>
      <w:r w:rsidRPr="00A657C7">
        <w:rPr>
          <w:color w:val="000000"/>
          <w:sz w:val="24"/>
          <w:szCs w:val="24"/>
          <w:lang w:eastAsia="ja-JP"/>
        </w:rPr>
        <w:t xml:space="preserve"> </w:t>
      </w:r>
    </w:p>
    <w:p w:rsidR="00E96502" w:rsidP="00E96502" w14:paraId="2380218C" w14:textId="77777777">
      <w:pPr>
        <w:autoSpaceDE w:val="0"/>
        <w:autoSpaceDN w:val="0"/>
        <w:adjustRightInd w:val="0"/>
        <w:rPr>
          <w:color w:val="000000"/>
          <w:sz w:val="24"/>
          <w:szCs w:val="24"/>
          <w:lang w:eastAsia="ja-JP"/>
        </w:rPr>
      </w:pPr>
    </w:p>
    <w:p w:rsidR="00E96502" w:rsidP="00A657C7" w14:paraId="30FC7E3B" w14:textId="2943A791">
      <w:pPr>
        <w:autoSpaceDE w:val="0"/>
        <w:autoSpaceDN w:val="0"/>
        <w:adjustRightInd w:val="0"/>
        <w:ind w:left="720"/>
        <w:rPr>
          <w:color w:val="000000"/>
          <w:sz w:val="24"/>
          <w:szCs w:val="24"/>
          <w:lang w:eastAsia="ja-JP"/>
        </w:rPr>
      </w:pPr>
      <w:r w:rsidRPr="00A657C7">
        <w:rPr>
          <w:color w:val="000000"/>
          <w:sz w:val="24"/>
          <w:szCs w:val="24"/>
          <w:lang w:eastAsia="ja-JP"/>
        </w:rPr>
        <w:t xml:space="preserve">(1) IN </w:t>
      </w:r>
      <w:r w:rsidRPr="00A657C7">
        <w:rPr>
          <w:b/>
          <w:bCs/>
          <w:color w:val="000000"/>
          <w:sz w:val="24"/>
          <w:szCs w:val="24"/>
          <w:lang w:eastAsia="ja-JP"/>
        </w:rPr>
        <w:t>GENERAL</w:t>
      </w:r>
      <w:r w:rsidRPr="00A657C7">
        <w:rPr>
          <w:color w:val="000000"/>
          <w:sz w:val="24"/>
          <w:szCs w:val="24"/>
          <w:lang w:eastAsia="ja-JP"/>
        </w:rPr>
        <w:t>.—</w:t>
      </w:r>
      <w:r w:rsidRPr="00A657C7">
        <w:rPr>
          <w:color w:val="000000"/>
          <w:sz w:val="24"/>
          <w:szCs w:val="24"/>
          <w:lang w:eastAsia="ja-JP"/>
        </w:rPr>
        <w:t xml:space="preserve">The Secretary shall provide grants to eligible entities to carry out pilot projects under this section. </w:t>
      </w:r>
    </w:p>
    <w:p w:rsidR="00E96502" w:rsidRPr="00A657C7" w:rsidP="00E96502" w14:paraId="0386DE1D" w14:textId="77777777">
      <w:pPr>
        <w:autoSpaceDE w:val="0"/>
        <w:autoSpaceDN w:val="0"/>
        <w:adjustRightInd w:val="0"/>
        <w:rPr>
          <w:color w:val="000000"/>
          <w:sz w:val="24"/>
          <w:szCs w:val="24"/>
          <w:lang w:eastAsia="ja-JP"/>
        </w:rPr>
      </w:pPr>
    </w:p>
    <w:p w:rsidR="00E96502" w:rsidP="00A657C7" w14:paraId="618379F8" w14:textId="6803B741">
      <w:pPr>
        <w:autoSpaceDE w:val="0"/>
        <w:autoSpaceDN w:val="0"/>
        <w:adjustRightInd w:val="0"/>
        <w:ind w:left="720"/>
        <w:rPr>
          <w:color w:val="000000"/>
          <w:sz w:val="24"/>
          <w:szCs w:val="24"/>
          <w:lang w:eastAsia="ja-JP"/>
        </w:rPr>
      </w:pPr>
      <w:r w:rsidRPr="00A657C7">
        <w:rPr>
          <w:color w:val="000000"/>
          <w:sz w:val="24"/>
          <w:szCs w:val="24"/>
          <w:lang w:eastAsia="ja-JP"/>
        </w:rPr>
        <w:t xml:space="preserve">(2) </w:t>
      </w:r>
      <w:r w:rsidRPr="00A657C7">
        <w:rPr>
          <w:b/>
          <w:bCs/>
          <w:color w:val="000000"/>
          <w:sz w:val="24"/>
          <w:szCs w:val="24"/>
          <w:lang w:eastAsia="ja-JP"/>
        </w:rPr>
        <w:t>APPLICATIONS</w:t>
      </w:r>
      <w:r w:rsidRPr="00A657C7">
        <w:rPr>
          <w:color w:val="000000"/>
          <w:sz w:val="24"/>
          <w:szCs w:val="24"/>
          <w:lang w:eastAsia="ja-JP"/>
        </w:rPr>
        <w:t>.—</w:t>
      </w:r>
      <w:r w:rsidRPr="00A657C7">
        <w:rPr>
          <w:color w:val="000000"/>
          <w:sz w:val="24"/>
          <w:szCs w:val="24"/>
          <w:lang w:eastAsia="ja-JP"/>
        </w:rPr>
        <w:t xml:space="preserve">To be eligible for a grant under this section, an eligible entity shall submit to the Secretary an application at such time, in such manner, and containing such information as the Secretary may require. </w:t>
      </w:r>
    </w:p>
    <w:p w:rsidR="00E96502" w:rsidRPr="00A657C7" w:rsidP="00E96502" w14:paraId="719A25B5" w14:textId="77777777">
      <w:pPr>
        <w:autoSpaceDE w:val="0"/>
        <w:autoSpaceDN w:val="0"/>
        <w:adjustRightInd w:val="0"/>
        <w:rPr>
          <w:color w:val="000000"/>
          <w:sz w:val="24"/>
          <w:szCs w:val="24"/>
          <w:lang w:eastAsia="ja-JP"/>
        </w:rPr>
      </w:pPr>
    </w:p>
    <w:p w:rsidR="00E96502" w14:paraId="0BEB0573" w14:textId="26A8F1B1">
      <w:pPr>
        <w:autoSpaceDE w:val="0"/>
        <w:autoSpaceDN w:val="0"/>
        <w:adjustRightInd w:val="0"/>
        <w:ind w:left="720"/>
        <w:rPr>
          <w:color w:val="000000"/>
          <w:sz w:val="24"/>
          <w:szCs w:val="24"/>
          <w:lang w:eastAsia="ja-JP"/>
        </w:rPr>
      </w:pPr>
      <w:r w:rsidRPr="00A657C7">
        <w:rPr>
          <w:color w:val="000000"/>
          <w:sz w:val="24"/>
          <w:szCs w:val="24"/>
          <w:lang w:eastAsia="ja-JP"/>
        </w:rPr>
        <w:t xml:space="preserve">(3) </w:t>
      </w:r>
      <w:r w:rsidRPr="00A657C7">
        <w:rPr>
          <w:b/>
          <w:bCs/>
          <w:color w:val="000000"/>
          <w:sz w:val="24"/>
          <w:szCs w:val="24"/>
          <w:lang w:eastAsia="ja-JP"/>
        </w:rPr>
        <w:t>OBJECTIVES</w:t>
      </w:r>
      <w:r w:rsidRPr="00A657C7">
        <w:rPr>
          <w:color w:val="000000"/>
          <w:sz w:val="24"/>
          <w:szCs w:val="24"/>
          <w:lang w:eastAsia="ja-JP"/>
        </w:rPr>
        <w:t>.—</w:t>
      </w:r>
      <w:r w:rsidRPr="00A657C7">
        <w:rPr>
          <w:color w:val="000000"/>
          <w:sz w:val="24"/>
          <w:szCs w:val="24"/>
          <w:lang w:eastAsia="ja-JP"/>
        </w:rPr>
        <w:t>The Secretary shall ensure that, in the aggregate, the pilot projects carried out using funds provided under this section meet the following objectives: (A) To test the design, acceptance, equity, and implementation of user-based alternative revenue mechanisms, including among— (i) differing income groups; and (ii) rural and urban drivers, as applicable. H. R. 3684—195 (B) To provide recommendations regarding adoption and implementation of user-based alternative revenue mechanisms. (C) To quantify and minimize the administrative costs of any potential user-based alternative revenue mechanisms. (D) To test a variety of solutions, including the use of independent and private third-party vendors, for the collection of data and fees from user-based alternative revenue mechanisms, including the reliability and security of those solutions and vendors. (E) To test solutions to ensure the privacy and security of data collected for the purpose of implementing a user-based alternative revenue mechanism. (F) To conduct public education and outreach to increase public awareness regarding the need for user-based alternative revenue mechanisms for surface transportation programs. (G) To evaluate the ease of compliance and enforcement of a variety of implementation approaches for different users of the surface transportation system. (H) To ensure, to the greatest extent practicable, the use of innovation. (I) To consider, to the greatest extent practicable, the potential for revenue collection along a network of alternative fueling stations. (J) To evaluate the impacts of the imposition of a user-based alternative revenue mechanism on— (i) transportation revenues; (ii) personal mobility, driving patterns, congestion, and transportation costs; and (iii) freight movement and costs. (K) To evaluate options for the integration of a user</w:t>
      </w:r>
      <w:r>
        <w:rPr>
          <w:color w:val="000000"/>
          <w:sz w:val="24"/>
          <w:szCs w:val="24"/>
          <w:lang w:eastAsia="ja-JP"/>
        </w:rPr>
        <w:t xml:space="preserve"> </w:t>
      </w:r>
      <w:r w:rsidRPr="00A657C7">
        <w:rPr>
          <w:color w:val="000000"/>
          <w:sz w:val="24"/>
          <w:szCs w:val="24"/>
          <w:lang w:eastAsia="ja-JP"/>
        </w:rPr>
        <w:t xml:space="preserve">based alternative revenue mechanism with— (i) nationwide transportation revenue collections and regulations; (ii) toll revenue collection platforms; (iii) transportation network company fees; and (iv) any other relevant transportation revenue mechanisms. </w:t>
      </w:r>
    </w:p>
    <w:p w:rsidR="00E96502" w:rsidP="00E96502" w14:paraId="523CC4E6" w14:textId="588F4469">
      <w:pPr>
        <w:autoSpaceDE w:val="0"/>
        <w:autoSpaceDN w:val="0"/>
        <w:adjustRightInd w:val="0"/>
        <w:ind w:left="720"/>
        <w:rPr>
          <w:color w:val="000000"/>
          <w:sz w:val="24"/>
          <w:szCs w:val="24"/>
          <w:lang w:eastAsia="ja-JP"/>
        </w:rPr>
      </w:pPr>
      <w:r w:rsidRPr="00A657C7">
        <w:rPr>
          <w:color w:val="000000"/>
          <w:sz w:val="24"/>
          <w:szCs w:val="24"/>
          <w:lang w:eastAsia="ja-JP"/>
        </w:rPr>
        <w:t xml:space="preserve">(4) </w:t>
      </w:r>
      <w:r w:rsidRPr="00A657C7">
        <w:rPr>
          <w:b/>
          <w:bCs/>
          <w:color w:val="000000"/>
          <w:sz w:val="24"/>
          <w:szCs w:val="24"/>
          <w:lang w:eastAsia="ja-JP"/>
        </w:rPr>
        <w:t xml:space="preserve">ELIGIBLE </w:t>
      </w:r>
      <w:r w:rsidRPr="00A657C7">
        <w:rPr>
          <w:b/>
          <w:bCs/>
          <w:color w:val="000000"/>
          <w:sz w:val="24"/>
          <w:szCs w:val="24"/>
          <w:lang w:eastAsia="ja-JP"/>
        </w:rPr>
        <w:t>ENTITY</w:t>
      </w:r>
      <w:r w:rsidRPr="00A657C7">
        <w:rPr>
          <w:color w:val="000000"/>
          <w:sz w:val="24"/>
          <w:szCs w:val="24"/>
          <w:lang w:eastAsia="ja-JP"/>
        </w:rPr>
        <w:t>.—</w:t>
      </w:r>
      <w:r w:rsidRPr="00A657C7">
        <w:rPr>
          <w:color w:val="000000"/>
          <w:sz w:val="24"/>
          <w:szCs w:val="24"/>
          <w:lang w:eastAsia="ja-JP"/>
        </w:rPr>
        <w:t xml:space="preserve">An entity eligible to apply for a grant under this section is— (A) a State or a group of States; (B) a local government or a group of local governments; or (C) a metropolitan planning organization (as defined in section 134(b) of title 23, United States Code) or a group of metropolitan planning organizations. </w:t>
      </w:r>
    </w:p>
    <w:p w:rsidR="00E96502" w:rsidRPr="00A657C7" w:rsidP="00A657C7" w14:paraId="0B405035" w14:textId="77777777">
      <w:pPr>
        <w:autoSpaceDE w:val="0"/>
        <w:autoSpaceDN w:val="0"/>
        <w:adjustRightInd w:val="0"/>
        <w:ind w:left="720"/>
        <w:rPr>
          <w:color w:val="000000"/>
          <w:sz w:val="24"/>
          <w:szCs w:val="24"/>
          <w:lang w:eastAsia="ja-JP"/>
        </w:rPr>
      </w:pPr>
    </w:p>
    <w:p w:rsidR="00E96502" w:rsidP="00E96502" w14:paraId="24AD8E5B" w14:textId="77777777">
      <w:pPr>
        <w:autoSpaceDE w:val="0"/>
        <w:autoSpaceDN w:val="0"/>
        <w:adjustRightInd w:val="0"/>
        <w:ind w:left="720"/>
        <w:rPr>
          <w:color w:val="000000"/>
          <w:sz w:val="24"/>
          <w:szCs w:val="24"/>
          <w:lang w:eastAsia="ja-JP"/>
        </w:rPr>
      </w:pPr>
      <w:r w:rsidRPr="00A657C7">
        <w:rPr>
          <w:color w:val="000000"/>
          <w:sz w:val="24"/>
          <w:szCs w:val="24"/>
          <w:lang w:eastAsia="ja-JP"/>
        </w:rPr>
        <w:t xml:space="preserve">(5) </w:t>
      </w:r>
      <w:r w:rsidRPr="00A657C7">
        <w:rPr>
          <w:b/>
          <w:bCs/>
          <w:color w:val="000000"/>
          <w:sz w:val="24"/>
          <w:szCs w:val="24"/>
          <w:lang w:eastAsia="ja-JP"/>
        </w:rPr>
        <w:t xml:space="preserve">USE OF </w:t>
      </w:r>
      <w:r w:rsidRPr="00A657C7">
        <w:rPr>
          <w:b/>
          <w:bCs/>
          <w:color w:val="000000"/>
          <w:sz w:val="24"/>
          <w:szCs w:val="24"/>
          <w:lang w:eastAsia="ja-JP"/>
        </w:rPr>
        <w:t>FUNDS</w:t>
      </w:r>
      <w:r w:rsidRPr="00A657C7">
        <w:rPr>
          <w:color w:val="000000"/>
          <w:sz w:val="24"/>
          <w:szCs w:val="24"/>
          <w:lang w:eastAsia="ja-JP"/>
        </w:rPr>
        <w:t>.—</w:t>
      </w:r>
      <w:r w:rsidRPr="00A657C7">
        <w:rPr>
          <w:color w:val="000000"/>
          <w:sz w:val="24"/>
          <w:szCs w:val="24"/>
          <w:lang w:eastAsia="ja-JP"/>
        </w:rPr>
        <w:t xml:space="preserve">An eligible entity that receives a grant under this section shall use the grant to carry out a pilot project to address 1 or more of the objectives described in paragraph (3). </w:t>
      </w:r>
    </w:p>
    <w:p w:rsidR="00E96502" w:rsidP="00E96502" w14:paraId="3CA54B8A" w14:textId="77777777">
      <w:pPr>
        <w:autoSpaceDE w:val="0"/>
        <w:autoSpaceDN w:val="0"/>
        <w:adjustRightInd w:val="0"/>
        <w:ind w:left="720"/>
        <w:rPr>
          <w:color w:val="000000"/>
          <w:sz w:val="24"/>
          <w:szCs w:val="24"/>
          <w:lang w:eastAsia="ja-JP"/>
        </w:rPr>
      </w:pPr>
    </w:p>
    <w:p w:rsidR="00E96502" w:rsidP="00E96502" w14:paraId="2C042222" w14:textId="2C4FC6F9">
      <w:pPr>
        <w:autoSpaceDE w:val="0"/>
        <w:autoSpaceDN w:val="0"/>
        <w:adjustRightInd w:val="0"/>
        <w:ind w:left="720"/>
        <w:rPr>
          <w:color w:val="000000"/>
          <w:sz w:val="24"/>
          <w:szCs w:val="24"/>
          <w:lang w:eastAsia="ja-JP"/>
        </w:rPr>
      </w:pPr>
      <w:r w:rsidRPr="00A657C7">
        <w:rPr>
          <w:color w:val="000000"/>
          <w:sz w:val="24"/>
          <w:szCs w:val="24"/>
          <w:lang w:eastAsia="ja-JP"/>
        </w:rPr>
        <w:t xml:space="preserve">(6) </w:t>
      </w:r>
      <w:r w:rsidRPr="00A657C7">
        <w:rPr>
          <w:b/>
          <w:bCs/>
          <w:color w:val="000000"/>
          <w:sz w:val="24"/>
          <w:szCs w:val="24"/>
          <w:lang w:eastAsia="ja-JP"/>
        </w:rPr>
        <w:t>CONSIDERATION</w:t>
      </w:r>
      <w:r w:rsidRPr="00A657C7">
        <w:rPr>
          <w:color w:val="000000"/>
          <w:sz w:val="24"/>
          <w:szCs w:val="24"/>
          <w:lang w:eastAsia="ja-JP"/>
        </w:rPr>
        <w:t>.—</w:t>
      </w:r>
      <w:r w:rsidRPr="00A657C7">
        <w:rPr>
          <w:color w:val="000000"/>
          <w:sz w:val="24"/>
          <w:szCs w:val="24"/>
          <w:lang w:eastAsia="ja-JP"/>
        </w:rPr>
        <w:t xml:space="preserve">The Secretary shall consider geographic diversity in awarding grants under this subsection. </w:t>
      </w:r>
    </w:p>
    <w:p w:rsidR="00E96502" w:rsidP="00E96502" w14:paraId="0B911022" w14:textId="57249B60">
      <w:pPr>
        <w:autoSpaceDE w:val="0"/>
        <w:autoSpaceDN w:val="0"/>
        <w:adjustRightInd w:val="0"/>
        <w:ind w:left="720"/>
        <w:rPr>
          <w:color w:val="000000"/>
          <w:sz w:val="24"/>
          <w:szCs w:val="24"/>
          <w:lang w:eastAsia="ja-JP"/>
        </w:rPr>
      </w:pPr>
    </w:p>
    <w:p w:rsidR="00E96502" w:rsidP="00E96502" w14:paraId="50E7BBE4" w14:textId="77777777">
      <w:pPr>
        <w:autoSpaceDE w:val="0"/>
        <w:autoSpaceDN w:val="0"/>
        <w:adjustRightInd w:val="0"/>
        <w:ind w:left="720"/>
        <w:rPr>
          <w:color w:val="000000"/>
          <w:sz w:val="24"/>
          <w:szCs w:val="24"/>
          <w:lang w:eastAsia="ja-JP"/>
        </w:rPr>
      </w:pPr>
      <w:r w:rsidRPr="00A657C7">
        <w:rPr>
          <w:color w:val="000000"/>
          <w:sz w:val="24"/>
          <w:szCs w:val="24"/>
          <w:lang w:eastAsia="ja-JP"/>
        </w:rPr>
        <w:t xml:space="preserve">(7) </w:t>
      </w:r>
      <w:r w:rsidRPr="00A657C7">
        <w:rPr>
          <w:b/>
          <w:bCs/>
          <w:color w:val="000000"/>
          <w:sz w:val="24"/>
          <w:szCs w:val="24"/>
          <w:lang w:eastAsia="ja-JP"/>
        </w:rPr>
        <w:t xml:space="preserve">FEDERAL </w:t>
      </w:r>
      <w:r w:rsidRPr="00A657C7">
        <w:rPr>
          <w:b/>
          <w:bCs/>
          <w:color w:val="000000"/>
          <w:sz w:val="24"/>
          <w:szCs w:val="24"/>
          <w:lang w:eastAsia="ja-JP"/>
        </w:rPr>
        <w:t>SHARE</w:t>
      </w:r>
      <w:r w:rsidRPr="00A657C7">
        <w:rPr>
          <w:color w:val="000000"/>
          <w:sz w:val="24"/>
          <w:szCs w:val="24"/>
          <w:lang w:eastAsia="ja-JP"/>
        </w:rPr>
        <w:t>.—</w:t>
      </w:r>
      <w:r w:rsidRPr="00A657C7">
        <w:rPr>
          <w:color w:val="000000"/>
          <w:sz w:val="24"/>
          <w:szCs w:val="24"/>
          <w:lang w:eastAsia="ja-JP"/>
        </w:rPr>
        <w:t xml:space="preserve">The Federal share of the cost of a pilot project carried out under this section may not exceed— H. R. 3684—196 </w:t>
      </w:r>
    </w:p>
    <w:p w:rsidR="00E96502" w:rsidP="00E96502" w14:paraId="1504C21B" w14:textId="77777777">
      <w:pPr>
        <w:autoSpaceDE w:val="0"/>
        <w:autoSpaceDN w:val="0"/>
        <w:adjustRightInd w:val="0"/>
        <w:ind w:left="720"/>
        <w:rPr>
          <w:color w:val="000000"/>
          <w:sz w:val="24"/>
          <w:szCs w:val="24"/>
          <w:lang w:eastAsia="ja-JP"/>
        </w:rPr>
      </w:pPr>
    </w:p>
    <w:p w:rsidR="00E96502" w:rsidP="00E96502" w14:paraId="23E24A62" w14:textId="77777777">
      <w:pPr>
        <w:autoSpaceDE w:val="0"/>
        <w:autoSpaceDN w:val="0"/>
        <w:adjustRightInd w:val="0"/>
        <w:ind w:left="1440"/>
        <w:rPr>
          <w:color w:val="000000"/>
          <w:sz w:val="24"/>
          <w:szCs w:val="24"/>
          <w:lang w:eastAsia="ja-JP"/>
        </w:rPr>
      </w:pPr>
      <w:r w:rsidRPr="00A657C7">
        <w:rPr>
          <w:color w:val="000000"/>
          <w:sz w:val="24"/>
          <w:szCs w:val="24"/>
          <w:lang w:eastAsia="ja-JP"/>
        </w:rPr>
        <w:t xml:space="preserve">(A) 80 percent of the total cost of a project carried out by an eligible entity that has not otherwise received a grant under this section; and </w:t>
      </w:r>
    </w:p>
    <w:p w:rsidR="00E96502" w:rsidP="00E96502" w14:paraId="6347C2A3" w14:textId="77777777">
      <w:pPr>
        <w:autoSpaceDE w:val="0"/>
        <w:autoSpaceDN w:val="0"/>
        <w:adjustRightInd w:val="0"/>
        <w:ind w:left="1440"/>
        <w:rPr>
          <w:color w:val="000000"/>
          <w:sz w:val="24"/>
          <w:szCs w:val="24"/>
          <w:lang w:eastAsia="ja-JP"/>
        </w:rPr>
      </w:pPr>
    </w:p>
    <w:p w:rsidR="00E96502" w:rsidP="00E96502" w14:paraId="30300B29" w14:textId="77777777">
      <w:pPr>
        <w:autoSpaceDE w:val="0"/>
        <w:autoSpaceDN w:val="0"/>
        <w:adjustRightInd w:val="0"/>
        <w:ind w:left="1440"/>
        <w:rPr>
          <w:color w:val="000000"/>
          <w:sz w:val="24"/>
          <w:szCs w:val="24"/>
          <w:lang w:eastAsia="ja-JP"/>
        </w:rPr>
      </w:pPr>
      <w:r w:rsidRPr="00A657C7">
        <w:rPr>
          <w:color w:val="000000"/>
          <w:sz w:val="24"/>
          <w:szCs w:val="24"/>
          <w:lang w:eastAsia="ja-JP"/>
        </w:rPr>
        <w:t xml:space="preserve">(B) 70 percent of the total cost of a project carried out by an eligible entity that has received at least 1 grant under this section. </w:t>
      </w:r>
    </w:p>
    <w:p w:rsidR="00E96502" w:rsidP="00E96502" w14:paraId="44F9EE36" w14:textId="77777777">
      <w:pPr>
        <w:autoSpaceDE w:val="0"/>
        <w:autoSpaceDN w:val="0"/>
        <w:adjustRightInd w:val="0"/>
        <w:ind w:left="1440"/>
        <w:rPr>
          <w:color w:val="000000"/>
          <w:sz w:val="24"/>
          <w:szCs w:val="24"/>
          <w:lang w:eastAsia="ja-JP"/>
        </w:rPr>
      </w:pPr>
    </w:p>
    <w:p w:rsidR="00E96502" w:rsidP="00E96502" w14:paraId="4C7784EB" w14:textId="77777777">
      <w:pPr>
        <w:autoSpaceDE w:val="0"/>
        <w:autoSpaceDN w:val="0"/>
        <w:adjustRightInd w:val="0"/>
        <w:ind w:left="1440"/>
        <w:rPr>
          <w:color w:val="000000"/>
          <w:sz w:val="24"/>
          <w:szCs w:val="24"/>
          <w:lang w:eastAsia="ja-JP"/>
        </w:rPr>
      </w:pPr>
      <w:r w:rsidRPr="00A657C7">
        <w:rPr>
          <w:color w:val="000000"/>
          <w:sz w:val="24"/>
          <w:szCs w:val="24"/>
          <w:lang w:eastAsia="ja-JP"/>
        </w:rPr>
        <w:t xml:space="preserve">(c) LIMITATION ON REVENUE </w:t>
      </w:r>
      <w:r w:rsidRPr="00A657C7">
        <w:rPr>
          <w:color w:val="000000"/>
          <w:sz w:val="24"/>
          <w:szCs w:val="24"/>
          <w:lang w:eastAsia="ja-JP"/>
        </w:rPr>
        <w:t>COLLECTED.—</w:t>
      </w:r>
      <w:r w:rsidRPr="00A657C7">
        <w:rPr>
          <w:color w:val="000000"/>
          <w:sz w:val="24"/>
          <w:szCs w:val="24"/>
          <w:lang w:eastAsia="ja-JP"/>
        </w:rPr>
        <w:t xml:space="preserve">Any revenue collected through a user-based alternative revenue mechanism established using funds provided under this section shall not be considered a toll under section 301 of title 23, United States Code. </w:t>
      </w:r>
    </w:p>
    <w:p w:rsidR="00E96502" w:rsidP="00E96502" w14:paraId="5F0E494A" w14:textId="77777777">
      <w:pPr>
        <w:autoSpaceDE w:val="0"/>
        <w:autoSpaceDN w:val="0"/>
        <w:adjustRightInd w:val="0"/>
        <w:ind w:left="1440"/>
        <w:rPr>
          <w:color w:val="000000"/>
          <w:sz w:val="24"/>
          <w:szCs w:val="24"/>
          <w:lang w:eastAsia="ja-JP"/>
        </w:rPr>
      </w:pPr>
    </w:p>
    <w:p w:rsidR="00E96502" w:rsidP="00E96502" w14:paraId="0C57592E" w14:textId="77777777">
      <w:pPr>
        <w:autoSpaceDE w:val="0"/>
        <w:autoSpaceDN w:val="0"/>
        <w:adjustRightInd w:val="0"/>
        <w:ind w:left="1440"/>
        <w:rPr>
          <w:color w:val="000000"/>
          <w:sz w:val="24"/>
          <w:szCs w:val="24"/>
          <w:lang w:eastAsia="ja-JP"/>
        </w:rPr>
      </w:pPr>
      <w:r w:rsidRPr="00A657C7">
        <w:rPr>
          <w:color w:val="000000"/>
          <w:sz w:val="24"/>
          <w:szCs w:val="24"/>
          <w:lang w:eastAsia="ja-JP"/>
        </w:rPr>
        <w:t xml:space="preserve">(d) RECOMMENDATIONS AND </w:t>
      </w:r>
      <w:r w:rsidRPr="00A657C7">
        <w:rPr>
          <w:color w:val="000000"/>
          <w:sz w:val="24"/>
          <w:szCs w:val="24"/>
          <w:lang w:eastAsia="ja-JP"/>
        </w:rPr>
        <w:t>REPORT.—</w:t>
      </w:r>
      <w:r w:rsidRPr="00A657C7">
        <w:rPr>
          <w:color w:val="000000"/>
          <w:sz w:val="24"/>
          <w:szCs w:val="24"/>
          <w:lang w:eastAsia="ja-JP"/>
        </w:rPr>
        <w:t xml:space="preserve">Not later than 3 years after the date of enactment of this Act, the Secretary, in coordination with the Secretary of the Treasury and the Federal System Funding Alternative Advisory Board established under section 13002(g)(1), shall submit to the Committee on Environment and Public Works of the Senate and the Committee on Transportation and Infrastructure of the House of Representatives a report that— </w:t>
      </w:r>
    </w:p>
    <w:p w:rsidR="00E96502" w:rsidP="00E96502" w14:paraId="6D8AC1ED" w14:textId="77777777">
      <w:pPr>
        <w:autoSpaceDE w:val="0"/>
        <w:autoSpaceDN w:val="0"/>
        <w:adjustRightInd w:val="0"/>
        <w:ind w:left="1440"/>
        <w:rPr>
          <w:color w:val="000000"/>
          <w:sz w:val="24"/>
          <w:szCs w:val="24"/>
          <w:lang w:eastAsia="ja-JP"/>
        </w:rPr>
      </w:pPr>
    </w:p>
    <w:p w:rsidR="00E96502" w:rsidP="00E96502" w14:paraId="187B8CAE" w14:textId="77777777">
      <w:pPr>
        <w:autoSpaceDE w:val="0"/>
        <w:autoSpaceDN w:val="0"/>
        <w:adjustRightInd w:val="0"/>
        <w:ind w:left="2160"/>
        <w:rPr>
          <w:color w:val="000000"/>
          <w:sz w:val="24"/>
          <w:szCs w:val="24"/>
          <w:lang w:eastAsia="ja-JP"/>
        </w:rPr>
      </w:pPr>
      <w:r w:rsidRPr="00A657C7">
        <w:rPr>
          <w:color w:val="000000"/>
          <w:sz w:val="24"/>
          <w:szCs w:val="24"/>
          <w:lang w:eastAsia="ja-JP"/>
        </w:rPr>
        <w:t xml:space="preserve">(1) summarizes the results of the pilot projects under this section and the national pilot program under section 13002; and </w:t>
      </w:r>
    </w:p>
    <w:p w:rsidR="00E96502" w:rsidP="00E96502" w14:paraId="07D1AB89" w14:textId="77777777">
      <w:pPr>
        <w:autoSpaceDE w:val="0"/>
        <w:autoSpaceDN w:val="0"/>
        <w:adjustRightInd w:val="0"/>
        <w:ind w:left="2160"/>
        <w:rPr>
          <w:color w:val="000000"/>
          <w:sz w:val="24"/>
          <w:szCs w:val="24"/>
          <w:lang w:eastAsia="ja-JP"/>
        </w:rPr>
      </w:pPr>
    </w:p>
    <w:p w:rsidR="00E96502" w:rsidP="00E96502" w14:paraId="6B277945" w14:textId="77777777">
      <w:pPr>
        <w:autoSpaceDE w:val="0"/>
        <w:autoSpaceDN w:val="0"/>
        <w:adjustRightInd w:val="0"/>
        <w:ind w:left="2160"/>
        <w:rPr>
          <w:color w:val="000000"/>
          <w:sz w:val="24"/>
          <w:szCs w:val="24"/>
          <w:lang w:eastAsia="ja-JP"/>
        </w:rPr>
      </w:pPr>
      <w:r w:rsidRPr="00A657C7">
        <w:rPr>
          <w:color w:val="000000"/>
          <w:sz w:val="24"/>
          <w:szCs w:val="24"/>
          <w:lang w:eastAsia="ja-JP"/>
        </w:rPr>
        <w:t xml:space="preserve">(2) provides recommendations, if applicable, to enable potential implementation of a nationwide user-based alternative revenue mechanism. </w:t>
      </w:r>
    </w:p>
    <w:p w:rsidR="00E96502" w:rsidP="00E96502" w14:paraId="72E9519D" w14:textId="77777777">
      <w:pPr>
        <w:autoSpaceDE w:val="0"/>
        <w:autoSpaceDN w:val="0"/>
        <w:adjustRightInd w:val="0"/>
        <w:ind w:left="2160"/>
        <w:rPr>
          <w:color w:val="000000"/>
          <w:sz w:val="24"/>
          <w:szCs w:val="24"/>
          <w:lang w:eastAsia="ja-JP"/>
        </w:rPr>
      </w:pPr>
    </w:p>
    <w:p w:rsidR="002B4644" w:rsidP="00E96502" w14:paraId="0CF50AE8" w14:textId="77777777">
      <w:pPr>
        <w:autoSpaceDE w:val="0"/>
        <w:autoSpaceDN w:val="0"/>
        <w:adjustRightInd w:val="0"/>
        <w:ind w:left="1440"/>
        <w:rPr>
          <w:color w:val="000000"/>
          <w:sz w:val="24"/>
          <w:szCs w:val="24"/>
          <w:lang w:eastAsia="ja-JP"/>
        </w:rPr>
      </w:pPr>
      <w:r w:rsidRPr="00A657C7">
        <w:rPr>
          <w:color w:val="000000"/>
          <w:sz w:val="24"/>
          <w:szCs w:val="24"/>
          <w:lang w:eastAsia="ja-JP"/>
        </w:rPr>
        <w:t xml:space="preserve">(e) </w:t>
      </w:r>
      <w:r w:rsidRPr="00A657C7">
        <w:rPr>
          <w:color w:val="000000"/>
          <w:sz w:val="24"/>
          <w:szCs w:val="24"/>
          <w:lang w:eastAsia="ja-JP"/>
        </w:rPr>
        <w:t>FUNDING.—</w:t>
      </w:r>
      <w:r w:rsidRPr="00A657C7">
        <w:rPr>
          <w:color w:val="000000"/>
          <w:sz w:val="24"/>
          <w:szCs w:val="24"/>
          <w:lang w:eastAsia="ja-JP"/>
        </w:rPr>
        <w:t xml:space="preserve"> (1) IN GENERAL.—Of the funds made available to carry out section 503(b) of title 23, United States Code, for each of fiscal years 2022 through 2026 $15,000,000 shall be used for pilot projects under this section. </w:t>
      </w:r>
    </w:p>
    <w:p w:rsidR="002B4644" w:rsidP="00E96502" w14:paraId="07C0C49E" w14:textId="77777777">
      <w:pPr>
        <w:autoSpaceDE w:val="0"/>
        <w:autoSpaceDN w:val="0"/>
        <w:adjustRightInd w:val="0"/>
        <w:ind w:left="1440"/>
        <w:rPr>
          <w:color w:val="000000"/>
          <w:sz w:val="24"/>
          <w:szCs w:val="24"/>
          <w:lang w:eastAsia="ja-JP"/>
        </w:rPr>
      </w:pPr>
    </w:p>
    <w:p w:rsidR="002B4644" w:rsidP="00E96502" w14:paraId="44EDDC84" w14:textId="77777777">
      <w:pPr>
        <w:autoSpaceDE w:val="0"/>
        <w:autoSpaceDN w:val="0"/>
        <w:adjustRightInd w:val="0"/>
        <w:ind w:left="1440"/>
        <w:rPr>
          <w:color w:val="000000"/>
          <w:sz w:val="24"/>
          <w:szCs w:val="24"/>
          <w:lang w:eastAsia="ja-JP"/>
        </w:rPr>
      </w:pPr>
    </w:p>
    <w:p w:rsidR="00E96502" w:rsidP="00E96502" w14:paraId="504E27C0" w14:textId="7B92AC6D">
      <w:pPr>
        <w:autoSpaceDE w:val="0"/>
        <w:autoSpaceDN w:val="0"/>
        <w:adjustRightInd w:val="0"/>
        <w:ind w:left="1440"/>
        <w:rPr>
          <w:color w:val="000000"/>
          <w:sz w:val="24"/>
          <w:szCs w:val="24"/>
          <w:lang w:eastAsia="ja-JP"/>
        </w:rPr>
      </w:pPr>
      <w:r w:rsidRPr="00A657C7">
        <w:rPr>
          <w:color w:val="000000"/>
          <w:sz w:val="24"/>
          <w:szCs w:val="24"/>
          <w:lang w:eastAsia="ja-JP"/>
        </w:rPr>
        <w:t>(2) FLEXIBILITY.—If, by August 1 of each fiscal year, the Secretary determines that there are not enough grant applications to meet the requirements of this section for that fiscal year, the Secretary shall transfer to the national pilot program under section 13002 or to the highway research and development program under section 503(b) of title 23, United States Code— (A) any funds reserved for a fiscal year under paragraph (1) that the Secretary has not yet awarded under this section; and (B) an amount of obligation limitation equal to the amount of funds that the Secretary transfers under subparagraph (A).</w:t>
      </w:r>
      <w:r>
        <w:rPr>
          <w:color w:val="000000"/>
          <w:sz w:val="24"/>
          <w:szCs w:val="24"/>
          <w:lang w:eastAsia="ja-JP"/>
        </w:rPr>
        <w:t xml:space="preserve">  </w:t>
      </w:r>
    </w:p>
    <w:p w:rsidR="00E96502" w:rsidP="00E96502" w14:paraId="7FF8550B" w14:textId="77777777">
      <w:pPr>
        <w:autoSpaceDE w:val="0"/>
        <w:autoSpaceDN w:val="0"/>
        <w:adjustRightInd w:val="0"/>
        <w:ind w:left="1440"/>
        <w:rPr>
          <w:color w:val="000000"/>
          <w:sz w:val="24"/>
          <w:szCs w:val="24"/>
          <w:lang w:eastAsia="ja-JP"/>
        </w:rPr>
      </w:pPr>
    </w:p>
    <w:p w:rsidR="00B345D6" w:rsidP="00E96502" w14:paraId="4F0EB991" w14:textId="77777777">
      <w:pPr>
        <w:autoSpaceDE w:val="0"/>
        <w:autoSpaceDN w:val="0"/>
        <w:adjustRightInd w:val="0"/>
        <w:ind w:left="1440"/>
        <w:rPr>
          <w:b/>
          <w:bCs/>
          <w:color w:val="000000"/>
          <w:sz w:val="24"/>
          <w:szCs w:val="24"/>
          <w:lang w:eastAsia="ja-JP"/>
        </w:rPr>
      </w:pPr>
      <w:r w:rsidRPr="00A657C7">
        <w:rPr>
          <w:color w:val="000000"/>
          <w:sz w:val="24"/>
          <w:szCs w:val="24"/>
          <w:lang w:eastAsia="ja-JP"/>
        </w:rPr>
        <w:t xml:space="preserve">(f) </w:t>
      </w:r>
      <w:r w:rsidRPr="00A657C7">
        <w:rPr>
          <w:color w:val="000000"/>
          <w:sz w:val="24"/>
          <w:szCs w:val="24"/>
          <w:lang w:eastAsia="ja-JP"/>
        </w:rPr>
        <w:t>REPEAL</w:t>
      </w:r>
      <w:r w:rsidRPr="00A657C7">
        <w:rPr>
          <w:b/>
          <w:bCs/>
          <w:color w:val="000000"/>
          <w:sz w:val="24"/>
          <w:szCs w:val="24"/>
          <w:lang w:eastAsia="ja-JP"/>
        </w:rPr>
        <w:t>.—</w:t>
      </w:r>
      <w:r w:rsidRPr="00A657C7">
        <w:rPr>
          <w:b/>
          <w:bCs/>
          <w:color w:val="000000"/>
          <w:sz w:val="24"/>
          <w:szCs w:val="24"/>
          <w:lang w:eastAsia="ja-JP"/>
        </w:rPr>
        <w:t xml:space="preserve"> </w:t>
      </w:r>
    </w:p>
    <w:p w:rsidR="00B345D6" w:rsidP="00E96502" w14:paraId="37CCC245" w14:textId="77777777">
      <w:pPr>
        <w:autoSpaceDE w:val="0"/>
        <w:autoSpaceDN w:val="0"/>
        <w:adjustRightInd w:val="0"/>
        <w:ind w:left="1440"/>
        <w:rPr>
          <w:b/>
          <w:bCs/>
          <w:color w:val="000000"/>
          <w:sz w:val="24"/>
          <w:szCs w:val="24"/>
          <w:lang w:eastAsia="ja-JP"/>
        </w:rPr>
      </w:pPr>
    </w:p>
    <w:p w:rsidR="00B345D6" w:rsidP="00B345D6" w14:paraId="313B28BE" w14:textId="77777777">
      <w:pPr>
        <w:autoSpaceDE w:val="0"/>
        <w:autoSpaceDN w:val="0"/>
        <w:adjustRightInd w:val="0"/>
        <w:ind w:left="2160"/>
        <w:rPr>
          <w:b/>
          <w:bCs/>
          <w:color w:val="000000"/>
          <w:sz w:val="24"/>
          <w:szCs w:val="24"/>
          <w:lang w:eastAsia="ja-JP"/>
        </w:rPr>
      </w:pPr>
      <w:r w:rsidRPr="00A657C7">
        <w:rPr>
          <w:b/>
          <w:bCs/>
          <w:color w:val="000000"/>
          <w:sz w:val="24"/>
          <w:szCs w:val="24"/>
          <w:lang w:eastAsia="ja-JP"/>
        </w:rPr>
        <w:t xml:space="preserve">(1) IN </w:t>
      </w:r>
      <w:r w:rsidRPr="00A657C7">
        <w:rPr>
          <w:b/>
          <w:bCs/>
          <w:color w:val="000000"/>
          <w:sz w:val="24"/>
          <w:szCs w:val="24"/>
          <w:lang w:eastAsia="ja-JP"/>
        </w:rPr>
        <w:t>GENERAL.—</w:t>
      </w:r>
      <w:r w:rsidRPr="00A657C7">
        <w:rPr>
          <w:b/>
          <w:bCs/>
          <w:color w:val="000000"/>
          <w:sz w:val="24"/>
          <w:szCs w:val="24"/>
          <w:lang w:eastAsia="ja-JP"/>
        </w:rPr>
        <w:t xml:space="preserve">Section 6020 of the FAST Act (23 U.S.C. 503 note; Public Law 114–94) is repealed. </w:t>
      </w:r>
    </w:p>
    <w:p w:rsidR="00B345D6" w:rsidP="00B345D6" w14:paraId="3CA484D8" w14:textId="77777777">
      <w:pPr>
        <w:autoSpaceDE w:val="0"/>
        <w:autoSpaceDN w:val="0"/>
        <w:adjustRightInd w:val="0"/>
        <w:ind w:left="2160"/>
        <w:rPr>
          <w:b/>
          <w:bCs/>
          <w:color w:val="000000"/>
          <w:sz w:val="24"/>
          <w:szCs w:val="24"/>
          <w:lang w:eastAsia="ja-JP"/>
        </w:rPr>
      </w:pPr>
    </w:p>
    <w:p w:rsidR="00083C3B" w:rsidRPr="002250DD" w:rsidP="00A657C7" w14:paraId="3A657BEE" w14:textId="7CBD852D">
      <w:pPr>
        <w:autoSpaceDE w:val="0"/>
        <w:autoSpaceDN w:val="0"/>
        <w:adjustRightInd w:val="0"/>
        <w:ind w:left="2160"/>
        <w:rPr>
          <w:rFonts w:ascii="Arial" w:hAnsi="Arial" w:eastAsiaTheme="minorHAnsi" w:cs="Arial"/>
          <w:sz w:val="24"/>
          <w:szCs w:val="24"/>
        </w:rPr>
      </w:pPr>
      <w:r w:rsidRPr="00A657C7">
        <w:rPr>
          <w:color w:val="000000"/>
          <w:sz w:val="24"/>
          <w:szCs w:val="24"/>
          <w:lang w:eastAsia="ja-JP"/>
        </w:rPr>
        <w:t xml:space="preserve">(2) CLERICAL </w:t>
      </w:r>
      <w:r w:rsidRPr="00A657C7">
        <w:rPr>
          <w:color w:val="000000"/>
          <w:sz w:val="24"/>
          <w:szCs w:val="24"/>
          <w:lang w:eastAsia="ja-JP"/>
        </w:rPr>
        <w:t>AMENDMENT.—</w:t>
      </w:r>
      <w:r w:rsidRPr="00A657C7">
        <w:rPr>
          <w:color w:val="000000"/>
          <w:sz w:val="24"/>
          <w:szCs w:val="24"/>
          <w:lang w:eastAsia="ja-JP"/>
        </w:rPr>
        <w:t>The table of contents in section 1(b) of the FAST Act (Public Law 114–94; 129 Stat. 1312) is amended by striking the item relating to section 6020.</w:t>
      </w:r>
      <w:r w:rsidRPr="00A657C7">
        <w:rPr>
          <w:rFonts w:ascii="Calibri" w:hAnsi="Calibri" w:cs="Calibri"/>
          <w:color w:val="000000"/>
          <w:sz w:val="24"/>
          <w:szCs w:val="24"/>
          <w:lang w:eastAsia="ja-JP"/>
        </w:rPr>
        <w:t xml:space="preserve"> </w:t>
      </w:r>
      <w:bookmarkStart w:id="29" w:name="substructure-location_a"/>
      <w:bookmarkStart w:id="30" w:name="substructure-location_a_1"/>
      <w:bookmarkStart w:id="31" w:name="substructure-location_a_1_A"/>
      <w:bookmarkStart w:id="32" w:name="substructure-location_a_1_B"/>
      <w:bookmarkStart w:id="33" w:name="substructure-location_a_1_B_i"/>
      <w:bookmarkStart w:id="34" w:name="substructure-location_a_1_B_ii"/>
      <w:bookmarkStart w:id="35" w:name="substructure-location_a_2"/>
      <w:bookmarkStart w:id="36" w:name="substructure-location_a_3"/>
      <w:bookmarkStart w:id="37" w:name="substructure-location_b"/>
      <w:bookmarkStart w:id="38" w:name="substructure-location_b_1"/>
      <w:bookmarkStart w:id="39" w:name="substructure-location_b_2"/>
      <w:bookmarkStart w:id="40" w:name="substructure-location_b_2_A"/>
      <w:bookmarkStart w:id="41" w:name="substructure-location_b_2_B"/>
      <w:bookmarkStart w:id="42" w:name="substructure-location_b_2_B_i"/>
      <w:bookmarkStart w:id="43" w:name="substructure-location_b_2_B_i_I"/>
      <w:bookmarkStart w:id="44" w:name="substructure-location_b_2_B_i_II"/>
      <w:bookmarkStart w:id="45" w:name="substructure-location_b_2_B_ii"/>
      <w:bookmarkStart w:id="46" w:name="substructure-location_b_2_B_ii_I"/>
      <w:bookmarkStart w:id="47" w:name="substructure-location_b_2_B_ii_II"/>
      <w:bookmarkStart w:id="48" w:name="substructure-location_b_2_B_iii"/>
      <w:bookmarkStart w:id="49" w:name="substructure-location_b_2_B_iii_I"/>
      <w:bookmarkStart w:id="50" w:name="substructure-location_b_2_B_iii_II"/>
      <w:bookmarkStart w:id="51" w:name="substructure-location_b_2_B_iv"/>
      <w:bookmarkStart w:id="52" w:name="substructure-location_b_2_B_iv_I"/>
      <w:bookmarkStart w:id="53" w:name="substructure-location_b_2_B_iv_II"/>
      <w:bookmarkStart w:id="54" w:name="substructure-location_b_2_C"/>
      <w:bookmarkStart w:id="55" w:name="substructure-location_c"/>
      <w:bookmarkStart w:id="56" w:name="substructure-location_c_1"/>
      <w:bookmarkStart w:id="57" w:name="substructure-location_c_2"/>
      <w:bookmarkStart w:id="58" w:name="substructure-location_c_2_A"/>
      <w:bookmarkStart w:id="59" w:name="substructure-location_c_2_A_i"/>
      <w:bookmarkStart w:id="60" w:name="substructure-location_c_2_A_ii"/>
      <w:bookmarkStart w:id="61" w:name="substructure-location_c_2_B"/>
      <w:bookmarkStart w:id="62" w:name="substructure-location_c_2_B_i"/>
      <w:bookmarkStart w:id="63" w:name="substructure-location_c_2_B_ii"/>
      <w:bookmarkStart w:id="64" w:name="substructure-location_c_3"/>
      <w:bookmarkStart w:id="65" w:name="substructure-location_c_3_A"/>
      <w:bookmarkStart w:id="66" w:name="substructure-location_c_3_B"/>
      <w:bookmarkStart w:id="67" w:name="substructure-location_c_4"/>
      <w:bookmarkStart w:id="68" w:name="substructure-location_c_4_A"/>
      <w:bookmarkStart w:id="69" w:name="substructure-location_c_4_B"/>
      <w:bookmarkStart w:id="70" w:name="substructure-location_c_4_B_i"/>
      <w:bookmarkStart w:id="71" w:name="substructure-location_c_4_B_ii"/>
      <w:bookmarkStart w:id="72" w:name="substructure-location_c_4_C"/>
      <w:bookmarkStart w:id="73" w:name="substructure-location_c_5"/>
      <w:bookmarkStart w:id="74" w:name="substructure-location_c_5_A"/>
      <w:bookmarkStart w:id="75" w:name="substructure-location_c_5_A_i"/>
      <w:bookmarkStart w:id="76" w:name="substructure-location_c_5_A_ii"/>
      <w:bookmarkStart w:id="77" w:name="substructure-location_c_5_A_iii"/>
      <w:bookmarkStart w:id="78" w:name="substructure-location_c_5_A_iv"/>
      <w:bookmarkStart w:id="79" w:name="substructure-location_c_5_A_v"/>
      <w:bookmarkStart w:id="80" w:name="substructure-location_c_5_A_vi"/>
      <w:bookmarkStart w:id="81" w:name="substructure-location_c_5_A_vii"/>
      <w:bookmarkStart w:id="82" w:name="substructure-location_c_5_A_viii"/>
      <w:bookmarkStart w:id="83" w:name="substructure-location_c_5_A_viii_I"/>
      <w:bookmarkStart w:id="84" w:name="substructure-location_c_5_A_viii_I_aa"/>
      <w:bookmarkStart w:id="85" w:name="substructure-location_c_5_A_viii_I_bb"/>
      <w:bookmarkStart w:id="86" w:name="substructure-location_c_5_A_viii_I_II"/>
      <w:bookmarkStart w:id="87" w:name="substructure-location_c_5_A_viii_I_II_aa"/>
      <w:bookmarkStart w:id="88" w:name="substructure-location_c_5_A_viii_I_II_bb"/>
      <w:bookmarkStart w:id="89" w:name="substructure-location_c_5_A_viii_I_III"/>
      <w:bookmarkStart w:id="90" w:name="substructure-location_c_5_B"/>
      <w:bookmarkStart w:id="91" w:name="substructure-location_c_5_B_i"/>
      <w:bookmarkStart w:id="92" w:name="substructure-location_c_5_B_i_I"/>
      <w:bookmarkStart w:id="93" w:name="substructure-location_c_5_B_i_II"/>
      <w:bookmarkStart w:id="94" w:name="substructure-location_c_5_B_ii"/>
      <w:bookmarkStart w:id="95" w:name="substructure-location_c_5_B_ii_I"/>
      <w:bookmarkStart w:id="96" w:name="substructure-location_c_5_B_ii_II"/>
      <w:bookmarkStart w:id="97" w:name="substructure-location_c_5_B_iii"/>
      <w:bookmarkStart w:id="98" w:name="substructure-location_c_6"/>
      <w:bookmarkStart w:id="99" w:name="substructure-location_d"/>
      <w:bookmarkStart w:id="100" w:name="substructure-location_d_1"/>
      <w:bookmarkStart w:id="101" w:name="substructure-location_d_2"/>
      <w:bookmarkStart w:id="102" w:name="substructure-location_d_3"/>
      <w:bookmarkStart w:id="103" w:name="substructure-location_d_4"/>
      <w:bookmarkStart w:id="104" w:name="substructure-location_d_5"/>
      <w:bookmarkStart w:id="105" w:name="substructure-location_d_6"/>
      <w:bookmarkStart w:id="106" w:name="substructure-location_d_7"/>
      <w:bookmarkStart w:id="107" w:name="substructure-location_d_8"/>
      <w:bookmarkStart w:id="108" w:name="substructure-location_e"/>
      <w:bookmarkStart w:id="109" w:name="substructure-location_e_1"/>
      <w:bookmarkStart w:id="110" w:name="substructure-location_e_2"/>
      <w:bookmarkStart w:id="111" w:name="substructure-location_e_3"/>
      <w:bookmarkStart w:id="112" w:name="substructure-location_f"/>
      <w:bookmarkStart w:id="113" w:name="substructure-location_f_1"/>
      <w:bookmarkStart w:id="114" w:name="substructure-location_f_1_A"/>
      <w:bookmarkStart w:id="115" w:name="substructure-location_f_1_A_i"/>
      <w:bookmarkStart w:id="116" w:name="substructure-location_f_1_A_ii"/>
      <w:bookmarkStart w:id="117" w:name="substructure-location_f_1_B"/>
      <w:bookmarkStart w:id="118" w:name="substructure-location_f_1_B_i"/>
      <w:bookmarkStart w:id="119" w:name="substructure-location_f_1_B_ii"/>
      <w:bookmarkStart w:id="120" w:name="substructure-location_f_2"/>
      <w:bookmarkStart w:id="121" w:name="substructure-location_f_3"/>
      <w:bookmarkStart w:id="122" w:name="substructure-location_f_3_A"/>
      <w:bookmarkStart w:id="123" w:name="substructure-location_f_3_A_i"/>
      <w:bookmarkStart w:id="124" w:name="substructure-location_f_3_A_ii"/>
      <w:bookmarkStart w:id="125" w:name="substructure-location_f_3_B"/>
      <w:bookmarkStart w:id="126" w:name="substructure-location_f_3_B_i"/>
      <w:bookmarkStart w:id="127" w:name="substructure-location_f_3_B_i_I"/>
      <w:bookmarkStart w:id="128" w:name="substructure-location_f_3_B_i_III"/>
      <w:bookmarkStart w:id="129" w:name="substructure-location_f_3_B_i_IV"/>
      <w:bookmarkStart w:id="130" w:name="substructure-location_f_3_B_i_V"/>
      <w:bookmarkStart w:id="131" w:name="substructure-location_f_3_B_i_VI"/>
      <w:bookmarkStart w:id="132" w:name="substructure-location_f_3_B_i_VII"/>
      <w:bookmarkStart w:id="133" w:name="substructure-location_f_3_B_i_VIII"/>
      <w:bookmarkStart w:id="134" w:name="substructure-location_f_3_B_i_IX"/>
      <w:bookmarkStart w:id="135" w:name="substructure-location_f_3_B_i_X"/>
      <w:bookmarkStart w:id="136" w:name="substructure-location_f_3_B_i_X_aa"/>
      <w:bookmarkStart w:id="137" w:name="substructure-location_f_3_B_i_X_bb"/>
      <w:bookmarkStart w:id="138" w:name="substructure-location_f_3_B_i_X_XI"/>
      <w:bookmarkStart w:id="139" w:name="substructure-location_f_3_B_i_ii"/>
      <w:bookmarkStart w:id="140" w:name="substructure-location_g"/>
      <w:bookmarkStart w:id="141" w:name="substructure-location_g_1"/>
      <w:bookmarkStart w:id="142" w:name="substructure-location_g_1_A"/>
      <w:bookmarkStart w:id="143" w:name="substructure-location_g_1_B"/>
      <w:bookmarkStart w:id="144" w:name="substructure-location_g_2"/>
      <w:bookmarkStart w:id="145" w:name="substructure-location_g_2_A"/>
      <w:bookmarkStart w:id="146" w:name="substructure-location_g_2_B"/>
      <w:bookmarkStart w:id="147" w:name="substructure-location_g_2_B_i"/>
      <w:bookmarkStart w:id="148" w:name="substructure-location_g_2_B_ii"/>
      <w:bookmarkStart w:id="149" w:name="substructure-location_g_3"/>
      <w:bookmarkStart w:id="150" w:name="substructure-location_g_3_A"/>
      <w:bookmarkStart w:id="151" w:name="substructure-location_g_3_B"/>
      <w:bookmarkStart w:id="152" w:name="substructure-location_g_3_C"/>
      <w:bookmarkStart w:id="153" w:name="substructure-location_g_4"/>
      <w:bookmarkStart w:id="154" w:name="substructure-location_g_4_A"/>
      <w:bookmarkStart w:id="155" w:name="substructure-location_g_4_B"/>
      <w:bookmarkStart w:id="156" w:name="substructure-location_g_4_B_i"/>
      <w:bookmarkStart w:id="157" w:name="substructure-location_g_4_B_ii"/>
      <w:bookmarkStart w:id="158" w:name="substructure-location_g_4_B_iii"/>
      <w:bookmarkStart w:id="159" w:name="substructure-location_g_4_B_iv"/>
      <w:bookmarkStart w:id="160" w:name="substructure-location_g_4_B_v"/>
      <w:bookmarkStart w:id="161" w:name="substructure-location_g_4_B_vi"/>
      <w:bookmarkStart w:id="162" w:name="substructure-location_g_4_B_vii"/>
      <w:bookmarkStart w:id="163" w:name="substructure-location_g_4_B_viii"/>
      <w:bookmarkStart w:id="164" w:name="substructure-location_g_4_B_ix"/>
      <w:bookmarkStart w:id="165" w:name="substructure-location_g_4_B_x"/>
      <w:bookmarkStart w:id="166" w:name="substructure-location_g_4_B_x_I"/>
      <w:bookmarkStart w:id="167" w:name="substructure-location_g_4_B_x_II"/>
      <w:bookmarkStart w:id="168" w:name="substructure-location_g_4_B_xi"/>
      <w:bookmarkStart w:id="169" w:name="substructure-location_g_4_C"/>
      <w:bookmarkStart w:id="170" w:name="substructure-location_g_4_D"/>
      <w:bookmarkStart w:id="171" w:name="substructure-location_g_4_E"/>
      <w:bookmarkStart w:id="172" w:name="substructure-location_g_5"/>
      <w:bookmarkStart w:id="173" w:name="substructure-location_g_5_A"/>
      <w:bookmarkStart w:id="174" w:name="substructure-location_g_5_A_i"/>
      <w:bookmarkStart w:id="175" w:name="substructure-location_g_5_A_ii"/>
      <w:bookmarkStart w:id="176" w:name="substructure-location_g_5_A_iii"/>
      <w:bookmarkStart w:id="177" w:name="substructure-location_g_5_B"/>
      <w:bookmarkStart w:id="178" w:name="substructure-location_g_5_C"/>
      <w:bookmarkStart w:id="179" w:name="substructure-location_g_5_C_i"/>
      <w:bookmarkStart w:id="180" w:name="substructure-location_g_5_C_ii"/>
      <w:bookmarkStart w:id="181" w:name="substructure-location_g_5_C_iii"/>
      <w:bookmarkStart w:id="182" w:name="substructure-location_g_6"/>
      <w:bookmarkStart w:id="183" w:name="substructure-location_g_6_A"/>
      <w:bookmarkStart w:id="184" w:name="substructure-location_g_6_A_i"/>
      <w:bookmarkStart w:id="185" w:name="substructure-location_g_6_A_ii"/>
      <w:bookmarkStart w:id="186" w:name="substructure-location_g_6_A_iii"/>
      <w:bookmarkStart w:id="187" w:name="substructure-location_g_6_A_iii_I"/>
      <w:bookmarkStart w:id="188" w:name="substructure-location_g_6_A_iii_II"/>
      <w:bookmarkStart w:id="189" w:name="substructure-location_g_6_A_iii_III"/>
      <w:bookmarkStart w:id="190" w:name="substructure-location_g_6_A_iv"/>
      <w:bookmarkStart w:id="191" w:name="substructure-location_g_6_B"/>
      <w:bookmarkStart w:id="192" w:name="substructure-location_g_6_B_i"/>
      <w:bookmarkStart w:id="193" w:name="substructure-location_g_6_B_ii"/>
      <w:bookmarkStart w:id="194" w:name="substructure-location_g_6_B_ii_I"/>
      <w:bookmarkStart w:id="195" w:name="substructure-location_g_6_B_ii_II"/>
      <w:bookmarkStart w:id="196" w:name="substructure-location_g_6_B_ii_II_aa"/>
      <w:bookmarkStart w:id="197" w:name="substructure-location_g_6_B_ii_II_bb"/>
      <w:bookmarkStart w:id="198" w:name="substructure-location_g_6_B_C"/>
      <w:bookmarkStart w:id="199" w:name="substructure-location_g_6_B_C_i"/>
      <w:bookmarkStart w:id="200" w:name="substructure-location_g_6_B_C_ii"/>
      <w:bookmarkStart w:id="201" w:name="substructure-location_g_6_D"/>
      <w:bookmarkStart w:id="202" w:name="substructure-location_g_6_D_i"/>
      <w:bookmarkStart w:id="203" w:name="substructure-location_g_6_D_ii"/>
      <w:bookmarkStart w:id="204" w:name="substructure-location_h"/>
      <w:bookmarkStart w:id="205" w:name="substructure-location_h_1"/>
      <w:bookmarkStart w:id="206" w:name="substructure-location_h_2"/>
      <w:bookmarkStart w:id="207" w:name="substructure-location_h_3"/>
      <w:bookmarkStart w:id="208" w:name="substructure-location_i"/>
      <w:bookmarkStart w:id="209" w:name="substructure-location_j"/>
      <w:bookmarkStart w:id="210" w:name="substructure-location_j_1"/>
      <w:bookmarkStart w:id="211" w:name="substructure-location_j_2"/>
      <w:bookmarkStart w:id="212" w:name="substructure-location_j_2_A"/>
      <w:bookmarkStart w:id="213" w:name="substructure-location_j_2_B"/>
      <w:bookmarkStart w:id="214" w:name="substructure-location_j_2_C"/>
      <w:bookmarkStart w:id="215" w:name="substructure-location_j_2_D"/>
      <w:bookmarkStart w:id="216" w:name="substructure-location_j_2_E"/>
      <w:bookmarkStart w:id="217" w:name="substructure-location_j_3"/>
      <w:bookmarkStart w:id="218" w:name="substructure-location_j_3_A"/>
      <w:bookmarkStart w:id="219" w:name="substructure-location_j_3_A_i"/>
      <w:bookmarkStart w:id="220" w:name="substructure-location_j_3_A_ii"/>
      <w:bookmarkStart w:id="221" w:name="substructure-location_j_3_B"/>
      <w:bookmarkStart w:id="222" w:name="substructure-location_j_3_C"/>
      <w:bookmarkStart w:id="223" w:name="substructure-location_j_3_C_i"/>
      <w:bookmarkStart w:id="224" w:name="substructure-location_j_3_C_ii"/>
      <w:bookmarkStart w:id="225" w:name="substructure-location_j_4"/>
      <w:bookmarkStart w:id="226" w:name="substructure-location_j_4_A"/>
      <w:bookmarkStart w:id="227" w:name="substructure-location_j_4_B"/>
      <w:bookmarkStart w:id="228" w:name="substructure-location_k"/>
      <w:bookmarkStart w:id="229" w:name="substructure-location_k_1"/>
      <w:bookmarkStart w:id="230" w:name="substructure-location_k_1_A"/>
      <w:bookmarkStart w:id="231" w:name="substructure-location_k_1_B"/>
      <w:bookmarkStart w:id="232" w:name="substructure-location_k_1_C"/>
      <w:bookmarkStart w:id="233" w:name="substructure-location_k_2"/>
      <w:bookmarkStart w:id="234" w:name="substructure-location_k_2_A"/>
      <w:bookmarkStart w:id="235" w:name="substructure-location_k_2_B"/>
      <w:bookmarkStart w:id="236" w:name="substructure-location_k_3"/>
      <w:bookmarkStart w:id="237" w:name="substructure-location_k_3_A"/>
      <w:bookmarkStart w:id="238" w:name="substructure-location_k_3_B"/>
      <w:bookmarkStart w:id="239" w:name="substructure-location_l"/>
      <w:bookmarkStart w:id="240" w:name="substructure-location_l_1"/>
      <w:bookmarkStart w:id="241" w:name="substructure-location_l_1_A"/>
      <w:bookmarkStart w:id="242" w:name="substructure-location_l_1_B"/>
      <w:bookmarkStart w:id="243" w:name="substructure-location_l_2"/>
      <w:bookmarkStart w:id="244" w:name="substructure-location_m"/>
      <w:bookmarkStart w:id="245" w:name="substructure-location_n"/>
      <w:bookmarkStart w:id="246" w:name="substructure-location_n_1"/>
      <w:bookmarkStart w:id="247" w:name="substructure-location_n_2"/>
      <w:bookmarkStart w:id="248" w:name="substructure-location_o"/>
      <w:bookmarkStart w:id="249" w:name="substructure-location_o_1"/>
      <w:bookmarkStart w:id="250" w:name="substructure-location_o_2"/>
      <w:bookmarkStart w:id="251" w:name="substructure-location_o_2_A"/>
      <w:bookmarkStart w:id="252" w:name="substructure-location_o_2_B"/>
      <w:bookmarkStart w:id="253" w:name="substructure-location_o_2_B_i"/>
      <w:bookmarkStart w:id="254" w:name="substructure-location_o_2_B_ii"/>
      <w:bookmarkStart w:id="255" w:name="substructure-location_p"/>
      <w:bookmarkStart w:id="256" w:name="substructure-location_p_1"/>
      <w:bookmarkStart w:id="257" w:name="substructure-location_p_2"/>
      <w:bookmarkStart w:id="258" w:name="substructure-location_q"/>
      <w:bookmarkStart w:id="259" w:name="substructure-location_q_1"/>
      <w:bookmarkStart w:id="260" w:name="substructure-location_q_1_A"/>
      <w:bookmarkStart w:id="261" w:name="substructure-location_q_1_B"/>
      <w:bookmarkStart w:id="262" w:name="substructure-location_q_1_C"/>
      <w:bookmarkStart w:id="263" w:name="substructure-location_q_1_D"/>
      <w:bookmarkStart w:id="264" w:name="substructure-location_q_1_E"/>
      <w:bookmarkStart w:id="265" w:name="substructure-location_q_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
      <w:bookmarkEnd w:id="27"/>
      <w:bookmarkEnd w:id="28"/>
    </w:p>
    <w:sectPr w:rsidSect="002250DD">
      <w:footerReference w:type="even" r:id="rId12"/>
      <w:footerReference w:type="default" r:id="rId13"/>
      <w:pgSz w:w="12240" w:h="15840"/>
      <w:pgMar w:top="1440" w:right="1454" w:bottom="1440"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314FC5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46DE" w14:paraId="5C58B0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083A9383" w14:textId="10BB6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1F1">
      <w:rPr>
        <w:rStyle w:val="PageNumber"/>
        <w:noProof/>
      </w:rPr>
      <w:t>2</w:t>
    </w:r>
    <w:r>
      <w:rPr>
        <w:rStyle w:val="PageNumber"/>
      </w:rPr>
      <w:fldChar w:fldCharType="end"/>
    </w:r>
  </w:p>
  <w:p w:rsidR="00B046DE" w14:paraId="4A39B0C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F0A124E"/>
    <w:lvl w:ilvl="0">
      <w:start w:val="0"/>
      <w:numFmt w:val="bullet"/>
      <w:lvlText w:val="*"/>
      <w:lvlJc w:val="left"/>
      <w:pPr>
        <w:ind w:left="0" w:firstLine="0"/>
      </w:pPr>
    </w:lvl>
  </w:abstractNum>
  <w:abstractNum w:abstractNumId="1">
    <w:nsid w:val="0144436C"/>
    <w:multiLevelType w:val="multilevel"/>
    <w:tmpl w:val="6E7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1ED6"/>
    <w:multiLevelType w:val="hybridMultilevel"/>
    <w:tmpl w:val="6C8A4910"/>
    <w:lvl w:ilvl="0">
      <w:start w:val="3"/>
      <w:numFmt w:val="decimal"/>
      <w:lvlText w:val="%1."/>
      <w:lvlJc w:val="left"/>
      <w:pPr>
        <w:tabs>
          <w:tab w:val="num" w:pos="450"/>
        </w:tabs>
        <w:ind w:left="450" w:hanging="360"/>
      </w:pPr>
      <w:rPr>
        <w:rFonts w:hint="default"/>
        <w:color w:val="FFFFFF"/>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02A51B3A"/>
    <w:multiLevelType w:val="hybridMultilevel"/>
    <w:tmpl w:val="542ED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B04390"/>
    <w:multiLevelType w:val="multilevel"/>
    <w:tmpl w:val="9A900956"/>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F86190"/>
    <w:multiLevelType w:val="hybridMultilevel"/>
    <w:tmpl w:val="4F642C4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B9D24BD"/>
    <w:multiLevelType w:val="hybridMultilevel"/>
    <w:tmpl w:val="264C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0833E5"/>
    <w:multiLevelType w:val="hybridMultilevel"/>
    <w:tmpl w:val="37C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BB026E"/>
    <w:multiLevelType w:val="multilevel"/>
    <w:tmpl w:val="C29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11">
    <w:nsid w:val="12BD7D96"/>
    <w:multiLevelType w:val="hybridMultilevel"/>
    <w:tmpl w:val="515A7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14">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15">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E530346"/>
    <w:multiLevelType w:val="hybridMultilevel"/>
    <w:tmpl w:val="F94A3A62"/>
    <w:lvl w:ilvl="0">
      <w:start w:val="1"/>
      <w:numFmt w:val="lowerLetter"/>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E77209"/>
    <w:multiLevelType w:val="hybridMultilevel"/>
    <w:tmpl w:val="4132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875C7D"/>
    <w:multiLevelType w:val="hybridMultilevel"/>
    <w:tmpl w:val="D898D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33BE3F30"/>
    <w:multiLevelType w:val="multilevel"/>
    <w:tmpl w:val="7A5A716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92F81"/>
    <w:multiLevelType w:val="multilevel"/>
    <w:tmpl w:val="5C5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D74319"/>
    <w:multiLevelType w:val="multilevel"/>
    <w:tmpl w:val="C79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33400"/>
    <w:multiLevelType w:val="multilevel"/>
    <w:tmpl w:val="1F2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0D17887"/>
    <w:multiLevelType w:val="hybridMultilevel"/>
    <w:tmpl w:val="47A60D6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12E7A0F"/>
    <w:multiLevelType w:val="multilevel"/>
    <w:tmpl w:val="0000000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30">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1">
    <w:nsid w:val="62022832"/>
    <w:multiLevelType w:val="hybridMultilevel"/>
    <w:tmpl w:val="EB1E5E9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7CD77CB"/>
    <w:multiLevelType w:val="hybridMultilevel"/>
    <w:tmpl w:val="68724A4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052D96"/>
    <w:multiLevelType w:val="hybridMultilevel"/>
    <w:tmpl w:val="3E24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8A1488"/>
    <w:multiLevelType w:val="hybridMultilevel"/>
    <w:tmpl w:val="B164D9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36">
    <w:nsid w:val="6BFD193F"/>
    <w:multiLevelType w:val="hybridMultilevel"/>
    <w:tmpl w:val="801AF4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49D03CF"/>
    <w:multiLevelType w:val="hybridMultilevel"/>
    <w:tmpl w:val="B0BA7C4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A7C2966"/>
    <w:multiLevelType w:val="hybridMultilevel"/>
    <w:tmpl w:val="CB3691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C8D73FE"/>
    <w:multiLevelType w:val="hybridMultilevel"/>
    <w:tmpl w:val="3324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0"/>
  </w:num>
  <w:num w:numId="3">
    <w:abstractNumId w:val="13"/>
  </w:num>
  <w:num w:numId="4">
    <w:abstractNumId w:val="14"/>
  </w:num>
  <w:num w:numId="5">
    <w:abstractNumId w:val="38"/>
  </w:num>
  <w:num w:numId="6">
    <w:abstractNumId w:val="12"/>
  </w:num>
  <w:num w:numId="7">
    <w:abstractNumId w:val="27"/>
  </w:num>
  <w:num w:numId="8">
    <w:abstractNumId w:val="30"/>
  </w:num>
  <w:num w:numId="9">
    <w:abstractNumId w:val="37"/>
  </w:num>
  <w:num w:numId="10">
    <w:abstractNumId w:val="25"/>
  </w:num>
  <w:num w:numId="11">
    <w:abstractNumId w:val="9"/>
  </w:num>
  <w:num w:numId="12">
    <w:abstractNumId w:val="2"/>
  </w:num>
  <w:num w:numId="13">
    <w:abstractNumId w:val="15"/>
  </w:num>
  <w:num w:numId="14">
    <w:abstractNumId w:val="26"/>
  </w:num>
  <w:num w:numId="15">
    <w:abstractNumId w:val="19"/>
  </w:num>
  <w:num w:numId="16">
    <w:abstractNumId w:val="40"/>
  </w:num>
  <w:num w:numId="17">
    <w:abstractNumId w:val="24"/>
  </w:num>
  <w:num w:numId="18">
    <w:abstractNumId w:val="4"/>
  </w:num>
  <w:num w:numId="19">
    <w:abstractNumId w:val="22"/>
  </w:num>
  <w:num w:numId="20">
    <w:abstractNumId w:val="21"/>
  </w:num>
  <w:num w:numId="21">
    <w:abstractNumId w:val="8"/>
  </w:num>
  <w:num w:numId="22">
    <w:abstractNumId w:val="23"/>
  </w:num>
  <w:num w:numId="23">
    <w:abstractNumId w:val="1"/>
  </w:num>
  <w:num w:numId="24">
    <w:abstractNumId w:val="7"/>
  </w:num>
  <w:num w:numId="25">
    <w:abstractNumId w:val="36"/>
  </w:num>
  <w:num w:numId="26">
    <w:abstractNumId w:val="6"/>
  </w:num>
  <w:num w:numId="27">
    <w:abstractNumId w:val="32"/>
  </w:num>
  <w:num w:numId="28">
    <w:abstractNumId w:val="11"/>
  </w:num>
  <w:num w:numId="29">
    <w:abstractNumId w:val="0"/>
    <w:lvlOverride w:ilvl="0">
      <w:lvl w:ilvl="0">
        <w:start w:val="0"/>
        <w:numFmt w:val="bullet"/>
        <w:lvlText w:val=""/>
        <w:legacy w:legacy="1" w:legacySpace="0" w:legacyIndent="0"/>
        <w:lvlJc w:val="left"/>
        <w:pPr>
          <w:ind w:left="0" w:firstLine="0"/>
        </w:pPr>
        <w:rPr>
          <w:rFonts w:ascii="Symbol" w:hAnsi="Symbol" w:hint="default"/>
        </w:rPr>
      </w:lvl>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0"/>
  </w:num>
  <w:num w:numId="33">
    <w:abstractNumId w:val="16"/>
  </w:num>
  <w:num w:numId="34">
    <w:abstractNumId w:val="41"/>
  </w:num>
  <w:num w:numId="35">
    <w:abstractNumId w:val="34"/>
  </w:num>
  <w:num w:numId="36">
    <w:abstractNumId w:val="28"/>
  </w:num>
  <w:num w:numId="37">
    <w:abstractNumId w:val="39"/>
  </w:num>
  <w:num w:numId="38">
    <w:abstractNumId w:val="29"/>
  </w:num>
  <w:num w:numId="39">
    <w:abstractNumId w:val="31"/>
  </w:num>
  <w:num w:numId="40">
    <w:abstractNumId w:val="5"/>
  </w:num>
  <w:num w:numId="41">
    <w:abstractNumId w:val="18"/>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2C"/>
    <w:rsid w:val="00002A6B"/>
    <w:rsid w:val="00002B66"/>
    <w:rsid w:val="00003AC3"/>
    <w:rsid w:val="000158FA"/>
    <w:rsid w:val="00015A44"/>
    <w:rsid w:val="00024F57"/>
    <w:rsid w:val="00025675"/>
    <w:rsid w:val="000261CA"/>
    <w:rsid w:val="000275C2"/>
    <w:rsid w:val="00027DC6"/>
    <w:rsid w:val="00036271"/>
    <w:rsid w:val="000421F3"/>
    <w:rsid w:val="00043452"/>
    <w:rsid w:val="000449CF"/>
    <w:rsid w:val="0005262E"/>
    <w:rsid w:val="00054504"/>
    <w:rsid w:val="00071787"/>
    <w:rsid w:val="000745CC"/>
    <w:rsid w:val="00075FBE"/>
    <w:rsid w:val="00083C3B"/>
    <w:rsid w:val="00085015"/>
    <w:rsid w:val="0008616D"/>
    <w:rsid w:val="0008633B"/>
    <w:rsid w:val="00090019"/>
    <w:rsid w:val="00090607"/>
    <w:rsid w:val="000943F9"/>
    <w:rsid w:val="000979F6"/>
    <w:rsid w:val="000A1367"/>
    <w:rsid w:val="000A3582"/>
    <w:rsid w:val="000A6459"/>
    <w:rsid w:val="000A78F9"/>
    <w:rsid w:val="000B1F13"/>
    <w:rsid w:val="000B59B1"/>
    <w:rsid w:val="000B632F"/>
    <w:rsid w:val="000C0526"/>
    <w:rsid w:val="000C0827"/>
    <w:rsid w:val="000C1E71"/>
    <w:rsid w:val="000C3A36"/>
    <w:rsid w:val="000D1303"/>
    <w:rsid w:val="000E0E21"/>
    <w:rsid w:val="000E2C8C"/>
    <w:rsid w:val="000E5283"/>
    <w:rsid w:val="000E601C"/>
    <w:rsid w:val="000E61A7"/>
    <w:rsid w:val="001021AA"/>
    <w:rsid w:val="00102F9C"/>
    <w:rsid w:val="00111EC9"/>
    <w:rsid w:val="001173BE"/>
    <w:rsid w:val="0012323D"/>
    <w:rsid w:val="00123463"/>
    <w:rsid w:val="001322CC"/>
    <w:rsid w:val="00141286"/>
    <w:rsid w:val="00143471"/>
    <w:rsid w:val="00152CC4"/>
    <w:rsid w:val="0015702C"/>
    <w:rsid w:val="00165DA1"/>
    <w:rsid w:val="0017208A"/>
    <w:rsid w:val="0017444A"/>
    <w:rsid w:val="00174EEB"/>
    <w:rsid w:val="00184DEE"/>
    <w:rsid w:val="00185BDF"/>
    <w:rsid w:val="00192136"/>
    <w:rsid w:val="001A00FE"/>
    <w:rsid w:val="001A3597"/>
    <w:rsid w:val="001A6062"/>
    <w:rsid w:val="001B1E42"/>
    <w:rsid w:val="001B26CD"/>
    <w:rsid w:val="001B2ED1"/>
    <w:rsid w:val="001B769D"/>
    <w:rsid w:val="001B7701"/>
    <w:rsid w:val="001B7C32"/>
    <w:rsid w:val="001C2C99"/>
    <w:rsid w:val="001C773C"/>
    <w:rsid w:val="001D62B3"/>
    <w:rsid w:val="001E5629"/>
    <w:rsid w:val="001E609D"/>
    <w:rsid w:val="002007EF"/>
    <w:rsid w:val="00201A28"/>
    <w:rsid w:val="00204553"/>
    <w:rsid w:val="00204C72"/>
    <w:rsid w:val="00207492"/>
    <w:rsid w:val="00207C9D"/>
    <w:rsid w:val="00207EFC"/>
    <w:rsid w:val="00213C05"/>
    <w:rsid w:val="00213FB7"/>
    <w:rsid w:val="00221FD4"/>
    <w:rsid w:val="002224F1"/>
    <w:rsid w:val="00223484"/>
    <w:rsid w:val="002250DD"/>
    <w:rsid w:val="0022788E"/>
    <w:rsid w:val="00231420"/>
    <w:rsid w:val="002322D5"/>
    <w:rsid w:val="0024543E"/>
    <w:rsid w:val="00247840"/>
    <w:rsid w:val="00253576"/>
    <w:rsid w:val="002535F0"/>
    <w:rsid w:val="00254B52"/>
    <w:rsid w:val="00256451"/>
    <w:rsid w:val="0025748E"/>
    <w:rsid w:val="00261B1F"/>
    <w:rsid w:val="00261CB7"/>
    <w:rsid w:val="002650AD"/>
    <w:rsid w:val="002651AD"/>
    <w:rsid w:val="00265389"/>
    <w:rsid w:val="00266AC6"/>
    <w:rsid w:val="00272A87"/>
    <w:rsid w:val="00273444"/>
    <w:rsid w:val="00273BCB"/>
    <w:rsid w:val="002803F7"/>
    <w:rsid w:val="00280E44"/>
    <w:rsid w:val="00281287"/>
    <w:rsid w:val="00287DAC"/>
    <w:rsid w:val="0029158D"/>
    <w:rsid w:val="002946AF"/>
    <w:rsid w:val="002B2B2C"/>
    <w:rsid w:val="002B4644"/>
    <w:rsid w:val="002C1150"/>
    <w:rsid w:val="002C241E"/>
    <w:rsid w:val="002C28A5"/>
    <w:rsid w:val="002C3CB1"/>
    <w:rsid w:val="002C45F1"/>
    <w:rsid w:val="002C690B"/>
    <w:rsid w:val="002D0232"/>
    <w:rsid w:val="002D6DA3"/>
    <w:rsid w:val="002E0859"/>
    <w:rsid w:val="002E0876"/>
    <w:rsid w:val="002E50EA"/>
    <w:rsid w:val="002E54FC"/>
    <w:rsid w:val="002F0A98"/>
    <w:rsid w:val="002F64A5"/>
    <w:rsid w:val="002F7845"/>
    <w:rsid w:val="003054B7"/>
    <w:rsid w:val="00312BC7"/>
    <w:rsid w:val="003143E7"/>
    <w:rsid w:val="0031523C"/>
    <w:rsid w:val="0031617B"/>
    <w:rsid w:val="00320DBD"/>
    <w:rsid w:val="00331049"/>
    <w:rsid w:val="00331B72"/>
    <w:rsid w:val="00333BCB"/>
    <w:rsid w:val="003352F3"/>
    <w:rsid w:val="00341D80"/>
    <w:rsid w:val="00343717"/>
    <w:rsid w:val="00347688"/>
    <w:rsid w:val="00356751"/>
    <w:rsid w:val="00361ED4"/>
    <w:rsid w:val="00366104"/>
    <w:rsid w:val="0036684B"/>
    <w:rsid w:val="00367A45"/>
    <w:rsid w:val="00370A81"/>
    <w:rsid w:val="00371ECE"/>
    <w:rsid w:val="00376A31"/>
    <w:rsid w:val="003777BB"/>
    <w:rsid w:val="00377A6F"/>
    <w:rsid w:val="00383981"/>
    <w:rsid w:val="0039486D"/>
    <w:rsid w:val="003961C3"/>
    <w:rsid w:val="003A1D05"/>
    <w:rsid w:val="003A29ED"/>
    <w:rsid w:val="003B0DF5"/>
    <w:rsid w:val="003B15D0"/>
    <w:rsid w:val="003B3628"/>
    <w:rsid w:val="003B64BC"/>
    <w:rsid w:val="003B7A08"/>
    <w:rsid w:val="003C28F4"/>
    <w:rsid w:val="003C4D1F"/>
    <w:rsid w:val="003C55DE"/>
    <w:rsid w:val="003C7932"/>
    <w:rsid w:val="003D750C"/>
    <w:rsid w:val="003D7F13"/>
    <w:rsid w:val="003F188B"/>
    <w:rsid w:val="003F31EE"/>
    <w:rsid w:val="0040074F"/>
    <w:rsid w:val="00402C7C"/>
    <w:rsid w:val="0040759A"/>
    <w:rsid w:val="004129DB"/>
    <w:rsid w:val="00416DF0"/>
    <w:rsid w:val="00420B0B"/>
    <w:rsid w:val="00420F88"/>
    <w:rsid w:val="00425AC8"/>
    <w:rsid w:val="004273A4"/>
    <w:rsid w:val="00427938"/>
    <w:rsid w:val="00431E41"/>
    <w:rsid w:val="0043435A"/>
    <w:rsid w:val="00442199"/>
    <w:rsid w:val="00445016"/>
    <w:rsid w:val="00445B3F"/>
    <w:rsid w:val="00453C6E"/>
    <w:rsid w:val="00454E88"/>
    <w:rsid w:val="00456F55"/>
    <w:rsid w:val="0045758F"/>
    <w:rsid w:val="0046022C"/>
    <w:rsid w:val="00461A31"/>
    <w:rsid w:val="00465F54"/>
    <w:rsid w:val="00472700"/>
    <w:rsid w:val="00474FF8"/>
    <w:rsid w:val="0047648D"/>
    <w:rsid w:val="00476CDA"/>
    <w:rsid w:val="00477471"/>
    <w:rsid w:val="004777B6"/>
    <w:rsid w:val="0048258A"/>
    <w:rsid w:val="00482E39"/>
    <w:rsid w:val="00485FBF"/>
    <w:rsid w:val="00487BBD"/>
    <w:rsid w:val="0049278E"/>
    <w:rsid w:val="004C26FC"/>
    <w:rsid w:val="004C578F"/>
    <w:rsid w:val="004D4129"/>
    <w:rsid w:val="004D5829"/>
    <w:rsid w:val="004D5C2D"/>
    <w:rsid w:val="004D5F82"/>
    <w:rsid w:val="004E21C2"/>
    <w:rsid w:val="004E5DE5"/>
    <w:rsid w:val="004F259E"/>
    <w:rsid w:val="004F7D82"/>
    <w:rsid w:val="00500935"/>
    <w:rsid w:val="00502864"/>
    <w:rsid w:val="00503BD2"/>
    <w:rsid w:val="005045EF"/>
    <w:rsid w:val="005073B9"/>
    <w:rsid w:val="005118A0"/>
    <w:rsid w:val="00513407"/>
    <w:rsid w:val="005176C8"/>
    <w:rsid w:val="00526305"/>
    <w:rsid w:val="005309F1"/>
    <w:rsid w:val="00531366"/>
    <w:rsid w:val="00537B1D"/>
    <w:rsid w:val="005471A2"/>
    <w:rsid w:val="00551F2E"/>
    <w:rsid w:val="005555E6"/>
    <w:rsid w:val="00555ADD"/>
    <w:rsid w:val="00561F95"/>
    <w:rsid w:val="0056411C"/>
    <w:rsid w:val="00572691"/>
    <w:rsid w:val="00573FDB"/>
    <w:rsid w:val="0057411E"/>
    <w:rsid w:val="00575AB1"/>
    <w:rsid w:val="005813B6"/>
    <w:rsid w:val="005834B9"/>
    <w:rsid w:val="00587A54"/>
    <w:rsid w:val="00592959"/>
    <w:rsid w:val="005A03FB"/>
    <w:rsid w:val="005A1EC5"/>
    <w:rsid w:val="005A393B"/>
    <w:rsid w:val="005A6179"/>
    <w:rsid w:val="005B4D5A"/>
    <w:rsid w:val="005C4274"/>
    <w:rsid w:val="005D08A3"/>
    <w:rsid w:val="005D10B1"/>
    <w:rsid w:val="005E569B"/>
    <w:rsid w:val="005F3F45"/>
    <w:rsid w:val="00601B2A"/>
    <w:rsid w:val="0060374A"/>
    <w:rsid w:val="006106DC"/>
    <w:rsid w:val="00616C78"/>
    <w:rsid w:val="00622A9C"/>
    <w:rsid w:val="00625677"/>
    <w:rsid w:val="006323CD"/>
    <w:rsid w:val="00632B82"/>
    <w:rsid w:val="00640994"/>
    <w:rsid w:val="00642E96"/>
    <w:rsid w:val="006529F3"/>
    <w:rsid w:val="00654C77"/>
    <w:rsid w:val="00655ACC"/>
    <w:rsid w:val="00657E26"/>
    <w:rsid w:val="00661007"/>
    <w:rsid w:val="0067361C"/>
    <w:rsid w:val="00673A7D"/>
    <w:rsid w:val="00676C16"/>
    <w:rsid w:val="00687D19"/>
    <w:rsid w:val="00695A86"/>
    <w:rsid w:val="00696A42"/>
    <w:rsid w:val="00697DEF"/>
    <w:rsid w:val="006A3F6D"/>
    <w:rsid w:val="006B26ED"/>
    <w:rsid w:val="006B26FA"/>
    <w:rsid w:val="006B473C"/>
    <w:rsid w:val="006B7E6B"/>
    <w:rsid w:val="006C0221"/>
    <w:rsid w:val="006C17C6"/>
    <w:rsid w:val="006C68A0"/>
    <w:rsid w:val="006E3293"/>
    <w:rsid w:val="006E3A28"/>
    <w:rsid w:val="006E3F97"/>
    <w:rsid w:val="006E5EA9"/>
    <w:rsid w:val="006F7BEA"/>
    <w:rsid w:val="00701AD4"/>
    <w:rsid w:val="00711154"/>
    <w:rsid w:val="007117ED"/>
    <w:rsid w:val="00713D31"/>
    <w:rsid w:val="0071767B"/>
    <w:rsid w:val="00725434"/>
    <w:rsid w:val="0073090A"/>
    <w:rsid w:val="00730E7B"/>
    <w:rsid w:val="007316AA"/>
    <w:rsid w:val="007417A1"/>
    <w:rsid w:val="00742A1C"/>
    <w:rsid w:val="00744459"/>
    <w:rsid w:val="00746A70"/>
    <w:rsid w:val="0075053F"/>
    <w:rsid w:val="007542C2"/>
    <w:rsid w:val="007564F9"/>
    <w:rsid w:val="00756D82"/>
    <w:rsid w:val="00756DBA"/>
    <w:rsid w:val="007643F6"/>
    <w:rsid w:val="00764D37"/>
    <w:rsid w:val="00766B85"/>
    <w:rsid w:val="00772C18"/>
    <w:rsid w:val="0077644A"/>
    <w:rsid w:val="0077763C"/>
    <w:rsid w:val="00780585"/>
    <w:rsid w:val="007839BA"/>
    <w:rsid w:val="00787D62"/>
    <w:rsid w:val="007A358C"/>
    <w:rsid w:val="007A3831"/>
    <w:rsid w:val="007A5550"/>
    <w:rsid w:val="007A778A"/>
    <w:rsid w:val="007B3B1B"/>
    <w:rsid w:val="007B711B"/>
    <w:rsid w:val="007B7D9F"/>
    <w:rsid w:val="007C4BA4"/>
    <w:rsid w:val="007C5450"/>
    <w:rsid w:val="007D41C2"/>
    <w:rsid w:val="007D4BAC"/>
    <w:rsid w:val="007D636F"/>
    <w:rsid w:val="007E3320"/>
    <w:rsid w:val="007E4A50"/>
    <w:rsid w:val="007E6AA8"/>
    <w:rsid w:val="007E7BA7"/>
    <w:rsid w:val="007E7D57"/>
    <w:rsid w:val="007F0A6A"/>
    <w:rsid w:val="007F1108"/>
    <w:rsid w:val="007F18C2"/>
    <w:rsid w:val="007F2BA8"/>
    <w:rsid w:val="007F5C99"/>
    <w:rsid w:val="007F6BA7"/>
    <w:rsid w:val="007F7E40"/>
    <w:rsid w:val="008027CA"/>
    <w:rsid w:val="00802A87"/>
    <w:rsid w:val="00805013"/>
    <w:rsid w:val="00810A59"/>
    <w:rsid w:val="00813312"/>
    <w:rsid w:val="00816D3E"/>
    <w:rsid w:val="00822F3C"/>
    <w:rsid w:val="00831B47"/>
    <w:rsid w:val="00832110"/>
    <w:rsid w:val="008402F1"/>
    <w:rsid w:val="008425F4"/>
    <w:rsid w:val="00846220"/>
    <w:rsid w:val="00851D63"/>
    <w:rsid w:val="00856A5C"/>
    <w:rsid w:val="00860F7A"/>
    <w:rsid w:val="00861CD5"/>
    <w:rsid w:val="00870798"/>
    <w:rsid w:val="00874915"/>
    <w:rsid w:val="00875CD8"/>
    <w:rsid w:val="008828E1"/>
    <w:rsid w:val="00887BE6"/>
    <w:rsid w:val="00891580"/>
    <w:rsid w:val="00897FE4"/>
    <w:rsid w:val="008A24DA"/>
    <w:rsid w:val="008A473E"/>
    <w:rsid w:val="008A5503"/>
    <w:rsid w:val="008A6B6C"/>
    <w:rsid w:val="008B3F73"/>
    <w:rsid w:val="008B5058"/>
    <w:rsid w:val="008B5834"/>
    <w:rsid w:val="008B6CE8"/>
    <w:rsid w:val="008C0EA0"/>
    <w:rsid w:val="008C237C"/>
    <w:rsid w:val="008C251C"/>
    <w:rsid w:val="008C28AC"/>
    <w:rsid w:val="008C7B37"/>
    <w:rsid w:val="008D1289"/>
    <w:rsid w:val="008D147A"/>
    <w:rsid w:val="008D4087"/>
    <w:rsid w:val="008D49FA"/>
    <w:rsid w:val="008D5F83"/>
    <w:rsid w:val="008D6CA3"/>
    <w:rsid w:val="008D742A"/>
    <w:rsid w:val="008E135A"/>
    <w:rsid w:val="008E2D52"/>
    <w:rsid w:val="008E3A9D"/>
    <w:rsid w:val="008E7A36"/>
    <w:rsid w:val="008F239B"/>
    <w:rsid w:val="008F4BE4"/>
    <w:rsid w:val="008F7550"/>
    <w:rsid w:val="00902019"/>
    <w:rsid w:val="009072D5"/>
    <w:rsid w:val="0091020F"/>
    <w:rsid w:val="0091106E"/>
    <w:rsid w:val="00914FB5"/>
    <w:rsid w:val="00916D46"/>
    <w:rsid w:val="00926C3D"/>
    <w:rsid w:val="00937FBA"/>
    <w:rsid w:val="0094229F"/>
    <w:rsid w:val="00945FDF"/>
    <w:rsid w:val="00957889"/>
    <w:rsid w:val="00957A9A"/>
    <w:rsid w:val="0096612D"/>
    <w:rsid w:val="00966F86"/>
    <w:rsid w:val="009700D1"/>
    <w:rsid w:val="009701F3"/>
    <w:rsid w:val="00972EBA"/>
    <w:rsid w:val="00976C85"/>
    <w:rsid w:val="00980064"/>
    <w:rsid w:val="00980580"/>
    <w:rsid w:val="00980CCE"/>
    <w:rsid w:val="00982E64"/>
    <w:rsid w:val="00984D42"/>
    <w:rsid w:val="00985A89"/>
    <w:rsid w:val="00995CA9"/>
    <w:rsid w:val="00996031"/>
    <w:rsid w:val="009A0526"/>
    <w:rsid w:val="009A0F41"/>
    <w:rsid w:val="009A1859"/>
    <w:rsid w:val="009A1A15"/>
    <w:rsid w:val="009A265B"/>
    <w:rsid w:val="009A2B33"/>
    <w:rsid w:val="009A7607"/>
    <w:rsid w:val="009C271E"/>
    <w:rsid w:val="009C4162"/>
    <w:rsid w:val="009C536F"/>
    <w:rsid w:val="009D077D"/>
    <w:rsid w:val="009D5A24"/>
    <w:rsid w:val="009E04FF"/>
    <w:rsid w:val="009E0FA5"/>
    <w:rsid w:val="009E2645"/>
    <w:rsid w:val="009E5140"/>
    <w:rsid w:val="009E56BE"/>
    <w:rsid w:val="009F32C4"/>
    <w:rsid w:val="009F3F35"/>
    <w:rsid w:val="009F635E"/>
    <w:rsid w:val="009F78E4"/>
    <w:rsid w:val="00A0181A"/>
    <w:rsid w:val="00A01A2D"/>
    <w:rsid w:val="00A0285A"/>
    <w:rsid w:val="00A02D59"/>
    <w:rsid w:val="00A04778"/>
    <w:rsid w:val="00A07FB6"/>
    <w:rsid w:val="00A11B03"/>
    <w:rsid w:val="00A13197"/>
    <w:rsid w:val="00A1375F"/>
    <w:rsid w:val="00A14330"/>
    <w:rsid w:val="00A16DEA"/>
    <w:rsid w:val="00A22477"/>
    <w:rsid w:val="00A30E32"/>
    <w:rsid w:val="00A347FC"/>
    <w:rsid w:val="00A3655F"/>
    <w:rsid w:val="00A409CF"/>
    <w:rsid w:val="00A465F0"/>
    <w:rsid w:val="00A4748D"/>
    <w:rsid w:val="00A5316A"/>
    <w:rsid w:val="00A53316"/>
    <w:rsid w:val="00A54AB3"/>
    <w:rsid w:val="00A5589D"/>
    <w:rsid w:val="00A60255"/>
    <w:rsid w:val="00A60AD4"/>
    <w:rsid w:val="00A62DB6"/>
    <w:rsid w:val="00A64F60"/>
    <w:rsid w:val="00A653D5"/>
    <w:rsid w:val="00A657C7"/>
    <w:rsid w:val="00A67E5F"/>
    <w:rsid w:val="00A7216C"/>
    <w:rsid w:val="00A73FF7"/>
    <w:rsid w:val="00A74288"/>
    <w:rsid w:val="00A807CE"/>
    <w:rsid w:val="00A84EAB"/>
    <w:rsid w:val="00A879A9"/>
    <w:rsid w:val="00A9412E"/>
    <w:rsid w:val="00A96E63"/>
    <w:rsid w:val="00AA433A"/>
    <w:rsid w:val="00AB1973"/>
    <w:rsid w:val="00AB204F"/>
    <w:rsid w:val="00AB5D7E"/>
    <w:rsid w:val="00AB740D"/>
    <w:rsid w:val="00AC2DB5"/>
    <w:rsid w:val="00AC3CCB"/>
    <w:rsid w:val="00AC6E4B"/>
    <w:rsid w:val="00AD1172"/>
    <w:rsid w:val="00AD2755"/>
    <w:rsid w:val="00AD5DD6"/>
    <w:rsid w:val="00AE1334"/>
    <w:rsid w:val="00AE1A02"/>
    <w:rsid w:val="00AE2DAD"/>
    <w:rsid w:val="00AE354C"/>
    <w:rsid w:val="00AE664C"/>
    <w:rsid w:val="00AF3F68"/>
    <w:rsid w:val="00AF701D"/>
    <w:rsid w:val="00AF761E"/>
    <w:rsid w:val="00AF7CC2"/>
    <w:rsid w:val="00AF7E8E"/>
    <w:rsid w:val="00B030E5"/>
    <w:rsid w:val="00B03E38"/>
    <w:rsid w:val="00B046DE"/>
    <w:rsid w:val="00B06E09"/>
    <w:rsid w:val="00B10E3C"/>
    <w:rsid w:val="00B11FF3"/>
    <w:rsid w:val="00B1236C"/>
    <w:rsid w:val="00B12D33"/>
    <w:rsid w:val="00B15A85"/>
    <w:rsid w:val="00B26695"/>
    <w:rsid w:val="00B32725"/>
    <w:rsid w:val="00B345D6"/>
    <w:rsid w:val="00B34D65"/>
    <w:rsid w:val="00B34D98"/>
    <w:rsid w:val="00B35EC6"/>
    <w:rsid w:val="00B40BA9"/>
    <w:rsid w:val="00B42910"/>
    <w:rsid w:val="00B46010"/>
    <w:rsid w:val="00B461E9"/>
    <w:rsid w:val="00B54E25"/>
    <w:rsid w:val="00B54E6B"/>
    <w:rsid w:val="00B55D59"/>
    <w:rsid w:val="00B6001B"/>
    <w:rsid w:val="00B63274"/>
    <w:rsid w:val="00B655DA"/>
    <w:rsid w:val="00B70867"/>
    <w:rsid w:val="00B777C7"/>
    <w:rsid w:val="00B825AC"/>
    <w:rsid w:val="00B83322"/>
    <w:rsid w:val="00B84DD4"/>
    <w:rsid w:val="00B92EBE"/>
    <w:rsid w:val="00B93750"/>
    <w:rsid w:val="00B93E33"/>
    <w:rsid w:val="00B93F66"/>
    <w:rsid w:val="00B95887"/>
    <w:rsid w:val="00B961D5"/>
    <w:rsid w:val="00BA0237"/>
    <w:rsid w:val="00BB4ABB"/>
    <w:rsid w:val="00BB6D74"/>
    <w:rsid w:val="00BC082E"/>
    <w:rsid w:val="00BC102D"/>
    <w:rsid w:val="00BC1F23"/>
    <w:rsid w:val="00BC3D7C"/>
    <w:rsid w:val="00BC69F2"/>
    <w:rsid w:val="00BD1275"/>
    <w:rsid w:val="00BD5A26"/>
    <w:rsid w:val="00BE104E"/>
    <w:rsid w:val="00BE182F"/>
    <w:rsid w:val="00BE6717"/>
    <w:rsid w:val="00BE6CF5"/>
    <w:rsid w:val="00BF1C51"/>
    <w:rsid w:val="00BF4B45"/>
    <w:rsid w:val="00BF756C"/>
    <w:rsid w:val="00C02631"/>
    <w:rsid w:val="00C04169"/>
    <w:rsid w:val="00C0563D"/>
    <w:rsid w:val="00C071DD"/>
    <w:rsid w:val="00C11CC3"/>
    <w:rsid w:val="00C12609"/>
    <w:rsid w:val="00C2118C"/>
    <w:rsid w:val="00C2797D"/>
    <w:rsid w:val="00C31FEA"/>
    <w:rsid w:val="00C355A9"/>
    <w:rsid w:val="00C3584E"/>
    <w:rsid w:val="00C35B89"/>
    <w:rsid w:val="00C37390"/>
    <w:rsid w:val="00C438BF"/>
    <w:rsid w:val="00C43ACE"/>
    <w:rsid w:val="00C5087E"/>
    <w:rsid w:val="00C56801"/>
    <w:rsid w:val="00C65C04"/>
    <w:rsid w:val="00C672A3"/>
    <w:rsid w:val="00C75347"/>
    <w:rsid w:val="00C84761"/>
    <w:rsid w:val="00C87B7D"/>
    <w:rsid w:val="00CA4E01"/>
    <w:rsid w:val="00CA623C"/>
    <w:rsid w:val="00CA6F2D"/>
    <w:rsid w:val="00CB19D9"/>
    <w:rsid w:val="00CC5011"/>
    <w:rsid w:val="00CD2404"/>
    <w:rsid w:val="00CD505D"/>
    <w:rsid w:val="00CD57CC"/>
    <w:rsid w:val="00CD6BE9"/>
    <w:rsid w:val="00CD7655"/>
    <w:rsid w:val="00CE02EA"/>
    <w:rsid w:val="00CE1B35"/>
    <w:rsid w:val="00CE4772"/>
    <w:rsid w:val="00CF04F6"/>
    <w:rsid w:val="00CF1CCE"/>
    <w:rsid w:val="00CF3372"/>
    <w:rsid w:val="00CF7A28"/>
    <w:rsid w:val="00D0604D"/>
    <w:rsid w:val="00D12E46"/>
    <w:rsid w:val="00D16DEE"/>
    <w:rsid w:val="00D20C60"/>
    <w:rsid w:val="00D21707"/>
    <w:rsid w:val="00D217A1"/>
    <w:rsid w:val="00D242FA"/>
    <w:rsid w:val="00D3125D"/>
    <w:rsid w:val="00D3224E"/>
    <w:rsid w:val="00D327E7"/>
    <w:rsid w:val="00D37E2B"/>
    <w:rsid w:val="00D47BC4"/>
    <w:rsid w:val="00D547D4"/>
    <w:rsid w:val="00D54F61"/>
    <w:rsid w:val="00D6065C"/>
    <w:rsid w:val="00D61A7F"/>
    <w:rsid w:val="00D64C8D"/>
    <w:rsid w:val="00D753A4"/>
    <w:rsid w:val="00D8767B"/>
    <w:rsid w:val="00D91FEF"/>
    <w:rsid w:val="00D924A1"/>
    <w:rsid w:val="00D94691"/>
    <w:rsid w:val="00DA0DFB"/>
    <w:rsid w:val="00DA38E6"/>
    <w:rsid w:val="00DA66B0"/>
    <w:rsid w:val="00DB2144"/>
    <w:rsid w:val="00DB7CC3"/>
    <w:rsid w:val="00DC4381"/>
    <w:rsid w:val="00DC4C42"/>
    <w:rsid w:val="00DC516D"/>
    <w:rsid w:val="00DC54A1"/>
    <w:rsid w:val="00DC6DCF"/>
    <w:rsid w:val="00DE29FB"/>
    <w:rsid w:val="00DE43EA"/>
    <w:rsid w:val="00DE526C"/>
    <w:rsid w:val="00DE6016"/>
    <w:rsid w:val="00DF7AC7"/>
    <w:rsid w:val="00E029E4"/>
    <w:rsid w:val="00E11FA1"/>
    <w:rsid w:val="00E17C47"/>
    <w:rsid w:val="00E23D87"/>
    <w:rsid w:val="00E31D08"/>
    <w:rsid w:val="00E33639"/>
    <w:rsid w:val="00E33C2C"/>
    <w:rsid w:val="00E434DF"/>
    <w:rsid w:val="00E44CDC"/>
    <w:rsid w:val="00E51020"/>
    <w:rsid w:val="00E52F6D"/>
    <w:rsid w:val="00E53209"/>
    <w:rsid w:val="00E54AAF"/>
    <w:rsid w:val="00E64CA3"/>
    <w:rsid w:val="00E71083"/>
    <w:rsid w:val="00E761B6"/>
    <w:rsid w:val="00E829A3"/>
    <w:rsid w:val="00E832C2"/>
    <w:rsid w:val="00E91D4C"/>
    <w:rsid w:val="00E93401"/>
    <w:rsid w:val="00E96502"/>
    <w:rsid w:val="00E96D48"/>
    <w:rsid w:val="00E97916"/>
    <w:rsid w:val="00E97B42"/>
    <w:rsid w:val="00E97F9F"/>
    <w:rsid w:val="00EA15BA"/>
    <w:rsid w:val="00EA48C3"/>
    <w:rsid w:val="00EA4FBD"/>
    <w:rsid w:val="00EA7990"/>
    <w:rsid w:val="00EB58FC"/>
    <w:rsid w:val="00EC0886"/>
    <w:rsid w:val="00ED0CFE"/>
    <w:rsid w:val="00ED2F2C"/>
    <w:rsid w:val="00ED3AA9"/>
    <w:rsid w:val="00ED4710"/>
    <w:rsid w:val="00ED513B"/>
    <w:rsid w:val="00EE3C29"/>
    <w:rsid w:val="00EE41BC"/>
    <w:rsid w:val="00EE76FF"/>
    <w:rsid w:val="00EF48BF"/>
    <w:rsid w:val="00F012E1"/>
    <w:rsid w:val="00F05D46"/>
    <w:rsid w:val="00F06263"/>
    <w:rsid w:val="00F0786F"/>
    <w:rsid w:val="00F07C25"/>
    <w:rsid w:val="00F11038"/>
    <w:rsid w:val="00F1258B"/>
    <w:rsid w:val="00F1585B"/>
    <w:rsid w:val="00F169D2"/>
    <w:rsid w:val="00F20E2D"/>
    <w:rsid w:val="00F228EC"/>
    <w:rsid w:val="00F24356"/>
    <w:rsid w:val="00F252D9"/>
    <w:rsid w:val="00F26FBE"/>
    <w:rsid w:val="00F270EF"/>
    <w:rsid w:val="00F330DA"/>
    <w:rsid w:val="00F33D88"/>
    <w:rsid w:val="00F34E47"/>
    <w:rsid w:val="00F35ED9"/>
    <w:rsid w:val="00F408CC"/>
    <w:rsid w:val="00F4557B"/>
    <w:rsid w:val="00F455DA"/>
    <w:rsid w:val="00F52DAF"/>
    <w:rsid w:val="00F56650"/>
    <w:rsid w:val="00F623C5"/>
    <w:rsid w:val="00F64EA7"/>
    <w:rsid w:val="00F6506A"/>
    <w:rsid w:val="00F704D3"/>
    <w:rsid w:val="00F7202C"/>
    <w:rsid w:val="00F73639"/>
    <w:rsid w:val="00F7583D"/>
    <w:rsid w:val="00F80F9F"/>
    <w:rsid w:val="00F82CC9"/>
    <w:rsid w:val="00F84489"/>
    <w:rsid w:val="00F85B12"/>
    <w:rsid w:val="00F871F1"/>
    <w:rsid w:val="00F90B62"/>
    <w:rsid w:val="00F92A52"/>
    <w:rsid w:val="00F96CF4"/>
    <w:rsid w:val="00FA0422"/>
    <w:rsid w:val="00FA3F2E"/>
    <w:rsid w:val="00FC305B"/>
    <w:rsid w:val="00FC76AD"/>
    <w:rsid w:val="00FD2B2D"/>
    <w:rsid w:val="00FD3948"/>
    <w:rsid w:val="00FD5A19"/>
    <w:rsid w:val="00FD6F5F"/>
    <w:rsid w:val="00FE3EEB"/>
    <w:rsid w:val="00FF25AA"/>
    <w:rsid w:val="00FF2AEE"/>
    <w:rsid w:val="00FF5340"/>
    <w:rsid w:val="00FF60EA"/>
    <w:rsid w:val="02075F3A"/>
    <w:rsid w:val="02691411"/>
    <w:rsid w:val="05C497BC"/>
    <w:rsid w:val="08542B10"/>
    <w:rsid w:val="0B553708"/>
    <w:rsid w:val="0D1FAEAD"/>
    <w:rsid w:val="0EBB7F0E"/>
    <w:rsid w:val="0F95DD36"/>
    <w:rsid w:val="178BACA2"/>
    <w:rsid w:val="1FA97068"/>
    <w:rsid w:val="205C3862"/>
    <w:rsid w:val="22E1112A"/>
    <w:rsid w:val="2ADDB53E"/>
    <w:rsid w:val="2BA6D88F"/>
    <w:rsid w:val="2D298093"/>
    <w:rsid w:val="2EE7C6A2"/>
    <w:rsid w:val="2FA66BD5"/>
    <w:rsid w:val="30725C2C"/>
    <w:rsid w:val="30839703"/>
    <w:rsid w:val="321F6764"/>
    <w:rsid w:val="35349278"/>
    <w:rsid w:val="40906D7C"/>
    <w:rsid w:val="47C12139"/>
    <w:rsid w:val="4A488A99"/>
    <w:rsid w:val="5399D1AF"/>
    <w:rsid w:val="563B74A2"/>
    <w:rsid w:val="58A6AB1D"/>
    <w:rsid w:val="5A5C1DCB"/>
    <w:rsid w:val="774A44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E2A6DC"/>
  <w15:docId w15:val="{F4418F2B-EF2F-4840-8F7E-893D11E7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038"/>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link w:val="Heading9Char"/>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link w:val="BodyTextIndent3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uiPriority w:val="99"/>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uiPriority w:val="99"/>
    <w:unhideWhenUsed/>
    <w:rsid w:val="004D5C2D"/>
    <w:rPr>
      <w:color w:val="0000FF"/>
      <w:u w:val="single"/>
    </w:rPr>
  </w:style>
  <w:style w:type="paragraph" w:styleId="NormalWeb">
    <w:name w:val="Normal (Web)"/>
    <w:basedOn w:val="Normal"/>
    <w:uiPriority w:val="99"/>
    <w:unhideWhenUsed/>
    <w:rsid w:val="004D5C2D"/>
    <w:pPr>
      <w:spacing w:before="100" w:beforeAutospacing="1" w:after="100" w:afterAutospacing="1"/>
    </w:pPr>
    <w:rPr>
      <w:sz w:val="24"/>
      <w:szCs w:val="24"/>
    </w:rPr>
  </w:style>
  <w:style w:type="character" w:customStyle="1" w:styleId="printedpage">
    <w:name w:val="printed_page"/>
    <w:rsid w:val="004D5C2D"/>
  </w:style>
  <w:style w:type="paragraph" w:styleId="ListParagraph">
    <w:name w:val="List Paragraph"/>
    <w:basedOn w:val="Normal"/>
    <w:uiPriority w:val="34"/>
    <w:qFormat/>
    <w:rsid w:val="004D5C2D"/>
    <w:pPr>
      <w:spacing w:after="200" w:line="276" w:lineRule="auto"/>
      <w:ind w:left="720"/>
      <w:contextualSpacing/>
    </w:pPr>
    <w:rPr>
      <w:rFonts w:ascii="Calibri" w:hAnsi="Calibri"/>
      <w:sz w:val="22"/>
      <w:szCs w:val="22"/>
    </w:rPr>
  </w:style>
  <w:style w:type="character" w:customStyle="1" w:styleId="BodyTextIndent3Char">
    <w:name w:val="Body Text Indent 3 Char"/>
    <w:link w:val="BodyTextIndent3"/>
    <w:rsid w:val="00054504"/>
    <w:rPr>
      <w:sz w:val="24"/>
    </w:rPr>
  </w:style>
  <w:style w:type="paragraph" w:customStyle="1" w:styleId="Default">
    <w:name w:val="Default"/>
    <w:rsid w:val="007117ED"/>
    <w:pPr>
      <w:autoSpaceDE w:val="0"/>
      <w:autoSpaceDN w:val="0"/>
      <w:adjustRightInd w:val="0"/>
    </w:pPr>
    <w:rPr>
      <w:rFonts w:ascii="Symbol" w:hAnsi="Symbol" w:cs="Symbol"/>
      <w:color w:val="000000"/>
      <w:sz w:val="24"/>
      <w:szCs w:val="24"/>
      <w:lang w:eastAsia="en-US"/>
    </w:rPr>
  </w:style>
  <w:style w:type="paragraph" w:customStyle="1" w:styleId="CM54">
    <w:name w:val="CM54"/>
    <w:basedOn w:val="Default"/>
    <w:next w:val="Default"/>
    <w:uiPriority w:val="99"/>
    <w:rsid w:val="007117ED"/>
    <w:pPr>
      <w:spacing w:line="276" w:lineRule="atLeast"/>
    </w:pPr>
    <w:rPr>
      <w:rFonts w:cs="Times New Roman"/>
      <w:color w:val="auto"/>
    </w:rPr>
  </w:style>
  <w:style w:type="paragraph" w:customStyle="1" w:styleId="CM56">
    <w:name w:val="CM56"/>
    <w:basedOn w:val="Default"/>
    <w:next w:val="Default"/>
    <w:uiPriority w:val="99"/>
    <w:rsid w:val="00FC76AD"/>
    <w:rPr>
      <w:rFonts w:ascii="Times New Roman" w:hAnsi="Times New Roman" w:cs="Times New Roman"/>
      <w:color w:val="auto"/>
    </w:rPr>
  </w:style>
  <w:style w:type="paragraph" w:customStyle="1" w:styleId="CM19">
    <w:name w:val="CM19"/>
    <w:basedOn w:val="Default"/>
    <w:next w:val="Default"/>
    <w:uiPriority w:val="99"/>
    <w:rsid w:val="00FC76AD"/>
    <w:pPr>
      <w:spacing w:line="280" w:lineRule="atLeast"/>
    </w:pPr>
    <w:rPr>
      <w:rFonts w:ascii="Times New Roman" w:hAnsi="Times New Roman" w:cs="Times New Roman"/>
      <w:color w:val="auto"/>
    </w:rPr>
  </w:style>
  <w:style w:type="paragraph" w:customStyle="1" w:styleId="AgreementSection">
    <w:name w:val="Agreement Section"/>
    <w:basedOn w:val="Normal"/>
    <w:qFormat/>
    <w:rsid w:val="00083C3B"/>
    <w:pPr>
      <w:spacing w:after="240"/>
      <w:ind w:left="720" w:hanging="720"/>
      <w:jc w:val="both"/>
    </w:pPr>
    <w:rPr>
      <w:sz w:val="24"/>
    </w:rPr>
  </w:style>
  <w:style w:type="paragraph" w:customStyle="1" w:styleId="AgreementSectionTextLevel1">
    <w:name w:val="Agreement Section Text Level 1"/>
    <w:basedOn w:val="Normal"/>
    <w:qFormat/>
    <w:rsid w:val="00083C3B"/>
    <w:pPr>
      <w:spacing w:after="240"/>
      <w:ind w:left="1080" w:hanging="360"/>
      <w:jc w:val="both"/>
    </w:pPr>
    <w:rPr>
      <w:sz w:val="24"/>
    </w:rPr>
  </w:style>
  <w:style w:type="paragraph" w:customStyle="1" w:styleId="AgreementSectionTextLevel2">
    <w:name w:val="Agreement Section Text Level 2"/>
    <w:basedOn w:val="AgreementSectionTextLevel1"/>
    <w:qFormat/>
    <w:rsid w:val="00083C3B"/>
    <w:pPr>
      <w:ind w:left="1440"/>
    </w:pPr>
  </w:style>
  <w:style w:type="character" w:styleId="FollowedHyperlink">
    <w:name w:val="FollowedHyperlink"/>
    <w:rsid w:val="006B473C"/>
    <w:rPr>
      <w:color w:val="954F72"/>
      <w:u w:val="single"/>
    </w:rPr>
  </w:style>
  <w:style w:type="table" w:styleId="TableGrid">
    <w:name w:val="Table Grid"/>
    <w:basedOn w:val="TableNormal"/>
    <w:rsid w:val="009E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1CD5"/>
    <w:rPr>
      <w:snapToGrid w:val="0"/>
      <w:color w:val="000000"/>
      <w:sz w:val="24"/>
      <w:u w:val="single"/>
    </w:rPr>
  </w:style>
  <w:style w:type="paragraph" w:styleId="BodyText">
    <w:name w:val="Body Text"/>
    <w:basedOn w:val="Normal"/>
    <w:link w:val="BodyTextChar"/>
    <w:rsid w:val="00445B3F"/>
    <w:pPr>
      <w:spacing w:after="120"/>
    </w:pPr>
  </w:style>
  <w:style w:type="character" w:customStyle="1" w:styleId="BodyTextChar">
    <w:name w:val="Body Text Char"/>
    <w:basedOn w:val="DefaultParagraphFont"/>
    <w:link w:val="BodyText"/>
    <w:rsid w:val="00445B3F"/>
  </w:style>
  <w:style w:type="character" w:styleId="Emphasis">
    <w:name w:val="Emphasis"/>
    <w:uiPriority w:val="20"/>
    <w:qFormat/>
    <w:rsid w:val="00725434"/>
    <w:rPr>
      <w:i/>
      <w:iCs/>
    </w:rPr>
  </w:style>
  <w:style w:type="character" w:styleId="UnresolvedMention">
    <w:name w:val="Unresolved Mention"/>
    <w:basedOn w:val="DefaultParagraphFont"/>
    <w:uiPriority w:val="99"/>
    <w:semiHidden/>
    <w:unhideWhenUsed/>
    <w:rsid w:val="00ED513B"/>
    <w:rPr>
      <w:color w:val="605E5C"/>
      <w:shd w:val="clear" w:color="auto" w:fill="E1DFDD"/>
    </w:rPr>
  </w:style>
  <w:style w:type="paragraph" w:customStyle="1" w:styleId="statutory-body">
    <w:name w:val="statutory-body"/>
    <w:basedOn w:val="Normal"/>
    <w:rsid w:val="008425F4"/>
    <w:pPr>
      <w:spacing w:before="100" w:beforeAutospacing="1" w:after="100" w:afterAutospacing="1"/>
    </w:pPr>
    <w:rPr>
      <w:sz w:val="24"/>
      <w:szCs w:val="24"/>
    </w:rPr>
  </w:style>
  <w:style w:type="paragraph" w:customStyle="1" w:styleId="statutory-body-1em">
    <w:name w:val="statutory-body-1em"/>
    <w:basedOn w:val="Normal"/>
    <w:rsid w:val="008425F4"/>
    <w:pPr>
      <w:spacing w:before="100" w:beforeAutospacing="1" w:after="100" w:afterAutospacing="1"/>
    </w:pPr>
    <w:rPr>
      <w:sz w:val="24"/>
      <w:szCs w:val="24"/>
    </w:rPr>
  </w:style>
  <w:style w:type="paragraph" w:customStyle="1" w:styleId="statutory-body-2em">
    <w:name w:val="statutory-body-2em"/>
    <w:basedOn w:val="Normal"/>
    <w:rsid w:val="008425F4"/>
    <w:pPr>
      <w:spacing w:before="100" w:beforeAutospacing="1" w:after="100" w:afterAutospacing="1"/>
    </w:pPr>
    <w:rPr>
      <w:sz w:val="24"/>
      <w:szCs w:val="24"/>
    </w:rPr>
  </w:style>
  <w:style w:type="paragraph" w:customStyle="1" w:styleId="statutory-body-3em">
    <w:name w:val="statutory-body-3em"/>
    <w:basedOn w:val="Normal"/>
    <w:rsid w:val="008425F4"/>
    <w:pPr>
      <w:spacing w:before="100" w:beforeAutospacing="1" w:after="100" w:afterAutospacing="1"/>
    </w:pPr>
    <w:rPr>
      <w:sz w:val="24"/>
      <w:szCs w:val="24"/>
    </w:rPr>
  </w:style>
  <w:style w:type="paragraph" w:customStyle="1" w:styleId="statutory-body-4em">
    <w:name w:val="statutory-body-4em"/>
    <w:basedOn w:val="Normal"/>
    <w:rsid w:val="008425F4"/>
    <w:pPr>
      <w:spacing w:before="100" w:beforeAutospacing="1" w:after="100" w:afterAutospacing="1"/>
    </w:pPr>
    <w:rPr>
      <w:sz w:val="24"/>
      <w:szCs w:val="24"/>
    </w:rPr>
  </w:style>
  <w:style w:type="paragraph" w:customStyle="1" w:styleId="statutory-body-5em">
    <w:name w:val="statutory-body-5em"/>
    <w:basedOn w:val="Normal"/>
    <w:rsid w:val="008425F4"/>
    <w:pPr>
      <w:spacing w:before="100" w:beforeAutospacing="1" w:after="100" w:afterAutospacing="1"/>
    </w:pPr>
    <w:rPr>
      <w:sz w:val="24"/>
      <w:szCs w:val="24"/>
    </w:rPr>
  </w:style>
  <w:style w:type="character" w:customStyle="1" w:styleId="stdref">
    <w:name w:val="stdref"/>
    <w:basedOn w:val="DefaultParagraphFont"/>
    <w:rsid w:val="008425F4"/>
  </w:style>
  <w:style w:type="paragraph" w:styleId="PlainText">
    <w:name w:val="Plain Text"/>
    <w:basedOn w:val="Normal"/>
    <w:link w:val="PlainTextChar"/>
    <w:rsid w:val="00831B47"/>
    <w:rPr>
      <w:rFonts w:ascii="Courier New" w:hAnsi="Courier New" w:cs="Courier New"/>
    </w:rPr>
  </w:style>
  <w:style w:type="character" w:customStyle="1" w:styleId="PlainTextChar">
    <w:name w:val="Plain Text Char"/>
    <w:basedOn w:val="DefaultParagraphFont"/>
    <w:link w:val="PlainText"/>
    <w:rsid w:val="00831B47"/>
    <w:rPr>
      <w:rFonts w:ascii="Courier New" w:hAnsi="Courier New" w:cs="Courier New"/>
      <w:lang w:eastAsia="en-US"/>
    </w:rPr>
  </w:style>
  <w:style w:type="table" w:styleId="GridTable1Light">
    <w:name w:val="Grid Table 1 Light"/>
    <w:basedOn w:val="TableNormal"/>
    <w:uiPriority w:val="46"/>
    <w:rsid w:val="007F7E4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A64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BE6717"/>
    <w:rPr>
      <w:snapToGrid w:val="0"/>
      <w:color w:val="000000"/>
      <w:sz w:val="24"/>
      <w:lang w:eastAsia="en-US"/>
    </w:rPr>
  </w:style>
  <w:style w:type="paragraph" w:styleId="Revision">
    <w:name w:val="Revision"/>
    <w:hidden/>
    <w:uiPriority w:val="99"/>
    <w:semiHidden/>
    <w:rsid w:val="003777BB"/>
    <w:rPr>
      <w:lang w:eastAsia="en-US"/>
    </w:rPr>
  </w:style>
  <w:style w:type="paragraph" w:styleId="FootnoteText">
    <w:name w:val="footnote text"/>
    <w:basedOn w:val="Normal"/>
    <w:link w:val="FootnoteTextChar"/>
    <w:unhideWhenUsed/>
    <w:rsid w:val="00F26FBE"/>
    <w:pPr>
      <w:widowControl w:val="0"/>
      <w:autoSpaceDE w:val="0"/>
      <w:autoSpaceDN w:val="0"/>
      <w:adjustRightInd w:val="0"/>
    </w:pPr>
  </w:style>
  <w:style w:type="character" w:customStyle="1" w:styleId="FootnoteTextChar">
    <w:name w:val="Footnote Text Char"/>
    <w:basedOn w:val="DefaultParagraphFont"/>
    <w:link w:val="FootnoteText"/>
    <w:rsid w:val="00F26FBE"/>
    <w:rPr>
      <w:lang w:eastAsia="en-US"/>
    </w:rPr>
  </w:style>
  <w:style w:type="character" w:styleId="FootnoteReference">
    <w:name w:val="footnote reference"/>
    <w:basedOn w:val="DefaultParagraphFont"/>
    <w:unhideWhenUsed/>
    <w:rsid w:val="00F26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1082.htm" TargetMode="External" /><Relationship Id="rId11" Type="http://schemas.openxmlformats.org/officeDocument/2006/relationships/hyperlink" Target="https://www.opm.gov/policy-data-oversight/pay-leave/salaries-wages/2023/general-schedule"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s.fhwa.dot.gov/stsfa/index.htm" TargetMode="External" /><Relationship Id="rId8" Type="http://schemas.openxmlformats.org/officeDocument/2006/relationships/hyperlink" Target="https://apply07.grants.gov/apply/forms/sample/SF424_2_1-V2.1.pdf" TargetMode="External" /><Relationship Id="rId9" Type="http://schemas.openxmlformats.org/officeDocument/2006/relationships/hyperlink" Target="https://apply07.grants.gov/apply/forms/sample/SF425_2_0-V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41A70BE235C642AE3EE2905CBA9AD2" ma:contentTypeVersion="8" ma:contentTypeDescription="Create a new document." ma:contentTypeScope="" ma:versionID="2afb80119158d7a84165e2e927b0df1e">
  <xsd:schema xmlns:xsd="http://www.w3.org/2001/XMLSchema" xmlns:xs="http://www.w3.org/2001/XMLSchema" xmlns:p="http://schemas.microsoft.com/office/2006/metadata/properties" xmlns:ns2="6dd46299-25c1-451e-b3ef-839a5c7b3f96" xmlns:ns3="ca16393a-f5d8-4089-bece-96efb3901bf4" targetNamespace="http://schemas.microsoft.com/office/2006/metadata/properties" ma:root="true" ma:fieldsID="4bd4ce00ed78509fe550c8ea5380eb70" ns2:_="" ns3:_="">
    <xsd:import namespace="6dd46299-25c1-451e-b3ef-839a5c7b3f96"/>
    <xsd:import namespace="ca16393a-f5d8-4089-bece-96efb3901b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6299-25c1-451e-b3ef-839a5c7b3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6393a-f5d8-4089-bece-96efb3901b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75B50-B7AF-406B-B907-736542411B28}">
  <ds:schemaRefs>
    <ds:schemaRef ds:uri="http://schemas.microsoft.com/sharepoint/v3/contenttype/forms"/>
  </ds:schemaRefs>
</ds:datastoreItem>
</file>

<file path=customXml/itemProps2.xml><?xml version="1.0" encoding="utf-8"?>
<ds:datastoreItem xmlns:ds="http://schemas.openxmlformats.org/officeDocument/2006/customXml" ds:itemID="{10663F19-A32E-4B7F-B6AD-2DC72660D1B6}">
  <ds:schemaRefs>
    <ds:schemaRef ds:uri="http://schemas.openxmlformats.org/officeDocument/2006/bibliography"/>
  </ds:schemaRefs>
</ds:datastoreItem>
</file>

<file path=customXml/itemProps3.xml><?xml version="1.0" encoding="utf-8"?>
<ds:datastoreItem xmlns:ds="http://schemas.openxmlformats.org/officeDocument/2006/customXml" ds:itemID="{4FC25086-AA40-4050-8DFF-B59B9C1D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6299-25c1-451e-b3ef-839a5c7b3f96"/>
    <ds:schemaRef ds:uri="ca16393a-f5d8-4089-bece-96efb390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49 U</vt:lpstr>
    </vt:vector>
  </TitlesOfParts>
  <Company>Department of Transportation</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Howell, Michael (FHWA)</cp:lastModifiedBy>
  <cp:revision>2</cp:revision>
  <cp:lastPrinted>2023-03-31T00:11:00Z</cp:lastPrinted>
  <dcterms:created xsi:type="dcterms:W3CDTF">2023-05-31T16:42:00Z</dcterms:created>
  <dcterms:modified xsi:type="dcterms:W3CDTF">2023-05-31T16:42:00Z</dcterms:modified>
</cp:coreProperties>
</file>