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7C2C" w:rsidRPr="006C5FBF" w:rsidP="00F27C2C" w14:paraId="33BC8370" w14:textId="77777777">
      <w:pPr>
        <w:spacing w:after="0" w:line="240" w:lineRule="auto"/>
        <w:jc w:val="center"/>
        <w:rPr>
          <w:rFonts w:eastAsia="Calibri" w:cs="Times New Roman"/>
          <w:b/>
        </w:rPr>
      </w:pPr>
    </w:p>
    <w:p w:rsidR="00F27C2C" w:rsidRPr="006C5FBF" w:rsidP="00F27C2C" w14:paraId="620B2871" w14:textId="77777777">
      <w:pPr>
        <w:spacing w:after="0" w:line="240" w:lineRule="auto"/>
        <w:jc w:val="center"/>
        <w:rPr>
          <w:rFonts w:eastAsia="Calibri" w:cs="Times New Roman"/>
          <w:b/>
        </w:rPr>
      </w:pPr>
      <w:r w:rsidRPr="006C5FBF">
        <w:rPr>
          <w:rFonts w:eastAsia="Calibri" w:cs="Times New Roman"/>
          <w:b/>
        </w:rPr>
        <w:t>Information Collection Request Supporting</w:t>
      </w:r>
      <w:r w:rsidRPr="006C5FBF">
        <w:rPr>
          <w:b/>
        </w:rPr>
        <w:t xml:space="preserve"> Statements</w:t>
      </w:r>
      <w:r w:rsidRPr="006C5FBF">
        <w:rPr>
          <w:rFonts w:eastAsia="Calibri" w:cs="Times New Roman"/>
          <w:b/>
        </w:rPr>
        <w:t xml:space="preserve">: Part A </w:t>
      </w:r>
    </w:p>
    <w:p w:rsidR="00FC2DBC" w:rsidRPr="006C5FBF" w:rsidP="00FC2DBC" w14:paraId="1D03B172" w14:textId="18697E66">
      <w:pPr>
        <w:autoSpaceDE w:val="0"/>
        <w:autoSpaceDN w:val="0"/>
        <w:adjustRightInd w:val="0"/>
        <w:spacing w:after="0" w:line="240" w:lineRule="auto"/>
        <w:jc w:val="center"/>
        <w:rPr>
          <w:rFonts w:cs="Times New Roman"/>
        </w:rPr>
      </w:pPr>
      <w:r w:rsidRPr="006C5FBF">
        <w:rPr>
          <w:rFonts w:cs="Times New Roman"/>
          <w:b/>
          <w:bCs/>
        </w:rPr>
        <w:t>Strategies to Improve DRE Officers' Performance and</w:t>
      </w:r>
      <w:r w:rsidRPr="006C5FBF" w:rsidR="00006DBB">
        <w:rPr>
          <w:rFonts w:cs="Times New Roman"/>
          <w:b/>
          <w:bCs/>
        </w:rPr>
        <w:t xml:space="preserve"> </w:t>
      </w:r>
      <w:r w:rsidRPr="006C5FBF">
        <w:rPr>
          <w:rFonts w:cs="Times New Roman"/>
          <w:b/>
          <w:bCs/>
        </w:rPr>
        <w:t>Law Enforcement Agencies' DRE Programs</w:t>
      </w:r>
    </w:p>
    <w:p w:rsidR="00F27C2C" w:rsidRPr="006C5FBF" w:rsidP="00FC2DBC" w14:paraId="722013CC" w14:textId="5513C3B5">
      <w:pPr>
        <w:spacing w:after="0" w:line="240" w:lineRule="auto"/>
        <w:jc w:val="center"/>
        <w:rPr>
          <w:b/>
        </w:rPr>
      </w:pPr>
      <w:r w:rsidRPr="006C5FBF">
        <w:rPr>
          <w:b/>
        </w:rPr>
        <w:t xml:space="preserve">OMB Control </w:t>
      </w:r>
      <w:r w:rsidRPr="006C5FBF">
        <w:rPr>
          <w:rFonts w:eastAsia="Calibri" w:cs="Times New Roman"/>
          <w:b/>
        </w:rPr>
        <w:t>No.</w:t>
      </w:r>
      <w:r w:rsidRPr="006C5FBF">
        <w:rPr>
          <w:b/>
        </w:rPr>
        <w:t xml:space="preserve"> 2127</w:t>
      </w:r>
      <w:r w:rsidRPr="006C5FBF">
        <w:rPr>
          <w:rFonts w:eastAsia="Calibri" w:cs="Times New Roman"/>
          <w:b/>
        </w:rPr>
        <w:t>-</w:t>
      </w:r>
      <w:r w:rsidRPr="006C5FBF">
        <w:rPr>
          <w:b/>
        </w:rPr>
        <w:t>New</w:t>
      </w:r>
    </w:p>
    <w:p w:rsidR="00F27C2C" w:rsidRPr="006C5FBF" w:rsidP="00F27C2C" w14:paraId="53A46501" w14:textId="77777777">
      <w:pPr>
        <w:autoSpaceDE w:val="0"/>
        <w:autoSpaceDN w:val="0"/>
        <w:adjustRightInd w:val="0"/>
        <w:spacing w:after="0" w:line="240" w:lineRule="auto"/>
        <w:rPr>
          <w:rFonts w:cs="Times New Roman"/>
        </w:rPr>
      </w:pPr>
    </w:p>
    <w:p w:rsidR="00F27C2C" w:rsidRPr="006C5FBF" w:rsidP="00F27C2C" w14:paraId="64C3C6C8" w14:textId="77777777">
      <w:pPr>
        <w:autoSpaceDE w:val="0"/>
        <w:autoSpaceDN w:val="0"/>
        <w:adjustRightInd w:val="0"/>
        <w:spacing w:after="0" w:line="240" w:lineRule="auto"/>
        <w:rPr>
          <w:rFonts w:cs="Times New Roman"/>
          <w:b/>
        </w:rPr>
      </w:pPr>
      <w:bookmarkStart w:id="0" w:name="_Hlk49938575"/>
      <w:r w:rsidRPr="006C5FBF">
        <w:rPr>
          <w:rFonts w:cs="Times New Roman"/>
          <w:b/>
        </w:rPr>
        <w:t>Abstract</w:t>
      </w:r>
      <w:bookmarkStart w:id="1" w:name="_Hlk47077366"/>
      <w:r w:rsidRPr="006C5FBF">
        <w:rPr>
          <w:rFonts w:cs="Times New Roman"/>
          <w:b/>
        </w:rPr>
        <w:t>:</w:t>
      </w:r>
      <w:r>
        <w:rPr>
          <w:rStyle w:val="FootnoteReference"/>
          <w:rFonts w:cs="Times New Roman"/>
          <w:b/>
        </w:rPr>
        <w:footnoteReference w:id="2"/>
      </w:r>
      <w:bookmarkEnd w:id="1"/>
    </w:p>
    <w:p w:rsidR="004838ED" w:rsidRPr="006C5FBF" w:rsidP="002C2972" w14:paraId="0A0EDF39" w14:textId="77777777">
      <w:bookmarkStart w:id="2" w:name="_Hlk97189068"/>
      <w:bookmarkEnd w:id="0"/>
    </w:p>
    <w:p w:rsidR="004236BE" w:rsidRPr="006C5FBF" w:rsidP="002C2972" w14:paraId="0A118FC3" w14:textId="700C2E02">
      <w:r w:rsidRPr="006C5FBF">
        <w:t xml:space="preserve">This information collection request (ICR) is to seek approval from the Office of Management and Budget (OMB) for </w:t>
      </w:r>
      <w:r w:rsidRPr="006C5FBF" w:rsidR="00053D0D">
        <w:t xml:space="preserve">a </w:t>
      </w:r>
      <w:r w:rsidRPr="006C5FBF">
        <w:t>new</w:t>
      </w:r>
      <w:r w:rsidRPr="006C5FBF" w:rsidR="008128CE">
        <w:t xml:space="preserve"> voluntary</w:t>
      </w:r>
      <w:r w:rsidRPr="006C5FBF">
        <w:t xml:space="preserve"> information collection</w:t>
      </w:r>
      <w:r w:rsidRPr="006C5FBF" w:rsidR="00350121">
        <w:t xml:space="preserve"> that</w:t>
      </w:r>
      <w:r w:rsidRPr="006C5FBF" w:rsidR="00651DDA">
        <w:t xml:space="preserve"> w</w:t>
      </w:r>
      <w:r w:rsidRPr="006C5FBF" w:rsidR="006F34A0">
        <w:t xml:space="preserve">ould </w:t>
      </w:r>
      <w:r w:rsidRPr="006C5FBF" w:rsidR="00651DDA">
        <w:t xml:space="preserve">be part of an agency </w:t>
      </w:r>
      <w:r w:rsidRPr="006C5FBF" w:rsidR="00E40F22">
        <w:t xml:space="preserve">demonstration project intended </w:t>
      </w:r>
      <w:r w:rsidRPr="006C5FBF" w:rsidR="00651DDA">
        <w:t xml:space="preserve">to </w:t>
      </w:r>
      <w:r w:rsidRPr="006C5FBF" w:rsidR="00861C91">
        <w:t>study best practices for implementing strategies to improve Drug Recognition Expert (DRE) programs.</w:t>
      </w:r>
      <w:r w:rsidRPr="006C5FBF">
        <w:t xml:space="preserve"> </w:t>
      </w:r>
      <w:r w:rsidRPr="006C5FBF" w:rsidR="002C2972">
        <w:t>DRE</w:t>
      </w:r>
      <w:r w:rsidRPr="006C5FBF" w:rsidR="00350121">
        <w:t>s</w:t>
      </w:r>
      <w:r w:rsidRPr="006C5FBF" w:rsidR="002C2972">
        <w:t xml:space="preserve"> are law enforcement officers trained and certified through the International Drug Evaluation and Classification (DEC) program to recognize impairment in drivers under the influence of drugs other than, or in addition to, alcohol. </w:t>
      </w:r>
      <w:r w:rsidRPr="006C5FBF" w:rsidR="00C44990">
        <w:t xml:space="preserve">The </w:t>
      </w:r>
      <w:r w:rsidRPr="006C5FBF" w:rsidR="00574C22">
        <w:t>demonstration project will involve</w:t>
      </w:r>
      <w:r w:rsidRPr="006C5FBF" w:rsidR="00537028">
        <w:t xml:space="preserve"> selecting</w:t>
      </w:r>
      <w:r w:rsidRPr="006C5FBF" w:rsidR="00574C22">
        <w:t xml:space="preserve"> </w:t>
      </w:r>
      <w:r w:rsidRPr="006C5FBF" w:rsidR="002964B5">
        <w:t>state law enforcement agencies</w:t>
      </w:r>
      <w:r w:rsidRPr="006C5FBF" w:rsidR="00286504">
        <w:t xml:space="preserve"> (LEAs)</w:t>
      </w:r>
      <w:r w:rsidRPr="006C5FBF" w:rsidR="00350121">
        <w:t xml:space="preserve"> based on an application process</w:t>
      </w:r>
      <w:r w:rsidRPr="006C5FBF" w:rsidR="002964B5">
        <w:t xml:space="preserve"> and providing resources that will allow the </w:t>
      </w:r>
      <w:r w:rsidRPr="006C5FBF" w:rsidR="00286504">
        <w:t xml:space="preserve">LEAs to implement different strategies for improving their DRE programs. </w:t>
      </w:r>
      <w:r w:rsidRPr="006C5FBF" w:rsidR="00AA1721">
        <w:t xml:space="preserve">Agencies selected to participate will be provided tools and technologies for collecting data, implementing a call-out system, implementing an electronic warrant system, and/or implementing law enforcement phlebotomy to help support carrying out Drug Influence Evaluations on drivers suspected of drug-impaired driving. </w:t>
      </w:r>
      <w:r w:rsidRPr="006C5FBF" w:rsidR="00286504">
        <w:t xml:space="preserve">NHTSA will then collect information on a monthly and quarterly basis regarding the agencies’ implementation of the strategies. </w:t>
      </w:r>
      <w:r w:rsidRPr="006C5FBF" w:rsidR="00537028">
        <w:t xml:space="preserve">The information collected </w:t>
      </w:r>
      <w:r w:rsidRPr="006C5FBF" w:rsidR="00B64B86">
        <w:t xml:space="preserve">from the </w:t>
      </w:r>
      <w:r w:rsidRPr="006C5FBF" w:rsidR="007B3BF7">
        <w:t>agency application</w:t>
      </w:r>
      <w:r w:rsidRPr="006C5FBF" w:rsidR="00B64B86">
        <w:t xml:space="preserve">, monthly reporting, and quarterly reporting will inform the development of </w:t>
      </w:r>
      <w:r w:rsidRPr="006C5FBF" w:rsidR="004005A9">
        <w:t>follow-up</w:t>
      </w:r>
      <w:r w:rsidRPr="006C5FBF" w:rsidR="0065122F">
        <w:t xml:space="preserve"> evaluation.</w:t>
      </w:r>
      <w:r w:rsidRPr="006C5FBF" w:rsidR="00873D36">
        <w:t xml:space="preserve"> The </w:t>
      </w:r>
      <w:r w:rsidRPr="006C5FBF" w:rsidR="00AA1721">
        <w:t xml:space="preserve">follow-up </w:t>
      </w:r>
      <w:r w:rsidRPr="006C5FBF" w:rsidR="00873D36">
        <w:t xml:space="preserve">evaluation </w:t>
      </w:r>
      <w:r w:rsidRPr="006C5FBF" w:rsidR="00AA1721">
        <w:t xml:space="preserve">will include </w:t>
      </w:r>
      <w:r w:rsidRPr="006C5FBF" w:rsidR="00FF5623">
        <w:t xml:space="preserve">the collection of process measures used during the implementation phase as well as a </w:t>
      </w:r>
      <w:r w:rsidRPr="006C5FBF" w:rsidR="00873D36">
        <w:t>question</w:t>
      </w:r>
      <w:r w:rsidRPr="006C5FBF" w:rsidR="00FF5623">
        <w:t>naire or discussion group that</w:t>
      </w:r>
      <w:r w:rsidRPr="006C5FBF" w:rsidR="00873D36">
        <w:t xml:space="preserve"> will be covered by a subsequent ICR. </w:t>
      </w:r>
      <w:r w:rsidRPr="006C5FBF" w:rsidR="00891C1B">
        <w:t>After the demonstration project</w:t>
      </w:r>
      <w:r w:rsidRPr="006C5FBF" w:rsidR="00150DED">
        <w:t xml:space="preserve"> is completed</w:t>
      </w:r>
      <w:r w:rsidRPr="006C5FBF" w:rsidR="00891C1B">
        <w:t xml:space="preserve">, NHTSA intends to publish a report on best practices for implementing the different </w:t>
      </w:r>
      <w:r w:rsidRPr="006C5FBF" w:rsidR="00FF3973">
        <w:t xml:space="preserve">strategies for improving DRE programs. </w:t>
      </w:r>
      <w:r w:rsidRPr="006C5FBF" w:rsidR="00C478D2">
        <w:t xml:space="preserve">The report will be developed using </w:t>
      </w:r>
      <w:r w:rsidRPr="006C5FBF" w:rsidR="00FF3973">
        <w:t xml:space="preserve">information </w:t>
      </w:r>
      <w:r w:rsidRPr="006C5FBF" w:rsidR="008D2BDA">
        <w:t>collected from the</w:t>
      </w:r>
      <w:r w:rsidRPr="006C5FBF" w:rsidR="007B3BF7">
        <w:t xml:space="preserve"> agency application</w:t>
      </w:r>
      <w:r w:rsidRPr="006C5FBF" w:rsidR="008D2BDA">
        <w:t>, monthly reporting, and quarterly reporting, as well as</w:t>
      </w:r>
      <w:r w:rsidRPr="006C5FBF" w:rsidR="00172D4C">
        <w:t xml:space="preserve"> from the planned evaluation questions. Publication of the report will </w:t>
      </w:r>
      <w:r w:rsidRPr="006C5FBF">
        <w:t>support NHTSA’s mission to reduce deaths and injuries resulting from traffic crashes by</w:t>
      </w:r>
      <w:r w:rsidRPr="006C5FBF" w:rsidR="00DF0908">
        <w:t xml:space="preserve"> allowing NHTSA </w:t>
      </w:r>
      <w:r w:rsidRPr="006C5FBF" w:rsidR="00172D4C">
        <w:t xml:space="preserve">to </w:t>
      </w:r>
      <w:r w:rsidRPr="006C5FBF">
        <w:t>provid</w:t>
      </w:r>
      <w:r w:rsidRPr="006C5FBF" w:rsidR="00172D4C">
        <w:t>e</w:t>
      </w:r>
      <w:r w:rsidRPr="006C5FBF">
        <w:t xml:space="preserve"> State and local law enforcement agencies with information to help improve </w:t>
      </w:r>
      <w:r w:rsidRPr="006C5FBF" w:rsidR="00172D4C">
        <w:t xml:space="preserve">programs intended to address the issue of drug impaired driving. </w:t>
      </w:r>
    </w:p>
    <w:p w:rsidR="00141C3B" w:rsidRPr="006C5FBF" w:rsidP="002C2972" w14:paraId="5318D7C7" w14:textId="77777777">
      <w:pPr>
        <w:rPr>
          <w:highlight w:val="yellow"/>
        </w:rPr>
      </w:pPr>
    </w:p>
    <w:p w:rsidR="00CB71C4" w:rsidRPr="006C5FBF" w:rsidP="003F2FBA" w14:paraId="358D2976" w14:textId="6891F89C">
      <w:pPr>
        <w:spacing w:after="200"/>
        <w:rPr>
          <w:bCs/>
        </w:rPr>
      </w:pPr>
      <w:r w:rsidRPr="006C5FBF">
        <w:rPr>
          <w:rFonts w:cs="Times New Roman"/>
        </w:rPr>
        <w:t xml:space="preserve">Information will be voluntarily collected </w:t>
      </w:r>
      <w:r w:rsidR="00756CEA">
        <w:rPr>
          <w:rFonts w:cs="Times New Roman"/>
        </w:rPr>
        <w:t xml:space="preserve">by NHTSA’s support contractor, </w:t>
      </w:r>
      <w:r w:rsidR="00756CEA">
        <w:rPr>
          <w:rFonts w:cs="Times New Roman"/>
        </w:rPr>
        <w:t>Toxcel</w:t>
      </w:r>
      <w:r w:rsidR="00756CEA">
        <w:rPr>
          <w:rFonts w:cs="Times New Roman"/>
        </w:rPr>
        <w:t xml:space="preserve">, </w:t>
      </w:r>
      <w:r w:rsidRPr="006C5FBF">
        <w:rPr>
          <w:rFonts w:cs="Times New Roman"/>
        </w:rPr>
        <w:t>from agencies selected to participate. Selected agencies will be asked to submit, via email, monthly reports documenting activities conducted in the reporting month and planned for the next month. Quarterly conversations will be conducted to open clear lines of communication to assure participating agencies are successfully implementing the components of the project, utilizing the resources (tools &amp; technologies)</w:t>
      </w:r>
      <w:r w:rsidRPr="006C5FBF" w:rsidR="00485D95">
        <w:rPr>
          <w:rFonts w:cs="Times New Roman"/>
        </w:rPr>
        <w:t xml:space="preserve"> provided</w:t>
      </w:r>
      <w:r w:rsidRPr="006C5FBF">
        <w:rPr>
          <w:rFonts w:cs="Times New Roman"/>
        </w:rPr>
        <w:t>, to offer technical assistance, and/or to answer questions.</w:t>
      </w:r>
      <w:r w:rsidRPr="006C5FBF" w:rsidR="00485D95">
        <w:rPr>
          <w:rFonts w:cs="Times New Roman"/>
        </w:rPr>
        <w:t xml:space="preserve">  The application to participate has </w:t>
      </w:r>
      <w:r w:rsidRPr="006C5FBF" w:rsidR="00021581">
        <w:rPr>
          <w:rFonts w:cs="Times New Roman"/>
        </w:rPr>
        <w:t>total estimated</w:t>
      </w:r>
      <w:r w:rsidRPr="006C5FBF" w:rsidR="00485D95">
        <w:rPr>
          <w:rFonts w:cs="Times New Roman"/>
        </w:rPr>
        <w:t xml:space="preserve"> burden of </w:t>
      </w:r>
      <w:r w:rsidR="00BA56AE">
        <w:rPr>
          <w:rFonts w:cs="Times New Roman"/>
        </w:rPr>
        <w:t>1</w:t>
      </w:r>
      <w:r w:rsidRPr="006C5FBF" w:rsidR="00BA56AE">
        <w:rPr>
          <w:rFonts w:cs="Times New Roman"/>
        </w:rPr>
        <w:t xml:space="preserve">5 </w:t>
      </w:r>
      <w:r w:rsidRPr="006C5FBF" w:rsidR="00485D95">
        <w:rPr>
          <w:rFonts w:cs="Times New Roman"/>
        </w:rPr>
        <w:t xml:space="preserve">hours. The monthly email reports are expected to have a burden of </w:t>
      </w:r>
      <w:r w:rsidRPr="006C5FBF" w:rsidR="00021581">
        <w:rPr>
          <w:rFonts w:cs="Times New Roman"/>
        </w:rPr>
        <w:t>1</w:t>
      </w:r>
      <w:r w:rsidRPr="006C5FBF" w:rsidR="00485D95">
        <w:rPr>
          <w:rFonts w:cs="Times New Roman"/>
        </w:rPr>
        <w:t xml:space="preserve"> hour </w:t>
      </w:r>
      <w:r w:rsidRPr="006C5FBF" w:rsidR="00021581">
        <w:rPr>
          <w:rFonts w:cs="Times New Roman"/>
        </w:rPr>
        <w:t xml:space="preserve">monthly </w:t>
      </w:r>
      <w:r w:rsidRPr="006C5FBF" w:rsidR="00485D95">
        <w:rPr>
          <w:rFonts w:cs="Times New Roman"/>
        </w:rPr>
        <w:t xml:space="preserve">and the quarterly conversations have an estimated burden of </w:t>
      </w:r>
      <w:r w:rsidRPr="006C5FBF" w:rsidR="00021581">
        <w:rPr>
          <w:rFonts w:cs="Times New Roman"/>
        </w:rPr>
        <w:t>1</w:t>
      </w:r>
      <w:r w:rsidRPr="006C5FBF" w:rsidR="00485D95">
        <w:rPr>
          <w:rFonts w:cs="Times New Roman"/>
        </w:rPr>
        <w:t xml:space="preserve"> hour</w:t>
      </w:r>
      <w:r w:rsidRPr="006C5FBF" w:rsidR="00021581">
        <w:rPr>
          <w:rFonts w:cs="Times New Roman"/>
        </w:rPr>
        <w:t xml:space="preserve"> each quarter</w:t>
      </w:r>
      <w:r w:rsidRPr="006C5FBF" w:rsidR="00485D95">
        <w:rPr>
          <w:rFonts w:cs="Times New Roman"/>
        </w:rPr>
        <w:t xml:space="preserve">. The total expected burden for this collection is </w:t>
      </w:r>
      <w:r w:rsidRPr="006C5FBF" w:rsidR="00021581">
        <w:rPr>
          <w:rFonts w:cs="Times New Roman"/>
        </w:rPr>
        <w:t>1,320</w:t>
      </w:r>
      <w:r w:rsidRPr="006C5FBF" w:rsidR="00485D95">
        <w:rPr>
          <w:rFonts w:cs="Times New Roman"/>
        </w:rPr>
        <w:t xml:space="preserve"> hours.</w:t>
      </w:r>
      <w:bookmarkEnd w:id="2"/>
    </w:p>
    <w:p w:rsidR="000154D7" w:rsidRPr="006C5FBF" w:rsidP="005271A9" w14:paraId="43238059"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u w:val="single"/>
        </w:rPr>
      </w:pPr>
      <w:r w:rsidRPr="006C5FBF">
        <w:rPr>
          <w:rFonts w:eastAsia="Times New Roman" w:cs="Times New Roman"/>
          <w:b/>
          <w:bCs/>
          <w:u w:val="single"/>
        </w:rPr>
        <w:t>Justification</w:t>
      </w:r>
    </w:p>
    <w:p w:rsidR="000154D7" w:rsidRPr="006C5FBF" w:rsidP="007A7BB5" w14:paraId="43E55058" w14:textId="77777777">
      <w:pPr>
        <w:pStyle w:val="ListParagraph"/>
        <w:numPr>
          <w:ilvl w:val="0"/>
          <w:numId w:val="1"/>
        </w:numPr>
        <w:autoSpaceDE w:val="0"/>
        <w:autoSpaceDN w:val="0"/>
        <w:adjustRightInd w:val="0"/>
        <w:spacing w:before="240" w:after="120" w:line="240" w:lineRule="auto"/>
        <w:contextualSpacing w:val="0"/>
        <w:rPr>
          <w:rFonts w:cs="Times New Roman"/>
          <w:b/>
        </w:rPr>
      </w:pPr>
      <w:bookmarkStart w:id="3" w:name="_Hlk51324508"/>
      <w:r w:rsidRPr="006C5FBF">
        <w:rPr>
          <w:rFonts w:cs="Times New Roman"/>
          <w:b/>
        </w:rPr>
        <w:t>Explain the circumstances that mak</w:t>
      </w:r>
      <w:r w:rsidRPr="006C5FBF" w:rsidR="004668D3">
        <w:rPr>
          <w:rFonts w:cs="Times New Roman"/>
          <w:b/>
        </w:rPr>
        <w:t>e the collection of information</w:t>
      </w:r>
      <w:r w:rsidRPr="006C5FBF">
        <w:rPr>
          <w:rFonts w:cs="Times New Roman"/>
          <w:b/>
        </w:rPr>
        <w:t xml:space="preserve"> necessary. Identify any legal and administrative requirements that necessitate the collection. Attach a copy of the appropriate section of each statute and regulation mandating or authorizing the collection of information.</w:t>
      </w:r>
    </w:p>
    <w:bookmarkEnd w:id="3"/>
    <w:p w:rsidR="003348FA" w:rsidRPr="006C5FBF" w:rsidP="00060AF6" w14:paraId="76359FDB" w14:textId="751BE0AA">
      <w:pPr>
        <w:autoSpaceDE w:val="0"/>
        <w:autoSpaceDN w:val="0"/>
        <w:adjustRightInd w:val="0"/>
        <w:spacing w:after="0" w:line="240" w:lineRule="auto"/>
        <w:rPr>
          <w:rFonts w:cs="Times New Roman"/>
        </w:rPr>
      </w:pPr>
      <w:r w:rsidRPr="006C5FBF">
        <w:rPr>
          <w:rFonts w:cs="Times New Roman"/>
        </w:rPr>
        <w:t xml:space="preserve">NHTSA was established by the Highway Safety Act of 1970 (Pub. L. No. 91-605, §202(a), 84 Stat. 1713, 1739-40). Its mission is to reduce the number of deaths, injuries, and economic losses resulting from motor vehicle crashes on our nation’s highways. To further this mission, NHTSA conducts research on driver behavior and traffic safety to develop efficient and effective means of bringing about safety improvements. </w:t>
      </w:r>
    </w:p>
    <w:p w:rsidR="003348FA" w:rsidRPr="006C5FBF" w:rsidP="00060AF6" w14:paraId="4C4F713F" w14:textId="77777777">
      <w:pPr>
        <w:autoSpaceDE w:val="0"/>
        <w:autoSpaceDN w:val="0"/>
        <w:adjustRightInd w:val="0"/>
        <w:spacing w:after="0" w:line="240" w:lineRule="auto"/>
        <w:rPr>
          <w:rFonts w:cs="Times New Roman"/>
        </w:rPr>
      </w:pPr>
    </w:p>
    <w:p w:rsidR="006B5C70" w:rsidRPr="006C5FBF" w:rsidP="00677BB9" w14:paraId="208B721F" w14:textId="37DB30F2">
      <w:pPr>
        <w:autoSpaceDE w:val="0"/>
        <w:autoSpaceDN w:val="0"/>
        <w:adjustRightInd w:val="0"/>
        <w:spacing w:after="0" w:line="240" w:lineRule="auto"/>
        <w:rPr>
          <w:rFonts w:cs="Times New Roman"/>
        </w:rPr>
      </w:pPr>
      <w:r w:rsidRPr="006C5FBF">
        <w:rPr>
          <w:rFonts w:cs="Times New Roman"/>
        </w:rPr>
        <w:t>S</w:t>
      </w:r>
      <w:r w:rsidRPr="006C5FBF" w:rsidR="008E5D1B">
        <w:rPr>
          <w:rFonts w:cs="Times New Roman"/>
        </w:rPr>
        <w:t>afety improvements in the impaired driving</w:t>
      </w:r>
      <w:r w:rsidRPr="006C5FBF">
        <w:rPr>
          <w:rFonts w:cs="Times New Roman"/>
        </w:rPr>
        <w:t xml:space="preserve"> arena could not only lead to a reduction in impaired driving traffic injuries and fatalities but can provide our nation’s law enforcement officers, prosecutors, toxicologists, highway safety offices, and others with improved skill and ability in uniformly testing and identifying impaired drivers on our roadways.</w:t>
      </w:r>
      <w:r w:rsidRPr="006C5FBF" w:rsidR="008E5D1B">
        <w:rPr>
          <w:rFonts w:cs="Times New Roman"/>
        </w:rPr>
        <w:t xml:space="preserve"> </w:t>
      </w:r>
      <w:r w:rsidRPr="006C5FBF" w:rsidR="00585D17">
        <w:rPr>
          <w:rFonts w:cs="Times New Roman"/>
        </w:rPr>
        <w:t xml:space="preserve">A comprehensive list of research related to impaired driving and DRE programs is included in Appendix </w:t>
      </w:r>
      <w:r w:rsidRPr="006C5FBF" w:rsidR="000749B0">
        <w:rPr>
          <w:rFonts w:cs="Times New Roman"/>
        </w:rPr>
        <w:t>B</w:t>
      </w:r>
      <w:r w:rsidRPr="006C5FBF" w:rsidR="00585D17">
        <w:rPr>
          <w:rFonts w:cs="Times New Roman"/>
        </w:rPr>
        <w:t xml:space="preserve">. </w:t>
      </w:r>
      <w:r w:rsidRPr="006C5FBF" w:rsidR="001F5E50">
        <w:rPr>
          <w:rFonts w:cs="Times New Roman"/>
        </w:rPr>
        <w:t xml:space="preserve">As the number of States legalizing marijuana continues to increase, the need for effective strategies to address the growing concerns </w:t>
      </w:r>
      <w:r w:rsidRPr="006C5FBF" w:rsidR="00677BB9">
        <w:rPr>
          <w:rFonts w:cs="Times New Roman"/>
        </w:rPr>
        <w:t xml:space="preserve">about drug impaired driving </w:t>
      </w:r>
      <w:r w:rsidRPr="006C5FBF" w:rsidR="001F5E50">
        <w:rPr>
          <w:rFonts w:cs="Times New Roman"/>
        </w:rPr>
        <w:t xml:space="preserve">is imperative. </w:t>
      </w:r>
      <w:r w:rsidRPr="006C5FBF" w:rsidR="00D14971">
        <w:rPr>
          <w:rFonts w:cs="Times New Roman"/>
        </w:rPr>
        <w:t>Although there is a standardized process for the Drug Influence Evaluation (DIE) performed by DREs, implementation of DRE programs can vary significantly</w:t>
      </w:r>
      <w:r w:rsidRPr="006C5FBF" w:rsidR="006F25E5">
        <w:rPr>
          <w:rFonts w:cs="Times New Roman"/>
        </w:rPr>
        <w:t>.</w:t>
      </w:r>
      <w:r w:rsidRPr="006C5FBF" w:rsidR="006F25E5">
        <w:t xml:space="preserve"> </w:t>
      </w:r>
      <w:r w:rsidRPr="006C5FBF" w:rsidR="006F25E5">
        <w:rPr>
          <w:rFonts w:cs="Times New Roman"/>
        </w:rPr>
        <w:t xml:space="preserve">These differences are due to a variety of reasons, including funding, the number of trained DREs, individual laws, and other factors. </w:t>
      </w:r>
      <w:r w:rsidRPr="006C5FBF" w:rsidR="00AB0500">
        <w:rPr>
          <w:rFonts w:cs="Times New Roman"/>
        </w:rPr>
        <w:t xml:space="preserve"> </w:t>
      </w:r>
    </w:p>
    <w:p w:rsidR="006B5C70" w:rsidRPr="006C5FBF" w:rsidP="00677BB9" w14:paraId="0578E513" w14:textId="77777777">
      <w:pPr>
        <w:autoSpaceDE w:val="0"/>
        <w:autoSpaceDN w:val="0"/>
        <w:adjustRightInd w:val="0"/>
        <w:spacing w:after="0" w:line="240" w:lineRule="auto"/>
      </w:pPr>
    </w:p>
    <w:p w:rsidR="00D14971" w:rsidRPr="006C5FBF" w:rsidP="00677BB9" w14:paraId="492BF891" w14:textId="40DE390F">
      <w:pPr>
        <w:autoSpaceDE w:val="0"/>
        <w:autoSpaceDN w:val="0"/>
        <w:adjustRightInd w:val="0"/>
        <w:spacing w:after="0" w:line="240" w:lineRule="auto"/>
        <w:rPr>
          <w:rFonts w:cs="Times New Roman"/>
        </w:rPr>
      </w:pPr>
      <w:r w:rsidRPr="006C5FBF">
        <w:rPr>
          <w:rFonts w:cs="Times New Roman"/>
        </w:rPr>
        <w:t xml:space="preserve">Some States have strengthened their programs with the utilization of tools and technologies, such as tablets and software that aid in the accurate and efficient collection of data. There has, however, been no research to document best practice strategies that other agencies could use with fidelity to replicate what some have done to improve their DRE officers’ performance and law enforcement agencies’ DRE programs. This project is a one-time demonstration project to study strategies to improve the ability of DRE officers and effectiveness of DRE programs to address drug-impaired driving. </w:t>
      </w:r>
      <w:r w:rsidRPr="006C5FBF" w:rsidR="00AB0500">
        <w:rPr>
          <w:rFonts w:cs="Times New Roman"/>
        </w:rPr>
        <w:t>The demonstration will look specifically at the implementation of the following four strategies for improving DRE programs.</w:t>
      </w:r>
    </w:p>
    <w:p w:rsidR="00AB0500" w:rsidRPr="006C5FBF" w:rsidP="00AB0500" w14:paraId="53CC3981" w14:textId="77777777"/>
    <w:p w:rsidR="00AB0500" w:rsidRPr="006C5FBF" w:rsidP="003F2FBA" w14:paraId="5CC6FE60" w14:textId="09A22278">
      <w:pPr>
        <w:numPr>
          <w:ilvl w:val="1"/>
          <w:numId w:val="8"/>
        </w:numPr>
        <w:spacing w:after="120" w:line="240" w:lineRule="auto"/>
        <w:contextualSpacing/>
        <w:rPr>
          <w:rFonts w:cs="Times New Roman"/>
        </w:rPr>
      </w:pPr>
      <w:r w:rsidRPr="006C5FBF">
        <w:rPr>
          <w:rFonts w:cs="Times New Roman"/>
        </w:rPr>
        <w:t>R</w:t>
      </w:r>
      <w:r w:rsidRPr="006C5FBF">
        <w:rPr>
          <w:rFonts w:cs="Times New Roman"/>
        </w:rPr>
        <w:t>esources, technology, and tools (both hardware and software) to enhance efficiency, completeness, and consistency in data collection.</w:t>
      </w:r>
    </w:p>
    <w:p w:rsidR="00AB0500" w:rsidRPr="006C5FBF" w:rsidP="003F2FBA" w14:paraId="59199405" w14:textId="097AC2CC">
      <w:pPr>
        <w:numPr>
          <w:ilvl w:val="1"/>
          <w:numId w:val="8"/>
        </w:numPr>
        <w:spacing w:after="120" w:line="240" w:lineRule="auto"/>
        <w:contextualSpacing/>
        <w:rPr>
          <w:rFonts w:cs="Times New Roman"/>
        </w:rPr>
      </w:pPr>
      <w:r w:rsidRPr="006C5FBF">
        <w:rPr>
          <w:rFonts w:cs="Times New Roman"/>
        </w:rPr>
        <w:t>P</w:t>
      </w:r>
      <w:r w:rsidRPr="006C5FBF">
        <w:rPr>
          <w:rFonts w:cs="Times New Roman"/>
        </w:rPr>
        <w:t>rotocols, policies, and procedures to enhance or improve how DREs are used (i.e., call-out procedures, sharing DREs across jurisdictions).</w:t>
      </w:r>
    </w:p>
    <w:p w:rsidR="00AB0500" w:rsidRPr="006C5FBF" w:rsidP="003F2FBA" w14:paraId="45507A47" w14:textId="484B83C8">
      <w:pPr>
        <w:numPr>
          <w:ilvl w:val="1"/>
          <w:numId w:val="8"/>
        </w:numPr>
        <w:spacing w:after="120" w:line="240" w:lineRule="auto"/>
        <w:contextualSpacing/>
        <w:rPr>
          <w:rFonts w:cs="Times New Roman"/>
        </w:rPr>
      </w:pPr>
      <w:r w:rsidRPr="006C5FBF">
        <w:rPr>
          <w:rFonts w:cs="Times New Roman"/>
        </w:rPr>
        <w:t>P</w:t>
      </w:r>
      <w:r w:rsidRPr="006C5FBF">
        <w:rPr>
          <w:rFonts w:cs="Times New Roman"/>
        </w:rPr>
        <w:t>rocedures to facilitate the DRE evaluation process (i.e., law enforcement phlebotomy, expedited warrants).</w:t>
      </w:r>
    </w:p>
    <w:p w:rsidR="00AB0500" w:rsidRPr="006C5FBF" w:rsidP="003F2FBA" w14:paraId="3B6FD64D" w14:textId="1964E102">
      <w:pPr>
        <w:numPr>
          <w:ilvl w:val="1"/>
          <w:numId w:val="8"/>
        </w:numPr>
        <w:spacing w:after="120" w:line="240" w:lineRule="auto"/>
        <w:contextualSpacing/>
        <w:rPr>
          <w:rFonts w:cs="Times New Roman"/>
        </w:rPr>
      </w:pPr>
      <w:r w:rsidRPr="006C5FBF">
        <w:rPr>
          <w:rFonts w:cs="Times New Roman"/>
        </w:rPr>
        <w:t>A</w:t>
      </w:r>
      <w:r w:rsidRPr="006C5FBF">
        <w:rPr>
          <w:rFonts w:cs="Times New Roman"/>
        </w:rPr>
        <w:t xml:space="preserve"> continuing education program to enhance consistency in training among all DREs and provide easy access to continuing education opportunities.</w:t>
      </w:r>
    </w:p>
    <w:p w:rsidR="00D14971" w:rsidRPr="006C5FBF" w:rsidP="00677BB9" w14:paraId="39F204EE" w14:textId="77777777">
      <w:pPr>
        <w:autoSpaceDE w:val="0"/>
        <w:autoSpaceDN w:val="0"/>
        <w:adjustRightInd w:val="0"/>
        <w:spacing w:after="0" w:line="240" w:lineRule="auto"/>
        <w:rPr>
          <w:rFonts w:cs="Times New Roman"/>
        </w:rPr>
      </w:pPr>
    </w:p>
    <w:p w:rsidR="006F25E5" w:rsidRPr="006C5FBF" w:rsidP="006F25E5" w14:paraId="197EBBBE" w14:textId="7EF42227">
      <w:r w:rsidRPr="006C5FBF">
        <w:t xml:space="preserve">Agencies interested in participating in the demonstration project and receiving support will voluntarily fill out an application. </w:t>
      </w:r>
    </w:p>
    <w:p w:rsidR="00D14971" w:rsidRPr="006C5FBF" w:rsidP="009B254C" w14:paraId="207C6DB2" w14:textId="747B1406">
      <w:r w:rsidRPr="00330956">
        <w:t xml:space="preserve">Agencies selected to participate will be provided tools and technologies </w:t>
      </w:r>
      <w:r w:rsidRPr="00330956" w:rsidR="00756CEA">
        <w:t xml:space="preserve">by the NHTSA support contractor, </w:t>
      </w:r>
      <w:r w:rsidRPr="00330956" w:rsidR="00756CEA">
        <w:t>Toxcel</w:t>
      </w:r>
      <w:r w:rsidRPr="00330956" w:rsidR="00756CEA">
        <w:t xml:space="preserve">, </w:t>
      </w:r>
      <w:r w:rsidRPr="00330956">
        <w:t xml:space="preserve">for collecting data, implementing a call-out system, implementing an electronic warrant system, and/or implementing law enforcement phlebotomy to help support carrying out Drug Influence Evaluations on drivers suspected of drug-impaired driving. Provided tools and technologies will include tablets, laptops, cell phones, software, applications, and phlebotomy supplies (see Appendix A: Tools, </w:t>
      </w:r>
      <w:r w:rsidRPr="00330956">
        <w:t>Technologies</w:t>
      </w:r>
      <w:r w:rsidRPr="00330956">
        <w:t xml:space="preserve"> and Supplies).</w:t>
      </w:r>
      <w:r w:rsidRPr="006C5FBF" w:rsidR="00F61D7C">
        <w:t xml:space="preserve"> </w:t>
      </w:r>
      <w:r w:rsidR="00EB3C72">
        <w:t xml:space="preserve">Provided tools, technologies and supplies are to be requested by participating agencies using Equipment, </w:t>
      </w:r>
      <w:r w:rsidR="008021DB">
        <w:t>Technology</w:t>
      </w:r>
      <w:r w:rsidR="00EB3C72">
        <w:t xml:space="preserve">, and Supplies order form 1680. </w:t>
      </w:r>
      <w:r w:rsidRPr="006C5FBF" w:rsidR="00F61D7C">
        <w:rPr>
          <w:rFonts w:cs="Times New Roman"/>
        </w:rPr>
        <w:t>Participating agencies will be required to submit, via email, monthly reports documenting activities conducted in the reporting month and planned for the next month.</w:t>
      </w:r>
    </w:p>
    <w:p w:rsidR="00D14971" w:rsidRPr="006C5FBF" w:rsidP="00677BB9" w14:paraId="5A88F6E1" w14:textId="53CF26DA">
      <w:pPr>
        <w:autoSpaceDE w:val="0"/>
        <w:autoSpaceDN w:val="0"/>
        <w:adjustRightInd w:val="0"/>
        <w:spacing w:after="0" w:line="240" w:lineRule="auto"/>
      </w:pPr>
      <w:r w:rsidRPr="006C5FBF">
        <w:rPr>
          <w:rFonts w:cs="Times New Roman"/>
        </w:rPr>
        <w:t xml:space="preserve">The goal is to understand which tools, technologies, and strategies support </w:t>
      </w:r>
      <w:r w:rsidRPr="006C5FBF" w:rsidR="00444B2C">
        <w:rPr>
          <w:rFonts w:cs="Times New Roman"/>
        </w:rPr>
        <w:t xml:space="preserve">the development of </w:t>
      </w:r>
      <w:r w:rsidRPr="006C5FBF">
        <w:rPr>
          <w:rFonts w:cs="Times New Roman"/>
        </w:rPr>
        <w:t>best or promising practices for replication by other agencies</w:t>
      </w:r>
      <w:r w:rsidRPr="006C5FBF" w:rsidR="00444B2C">
        <w:rPr>
          <w:rFonts w:cs="Times New Roman"/>
        </w:rPr>
        <w:t>. Resultant findings will</w:t>
      </w:r>
      <w:r w:rsidRPr="006C5FBF">
        <w:rPr>
          <w:rFonts w:cs="Times New Roman"/>
        </w:rPr>
        <w:t xml:space="preserve"> </w:t>
      </w:r>
      <w:r w:rsidRPr="006C5FBF" w:rsidR="00444B2C">
        <w:rPr>
          <w:rFonts w:cs="Times New Roman"/>
        </w:rPr>
        <w:t xml:space="preserve">provide guidance on how to </w:t>
      </w:r>
      <w:r w:rsidRPr="006C5FBF">
        <w:rPr>
          <w:rFonts w:cs="Times New Roman"/>
        </w:rPr>
        <w:t>consisten</w:t>
      </w:r>
      <w:r w:rsidRPr="006C5FBF" w:rsidR="00444B2C">
        <w:rPr>
          <w:rFonts w:cs="Times New Roman"/>
        </w:rPr>
        <w:t>tly</w:t>
      </w:r>
      <w:r w:rsidRPr="006C5FBF">
        <w:rPr>
          <w:rFonts w:cs="Times New Roman"/>
        </w:rPr>
        <w:t xml:space="preserve"> collect complete evidence efficiently</w:t>
      </w:r>
      <w:r w:rsidRPr="006C5FBF" w:rsidR="00444B2C">
        <w:rPr>
          <w:rFonts w:cs="Times New Roman"/>
        </w:rPr>
        <w:t xml:space="preserve"> and effectively</w:t>
      </w:r>
      <w:r w:rsidRPr="006C5FBF">
        <w:rPr>
          <w:rFonts w:cs="Times New Roman"/>
        </w:rPr>
        <w:t xml:space="preserve"> for the successful prosecution of drug impaired drivers</w:t>
      </w:r>
      <w:r w:rsidRPr="006C5FBF" w:rsidR="009B254C">
        <w:rPr>
          <w:rFonts w:cs="Times New Roman"/>
        </w:rPr>
        <w:t>,</w:t>
      </w:r>
      <w:r w:rsidRPr="006C5FBF" w:rsidR="00444B2C">
        <w:rPr>
          <w:rFonts w:cs="Times New Roman"/>
        </w:rPr>
        <w:t xml:space="preserve"> leading to a</w:t>
      </w:r>
      <w:r w:rsidRPr="006C5FBF">
        <w:rPr>
          <w:rFonts w:cs="Times New Roman"/>
        </w:rPr>
        <w:t xml:space="preserve"> wider adoption of identified strategies by DRE programs across the United States, and ultimately removing drug impaired drivers from America’s roadways. </w:t>
      </w:r>
      <w:r w:rsidRPr="006C5FBF" w:rsidR="00C938EF">
        <w:rPr>
          <w:rFonts w:cs="Times New Roman"/>
        </w:rPr>
        <w:t xml:space="preserve">DRE </w:t>
      </w:r>
      <w:r w:rsidRPr="006C5FBF" w:rsidR="001F5E50">
        <w:rPr>
          <w:rFonts w:cs="Times New Roman"/>
        </w:rPr>
        <w:t>program</w:t>
      </w:r>
      <w:r w:rsidRPr="006C5FBF" w:rsidR="00C938EF">
        <w:rPr>
          <w:rFonts w:cs="Times New Roman"/>
        </w:rPr>
        <w:t>s</w:t>
      </w:r>
      <w:r w:rsidRPr="006C5FBF" w:rsidR="001F5E50">
        <w:rPr>
          <w:rFonts w:cs="Times New Roman"/>
        </w:rPr>
        <w:t xml:space="preserve"> </w:t>
      </w:r>
      <w:r w:rsidRPr="006C5FBF" w:rsidR="00C938EF">
        <w:rPr>
          <w:rFonts w:cs="Times New Roman"/>
        </w:rPr>
        <w:t xml:space="preserve">can </w:t>
      </w:r>
      <w:r w:rsidRPr="006C5FBF" w:rsidR="001F5E50">
        <w:rPr>
          <w:rFonts w:cs="Times New Roman"/>
        </w:rPr>
        <w:t xml:space="preserve">play a </w:t>
      </w:r>
      <w:r w:rsidRPr="006C5FBF" w:rsidR="001F5E50">
        <w:rPr>
          <w:rFonts w:cs="TimesNewRomanPSMT"/>
        </w:rPr>
        <w:t xml:space="preserve">critical role in </w:t>
      </w:r>
      <w:r w:rsidRPr="006C5FBF" w:rsidR="00387F40">
        <w:rPr>
          <w:rFonts w:cs="TimesNewRomanPSMT"/>
        </w:rPr>
        <w:t xml:space="preserve">a </w:t>
      </w:r>
      <w:r w:rsidRPr="006C5FBF" w:rsidR="001F5E50">
        <w:rPr>
          <w:rFonts w:cs="TimesNewRomanPSMT"/>
        </w:rPr>
        <w:t>State’s</w:t>
      </w:r>
      <w:r w:rsidRPr="006C5FBF" w:rsidR="001F5E50">
        <w:rPr>
          <w:rFonts w:cs="TimesNewRomanPSMT"/>
        </w:rPr>
        <w:t xml:space="preserve"> effo</w:t>
      </w:r>
      <w:r w:rsidRPr="006C5FBF" w:rsidR="001F5E50">
        <w:rPr>
          <w:rFonts w:cs="Times New Roman"/>
        </w:rPr>
        <w:t xml:space="preserve">rts to reduce impaired driving. </w:t>
      </w:r>
      <w:r w:rsidRPr="006C5FBF" w:rsidR="00444B2C">
        <w:rPr>
          <w:rFonts w:cs="Times New Roman"/>
        </w:rPr>
        <w:t>Program findings will be shared with States with the intention of</w:t>
      </w:r>
      <w:r w:rsidRPr="006C5FBF" w:rsidR="001F5E50">
        <w:rPr>
          <w:rFonts w:cs="Times New Roman"/>
        </w:rPr>
        <w:t xml:space="preserve"> assist</w:t>
      </w:r>
      <w:r w:rsidRPr="006C5FBF" w:rsidR="00444B2C">
        <w:rPr>
          <w:rFonts w:cs="Times New Roman"/>
        </w:rPr>
        <w:t>ing</w:t>
      </w:r>
      <w:r w:rsidRPr="006C5FBF" w:rsidR="001F5E50">
        <w:rPr>
          <w:rFonts w:cs="Times New Roman"/>
        </w:rPr>
        <w:t xml:space="preserve"> law enforcement </w:t>
      </w:r>
      <w:r w:rsidRPr="006C5FBF" w:rsidR="00387F40">
        <w:rPr>
          <w:rFonts w:cs="Times New Roman"/>
        </w:rPr>
        <w:t xml:space="preserve">agencies </w:t>
      </w:r>
      <w:r w:rsidRPr="006C5FBF" w:rsidR="00112715">
        <w:rPr>
          <w:rFonts w:cs="Times New Roman"/>
        </w:rPr>
        <w:t xml:space="preserve">in </w:t>
      </w:r>
      <w:r w:rsidRPr="006C5FBF" w:rsidR="001F5E50">
        <w:rPr>
          <w:rFonts w:cs="Times New Roman"/>
        </w:rPr>
        <w:t>improv</w:t>
      </w:r>
      <w:r w:rsidRPr="006C5FBF" w:rsidR="00112715">
        <w:rPr>
          <w:rFonts w:cs="Times New Roman"/>
        </w:rPr>
        <w:t>ing</w:t>
      </w:r>
      <w:r w:rsidRPr="006C5FBF" w:rsidR="00387F40">
        <w:rPr>
          <w:rFonts w:cs="Times New Roman"/>
        </w:rPr>
        <w:t xml:space="preserve"> their</w:t>
      </w:r>
      <w:r w:rsidRPr="006C5FBF" w:rsidR="001F5E50">
        <w:rPr>
          <w:rFonts w:cs="Times New Roman"/>
        </w:rPr>
        <w:t xml:space="preserve"> DRE </w:t>
      </w:r>
      <w:r w:rsidRPr="006C5FBF" w:rsidR="001F5E50">
        <w:rPr>
          <w:rFonts w:cs="TimesNewRomanPSMT"/>
        </w:rPr>
        <w:t>officers’ performance and enforcement programs</w:t>
      </w:r>
      <w:r w:rsidRPr="006C5FBF" w:rsidR="00387F40">
        <w:rPr>
          <w:rFonts w:cs="TimesNewRomanPSMT"/>
        </w:rPr>
        <w:t xml:space="preserve"> overall</w:t>
      </w:r>
      <w:r w:rsidRPr="006C5FBF" w:rsidR="001F5E50">
        <w:rPr>
          <w:rFonts w:cs="TimesNewRomanPSMT"/>
        </w:rPr>
        <w:t>.</w:t>
      </w:r>
      <w:r w:rsidRPr="006C5FBF" w:rsidR="001F5E50">
        <w:rPr>
          <w:rFonts w:cs="Times New Roman"/>
        </w:rPr>
        <w:t xml:space="preserve"> </w:t>
      </w:r>
      <w:r w:rsidRPr="006C5FBF" w:rsidR="00FC2DBC">
        <w:t>Th</w:t>
      </w:r>
      <w:r w:rsidRPr="006C5FBF" w:rsidR="00112715">
        <w:t>is</w:t>
      </w:r>
      <w:r w:rsidRPr="006C5FBF" w:rsidR="00FC2DBC">
        <w:t xml:space="preserve"> collection of information is necessary </w:t>
      </w:r>
      <w:r w:rsidRPr="006C5FBF" w:rsidR="00387F40">
        <w:t>to allow</w:t>
      </w:r>
      <w:r w:rsidRPr="006C5FBF" w:rsidR="00FC2DBC">
        <w:t xml:space="preserve"> interested </w:t>
      </w:r>
      <w:r w:rsidRPr="006C5FBF" w:rsidR="00112715">
        <w:t xml:space="preserve">enforcement agencies with </w:t>
      </w:r>
      <w:r w:rsidRPr="006C5FBF" w:rsidR="00FC2DBC">
        <w:t>DRE programs</w:t>
      </w:r>
      <w:r w:rsidRPr="006C5FBF" w:rsidR="00387F40">
        <w:t xml:space="preserve"> to</w:t>
      </w:r>
      <w:r w:rsidRPr="006C5FBF" w:rsidR="00FC2DBC">
        <w:t xml:space="preserve"> submit an application that shares information about their current DRE program. T</w:t>
      </w:r>
      <w:r w:rsidRPr="006C5FBF" w:rsidR="00387F40">
        <w:t xml:space="preserve">his is a demonstration project. </w:t>
      </w:r>
      <w:r w:rsidRPr="006C5FBF" w:rsidR="00444B2C">
        <w:t xml:space="preserve">Application data </w:t>
      </w:r>
      <w:r w:rsidRPr="006C5FBF" w:rsidR="000818FE">
        <w:t>will include questions relevant to each agency, c</w:t>
      </w:r>
      <w:r w:rsidRPr="006C5FBF" w:rsidR="00387F40">
        <w:t>ollected</w:t>
      </w:r>
      <w:r w:rsidRPr="006C5FBF" w:rsidR="00FC2DBC">
        <w:t xml:space="preserve"> </w:t>
      </w:r>
      <w:r w:rsidRPr="006C5FBF" w:rsidR="000818FE">
        <w:t xml:space="preserve">as </w:t>
      </w:r>
      <w:r w:rsidRPr="006C5FBF" w:rsidR="00FC2DBC">
        <w:t xml:space="preserve">baseline data </w:t>
      </w:r>
      <w:r w:rsidRPr="006C5FBF" w:rsidR="000818FE">
        <w:t xml:space="preserve">that </w:t>
      </w:r>
      <w:r w:rsidRPr="006C5FBF" w:rsidR="00387F40">
        <w:t xml:space="preserve">will be </w:t>
      </w:r>
      <w:r w:rsidRPr="006C5FBF" w:rsidR="001F5E50">
        <w:t>compiled and</w:t>
      </w:r>
      <w:r w:rsidRPr="006C5FBF" w:rsidR="00FC2DBC">
        <w:t xml:space="preserve"> used </w:t>
      </w:r>
      <w:r w:rsidRPr="006C5FBF" w:rsidR="00387F40">
        <w:t>to</w:t>
      </w:r>
      <w:r w:rsidRPr="006C5FBF" w:rsidR="00FC2DBC">
        <w:t xml:space="preserve"> better understand process outcomes that other</w:t>
      </w:r>
      <w:r w:rsidRPr="006C5FBF" w:rsidR="00BD2747">
        <w:t xml:space="preserve"> law enforcement agencies</w:t>
      </w:r>
      <w:r w:rsidRPr="006C5FBF" w:rsidR="00FC2DBC">
        <w:t xml:space="preserve"> could use to replicate </w:t>
      </w:r>
      <w:r w:rsidRPr="006C5FBF" w:rsidR="00387F40">
        <w:t>and</w:t>
      </w:r>
      <w:r w:rsidRPr="006C5FBF" w:rsidR="00FC2DBC">
        <w:t xml:space="preserve"> improve their programs.</w:t>
      </w:r>
    </w:p>
    <w:p w:rsidR="007A7BB5" w:rsidRPr="006C5FBF" w:rsidP="007A7BB5" w14:paraId="1D889B10" w14:textId="77777777">
      <w:pPr>
        <w:pStyle w:val="ListParagraph"/>
        <w:numPr>
          <w:ilvl w:val="0"/>
          <w:numId w:val="1"/>
        </w:numPr>
        <w:spacing w:before="240"/>
        <w:rPr>
          <w:b/>
        </w:rPr>
      </w:pPr>
      <w:bookmarkStart w:id="4" w:name="_Hlk51325321"/>
      <w:bookmarkStart w:id="5" w:name="_Hlk78838411"/>
      <w:r w:rsidRPr="006C5FBF">
        <w:rPr>
          <w:b/>
        </w:rPr>
        <w:t>Indicate how, by whom, and for what purpose the information is to be used. Except for a new collection, indicate the actual use the agency has made of the information received from the current collection</w:t>
      </w:r>
      <w:bookmarkEnd w:id="4"/>
      <w:r w:rsidRPr="006C5FBF">
        <w:rPr>
          <w:b/>
        </w:rPr>
        <w:t>.</w:t>
      </w:r>
    </w:p>
    <w:bookmarkEnd w:id="5"/>
    <w:p w:rsidR="004A5A72" w:rsidRPr="006C5FBF" w:rsidP="00060AF6" w14:paraId="75A52663" w14:textId="4D126551">
      <w:pPr>
        <w:autoSpaceDE w:val="0"/>
        <w:autoSpaceDN w:val="0"/>
        <w:adjustRightInd w:val="0"/>
        <w:spacing w:after="0" w:line="240" w:lineRule="auto"/>
      </w:pPr>
      <w:r w:rsidRPr="006C5FBF">
        <w:rPr>
          <w:rFonts w:cs="Times New Roman"/>
        </w:rPr>
        <w:t>Interested law enforcement agencies</w:t>
      </w:r>
      <w:r w:rsidRPr="006C5FBF">
        <w:t xml:space="preserve"> with DRE programs</w:t>
      </w:r>
      <w:r w:rsidRPr="006C5FBF">
        <w:rPr>
          <w:rFonts w:cs="Times New Roman"/>
        </w:rPr>
        <w:t xml:space="preserve"> from across the U</w:t>
      </w:r>
      <w:r w:rsidRPr="006C5FBF">
        <w:rPr>
          <w:rFonts w:cs="Times New Roman"/>
        </w:rPr>
        <w:t>nited</w:t>
      </w:r>
      <w:r w:rsidRPr="006C5FBF" w:rsidR="00EA69FB">
        <w:rPr>
          <w:rFonts w:cs="Times New Roman"/>
        </w:rPr>
        <w:t xml:space="preserve"> </w:t>
      </w:r>
      <w:r w:rsidRPr="006C5FBF">
        <w:rPr>
          <w:rFonts w:cs="Times New Roman"/>
        </w:rPr>
        <w:t>S</w:t>
      </w:r>
      <w:r w:rsidRPr="006C5FBF">
        <w:rPr>
          <w:rFonts w:cs="Times New Roman"/>
        </w:rPr>
        <w:t>tates</w:t>
      </w:r>
      <w:r w:rsidRPr="006C5FBF">
        <w:rPr>
          <w:rFonts w:cs="Times New Roman"/>
        </w:rPr>
        <w:t xml:space="preserve"> will submit information</w:t>
      </w:r>
      <w:r w:rsidRPr="006C5FBF">
        <w:t xml:space="preserve"> about their current DRE program</w:t>
      </w:r>
      <w:r w:rsidRPr="006C5FBF">
        <w:rPr>
          <w:rFonts w:cs="Times New Roman"/>
        </w:rPr>
        <w:t xml:space="preserve"> using a fillable form</w:t>
      </w:r>
      <w:r w:rsidRPr="006C5FBF" w:rsidR="00F04875">
        <w:rPr>
          <w:rFonts w:cs="Times New Roman"/>
        </w:rPr>
        <w:t xml:space="preserve"> </w:t>
      </w:r>
      <w:r w:rsidRPr="006C5FBF" w:rsidR="00F04875">
        <w:t xml:space="preserve">(see </w:t>
      </w:r>
      <w:r w:rsidRPr="006C5FBF" w:rsidR="00A04705">
        <w:t>Form 1663</w:t>
      </w:r>
      <w:r w:rsidRPr="006C5FBF" w:rsidR="00F04875">
        <w:t>: Application Questions)</w:t>
      </w:r>
      <w:r w:rsidRPr="006C5FBF">
        <w:rPr>
          <w:rFonts w:cs="Times New Roman"/>
        </w:rPr>
        <w:t xml:space="preserve"> that will be emailed to </w:t>
      </w:r>
      <w:r w:rsidRPr="006C5FBF">
        <w:rPr>
          <w:rFonts w:cs="Times New Roman"/>
        </w:rPr>
        <w:t>Toxcel</w:t>
      </w:r>
      <w:r w:rsidRPr="006C5FBF">
        <w:rPr>
          <w:rFonts w:cs="Times New Roman"/>
        </w:rPr>
        <w:t xml:space="preserve">, the contracting agency. The information received by </w:t>
      </w:r>
      <w:r w:rsidRPr="006C5FBF">
        <w:rPr>
          <w:rFonts w:cs="Times New Roman"/>
        </w:rPr>
        <w:t>Toxcel</w:t>
      </w:r>
      <w:r w:rsidRPr="006C5FBF">
        <w:rPr>
          <w:rFonts w:cs="Times New Roman"/>
        </w:rPr>
        <w:t xml:space="preserve"> will be used to identify agencies </w:t>
      </w:r>
      <w:r w:rsidRPr="006C5FBF" w:rsidR="00FB2597">
        <w:rPr>
          <w:rFonts w:cs="Times New Roman"/>
        </w:rPr>
        <w:t>to engage in the demonstration work.</w:t>
      </w:r>
      <w:r w:rsidRPr="006C5FBF">
        <w:rPr>
          <w:rFonts w:cs="Times New Roman"/>
        </w:rPr>
        <w:t xml:space="preserve"> </w:t>
      </w:r>
    </w:p>
    <w:p w:rsidR="00023BB3" w:rsidRPr="006C5FBF" w:rsidP="00060AF6" w14:paraId="51D4889F" w14:textId="2C5210B6">
      <w:pPr>
        <w:autoSpaceDE w:val="0"/>
        <w:autoSpaceDN w:val="0"/>
        <w:adjustRightInd w:val="0"/>
        <w:spacing w:after="0" w:line="240" w:lineRule="auto"/>
      </w:pPr>
    </w:p>
    <w:p w:rsidR="00023BB3" w:rsidRPr="006C5FBF" w:rsidP="00023BB3" w14:paraId="3EF0E370" w14:textId="2969A049">
      <w:pPr>
        <w:spacing w:after="240"/>
        <w:rPr>
          <w:rFonts w:cs="Times New Roman"/>
        </w:rPr>
      </w:pPr>
      <w:r w:rsidRPr="006C5FBF">
        <w:t xml:space="preserve">This opportunity is open to all </w:t>
      </w:r>
      <w:r w:rsidRPr="006C5FBF" w:rsidR="00520569">
        <w:t xml:space="preserve">State and local </w:t>
      </w:r>
      <w:r w:rsidRPr="006C5FBF">
        <w:t xml:space="preserve">agencies that maintain DRE programs. This includes State and local law enforcement agencies, State Highway Safety Offices, </w:t>
      </w:r>
      <w:r w:rsidRPr="006C5FBF">
        <w:rPr>
          <w:rFonts w:cs="Times New Roman"/>
        </w:rPr>
        <w:t xml:space="preserve">Offices of the Attorney General/District Attorney, and State and local departments of transportation. Agencies interested in </w:t>
      </w:r>
      <w:r w:rsidRPr="006C5FBF" w:rsidR="001D6A80">
        <w:rPr>
          <w:rFonts w:cs="Times New Roman"/>
        </w:rPr>
        <w:t xml:space="preserve">participating </w:t>
      </w:r>
      <w:r w:rsidRPr="006C5FBF">
        <w:rPr>
          <w:rFonts w:cs="Times New Roman"/>
        </w:rPr>
        <w:t xml:space="preserve">will voluntarily fill out an application and submit it via email to NHTSA’s support contractor (i.e., </w:t>
      </w:r>
      <w:r w:rsidRPr="006C5FBF">
        <w:rPr>
          <w:rFonts w:cs="Times New Roman"/>
        </w:rPr>
        <w:t>Toxcel</w:t>
      </w:r>
      <w:r w:rsidRPr="006C5FBF">
        <w:rPr>
          <w:rFonts w:cs="Times New Roman"/>
        </w:rPr>
        <w:t xml:space="preserve">). The application process will remain open </w:t>
      </w:r>
      <w:r w:rsidRPr="006C5FBF">
        <w:rPr>
          <w:rFonts w:cs="Times New Roman"/>
        </w:rPr>
        <w:t>as long as</w:t>
      </w:r>
      <w:r w:rsidRPr="006C5FBF">
        <w:rPr>
          <w:rFonts w:cs="Times New Roman"/>
        </w:rPr>
        <w:t xml:space="preserve"> funding is available and there is time to collect sufficient data for use by</w:t>
      </w:r>
      <w:r w:rsidR="00EB3C72">
        <w:rPr>
          <w:rFonts w:cs="Times New Roman"/>
        </w:rPr>
        <w:t xml:space="preserve"> </w:t>
      </w:r>
      <w:r w:rsidRPr="006C5FBF" w:rsidR="002F7721">
        <w:rPr>
          <w:rFonts w:cs="Times New Roman"/>
        </w:rPr>
        <w:t>a separate evaluation agency contracted by NHTSA</w:t>
      </w:r>
      <w:r w:rsidRPr="006C5FBF" w:rsidR="005D1A57">
        <w:rPr>
          <w:rFonts w:cs="Times New Roman"/>
        </w:rPr>
        <w:t>.</w:t>
      </w:r>
      <w:r w:rsidRPr="006C5FBF">
        <w:rPr>
          <w:rFonts w:cs="Times New Roman"/>
        </w:rPr>
        <w:t xml:space="preserve"> </w:t>
      </w:r>
      <w:r w:rsidRPr="006C5FBF" w:rsidR="005D1A57">
        <w:rPr>
          <w:rFonts w:cs="Times New Roman"/>
        </w:rPr>
        <w:t>A</w:t>
      </w:r>
      <w:r w:rsidRPr="006C5FBF">
        <w:rPr>
          <w:rFonts w:cs="Times New Roman"/>
        </w:rPr>
        <w:t xml:space="preserve">fter year 3, there will likely be no continued applications being accepted even if funding remains, due to </w:t>
      </w:r>
      <w:r w:rsidRPr="006C5FBF" w:rsidR="00C938EF">
        <w:rPr>
          <w:rFonts w:cs="Times New Roman"/>
        </w:rPr>
        <w:t>time constraints</w:t>
      </w:r>
      <w:r w:rsidRPr="006C5FBF">
        <w:rPr>
          <w:rFonts w:cs="Times New Roman"/>
        </w:rPr>
        <w:t xml:space="preserve">. </w:t>
      </w:r>
    </w:p>
    <w:p w:rsidR="00803CC2" w:rsidRPr="006C5FBF" w:rsidP="00023BB3" w14:paraId="4190D95E" w14:textId="3C0A4B6C">
      <w:pPr>
        <w:rPr>
          <w:rFonts w:cs="Times New Roman"/>
        </w:rPr>
      </w:pPr>
      <w:r w:rsidRPr="006C5FBF">
        <w:rPr>
          <w:rFonts w:cs="Times New Roman"/>
        </w:rPr>
        <w:t xml:space="preserve">The application will include fields for the agency name, address, point of contact name, email address, and phone number.  It will request information about existing DRE processes and procedures, tools and strategies used, and how the agency plans to implement new or enhance existing processes and procedures. </w:t>
      </w:r>
      <w:r w:rsidR="00EB3C72">
        <w:rPr>
          <w:rFonts w:cs="Times New Roman"/>
        </w:rPr>
        <w:t xml:space="preserve">In addition, an Equipment, Technology, and Supplies Order Form </w:t>
      </w:r>
      <w:r w:rsidR="00510436">
        <w:rPr>
          <w:rFonts w:cs="Times New Roman"/>
        </w:rPr>
        <w:t xml:space="preserve">(Form 1680) </w:t>
      </w:r>
      <w:r w:rsidR="00EB3C72">
        <w:rPr>
          <w:rFonts w:cs="Times New Roman"/>
        </w:rPr>
        <w:t>is to be completed an</w:t>
      </w:r>
      <w:r w:rsidR="00510436">
        <w:rPr>
          <w:rFonts w:cs="Times New Roman"/>
        </w:rPr>
        <w:t>d</w:t>
      </w:r>
      <w:r w:rsidR="00EB3C72">
        <w:rPr>
          <w:rFonts w:cs="Times New Roman"/>
        </w:rPr>
        <w:t xml:space="preserve"> returned to indicate participating agency’s needs. </w:t>
      </w:r>
      <w:r w:rsidRPr="00330956">
        <w:rPr>
          <w:rFonts w:cs="Times New Roman"/>
        </w:rPr>
        <w:t>NHTSA’s support contractors involved with this effort</w:t>
      </w:r>
      <w:r w:rsidRPr="00330956" w:rsidR="0030016B">
        <w:rPr>
          <w:rFonts w:cs="Times New Roman"/>
        </w:rPr>
        <w:t xml:space="preserve"> (</w:t>
      </w:r>
      <w:r w:rsidRPr="00330956" w:rsidR="0030016B">
        <w:rPr>
          <w:rFonts w:cs="Times New Roman"/>
        </w:rPr>
        <w:t>Toxcel</w:t>
      </w:r>
      <w:r w:rsidRPr="00330956" w:rsidR="0030016B">
        <w:rPr>
          <w:rFonts w:cs="Times New Roman"/>
        </w:rPr>
        <w:t>)</w:t>
      </w:r>
      <w:r w:rsidRPr="00330956">
        <w:rPr>
          <w:rFonts w:cs="Times New Roman"/>
        </w:rPr>
        <w:t xml:space="preserve">, NHTSA staff, and the contracted evaluator </w:t>
      </w:r>
      <w:r w:rsidRPr="00330956" w:rsidR="0030016B">
        <w:rPr>
          <w:rFonts w:cs="Times New Roman"/>
        </w:rPr>
        <w:t xml:space="preserve">(Not secured as part of this demonstration project. Will be a separate evaluation contactor.) </w:t>
      </w:r>
      <w:r w:rsidRPr="00330956">
        <w:rPr>
          <w:rFonts w:cs="Times New Roman"/>
        </w:rPr>
        <w:t>are the only entities that will have access to the information collected in each application.</w:t>
      </w:r>
      <w:r w:rsidRPr="006C5FBF">
        <w:rPr>
          <w:rFonts w:cs="Times New Roman"/>
        </w:rPr>
        <w:t xml:space="preserve"> Application information will be stored in a Microsoft Access database. The selected agencies will be required to submit</w:t>
      </w:r>
      <w:r w:rsidRPr="006C5FBF">
        <w:rPr>
          <w:rFonts w:cs="Times New Roman"/>
        </w:rPr>
        <w:t>,</w:t>
      </w:r>
      <w:r w:rsidRPr="006C5FBF">
        <w:rPr>
          <w:rFonts w:cs="Times New Roman"/>
        </w:rPr>
        <w:t xml:space="preserve"> via email, monthly reports</w:t>
      </w:r>
      <w:r w:rsidR="00510436">
        <w:rPr>
          <w:rFonts w:cs="Times New Roman"/>
        </w:rPr>
        <w:t xml:space="preserve"> (form 1662)</w:t>
      </w:r>
      <w:r w:rsidRPr="006C5FBF">
        <w:rPr>
          <w:rFonts w:cs="Times New Roman"/>
        </w:rPr>
        <w:t xml:space="preserve"> documenting </w:t>
      </w:r>
      <w:r w:rsidRPr="006C5FBF" w:rsidR="002F7721">
        <w:rPr>
          <w:rFonts w:cs="Times New Roman"/>
        </w:rPr>
        <w:t xml:space="preserve">the status of </w:t>
      </w:r>
      <w:r w:rsidRPr="006C5FBF">
        <w:rPr>
          <w:rFonts w:cs="Times New Roman"/>
        </w:rPr>
        <w:t xml:space="preserve">activities conducted in the reporting month and planned for the next month. The monthly reports will also include information on equipment/technology received as of the date of the report. </w:t>
      </w:r>
      <w:r w:rsidRPr="006C5FBF" w:rsidR="002F7721">
        <w:rPr>
          <w:rFonts w:cs="Times New Roman"/>
        </w:rPr>
        <w:t xml:space="preserve">Information collected in monthly reports are meant to verify that the project overall is on task and time with recruitment, distribution of resources, </w:t>
      </w:r>
      <w:r w:rsidRPr="006C5FBF" w:rsidR="006C5242">
        <w:rPr>
          <w:rFonts w:cs="Times New Roman"/>
        </w:rPr>
        <w:t>and in meeting the needs of all participating agencies</w:t>
      </w:r>
      <w:r w:rsidRPr="006C5FBF" w:rsidR="006C5242">
        <w:t xml:space="preserve">. </w:t>
      </w:r>
      <w:r w:rsidRPr="006C5FBF" w:rsidR="002F7721">
        <w:rPr>
          <w:rFonts w:cs="Times New Roman"/>
        </w:rPr>
        <w:t xml:space="preserve"> </w:t>
      </w:r>
      <w:r w:rsidRPr="006C5FBF">
        <w:rPr>
          <w:rFonts w:cs="Times New Roman"/>
        </w:rPr>
        <w:t xml:space="preserve">Additionally, monthly reports will be stored in the Microsoft Access database. </w:t>
      </w:r>
    </w:p>
    <w:p w:rsidR="001E4FA8" w:rsidRPr="006C5FBF" w:rsidP="00023BB3" w14:paraId="189A80EB" w14:textId="6B3A70E7">
      <w:pPr>
        <w:rPr>
          <w:rFonts w:cs="Times New Roman"/>
        </w:rPr>
      </w:pPr>
      <w:r w:rsidRPr="00330956">
        <w:rPr>
          <w:rFonts w:cs="Times New Roman"/>
        </w:rPr>
        <w:t>Quarterly reports will be required and will be collected through telephone conversations between the selected agencies and the support contractor</w:t>
      </w:r>
      <w:r w:rsidRPr="00330956" w:rsidR="00756CEA">
        <w:rPr>
          <w:rFonts w:cs="Times New Roman"/>
        </w:rPr>
        <w:t xml:space="preserve">, </w:t>
      </w:r>
      <w:r w:rsidRPr="00330956" w:rsidR="00756CEA">
        <w:rPr>
          <w:rFonts w:cs="Times New Roman"/>
        </w:rPr>
        <w:t>Toxcel</w:t>
      </w:r>
      <w:r w:rsidRPr="00330956">
        <w:rPr>
          <w:rFonts w:cs="Times New Roman"/>
        </w:rPr>
        <w:t>.</w:t>
      </w:r>
      <w:r w:rsidRPr="006C5FBF">
        <w:rPr>
          <w:rFonts w:cs="Times New Roman"/>
        </w:rPr>
        <w:t xml:space="preserve"> These calls will serve to discuss what has occurred within the past quarter in relation to the project, such as how the tools and technologies have been implemented, any challenges faced and how they were or will be addressed, any successes to date, and lessons learned. They will also include a conversation about planned activities and concerns for the upcoming quarter. Information from these calls will be documented in the Microsoft Access database. </w:t>
      </w:r>
    </w:p>
    <w:p w:rsidR="00023BB3" w:rsidRPr="006C5FBF" w:rsidP="00023BB3" w14:paraId="3A5203CC" w14:textId="379D519B">
      <w:r w:rsidRPr="00330956">
        <w:rPr>
          <w:rFonts w:cs="Times New Roman"/>
        </w:rPr>
        <w:t xml:space="preserve">NHTSA’s support contractor, </w:t>
      </w:r>
      <w:r w:rsidRPr="00330956">
        <w:rPr>
          <w:rFonts w:cs="Times New Roman"/>
        </w:rPr>
        <w:t>Toxcel</w:t>
      </w:r>
      <w:r w:rsidRPr="00330956">
        <w:rPr>
          <w:rFonts w:cs="Times New Roman"/>
        </w:rPr>
        <w:t xml:space="preserve">, will collect all </w:t>
      </w:r>
      <w:r w:rsidRPr="00330956">
        <w:rPr>
          <w:rFonts w:cs="Times New Roman"/>
        </w:rPr>
        <w:t>information from the selected agencies throughout the life of the project</w:t>
      </w:r>
      <w:r w:rsidRPr="00330956">
        <w:rPr>
          <w:rFonts w:cs="Times New Roman"/>
        </w:rPr>
        <w:t>. This information will be</w:t>
      </w:r>
      <w:r w:rsidRPr="00330956">
        <w:rPr>
          <w:rFonts w:cs="Times New Roman"/>
        </w:rPr>
        <w:t xml:space="preserve"> used by a separate evaluation contractor</w:t>
      </w:r>
      <w:r w:rsidRPr="00330956">
        <w:rPr>
          <w:rFonts w:cs="Times New Roman"/>
        </w:rPr>
        <w:t>, not secured as part of this demonstration project. There will be a separate evaluation contactor with a separate project agreement who will conduct the evaluation. Other information</w:t>
      </w:r>
      <w:r w:rsidRPr="006C5FBF" w:rsidR="00C938EF">
        <w:rPr>
          <w:rFonts w:cs="Times New Roman"/>
        </w:rPr>
        <w:t xml:space="preserve"> </w:t>
      </w:r>
      <w:r w:rsidRPr="006C5FBF" w:rsidR="006C5242">
        <w:rPr>
          <w:rFonts w:cs="Times New Roman"/>
        </w:rPr>
        <w:t xml:space="preserve">may </w:t>
      </w:r>
      <w:r w:rsidRPr="006C5FBF">
        <w:rPr>
          <w:rFonts w:cs="Times New Roman"/>
        </w:rPr>
        <w:t>include</w:t>
      </w:r>
      <w:r w:rsidRPr="006C5FBF" w:rsidR="006C5242">
        <w:rPr>
          <w:rFonts w:cs="Times New Roman"/>
        </w:rPr>
        <w:t xml:space="preserve"> but may not be limited to the following</w:t>
      </w:r>
      <w:r w:rsidRPr="006C5FBF">
        <w:rPr>
          <w:rFonts w:cs="Times New Roman"/>
        </w:rPr>
        <w:t>: before and after data for n</w:t>
      </w:r>
      <w:r w:rsidRPr="006C5FBF">
        <w:t>umber of DRE call-outs; number of DRE responses to assist with other agencies or jurisdictions; time elapsed between requesting a search warrant to obtain chemical evidence to obtaining the warrant; time elapsed to draw blood for chemical testing; time elapsed from conducting the DRE evaluation to entering any information gathered into the data portal; comparison of details and evaluation of findings from before and after new evaluation equipment was p</w:t>
      </w:r>
      <w:r w:rsidRPr="006C5FBF" w:rsidR="00C20261">
        <w:t>rovided</w:t>
      </w:r>
      <w:r w:rsidRPr="006C5FBF">
        <w:t xml:space="preserve"> and used; the number of new DREs in State-based project implementation efforts (e.g. training that occurred, time period elapsed (</w:t>
      </w:r>
      <w:r w:rsidRPr="006C5FBF" w:rsidR="00702348">
        <w:t>e.g</w:t>
      </w:r>
      <w:r w:rsidRPr="006C5FBF">
        <w:t xml:space="preserve">., one year) after the implementation of the selected strategies, or other).  </w:t>
      </w:r>
      <w:r w:rsidRPr="006C5FBF">
        <w:rPr>
          <w:rFonts w:cs="Times New Roman"/>
        </w:rPr>
        <w:t xml:space="preserve">The Microsoft Access database </w:t>
      </w:r>
      <w:r w:rsidRPr="006C5FBF" w:rsidR="00382F0F">
        <w:rPr>
          <w:rFonts w:cs="Times New Roman"/>
        </w:rPr>
        <w:t xml:space="preserve">that includes each agency’s application </w:t>
      </w:r>
      <w:r w:rsidRPr="006C5FBF">
        <w:rPr>
          <w:rFonts w:cs="Times New Roman"/>
        </w:rPr>
        <w:t xml:space="preserve">will be made available to NHTSA and NHTSA’s evaluation contractor. </w:t>
      </w:r>
    </w:p>
    <w:p w:rsidR="00803CC2" w:rsidRPr="006C5FBF" w:rsidP="00803CC2" w14:paraId="03A532D6" w14:textId="4A37BAA3">
      <w:pPr>
        <w:rPr>
          <w:rFonts w:cs="Times New Roman"/>
        </w:rPr>
      </w:pPr>
      <w:r w:rsidRPr="006C5FBF">
        <w:rPr>
          <w:rFonts w:cs="Times New Roman"/>
        </w:rPr>
        <w:t xml:space="preserve">The information gathered during the implementation phase of the project will be used to develop a final report documenting </w:t>
      </w:r>
      <w:r w:rsidRPr="006C5FBF">
        <w:t>the application, selection, and funding process; the evaluation process; overall lessons learned, challenges and mitigation strategies; and individual sections for each participant documenting DRE background, the strategies, and tools that were implemented and how they were implemented; as well as overall challenges, lessons learned, the data collected, and evaluation findings. The report will be delivered to NHTSA</w:t>
      </w:r>
      <w:r w:rsidRPr="006C5FBF" w:rsidR="00382F0F">
        <w:t>.</w:t>
      </w:r>
      <w:r w:rsidRPr="006C5FBF">
        <w:t xml:space="preserve"> </w:t>
      </w:r>
    </w:p>
    <w:p w:rsidR="007A7BB5" w:rsidRPr="006C5FBF" w:rsidP="007A7BB5" w14:paraId="5D1D2F00" w14:textId="77777777">
      <w:pPr>
        <w:autoSpaceDE w:val="0"/>
        <w:autoSpaceDN w:val="0"/>
        <w:adjustRightInd w:val="0"/>
        <w:spacing w:after="0" w:line="240" w:lineRule="auto"/>
        <w:ind w:left="720"/>
        <w:rPr>
          <w:rFonts w:cs="Times New Roman"/>
        </w:rPr>
      </w:pPr>
    </w:p>
    <w:p w:rsidR="007A7BB5" w:rsidRPr="006C5FBF" w:rsidP="007A7BB5" w14:paraId="43A107AA" w14:textId="2E145CAE">
      <w:pPr>
        <w:numPr>
          <w:ilvl w:val="0"/>
          <w:numId w:val="1"/>
        </w:numPr>
        <w:rPr>
          <w:b/>
        </w:rPr>
      </w:pPr>
      <w:bookmarkStart w:id="6" w:name="_Hlk51330129"/>
      <w:r w:rsidRPr="006C5FBF">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B2597" w:rsidRPr="006C5FBF" w:rsidP="00060AF6" w14:paraId="5E344F9C" w14:textId="5FBF584C">
      <w:pPr>
        <w:rPr>
          <w:bCs/>
        </w:rPr>
      </w:pPr>
      <w:bookmarkStart w:id="7" w:name="_Hlk102625321"/>
      <w:r w:rsidRPr="006C5FBF">
        <w:rPr>
          <w:rFonts w:cs="Times New Roman"/>
        </w:rPr>
        <w:t xml:space="preserve">Selected agencies will be </w:t>
      </w:r>
      <w:r w:rsidRPr="006C5FBF" w:rsidR="008530ED">
        <w:rPr>
          <w:rFonts w:cs="Times New Roman"/>
        </w:rPr>
        <w:t xml:space="preserve">asked </w:t>
      </w:r>
      <w:r w:rsidRPr="006C5FBF">
        <w:rPr>
          <w:rFonts w:cs="Times New Roman"/>
        </w:rPr>
        <w:t>to submit, via email, monthly reports documenting activities conducted in the reporting month and planned for the next month.</w:t>
      </w:r>
      <w:bookmarkEnd w:id="7"/>
      <w:r w:rsidRPr="006C5FBF">
        <w:rPr>
          <w:rFonts w:cs="Times New Roman"/>
        </w:rPr>
        <w:t xml:space="preserve"> The </w:t>
      </w:r>
      <w:r w:rsidRPr="006C5FBF">
        <w:rPr>
          <w:bCs/>
        </w:rPr>
        <w:t>i</w:t>
      </w:r>
      <w:r w:rsidRPr="006C5FBF">
        <w:rPr>
          <w:bCs/>
        </w:rPr>
        <w:t xml:space="preserve">nformation will be submitted on a </w:t>
      </w:r>
      <w:r w:rsidRPr="006C5FBF" w:rsidR="00B13993">
        <w:rPr>
          <w:bCs/>
        </w:rPr>
        <w:t xml:space="preserve">digital </w:t>
      </w:r>
      <w:r w:rsidRPr="006C5FBF">
        <w:rPr>
          <w:bCs/>
        </w:rPr>
        <w:t xml:space="preserve">fillable form and submitted to </w:t>
      </w:r>
      <w:r w:rsidRPr="006C5FBF">
        <w:rPr>
          <w:bCs/>
        </w:rPr>
        <w:t>Toxcel</w:t>
      </w:r>
      <w:r w:rsidRPr="006C5FBF">
        <w:rPr>
          <w:bCs/>
        </w:rPr>
        <w:t xml:space="preserve"> using a corporate email box established specifically for this project. </w:t>
      </w:r>
    </w:p>
    <w:p w:rsidR="00FB2597" w:rsidRPr="006C5FBF" w:rsidP="00060AF6" w14:paraId="62204E67" w14:textId="1806F7FE">
      <w:pPr>
        <w:rPr>
          <w:bCs/>
        </w:rPr>
      </w:pPr>
      <w:r w:rsidRPr="006C5FBF">
        <w:rPr>
          <w:bCs/>
        </w:rPr>
        <w:t xml:space="preserve">Consideration was given to collecting information using automated or electronic collection </w:t>
      </w:r>
      <w:r w:rsidRPr="006C5FBF" w:rsidR="00060AF6">
        <w:rPr>
          <w:bCs/>
        </w:rPr>
        <w:t>methods</w:t>
      </w:r>
      <w:r w:rsidRPr="006C5FBF" w:rsidR="00B13993">
        <w:rPr>
          <w:bCs/>
        </w:rPr>
        <w:t>;</w:t>
      </w:r>
      <w:r w:rsidRPr="006C5FBF">
        <w:rPr>
          <w:bCs/>
        </w:rPr>
        <w:t xml:space="preserve"> however</w:t>
      </w:r>
      <w:r w:rsidRPr="006C5FBF" w:rsidR="00B13993">
        <w:rPr>
          <w:bCs/>
        </w:rPr>
        <w:t>,</w:t>
      </w:r>
      <w:r w:rsidRPr="006C5FBF">
        <w:rPr>
          <w:bCs/>
        </w:rPr>
        <w:t xml:space="preserve"> </w:t>
      </w:r>
      <w:r w:rsidRPr="006C5FBF" w:rsidR="00B13993">
        <w:rPr>
          <w:bCs/>
        </w:rPr>
        <w:t xml:space="preserve">after a </w:t>
      </w:r>
      <w:r w:rsidRPr="006C5FBF">
        <w:rPr>
          <w:bCs/>
        </w:rPr>
        <w:t xml:space="preserve">cost benefit analysis was </w:t>
      </w:r>
      <w:r w:rsidRPr="006C5FBF" w:rsidR="00060AF6">
        <w:rPr>
          <w:bCs/>
        </w:rPr>
        <w:t>conducted,</w:t>
      </w:r>
      <w:r w:rsidRPr="006C5FBF">
        <w:rPr>
          <w:bCs/>
        </w:rPr>
        <w:t xml:space="preserve"> the fillable form and email submission was determined to bring the greatest benefit and least burden to States and law enforcement agencies. </w:t>
      </w:r>
    </w:p>
    <w:p w:rsidR="00C540A5" w:rsidRPr="006C5FBF" w:rsidP="00060AF6" w14:paraId="0D26C848" w14:textId="03849F2B">
      <w:pPr>
        <w:rPr>
          <w:bCs/>
        </w:rPr>
      </w:pPr>
      <w:r w:rsidRPr="006C5FBF">
        <w:rPr>
          <w:rFonts w:cs="Times New Roman"/>
        </w:rPr>
        <w:t xml:space="preserve">Quarterly reports will be collected through telephone conversations between the selected agencies and the </w:t>
      </w:r>
      <w:r w:rsidRPr="006C5FBF" w:rsidR="008530ED">
        <w:rPr>
          <w:rFonts w:cs="Times New Roman"/>
        </w:rPr>
        <w:t xml:space="preserve">NHTSA’s </w:t>
      </w:r>
      <w:r w:rsidRPr="006C5FBF">
        <w:rPr>
          <w:rFonts w:cs="Times New Roman"/>
        </w:rPr>
        <w:t>contractor.</w:t>
      </w:r>
      <w:r w:rsidRPr="006C5FBF" w:rsidR="00382F0F">
        <w:rPr>
          <w:rFonts w:cs="Times New Roman"/>
        </w:rPr>
        <w:t xml:space="preserve"> </w:t>
      </w:r>
      <w:bookmarkStart w:id="8" w:name="_Hlk102625448"/>
      <w:bookmarkStart w:id="9" w:name="_Hlk102625351"/>
      <w:r w:rsidRPr="006C5FBF" w:rsidR="00382F0F">
        <w:rPr>
          <w:rFonts w:cs="Times New Roman"/>
        </w:rPr>
        <w:t xml:space="preserve">Quarterly conversations will be conducted to </w:t>
      </w:r>
      <w:r w:rsidRPr="006C5FBF" w:rsidR="00F43BC1">
        <w:rPr>
          <w:rFonts w:cs="Times New Roman"/>
        </w:rPr>
        <w:t>open</w:t>
      </w:r>
      <w:r w:rsidRPr="006C5FBF" w:rsidR="00A15D55">
        <w:rPr>
          <w:rFonts w:cs="Times New Roman"/>
        </w:rPr>
        <w:t xml:space="preserve"> clear lines </w:t>
      </w:r>
      <w:r w:rsidRPr="006C5FBF" w:rsidR="00382F0F">
        <w:rPr>
          <w:rFonts w:cs="Times New Roman"/>
        </w:rPr>
        <w:t>of communication</w:t>
      </w:r>
      <w:bookmarkEnd w:id="8"/>
      <w:r w:rsidRPr="006C5FBF" w:rsidR="00C938EF">
        <w:rPr>
          <w:rFonts w:cs="Times New Roman"/>
        </w:rPr>
        <w:t>, to assure information is accurately and efficiently documented,</w:t>
      </w:r>
      <w:r w:rsidRPr="006C5FBF" w:rsidR="00382F0F">
        <w:rPr>
          <w:rFonts w:cs="Times New Roman"/>
        </w:rPr>
        <w:t xml:space="preserve"> </w:t>
      </w:r>
      <w:r w:rsidRPr="006C5FBF" w:rsidR="00F43BC1">
        <w:rPr>
          <w:rFonts w:cs="Times New Roman"/>
        </w:rPr>
        <w:t>to assure</w:t>
      </w:r>
      <w:r w:rsidRPr="006C5FBF" w:rsidR="00382F0F">
        <w:rPr>
          <w:rFonts w:cs="Times New Roman"/>
        </w:rPr>
        <w:t xml:space="preserve"> participating agencies are </w:t>
      </w:r>
      <w:r w:rsidRPr="006C5FBF" w:rsidR="00A15D55">
        <w:rPr>
          <w:rFonts w:cs="Times New Roman"/>
        </w:rPr>
        <w:t>successfully</w:t>
      </w:r>
      <w:r w:rsidRPr="006C5FBF" w:rsidR="00382F0F">
        <w:rPr>
          <w:rFonts w:cs="Times New Roman"/>
        </w:rPr>
        <w:t xml:space="preserve"> implement</w:t>
      </w:r>
      <w:r w:rsidRPr="006C5FBF" w:rsidR="00A15D55">
        <w:rPr>
          <w:rFonts w:cs="Times New Roman"/>
        </w:rPr>
        <w:t xml:space="preserve">ing the components of the project, utilizing the </w:t>
      </w:r>
      <w:r w:rsidRPr="006C5FBF" w:rsidR="00382F0F">
        <w:rPr>
          <w:rFonts w:cs="Times New Roman"/>
        </w:rPr>
        <w:t>resources</w:t>
      </w:r>
      <w:r w:rsidRPr="006C5FBF" w:rsidR="00A15D55">
        <w:rPr>
          <w:rFonts w:cs="Times New Roman"/>
        </w:rPr>
        <w:t xml:space="preserve"> (tools &amp; technologies)</w:t>
      </w:r>
      <w:r w:rsidRPr="006C5FBF" w:rsidR="00382F0F">
        <w:rPr>
          <w:rFonts w:cs="Times New Roman"/>
        </w:rPr>
        <w:t>, to offer technical assistance, and/or to answer questions.</w:t>
      </w:r>
    </w:p>
    <w:p w:rsidR="008A6B31" w:rsidRPr="006C5FBF" w:rsidP="008A6B31" w14:paraId="13AFD77B" w14:textId="77777777">
      <w:pPr>
        <w:pStyle w:val="ListParagraph"/>
        <w:numPr>
          <w:ilvl w:val="0"/>
          <w:numId w:val="1"/>
        </w:numPr>
        <w:autoSpaceDE w:val="0"/>
        <w:autoSpaceDN w:val="0"/>
        <w:adjustRightInd w:val="0"/>
        <w:spacing w:after="0" w:line="240" w:lineRule="auto"/>
        <w:rPr>
          <w:rFonts w:cs="Times New Roman"/>
          <w:b/>
        </w:rPr>
      </w:pPr>
      <w:bookmarkStart w:id="10" w:name="_Hlk51330199"/>
      <w:bookmarkEnd w:id="6"/>
      <w:bookmarkEnd w:id="9"/>
      <w:r w:rsidRPr="006C5FBF">
        <w:rPr>
          <w:rFonts w:cs="Times New Roman"/>
          <w:b/>
        </w:rPr>
        <w:t xml:space="preserve">Describe efforts to identify duplication. </w:t>
      </w:r>
      <w:bookmarkStart w:id="11" w:name="_Hlk45117781"/>
      <w:r w:rsidRPr="006C5FBF">
        <w:rPr>
          <w:rFonts w:cs="Times New Roman"/>
          <w:b/>
        </w:rPr>
        <w:t>Show specifically why any similar information already available cannot be used or modified for use for the purposes described in Item 2 above.</w:t>
      </w:r>
      <w:bookmarkEnd w:id="11"/>
    </w:p>
    <w:bookmarkEnd w:id="10"/>
    <w:p w:rsidR="008A6B31" w:rsidRPr="006C5FBF" w:rsidP="008A6B31" w14:paraId="5BEA518A" w14:textId="77777777">
      <w:pPr>
        <w:autoSpaceDE w:val="0"/>
        <w:autoSpaceDN w:val="0"/>
        <w:adjustRightInd w:val="0"/>
        <w:spacing w:after="0" w:line="240" w:lineRule="auto"/>
        <w:rPr>
          <w:rFonts w:cs="Times New Roman"/>
        </w:rPr>
      </w:pPr>
    </w:p>
    <w:p w:rsidR="00FB2597" w:rsidRPr="006C5FBF" w:rsidP="00060AF6" w14:paraId="2C42D6B8" w14:textId="6EBF7CC3">
      <w:pPr>
        <w:autoSpaceDE w:val="0"/>
        <w:autoSpaceDN w:val="0"/>
        <w:adjustRightInd w:val="0"/>
        <w:spacing w:after="0" w:line="240" w:lineRule="auto"/>
        <w:rPr>
          <w:rFonts w:cs="Times New Roman"/>
        </w:rPr>
      </w:pPr>
      <w:r w:rsidRPr="006C5FBF">
        <w:rPr>
          <w:rFonts w:cs="Times New Roman"/>
        </w:rPr>
        <w:t>Information collected</w:t>
      </w:r>
      <w:r w:rsidRPr="006C5FBF" w:rsidR="00C540A5">
        <w:rPr>
          <w:rFonts w:cs="Times New Roman"/>
        </w:rPr>
        <w:t xml:space="preserve"> for this </w:t>
      </w:r>
      <w:r w:rsidRPr="006C5FBF" w:rsidR="00C540A5">
        <w:t>one-time demonstration project to study strategies to improve DRE programs</w:t>
      </w:r>
      <w:r w:rsidRPr="006C5FBF">
        <w:rPr>
          <w:rFonts w:cs="Times New Roman"/>
        </w:rPr>
        <w:t xml:space="preserve"> could not be obtained through any existing means. </w:t>
      </w:r>
      <w:r w:rsidRPr="006C5FBF" w:rsidR="0053708C">
        <w:rPr>
          <w:rFonts w:cs="Times New Roman"/>
        </w:rPr>
        <w:t xml:space="preserve">NHTSA was unable to locate any </w:t>
      </w:r>
      <w:r w:rsidRPr="006C5FBF" w:rsidR="00326AB9">
        <w:rPr>
          <w:rFonts w:cs="Times New Roman"/>
        </w:rPr>
        <w:t xml:space="preserve">source of information that </w:t>
      </w:r>
      <w:r w:rsidRPr="006C5FBF" w:rsidR="00AB4D71">
        <w:rPr>
          <w:rFonts w:cs="Times New Roman"/>
        </w:rPr>
        <w:t xml:space="preserve">contains </w:t>
      </w:r>
      <w:r w:rsidRPr="006C5FBF" w:rsidR="00AB4D71">
        <w:rPr>
          <w:rFonts w:cs="Times New Roman"/>
        </w:rPr>
        <w:t>all of</w:t>
      </w:r>
      <w:r w:rsidRPr="006C5FBF" w:rsidR="00AB4D71">
        <w:rPr>
          <w:rFonts w:cs="Times New Roman"/>
        </w:rPr>
        <w:t xml:space="preserve"> t</w:t>
      </w:r>
      <w:r w:rsidRPr="006C5FBF" w:rsidR="00326AB9">
        <w:rPr>
          <w:rFonts w:cs="Times New Roman"/>
        </w:rPr>
        <w:t xml:space="preserve">he aspects of DRE strategy implementation that this demonstration project is designed to </w:t>
      </w:r>
      <w:r w:rsidRPr="006C5FBF" w:rsidR="00AB4D71">
        <w:rPr>
          <w:rFonts w:cs="Times New Roman"/>
        </w:rPr>
        <w:t>study</w:t>
      </w:r>
      <w:r w:rsidRPr="006C5FBF" w:rsidR="00326AB9">
        <w:rPr>
          <w:rFonts w:cs="Times New Roman"/>
        </w:rPr>
        <w:t>.</w:t>
      </w:r>
    </w:p>
    <w:p w:rsidR="008A6B31" w:rsidRPr="006C5FBF" w:rsidP="008A6B31" w14:paraId="094D5954" w14:textId="77777777">
      <w:pPr>
        <w:autoSpaceDE w:val="0"/>
        <w:autoSpaceDN w:val="0"/>
        <w:adjustRightInd w:val="0"/>
        <w:spacing w:after="0" w:line="240" w:lineRule="auto"/>
        <w:ind w:left="720"/>
        <w:rPr>
          <w:rFonts w:cs="Times New Roman"/>
        </w:rPr>
      </w:pPr>
    </w:p>
    <w:p w:rsidR="008A6B31" w:rsidRPr="006C5FBF" w:rsidP="008A6B31" w14:paraId="7768AC8D" w14:textId="77777777">
      <w:pPr>
        <w:pStyle w:val="ListParagraph"/>
        <w:numPr>
          <w:ilvl w:val="0"/>
          <w:numId w:val="1"/>
        </w:numPr>
        <w:rPr>
          <w:rFonts w:cs="Times New Roman"/>
          <w:b/>
        </w:rPr>
      </w:pPr>
      <w:bookmarkStart w:id="12" w:name="_Hlk51330529"/>
      <w:bookmarkStart w:id="13" w:name="_Hlk78838823"/>
      <w:r w:rsidRPr="006C5FBF">
        <w:rPr>
          <w:rFonts w:cs="Times New Roman"/>
          <w:b/>
        </w:rPr>
        <w:t>If the collection of information impacts small businesses or other small entities, describe any methods used to minimize burden</w:t>
      </w:r>
      <w:bookmarkEnd w:id="12"/>
      <w:r w:rsidRPr="006C5FBF">
        <w:rPr>
          <w:rFonts w:cs="Times New Roman"/>
          <w:b/>
        </w:rPr>
        <w:t>.</w:t>
      </w:r>
    </w:p>
    <w:bookmarkEnd w:id="13"/>
    <w:p w:rsidR="00141C3B" w:rsidRPr="006C5FBF" w:rsidP="00141C3B" w14:paraId="722FD526" w14:textId="3C6AB863">
      <w:pPr>
        <w:ind w:left="720"/>
        <w:rPr>
          <w:b/>
        </w:rPr>
      </w:pPr>
      <w:r w:rsidRPr="006C5FBF">
        <w:rPr>
          <w:rFonts w:cs="Times New Roman"/>
        </w:rPr>
        <w:t>This demonstration project</w:t>
      </w:r>
      <w:r w:rsidRPr="006C5FBF" w:rsidR="00905960">
        <w:rPr>
          <w:rFonts w:cs="Times New Roman"/>
        </w:rPr>
        <w:t xml:space="preserve"> will be open to all </w:t>
      </w:r>
      <w:r w:rsidRPr="006C5FBF">
        <w:rPr>
          <w:rFonts w:cs="Times New Roman"/>
        </w:rPr>
        <w:t>law enforcement agencies no matter the size of the agency</w:t>
      </w:r>
      <w:r w:rsidRPr="006C5FBF" w:rsidR="00C938EF">
        <w:rPr>
          <w:rFonts w:cs="Times New Roman"/>
        </w:rPr>
        <w:t xml:space="preserve"> who voluntarily step up</w:t>
      </w:r>
      <w:r w:rsidRPr="006C5FBF">
        <w:rPr>
          <w:rFonts w:cs="Times New Roman"/>
        </w:rPr>
        <w:t xml:space="preserve">. </w:t>
      </w:r>
      <w:r w:rsidRPr="006C5FBF" w:rsidR="00691599">
        <w:rPr>
          <w:rFonts w:cs="Times New Roman"/>
        </w:rPr>
        <w:t xml:space="preserve">Additionally, because NHTSA is interested in studying implementation of the strategies by different size law enforcement, NHTSA </w:t>
      </w:r>
      <w:r w:rsidRPr="006C5FBF" w:rsidR="00905960">
        <w:rPr>
          <w:rFonts w:cs="Times New Roman"/>
        </w:rPr>
        <w:t>expects that some respondents will be small entities. However, since participation in the demonstration project is voluntary, NHTSA believes that small entities will only participate if they believe the experience will</w:t>
      </w:r>
      <w:r w:rsidRPr="006C5FBF" w:rsidR="006D78F1">
        <w:rPr>
          <w:rFonts w:cs="Times New Roman"/>
        </w:rPr>
        <w:t xml:space="preserve"> be beneficial to them.</w:t>
      </w:r>
      <w:r w:rsidRPr="006C5FBF" w:rsidR="005C4264">
        <w:rPr>
          <w:rFonts w:cs="Times New Roman"/>
        </w:rPr>
        <w:t xml:space="preserve"> </w:t>
      </w:r>
      <w:bookmarkStart w:id="14" w:name="_Hlk51330653"/>
    </w:p>
    <w:p w:rsidR="008A6B31" w:rsidRPr="006C5FBF" w:rsidP="00AB4D71" w14:paraId="61A5C696" w14:textId="67924A0D">
      <w:pPr>
        <w:numPr>
          <w:ilvl w:val="0"/>
          <w:numId w:val="1"/>
        </w:numPr>
        <w:rPr>
          <w:b/>
        </w:rPr>
      </w:pPr>
      <w:r w:rsidRPr="006C5FBF">
        <w:rPr>
          <w:b/>
        </w:rPr>
        <w:t>Describe the consequence to Federal program or policy activities if the collection is not conducted or is conducted less frequently, as well as any technical or legal obstacles to reducing burden.</w:t>
      </w:r>
    </w:p>
    <w:bookmarkEnd w:id="14"/>
    <w:p w:rsidR="00407D44" w:rsidRPr="006C5FBF" w:rsidP="00141C3B" w14:paraId="25A063D5" w14:textId="05DD54F1">
      <w:pPr>
        <w:ind w:left="720"/>
      </w:pPr>
      <w:r w:rsidRPr="006C5FBF">
        <w:t>C</w:t>
      </w:r>
      <w:r w:rsidRPr="006C5FBF">
        <w:t>ollecting the information identified as being part of this demonstration project will help NHTSA understand what law enforcement has done in the past, is doing currently, and how</w:t>
      </w:r>
      <w:r w:rsidRPr="006C5FBF" w:rsidR="004A3EFF">
        <w:t>,</w:t>
      </w:r>
      <w:r w:rsidRPr="006C5FBF">
        <w:t xml:space="preserve"> by working together</w:t>
      </w:r>
      <w:r w:rsidRPr="006C5FBF" w:rsidR="00382F0F">
        <w:t>,</w:t>
      </w:r>
      <w:r w:rsidRPr="006C5FBF">
        <w:t xml:space="preserve"> processes for collecting data could be improved. The consequences </w:t>
      </w:r>
      <w:r w:rsidRPr="006C5FBF">
        <w:t xml:space="preserve">for </w:t>
      </w:r>
      <w:r w:rsidRPr="006C5FBF">
        <w:t xml:space="preserve">not collecting this information would </w:t>
      </w:r>
      <w:r w:rsidRPr="006C5FBF">
        <w:t xml:space="preserve">be that </w:t>
      </w:r>
      <w:r w:rsidRPr="006C5FBF">
        <w:t xml:space="preserve">NHTSA </w:t>
      </w:r>
      <w:r w:rsidRPr="006C5FBF">
        <w:t xml:space="preserve">is prohibited </w:t>
      </w:r>
      <w:r w:rsidRPr="006C5FBF">
        <w:t>from learning more about the processes and from creating a means for assisting law enforcement</w:t>
      </w:r>
      <w:r w:rsidRPr="006C5FBF">
        <w:t xml:space="preserve"> to</w:t>
      </w:r>
      <w:r w:rsidRPr="006C5FBF">
        <w:t xml:space="preserve"> improve how they implement their DRE programs in the future</w:t>
      </w:r>
      <w:r w:rsidRPr="006C5FBF">
        <w:t xml:space="preserve"> and ultimately to remove drug impaired drivers from America’s roadways</w:t>
      </w:r>
      <w:r w:rsidRPr="006C5FBF">
        <w:t>.</w:t>
      </w:r>
    </w:p>
    <w:p w:rsidR="00141C3B" w:rsidRPr="006C5FBF" w:rsidP="00141C3B" w14:paraId="3569EBD8" w14:textId="5C3FAD79">
      <w:pPr>
        <w:autoSpaceDE w:val="0"/>
        <w:autoSpaceDN w:val="0"/>
        <w:adjustRightInd w:val="0"/>
        <w:spacing w:after="0" w:line="240" w:lineRule="auto"/>
        <w:ind w:left="720"/>
      </w:pPr>
      <w:r w:rsidRPr="006C5FBF">
        <w:t>Collecting monthly and quarterly reports</w:t>
      </w:r>
      <w:r w:rsidRPr="006C5FBF" w:rsidR="004A3EFF">
        <w:t xml:space="preserve"> is</w:t>
      </w:r>
      <w:r w:rsidRPr="006C5FBF">
        <w:t xml:space="preserve"> </w:t>
      </w:r>
      <w:r w:rsidRPr="006C5FBF">
        <w:rPr>
          <w:rFonts w:cs="Times New Roman"/>
        </w:rPr>
        <w:t>to assure the project overall is on task and time with recruitment, distribution of resources, and in meeting the needs of all participating agencies</w:t>
      </w:r>
      <w:r w:rsidRPr="006C5FBF">
        <w:t>.</w:t>
      </w:r>
      <w:r w:rsidRPr="006C5FBF" w:rsidR="00FB7091">
        <w:t xml:space="preserve"> Collecting information less frequently could lead to improper program implementation ultimately leading to poor, skewed, or far worse, a total disregard for data collection.</w:t>
      </w:r>
    </w:p>
    <w:p w:rsidR="00141C3B" w:rsidRPr="006C5FBF" w:rsidP="00141C3B" w14:paraId="4FE9F030" w14:textId="14F9276B">
      <w:pPr>
        <w:autoSpaceDE w:val="0"/>
        <w:autoSpaceDN w:val="0"/>
        <w:adjustRightInd w:val="0"/>
        <w:spacing w:after="0" w:line="240" w:lineRule="auto"/>
        <w:ind w:left="720"/>
        <w:rPr>
          <w:rFonts w:cs="Times New Roman"/>
        </w:rPr>
      </w:pPr>
      <w:r w:rsidRPr="006C5FBF">
        <w:t xml:space="preserve"> </w:t>
      </w:r>
      <w:r w:rsidRPr="006C5FBF">
        <w:rPr>
          <w:rFonts w:cs="Times New Roman"/>
        </w:rPr>
        <w:t xml:space="preserve"> </w:t>
      </w:r>
      <w:bookmarkStart w:id="15" w:name="_Hlk51330697"/>
    </w:p>
    <w:p w:rsidR="008A6B31" w:rsidRPr="006C5FBF" w:rsidP="00141C3B" w14:paraId="0174FDBF" w14:textId="5CB035A8">
      <w:pPr>
        <w:pStyle w:val="ListParagraph"/>
        <w:numPr>
          <w:ilvl w:val="0"/>
          <w:numId w:val="1"/>
        </w:numPr>
        <w:autoSpaceDE w:val="0"/>
        <w:autoSpaceDN w:val="0"/>
        <w:adjustRightInd w:val="0"/>
        <w:spacing w:after="0" w:line="240" w:lineRule="auto"/>
        <w:rPr>
          <w:rFonts w:cs="Times New Roman"/>
          <w:b/>
        </w:rPr>
      </w:pPr>
      <w:r w:rsidRPr="006C5FBF">
        <w:rPr>
          <w:rFonts w:cs="Times New Roman"/>
          <w:b/>
        </w:rPr>
        <w:t>Explain any special circumstances that would cause an information collection to be conducted in a manner:</w:t>
      </w:r>
    </w:p>
    <w:p w:rsidR="008A6B31" w:rsidRPr="006C5FBF" w:rsidP="008A6B31" w14:paraId="00374C6D" w14:textId="77777777">
      <w:pPr>
        <w:pStyle w:val="ListParagraph"/>
        <w:numPr>
          <w:ilvl w:val="1"/>
          <w:numId w:val="1"/>
        </w:numPr>
        <w:autoSpaceDE w:val="0"/>
        <w:autoSpaceDN w:val="0"/>
        <w:adjustRightInd w:val="0"/>
        <w:spacing w:after="0" w:line="240" w:lineRule="auto"/>
        <w:rPr>
          <w:rFonts w:cs="Times New Roman"/>
          <w:b/>
        </w:rPr>
      </w:pPr>
      <w:r w:rsidRPr="006C5FBF">
        <w:rPr>
          <w:rFonts w:cs="Times New Roman"/>
          <w:b/>
        </w:rPr>
        <w:t xml:space="preserve">requiring respondents to report information to the agency more often than </w:t>
      </w:r>
      <w:r w:rsidRPr="006C5FBF">
        <w:rPr>
          <w:rFonts w:cs="Times New Roman"/>
          <w:b/>
        </w:rPr>
        <w:t>quarterly;</w:t>
      </w:r>
    </w:p>
    <w:p w:rsidR="008A6B31" w:rsidRPr="006C5FBF" w:rsidP="008A6B31" w14:paraId="647BA260" w14:textId="77777777">
      <w:pPr>
        <w:pStyle w:val="ListParagraph"/>
        <w:numPr>
          <w:ilvl w:val="1"/>
          <w:numId w:val="1"/>
        </w:numPr>
        <w:autoSpaceDE w:val="0"/>
        <w:autoSpaceDN w:val="0"/>
        <w:adjustRightInd w:val="0"/>
        <w:spacing w:after="0" w:line="240" w:lineRule="auto"/>
        <w:rPr>
          <w:rFonts w:cs="Times New Roman"/>
          <w:b/>
        </w:rPr>
      </w:pPr>
      <w:r w:rsidRPr="006C5FBF">
        <w:rPr>
          <w:rFonts w:cs="Times New Roman"/>
          <w:b/>
        </w:rPr>
        <w:t xml:space="preserve">requiring respondents to prepare a written response to a collection of information in fewer than 30 days after receipt of </w:t>
      </w:r>
      <w:r w:rsidRPr="006C5FBF">
        <w:rPr>
          <w:rFonts w:cs="Times New Roman"/>
          <w:b/>
        </w:rPr>
        <w:t>it;</w:t>
      </w:r>
    </w:p>
    <w:p w:rsidR="008A6B31" w:rsidRPr="006C5FBF" w:rsidP="008A6B31" w14:paraId="76112BBA" w14:textId="77777777">
      <w:pPr>
        <w:pStyle w:val="ListParagraph"/>
        <w:numPr>
          <w:ilvl w:val="1"/>
          <w:numId w:val="1"/>
        </w:numPr>
        <w:autoSpaceDE w:val="0"/>
        <w:autoSpaceDN w:val="0"/>
        <w:adjustRightInd w:val="0"/>
        <w:spacing w:after="0" w:line="240" w:lineRule="auto"/>
        <w:rPr>
          <w:rFonts w:cs="Times New Roman"/>
          <w:b/>
        </w:rPr>
      </w:pPr>
      <w:r w:rsidRPr="006C5FBF">
        <w:rPr>
          <w:rFonts w:cs="Times New Roman"/>
          <w:b/>
        </w:rPr>
        <w:t xml:space="preserve">requiring respondents to submit more than an original and two copies of any </w:t>
      </w:r>
      <w:r w:rsidRPr="006C5FBF">
        <w:rPr>
          <w:rFonts w:cs="Times New Roman"/>
          <w:b/>
        </w:rPr>
        <w:t>document;</w:t>
      </w:r>
    </w:p>
    <w:p w:rsidR="008A6B31" w:rsidRPr="006C5FBF" w:rsidP="008A6B31" w14:paraId="0BC773C3" w14:textId="77777777">
      <w:pPr>
        <w:pStyle w:val="ListParagraph"/>
        <w:numPr>
          <w:ilvl w:val="1"/>
          <w:numId w:val="1"/>
        </w:numPr>
        <w:autoSpaceDE w:val="0"/>
        <w:autoSpaceDN w:val="0"/>
        <w:adjustRightInd w:val="0"/>
        <w:spacing w:after="0" w:line="240" w:lineRule="auto"/>
        <w:rPr>
          <w:rFonts w:cs="Times New Roman"/>
          <w:b/>
        </w:rPr>
      </w:pPr>
      <w:r w:rsidRPr="006C5FBF">
        <w:rPr>
          <w:rFonts w:cs="Times New Roman"/>
          <w:b/>
        </w:rPr>
        <w:t xml:space="preserve">requiring respondents to retain records, other than health, medical, government contract, grant-in-aid, or tax records, for more than three </w:t>
      </w:r>
      <w:r w:rsidRPr="006C5FBF">
        <w:rPr>
          <w:rFonts w:cs="Times New Roman"/>
          <w:b/>
        </w:rPr>
        <w:t>years;</w:t>
      </w:r>
    </w:p>
    <w:p w:rsidR="008A6B31" w:rsidRPr="006C5FBF" w:rsidP="008A6B31" w14:paraId="7DB0B69C" w14:textId="77777777">
      <w:pPr>
        <w:pStyle w:val="ListParagraph"/>
        <w:numPr>
          <w:ilvl w:val="1"/>
          <w:numId w:val="1"/>
        </w:numPr>
        <w:autoSpaceDE w:val="0"/>
        <w:autoSpaceDN w:val="0"/>
        <w:adjustRightInd w:val="0"/>
        <w:spacing w:after="0" w:line="240" w:lineRule="auto"/>
        <w:rPr>
          <w:rFonts w:cs="Times New Roman"/>
          <w:b/>
        </w:rPr>
      </w:pPr>
      <w:r w:rsidRPr="006C5FBF">
        <w:rPr>
          <w:rFonts w:cs="Times New Roman"/>
          <w:b/>
        </w:rPr>
        <w:t xml:space="preserve">in connection with a statistical survey, that is not designed to produce valid and reliable results that can be generalized to the universe of </w:t>
      </w:r>
      <w:r w:rsidRPr="006C5FBF">
        <w:rPr>
          <w:rFonts w:cs="Times New Roman"/>
          <w:b/>
        </w:rPr>
        <w:t>study;</w:t>
      </w:r>
    </w:p>
    <w:p w:rsidR="008A6B31" w:rsidRPr="006C5FBF" w:rsidP="008A6B31" w14:paraId="7F5A7667" w14:textId="77777777">
      <w:pPr>
        <w:pStyle w:val="ListParagraph"/>
        <w:numPr>
          <w:ilvl w:val="1"/>
          <w:numId w:val="1"/>
        </w:numPr>
        <w:autoSpaceDE w:val="0"/>
        <w:autoSpaceDN w:val="0"/>
        <w:adjustRightInd w:val="0"/>
        <w:spacing w:after="0" w:line="240" w:lineRule="auto"/>
        <w:rPr>
          <w:rFonts w:cs="Times New Roman"/>
          <w:b/>
        </w:rPr>
      </w:pPr>
      <w:r w:rsidRPr="006C5FBF">
        <w:rPr>
          <w:rFonts w:cs="Times New Roman"/>
          <w:b/>
        </w:rPr>
        <w:t xml:space="preserve">requiring the use of a statistical data classification that has not been reviewed and approved by </w:t>
      </w:r>
      <w:r w:rsidRPr="006C5FBF">
        <w:rPr>
          <w:rFonts w:cs="Times New Roman"/>
          <w:b/>
        </w:rPr>
        <w:t>OMB;</w:t>
      </w:r>
    </w:p>
    <w:p w:rsidR="008A6B31" w:rsidRPr="006C5FBF" w:rsidP="008A6B31" w14:paraId="4C7D57CF" w14:textId="77777777">
      <w:pPr>
        <w:pStyle w:val="ListParagraph"/>
        <w:numPr>
          <w:ilvl w:val="1"/>
          <w:numId w:val="1"/>
        </w:numPr>
        <w:autoSpaceDE w:val="0"/>
        <w:autoSpaceDN w:val="0"/>
        <w:adjustRightInd w:val="0"/>
        <w:spacing w:after="0" w:line="240" w:lineRule="auto"/>
        <w:rPr>
          <w:rFonts w:cs="Times New Roman"/>
          <w:b/>
        </w:rPr>
      </w:pPr>
      <w:r w:rsidRPr="006C5FBF">
        <w:rPr>
          <w:rFonts w:cs="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6C5FBF" w:rsidP="008A6B31" w14:paraId="7F9E8CEB" w14:textId="77777777">
      <w:pPr>
        <w:pStyle w:val="ListParagraph"/>
        <w:numPr>
          <w:ilvl w:val="1"/>
          <w:numId w:val="1"/>
        </w:numPr>
        <w:autoSpaceDE w:val="0"/>
        <w:autoSpaceDN w:val="0"/>
        <w:adjustRightInd w:val="0"/>
        <w:spacing w:after="0" w:line="240" w:lineRule="auto"/>
        <w:rPr>
          <w:rFonts w:cs="Times New Roman"/>
          <w:b/>
        </w:rPr>
      </w:pPr>
      <w:bookmarkStart w:id="16" w:name="_Hlk45117573"/>
      <w:r w:rsidRPr="006C5FBF">
        <w:rPr>
          <w:rFonts w:cs="Times New Roman"/>
          <w:b/>
        </w:rPr>
        <w:t>requiring respondents to submit proprietary trade secrets, or other confidential information unless the agency can demonstrate that it has instituted procedures to protect the information's confidentiality to the extent permitted by law.</w:t>
      </w:r>
    </w:p>
    <w:bookmarkEnd w:id="15"/>
    <w:bookmarkEnd w:id="16"/>
    <w:p w:rsidR="00407D44" w:rsidRPr="006C5FBF" w:rsidP="00060AF6" w14:paraId="79EBED56" w14:textId="7EB3038A">
      <w:pPr>
        <w:autoSpaceDE w:val="0"/>
        <w:autoSpaceDN w:val="0"/>
        <w:adjustRightInd w:val="0"/>
        <w:spacing w:before="240" w:after="0" w:line="240" w:lineRule="auto"/>
        <w:rPr>
          <w:rFonts w:cs="Times New Roman"/>
        </w:rPr>
      </w:pPr>
      <w:r w:rsidRPr="006C5FBF">
        <w:rPr>
          <w:rFonts w:cs="Times New Roman"/>
        </w:rPr>
        <w:t xml:space="preserve">This information collection does require monthly reports </w:t>
      </w:r>
      <w:r w:rsidRPr="006C5FBF" w:rsidR="00382F0F">
        <w:rPr>
          <w:rFonts w:cs="Times New Roman"/>
        </w:rPr>
        <w:t>to verify that the project overall is on task and time with recruitment, distribution of resources, and in meeting the needs of all participating agencies</w:t>
      </w:r>
      <w:r w:rsidRPr="006C5FBF" w:rsidR="00382F0F">
        <w:t xml:space="preserve">. </w:t>
      </w:r>
      <w:r w:rsidRPr="006C5FBF" w:rsidR="00FB7091">
        <w:rPr>
          <w:rFonts w:cs="Times New Roman"/>
        </w:rPr>
        <w:t xml:space="preserve">Monthly reporting is to be used as a tool to check-in with participating agencies to assure they can successfully implement program efforts. Monthly reporting allows for the participating agencies to share their </w:t>
      </w:r>
      <w:r w:rsidRPr="006C5FBF" w:rsidR="00432ABE">
        <w:rPr>
          <w:rFonts w:cs="Times New Roman"/>
        </w:rPr>
        <w:t>accomplishments</w:t>
      </w:r>
      <w:r w:rsidRPr="006C5FBF" w:rsidR="00FB7091">
        <w:rPr>
          <w:rFonts w:cs="Times New Roman"/>
        </w:rPr>
        <w:t xml:space="preserve"> but also </w:t>
      </w:r>
      <w:r w:rsidRPr="006C5FBF" w:rsidR="00432ABE">
        <w:rPr>
          <w:rFonts w:cs="Times New Roman"/>
        </w:rPr>
        <w:t xml:space="preserve">to give forward thought to problems/delays and suggested solutions to remedy such risks, and to </w:t>
      </w:r>
      <w:r w:rsidRPr="006C5FBF" w:rsidR="00FB7091">
        <w:rPr>
          <w:rFonts w:cs="Times New Roman"/>
        </w:rPr>
        <w:t>ask for assistance, when and where needed.</w:t>
      </w:r>
    </w:p>
    <w:p w:rsidR="00150F00" w:rsidRPr="006C5FBF" w:rsidP="00150F00" w14:paraId="2E789175" w14:textId="29C71AF6">
      <w:pPr>
        <w:numPr>
          <w:ilvl w:val="0"/>
          <w:numId w:val="1"/>
        </w:numPr>
        <w:spacing w:before="240"/>
        <w:rPr>
          <w:b/>
        </w:rPr>
      </w:pPr>
      <w:bookmarkStart w:id="17" w:name="_Hlk51330779"/>
      <w:r w:rsidRPr="006C5FBF">
        <w:rPr>
          <w:b/>
        </w:rPr>
        <w:t xml:space="preserve">If applicable, provide a copy and identify the date and page number of </w:t>
      </w:r>
      <w:r w:rsidRPr="006C5FBF">
        <w:rPr>
          <w:b/>
        </w:rPr>
        <w:t>publication</w:t>
      </w:r>
      <w:r w:rsidRPr="006C5FBF">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6C5FBF" w:rsidR="007D0FB8">
        <w:t xml:space="preserve"> </w:t>
      </w:r>
      <w:r w:rsidRPr="006C5FBF" w:rsidR="007D0FB8">
        <w:rPr>
          <w:b/>
        </w:rPr>
        <w:t>on the availability of data, frequency of collection, the clarity of instructions and recordkeeping, disclosure, or reporting format, and on the data elements to be recorded, disclosed, or reported</w:t>
      </w:r>
      <w:r w:rsidRPr="006C5FBF" w:rsidR="00484767">
        <w:rPr>
          <w:b/>
        </w:rPr>
        <w:t>.</w:t>
      </w:r>
      <w:r w:rsidRPr="006C5FBF">
        <w:rPr>
          <w:b/>
        </w:rPr>
        <w:t xml:space="preserve"> </w:t>
      </w:r>
    </w:p>
    <w:bookmarkEnd w:id="17"/>
    <w:p w:rsidR="005E63E8" w:rsidRPr="005B7B45" w:rsidP="005B7B45" w14:paraId="430FD53B" w14:textId="77777777">
      <w:pPr>
        <w:spacing w:after="0" w:line="240" w:lineRule="auto"/>
        <w:rPr>
          <w:rFonts w:eastAsia="Times New Roman" w:cs="Times New Roman"/>
          <w:szCs w:val="24"/>
        </w:rPr>
      </w:pPr>
      <w:r w:rsidRPr="005B7B45">
        <w:rPr>
          <w:rFonts w:eastAsia="Times New Roman" w:cs="Times New Roman"/>
          <w:color w:val="000000"/>
          <w:szCs w:val="24"/>
        </w:rPr>
        <w:t>A 60-day Notice and comment period soliciting comments on the following information collection was published on August 31, 2022, Docket No. NHTSSA-2022-0032.</w:t>
      </w:r>
      <w:r w:rsidRPr="005E63E8">
        <w:rPr>
          <w:rFonts w:eastAsia="Times New Roman" w:cs="Times New Roman"/>
          <w:szCs w:val="24"/>
        </w:rPr>
        <w:t xml:space="preserve"> Four general comments were received (Yolanda </w:t>
      </w:r>
      <w:r w:rsidRPr="005B7B45">
        <w:rPr>
          <w:rFonts w:eastAsia="Times New Roman" w:cs="Times New Roman"/>
          <w:szCs w:val="24"/>
        </w:rPr>
        <w:t xml:space="preserve">Robinson, </w:t>
      </w:r>
      <w:r w:rsidRPr="005B7B45">
        <w:rPr>
          <w:rFonts w:cs="Times New Roman"/>
          <w:szCs w:val="24"/>
        </w:rPr>
        <w:t>anonymous</w:t>
      </w:r>
      <w:r w:rsidRPr="005B7B45">
        <w:rPr>
          <w:rFonts w:eastAsia="Times New Roman" w:cs="Times New Roman"/>
          <w:szCs w:val="24"/>
        </w:rPr>
        <w:t xml:space="preserve">, and NAMIC which submitted two letters). </w:t>
      </w:r>
    </w:p>
    <w:p w:rsidR="005E63E8" w:rsidRPr="005E63E8" w:rsidP="005B7B45" w14:paraId="517411D3" w14:textId="77777777">
      <w:pPr>
        <w:autoSpaceDE w:val="0"/>
        <w:autoSpaceDN w:val="0"/>
        <w:adjustRightInd w:val="0"/>
        <w:spacing w:after="0" w:line="240" w:lineRule="auto"/>
        <w:rPr>
          <w:rFonts w:cs="Times New Roman"/>
          <w:szCs w:val="24"/>
        </w:rPr>
      </w:pPr>
    </w:p>
    <w:p w:rsidR="005E63E8" w:rsidRPr="005B7B45" w:rsidP="005B7B45" w14:paraId="6CDC99E0" w14:textId="77777777">
      <w:pPr>
        <w:autoSpaceDE w:val="0"/>
        <w:autoSpaceDN w:val="0"/>
        <w:adjustRightInd w:val="0"/>
        <w:spacing w:after="0" w:line="240" w:lineRule="auto"/>
        <w:rPr>
          <w:rFonts w:cs="Times New Roman"/>
          <w:szCs w:val="24"/>
        </w:rPr>
      </w:pPr>
      <w:r w:rsidRPr="005E63E8">
        <w:rPr>
          <w:rFonts w:cs="Times New Roman"/>
          <w:szCs w:val="24"/>
        </w:rPr>
        <w:t>Yolanda Robinson provided remarks in support of “any opportunities for law enforcement to receive additional training outside of firearm skill training”. Ms. Robinson went on to share data and her analysis of data she accessed from Wisconsin and Colorado</w:t>
      </w:r>
      <w:r w:rsidRPr="005B7B45">
        <w:rPr>
          <w:rFonts w:cs="Times New Roman"/>
          <w:szCs w:val="24"/>
        </w:rPr>
        <w:t xml:space="preserve">. She references other articles and information on how the fatality rates in those States have been impacted </w:t>
      </w:r>
      <w:r w:rsidRPr="005B7B45">
        <w:rPr>
          <w:rFonts w:cs="Times New Roman"/>
          <w:szCs w:val="24"/>
        </w:rPr>
        <w:t>as a result of</w:t>
      </w:r>
      <w:r w:rsidRPr="005B7B45">
        <w:rPr>
          <w:rFonts w:cs="Times New Roman"/>
          <w:szCs w:val="24"/>
        </w:rPr>
        <w:t xml:space="preserve"> the legalization of marijuana. She goes further to state that “additional training to assist officers in detecting impaired drivers and interacting with them, will be a lifesaving investment”. Training is being afforded as a component of this project; therefore, Ms. Robinson’s comments show support to the project but do not affect what has been planned for the Information Collection Request.</w:t>
      </w:r>
    </w:p>
    <w:p w:rsidR="005E63E8" w:rsidRPr="005E63E8" w:rsidP="005B7B45" w14:paraId="6608187D" w14:textId="77777777">
      <w:pPr>
        <w:autoSpaceDE w:val="0"/>
        <w:autoSpaceDN w:val="0"/>
        <w:adjustRightInd w:val="0"/>
        <w:spacing w:after="0" w:line="240" w:lineRule="auto"/>
        <w:rPr>
          <w:rFonts w:cs="Times New Roman"/>
          <w:szCs w:val="24"/>
        </w:rPr>
      </w:pPr>
    </w:p>
    <w:p w:rsidR="005E63E8" w:rsidRPr="005B7B45" w:rsidP="005B7B45" w14:paraId="5FA065D3" w14:textId="77777777">
      <w:pPr>
        <w:autoSpaceDE w:val="0"/>
        <w:autoSpaceDN w:val="0"/>
        <w:adjustRightInd w:val="0"/>
        <w:spacing w:after="0" w:line="240" w:lineRule="auto"/>
        <w:rPr>
          <w:rFonts w:cs="Times New Roman"/>
          <w:szCs w:val="24"/>
        </w:rPr>
      </w:pPr>
      <w:r w:rsidRPr="005E63E8">
        <w:rPr>
          <w:rFonts w:cs="Times New Roman"/>
          <w:szCs w:val="24"/>
        </w:rPr>
        <w:t xml:space="preserve">The anonymous letter provided remarks regarding the lack of standardized processes for the DRE program. The author expands and describes that it may be challenging to standardize DRE evaluation processes because of variability in laws state-to-state. The author goes on to express that the ability for the DRE protocol to capture evidentiary data is limited and that current processes hold the potential for human error, </w:t>
      </w:r>
      <w:r w:rsidRPr="005E63E8">
        <w:rPr>
          <w:rFonts w:cs="Times New Roman"/>
          <w:szCs w:val="24"/>
        </w:rPr>
        <w:t>biases</w:t>
      </w:r>
      <w:r w:rsidRPr="005E63E8">
        <w:rPr>
          <w:rFonts w:cs="Times New Roman"/>
          <w:szCs w:val="24"/>
        </w:rPr>
        <w:t xml:space="preserve"> or other inaccuracies and that the learning from this project is a great opportunity to improve the DRE program at the national level through automated, standardized, and objective practices to eliminate human error and improve data capture. The author goes further to recommend using video recordings, forced auto populated forms, and a device known as GAIZE or other comparable devices to capture/record eye movements. They share that improving the processes with additional objectivity and accuracy could not only improve the DRE evaluation processes but contribute to a meaningful body of evidence. Many different tools will be made available to DRE’s as a component</w:t>
      </w:r>
      <w:r w:rsidRPr="005B7B45">
        <w:rPr>
          <w:rFonts w:cs="Times New Roman"/>
          <w:szCs w:val="24"/>
        </w:rPr>
        <w:t xml:space="preserve"> of this project; therefore, the anonymous contributor’s comments show support to the project but do not affect or alter what has been planned for the Information Collection Request.</w:t>
      </w:r>
    </w:p>
    <w:p w:rsidR="005E63E8" w:rsidRPr="005E63E8" w:rsidP="005B7B45" w14:paraId="276F3781" w14:textId="77777777">
      <w:pPr>
        <w:autoSpaceDE w:val="0"/>
        <w:autoSpaceDN w:val="0"/>
        <w:adjustRightInd w:val="0"/>
        <w:spacing w:after="0" w:line="240" w:lineRule="auto"/>
        <w:rPr>
          <w:rFonts w:cs="Times New Roman"/>
          <w:szCs w:val="24"/>
        </w:rPr>
      </w:pPr>
    </w:p>
    <w:p w:rsidR="005E63E8" w:rsidRPr="005E63E8" w:rsidP="005B7B45" w14:paraId="70B12042" w14:textId="0BE75809">
      <w:pPr>
        <w:autoSpaceDE w:val="0"/>
        <w:autoSpaceDN w:val="0"/>
        <w:adjustRightInd w:val="0"/>
        <w:spacing w:after="0" w:line="240" w:lineRule="auto"/>
        <w:rPr>
          <w:rFonts w:cs="Times New Roman"/>
          <w:szCs w:val="24"/>
        </w:rPr>
      </w:pPr>
      <w:r w:rsidRPr="005E63E8">
        <w:rPr>
          <w:rFonts w:cs="Times New Roman"/>
          <w:szCs w:val="24"/>
        </w:rPr>
        <w:t xml:space="preserve">Two letters in support of the DRE project were submitted by the National Association of Mutual Insurance Companies (NAMIC). </w:t>
      </w:r>
      <w:r w:rsidRPr="005E63E8">
        <w:rPr>
          <w:rFonts w:eastAsia="Times New Roman" w:cs="Times New Roman"/>
          <w:szCs w:val="24"/>
        </w:rPr>
        <w:t>Both comments included very similar language.</w:t>
      </w:r>
      <w:r w:rsidRPr="005E63E8">
        <w:rPr>
          <w:rFonts w:cs="Times New Roman"/>
          <w:szCs w:val="24"/>
        </w:rPr>
        <w:t xml:space="preserve"> In NAMIC’s letters addressed to NHTSA Administrator Ann Carlson, ‘‘NAMIC supports NHTSA’s proposed new information collection. </w:t>
      </w:r>
    </w:p>
    <w:p w:rsidR="005E63E8" w:rsidRPr="005E63E8" w:rsidP="005B7B45" w14:paraId="562F805B" w14:textId="77777777">
      <w:pPr>
        <w:autoSpaceDE w:val="0"/>
        <w:autoSpaceDN w:val="0"/>
        <w:adjustRightInd w:val="0"/>
        <w:spacing w:after="0" w:line="240" w:lineRule="auto"/>
        <w:rPr>
          <w:rFonts w:cs="Times New Roman"/>
          <w:szCs w:val="24"/>
        </w:rPr>
      </w:pPr>
    </w:p>
    <w:p w:rsidR="005E63E8" w:rsidRPr="005E63E8" w:rsidP="005B7B45" w14:paraId="775C10FA" w14:textId="77777777">
      <w:pPr>
        <w:autoSpaceDE w:val="0"/>
        <w:autoSpaceDN w:val="0"/>
        <w:adjustRightInd w:val="0"/>
        <w:spacing w:after="0" w:line="240" w:lineRule="auto"/>
        <w:rPr>
          <w:rFonts w:cs="Times New Roman"/>
          <w:szCs w:val="24"/>
        </w:rPr>
      </w:pPr>
      <w:r w:rsidRPr="005E63E8">
        <w:rPr>
          <w:rFonts w:cs="Times New Roman"/>
          <w:szCs w:val="24"/>
        </w:rPr>
        <w:t xml:space="preserve">NAMIC acknowledges that while there are standardized practices, there are “differences in how each State and local DRE program collects evidence, records data, and determines who will respond when a DRE is needed”. And, that these differences are a result of different funding, numbers of trained DRE’s, laws and other factors unique to each jurisdiction. </w:t>
      </w:r>
    </w:p>
    <w:p w:rsidR="005E63E8" w:rsidRPr="005E63E8" w:rsidP="005B7B45" w14:paraId="22043292" w14:textId="77777777">
      <w:pPr>
        <w:autoSpaceDE w:val="0"/>
        <w:autoSpaceDN w:val="0"/>
        <w:adjustRightInd w:val="0"/>
        <w:spacing w:after="0" w:line="240" w:lineRule="auto"/>
        <w:rPr>
          <w:rFonts w:cs="Times New Roman"/>
          <w:szCs w:val="24"/>
        </w:rPr>
      </w:pPr>
    </w:p>
    <w:p w:rsidR="005E63E8" w:rsidRPr="005E63E8" w:rsidP="005B7B45" w14:paraId="1614C64F" w14:textId="77777777">
      <w:pPr>
        <w:autoSpaceDE w:val="0"/>
        <w:autoSpaceDN w:val="0"/>
        <w:adjustRightInd w:val="0"/>
        <w:spacing w:after="0" w:line="240" w:lineRule="auto"/>
        <w:rPr>
          <w:rFonts w:cs="Times New Roman"/>
          <w:szCs w:val="24"/>
        </w:rPr>
      </w:pPr>
      <w:r w:rsidRPr="005E63E8">
        <w:rPr>
          <w:rFonts w:cs="Times New Roman"/>
          <w:szCs w:val="24"/>
        </w:rPr>
        <w:t>NAMIC goes on to share their concern for the legalization of cannabis and its widespread medical and recreational use by millions of Americans and the many resulting challenges that will arise and could impact traffic crashes and fatalities. NAMIC indicates that the insurance industry will play an important and leading role in policy conversations related to cannabis, “its effects on drivers, and automobile safety as part of an ongoing effort to keep everyone on the road as safe as possible”. NAMIC acknowledges that every kind of potential impairment is a problem and the lack of standardized testing of cannabis impairment makes it difficult for the problems to be addressed. They go further to reference that new technology could be key in systematizing and determining cannabis impairment however the distribution, real-time, deployment, and implementation will face challenges.</w:t>
      </w:r>
    </w:p>
    <w:p w:rsidR="005E63E8" w:rsidRPr="005E63E8" w:rsidP="005B7B45" w14:paraId="3608922D" w14:textId="77777777">
      <w:pPr>
        <w:autoSpaceDE w:val="0"/>
        <w:autoSpaceDN w:val="0"/>
        <w:adjustRightInd w:val="0"/>
        <w:spacing w:after="0" w:line="240" w:lineRule="auto"/>
        <w:rPr>
          <w:rFonts w:cs="Times New Roman"/>
          <w:szCs w:val="24"/>
        </w:rPr>
      </w:pPr>
    </w:p>
    <w:p w:rsidR="005E63E8" w:rsidRPr="005E63E8" w:rsidP="005B7B45" w14:paraId="01DC9B26" w14:textId="77777777">
      <w:pPr>
        <w:autoSpaceDE w:val="0"/>
        <w:autoSpaceDN w:val="0"/>
        <w:adjustRightInd w:val="0"/>
        <w:spacing w:after="0" w:line="240" w:lineRule="auto"/>
        <w:rPr>
          <w:rFonts w:cs="Times New Roman"/>
          <w:szCs w:val="24"/>
        </w:rPr>
      </w:pPr>
      <w:r w:rsidRPr="005E63E8">
        <w:rPr>
          <w:rFonts w:cs="Times New Roman"/>
          <w:szCs w:val="24"/>
        </w:rPr>
        <w:t>NAMIC recognizes the importance of the information collection citing recent statistics from NHTSA and the Governors Highway Safety Association, National Academy of Sciences, the Substance Abuse and Mental Health Services Administration’s National Survey on Drug Use and Health, the Insurance Institute for Highway Safety, the National Conference of State Legislatures as they all share their data and concerns for the rising number of road user deaths.</w:t>
      </w:r>
    </w:p>
    <w:p w:rsidR="005E63E8" w:rsidRPr="005E63E8" w:rsidP="005B7B45" w14:paraId="0738A945" w14:textId="77777777">
      <w:pPr>
        <w:autoSpaceDE w:val="0"/>
        <w:autoSpaceDN w:val="0"/>
        <w:adjustRightInd w:val="0"/>
        <w:spacing w:after="0" w:line="240" w:lineRule="auto"/>
        <w:rPr>
          <w:rFonts w:cs="Times New Roman"/>
          <w:szCs w:val="24"/>
        </w:rPr>
      </w:pPr>
    </w:p>
    <w:p w:rsidR="005E63E8" w:rsidRPr="005E63E8" w:rsidP="005B7B45" w14:paraId="75BC8A78" w14:textId="783569D1">
      <w:pPr>
        <w:autoSpaceDE w:val="0"/>
        <w:autoSpaceDN w:val="0"/>
        <w:adjustRightInd w:val="0"/>
        <w:spacing w:after="0" w:line="240" w:lineRule="auto"/>
        <w:rPr>
          <w:rFonts w:cs="Times New Roman"/>
          <w:szCs w:val="24"/>
        </w:rPr>
      </w:pPr>
      <w:r w:rsidRPr="005E63E8">
        <w:rPr>
          <w:rFonts w:cs="Times New Roman"/>
          <w:szCs w:val="24"/>
        </w:rPr>
        <w:t xml:space="preserve">NAMIC’s letter shows their support of the proposed collection of information as necessary and appropriate, believes that the information will have significant practical utility’’, that the “work is critical for the proper performance of the functions of NHTSA”, and that this information collection is “another step in the possible range of safety data collection and reporting”. </w:t>
      </w:r>
      <w:r>
        <w:rPr>
          <w:rFonts w:cs="Times New Roman"/>
          <w:szCs w:val="24"/>
        </w:rPr>
        <w:t xml:space="preserve"> </w:t>
      </w:r>
      <w:r w:rsidRPr="005E63E8">
        <w:rPr>
          <w:rFonts w:cs="Times New Roman"/>
          <w:szCs w:val="24"/>
        </w:rPr>
        <w:t xml:space="preserve">NAMIC’s comments on the proposed information collection are appreciated, showing support for Information Collection but do not affect the projected plans. </w:t>
      </w:r>
    </w:p>
    <w:p w:rsidR="005E63E8" w:rsidRPr="005E63E8" w:rsidP="005B7B45" w14:paraId="5D190F85" w14:textId="77777777">
      <w:pPr>
        <w:autoSpaceDE w:val="0"/>
        <w:autoSpaceDN w:val="0"/>
        <w:adjustRightInd w:val="0"/>
        <w:spacing w:after="0" w:line="240" w:lineRule="auto"/>
        <w:rPr>
          <w:rFonts w:cs="Times New Roman"/>
          <w:szCs w:val="24"/>
        </w:rPr>
      </w:pPr>
    </w:p>
    <w:p w:rsidR="005E63E8" w:rsidP="005B7B45" w14:paraId="25755588" w14:textId="7CE74247">
      <w:pPr>
        <w:autoSpaceDE w:val="0"/>
        <w:autoSpaceDN w:val="0"/>
        <w:adjustRightInd w:val="0"/>
        <w:spacing w:after="0" w:line="240" w:lineRule="auto"/>
        <w:rPr>
          <w:rFonts w:cs="Times New Roman"/>
          <w:szCs w:val="24"/>
        </w:rPr>
      </w:pPr>
      <w:r w:rsidRPr="005E63E8">
        <w:rPr>
          <w:rFonts w:cs="Times New Roman"/>
          <w:szCs w:val="24"/>
        </w:rPr>
        <w:t xml:space="preserve">Thank you to all contributing commentors for providing thoughtful commentary as to the importance of conducting the Strategies to Improve Drug Recognition Expert Officers’ Performance and Law Enforcement Agencies’ DRE Programs. </w:t>
      </w:r>
    </w:p>
    <w:p w:rsidR="005B7B45" w:rsidRPr="005E63E8" w:rsidP="005B7B45" w14:paraId="4EE6A197" w14:textId="77777777">
      <w:pPr>
        <w:autoSpaceDE w:val="0"/>
        <w:autoSpaceDN w:val="0"/>
        <w:adjustRightInd w:val="0"/>
        <w:spacing w:after="0" w:line="240" w:lineRule="auto"/>
        <w:rPr>
          <w:rFonts w:cs="Times New Roman"/>
          <w:szCs w:val="24"/>
        </w:rPr>
      </w:pPr>
    </w:p>
    <w:p w:rsidR="000373A8" w:rsidRPr="006C5FBF" w:rsidP="000373A8" w14:paraId="4BC028A2" w14:textId="77777777">
      <w:pPr>
        <w:pStyle w:val="ListParagraph"/>
        <w:numPr>
          <w:ilvl w:val="0"/>
          <w:numId w:val="1"/>
        </w:numPr>
        <w:autoSpaceDE w:val="0"/>
        <w:autoSpaceDN w:val="0"/>
        <w:adjustRightInd w:val="0"/>
        <w:spacing w:after="0" w:line="240" w:lineRule="auto"/>
        <w:rPr>
          <w:rFonts w:cs="Times New Roman"/>
          <w:b/>
        </w:rPr>
      </w:pPr>
      <w:bookmarkStart w:id="18" w:name="_Hlk51330973"/>
      <w:r w:rsidRPr="006C5FBF">
        <w:rPr>
          <w:rFonts w:cs="Times New Roman"/>
          <w:b/>
        </w:rPr>
        <w:t>Explain any decision to provide any payment or gift to respondents, other than remuneration of contractors or grantees.</w:t>
      </w:r>
    </w:p>
    <w:bookmarkEnd w:id="18"/>
    <w:p w:rsidR="000373A8" w:rsidRPr="006C5FBF" w:rsidP="00141C3B" w14:paraId="2821F31D" w14:textId="666C4766">
      <w:pPr>
        <w:autoSpaceDE w:val="0"/>
        <w:autoSpaceDN w:val="0"/>
        <w:adjustRightInd w:val="0"/>
        <w:spacing w:after="0" w:line="240" w:lineRule="auto"/>
        <w:rPr>
          <w:rFonts w:cs="Times New Roman"/>
        </w:rPr>
      </w:pPr>
      <w:r w:rsidRPr="006C5FBF">
        <w:rPr>
          <w:rFonts w:cs="Times New Roman"/>
        </w:rPr>
        <w:t xml:space="preserve"> </w:t>
      </w:r>
    </w:p>
    <w:p w:rsidR="007B3BF7" w:rsidRPr="006C5FBF" w:rsidP="00060AF6" w14:paraId="3822730A" w14:textId="57FF59C7">
      <w:pPr>
        <w:autoSpaceDE w:val="0"/>
        <w:autoSpaceDN w:val="0"/>
        <w:adjustRightInd w:val="0"/>
        <w:spacing w:after="0" w:line="240" w:lineRule="auto"/>
        <w:rPr>
          <w:rFonts w:cs="Times New Roman"/>
        </w:rPr>
      </w:pPr>
      <w:r w:rsidRPr="006C5FBF">
        <w:rPr>
          <w:rFonts w:cs="Times New Roman"/>
        </w:rPr>
        <w:t xml:space="preserve">Respondents </w:t>
      </w:r>
      <w:r w:rsidRPr="006C5FBF" w:rsidR="0080192E">
        <w:rPr>
          <w:rFonts w:cs="Times New Roman"/>
        </w:rPr>
        <w:t xml:space="preserve">(e.g. participating agencies) </w:t>
      </w:r>
      <w:r w:rsidRPr="006C5FBF">
        <w:rPr>
          <w:rFonts w:cs="Times New Roman"/>
        </w:rPr>
        <w:t>will not be provided any payment or gifts for their participation in this demonstration project.</w:t>
      </w:r>
      <w:r w:rsidRPr="006C5FBF" w:rsidR="00E6454A">
        <w:rPr>
          <w:rFonts w:cs="Times New Roman"/>
        </w:rPr>
        <w:t xml:space="preserve"> Participation is voluntary.</w:t>
      </w:r>
      <w:r w:rsidRPr="006C5FBF" w:rsidR="007207A1">
        <w:rPr>
          <w:rFonts w:cs="Times New Roman"/>
        </w:rPr>
        <w:t xml:space="preserve"> </w:t>
      </w:r>
      <w:r w:rsidRPr="006C5FBF">
        <w:rPr>
          <w:rFonts w:cs="Times New Roman"/>
        </w:rPr>
        <w:t xml:space="preserve">Resources distributed </w:t>
      </w:r>
      <w:r w:rsidRPr="006C5FBF">
        <w:rPr>
          <w:rFonts w:cs="Times New Roman"/>
        </w:rPr>
        <w:t>as a result of</w:t>
      </w:r>
      <w:r w:rsidRPr="006C5FBF">
        <w:rPr>
          <w:rFonts w:cs="Times New Roman"/>
        </w:rPr>
        <w:t xml:space="preserve"> this project are meant to </w:t>
      </w:r>
      <w:r w:rsidRPr="006C5FBF">
        <w:t xml:space="preserve">allow </w:t>
      </w:r>
      <w:r w:rsidRPr="006C5FBF" w:rsidR="0080192E">
        <w:t>participating agencies</w:t>
      </w:r>
      <w:r w:rsidRPr="006C5FBF">
        <w:t xml:space="preserve"> to implement different strategies for improving their DRE programs.</w:t>
      </w:r>
      <w:r w:rsidRPr="006C5FBF" w:rsidR="007207A1">
        <w:t xml:space="preserve"> </w:t>
      </w:r>
      <w:r w:rsidRPr="006C5FBF" w:rsidR="006F2CE0">
        <w:t>Resources</w:t>
      </w:r>
      <w:r w:rsidRPr="006C5FBF" w:rsidR="00432ABE">
        <w:t xml:space="preserve"> issued to participating agencies are necessary </w:t>
      </w:r>
      <w:r w:rsidRPr="006C5FBF" w:rsidR="006F2CE0">
        <w:t xml:space="preserve">for each agency </w:t>
      </w:r>
      <w:r w:rsidRPr="006C5FBF" w:rsidR="00432ABE">
        <w:t xml:space="preserve">to </w:t>
      </w:r>
      <w:r w:rsidRPr="006C5FBF" w:rsidR="006F2CE0">
        <w:t xml:space="preserve">properly participate </w:t>
      </w:r>
      <w:r w:rsidRPr="006C5FBF" w:rsidR="00432ABE">
        <w:t>in the demonstration project</w:t>
      </w:r>
      <w:r w:rsidRPr="006C5FBF" w:rsidR="006F2CE0">
        <w:t xml:space="preserve">. Issued resources, </w:t>
      </w:r>
      <w:r w:rsidRPr="006C5FBF" w:rsidR="00432ABE">
        <w:t>cannot be recouped due to the individualized nature of the software set up</w:t>
      </w:r>
      <w:r w:rsidRPr="006C5FBF" w:rsidR="006F2CE0">
        <w:t xml:space="preserve">, multi-factor authentication </w:t>
      </w:r>
      <w:r w:rsidRPr="006C5FBF" w:rsidR="00432ABE">
        <w:t>safety and security measures</w:t>
      </w:r>
      <w:r w:rsidRPr="006C5FBF" w:rsidR="006F2CE0">
        <w:t>,</w:t>
      </w:r>
      <w:r w:rsidRPr="006C5FBF" w:rsidR="00432ABE">
        <w:t xml:space="preserve"> and </w:t>
      </w:r>
      <w:r w:rsidRPr="006C5FBF" w:rsidR="006F2CE0">
        <w:t xml:space="preserve">specified </w:t>
      </w:r>
      <w:r w:rsidRPr="006C5FBF" w:rsidR="00432ABE">
        <w:t xml:space="preserve">nature or use </w:t>
      </w:r>
      <w:r w:rsidRPr="006C5FBF" w:rsidR="006F2CE0">
        <w:t xml:space="preserve">of the tools required by </w:t>
      </w:r>
      <w:r w:rsidRPr="006C5FBF" w:rsidR="00432ABE">
        <w:t xml:space="preserve">each individual </w:t>
      </w:r>
      <w:r w:rsidRPr="006C5FBF" w:rsidR="006F2CE0">
        <w:t xml:space="preserve">participating </w:t>
      </w:r>
      <w:r w:rsidRPr="006C5FBF" w:rsidR="00432ABE">
        <w:t xml:space="preserve">agency. </w:t>
      </w:r>
      <w:r w:rsidRPr="006C5FBF">
        <w:rPr>
          <w:rFonts w:cs="Times New Roman"/>
        </w:rPr>
        <w:t>Participating agencies therefore may benefit from the resources provided (</w:t>
      </w:r>
      <w:r w:rsidRPr="006C5FBF">
        <w:rPr>
          <w:rFonts w:cs="Times New Roman"/>
        </w:rPr>
        <w:t>e.g.</w:t>
      </w:r>
      <w:r w:rsidRPr="006C5FBF">
        <w:rPr>
          <w:rFonts w:cs="Times New Roman"/>
        </w:rPr>
        <w:t xml:space="preserve"> training, </w:t>
      </w:r>
      <w:r w:rsidRPr="006C5FBF">
        <w:t>tools and technologies for collecting data, implementing a call-out system, implementing an electronic warrant system, and/or implementing law enforcement phlebotomy</w:t>
      </w:r>
      <w:r w:rsidRPr="006C5FBF" w:rsidR="0080192E">
        <w:t xml:space="preserve">), helping to </w:t>
      </w:r>
      <w:r w:rsidRPr="006C5FBF">
        <w:t xml:space="preserve">support </w:t>
      </w:r>
      <w:r w:rsidRPr="006C5FBF" w:rsidR="0080192E">
        <w:t xml:space="preserve">their efforts in </w:t>
      </w:r>
      <w:r w:rsidRPr="006C5FBF">
        <w:t>carrying out Drug Influence Evaluations on drivers suspected of drug-impaired driving.</w:t>
      </w:r>
    </w:p>
    <w:p w:rsidR="00954B35" w:rsidRPr="006C5FBF" w:rsidP="000373A8" w14:paraId="4F6AF2DE" w14:textId="77777777">
      <w:pPr>
        <w:autoSpaceDE w:val="0"/>
        <w:autoSpaceDN w:val="0"/>
        <w:adjustRightInd w:val="0"/>
        <w:spacing w:after="0" w:line="240" w:lineRule="auto"/>
        <w:ind w:left="720"/>
        <w:rPr>
          <w:rFonts w:cs="Times New Roman"/>
        </w:rPr>
      </w:pPr>
    </w:p>
    <w:p w:rsidR="000373A8" w:rsidRPr="006C5FBF" w:rsidP="000373A8" w14:paraId="5D2E710C" w14:textId="77777777">
      <w:pPr>
        <w:pStyle w:val="ListParagraph"/>
        <w:numPr>
          <w:ilvl w:val="0"/>
          <w:numId w:val="1"/>
        </w:numPr>
        <w:autoSpaceDE w:val="0"/>
        <w:autoSpaceDN w:val="0"/>
        <w:adjustRightInd w:val="0"/>
        <w:spacing w:after="0" w:line="240" w:lineRule="auto"/>
        <w:rPr>
          <w:rFonts w:cs="Times New Roman"/>
        </w:rPr>
      </w:pPr>
      <w:bookmarkStart w:id="19" w:name="_Hlk51331000"/>
      <w:r w:rsidRPr="006C5FBF">
        <w:rPr>
          <w:rFonts w:cs="Times New Roman"/>
          <w:b/>
        </w:rPr>
        <w:t xml:space="preserve">Describe any assurance of confidentiality provided to respondents and the basis for the assurance in statute, regulation, or agency policy. If the collection requires a </w:t>
      </w:r>
      <w:r w:rsidRPr="006C5FBF">
        <w:rPr>
          <w:rFonts w:cs="Times New Roman"/>
          <w:b/>
        </w:rPr>
        <w:t>systems of records notice (SORN)</w:t>
      </w:r>
      <w:r w:rsidRPr="006C5FBF">
        <w:rPr>
          <w:rFonts w:cs="Times New Roman"/>
          <w:b/>
        </w:rPr>
        <w:t xml:space="preserve"> or privacy impact assessment (PIA), those should be cited and described here</w:t>
      </w:r>
      <w:r w:rsidRPr="006C5FBF">
        <w:rPr>
          <w:rFonts w:cs="Times New Roman"/>
        </w:rPr>
        <w:t>.</w:t>
      </w:r>
    </w:p>
    <w:bookmarkEnd w:id="19"/>
    <w:p w:rsidR="000373A8" w:rsidRPr="006C5FBF" w:rsidP="000373A8" w14:paraId="59B3BB97" w14:textId="77777777">
      <w:pPr>
        <w:autoSpaceDE w:val="0"/>
        <w:autoSpaceDN w:val="0"/>
        <w:adjustRightInd w:val="0"/>
        <w:spacing w:after="0" w:line="240" w:lineRule="auto"/>
        <w:rPr>
          <w:rFonts w:cs="Times New Roman"/>
        </w:rPr>
      </w:pPr>
    </w:p>
    <w:p w:rsidR="00CB71C4" w:rsidRPr="006C5FBF" w:rsidP="007207A1" w14:paraId="238742C1" w14:textId="493B3018">
      <w:pPr>
        <w:autoSpaceDE w:val="0"/>
        <w:autoSpaceDN w:val="0"/>
        <w:adjustRightInd w:val="0"/>
        <w:spacing w:after="0" w:line="240" w:lineRule="auto"/>
        <w:rPr>
          <w:rFonts w:cs="Times New Roman"/>
          <w:highlight w:val="magenta"/>
        </w:rPr>
      </w:pPr>
      <w:r w:rsidRPr="006C5FBF">
        <w:rPr>
          <w:rFonts w:cs="Times New Roman"/>
        </w:rPr>
        <w:t xml:space="preserve">A </w:t>
      </w:r>
      <w:r w:rsidR="00F43203">
        <w:rPr>
          <w:rFonts w:cs="Times New Roman"/>
        </w:rPr>
        <w:t>P</w:t>
      </w:r>
      <w:r w:rsidRPr="006C5FBF">
        <w:rPr>
          <w:rFonts w:cs="Times New Roman"/>
        </w:rPr>
        <w:t xml:space="preserve">rivacy </w:t>
      </w:r>
      <w:r w:rsidRPr="006C5FBF" w:rsidR="00811183">
        <w:rPr>
          <w:rFonts w:cs="Times New Roman"/>
        </w:rPr>
        <w:t>Threshold A</w:t>
      </w:r>
      <w:r w:rsidR="00F43203">
        <w:rPr>
          <w:rFonts w:cs="Times New Roman"/>
        </w:rPr>
        <w:t>ssessment</w:t>
      </w:r>
      <w:r w:rsidRPr="006C5FBF">
        <w:rPr>
          <w:rFonts w:cs="Times New Roman"/>
        </w:rPr>
        <w:t xml:space="preserve"> </w:t>
      </w:r>
      <w:r w:rsidR="00F43203">
        <w:rPr>
          <w:rFonts w:cs="Times New Roman"/>
        </w:rPr>
        <w:t>was</w:t>
      </w:r>
      <w:r w:rsidRPr="006C5FBF">
        <w:rPr>
          <w:rFonts w:cs="Times New Roman"/>
        </w:rPr>
        <w:t xml:space="preserve"> conducted simultaneously with this request.</w:t>
      </w:r>
      <w:r w:rsidRPr="006C5FBF" w:rsidR="006F2CE0">
        <w:rPr>
          <w:rFonts w:cs="Times New Roman"/>
        </w:rPr>
        <w:t xml:space="preserve"> Informed consent is not required to collect information from participating agencies. Participating agencies are public servants</w:t>
      </w:r>
      <w:r w:rsidRPr="006C5FBF" w:rsidR="00407F80">
        <w:rPr>
          <w:rFonts w:cs="Times New Roman"/>
        </w:rPr>
        <w:t xml:space="preserve">, will be sharing </w:t>
      </w:r>
      <w:r w:rsidRPr="006C5FBF" w:rsidR="006F2CE0">
        <w:rPr>
          <w:rFonts w:cs="Times New Roman"/>
        </w:rPr>
        <w:t xml:space="preserve">information </w:t>
      </w:r>
      <w:r w:rsidRPr="006C5FBF" w:rsidR="00407F80">
        <w:rPr>
          <w:rFonts w:cs="Times New Roman"/>
        </w:rPr>
        <w:t xml:space="preserve">only </w:t>
      </w:r>
      <w:r w:rsidRPr="006C5FBF" w:rsidR="006F2CE0">
        <w:rPr>
          <w:rFonts w:cs="Times New Roman"/>
        </w:rPr>
        <w:t>about their organization</w:t>
      </w:r>
      <w:r w:rsidRPr="006C5FBF" w:rsidR="00407F80">
        <w:rPr>
          <w:rFonts w:cs="Times New Roman"/>
        </w:rPr>
        <w:t xml:space="preserve">s, and each State has its own public access laws, making information that may be collected from this project open and available to the public if requested. PII is not being collected or published </w:t>
      </w:r>
      <w:r w:rsidRPr="006C5FBF" w:rsidR="00407F80">
        <w:rPr>
          <w:rFonts w:cs="Times New Roman"/>
        </w:rPr>
        <w:t>as a result of</w:t>
      </w:r>
      <w:r w:rsidRPr="006C5FBF" w:rsidR="00407F80">
        <w:rPr>
          <w:rFonts w:cs="Times New Roman"/>
        </w:rPr>
        <w:t xml:space="preserve"> this ICR. Information collected will be at the agency level, will be shared internally, and when shared, will be done so in the aggregate to preserve individual agency anonymity.</w:t>
      </w:r>
      <w:r w:rsidRPr="006C5FBF" w:rsidR="006F2CE0">
        <w:rPr>
          <w:rFonts w:cs="Times New Roman"/>
        </w:rPr>
        <w:t xml:space="preserve"> </w:t>
      </w:r>
      <w:r w:rsidRPr="006C5FBF" w:rsidR="00407F80">
        <w:rPr>
          <w:rFonts w:cs="Times New Roman"/>
        </w:rPr>
        <w:t>No assurances of confidentiality are needed.</w:t>
      </w:r>
      <w:r w:rsidR="00F43203">
        <w:rPr>
          <w:rFonts w:cs="Times New Roman"/>
        </w:rPr>
        <w:t xml:space="preserve"> The Privacy Threshold Assessment was fully adjudicated 08/01/2022.</w:t>
      </w:r>
    </w:p>
    <w:p w:rsidR="0069588D" w:rsidRPr="006C5FBF" w:rsidP="000373A8" w14:paraId="576159A9" w14:textId="77777777">
      <w:pPr>
        <w:autoSpaceDE w:val="0"/>
        <w:autoSpaceDN w:val="0"/>
        <w:adjustRightInd w:val="0"/>
        <w:spacing w:after="0" w:line="240" w:lineRule="auto"/>
        <w:ind w:left="720"/>
        <w:rPr>
          <w:rFonts w:cs="Times New Roman"/>
        </w:rPr>
      </w:pPr>
    </w:p>
    <w:p w:rsidR="0069588D" w:rsidRPr="006C5FBF" w:rsidP="0069588D" w14:paraId="4CB994BE" w14:textId="54F40A96">
      <w:pPr>
        <w:pStyle w:val="ListParagraph"/>
        <w:numPr>
          <w:ilvl w:val="0"/>
          <w:numId w:val="1"/>
        </w:numPr>
        <w:rPr>
          <w:b/>
        </w:rPr>
      </w:pPr>
      <w:bookmarkStart w:id="20" w:name="_Hlk51331086"/>
      <w:r w:rsidRPr="006C5FBF">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9588D" w:rsidRPr="006C5FBF" w:rsidP="00141C3B" w14:paraId="068C2088" w14:textId="77E86023">
      <w:pPr>
        <w:rPr>
          <w:bCs/>
        </w:rPr>
      </w:pPr>
      <w:r w:rsidRPr="006C5FBF">
        <w:rPr>
          <w:bCs/>
        </w:rPr>
        <w:t>No questions of a sensitive nature</w:t>
      </w:r>
      <w:r w:rsidRPr="006C5FBF" w:rsidR="00E6454A">
        <w:rPr>
          <w:bCs/>
        </w:rPr>
        <w:t xml:space="preserve"> will be asked</w:t>
      </w:r>
      <w:r w:rsidRPr="006C5FBF">
        <w:rPr>
          <w:bCs/>
        </w:rPr>
        <w:t xml:space="preserve">. </w:t>
      </w:r>
      <w:r w:rsidRPr="006C5FBF" w:rsidR="00E6454A">
        <w:t>The goal is to understand which tools, technologies, and strategies support best or promising practices.</w:t>
      </w:r>
      <w:r w:rsidRPr="006C5FBF" w:rsidR="00E6454A">
        <w:rPr>
          <w:bCs/>
        </w:rPr>
        <w:t xml:space="preserve"> </w:t>
      </w:r>
      <w:bookmarkEnd w:id="20"/>
    </w:p>
    <w:p w:rsidR="0069588D" w:rsidRPr="006C5FBF" w:rsidP="0069588D" w14:paraId="48C8BD46" w14:textId="77777777">
      <w:pPr>
        <w:pStyle w:val="ListParagraph"/>
        <w:numPr>
          <w:ilvl w:val="0"/>
          <w:numId w:val="1"/>
        </w:numPr>
        <w:autoSpaceDE w:val="0"/>
        <w:autoSpaceDN w:val="0"/>
        <w:adjustRightInd w:val="0"/>
        <w:spacing w:after="0" w:line="240" w:lineRule="auto"/>
        <w:rPr>
          <w:rFonts w:cs="Times New Roman"/>
          <w:b/>
        </w:rPr>
      </w:pPr>
      <w:bookmarkStart w:id="21" w:name="_Hlk51332070"/>
      <w:r w:rsidRPr="006C5FBF">
        <w:rPr>
          <w:rFonts w:cs="Times New Roman"/>
          <w:b/>
        </w:rPr>
        <w:t>Provide estimates of the hour burden of the collection of information on the respondents</w:t>
      </w:r>
      <w:r w:rsidRPr="006C5FBF">
        <w:rPr>
          <w:b/>
        </w:rPr>
        <w:t xml:space="preserve"> </w:t>
      </w:r>
      <w:r w:rsidRPr="006C5FBF">
        <w:rPr>
          <w:rFonts w:cs="Times New Roman"/>
          <w:b/>
        </w:rPr>
        <w:t xml:space="preserve">and estimates of the annualized labor cost to respondents associated with that hour burden. </w:t>
      </w:r>
    </w:p>
    <w:bookmarkEnd w:id="21"/>
    <w:p w:rsidR="00FC5DA2" w:rsidRPr="006C5FBF" w:rsidP="00681302" w14:paraId="76863F40" w14:textId="77777777">
      <w:pPr>
        <w:keepNext/>
        <w:spacing w:after="0"/>
        <w:rPr>
          <w:rFonts w:cs="Times New Roman"/>
          <w:i/>
        </w:rPr>
      </w:pPr>
    </w:p>
    <w:p w:rsidR="00681302" w:rsidRPr="006C5FBF" w:rsidP="00681302" w14:paraId="763A00D4" w14:textId="07E4FB38">
      <w:pPr>
        <w:keepNext/>
        <w:spacing w:after="0"/>
        <w:rPr>
          <w:rFonts w:cs="Times New Roman"/>
          <w:i/>
        </w:rPr>
      </w:pPr>
      <w:r w:rsidRPr="006C5FBF">
        <w:rPr>
          <w:rFonts w:cs="Times New Roman"/>
          <w:i/>
        </w:rPr>
        <w:t>Estimated Burden Hours for Participating Agencies</w:t>
      </w:r>
    </w:p>
    <w:p w:rsidR="00681302" w:rsidRPr="006C5FBF" w:rsidP="00060AF6" w14:paraId="2A3ECE96" w14:textId="72131CE1">
      <w:pPr>
        <w:rPr>
          <w:rFonts w:cs="Times New Roman"/>
        </w:rPr>
      </w:pPr>
      <w:bookmarkStart w:id="22" w:name="_Hlk111041868"/>
      <w:r w:rsidRPr="006C5FBF">
        <w:rPr>
          <w:rFonts w:cs="Times New Roman"/>
        </w:rPr>
        <w:t xml:space="preserve">Data collection will require the following activities for participating agencies: completing </w:t>
      </w:r>
      <w:r w:rsidRPr="006C5FBF" w:rsidR="00E6454A">
        <w:rPr>
          <w:rFonts w:cs="Times New Roman"/>
        </w:rPr>
        <w:t xml:space="preserve">an </w:t>
      </w:r>
      <w:r w:rsidRPr="006C5FBF">
        <w:rPr>
          <w:rFonts w:cs="Times New Roman"/>
        </w:rPr>
        <w:t xml:space="preserve">application, </w:t>
      </w:r>
      <w:r w:rsidRPr="006C5FBF">
        <w:rPr>
          <w:rFonts w:cs="Times New Roman"/>
        </w:rPr>
        <w:t>reviewing</w:t>
      </w:r>
      <w:r w:rsidRPr="006C5FBF">
        <w:rPr>
          <w:rFonts w:cs="Times New Roman"/>
        </w:rPr>
        <w:t xml:space="preserve"> and signing a memorandum of understanding, participating in a kickoff call, preparing and submitting monthly reports and participating in quarterly phone calls. Agencies that are not selected for participation will spend time only on completing the application. </w:t>
      </w:r>
    </w:p>
    <w:p w:rsidR="00681302" w:rsidRPr="006C5FBF" w:rsidP="00681302" w14:paraId="46882264" w14:textId="6A2858DD">
      <w:pPr>
        <w:rPr>
          <w:rFonts w:cs="Times New Roman"/>
        </w:rPr>
      </w:pPr>
      <w:r w:rsidRPr="006C5FBF">
        <w:rPr>
          <w:rFonts w:cs="Times New Roman"/>
        </w:rPr>
        <w:t xml:space="preserve">The total estimated burden hours for each participating agency </w:t>
      </w:r>
      <w:r w:rsidRPr="006C5FBF">
        <w:rPr>
          <w:rFonts w:cs="Times New Roman"/>
        </w:rPr>
        <w:t>is</w:t>
      </w:r>
      <w:r w:rsidRPr="006C5FBF">
        <w:rPr>
          <w:rFonts w:cs="Times New Roman"/>
        </w:rPr>
        <w:t xml:space="preserve"> </w:t>
      </w:r>
      <w:r w:rsidRPr="006C5FBF" w:rsidR="003F2FBA">
        <w:rPr>
          <w:rFonts w:cs="Times New Roman"/>
        </w:rPr>
        <w:t>88</w:t>
      </w:r>
      <w:r w:rsidRPr="006C5FBF">
        <w:rPr>
          <w:rFonts w:cs="Times New Roman"/>
        </w:rPr>
        <w:t xml:space="preserve"> hours.  Assuming </w:t>
      </w:r>
      <w:r w:rsidRPr="006C5FBF" w:rsidR="00D27E74">
        <w:rPr>
          <w:rFonts w:cs="Times New Roman"/>
        </w:rPr>
        <w:t xml:space="preserve">15 </w:t>
      </w:r>
      <w:r w:rsidRPr="006C5FBF">
        <w:rPr>
          <w:rFonts w:cs="Times New Roman"/>
        </w:rPr>
        <w:t xml:space="preserve">agencies </w:t>
      </w:r>
      <w:r w:rsidRPr="006C5FBF" w:rsidR="00D27E74">
        <w:rPr>
          <w:rFonts w:cs="Times New Roman"/>
        </w:rPr>
        <w:t xml:space="preserve">respond and </w:t>
      </w:r>
      <w:r w:rsidRPr="006C5FBF">
        <w:rPr>
          <w:rFonts w:cs="Times New Roman"/>
        </w:rPr>
        <w:t xml:space="preserve">are selected, the total estimated burden hours for all agencies is </w:t>
      </w:r>
      <w:r w:rsidRPr="006C5FBF" w:rsidR="00D27E74">
        <w:rPr>
          <w:rFonts w:cs="Times New Roman"/>
        </w:rPr>
        <w:t>1</w:t>
      </w:r>
      <w:r w:rsidRPr="006C5FBF" w:rsidR="009B254C">
        <w:rPr>
          <w:rFonts w:cs="Times New Roman"/>
        </w:rPr>
        <w:t>,</w:t>
      </w:r>
      <w:r w:rsidR="00BA56AE">
        <w:rPr>
          <w:rFonts w:cs="Times New Roman"/>
        </w:rPr>
        <w:t>32</w:t>
      </w:r>
      <w:r w:rsidRPr="006C5FBF" w:rsidR="00BA56AE">
        <w:rPr>
          <w:rFonts w:cs="Times New Roman"/>
        </w:rPr>
        <w:t>0</w:t>
      </w:r>
      <w:r w:rsidRPr="006C5FBF" w:rsidR="00D27E74">
        <w:rPr>
          <w:rFonts w:cs="Times New Roman"/>
        </w:rPr>
        <w:t>.00</w:t>
      </w:r>
      <w:r w:rsidRPr="006C5FBF">
        <w:rPr>
          <w:rFonts w:cs="Times New Roman"/>
        </w:rPr>
        <w:t xml:space="preserve">. The estimated total burden hours for </w:t>
      </w:r>
      <w:r w:rsidRPr="006C5FBF" w:rsidR="00D27E74">
        <w:rPr>
          <w:rFonts w:cs="Times New Roman"/>
        </w:rPr>
        <w:t xml:space="preserve">any </w:t>
      </w:r>
      <w:r w:rsidRPr="006C5FBF">
        <w:rPr>
          <w:rFonts w:cs="Times New Roman"/>
        </w:rPr>
        <w:t xml:space="preserve">agency that </w:t>
      </w:r>
      <w:r w:rsidRPr="006C5FBF">
        <w:rPr>
          <w:rFonts w:cs="Times New Roman"/>
        </w:rPr>
        <w:t>submits an application</w:t>
      </w:r>
      <w:r w:rsidRPr="006C5FBF">
        <w:rPr>
          <w:rFonts w:cs="Times New Roman"/>
        </w:rPr>
        <w:t xml:space="preserve"> but is not selected is 1 hour. This is a 3</w:t>
      </w:r>
      <w:r w:rsidRPr="006C5FBF" w:rsidR="00D27E74">
        <w:rPr>
          <w:rFonts w:cs="Times New Roman"/>
        </w:rPr>
        <w:t>6</w:t>
      </w:r>
      <w:r w:rsidRPr="006C5FBF" w:rsidR="00060AF6">
        <w:rPr>
          <w:rFonts w:cs="Times New Roman"/>
        </w:rPr>
        <w:t>-</w:t>
      </w:r>
      <w:r w:rsidRPr="006C5FBF">
        <w:rPr>
          <w:rFonts w:cs="Times New Roman"/>
        </w:rPr>
        <w:t xml:space="preserve">month effort, assuming agencies are selected by March 2023 and provide monthly reports through </w:t>
      </w:r>
      <w:r w:rsidRPr="006C5FBF" w:rsidR="00D27E74">
        <w:rPr>
          <w:rFonts w:cs="Times New Roman"/>
        </w:rPr>
        <w:t xml:space="preserve">March </w:t>
      </w:r>
      <w:r w:rsidRPr="006C5FBF" w:rsidR="007C2EC8">
        <w:rPr>
          <w:rFonts w:cs="Times New Roman"/>
        </w:rPr>
        <w:t>2026</w:t>
      </w:r>
      <w:r w:rsidRPr="006C5FBF">
        <w:rPr>
          <w:rFonts w:cs="Times New Roman"/>
        </w:rPr>
        <w:t xml:space="preserve">. </w:t>
      </w:r>
      <w:r w:rsidRPr="006C5FBF" w:rsidR="00D27E74">
        <w:rPr>
          <w:rFonts w:cs="Times New Roman"/>
        </w:rPr>
        <w:t>The average annual burden for all agencies is 4</w:t>
      </w:r>
      <w:r w:rsidRPr="006C5FBF" w:rsidR="006C5FBF">
        <w:rPr>
          <w:rFonts w:cs="Times New Roman"/>
        </w:rPr>
        <w:t>4</w:t>
      </w:r>
      <w:r w:rsidRPr="006C5FBF" w:rsidR="00D27E74">
        <w:rPr>
          <w:rFonts w:cs="Times New Roman"/>
        </w:rPr>
        <w:t xml:space="preserve">0 hours or </w:t>
      </w:r>
      <w:r w:rsidRPr="006C5FBF" w:rsidR="006C5FBF">
        <w:rPr>
          <w:rFonts w:cs="Times New Roman"/>
        </w:rPr>
        <w:t>29</w:t>
      </w:r>
      <w:r w:rsidRPr="006C5FBF" w:rsidR="00D27E74">
        <w:rPr>
          <w:rFonts w:cs="Times New Roman"/>
        </w:rPr>
        <w:t>.33 hour per respondent</w:t>
      </w:r>
      <w:r w:rsidRPr="006C5FBF">
        <w:rPr>
          <w:rFonts w:cs="Times New Roman"/>
        </w:rPr>
        <w:t xml:space="preserve">. Table 1 provides more details about the total estimated burden hours. </w:t>
      </w:r>
    </w:p>
    <w:p w:rsidR="00681302" w:rsidRPr="006C5FBF" w:rsidP="00236F4A" w14:paraId="6F9C1E42" w14:textId="7EC209D4">
      <w:pPr>
        <w:spacing w:line="240" w:lineRule="auto"/>
      </w:pPr>
      <w:r w:rsidRPr="006C5FBF">
        <w:t xml:space="preserve">Table 1. Estimated Total </w:t>
      </w:r>
      <w:r w:rsidRPr="006C5FBF" w:rsidR="00D27E74">
        <w:t xml:space="preserve">and Annual </w:t>
      </w:r>
      <w:r w:rsidRPr="006C5FBF">
        <w:t xml:space="preserve">Burden Hours for Participating Agencies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0"/>
        <w:gridCol w:w="1415"/>
        <w:gridCol w:w="1270"/>
        <w:gridCol w:w="1440"/>
        <w:gridCol w:w="2075"/>
      </w:tblGrid>
      <w:tr w14:paraId="085E09D2" w14:textId="77777777" w:rsidTr="00A94D30">
        <w:tblPrEx>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1"/>
          <w:jc w:val="center"/>
        </w:trPr>
        <w:tc>
          <w:tcPr>
            <w:tcW w:w="3610" w:type="dxa"/>
            <w:shd w:val="clear" w:color="auto" w:fill="D9D9D9" w:themeFill="background1" w:themeFillShade="D9"/>
            <w:noWrap/>
            <w:vAlign w:val="center"/>
          </w:tcPr>
          <w:p w:rsidR="00D27E74" w:rsidRPr="003F2FBA" w:rsidP="00060AF6" w14:paraId="2BC7A039" w14:textId="77777777">
            <w:pPr>
              <w:spacing w:after="0" w:line="240" w:lineRule="auto"/>
              <w:jc w:val="center"/>
              <w:rPr>
                <w:rFonts w:cs="Times New Roman"/>
                <w:b/>
                <w:bCs/>
                <w:color w:val="000000"/>
                <w:sz w:val="20"/>
                <w:szCs w:val="20"/>
              </w:rPr>
            </w:pPr>
            <w:r w:rsidRPr="003F2FBA">
              <w:rPr>
                <w:rFonts w:cs="Times New Roman"/>
                <w:b/>
                <w:bCs/>
                <w:color w:val="000000"/>
                <w:sz w:val="20"/>
                <w:szCs w:val="20"/>
              </w:rPr>
              <w:t>Activity</w:t>
            </w:r>
          </w:p>
        </w:tc>
        <w:tc>
          <w:tcPr>
            <w:tcW w:w="1415" w:type="dxa"/>
            <w:shd w:val="clear" w:color="auto" w:fill="D9D9D9" w:themeFill="background1" w:themeFillShade="D9"/>
          </w:tcPr>
          <w:p w:rsidR="00D27E74" w:rsidRPr="003F2FBA" w:rsidP="00060AF6" w14:paraId="2D4F876D" w14:textId="5FAB0A98">
            <w:pPr>
              <w:spacing w:after="0" w:line="240" w:lineRule="auto"/>
              <w:jc w:val="center"/>
              <w:rPr>
                <w:rFonts w:cs="Times New Roman"/>
                <w:b/>
                <w:bCs/>
                <w:color w:val="000000"/>
                <w:sz w:val="20"/>
                <w:szCs w:val="20"/>
              </w:rPr>
            </w:pPr>
            <w:r w:rsidRPr="003F2FBA">
              <w:rPr>
                <w:rFonts w:cs="Times New Roman"/>
                <w:b/>
                <w:bCs/>
                <w:color w:val="000000"/>
                <w:sz w:val="20"/>
                <w:szCs w:val="20"/>
              </w:rPr>
              <w:t>No. of Respondents</w:t>
            </w:r>
          </w:p>
        </w:tc>
        <w:tc>
          <w:tcPr>
            <w:tcW w:w="1270" w:type="dxa"/>
            <w:shd w:val="clear" w:color="auto" w:fill="D9D9D9" w:themeFill="background1" w:themeFillShade="D9"/>
            <w:vAlign w:val="center"/>
          </w:tcPr>
          <w:p w:rsidR="00D27E74" w:rsidRPr="003F2FBA" w:rsidP="00060AF6" w14:paraId="245A8167" w14:textId="452EBE83">
            <w:pPr>
              <w:spacing w:after="0" w:line="240" w:lineRule="auto"/>
              <w:jc w:val="center"/>
              <w:rPr>
                <w:rFonts w:cs="Times New Roman"/>
                <w:b/>
                <w:bCs/>
                <w:color w:val="000000"/>
                <w:sz w:val="20"/>
                <w:szCs w:val="20"/>
              </w:rPr>
            </w:pPr>
            <w:r w:rsidRPr="003F2FBA">
              <w:rPr>
                <w:rFonts w:cs="Times New Roman"/>
                <w:b/>
                <w:bCs/>
                <w:color w:val="000000"/>
                <w:sz w:val="20"/>
                <w:szCs w:val="20"/>
              </w:rPr>
              <w:t>No. of Times Completed</w:t>
            </w:r>
          </w:p>
        </w:tc>
        <w:tc>
          <w:tcPr>
            <w:tcW w:w="1440" w:type="dxa"/>
            <w:shd w:val="clear" w:color="auto" w:fill="D9D9D9" w:themeFill="background1" w:themeFillShade="D9"/>
            <w:vAlign w:val="center"/>
          </w:tcPr>
          <w:p w:rsidR="00D27E74" w:rsidRPr="003F2FBA" w:rsidP="00060AF6" w14:paraId="3F2305F7" w14:textId="77777777">
            <w:pPr>
              <w:spacing w:after="0" w:line="240" w:lineRule="auto"/>
              <w:jc w:val="center"/>
              <w:rPr>
                <w:rFonts w:cs="Times New Roman"/>
                <w:b/>
                <w:bCs/>
                <w:color w:val="000000"/>
                <w:sz w:val="20"/>
                <w:szCs w:val="20"/>
              </w:rPr>
            </w:pPr>
            <w:r w:rsidRPr="003F2FBA">
              <w:rPr>
                <w:rFonts w:cs="Times New Roman"/>
                <w:b/>
                <w:bCs/>
                <w:color w:val="000000"/>
                <w:sz w:val="20"/>
                <w:szCs w:val="20"/>
              </w:rPr>
              <w:t>Est. Burden Hours Per Activity</w:t>
            </w:r>
          </w:p>
        </w:tc>
        <w:tc>
          <w:tcPr>
            <w:tcW w:w="2075" w:type="dxa"/>
            <w:shd w:val="clear" w:color="auto" w:fill="D9D9D9" w:themeFill="background1" w:themeFillShade="D9"/>
            <w:vAlign w:val="center"/>
          </w:tcPr>
          <w:p w:rsidR="00D27E74" w:rsidRPr="003F2FBA" w:rsidP="00060AF6" w14:paraId="3DA89B63" w14:textId="77777777">
            <w:pPr>
              <w:spacing w:after="0" w:line="240" w:lineRule="auto"/>
              <w:jc w:val="center"/>
              <w:rPr>
                <w:rFonts w:cs="Times New Roman"/>
                <w:b/>
                <w:bCs/>
                <w:color w:val="000000"/>
                <w:sz w:val="20"/>
                <w:szCs w:val="20"/>
              </w:rPr>
            </w:pPr>
            <w:r w:rsidRPr="003F2FBA">
              <w:rPr>
                <w:rFonts w:cs="Times New Roman"/>
                <w:b/>
                <w:bCs/>
                <w:color w:val="000000"/>
                <w:sz w:val="20"/>
                <w:szCs w:val="20"/>
              </w:rPr>
              <w:t>Total Est. Burden Hours</w:t>
            </w:r>
          </w:p>
        </w:tc>
      </w:tr>
      <w:tr w14:paraId="343C8D1D" w14:textId="77777777" w:rsidTr="00A94D30">
        <w:tblPrEx>
          <w:tblW w:w="9810" w:type="dxa"/>
          <w:jc w:val="center"/>
          <w:tblLook w:val="04A0"/>
        </w:tblPrEx>
        <w:trPr>
          <w:trHeight w:val="50"/>
          <w:jc w:val="center"/>
        </w:trPr>
        <w:tc>
          <w:tcPr>
            <w:tcW w:w="3610" w:type="dxa"/>
            <w:shd w:val="clear" w:color="auto" w:fill="auto"/>
            <w:noWrap/>
            <w:vAlign w:val="center"/>
            <w:hideMark/>
          </w:tcPr>
          <w:p w:rsidR="00D27E74" w:rsidRPr="003F2FBA" w:rsidP="00060AF6" w14:paraId="1AAB8380" w14:textId="02A71110">
            <w:pPr>
              <w:spacing w:after="0" w:line="240" w:lineRule="auto"/>
              <w:jc w:val="center"/>
              <w:rPr>
                <w:rFonts w:cs="Times New Roman"/>
                <w:color w:val="000000"/>
                <w:sz w:val="20"/>
                <w:szCs w:val="20"/>
              </w:rPr>
            </w:pPr>
            <w:r w:rsidRPr="003F2FBA">
              <w:rPr>
                <w:rFonts w:cs="Times New Roman"/>
                <w:color w:val="000000"/>
                <w:sz w:val="20"/>
                <w:szCs w:val="20"/>
              </w:rPr>
              <w:t>Complete Application</w:t>
            </w:r>
            <w:r w:rsidR="00F43203">
              <w:rPr>
                <w:rFonts w:cs="Times New Roman"/>
                <w:color w:val="000000"/>
                <w:sz w:val="20"/>
                <w:szCs w:val="20"/>
              </w:rPr>
              <w:t xml:space="preserve"> </w:t>
            </w:r>
            <w:r w:rsidR="0030016B">
              <w:rPr>
                <w:rFonts w:cs="Times New Roman"/>
                <w:color w:val="000000"/>
                <w:sz w:val="20"/>
                <w:szCs w:val="20"/>
              </w:rPr>
              <w:t>(Form 1663 &amp; 1680)</w:t>
            </w:r>
          </w:p>
        </w:tc>
        <w:tc>
          <w:tcPr>
            <w:tcW w:w="1415" w:type="dxa"/>
          </w:tcPr>
          <w:p w:rsidR="00D27E74" w:rsidRPr="003F2FBA" w:rsidP="00060AF6" w14:paraId="48E2797E" w14:textId="1DA9E48F">
            <w:pPr>
              <w:spacing w:after="0" w:line="240" w:lineRule="auto"/>
              <w:jc w:val="center"/>
              <w:rPr>
                <w:rFonts w:cs="Times New Roman"/>
                <w:color w:val="000000"/>
                <w:sz w:val="20"/>
                <w:szCs w:val="20"/>
              </w:rPr>
            </w:pPr>
            <w:r w:rsidRPr="003F2FBA">
              <w:rPr>
                <w:rFonts w:cs="Times New Roman"/>
                <w:color w:val="000000"/>
                <w:sz w:val="20"/>
                <w:szCs w:val="20"/>
              </w:rPr>
              <w:t>15</w:t>
            </w:r>
          </w:p>
        </w:tc>
        <w:tc>
          <w:tcPr>
            <w:tcW w:w="1270" w:type="dxa"/>
            <w:shd w:val="clear" w:color="auto" w:fill="auto"/>
            <w:noWrap/>
            <w:vAlign w:val="center"/>
          </w:tcPr>
          <w:p w:rsidR="00D27E74" w:rsidRPr="003F2FBA" w:rsidP="00060AF6" w14:paraId="40E0808B" w14:textId="5F0B2049">
            <w:pPr>
              <w:spacing w:after="0" w:line="240" w:lineRule="auto"/>
              <w:jc w:val="center"/>
              <w:rPr>
                <w:rFonts w:cs="Times New Roman"/>
                <w:color w:val="000000"/>
                <w:sz w:val="20"/>
                <w:szCs w:val="20"/>
              </w:rPr>
            </w:pPr>
            <w:r w:rsidRPr="003F2FBA">
              <w:rPr>
                <w:rFonts w:cs="Times New Roman"/>
                <w:color w:val="000000"/>
                <w:sz w:val="20"/>
                <w:szCs w:val="20"/>
              </w:rPr>
              <w:t>1</w:t>
            </w:r>
          </w:p>
        </w:tc>
        <w:tc>
          <w:tcPr>
            <w:tcW w:w="1440" w:type="dxa"/>
            <w:vAlign w:val="center"/>
          </w:tcPr>
          <w:p w:rsidR="00D27E74" w:rsidRPr="003F2FBA" w:rsidP="00060AF6" w14:paraId="7FB0336D" w14:textId="28E60209">
            <w:pPr>
              <w:spacing w:after="0" w:line="240" w:lineRule="auto"/>
              <w:jc w:val="center"/>
              <w:rPr>
                <w:rFonts w:cs="Times New Roman"/>
                <w:color w:val="000000"/>
                <w:sz w:val="20"/>
                <w:szCs w:val="20"/>
              </w:rPr>
            </w:pPr>
            <w:r w:rsidRPr="003F2FBA">
              <w:rPr>
                <w:rFonts w:cs="Times New Roman"/>
                <w:color w:val="000000"/>
                <w:sz w:val="20"/>
                <w:szCs w:val="20"/>
              </w:rPr>
              <w:t>1</w:t>
            </w:r>
          </w:p>
        </w:tc>
        <w:tc>
          <w:tcPr>
            <w:tcW w:w="2075" w:type="dxa"/>
            <w:vAlign w:val="center"/>
          </w:tcPr>
          <w:p w:rsidR="00D27E74" w:rsidRPr="003F2FBA" w:rsidP="00060AF6" w14:paraId="25B1E21F" w14:textId="4E3EA120">
            <w:pPr>
              <w:spacing w:after="0" w:line="240" w:lineRule="auto"/>
              <w:jc w:val="center"/>
              <w:rPr>
                <w:rFonts w:cs="Times New Roman"/>
                <w:color w:val="000000"/>
                <w:sz w:val="20"/>
                <w:szCs w:val="20"/>
              </w:rPr>
            </w:pPr>
            <w:r w:rsidRPr="003F2FBA">
              <w:rPr>
                <w:rFonts w:cs="Times New Roman"/>
                <w:color w:val="000000"/>
                <w:sz w:val="20"/>
                <w:szCs w:val="20"/>
              </w:rPr>
              <w:t>15</w:t>
            </w:r>
          </w:p>
        </w:tc>
      </w:tr>
      <w:tr w14:paraId="4C2A2384" w14:textId="77777777" w:rsidTr="00A94D30">
        <w:tblPrEx>
          <w:tblW w:w="9810" w:type="dxa"/>
          <w:jc w:val="center"/>
          <w:tblLook w:val="04A0"/>
        </w:tblPrEx>
        <w:trPr>
          <w:trHeight w:val="285"/>
          <w:jc w:val="center"/>
        </w:trPr>
        <w:tc>
          <w:tcPr>
            <w:tcW w:w="3610" w:type="dxa"/>
            <w:shd w:val="clear" w:color="auto" w:fill="auto"/>
            <w:noWrap/>
            <w:vAlign w:val="center"/>
            <w:hideMark/>
          </w:tcPr>
          <w:p w:rsidR="00D27E74" w:rsidRPr="003F2FBA" w:rsidP="00060AF6" w14:paraId="57AD0312" w14:textId="5931965F">
            <w:pPr>
              <w:spacing w:after="0" w:line="240" w:lineRule="auto"/>
              <w:jc w:val="center"/>
              <w:rPr>
                <w:rFonts w:cs="Times New Roman"/>
                <w:color w:val="000000"/>
                <w:sz w:val="20"/>
                <w:szCs w:val="20"/>
              </w:rPr>
            </w:pPr>
            <w:r w:rsidRPr="003F2FBA">
              <w:rPr>
                <w:rFonts w:cs="Times New Roman"/>
                <w:color w:val="000000"/>
                <w:sz w:val="20"/>
                <w:szCs w:val="20"/>
              </w:rPr>
              <w:t xml:space="preserve">Review and Sign </w:t>
            </w:r>
            <w:r w:rsidR="00234C5B">
              <w:rPr>
                <w:rFonts w:cs="Times New Roman"/>
                <w:color w:val="000000"/>
                <w:sz w:val="20"/>
                <w:szCs w:val="20"/>
              </w:rPr>
              <w:t>Paperwork</w:t>
            </w:r>
          </w:p>
        </w:tc>
        <w:tc>
          <w:tcPr>
            <w:tcW w:w="1415" w:type="dxa"/>
          </w:tcPr>
          <w:p w:rsidR="00D27E74" w:rsidRPr="003F2FBA" w:rsidP="00060AF6" w14:paraId="0E621859" w14:textId="1E2FF181">
            <w:pPr>
              <w:spacing w:after="0" w:line="240" w:lineRule="auto"/>
              <w:jc w:val="center"/>
              <w:rPr>
                <w:rFonts w:cs="Times New Roman"/>
                <w:color w:val="000000"/>
                <w:sz w:val="20"/>
                <w:szCs w:val="20"/>
              </w:rPr>
            </w:pPr>
            <w:r w:rsidRPr="003F2FBA">
              <w:rPr>
                <w:rFonts w:cs="Times New Roman"/>
                <w:color w:val="000000"/>
                <w:sz w:val="20"/>
                <w:szCs w:val="20"/>
              </w:rPr>
              <w:t>15</w:t>
            </w:r>
          </w:p>
        </w:tc>
        <w:tc>
          <w:tcPr>
            <w:tcW w:w="1270" w:type="dxa"/>
            <w:shd w:val="clear" w:color="auto" w:fill="auto"/>
            <w:noWrap/>
            <w:vAlign w:val="center"/>
          </w:tcPr>
          <w:p w:rsidR="00D27E74" w:rsidRPr="003F2FBA" w:rsidP="00060AF6" w14:paraId="235BAED8" w14:textId="39BC785B">
            <w:pPr>
              <w:spacing w:after="0" w:line="240" w:lineRule="auto"/>
              <w:jc w:val="center"/>
              <w:rPr>
                <w:rFonts w:cs="Times New Roman"/>
                <w:color w:val="000000"/>
                <w:sz w:val="20"/>
                <w:szCs w:val="20"/>
              </w:rPr>
            </w:pPr>
            <w:r w:rsidRPr="003F2FBA">
              <w:rPr>
                <w:rFonts w:cs="Times New Roman"/>
                <w:color w:val="000000"/>
                <w:sz w:val="20"/>
                <w:szCs w:val="20"/>
              </w:rPr>
              <w:t>1</w:t>
            </w:r>
          </w:p>
        </w:tc>
        <w:tc>
          <w:tcPr>
            <w:tcW w:w="1440" w:type="dxa"/>
            <w:vAlign w:val="center"/>
          </w:tcPr>
          <w:p w:rsidR="00D27E74" w:rsidRPr="003F2FBA" w:rsidP="00060AF6" w14:paraId="0F4F5E20" w14:textId="77777777">
            <w:pPr>
              <w:spacing w:after="0" w:line="240" w:lineRule="auto"/>
              <w:jc w:val="center"/>
              <w:rPr>
                <w:rFonts w:cs="Times New Roman"/>
                <w:color w:val="000000"/>
                <w:sz w:val="20"/>
                <w:szCs w:val="20"/>
              </w:rPr>
            </w:pPr>
            <w:r w:rsidRPr="003F2FBA">
              <w:rPr>
                <w:rFonts w:cs="Times New Roman"/>
                <w:color w:val="000000"/>
                <w:sz w:val="20"/>
                <w:szCs w:val="20"/>
              </w:rPr>
              <w:t>1</w:t>
            </w:r>
          </w:p>
        </w:tc>
        <w:tc>
          <w:tcPr>
            <w:tcW w:w="2075" w:type="dxa"/>
            <w:vAlign w:val="center"/>
          </w:tcPr>
          <w:p w:rsidR="00D27E74" w:rsidRPr="003F2FBA" w:rsidP="00060AF6" w14:paraId="72DABA4D" w14:textId="5834B63D">
            <w:pPr>
              <w:spacing w:after="0" w:line="240" w:lineRule="auto"/>
              <w:jc w:val="center"/>
              <w:rPr>
                <w:rFonts w:cs="Times New Roman"/>
                <w:color w:val="000000"/>
                <w:sz w:val="20"/>
                <w:szCs w:val="20"/>
              </w:rPr>
            </w:pPr>
            <w:r w:rsidRPr="003F2FBA">
              <w:rPr>
                <w:rFonts w:cs="Times New Roman"/>
                <w:color w:val="000000"/>
                <w:sz w:val="20"/>
                <w:szCs w:val="20"/>
              </w:rPr>
              <w:t>15</w:t>
            </w:r>
          </w:p>
        </w:tc>
      </w:tr>
      <w:tr w14:paraId="1E658ADE" w14:textId="77777777" w:rsidTr="00A94D30">
        <w:tblPrEx>
          <w:tblW w:w="9810" w:type="dxa"/>
          <w:jc w:val="center"/>
          <w:tblLook w:val="04A0"/>
        </w:tblPrEx>
        <w:trPr>
          <w:trHeight w:val="285"/>
          <w:jc w:val="center"/>
        </w:trPr>
        <w:tc>
          <w:tcPr>
            <w:tcW w:w="3610" w:type="dxa"/>
            <w:shd w:val="clear" w:color="auto" w:fill="auto"/>
            <w:noWrap/>
            <w:vAlign w:val="center"/>
            <w:hideMark/>
          </w:tcPr>
          <w:p w:rsidR="00D27E74" w:rsidRPr="003F2FBA" w:rsidP="00060AF6" w14:paraId="07A16F6D" w14:textId="77777777">
            <w:pPr>
              <w:spacing w:after="0" w:line="240" w:lineRule="auto"/>
              <w:jc w:val="center"/>
              <w:rPr>
                <w:rFonts w:cs="Times New Roman"/>
                <w:color w:val="000000"/>
                <w:sz w:val="20"/>
                <w:szCs w:val="20"/>
              </w:rPr>
            </w:pPr>
            <w:r w:rsidRPr="003F2FBA">
              <w:rPr>
                <w:rFonts w:cs="Times New Roman"/>
                <w:color w:val="000000"/>
                <w:sz w:val="20"/>
                <w:szCs w:val="20"/>
              </w:rPr>
              <w:t>Participate in Kickoff Call</w:t>
            </w:r>
          </w:p>
        </w:tc>
        <w:tc>
          <w:tcPr>
            <w:tcW w:w="1415" w:type="dxa"/>
          </w:tcPr>
          <w:p w:rsidR="00D27E74" w:rsidRPr="003F2FBA" w:rsidP="00060AF6" w14:paraId="7085CA6D" w14:textId="1A232B06">
            <w:pPr>
              <w:spacing w:after="0" w:line="240" w:lineRule="auto"/>
              <w:jc w:val="center"/>
              <w:rPr>
                <w:rFonts w:cs="Times New Roman"/>
                <w:color w:val="000000"/>
                <w:sz w:val="20"/>
                <w:szCs w:val="20"/>
              </w:rPr>
            </w:pPr>
            <w:r w:rsidRPr="003F2FBA">
              <w:rPr>
                <w:rFonts w:cs="Times New Roman"/>
                <w:color w:val="000000"/>
                <w:sz w:val="20"/>
                <w:szCs w:val="20"/>
              </w:rPr>
              <w:t>15</w:t>
            </w:r>
          </w:p>
        </w:tc>
        <w:tc>
          <w:tcPr>
            <w:tcW w:w="1270" w:type="dxa"/>
            <w:shd w:val="clear" w:color="auto" w:fill="auto"/>
            <w:noWrap/>
            <w:vAlign w:val="center"/>
          </w:tcPr>
          <w:p w:rsidR="00D27E74" w:rsidRPr="003F2FBA" w:rsidP="00060AF6" w14:paraId="573C4E5C" w14:textId="644CC747">
            <w:pPr>
              <w:spacing w:after="0" w:line="240" w:lineRule="auto"/>
              <w:jc w:val="center"/>
              <w:rPr>
                <w:rFonts w:cs="Times New Roman"/>
                <w:color w:val="000000"/>
                <w:sz w:val="20"/>
                <w:szCs w:val="20"/>
              </w:rPr>
            </w:pPr>
            <w:r w:rsidRPr="003F2FBA">
              <w:rPr>
                <w:rFonts w:cs="Times New Roman"/>
                <w:color w:val="000000"/>
                <w:sz w:val="20"/>
                <w:szCs w:val="20"/>
              </w:rPr>
              <w:t>1</w:t>
            </w:r>
          </w:p>
        </w:tc>
        <w:tc>
          <w:tcPr>
            <w:tcW w:w="1440" w:type="dxa"/>
            <w:vAlign w:val="center"/>
          </w:tcPr>
          <w:p w:rsidR="00D27E74" w:rsidRPr="003F2FBA" w:rsidP="00060AF6" w14:paraId="3F970E3E" w14:textId="77777777">
            <w:pPr>
              <w:spacing w:after="0" w:line="240" w:lineRule="auto"/>
              <w:jc w:val="center"/>
              <w:rPr>
                <w:rFonts w:cs="Times New Roman"/>
                <w:color w:val="000000"/>
                <w:sz w:val="20"/>
                <w:szCs w:val="20"/>
              </w:rPr>
            </w:pPr>
            <w:r w:rsidRPr="003F2FBA">
              <w:rPr>
                <w:rFonts w:cs="Times New Roman"/>
                <w:color w:val="000000"/>
                <w:sz w:val="20"/>
                <w:szCs w:val="20"/>
              </w:rPr>
              <w:t>1</w:t>
            </w:r>
          </w:p>
        </w:tc>
        <w:tc>
          <w:tcPr>
            <w:tcW w:w="2075" w:type="dxa"/>
            <w:vAlign w:val="center"/>
          </w:tcPr>
          <w:p w:rsidR="00D27E74" w:rsidRPr="003F2FBA" w:rsidP="00060AF6" w14:paraId="210A2CCD" w14:textId="79403758">
            <w:pPr>
              <w:spacing w:after="0" w:line="240" w:lineRule="auto"/>
              <w:jc w:val="center"/>
              <w:rPr>
                <w:rFonts w:cs="Times New Roman"/>
                <w:color w:val="000000"/>
                <w:sz w:val="20"/>
                <w:szCs w:val="20"/>
              </w:rPr>
            </w:pPr>
            <w:r w:rsidRPr="003F2FBA">
              <w:rPr>
                <w:rFonts w:cs="Times New Roman"/>
                <w:color w:val="000000"/>
                <w:sz w:val="20"/>
                <w:szCs w:val="20"/>
              </w:rPr>
              <w:t>15</w:t>
            </w:r>
          </w:p>
        </w:tc>
      </w:tr>
      <w:tr w14:paraId="1DE36F60" w14:textId="77777777" w:rsidTr="003F2FBA">
        <w:tblPrEx>
          <w:tblW w:w="9810" w:type="dxa"/>
          <w:jc w:val="center"/>
          <w:tblLook w:val="04A0"/>
        </w:tblPrEx>
        <w:trPr>
          <w:trHeight w:val="285"/>
          <w:jc w:val="center"/>
        </w:trPr>
        <w:tc>
          <w:tcPr>
            <w:tcW w:w="3610" w:type="dxa"/>
            <w:shd w:val="clear" w:color="auto" w:fill="auto"/>
            <w:noWrap/>
            <w:vAlign w:val="center"/>
            <w:hideMark/>
          </w:tcPr>
          <w:p w:rsidR="00D27E74" w:rsidRPr="003F2FBA" w:rsidP="00060AF6" w14:paraId="388D2AAF" w14:textId="766D9B36">
            <w:pPr>
              <w:spacing w:after="0" w:line="240" w:lineRule="auto"/>
              <w:jc w:val="center"/>
              <w:rPr>
                <w:rFonts w:cs="Times New Roman"/>
                <w:color w:val="000000"/>
                <w:sz w:val="20"/>
                <w:szCs w:val="20"/>
              </w:rPr>
            </w:pPr>
            <w:r w:rsidRPr="003F2FBA">
              <w:rPr>
                <w:rFonts w:cs="Times New Roman"/>
                <w:color w:val="000000"/>
                <w:sz w:val="20"/>
                <w:szCs w:val="20"/>
              </w:rPr>
              <w:t>Complete and Submit Monthly Reports</w:t>
            </w:r>
            <w:r w:rsidR="00F43203">
              <w:rPr>
                <w:rFonts w:cs="Times New Roman"/>
                <w:color w:val="000000"/>
                <w:sz w:val="20"/>
                <w:szCs w:val="20"/>
              </w:rPr>
              <w:t xml:space="preserve"> </w:t>
            </w:r>
            <w:r w:rsidR="0030016B">
              <w:rPr>
                <w:rFonts w:cs="Times New Roman"/>
                <w:color w:val="000000"/>
                <w:sz w:val="20"/>
                <w:szCs w:val="20"/>
              </w:rPr>
              <w:t>(Form 1662)</w:t>
            </w:r>
            <w:r w:rsidRPr="003F2FBA">
              <w:rPr>
                <w:rFonts w:cs="Times New Roman"/>
                <w:color w:val="000000"/>
                <w:sz w:val="20"/>
                <w:szCs w:val="20"/>
              </w:rPr>
              <w:t xml:space="preserve"> and Invoices</w:t>
            </w:r>
          </w:p>
        </w:tc>
        <w:tc>
          <w:tcPr>
            <w:tcW w:w="1415" w:type="dxa"/>
            <w:vAlign w:val="center"/>
          </w:tcPr>
          <w:p w:rsidR="00D27E74" w:rsidRPr="003F2FBA" w:rsidP="00BA2379" w14:paraId="25769B99" w14:textId="099739B5">
            <w:pPr>
              <w:spacing w:after="0" w:line="240" w:lineRule="auto"/>
              <w:jc w:val="center"/>
              <w:rPr>
                <w:rFonts w:cs="Times New Roman"/>
                <w:color w:val="000000"/>
                <w:sz w:val="20"/>
                <w:szCs w:val="20"/>
              </w:rPr>
            </w:pPr>
            <w:r w:rsidRPr="003F2FBA">
              <w:rPr>
                <w:rFonts w:cs="Times New Roman"/>
                <w:color w:val="000000"/>
                <w:sz w:val="20"/>
                <w:szCs w:val="20"/>
              </w:rPr>
              <w:t>15</w:t>
            </w:r>
          </w:p>
        </w:tc>
        <w:tc>
          <w:tcPr>
            <w:tcW w:w="1270" w:type="dxa"/>
            <w:shd w:val="clear" w:color="auto" w:fill="auto"/>
            <w:noWrap/>
            <w:vAlign w:val="center"/>
          </w:tcPr>
          <w:p w:rsidR="00D27E74" w:rsidRPr="003F2FBA" w:rsidP="00060AF6" w14:paraId="1AAB52B8" w14:textId="58283057">
            <w:pPr>
              <w:spacing w:after="0" w:line="240" w:lineRule="auto"/>
              <w:jc w:val="center"/>
              <w:rPr>
                <w:rFonts w:cs="Times New Roman"/>
                <w:color w:val="000000"/>
                <w:sz w:val="20"/>
                <w:szCs w:val="20"/>
              </w:rPr>
            </w:pPr>
            <w:r w:rsidRPr="003F2FBA">
              <w:rPr>
                <w:rFonts w:cs="Times New Roman"/>
                <w:color w:val="000000"/>
                <w:sz w:val="20"/>
                <w:szCs w:val="20"/>
              </w:rPr>
              <w:t>3</w:t>
            </w:r>
            <w:r w:rsidRPr="003F2FBA" w:rsidR="00BA2379">
              <w:rPr>
                <w:rFonts w:cs="Times New Roman"/>
                <w:color w:val="000000"/>
                <w:sz w:val="20"/>
                <w:szCs w:val="20"/>
              </w:rPr>
              <w:t>6</w:t>
            </w:r>
          </w:p>
        </w:tc>
        <w:tc>
          <w:tcPr>
            <w:tcW w:w="1440" w:type="dxa"/>
            <w:vAlign w:val="center"/>
          </w:tcPr>
          <w:p w:rsidR="00D27E74" w:rsidRPr="003F2FBA" w:rsidP="00060AF6" w14:paraId="399119D6" w14:textId="77777777">
            <w:pPr>
              <w:spacing w:after="0" w:line="240" w:lineRule="auto"/>
              <w:jc w:val="center"/>
              <w:rPr>
                <w:rFonts w:cs="Times New Roman"/>
                <w:color w:val="000000"/>
                <w:sz w:val="20"/>
                <w:szCs w:val="20"/>
              </w:rPr>
            </w:pPr>
            <w:r w:rsidRPr="003F2FBA">
              <w:rPr>
                <w:rFonts w:cs="Times New Roman"/>
                <w:color w:val="000000"/>
                <w:sz w:val="20"/>
                <w:szCs w:val="20"/>
              </w:rPr>
              <w:t>2</w:t>
            </w:r>
          </w:p>
        </w:tc>
        <w:tc>
          <w:tcPr>
            <w:tcW w:w="2075" w:type="dxa"/>
            <w:vAlign w:val="center"/>
          </w:tcPr>
          <w:p w:rsidR="00D27E74" w:rsidRPr="003F2FBA" w:rsidP="00060AF6" w14:paraId="0E98FB0A" w14:textId="18D36C06">
            <w:pPr>
              <w:spacing w:after="0" w:line="240" w:lineRule="auto"/>
              <w:jc w:val="center"/>
              <w:rPr>
                <w:rFonts w:cs="Times New Roman"/>
                <w:color w:val="000000"/>
                <w:sz w:val="20"/>
                <w:szCs w:val="20"/>
              </w:rPr>
            </w:pPr>
            <w:r w:rsidRPr="003F2FBA">
              <w:rPr>
                <w:rFonts w:cs="Times New Roman"/>
                <w:color w:val="000000"/>
                <w:sz w:val="20"/>
                <w:szCs w:val="20"/>
              </w:rPr>
              <w:t>1</w:t>
            </w:r>
            <w:r w:rsidRPr="003F2FBA" w:rsidR="00A94D30">
              <w:rPr>
                <w:rFonts w:cs="Times New Roman"/>
                <w:color w:val="000000"/>
                <w:sz w:val="20"/>
                <w:szCs w:val="20"/>
              </w:rPr>
              <w:t>,</w:t>
            </w:r>
            <w:r w:rsidRPr="003F2FBA" w:rsidR="00BA2379">
              <w:rPr>
                <w:rFonts w:cs="Times New Roman"/>
                <w:color w:val="000000"/>
                <w:sz w:val="20"/>
                <w:szCs w:val="20"/>
              </w:rPr>
              <w:t>080</w:t>
            </w:r>
          </w:p>
        </w:tc>
      </w:tr>
      <w:tr w14:paraId="5EA69B5D" w14:textId="77777777" w:rsidTr="00A94D30">
        <w:tblPrEx>
          <w:tblW w:w="9810" w:type="dxa"/>
          <w:jc w:val="center"/>
          <w:tblLook w:val="04A0"/>
        </w:tblPrEx>
        <w:trPr>
          <w:trHeight w:val="285"/>
          <w:jc w:val="center"/>
        </w:trPr>
        <w:tc>
          <w:tcPr>
            <w:tcW w:w="3610" w:type="dxa"/>
            <w:shd w:val="clear" w:color="auto" w:fill="auto"/>
            <w:noWrap/>
            <w:vAlign w:val="center"/>
          </w:tcPr>
          <w:p w:rsidR="00D27E74" w:rsidRPr="003F2FBA" w:rsidP="00060AF6" w14:paraId="393466F4" w14:textId="77777777">
            <w:pPr>
              <w:spacing w:after="0" w:line="240" w:lineRule="auto"/>
              <w:jc w:val="center"/>
              <w:rPr>
                <w:rFonts w:cs="Times New Roman"/>
                <w:color w:val="000000"/>
                <w:sz w:val="20"/>
                <w:szCs w:val="20"/>
              </w:rPr>
            </w:pPr>
            <w:r w:rsidRPr="003F2FBA">
              <w:rPr>
                <w:rFonts w:cs="Times New Roman"/>
                <w:color w:val="000000"/>
                <w:sz w:val="20"/>
                <w:szCs w:val="20"/>
              </w:rPr>
              <w:t>Participate in Quarterly Phone Calls</w:t>
            </w:r>
          </w:p>
        </w:tc>
        <w:tc>
          <w:tcPr>
            <w:tcW w:w="1415" w:type="dxa"/>
          </w:tcPr>
          <w:p w:rsidR="00D27E74" w:rsidRPr="003F2FBA" w:rsidP="00060AF6" w14:paraId="62274D97" w14:textId="440427F9">
            <w:pPr>
              <w:spacing w:after="0" w:line="240" w:lineRule="auto"/>
              <w:jc w:val="center"/>
              <w:rPr>
                <w:rFonts w:cs="Times New Roman"/>
                <w:color w:val="000000"/>
                <w:sz w:val="20"/>
                <w:szCs w:val="20"/>
              </w:rPr>
            </w:pPr>
            <w:r w:rsidRPr="003F2FBA">
              <w:rPr>
                <w:rFonts w:cs="Times New Roman"/>
                <w:color w:val="000000"/>
                <w:sz w:val="20"/>
                <w:szCs w:val="20"/>
              </w:rPr>
              <w:t>15</w:t>
            </w:r>
          </w:p>
        </w:tc>
        <w:tc>
          <w:tcPr>
            <w:tcW w:w="1270" w:type="dxa"/>
            <w:shd w:val="clear" w:color="auto" w:fill="auto"/>
            <w:noWrap/>
            <w:vAlign w:val="center"/>
          </w:tcPr>
          <w:p w:rsidR="00D27E74" w:rsidRPr="003F2FBA" w:rsidP="00060AF6" w14:paraId="2A5E7782" w14:textId="523BFB5F">
            <w:pPr>
              <w:spacing w:after="0" w:line="240" w:lineRule="auto"/>
              <w:jc w:val="center"/>
              <w:rPr>
                <w:rFonts w:cs="Times New Roman"/>
                <w:color w:val="000000"/>
                <w:sz w:val="20"/>
                <w:szCs w:val="20"/>
              </w:rPr>
            </w:pPr>
            <w:r w:rsidRPr="003F2FBA">
              <w:rPr>
                <w:rFonts w:cs="Times New Roman"/>
                <w:color w:val="000000"/>
                <w:sz w:val="20"/>
                <w:szCs w:val="20"/>
              </w:rPr>
              <w:t>12</w:t>
            </w:r>
          </w:p>
        </w:tc>
        <w:tc>
          <w:tcPr>
            <w:tcW w:w="1440" w:type="dxa"/>
            <w:vAlign w:val="center"/>
          </w:tcPr>
          <w:p w:rsidR="00D27E74" w:rsidRPr="003F2FBA" w:rsidP="00060AF6" w14:paraId="051B7A0A" w14:textId="77777777">
            <w:pPr>
              <w:spacing w:after="0" w:line="240" w:lineRule="auto"/>
              <w:jc w:val="center"/>
              <w:rPr>
                <w:rFonts w:cs="Times New Roman"/>
                <w:color w:val="000000"/>
                <w:sz w:val="20"/>
                <w:szCs w:val="20"/>
              </w:rPr>
            </w:pPr>
            <w:r w:rsidRPr="003F2FBA">
              <w:rPr>
                <w:rFonts w:cs="Times New Roman"/>
                <w:color w:val="000000"/>
                <w:sz w:val="20"/>
                <w:szCs w:val="20"/>
              </w:rPr>
              <w:t>1</w:t>
            </w:r>
          </w:p>
        </w:tc>
        <w:tc>
          <w:tcPr>
            <w:tcW w:w="2075" w:type="dxa"/>
            <w:vAlign w:val="center"/>
          </w:tcPr>
          <w:p w:rsidR="00D27E74" w:rsidRPr="003F2FBA" w:rsidP="00060AF6" w14:paraId="0A2593DF" w14:textId="7C3B830A">
            <w:pPr>
              <w:spacing w:after="0" w:line="240" w:lineRule="auto"/>
              <w:jc w:val="center"/>
              <w:rPr>
                <w:rFonts w:cs="Times New Roman"/>
                <w:color w:val="000000"/>
                <w:sz w:val="20"/>
                <w:szCs w:val="20"/>
              </w:rPr>
            </w:pPr>
            <w:r w:rsidRPr="003F2FBA">
              <w:rPr>
                <w:rFonts w:cs="Times New Roman"/>
                <w:color w:val="000000"/>
                <w:sz w:val="20"/>
                <w:szCs w:val="20"/>
              </w:rPr>
              <w:t>180</w:t>
            </w:r>
          </w:p>
        </w:tc>
      </w:tr>
      <w:tr w14:paraId="6CC9FA3F" w14:textId="77777777" w:rsidTr="00A94D30">
        <w:tblPrEx>
          <w:tblW w:w="9810" w:type="dxa"/>
          <w:jc w:val="center"/>
          <w:tblLook w:val="04A0"/>
        </w:tblPrEx>
        <w:trPr>
          <w:trHeight w:val="440"/>
          <w:jc w:val="center"/>
        </w:trPr>
        <w:tc>
          <w:tcPr>
            <w:tcW w:w="7735" w:type="dxa"/>
            <w:gridSpan w:val="4"/>
            <w:vAlign w:val="center"/>
          </w:tcPr>
          <w:p w:rsidR="00D27E74" w:rsidRPr="003F2FBA" w:rsidP="00D27E74" w14:paraId="38A33852" w14:textId="121F017C">
            <w:pPr>
              <w:spacing w:after="0" w:line="240" w:lineRule="auto"/>
              <w:rPr>
                <w:rFonts w:cs="Times New Roman"/>
                <w:b/>
                <w:color w:val="000000"/>
                <w:sz w:val="20"/>
                <w:szCs w:val="20"/>
              </w:rPr>
            </w:pPr>
            <w:r w:rsidRPr="003F2FBA">
              <w:rPr>
                <w:rFonts w:cs="Times New Roman"/>
                <w:b/>
                <w:color w:val="000000"/>
                <w:sz w:val="20"/>
                <w:szCs w:val="20"/>
              </w:rPr>
              <w:t>Total Burden Hours</w:t>
            </w:r>
          </w:p>
        </w:tc>
        <w:tc>
          <w:tcPr>
            <w:tcW w:w="2075" w:type="dxa"/>
            <w:vAlign w:val="center"/>
          </w:tcPr>
          <w:p w:rsidR="00D27E74" w:rsidRPr="003F2FBA" w:rsidP="00D27E74" w14:paraId="68B46D17" w14:textId="1AE8CE64">
            <w:pPr>
              <w:spacing w:after="0" w:line="240" w:lineRule="auto"/>
              <w:jc w:val="center"/>
              <w:rPr>
                <w:rFonts w:cs="Times New Roman"/>
                <w:b/>
                <w:color w:val="000000"/>
                <w:sz w:val="20"/>
                <w:szCs w:val="20"/>
              </w:rPr>
            </w:pPr>
            <w:r w:rsidRPr="003F2FBA">
              <w:rPr>
                <w:rFonts w:cs="Times New Roman"/>
                <w:b/>
                <w:color w:val="000000"/>
                <w:sz w:val="20"/>
                <w:szCs w:val="20"/>
              </w:rPr>
              <w:t>1</w:t>
            </w:r>
            <w:r w:rsidRPr="003F2FBA" w:rsidR="00A94D30">
              <w:rPr>
                <w:rFonts w:cs="Times New Roman"/>
                <w:b/>
                <w:color w:val="000000"/>
                <w:sz w:val="20"/>
                <w:szCs w:val="20"/>
              </w:rPr>
              <w:t>,</w:t>
            </w:r>
            <w:r w:rsidR="00BA56AE">
              <w:rPr>
                <w:rFonts w:cs="Times New Roman"/>
                <w:b/>
                <w:color w:val="000000"/>
                <w:sz w:val="20"/>
                <w:szCs w:val="20"/>
              </w:rPr>
              <w:t>32</w:t>
            </w:r>
            <w:r w:rsidRPr="003F2FBA" w:rsidR="00BA56AE">
              <w:rPr>
                <w:rFonts w:cs="Times New Roman"/>
                <w:b/>
                <w:color w:val="000000"/>
                <w:sz w:val="20"/>
                <w:szCs w:val="20"/>
              </w:rPr>
              <w:t xml:space="preserve">0 </w:t>
            </w:r>
            <w:r w:rsidRPr="003F2FBA">
              <w:rPr>
                <w:rFonts w:cs="Times New Roman"/>
                <w:b/>
                <w:color w:val="000000"/>
                <w:sz w:val="20"/>
                <w:szCs w:val="20"/>
              </w:rPr>
              <w:t>hours</w:t>
            </w:r>
          </w:p>
        </w:tc>
      </w:tr>
      <w:tr w14:paraId="102AAE6E" w14:textId="77777777" w:rsidTr="00A94D30">
        <w:tblPrEx>
          <w:tblW w:w="9810" w:type="dxa"/>
          <w:jc w:val="center"/>
          <w:tblLook w:val="04A0"/>
        </w:tblPrEx>
        <w:trPr>
          <w:trHeight w:val="285"/>
          <w:jc w:val="center"/>
        </w:trPr>
        <w:tc>
          <w:tcPr>
            <w:tcW w:w="7735" w:type="dxa"/>
            <w:gridSpan w:val="4"/>
            <w:vAlign w:val="center"/>
          </w:tcPr>
          <w:p w:rsidR="00D27E74" w:rsidRPr="003F2FBA" w:rsidP="00D27E74" w14:paraId="1B923C7F" w14:textId="776555CC">
            <w:pPr>
              <w:spacing w:after="0" w:line="240" w:lineRule="auto"/>
              <w:rPr>
                <w:rFonts w:cs="Times New Roman"/>
                <w:b/>
                <w:color w:val="000000"/>
                <w:sz w:val="20"/>
                <w:szCs w:val="20"/>
              </w:rPr>
            </w:pPr>
            <w:r w:rsidRPr="003F2FBA">
              <w:rPr>
                <w:rFonts w:cs="Times New Roman"/>
                <w:b/>
                <w:color w:val="000000"/>
                <w:sz w:val="20"/>
                <w:szCs w:val="20"/>
              </w:rPr>
              <w:t>Total Annual Burden Hours</w:t>
            </w:r>
          </w:p>
        </w:tc>
        <w:tc>
          <w:tcPr>
            <w:tcW w:w="2075" w:type="dxa"/>
            <w:vAlign w:val="center"/>
          </w:tcPr>
          <w:p w:rsidR="00D27E74" w:rsidRPr="003F2FBA" w:rsidP="00D27E74" w14:paraId="5427A67B" w14:textId="704291DD">
            <w:pPr>
              <w:spacing w:after="0" w:line="240" w:lineRule="auto"/>
              <w:jc w:val="center"/>
              <w:rPr>
                <w:rFonts w:cs="Times New Roman"/>
                <w:b/>
                <w:color w:val="000000"/>
                <w:sz w:val="20"/>
                <w:szCs w:val="20"/>
              </w:rPr>
            </w:pPr>
            <w:r w:rsidRPr="003F2FBA">
              <w:rPr>
                <w:rFonts w:cs="Times New Roman"/>
                <w:b/>
                <w:color w:val="000000"/>
                <w:sz w:val="20"/>
                <w:szCs w:val="20"/>
              </w:rPr>
              <w:t>4</w:t>
            </w:r>
            <w:r>
              <w:rPr>
                <w:rFonts w:cs="Times New Roman"/>
                <w:b/>
                <w:color w:val="000000"/>
                <w:sz w:val="20"/>
                <w:szCs w:val="20"/>
              </w:rPr>
              <w:t>4</w:t>
            </w:r>
            <w:r w:rsidRPr="003F2FBA">
              <w:rPr>
                <w:rFonts w:cs="Times New Roman"/>
                <w:b/>
                <w:color w:val="000000"/>
                <w:sz w:val="20"/>
                <w:szCs w:val="20"/>
              </w:rPr>
              <w:t xml:space="preserve">0 </w:t>
            </w:r>
            <w:r w:rsidRPr="003F2FBA">
              <w:rPr>
                <w:rFonts w:cs="Times New Roman"/>
                <w:b/>
                <w:color w:val="000000"/>
                <w:sz w:val="20"/>
                <w:szCs w:val="20"/>
              </w:rPr>
              <w:t>hours/year</w:t>
            </w:r>
          </w:p>
        </w:tc>
      </w:tr>
      <w:tr w14:paraId="3B257E74" w14:textId="77777777" w:rsidTr="00D27E74">
        <w:tblPrEx>
          <w:tblW w:w="9810" w:type="dxa"/>
          <w:jc w:val="center"/>
          <w:tblLook w:val="04A0"/>
        </w:tblPrEx>
        <w:trPr>
          <w:trHeight w:val="285"/>
          <w:jc w:val="center"/>
        </w:trPr>
        <w:tc>
          <w:tcPr>
            <w:tcW w:w="7735" w:type="dxa"/>
            <w:gridSpan w:val="4"/>
            <w:vAlign w:val="center"/>
          </w:tcPr>
          <w:p w:rsidR="00D27E74" w:rsidRPr="003F2FBA" w:rsidP="00D27E74" w14:paraId="6E1CE70A" w14:textId="2E88FE31">
            <w:pPr>
              <w:spacing w:after="0" w:line="240" w:lineRule="auto"/>
              <w:rPr>
                <w:rFonts w:cs="Times New Roman"/>
                <w:b/>
                <w:color w:val="000000"/>
                <w:sz w:val="20"/>
                <w:szCs w:val="20"/>
              </w:rPr>
            </w:pPr>
            <w:r w:rsidRPr="003F2FBA">
              <w:rPr>
                <w:rFonts w:cs="Times New Roman"/>
                <w:b/>
                <w:color w:val="000000"/>
                <w:sz w:val="20"/>
                <w:szCs w:val="20"/>
              </w:rPr>
              <w:t>Total Burden Hours Per Respondent</w:t>
            </w:r>
          </w:p>
        </w:tc>
        <w:tc>
          <w:tcPr>
            <w:tcW w:w="2075" w:type="dxa"/>
            <w:vAlign w:val="center"/>
          </w:tcPr>
          <w:p w:rsidR="00D27E74" w:rsidRPr="003F2FBA" w:rsidP="00D27E74" w14:paraId="65D86EF4" w14:textId="44E2CCB0">
            <w:pPr>
              <w:spacing w:after="0" w:line="240" w:lineRule="auto"/>
              <w:jc w:val="center"/>
              <w:rPr>
                <w:rFonts w:cs="Times New Roman"/>
                <w:b/>
                <w:color w:val="000000"/>
                <w:sz w:val="20"/>
                <w:szCs w:val="20"/>
              </w:rPr>
            </w:pPr>
            <w:r>
              <w:rPr>
                <w:rFonts w:cs="Times New Roman"/>
                <w:b/>
                <w:color w:val="000000"/>
                <w:sz w:val="20"/>
                <w:szCs w:val="20"/>
              </w:rPr>
              <w:t>88</w:t>
            </w:r>
            <w:r w:rsidRPr="003F2FBA">
              <w:rPr>
                <w:rFonts w:cs="Times New Roman"/>
                <w:b/>
                <w:color w:val="000000"/>
                <w:sz w:val="20"/>
                <w:szCs w:val="20"/>
              </w:rPr>
              <w:t xml:space="preserve"> </w:t>
            </w:r>
            <w:r w:rsidRPr="003F2FBA">
              <w:rPr>
                <w:rFonts w:cs="Times New Roman"/>
                <w:b/>
                <w:color w:val="000000"/>
                <w:sz w:val="20"/>
                <w:szCs w:val="20"/>
              </w:rPr>
              <w:t>hours</w:t>
            </w:r>
          </w:p>
        </w:tc>
      </w:tr>
      <w:tr w14:paraId="21E6871C" w14:textId="77777777" w:rsidTr="00D27E74">
        <w:tblPrEx>
          <w:tblW w:w="9810" w:type="dxa"/>
          <w:jc w:val="center"/>
          <w:tblLook w:val="04A0"/>
        </w:tblPrEx>
        <w:trPr>
          <w:trHeight w:val="285"/>
          <w:jc w:val="center"/>
        </w:trPr>
        <w:tc>
          <w:tcPr>
            <w:tcW w:w="7735" w:type="dxa"/>
            <w:gridSpan w:val="4"/>
            <w:vAlign w:val="center"/>
          </w:tcPr>
          <w:p w:rsidR="00D27E74" w:rsidRPr="003F2FBA" w:rsidP="00D27E74" w14:paraId="2870ECA0" w14:textId="101FDC1B">
            <w:pPr>
              <w:spacing w:after="0" w:line="240" w:lineRule="auto"/>
              <w:rPr>
                <w:rFonts w:cs="Times New Roman"/>
                <w:b/>
                <w:color w:val="000000"/>
                <w:sz w:val="20"/>
                <w:szCs w:val="20"/>
              </w:rPr>
            </w:pPr>
            <w:r w:rsidRPr="003F2FBA">
              <w:rPr>
                <w:rFonts w:cs="Times New Roman"/>
                <w:b/>
                <w:color w:val="000000"/>
                <w:sz w:val="20"/>
                <w:szCs w:val="20"/>
              </w:rPr>
              <w:t>Average Annual Burden Hours Per Respondent</w:t>
            </w:r>
          </w:p>
        </w:tc>
        <w:tc>
          <w:tcPr>
            <w:tcW w:w="2075" w:type="dxa"/>
            <w:vAlign w:val="center"/>
          </w:tcPr>
          <w:p w:rsidR="00D27E74" w:rsidRPr="003F2FBA" w:rsidP="00D27E74" w14:paraId="0F3290B7" w14:textId="4BD34A16">
            <w:pPr>
              <w:spacing w:after="0" w:line="240" w:lineRule="auto"/>
              <w:jc w:val="center"/>
              <w:rPr>
                <w:rFonts w:cs="Times New Roman"/>
                <w:b/>
                <w:color w:val="000000"/>
                <w:sz w:val="20"/>
                <w:szCs w:val="20"/>
              </w:rPr>
            </w:pPr>
            <w:r>
              <w:rPr>
                <w:rFonts w:cs="Times New Roman"/>
                <w:b/>
                <w:color w:val="000000"/>
                <w:sz w:val="20"/>
                <w:szCs w:val="20"/>
              </w:rPr>
              <w:t>29</w:t>
            </w:r>
            <w:r w:rsidRPr="003F2FBA">
              <w:rPr>
                <w:rFonts w:cs="Times New Roman"/>
                <w:b/>
                <w:color w:val="000000"/>
                <w:sz w:val="20"/>
                <w:szCs w:val="20"/>
              </w:rPr>
              <w:t>.33</w:t>
            </w:r>
            <w:r w:rsidRPr="003F2FBA" w:rsidR="0047142D">
              <w:rPr>
                <w:rFonts w:cs="Times New Roman"/>
                <w:b/>
                <w:color w:val="000000"/>
                <w:sz w:val="20"/>
                <w:szCs w:val="20"/>
              </w:rPr>
              <w:t xml:space="preserve"> hours/year</w:t>
            </w:r>
          </w:p>
        </w:tc>
      </w:tr>
    </w:tbl>
    <w:p w:rsidR="00681302" w:rsidP="00681302" w14:paraId="3C3CBD5C" w14:textId="77777777">
      <w:pPr>
        <w:spacing w:after="0"/>
        <w:rPr>
          <w:rFonts w:cs="Times New Roman"/>
          <w:szCs w:val="24"/>
        </w:rPr>
      </w:pPr>
    </w:p>
    <w:p w:rsidR="00681302" w:rsidRPr="008C6576" w:rsidP="00681302" w14:paraId="01394958" w14:textId="77777777">
      <w:pPr>
        <w:rPr>
          <w:rFonts w:cs="Times New Roman"/>
          <w:bCs/>
          <w:i/>
          <w:iCs/>
        </w:rPr>
      </w:pPr>
      <w:r w:rsidRPr="008C6576">
        <w:rPr>
          <w:rFonts w:cs="Times New Roman"/>
          <w:bCs/>
          <w:i/>
          <w:iCs/>
        </w:rPr>
        <w:t xml:space="preserve">Estimated </w:t>
      </w:r>
      <w:r>
        <w:rPr>
          <w:rFonts w:cs="Times New Roman"/>
          <w:bCs/>
          <w:i/>
          <w:iCs/>
        </w:rPr>
        <w:t>Annualized Labor Costs</w:t>
      </w:r>
      <w:r w:rsidRPr="008C6576">
        <w:rPr>
          <w:rFonts w:cs="Times New Roman"/>
          <w:bCs/>
          <w:i/>
          <w:iCs/>
        </w:rPr>
        <w:t xml:space="preserve"> for </w:t>
      </w:r>
      <w:r>
        <w:rPr>
          <w:rFonts w:cs="Times New Roman"/>
          <w:bCs/>
          <w:i/>
          <w:iCs/>
        </w:rPr>
        <w:t>Selected Agencies</w:t>
      </w:r>
      <w:r w:rsidRPr="008C6576">
        <w:rPr>
          <w:rFonts w:cs="Times New Roman"/>
          <w:bCs/>
          <w:i/>
          <w:iCs/>
        </w:rPr>
        <w:t xml:space="preserve"> </w:t>
      </w:r>
    </w:p>
    <w:p w:rsidR="00681302" w:rsidP="00060AF6" w14:paraId="0DBF5D0F" w14:textId="53E5232A">
      <w:pPr>
        <w:rPr>
          <w:rFonts w:cs="Times New Roman"/>
        </w:rPr>
      </w:pPr>
      <w:r w:rsidRPr="008C6576">
        <w:rPr>
          <w:rFonts w:cs="Times New Roman"/>
        </w:rPr>
        <w:t xml:space="preserve">The burden hour </w:t>
      </w:r>
      <w:r w:rsidR="00AE109E">
        <w:rPr>
          <w:rFonts w:cs="Times New Roman"/>
        </w:rPr>
        <w:t xml:space="preserve">labor </w:t>
      </w:r>
      <w:r w:rsidRPr="008C6576">
        <w:rPr>
          <w:rFonts w:cs="Times New Roman"/>
        </w:rPr>
        <w:t xml:space="preserve">cost associated with this collection of information for </w:t>
      </w:r>
      <w:r>
        <w:rPr>
          <w:rFonts w:cs="Times New Roman"/>
        </w:rPr>
        <w:t>selected agencies is</w:t>
      </w:r>
      <w:r w:rsidRPr="008C6576">
        <w:rPr>
          <w:rFonts w:cs="Times New Roman"/>
        </w:rPr>
        <w:t xml:space="preserve"> derived by multiplying the appropriate </w:t>
      </w:r>
      <w:r w:rsidR="0047142D">
        <w:rPr>
          <w:rFonts w:cs="Times New Roman"/>
        </w:rPr>
        <w:t xml:space="preserve">mean </w:t>
      </w:r>
      <w:r w:rsidRPr="008C6576">
        <w:rPr>
          <w:rFonts w:cs="Times New Roman"/>
        </w:rPr>
        <w:t xml:space="preserve">wage published by the Bureau of Labor Statistics </w:t>
      </w:r>
      <w:r w:rsidR="0047142D">
        <w:rPr>
          <w:rFonts w:cs="Times New Roman"/>
        </w:rPr>
        <w:t xml:space="preserve">(weighted for total compensation) </w:t>
      </w:r>
      <w:r w:rsidRPr="008C6576">
        <w:rPr>
          <w:rFonts w:cs="Times New Roman"/>
        </w:rPr>
        <w:t xml:space="preserve">by the estimated burden hours for </w:t>
      </w:r>
      <w:r>
        <w:rPr>
          <w:rFonts w:cs="Times New Roman"/>
        </w:rPr>
        <w:t>selected agencies</w:t>
      </w:r>
      <w:r w:rsidRPr="008C6576">
        <w:rPr>
          <w:rFonts w:cs="Times New Roman"/>
        </w:rPr>
        <w:t xml:space="preserve">. The </w:t>
      </w:r>
      <w:r w:rsidR="0047142D">
        <w:rPr>
          <w:rFonts w:cs="Times New Roman"/>
        </w:rPr>
        <w:t xml:space="preserve">mean </w:t>
      </w:r>
      <w:r w:rsidRPr="008C6576">
        <w:rPr>
          <w:rFonts w:cs="Times New Roman"/>
        </w:rPr>
        <w:t>wage is estimated to be $</w:t>
      </w:r>
      <w:r w:rsidR="0047142D">
        <w:rPr>
          <w:rFonts w:cs="Times New Roman"/>
        </w:rPr>
        <w:t>34.02</w:t>
      </w:r>
      <w:r w:rsidRPr="008C6576">
        <w:rPr>
          <w:rFonts w:cs="Times New Roman"/>
        </w:rPr>
        <w:t xml:space="preserve"> per hour for “</w:t>
      </w:r>
      <w:r w:rsidR="0047142D">
        <w:rPr>
          <w:rFonts w:cs="Times New Roman"/>
        </w:rPr>
        <w:t>Police and Sheriff’s Patrol Officers</w:t>
      </w:r>
      <w:r w:rsidRPr="008C6576" w:rsidR="0047142D">
        <w:rPr>
          <w:rFonts w:cs="Times New Roman"/>
        </w:rPr>
        <w:t>.</w:t>
      </w:r>
      <w:r>
        <w:rPr>
          <w:rStyle w:val="FootnoteReference"/>
          <w:rFonts w:cs="Times New Roman"/>
        </w:rPr>
        <w:footnoteReference w:id="3"/>
      </w:r>
      <w:r w:rsidRPr="008C6576">
        <w:rPr>
          <w:rFonts w:cs="Times New Roman"/>
        </w:rPr>
        <w:t xml:space="preserve">” </w:t>
      </w:r>
      <w:r w:rsidR="0047142D">
        <w:rPr>
          <w:rFonts w:cs="Times New Roman"/>
        </w:rPr>
        <w:t>This is estimated to be 62% of total compensation</w:t>
      </w:r>
      <w:r w:rsidR="00CA1900">
        <w:rPr>
          <w:rFonts w:cs="Times New Roman"/>
        </w:rPr>
        <w:t xml:space="preserve"> costs</w:t>
      </w:r>
      <w:r w:rsidR="0047142D">
        <w:rPr>
          <w:rFonts w:cs="Times New Roman"/>
        </w:rPr>
        <w:t>.</w:t>
      </w:r>
      <w:r>
        <w:rPr>
          <w:rStyle w:val="FootnoteReference"/>
          <w:rFonts w:cs="Times New Roman"/>
        </w:rPr>
        <w:footnoteReference w:id="4"/>
      </w:r>
      <w:r w:rsidR="0047142D">
        <w:rPr>
          <w:rFonts w:cs="Times New Roman"/>
        </w:rPr>
        <w:t xml:space="preserve"> </w:t>
      </w:r>
      <w:r w:rsidRPr="00CA1900" w:rsidR="00CA1900">
        <w:t xml:space="preserve"> </w:t>
      </w:r>
      <w:r w:rsidR="00CA1900">
        <w:t>T</w:t>
      </w:r>
      <w:r w:rsidRPr="00CA1900" w:rsidR="00CA1900">
        <w:rPr>
          <w:rFonts w:cs="Times New Roman"/>
        </w:rPr>
        <w:t>herefore, NHTSA estimates the hourly labor costs to be $</w:t>
      </w:r>
      <w:r w:rsidR="00CA1900">
        <w:rPr>
          <w:rFonts w:cs="Times New Roman"/>
        </w:rPr>
        <w:t>54.87.</w:t>
      </w:r>
      <w:r w:rsidRPr="00CA1900" w:rsidR="00CA1900">
        <w:rPr>
          <w:rFonts w:cs="Times New Roman"/>
        </w:rPr>
        <w:t xml:space="preserve"> </w:t>
      </w:r>
      <w:r w:rsidRPr="008C6576">
        <w:rPr>
          <w:rFonts w:cs="Times New Roman"/>
        </w:rPr>
        <w:t xml:space="preserve">The estimated </w:t>
      </w:r>
      <w:r>
        <w:rPr>
          <w:rFonts w:cs="Times New Roman"/>
        </w:rPr>
        <w:t>total labor cost</w:t>
      </w:r>
      <w:r w:rsidRPr="008C6576">
        <w:rPr>
          <w:rFonts w:cs="Times New Roman"/>
        </w:rPr>
        <w:t xml:space="preserve"> for </w:t>
      </w:r>
      <w:r>
        <w:rPr>
          <w:rFonts w:cs="Times New Roman"/>
        </w:rPr>
        <w:t>selected agencies</w:t>
      </w:r>
      <w:r w:rsidRPr="008C6576">
        <w:rPr>
          <w:rFonts w:cs="Times New Roman"/>
        </w:rPr>
        <w:t xml:space="preserve"> </w:t>
      </w:r>
      <w:r w:rsidR="00CA1900">
        <w:rPr>
          <w:rFonts w:cs="Times New Roman"/>
        </w:rPr>
        <w:t xml:space="preserve">to participate in the project </w:t>
      </w:r>
      <w:r w:rsidRPr="008C6576">
        <w:rPr>
          <w:rFonts w:cs="Times New Roman"/>
        </w:rPr>
        <w:t xml:space="preserve">is </w:t>
      </w:r>
      <w:r w:rsidR="0047142D">
        <w:rPr>
          <w:rFonts w:cs="Times New Roman"/>
        </w:rPr>
        <w:t>$1,</w:t>
      </w:r>
      <w:r w:rsidR="004E6137">
        <w:rPr>
          <w:rFonts w:cs="Times New Roman"/>
        </w:rPr>
        <w:t>609.55</w:t>
      </w:r>
      <w:r>
        <w:rPr>
          <w:rFonts w:cs="Times New Roman"/>
        </w:rPr>
        <w:t xml:space="preserve"> per selected agency and </w:t>
      </w:r>
      <w:r w:rsidR="0047142D">
        <w:rPr>
          <w:rFonts w:cs="Times New Roman"/>
        </w:rPr>
        <w:t>$</w:t>
      </w:r>
      <w:r w:rsidR="004E6137">
        <w:rPr>
          <w:rFonts w:cs="Times New Roman"/>
        </w:rPr>
        <w:t>24,</w:t>
      </w:r>
      <w:r w:rsidR="00A93FDF">
        <w:rPr>
          <w:rFonts w:cs="Times New Roman"/>
        </w:rPr>
        <w:t>143.23</w:t>
      </w:r>
      <w:r>
        <w:rPr>
          <w:rFonts w:cs="Times New Roman"/>
        </w:rPr>
        <w:t xml:space="preserve"> for all selected agencies.</w:t>
      </w:r>
    </w:p>
    <w:p w:rsidR="00681302" w:rsidP="00060AF6" w14:paraId="0161C2C0" w14:textId="0E95F6B0">
      <w:pPr>
        <w:rPr>
          <w:rFonts w:cs="Times New Roman"/>
          <w:bCs/>
          <w:szCs w:val="24"/>
        </w:rPr>
      </w:pPr>
      <w:r>
        <w:rPr>
          <w:rFonts w:cs="Times New Roman"/>
          <w:bCs/>
          <w:szCs w:val="24"/>
        </w:rPr>
        <w:t xml:space="preserve">The </w:t>
      </w:r>
      <w:r w:rsidR="0047142D">
        <w:rPr>
          <w:rFonts w:cs="Times New Roman"/>
          <w:bCs/>
          <w:szCs w:val="24"/>
        </w:rPr>
        <w:t xml:space="preserve">estimated </w:t>
      </w:r>
      <w:r>
        <w:rPr>
          <w:rFonts w:cs="Times New Roman"/>
          <w:bCs/>
          <w:szCs w:val="24"/>
        </w:rPr>
        <w:t>annual labor cost</w:t>
      </w:r>
      <w:r w:rsidR="00AE109E">
        <w:rPr>
          <w:rFonts w:cs="Times New Roman"/>
          <w:bCs/>
          <w:szCs w:val="24"/>
        </w:rPr>
        <w:t xml:space="preserve"> associated with the burden hours</w:t>
      </w:r>
      <w:r>
        <w:rPr>
          <w:rFonts w:cs="Times New Roman"/>
          <w:bCs/>
          <w:szCs w:val="24"/>
        </w:rPr>
        <w:t xml:space="preserve"> per selected agency and all agencies is shown in Table </w:t>
      </w:r>
      <w:r w:rsidR="0047142D">
        <w:rPr>
          <w:rFonts w:cs="Times New Roman"/>
          <w:bCs/>
          <w:szCs w:val="24"/>
        </w:rPr>
        <w:t>2</w:t>
      </w:r>
      <w:r>
        <w:rPr>
          <w:rFonts w:cs="Times New Roman"/>
          <w:bCs/>
          <w:szCs w:val="24"/>
        </w:rPr>
        <w:t>.</w:t>
      </w:r>
    </w:p>
    <w:p w:rsidR="00681302" w:rsidP="00236F4A" w14:paraId="1E78E481" w14:textId="7BDE9C1F">
      <w:pPr>
        <w:spacing w:line="240" w:lineRule="auto"/>
      </w:pPr>
      <w:r w:rsidRPr="004D7EEE">
        <w:t xml:space="preserve">Table </w:t>
      </w:r>
      <w:r w:rsidR="0047142D">
        <w:t>2</w:t>
      </w:r>
      <w:r w:rsidRPr="004D7EEE">
        <w:t xml:space="preserve">. Estimated </w:t>
      </w:r>
      <w:r>
        <w:t>Annual Labor Cost</w:t>
      </w:r>
      <w:r w:rsidRPr="004D7EEE">
        <w:t xml:space="preserve"> for </w:t>
      </w:r>
      <w:r>
        <w:t xml:space="preserve">Selected Agencies </w:t>
      </w:r>
    </w:p>
    <w:tbl>
      <w:tblPr>
        <w:tblW w:w="10027" w:type="dxa"/>
        <w:tblLook w:val="04A0"/>
      </w:tblPr>
      <w:tblGrid>
        <w:gridCol w:w="2108"/>
        <w:gridCol w:w="1163"/>
        <w:gridCol w:w="1420"/>
        <w:gridCol w:w="1031"/>
        <w:gridCol w:w="1216"/>
        <w:gridCol w:w="1063"/>
        <w:gridCol w:w="898"/>
        <w:gridCol w:w="1128"/>
      </w:tblGrid>
      <w:tr w14:paraId="7D286153" w14:textId="77777777" w:rsidTr="00A93FDF">
        <w:tblPrEx>
          <w:tblW w:w="10027" w:type="dxa"/>
          <w:tblLook w:val="04A0"/>
        </w:tblPrEx>
        <w:trPr>
          <w:trHeight w:val="1036"/>
        </w:trPr>
        <w:tc>
          <w:tcPr>
            <w:tcW w:w="2913"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A93FDF" w:rsidRPr="00A93FDF" w:rsidP="00A93FDF" w14:paraId="2775D11D" w14:textId="77777777">
            <w:pPr>
              <w:spacing w:after="0" w:line="240" w:lineRule="auto"/>
              <w:jc w:val="center"/>
              <w:rPr>
                <w:rFonts w:eastAsia="Times New Roman" w:cs="Times New Roman"/>
                <w:b/>
                <w:bCs/>
                <w:sz w:val="20"/>
                <w:szCs w:val="20"/>
              </w:rPr>
            </w:pPr>
            <w:r w:rsidRPr="00A93FDF">
              <w:rPr>
                <w:rFonts w:eastAsia="Times New Roman" w:cs="Times New Roman"/>
                <w:b/>
                <w:bCs/>
                <w:sz w:val="20"/>
                <w:szCs w:val="20"/>
              </w:rPr>
              <w:t>Annual Respondents</w:t>
            </w:r>
          </w:p>
        </w:tc>
        <w:tc>
          <w:tcPr>
            <w:tcW w:w="1163" w:type="dxa"/>
            <w:tcBorders>
              <w:top w:val="single" w:sz="4" w:space="0" w:color="auto"/>
              <w:left w:val="nil"/>
              <w:bottom w:val="single" w:sz="4" w:space="0" w:color="auto"/>
              <w:right w:val="single" w:sz="4" w:space="0" w:color="auto"/>
            </w:tcBorders>
            <w:shd w:val="clear" w:color="000000" w:fill="D9D9D9"/>
            <w:vAlign w:val="bottom"/>
            <w:hideMark/>
          </w:tcPr>
          <w:p w:rsidR="00A93FDF" w:rsidRPr="00A93FDF" w:rsidP="00A93FDF" w14:paraId="6DE3FB2E" w14:textId="77777777">
            <w:pPr>
              <w:spacing w:after="0" w:line="240" w:lineRule="auto"/>
              <w:jc w:val="center"/>
              <w:rPr>
                <w:rFonts w:eastAsia="Times New Roman" w:cs="Times New Roman"/>
                <w:b/>
                <w:bCs/>
                <w:sz w:val="20"/>
                <w:szCs w:val="20"/>
              </w:rPr>
            </w:pPr>
            <w:r w:rsidRPr="00A93FDF">
              <w:rPr>
                <w:rFonts w:eastAsia="Times New Roman" w:cs="Times New Roman"/>
                <w:b/>
                <w:bCs/>
                <w:sz w:val="20"/>
                <w:szCs w:val="20"/>
              </w:rPr>
              <w:t>Mean Hourly Wage for Police &amp; Sheriff's Patrol Officers 33-3051</w:t>
            </w:r>
          </w:p>
        </w:tc>
        <w:tc>
          <w:tcPr>
            <w:tcW w:w="1163" w:type="dxa"/>
            <w:tcBorders>
              <w:top w:val="single" w:sz="4" w:space="0" w:color="auto"/>
              <w:left w:val="nil"/>
              <w:bottom w:val="single" w:sz="4" w:space="0" w:color="auto"/>
              <w:right w:val="single" w:sz="4" w:space="0" w:color="auto"/>
            </w:tcBorders>
            <w:shd w:val="clear" w:color="000000" w:fill="D9D9D9"/>
            <w:vAlign w:val="bottom"/>
            <w:hideMark/>
          </w:tcPr>
          <w:p w:rsidR="00A93FDF" w:rsidRPr="00A93FDF" w:rsidP="00A93FDF" w14:paraId="5E281602" w14:textId="77777777">
            <w:pPr>
              <w:spacing w:after="0" w:line="240" w:lineRule="auto"/>
              <w:jc w:val="center"/>
              <w:rPr>
                <w:rFonts w:eastAsia="Times New Roman" w:cs="Times New Roman"/>
                <w:b/>
                <w:bCs/>
                <w:sz w:val="20"/>
                <w:szCs w:val="20"/>
              </w:rPr>
            </w:pPr>
            <w:r w:rsidRPr="00A93FDF">
              <w:rPr>
                <w:rFonts w:eastAsia="Times New Roman" w:cs="Times New Roman"/>
                <w:b/>
                <w:bCs/>
                <w:sz w:val="20"/>
                <w:szCs w:val="20"/>
              </w:rPr>
              <w:t>Employer Costs for Employee Compensation for Wages &amp; Salaries</w:t>
            </w:r>
          </w:p>
        </w:tc>
        <w:tc>
          <w:tcPr>
            <w:tcW w:w="1163" w:type="dxa"/>
            <w:tcBorders>
              <w:top w:val="single" w:sz="4" w:space="0" w:color="auto"/>
              <w:left w:val="nil"/>
              <w:bottom w:val="single" w:sz="4" w:space="0" w:color="auto"/>
              <w:right w:val="single" w:sz="4" w:space="0" w:color="auto"/>
            </w:tcBorders>
            <w:shd w:val="clear" w:color="000000" w:fill="D9D9D9"/>
            <w:vAlign w:val="bottom"/>
            <w:hideMark/>
          </w:tcPr>
          <w:p w:rsidR="00A93FDF" w:rsidRPr="00A93FDF" w:rsidP="00A93FDF" w14:paraId="42E14622" w14:textId="77777777">
            <w:pPr>
              <w:spacing w:after="0" w:line="240" w:lineRule="auto"/>
              <w:jc w:val="center"/>
              <w:rPr>
                <w:rFonts w:eastAsia="Times New Roman" w:cs="Times New Roman"/>
                <w:b/>
                <w:bCs/>
                <w:sz w:val="20"/>
                <w:szCs w:val="20"/>
              </w:rPr>
            </w:pPr>
            <w:r w:rsidRPr="00A93FDF">
              <w:rPr>
                <w:rFonts w:eastAsia="Times New Roman" w:cs="Times New Roman"/>
                <w:b/>
                <w:bCs/>
                <w:sz w:val="20"/>
                <w:szCs w:val="20"/>
              </w:rPr>
              <w:t>Average Hourly Labor Cost</w:t>
            </w:r>
          </w:p>
        </w:tc>
        <w:tc>
          <w:tcPr>
            <w:tcW w:w="1163" w:type="dxa"/>
            <w:tcBorders>
              <w:top w:val="single" w:sz="4" w:space="0" w:color="auto"/>
              <w:left w:val="nil"/>
              <w:bottom w:val="single" w:sz="4" w:space="0" w:color="auto"/>
              <w:right w:val="single" w:sz="4" w:space="0" w:color="auto"/>
            </w:tcBorders>
            <w:shd w:val="clear" w:color="000000" w:fill="D9D9D9"/>
            <w:vAlign w:val="bottom"/>
            <w:hideMark/>
          </w:tcPr>
          <w:p w:rsidR="00A93FDF" w:rsidRPr="00A93FDF" w:rsidP="00A93FDF" w14:paraId="574C6669" w14:textId="77777777">
            <w:pPr>
              <w:spacing w:after="0" w:line="240" w:lineRule="auto"/>
              <w:jc w:val="center"/>
              <w:rPr>
                <w:rFonts w:eastAsia="Times New Roman" w:cs="Times New Roman"/>
                <w:b/>
                <w:bCs/>
                <w:sz w:val="20"/>
                <w:szCs w:val="20"/>
              </w:rPr>
            </w:pPr>
            <w:r w:rsidRPr="00A93FDF">
              <w:rPr>
                <w:rFonts w:eastAsia="Times New Roman" w:cs="Times New Roman"/>
                <w:b/>
                <w:bCs/>
                <w:sz w:val="20"/>
                <w:szCs w:val="20"/>
              </w:rPr>
              <w:t>Annual Average Burden Hours per Respondent</w:t>
            </w:r>
          </w:p>
        </w:tc>
        <w:tc>
          <w:tcPr>
            <w:tcW w:w="1100" w:type="dxa"/>
            <w:tcBorders>
              <w:top w:val="single" w:sz="4" w:space="0" w:color="auto"/>
              <w:left w:val="nil"/>
              <w:bottom w:val="single" w:sz="4" w:space="0" w:color="auto"/>
              <w:right w:val="single" w:sz="4" w:space="0" w:color="auto"/>
            </w:tcBorders>
            <w:shd w:val="clear" w:color="000000" w:fill="D9D9D9"/>
            <w:vAlign w:val="bottom"/>
            <w:hideMark/>
          </w:tcPr>
          <w:p w:rsidR="00A93FDF" w:rsidRPr="00A93FDF" w:rsidP="00A93FDF" w14:paraId="29019EBE" w14:textId="77777777">
            <w:pPr>
              <w:spacing w:after="0" w:line="240" w:lineRule="auto"/>
              <w:jc w:val="center"/>
              <w:rPr>
                <w:rFonts w:eastAsia="Times New Roman" w:cs="Times New Roman"/>
                <w:b/>
                <w:bCs/>
                <w:sz w:val="20"/>
                <w:szCs w:val="20"/>
              </w:rPr>
            </w:pPr>
            <w:r w:rsidRPr="00A93FDF">
              <w:rPr>
                <w:rFonts w:eastAsia="Times New Roman" w:cs="Times New Roman"/>
                <w:b/>
                <w:bCs/>
                <w:sz w:val="20"/>
                <w:szCs w:val="20"/>
              </w:rPr>
              <w:t>Annual Labor Cost Per Agency</w:t>
            </w:r>
          </w:p>
        </w:tc>
        <w:tc>
          <w:tcPr>
            <w:tcW w:w="600" w:type="dxa"/>
            <w:tcBorders>
              <w:top w:val="single" w:sz="4" w:space="0" w:color="auto"/>
              <w:left w:val="nil"/>
              <w:bottom w:val="single" w:sz="4" w:space="0" w:color="auto"/>
              <w:right w:val="single" w:sz="4" w:space="0" w:color="auto"/>
            </w:tcBorders>
            <w:shd w:val="clear" w:color="000000" w:fill="D9D9D9"/>
            <w:vAlign w:val="bottom"/>
            <w:hideMark/>
          </w:tcPr>
          <w:p w:rsidR="00A93FDF" w:rsidRPr="00A93FDF" w:rsidP="00A93FDF" w14:paraId="3E339546" w14:textId="77777777">
            <w:pPr>
              <w:spacing w:after="0" w:line="240" w:lineRule="auto"/>
              <w:jc w:val="center"/>
              <w:rPr>
                <w:rFonts w:eastAsia="Times New Roman" w:cs="Times New Roman"/>
                <w:b/>
                <w:bCs/>
                <w:sz w:val="20"/>
                <w:szCs w:val="20"/>
              </w:rPr>
            </w:pPr>
            <w:r w:rsidRPr="00A93FDF">
              <w:rPr>
                <w:rFonts w:eastAsia="Times New Roman" w:cs="Times New Roman"/>
                <w:b/>
                <w:bCs/>
                <w:sz w:val="20"/>
                <w:szCs w:val="20"/>
              </w:rPr>
              <w:t>Total Annual Average Burden Hours</w:t>
            </w:r>
          </w:p>
        </w:tc>
        <w:tc>
          <w:tcPr>
            <w:tcW w:w="762" w:type="dxa"/>
            <w:tcBorders>
              <w:top w:val="single" w:sz="4" w:space="0" w:color="auto"/>
              <w:left w:val="nil"/>
              <w:bottom w:val="single" w:sz="4" w:space="0" w:color="auto"/>
              <w:right w:val="single" w:sz="4" w:space="0" w:color="auto"/>
            </w:tcBorders>
            <w:shd w:val="clear" w:color="000000" w:fill="D9D9D9"/>
            <w:vAlign w:val="bottom"/>
            <w:hideMark/>
          </w:tcPr>
          <w:p w:rsidR="00A93FDF" w:rsidRPr="00A93FDF" w:rsidP="00A93FDF" w14:paraId="5BF26563" w14:textId="77777777">
            <w:pPr>
              <w:spacing w:after="0" w:line="240" w:lineRule="auto"/>
              <w:jc w:val="center"/>
              <w:rPr>
                <w:rFonts w:eastAsia="Times New Roman" w:cs="Times New Roman"/>
                <w:b/>
                <w:bCs/>
                <w:sz w:val="20"/>
                <w:szCs w:val="20"/>
              </w:rPr>
            </w:pPr>
            <w:r w:rsidRPr="00A93FDF">
              <w:rPr>
                <w:rFonts w:eastAsia="Times New Roman" w:cs="Times New Roman"/>
                <w:b/>
                <w:bCs/>
                <w:sz w:val="20"/>
                <w:szCs w:val="20"/>
              </w:rPr>
              <w:t>Total Annual Labor Cost</w:t>
            </w:r>
          </w:p>
        </w:tc>
      </w:tr>
      <w:tr w14:paraId="209B37D0" w14:textId="77777777" w:rsidTr="00A93FDF">
        <w:tblPrEx>
          <w:tblW w:w="10027" w:type="dxa"/>
          <w:tblLook w:val="04A0"/>
        </w:tblPrEx>
        <w:trPr>
          <w:trHeight w:val="229"/>
        </w:trPr>
        <w:tc>
          <w:tcPr>
            <w:tcW w:w="2913" w:type="dxa"/>
            <w:tcBorders>
              <w:top w:val="nil"/>
              <w:left w:val="single" w:sz="4" w:space="0" w:color="auto"/>
              <w:bottom w:val="single" w:sz="4" w:space="0" w:color="auto"/>
              <w:right w:val="single" w:sz="4" w:space="0" w:color="auto"/>
            </w:tcBorders>
            <w:shd w:val="clear" w:color="auto" w:fill="auto"/>
            <w:vAlign w:val="center"/>
            <w:hideMark/>
          </w:tcPr>
          <w:p w:rsidR="00A93FDF" w:rsidRPr="00C620A9" w:rsidP="00A93FDF" w14:paraId="112AAF9B" w14:textId="77777777">
            <w:pPr>
              <w:spacing w:after="0" w:line="240" w:lineRule="auto"/>
              <w:jc w:val="center"/>
              <w:rPr>
                <w:rFonts w:eastAsia="Times New Roman" w:cs="Times New Roman"/>
                <w:color w:val="000000"/>
                <w:sz w:val="20"/>
                <w:szCs w:val="20"/>
              </w:rPr>
            </w:pPr>
            <w:r w:rsidRPr="00C620A9">
              <w:rPr>
                <w:rFonts w:eastAsia="Times New Roman" w:cs="Times New Roman"/>
                <w:color w:val="000000"/>
                <w:sz w:val="20"/>
                <w:szCs w:val="20"/>
              </w:rPr>
              <w:t>15</w:t>
            </w:r>
          </w:p>
        </w:tc>
        <w:tc>
          <w:tcPr>
            <w:tcW w:w="1163" w:type="dxa"/>
            <w:tcBorders>
              <w:top w:val="nil"/>
              <w:left w:val="nil"/>
              <w:bottom w:val="single" w:sz="4" w:space="0" w:color="auto"/>
              <w:right w:val="single" w:sz="4" w:space="0" w:color="auto"/>
            </w:tcBorders>
            <w:shd w:val="clear" w:color="auto" w:fill="auto"/>
            <w:noWrap/>
            <w:vAlign w:val="bottom"/>
            <w:hideMark/>
          </w:tcPr>
          <w:p w:rsidR="00A93FDF" w:rsidRPr="00234C5B" w:rsidP="003F2FBA" w14:paraId="2D9F89ED" w14:textId="5BFA9D86">
            <w:pPr>
              <w:spacing w:after="0" w:line="240" w:lineRule="auto"/>
              <w:jc w:val="center"/>
              <w:rPr>
                <w:rFonts w:eastAsia="Times New Roman" w:cs="Times New Roman"/>
                <w:color w:val="000000"/>
                <w:sz w:val="20"/>
                <w:szCs w:val="20"/>
              </w:rPr>
            </w:pPr>
            <w:r w:rsidRPr="009F284C">
              <w:rPr>
                <w:rFonts w:eastAsia="Times New Roman" w:cs="Times New Roman"/>
                <w:color w:val="000000"/>
                <w:sz w:val="20"/>
                <w:szCs w:val="20"/>
              </w:rPr>
              <w:t>$34.02</w:t>
            </w:r>
          </w:p>
        </w:tc>
        <w:tc>
          <w:tcPr>
            <w:tcW w:w="1163" w:type="dxa"/>
            <w:tcBorders>
              <w:top w:val="nil"/>
              <w:left w:val="nil"/>
              <w:bottom w:val="single" w:sz="4" w:space="0" w:color="auto"/>
              <w:right w:val="single" w:sz="4" w:space="0" w:color="auto"/>
            </w:tcBorders>
            <w:shd w:val="clear" w:color="auto" w:fill="auto"/>
            <w:noWrap/>
            <w:vAlign w:val="bottom"/>
            <w:hideMark/>
          </w:tcPr>
          <w:p w:rsidR="00A93FDF" w:rsidRPr="00234C5B" w:rsidP="003F2FBA" w14:paraId="5C7B20EA" w14:textId="77777777">
            <w:pPr>
              <w:spacing w:after="0" w:line="240" w:lineRule="auto"/>
              <w:jc w:val="center"/>
              <w:rPr>
                <w:rFonts w:eastAsia="Times New Roman" w:cs="Times New Roman"/>
                <w:color w:val="000000"/>
                <w:sz w:val="20"/>
                <w:szCs w:val="20"/>
              </w:rPr>
            </w:pPr>
            <w:r w:rsidRPr="00234C5B">
              <w:rPr>
                <w:rFonts w:eastAsia="Times New Roman" w:cs="Times New Roman"/>
                <w:color w:val="000000"/>
                <w:sz w:val="20"/>
                <w:szCs w:val="20"/>
              </w:rPr>
              <w:t>0.62</w:t>
            </w:r>
          </w:p>
        </w:tc>
        <w:tc>
          <w:tcPr>
            <w:tcW w:w="1163" w:type="dxa"/>
            <w:tcBorders>
              <w:top w:val="nil"/>
              <w:left w:val="nil"/>
              <w:bottom w:val="single" w:sz="4" w:space="0" w:color="auto"/>
              <w:right w:val="single" w:sz="4" w:space="0" w:color="auto"/>
            </w:tcBorders>
            <w:shd w:val="clear" w:color="auto" w:fill="auto"/>
            <w:vAlign w:val="center"/>
            <w:hideMark/>
          </w:tcPr>
          <w:p w:rsidR="00A93FDF" w:rsidRPr="00234C5B" w:rsidP="00C620A9" w14:paraId="7AAA8659" w14:textId="3879F592">
            <w:pPr>
              <w:spacing w:after="0" w:line="240" w:lineRule="auto"/>
              <w:jc w:val="center"/>
              <w:rPr>
                <w:rFonts w:eastAsia="Times New Roman" w:cs="Times New Roman"/>
                <w:color w:val="000000"/>
                <w:sz w:val="20"/>
                <w:szCs w:val="20"/>
              </w:rPr>
            </w:pPr>
            <w:r w:rsidRPr="00234C5B">
              <w:rPr>
                <w:rFonts w:eastAsia="Times New Roman" w:cs="Times New Roman"/>
                <w:color w:val="000000"/>
                <w:sz w:val="20"/>
                <w:szCs w:val="20"/>
              </w:rPr>
              <w:t>$54.87</w:t>
            </w:r>
          </w:p>
        </w:tc>
        <w:tc>
          <w:tcPr>
            <w:tcW w:w="1163" w:type="dxa"/>
            <w:tcBorders>
              <w:top w:val="nil"/>
              <w:left w:val="nil"/>
              <w:bottom w:val="single" w:sz="4" w:space="0" w:color="auto"/>
              <w:right w:val="single" w:sz="4" w:space="0" w:color="auto"/>
            </w:tcBorders>
            <w:shd w:val="clear" w:color="auto" w:fill="auto"/>
            <w:vAlign w:val="center"/>
            <w:hideMark/>
          </w:tcPr>
          <w:p w:rsidR="00A93FDF" w:rsidRPr="00234C5B" w:rsidP="00234C5B" w14:paraId="7AF10043" w14:textId="77777777">
            <w:pPr>
              <w:spacing w:after="0" w:line="240" w:lineRule="auto"/>
              <w:jc w:val="center"/>
              <w:rPr>
                <w:rFonts w:eastAsia="Times New Roman" w:cs="Times New Roman"/>
                <w:color w:val="000000"/>
                <w:sz w:val="20"/>
                <w:szCs w:val="20"/>
              </w:rPr>
            </w:pPr>
            <w:r w:rsidRPr="00234C5B">
              <w:rPr>
                <w:rFonts w:eastAsia="Times New Roman" w:cs="Times New Roman"/>
                <w:color w:val="000000"/>
                <w:sz w:val="20"/>
                <w:szCs w:val="20"/>
              </w:rPr>
              <w:t>29.33</w:t>
            </w:r>
          </w:p>
        </w:tc>
        <w:tc>
          <w:tcPr>
            <w:tcW w:w="1100" w:type="dxa"/>
            <w:tcBorders>
              <w:top w:val="nil"/>
              <w:left w:val="nil"/>
              <w:bottom w:val="single" w:sz="4" w:space="0" w:color="auto"/>
              <w:right w:val="single" w:sz="4" w:space="0" w:color="auto"/>
            </w:tcBorders>
            <w:shd w:val="clear" w:color="auto" w:fill="auto"/>
            <w:vAlign w:val="center"/>
            <w:hideMark/>
          </w:tcPr>
          <w:p w:rsidR="00A93FDF" w:rsidRPr="00234C5B" w:rsidP="00234C5B" w14:paraId="0AA3F4F7" w14:textId="39CEBE5A">
            <w:pPr>
              <w:spacing w:after="0" w:line="240" w:lineRule="auto"/>
              <w:jc w:val="center"/>
              <w:rPr>
                <w:rFonts w:eastAsia="Times New Roman" w:cs="Times New Roman"/>
                <w:color w:val="000000"/>
                <w:sz w:val="20"/>
                <w:szCs w:val="20"/>
              </w:rPr>
            </w:pPr>
            <w:r w:rsidRPr="00234C5B">
              <w:rPr>
                <w:rFonts w:eastAsia="Times New Roman" w:cs="Times New Roman"/>
                <w:color w:val="000000"/>
                <w:sz w:val="20"/>
                <w:szCs w:val="20"/>
              </w:rPr>
              <w:t>$1,609.55</w:t>
            </w:r>
          </w:p>
        </w:tc>
        <w:tc>
          <w:tcPr>
            <w:tcW w:w="600" w:type="dxa"/>
            <w:tcBorders>
              <w:top w:val="nil"/>
              <w:left w:val="nil"/>
              <w:bottom w:val="single" w:sz="4" w:space="0" w:color="auto"/>
              <w:right w:val="single" w:sz="4" w:space="0" w:color="auto"/>
            </w:tcBorders>
            <w:shd w:val="clear" w:color="auto" w:fill="auto"/>
            <w:vAlign w:val="center"/>
            <w:hideMark/>
          </w:tcPr>
          <w:p w:rsidR="00A93FDF" w:rsidRPr="00234C5B" w:rsidP="00234C5B" w14:paraId="4EF96D7D" w14:textId="77777777">
            <w:pPr>
              <w:spacing w:after="0" w:line="240" w:lineRule="auto"/>
              <w:jc w:val="center"/>
              <w:rPr>
                <w:rFonts w:eastAsia="Times New Roman" w:cs="Times New Roman"/>
                <w:color w:val="000000"/>
                <w:sz w:val="20"/>
                <w:szCs w:val="20"/>
              </w:rPr>
            </w:pPr>
            <w:r w:rsidRPr="00234C5B">
              <w:rPr>
                <w:rFonts w:eastAsia="Times New Roman" w:cs="Times New Roman"/>
                <w:color w:val="000000"/>
                <w:sz w:val="20"/>
                <w:szCs w:val="20"/>
              </w:rPr>
              <w:t>440</w:t>
            </w:r>
          </w:p>
        </w:tc>
        <w:tc>
          <w:tcPr>
            <w:tcW w:w="762" w:type="dxa"/>
            <w:tcBorders>
              <w:top w:val="nil"/>
              <w:left w:val="nil"/>
              <w:bottom w:val="single" w:sz="4" w:space="0" w:color="auto"/>
              <w:right w:val="single" w:sz="4" w:space="0" w:color="auto"/>
            </w:tcBorders>
            <w:shd w:val="clear" w:color="auto" w:fill="auto"/>
            <w:vAlign w:val="center"/>
            <w:hideMark/>
          </w:tcPr>
          <w:p w:rsidR="00A93FDF" w:rsidRPr="00234C5B" w:rsidP="00234C5B" w14:paraId="51EA325F" w14:textId="4B695424">
            <w:pPr>
              <w:spacing w:after="0" w:line="240" w:lineRule="auto"/>
              <w:jc w:val="center"/>
              <w:rPr>
                <w:rFonts w:eastAsia="Times New Roman" w:cs="Times New Roman"/>
                <w:color w:val="000000"/>
                <w:sz w:val="20"/>
                <w:szCs w:val="20"/>
              </w:rPr>
            </w:pPr>
            <w:r w:rsidRPr="00234C5B">
              <w:rPr>
                <w:rFonts w:eastAsia="Times New Roman" w:cs="Times New Roman"/>
                <w:color w:val="000000"/>
                <w:sz w:val="20"/>
                <w:szCs w:val="20"/>
              </w:rPr>
              <w:t>$24,143.23</w:t>
            </w:r>
          </w:p>
        </w:tc>
      </w:tr>
    </w:tbl>
    <w:p w:rsidR="0069588D" w:rsidP="00681302" w14:paraId="55549E52" w14:textId="09533053">
      <w:pPr>
        <w:autoSpaceDE w:val="0"/>
        <w:autoSpaceDN w:val="0"/>
        <w:adjustRightInd w:val="0"/>
        <w:spacing w:after="0" w:line="240" w:lineRule="auto"/>
        <w:ind w:right="360"/>
        <w:contextualSpacing/>
        <w:rPr>
          <w:rFonts w:cs="Times New Roman"/>
          <w:highlight w:val="yellow"/>
        </w:rPr>
      </w:pPr>
    </w:p>
    <w:p w:rsidR="00A93FDF" w:rsidRPr="0069588D" w:rsidP="00681302" w14:paraId="57718338" w14:textId="77777777">
      <w:pPr>
        <w:autoSpaceDE w:val="0"/>
        <w:autoSpaceDN w:val="0"/>
        <w:adjustRightInd w:val="0"/>
        <w:spacing w:after="0" w:line="240" w:lineRule="auto"/>
        <w:ind w:right="360"/>
        <w:contextualSpacing/>
        <w:rPr>
          <w:rFonts w:cs="Times New Roman"/>
          <w:highlight w:val="yellow"/>
        </w:rPr>
      </w:pPr>
    </w:p>
    <w:p w:rsidR="00DF3DC9" w:rsidRPr="006C5FBF" w:rsidP="00934994" w14:paraId="2A4A88BB" w14:textId="77777777">
      <w:pPr>
        <w:pStyle w:val="ListParagraph"/>
        <w:numPr>
          <w:ilvl w:val="0"/>
          <w:numId w:val="1"/>
        </w:numPr>
        <w:autoSpaceDE w:val="0"/>
        <w:autoSpaceDN w:val="0"/>
        <w:adjustRightInd w:val="0"/>
        <w:spacing w:after="0" w:line="240" w:lineRule="auto"/>
        <w:rPr>
          <w:rFonts w:cs="Times New Roman"/>
          <w:b/>
        </w:rPr>
      </w:pPr>
      <w:bookmarkStart w:id="23" w:name="_Hlk51332101"/>
      <w:bookmarkEnd w:id="22"/>
      <w:r w:rsidRPr="006C5FBF">
        <w:rPr>
          <w:rFonts w:cs="Times New Roman"/>
          <w:b/>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23"/>
    <w:p w:rsidR="00DF3DC9" w:rsidRPr="006C5FBF" w:rsidP="00DF3DC9" w14:paraId="086C38B7" w14:textId="77777777">
      <w:pPr>
        <w:pStyle w:val="ListParagraph"/>
        <w:autoSpaceDE w:val="0"/>
        <w:autoSpaceDN w:val="0"/>
        <w:adjustRightInd w:val="0"/>
        <w:spacing w:after="0" w:line="240" w:lineRule="auto"/>
        <w:rPr>
          <w:rFonts w:cs="Times New Roman"/>
        </w:rPr>
      </w:pPr>
    </w:p>
    <w:p w:rsidR="0030016B" w:rsidP="00060AF6" w14:paraId="4014D743" w14:textId="77DA3DCC">
      <w:pPr>
        <w:autoSpaceDE w:val="0"/>
        <w:autoSpaceDN w:val="0"/>
        <w:adjustRightInd w:val="0"/>
        <w:spacing w:after="0" w:line="240" w:lineRule="auto"/>
        <w:contextualSpacing/>
      </w:pPr>
      <w:r>
        <w:t>There will be no additional costs to respondents or record keepers.</w:t>
      </w:r>
    </w:p>
    <w:p w:rsidR="00F43203" w:rsidRPr="006C5FBF" w:rsidP="00060AF6" w14:paraId="6C7C7184" w14:textId="77777777">
      <w:pPr>
        <w:autoSpaceDE w:val="0"/>
        <w:autoSpaceDN w:val="0"/>
        <w:adjustRightInd w:val="0"/>
        <w:spacing w:after="0" w:line="240" w:lineRule="auto"/>
        <w:contextualSpacing/>
      </w:pPr>
    </w:p>
    <w:p w:rsidR="00060AF6" w:rsidRPr="006C5FBF" w:rsidP="00060AF6" w14:paraId="11A69A8A" w14:textId="77777777">
      <w:pPr>
        <w:autoSpaceDE w:val="0"/>
        <w:autoSpaceDN w:val="0"/>
        <w:adjustRightInd w:val="0"/>
        <w:spacing w:after="0" w:line="240" w:lineRule="auto"/>
        <w:contextualSpacing/>
        <w:rPr>
          <w:rFonts w:cs="Times New Roman"/>
          <w:highlight w:val="yellow"/>
        </w:rPr>
      </w:pPr>
    </w:p>
    <w:p w:rsidR="00DF3DC9" w:rsidRPr="006C5FBF" w:rsidP="00934994" w14:paraId="674FCB46" w14:textId="77777777">
      <w:pPr>
        <w:pStyle w:val="ListParagraph"/>
        <w:numPr>
          <w:ilvl w:val="0"/>
          <w:numId w:val="1"/>
        </w:numPr>
        <w:spacing w:line="240" w:lineRule="auto"/>
        <w:rPr>
          <w:rFonts w:cs="Times New Roman"/>
          <w:b/>
        </w:rPr>
      </w:pPr>
      <w:bookmarkStart w:id="24" w:name="_Hlk51332118"/>
      <w:r w:rsidRPr="006C5FBF">
        <w:rPr>
          <w:rFonts w:cs="Times New Roman"/>
          <w:b/>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4"/>
    <w:p w:rsidR="00236F4A" w:rsidP="00236F4A" w14:paraId="612DC9A9" w14:textId="51CEF0CA">
      <w:pPr>
        <w:spacing w:line="240" w:lineRule="auto"/>
        <w:rPr>
          <w:rFonts w:cs="Times New Roman"/>
        </w:rPr>
      </w:pPr>
      <w:r w:rsidRPr="006C5FBF">
        <w:rPr>
          <w:rFonts w:cs="Times New Roman"/>
        </w:rPr>
        <w:t xml:space="preserve">The annualized cost to the Federal Government is based on the Contracting Officer Representative (COR) and Alternate Contracting Officer Representative’s (ACOR) salaries, annualized by an hourly rate </w:t>
      </w:r>
      <w:r w:rsidRPr="006C5FBF">
        <w:rPr>
          <w:rFonts w:cs="Times New Roman"/>
        </w:rPr>
        <w:t>the GSA salary schedule found at:</w:t>
      </w:r>
      <w:r w:rsidRPr="006C5FBF">
        <w:rPr>
          <w:rFonts w:cs="Times New Roman"/>
        </w:rPr>
        <w:t xml:space="preserve"> </w:t>
      </w:r>
      <w:r>
        <w:fldChar w:fldCharType="begin"/>
      </w:r>
      <w:r w:rsidRPr="006C5FBF">
        <w:rPr>
          <w:rStyle w:val="Hyperlink"/>
          <w:rFonts w:cs="Times New Roman"/>
        </w:rPr>
        <w:instrText xml:space="preserve"> HYPERLINK "https://www.opm.gov/policy-data-oversight/pay-leave/salaries-wages/2022/general-schedule/" </w:instrText>
      </w:r>
      <w:r>
        <w:fldChar w:fldCharType="separate"/>
      </w:r>
      <w:r w:rsidRPr="006C5FBF">
        <w:rPr>
          <w:rStyle w:val="Hyperlink"/>
          <w:rFonts w:cs="Times New Roman"/>
        </w:rPr>
        <w:t>https://www.opm.gov/policy-data-oversight/pay-leave/salaries-wages/2022/general-schedule/</w:t>
      </w:r>
      <w:r>
        <w:fldChar w:fldCharType="end"/>
      </w:r>
      <w:r w:rsidRPr="006C5FBF">
        <w:rPr>
          <w:rFonts w:cs="Times New Roman"/>
        </w:rPr>
        <w:t>.</w:t>
      </w:r>
      <w:r w:rsidRPr="006C5FBF" w:rsidR="00214359">
        <w:rPr>
          <w:rFonts w:cs="Times New Roman"/>
        </w:rPr>
        <w:t xml:space="preserve">  </w:t>
      </w:r>
      <w:r w:rsidRPr="006C5FBF" w:rsidR="00214359">
        <w:t>NHTSA calculated the cost associated with the COR’s time by using the hourly wage for a GS-14, beginning at Step 1, of $45.99.</w:t>
      </w:r>
      <w:r w:rsidRPr="006C5FBF" w:rsidR="00C73854">
        <w:t xml:space="preserve">  Each successive year increases a step.</w:t>
      </w:r>
      <w:r w:rsidRPr="006C5FBF" w:rsidR="00214359">
        <w:t xml:space="preserve">  To estimate total compensation costs, NHTSA used the Bureau of Labor Statistics’ estimate that wages and salary only represent 62.0% of total employee compensation cost for State and local employees,</w:t>
      </w:r>
      <w:r>
        <w:rPr>
          <w:vertAlign w:val="superscript"/>
        </w:rPr>
        <w:footnoteReference w:id="5"/>
      </w:r>
      <w:r w:rsidRPr="006C5FBF" w:rsidR="00214359">
        <w:t xml:space="preserve"> which brings the total hourly cost for th</w:t>
      </w:r>
      <w:r w:rsidRPr="006C5FBF" w:rsidR="00C73854">
        <w:t>e</w:t>
      </w:r>
      <w:r w:rsidRPr="006C5FBF" w:rsidR="00214359">
        <w:t xml:space="preserve"> employee’s time</w:t>
      </w:r>
      <w:r w:rsidRPr="006C5FBF" w:rsidR="00C73854">
        <w:t xml:space="preserve"> in FY 22</w:t>
      </w:r>
      <w:r w:rsidRPr="006C5FBF" w:rsidR="00214359">
        <w:t xml:space="preserve"> to $</w:t>
      </w:r>
      <w:r w:rsidRPr="006C5FBF" w:rsidR="00C73854">
        <w:t>74.18</w:t>
      </w:r>
      <w:r w:rsidRPr="006C5FBF" w:rsidR="00214359">
        <w:t>.</w:t>
      </w:r>
      <w:r w:rsidRPr="006C5FBF">
        <w:rPr>
          <w:rFonts w:cs="Times New Roman"/>
        </w:rPr>
        <w:t xml:space="preserve">  </w:t>
      </w:r>
      <w:r w:rsidRPr="006C5FBF">
        <w:rPr>
          <w:rFonts w:cs="Times New Roman"/>
        </w:rPr>
        <w:t xml:space="preserve">No other operational expenses (such as equipment, overhead, printing, and support staff), and any other expense will be incurred </w:t>
      </w:r>
      <w:r w:rsidRPr="006C5FBF">
        <w:rPr>
          <w:rFonts w:cs="Times New Roman"/>
        </w:rPr>
        <w:t xml:space="preserve">as a result </w:t>
      </w:r>
      <w:r w:rsidRPr="006C5FBF" w:rsidR="00A8543B">
        <w:rPr>
          <w:rFonts w:cs="Times New Roman"/>
        </w:rPr>
        <w:t>of</w:t>
      </w:r>
      <w:r w:rsidRPr="006C5FBF" w:rsidR="00A8543B">
        <w:rPr>
          <w:rFonts w:cs="Times New Roman"/>
        </w:rPr>
        <w:t xml:space="preserve"> </w:t>
      </w:r>
      <w:r w:rsidRPr="006C5FBF">
        <w:rPr>
          <w:rFonts w:cs="Times New Roman"/>
        </w:rPr>
        <w:t xml:space="preserve">this collection of information. </w:t>
      </w:r>
      <w:r w:rsidRPr="006C5FBF" w:rsidR="00C620A9">
        <w:rPr>
          <w:rFonts w:cs="Times New Roman"/>
        </w:rPr>
        <w:t xml:space="preserve">Items identified in Appendix A are also eligible expenses and will be made available to participating agencies. However, all items will not just be allocated to participating agencies. Individual participating agencies will need to request those items </w:t>
      </w:r>
      <w:r w:rsidRPr="006C5FBF" w:rsidR="004D2989">
        <w:rPr>
          <w:rFonts w:cs="Times New Roman"/>
        </w:rPr>
        <w:t>needed</w:t>
      </w:r>
      <w:r w:rsidRPr="006C5FBF" w:rsidR="00C620A9">
        <w:rPr>
          <w:rFonts w:cs="Times New Roman"/>
        </w:rPr>
        <w:t xml:space="preserve"> for their full participation.</w:t>
      </w:r>
    </w:p>
    <w:p w:rsidR="00B82BC9" w:rsidRPr="006C5FBF" w:rsidP="00236F4A" w14:paraId="0AF85EE3" w14:textId="10A5DCC2">
      <w:pPr>
        <w:spacing w:line="240" w:lineRule="auto"/>
        <w:rPr>
          <w:rFonts w:cs="Times New Roman"/>
        </w:rPr>
      </w:pPr>
      <w:r>
        <w:rPr>
          <w:rFonts w:cs="Times New Roman"/>
        </w:rPr>
        <w:t xml:space="preserve">In addition to the estimated costs for the COR and ACOR, included in the table is the annualized cost for the NHTSA Support Contractor, </w:t>
      </w:r>
      <w:r>
        <w:rPr>
          <w:rFonts w:cs="Times New Roman"/>
        </w:rPr>
        <w:t>Toxcel</w:t>
      </w:r>
      <w:r>
        <w:rPr>
          <w:rFonts w:cs="Times New Roman"/>
        </w:rPr>
        <w:t xml:space="preserve"> as per their executed contract.</w:t>
      </w:r>
    </w:p>
    <w:p w:rsidR="00B7228D" w:rsidRPr="006C5FBF" w:rsidP="001546EE" w14:paraId="6A312AFD" w14:textId="4653D7C3">
      <w:pPr>
        <w:contextualSpacing/>
        <w:rPr>
          <w:rFonts w:cs="Times New Roman"/>
        </w:rPr>
      </w:pPr>
      <w:r w:rsidRPr="006C5FBF">
        <w:t xml:space="preserve">Table 4. Estimated Annualized Costs to the Federal Government </w:t>
      </w:r>
    </w:p>
    <w:p w:rsidR="008B0BA4" w:rsidP="00A94D30" w14:paraId="4EF1D395" w14:textId="2E4ED20C">
      <w:pPr>
        <w:contextualSpacing/>
        <w:rPr>
          <w:rFonts w:cs="Times New Roman"/>
          <w:szCs w:val="24"/>
        </w:rPr>
      </w:pPr>
    </w:p>
    <w:tbl>
      <w:tblPr>
        <w:tblStyle w:val="TableGrid"/>
        <w:tblW w:w="9715" w:type="dxa"/>
        <w:tblLayout w:type="fixed"/>
        <w:tblLook w:val="04A0"/>
      </w:tblPr>
      <w:tblGrid>
        <w:gridCol w:w="1069"/>
        <w:gridCol w:w="636"/>
        <w:gridCol w:w="720"/>
        <w:gridCol w:w="720"/>
        <w:gridCol w:w="1080"/>
        <w:gridCol w:w="1080"/>
        <w:gridCol w:w="1080"/>
        <w:gridCol w:w="1080"/>
        <w:gridCol w:w="1080"/>
        <w:gridCol w:w="1170"/>
      </w:tblGrid>
      <w:tr w14:paraId="4973EC52" w14:textId="77777777" w:rsidTr="00330956">
        <w:tblPrEx>
          <w:tblW w:w="9715" w:type="dxa"/>
          <w:tblLayout w:type="fixed"/>
          <w:tblLook w:val="04A0"/>
        </w:tblPrEx>
        <w:trPr>
          <w:trHeight w:val="1160"/>
        </w:trPr>
        <w:tc>
          <w:tcPr>
            <w:tcW w:w="1069" w:type="dxa"/>
            <w:hideMark/>
          </w:tcPr>
          <w:p w:rsidR="00330956" w:rsidRPr="00330956" w:rsidP="00330956" w14:paraId="4E1F7921" w14:textId="77777777">
            <w:pPr>
              <w:contextualSpacing/>
              <w:rPr>
                <w:rFonts w:cstheme="minorHAnsi"/>
                <w:b/>
                <w:bCs/>
                <w:sz w:val="16"/>
                <w:szCs w:val="16"/>
              </w:rPr>
            </w:pPr>
            <w:r w:rsidRPr="00330956">
              <w:rPr>
                <w:rFonts w:cstheme="minorHAnsi"/>
                <w:b/>
                <w:bCs/>
                <w:sz w:val="16"/>
                <w:szCs w:val="16"/>
              </w:rPr>
              <w:t>Annualized Costs to Federal Government</w:t>
            </w:r>
          </w:p>
        </w:tc>
        <w:tc>
          <w:tcPr>
            <w:tcW w:w="636" w:type="dxa"/>
            <w:hideMark/>
          </w:tcPr>
          <w:p w:rsidR="00330956" w:rsidRPr="00330956" w:rsidP="00330956" w14:paraId="2876C8FF" w14:textId="77777777">
            <w:pPr>
              <w:contextualSpacing/>
              <w:rPr>
                <w:rFonts w:cstheme="minorHAnsi"/>
                <w:b/>
                <w:bCs/>
                <w:sz w:val="16"/>
                <w:szCs w:val="16"/>
              </w:rPr>
            </w:pPr>
            <w:r w:rsidRPr="00330956">
              <w:rPr>
                <w:rFonts w:cstheme="minorHAnsi"/>
                <w:b/>
                <w:bCs/>
                <w:sz w:val="16"/>
                <w:szCs w:val="16"/>
              </w:rPr>
              <w:t xml:space="preserve">% </w:t>
            </w:r>
            <w:r w:rsidRPr="00330956">
              <w:rPr>
                <w:rFonts w:cstheme="minorHAnsi"/>
                <w:b/>
                <w:bCs/>
                <w:sz w:val="16"/>
                <w:szCs w:val="16"/>
              </w:rPr>
              <w:t>of</w:t>
            </w:r>
            <w:r w:rsidRPr="00330956">
              <w:rPr>
                <w:rFonts w:cstheme="minorHAnsi"/>
                <w:b/>
                <w:bCs/>
                <w:sz w:val="16"/>
                <w:szCs w:val="16"/>
              </w:rPr>
              <w:t xml:space="preserve"> effort</w:t>
            </w:r>
          </w:p>
        </w:tc>
        <w:tc>
          <w:tcPr>
            <w:tcW w:w="720" w:type="dxa"/>
            <w:hideMark/>
          </w:tcPr>
          <w:p w:rsidR="00330956" w:rsidRPr="00330956" w:rsidP="00330956" w14:paraId="7009A897" w14:textId="77777777">
            <w:pPr>
              <w:contextualSpacing/>
              <w:rPr>
                <w:rFonts w:cstheme="minorHAnsi"/>
                <w:b/>
                <w:bCs/>
                <w:sz w:val="16"/>
                <w:szCs w:val="16"/>
              </w:rPr>
            </w:pPr>
            <w:r w:rsidRPr="00330956">
              <w:rPr>
                <w:rFonts w:cstheme="minorHAnsi"/>
                <w:b/>
                <w:bCs/>
                <w:sz w:val="16"/>
                <w:szCs w:val="16"/>
              </w:rPr>
              <w:t xml:space="preserve">% </w:t>
            </w:r>
            <w:r w:rsidRPr="00330956">
              <w:rPr>
                <w:rFonts w:cstheme="minorHAnsi"/>
                <w:b/>
                <w:bCs/>
                <w:sz w:val="16"/>
                <w:szCs w:val="16"/>
              </w:rPr>
              <w:t>effort</w:t>
            </w:r>
            <w:r w:rsidRPr="00330956">
              <w:rPr>
                <w:rFonts w:cstheme="minorHAnsi"/>
                <w:b/>
                <w:bCs/>
                <w:sz w:val="16"/>
                <w:szCs w:val="16"/>
              </w:rPr>
              <w:t xml:space="preserve"> hrs/</w:t>
            </w:r>
            <w:r w:rsidRPr="00330956">
              <w:rPr>
                <w:rFonts w:cstheme="minorHAnsi"/>
                <w:b/>
                <w:bCs/>
                <w:sz w:val="16"/>
                <w:szCs w:val="16"/>
              </w:rPr>
              <w:t>yr</w:t>
            </w:r>
          </w:p>
        </w:tc>
        <w:tc>
          <w:tcPr>
            <w:tcW w:w="720" w:type="dxa"/>
            <w:hideMark/>
          </w:tcPr>
          <w:p w:rsidR="00330956" w:rsidRPr="00330956" w:rsidP="00330956" w14:paraId="3D958D69" w14:textId="77777777">
            <w:pPr>
              <w:contextualSpacing/>
              <w:rPr>
                <w:rFonts w:cstheme="minorHAnsi"/>
                <w:b/>
                <w:bCs/>
                <w:sz w:val="16"/>
                <w:szCs w:val="16"/>
              </w:rPr>
            </w:pPr>
            <w:r w:rsidRPr="00330956">
              <w:rPr>
                <w:rFonts w:cstheme="minorHAnsi"/>
                <w:b/>
                <w:bCs/>
                <w:sz w:val="16"/>
                <w:szCs w:val="16"/>
              </w:rPr>
              <w:t xml:space="preserve">% </w:t>
            </w:r>
            <w:r w:rsidRPr="00330956">
              <w:rPr>
                <w:rFonts w:cstheme="minorHAnsi"/>
                <w:b/>
                <w:bCs/>
                <w:sz w:val="16"/>
                <w:szCs w:val="16"/>
              </w:rPr>
              <w:t>effort</w:t>
            </w:r>
            <w:r w:rsidRPr="00330956">
              <w:rPr>
                <w:rFonts w:cstheme="minorHAnsi"/>
                <w:b/>
                <w:bCs/>
                <w:sz w:val="16"/>
                <w:szCs w:val="16"/>
              </w:rPr>
              <w:t xml:space="preserve"> hrs/</w:t>
            </w:r>
            <w:r w:rsidRPr="00330956">
              <w:rPr>
                <w:rFonts w:cstheme="minorHAnsi"/>
                <w:b/>
                <w:bCs/>
                <w:sz w:val="16"/>
                <w:szCs w:val="16"/>
              </w:rPr>
              <w:t>wk</w:t>
            </w:r>
          </w:p>
        </w:tc>
        <w:tc>
          <w:tcPr>
            <w:tcW w:w="1080" w:type="dxa"/>
            <w:hideMark/>
          </w:tcPr>
          <w:p w:rsidR="00330956" w:rsidRPr="00330956" w:rsidP="00330956" w14:paraId="2D5EC5FE" w14:textId="77777777">
            <w:pPr>
              <w:contextualSpacing/>
              <w:rPr>
                <w:rFonts w:cstheme="minorHAnsi"/>
                <w:b/>
                <w:bCs/>
                <w:sz w:val="16"/>
                <w:szCs w:val="16"/>
              </w:rPr>
            </w:pPr>
            <w:r w:rsidRPr="00330956">
              <w:rPr>
                <w:rFonts w:cstheme="minorHAnsi"/>
                <w:b/>
                <w:bCs/>
                <w:sz w:val="16"/>
                <w:szCs w:val="16"/>
              </w:rPr>
              <w:t xml:space="preserve">FY '22 @  </w:t>
            </w:r>
          </w:p>
        </w:tc>
        <w:tc>
          <w:tcPr>
            <w:tcW w:w="1080" w:type="dxa"/>
            <w:hideMark/>
          </w:tcPr>
          <w:p w:rsidR="00330956" w:rsidRPr="00330956" w:rsidP="00330956" w14:paraId="27DE7ABD" w14:textId="77777777">
            <w:pPr>
              <w:contextualSpacing/>
              <w:rPr>
                <w:rFonts w:cstheme="minorHAnsi"/>
                <w:b/>
                <w:bCs/>
                <w:sz w:val="16"/>
                <w:szCs w:val="16"/>
              </w:rPr>
            </w:pPr>
            <w:r w:rsidRPr="00330956">
              <w:rPr>
                <w:rFonts w:cstheme="minorHAnsi"/>
                <w:b/>
                <w:bCs/>
                <w:sz w:val="16"/>
                <w:szCs w:val="16"/>
              </w:rPr>
              <w:t xml:space="preserve">FY '23 @  </w:t>
            </w:r>
          </w:p>
        </w:tc>
        <w:tc>
          <w:tcPr>
            <w:tcW w:w="1080" w:type="dxa"/>
            <w:hideMark/>
          </w:tcPr>
          <w:p w:rsidR="00330956" w:rsidRPr="00330956" w:rsidP="00330956" w14:paraId="1D1779DB" w14:textId="77777777">
            <w:pPr>
              <w:contextualSpacing/>
              <w:rPr>
                <w:rFonts w:cstheme="minorHAnsi"/>
                <w:b/>
                <w:bCs/>
                <w:sz w:val="16"/>
                <w:szCs w:val="16"/>
              </w:rPr>
            </w:pPr>
            <w:r w:rsidRPr="00330956">
              <w:rPr>
                <w:rFonts w:cstheme="minorHAnsi"/>
                <w:b/>
                <w:bCs/>
                <w:sz w:val="16"/>
                <w:szCs w:val="16"/>
              </w:rPr>
              <w:t xml:space="preserve">FY '24 @  </w:t>
            </w:r>
          </w:p>
        </w:tc>
        <w:tc>
          <w:tcPr>
            <w:tcW w:w="1080" w:type="dxa"/>
            <w:hideMark/>
          </w:tcPr>
          <w:p w:rsidR="00330956" w:rsidRPr="00330956" w:rsidP="00330956" w14:paraId="28AA8E31" w14:textId="77777777">
            <w:pPr>
              <w:contextualSpacing/>
              <w:rPr>
                <w:rFonts w:cstheme="minorHAnsi"/>
                <w:b/>
                <w:bCs/>
                <w:sz w:val="16"/>
                <w:szCs w:val="16"/>
              </w:rPr>
            </w:pPr>
            <w:r w:rsidRPr="00330956">
              <w:rPr>
                <w:rFonts w:cstheme="minorHAnsi"/>
                <w:b/>
                <w:bCs/>
                <w:sz w:val="16"/>
                <w:szCs w:val="16"/>
              </w:rPr>
              <w:t xml:space="preserve">FY '25 @  </w:t>
            </w:r>
          </w:p>
        </w:tc>
        <w:tc>
          <w:tcPr>
            <w:tcW w:w="1080" w:type="dxa"/>
            <w:hideMark/>
          </w:tcPr>
          <w:p w:rsidR="00330956" w:rsidRPr="00330956" w:rsidP="00330956" w14:paraId="321DBA27" w14:textId="77777777">
            <w:pPr>
              <w:contextualSpacing/>
              <w:rPr>
                <w:rFonts w:cstheme="minorHAnsi"/>
                <w:b/>
                <w:bCs/>
                <w:sz w:val="16"/>
                <w:szCs w:val="16"/>
              </w:rPr>
            </w:pPr>
            <w:r w:rsidRPr="00330956">
              <w:rPr>
                <w:rFonts w:cstheme="minorHAnsi"/>
                <w:b/>
                <w:bCs/>
                <w:sz w:val="16"/>
                <w:szCs w:val="16"/>
              </w:rPr>
              <w:t xml:space="preserve">FY '26 @  </w:t>
            </w:r>
          </w:p>
        </w:tc>
        <w:tc>
          <w:tcPr>
            <w:tcW w:w="1170" w:type="dxa"/>
            <w:hideMark/>
          </w:tcPr>
          <w:p w:rsidR="00330956" w:rsidRPr="00330956" w:rsidP="00330956" w14:paraId="397B4788" w14:textId="77777777">
            <w:pPr>
              <w:contextualSpacing/>
              <w:rPr>
                <w:rFonts w:cstheme="minorHAnsi"/>
                <w:b/>
                <w:bCs/>
                <w:sz w:val="16"/>
                <w:szCs w:val="16"/>
              </w:rPr>
            </w:pPr>
            <w:r w:rsidRPr="00330956">
              <w:rPr>
                <w:rFonts w:cstheme="minorHAnsi"/>
                <w:b/>
                <w:bCs/>
                <w:sz w:val="16"/>
                <w:szCs w:val="16"/>
              </w:rPr>
              <w:t>5-year Total</w:t>
            </w:r>
          </w:p>
        </w:tc>
      </w:tr>
      <w:tr w14:paraId="5C93C969" w14:textId="77777777" w:rsidTr="00330956">
        <w:tblPrEx>
          <w:tblW w:w="9715" w:type="dxa"/>
          <w:tblLayout w:type="fixed"/>
          <w:tblLook w:val="04A0"/>
        </w:tblPrEx>
        <w:trPr>
          <w:trHeight w:val="290"/>
        </w:trPr>
        <w:tc>
          <w:tcPr>
            <w:tcW w:w="1069" w:type="dxa"/>
            <w:noWrap/>
            <w:hideMark/>
          </w:tcPr>
          <w:p w:rsidR="00330956" w:rsidRPr="00330956" w14:paraId="7F3DDD4D" w14:textId="77777777">
            <w:pPr>
              <w:contextualSpacing/>
              <w:rPr>
                <w:rFonts w:cstheme="minorHAnsi"/>
                <w:b/>
                <w:bCs/>
                <w:sz w:val="16"/>
                <w:szCs w:val="16"/>
              </w:rPr>
            </w:pPr>
            <w:r w:rsidRPr="00330956">
              <w:rPr>
                <w:rFonts w:cstheme="minorHAnsi"/>
                <w:b/>
                <w:bCs/>
                <w:sz w:val="16"/>
                <w:szCs w:val="16"/>
              </w:rPr>
              <w:t>Salaries</w:t>
            </w:r>
          </w:p>
        </w:tc>
        <w:tc>
          <w:tcPr>
            <w:tcW w:w="636" w:type="dxa"/>
            <w:noWrap/>
            <w:hideMark/>
          </w:tcPr>
          <w:p w:rsidR="00330956" w:rsidRPr="00330956" w14:paraId="035FD92C" w14:textId="77777777">
            <w:pPr>
              <w:contextualSpacing/>
              <w:rPr>
                <w:rFonts w:cstheme="minorHAnsi"/>
                <w:sz w:val="16"/>
                <w:szCs w:val="16"/>
              </w:rPr>
            </w:pPr>
            <w:r w:rsidRPr="00330956">
              <w:rPr>
                <w:rFonts w:cstheme="minorHAnsi"/>
                <w:sz w:val="16"/>
                <w:szCs w:val="16"/>
              </w:rPr>
              <w:t> </w:t>
            </w:r>
          </w:p>
        </w:tc>
        <w:tc>
          <w:tcPr>
            <w:tcW w:w="720" w:type="dxa"/>
            <w:noWrap/>
            <w:hideMark/>
          </w:tcPr>
          <w:p w:rsidR="00330956" w:rsidRPr="00330956" w14:paraId="0F1B2CC0" w14:textId="77777777">
            <w:pPr>
              <w:contextualSpacing/>
              <w:rPr>
                <w:rFonts w:cstheme="minorHAnsi"/>
                <w:sz w:val="16"/>
                <w:szCs w:val="16"/>
              </w:rPr>
            </w:pPr>
            <w:r w:rsidRPr="00330956">
              <w:rPr>
                <w:rFonts w:cstheme="minorHAnsi"/>
                <w:sz w:val="16"/>
                <w:szCs w:val="16"/>
              </w:rPr>
              <w:t> </w:t>
            </w:r>
          </w:p>
        </w:tc>
        <w:tc>
          <w:tcPr>
            <w:tcW w:w="720" w:type="dxa"/>
            <w:noWrap/>
            <w:hideMark/>
          </w:tcPr>
          <w:p w:rsidR="00330956" w:rsidRPr="00330956" w14:paraId="20908B55" w14:textId="77777777">
            <w:pPr>
              <w:contextualSpacing/>
              <w:rPr>
                <w:rFonts w:cstheme="minorHAnsi"/>
                <w:sz w:val="16"/>
                <w:szCs w:val="16"/>
              </w:rPr>
            </w:pPr>
            <w:r w:rsidRPr="00330956">
              <w:rPr>
                <w:rFonts w:cstheme="minorHAnsi"/>
                <w:sz w:val="16"/>
                <w:szCs w:val="16"/>
              </w:rPr>
              <w:t> </w:t>
            </w:r>
          </w:p>
        </w:tc>
        <w:tc>
          <w:tcPr>
            <w:tcW w:w="1080" w:type="dxa"/>
            <w:noWrap/>
            <w:hideMark/>
          </w:tcPr>
          <w:p w:rsidR="00330956" w:rsidRPr="00330956" w:rsidP="00330956" w14:paraId="643DFD97" w14:textId="77777777">
            <w:pPr>
              <w:contextualSpacing/>
              <w:rPr>
                <w:rFonts w:cstheme="minorHAnsi"/>
                <w:sz w:val="16"/>
                <w:szCs w:val="16"/>
              </w:rPr>
            </w:pPr>
            <w:r w:rsidRPr="00330956">
              <w:rPr>
                <w:rFonts w:cstheme="minorHAnsi"/>
                <w:sz w:val="16"/>
                <w:szCs w:val="16"/>
              </w:rPr>
              <w:t>$74.18</w:t>
            </w:r>
          </w:p>
        </w:tc>
        <w:tc>
          <w:tcPr>
            <w:tcW w:w="1080" w:type="dxa"/>
            <w:noWrap/>
            <w:hideMark/>
          </w:tcPr>
          <w:p w:rsidR="00330956" w:rsidRPr="00330956" w:rsidP="00330956" w14:paraId="39366F29" w14:textId="77777777">
            <w:pPr>
              <w:contextualSpacing/>
              <w:rPr>
                <w:rFonts w:cstheme="minorHAnsi"/>
                <w:sz w:val="16"/>
                <w:szCs w:val="16"/>
              </w:rPr>
            </w:pPr>
            <w:r w:rsidRPr="00330956">
              <w:rPr>
                <w:rFonts w:cstheme="minorHAnsi"/>
                <w:sz w:val="16"/>
                <w:szCs w:val="16"/>
              </w:rPr>
              <w:t>$76.41</w:t>
            </w:r>
          </w:p>
        </w:tc>
        <w:tc>
          <w:tcPr>
            <w:tcW w:w="1080" w:type="dxa"/>
            <w:noWrap/>
            <w:hideMark/>
          </w:tcPr>
          <w:p w:rsidR="00330956" w:rsidRPr="00330956" w:rsidP="00330956" w14:paraId="7853418C" w14:textId="77777777">
            <w:pPr>
              <w:contextualSpacing/>
              <w:rPr>
                <w:rFonts w:cstheme="minorHAnsi"/>
                <w:sz w:val="16"/>
                <w:szCs w:val="16"/>
              </w:rPr>
            </w:pPr>
            <w:r w:rsidRPr="00330956">
              <w:rPr>
                <w:rFonts w:cstheme="minorHAnsi"/>
                <w:sz w:val="16"/>
                <w:szCs w:val="16"/>
              </w:rPr>
              <w:t>$78.70</w:t>
            </w:r>
          </w:p>
        </w:tc>
        <w:tc>
          <w:tcPr>
            <w:tcW w:w="1080" w:type="dxa"/>
            <w:noWrap/>
            <w:hideMark/>
          </w:tcPr>
          <w:p w:rsidR="00330956" w:rsidRPr="00330956" w:rsidP="00330956" w14:paraId="2D0686E8" w14:textId="77777777">
            <w:pPr>
              <w:contextualSpacing/>
              <w:rPr>
                <w:rFonts w:cstheme="minorHAnsi"/>
                <w:sz w:val="16"/>
                <w:szCs w:val="16"/>
              </w:rPr>
            </w:pPr>
            <w:r w:rsidRPr="00330956">
              <w:rPr>
                <w:rFonts w:cstheme="minorHAnsi"/>
                <w:sz w:val="16"/>
                <w:szCs w:val="16"/>
              </w:rPr>
              <w:t>$81.06</w:t>
            </w:r>
          </w:p>
        </w:tc>
        <w:tc>
          <w:tcPr>
            <w:tcW w:w="1080" w:type="dxa"/>
            <w:noWrap/>
            <w:hideMark/>
          </w:tcPr>
          <w:p w:rsidR="00330956" w:rsidRPr="00330956" w:rsidP="00330956" w14:paraId="6E722D3F" w14:textId="77777777">
            <w:pPr>
              <w:contextualSpacing/>
              <w:rPr>
                <w:rFonts w:cstheme="minorHAnsi"/>
                <w:sz w:val="16"/>
                <w:szCs w:val="16"/>
              </w:rPr>
            </w:pPr>
            <w:r w:rsidRPr="00330956">
              <w:rPr>
                <w:rFonts w:cstheme="minorHAnsi"/>
                <w:sz w:val="16"/>
                <w:szCs w:val="16"/>
              </w:rPr>
              <w:t>$83.49</w:t>
            </w:r>
          </w:p>
        </w:tc>
        <w:tc>
          <w:tcPr>
            <w:tcW w:w="1170" w:type="dxa"/>
            <w:noWrap/>
            <w:hideMark/>
          </w:tcPr>
          <w:p w:rsidR="00330956" w:rsidRPr="00330956" w14:paraId="2D3EC838" w14:textId="77777777">
            <w:pPr>
              <w:contextualSpacing/>
              <w:rPr>
                <w:rFonts w:cstheme="minorHAnsi"/>
                <w:sz w:val="16"/>
                <w:szCs w:val="16"/>
              </w:rPr>
            </w:pPr>
            <w:r w:rsidRPr="00330956">
              <w:rPr>
                <w:rFonts w:cstheme="minorHAnsi"/>
                <w:sz w:val="16"/>
                <w:szCs w:val="16"/>
              </w:rPr>
              <w:t> </w:t>
            </w:r>
          </w:p>
        </w:tc>
      </w:tr>
      <w:tr w14:paraId="1D8282AF" w14:textId="77777777" w:rsidTr="00330956">
        <w:tblPrEx>
          <w:tblW w:w="9715" w:type="dxa"/>
          <w:tblLayout w:type="fixed"/>
          <w:tblLook w:val="04A0"/>
        </w:tblPrEx>
        <w:trPr>
          <w:trHeight w:val="290"/>
        </w:trPr>
        <w:tc>
          <w:tcPr>
            <w:tcW w:w="1069" w:type="dxa"/>
            <w:noWrap/>
            <w:hideMark/>
          </w:tcPr>
          <w:p w:rsidR="00330956" w:rsidRPr="00330956" w14:paraId="2CA29C69" w14:textId="77777777">
            <w:pPr>
              <w:contextualSpacing/>
              <w:rPr>
                <w:rFonts w:cstheme="minorHAnsi"/>
                <w:b/>
                <w:bCs/>
                <w:sz w:val="16"/>
                <w:szCs w:val="16"/>
              </w:rPr>
            </w:pPr>
            <w:r w:rsidRPr="00330956">
              <w:rPr>
                <w:rFonts w:cstheme="minorHAnsi"/>
                <w:b/>
                <w:bCs/>
                <w:sz w:val="16"/>
                <w:szCs w:val="16"/>
              </w:rPr>
              <w:t>COR</w:t>
            </w:r>
          </w:p>
        </w:tc>
        <w:tc>
          <w:tcPr>
            <w:tcW w:w="636" w:type="dxa"/>
            <w:noWrap/>
            <w:hideMark/>
          </w:tcPr>
          <w:p w:rsidR="00330956" w:rsidRPr="00330956" w:rsidP="00330956" w14:paraId="755724C2" w14:textId="77777777">
            <w:pPr>
              <w:contextualSpacing/>
              <w:rPr>
                <w:rFonts w:cstheme="minorHAnsi"/>
                <w:sz w:val="16"/>
                <w:szCs w:val="16"/>
              </w:rPr>
            </w:pPr>
            <w:r w:rsidRPr="00330956">
              <w:rPr>
                <w:rFonts w:cstheme="minorHAnsi"/>
                <w:sz w:val="16"/>
                <w:szCs w:val="16"/>
              </w:rPr>
              <w:t>0.08</w:t>
            </w:r>
          </w:p>
        </w:tc>
        <w:tc>
          <w:tcPr>
            <w:tcW w:w="720" w:type="dxa"/>
            <w:noWrap/>
            <w:hideMark/>
          </w:tcPr>
          <w:p w:rsidR="00330956" w:rsidRPr="00330956" w:rsidP="00330956" w14:paraId="2B2A24A8" w14:textId="77777777">
            <w:pPr>
              <w:contextualSpacing/>
              <w:rPr>
                <w:rFonts w:cstheme="minorHAnsi"/>
                <w:sz w:val="16"/>
                <w:szCs w:val="16"/>
              </w:rPr>
            </w:pPr>
            <w:r w:rsidRPr="00330956">
              <w:rPr>
                <w:rFonts w:cstheme="minorHAnsi"/>
                <w:sz w:val="16"/>
                <w:szCs w:val="16"/>
              </w:rPr>
              <w:t>167</w:t>
            </w:r>
          </w:p>
        </w:tc>
        <w:tc>
          <w:tcPr>
            <w:tcW w:w="720" w:type="dxa"/>
            <w:noWrap/>
            <w:hideMark/>
          </w:tcPr>
          <w:p w:rsidR="00330956" w:rsidRPr="00330956" w:rsidP="00330956" w14:paraId="0ACD1661" w14:textId="77777777">
            <w:pPr>
              <w:contextualSpacing/>
              <w:rPr>
                <w:rFonts w:cstheme="minorHAnsi"/>
                <w:sz w:val="16"/>
                <w:szCs w:val="16"/>
              </w:rPr>
            </w:pPr>
            <w:r w:rsidRPr="00330956">
              <w:rPr>
                <w:rFonts w:cstheme="minorHAnsi"/>
                <w:sz w:val="16"/>
                <w:szCs w:val="16"/>
              </w:rPr>
              <w:t>3</w:t>
            </w:r>
          </w:p>
        </w:tc>
        <w:tc>
          <w:tcPr>
            <w:tcW w:w="1080" w:type="dxa"/>
            <w:noWrap/>
            <w:hideMark/>
          </w:tcPr>
          <w:p w:rsidR="00330956" w:rsidRPr="00330956" w:rsidP="00330956" w14:paraId="78E03671" w14:textId="77777777">
            <w:pPr>
              <w:contextualSpacing/>
              <w:rPr>
                <w:rFonts w:cstheme="minorHAnsi"/>
                <w:sz w:val="16"/>
                <w:szCs w:val="16"/>
              </w:rPr>
            </w:pPr>
            <w:r w:rsidRPr="00330956">
              <w:rPr>
                <w:rFonts w:cstheme="minorHAnsi"/>
                <w:sz w:val="16"/>
                <w:szCs w:val="16"/>
              </w:rPr>
              <w:t>$12,385.09</w:t>
            </w:r>
          </w:p>
        </w:tc>
        <w:tc>
          <w:tcPr>
            <w:tcW w:w="1080" w:type="dxa"/>
            <w:noWrap/>
            <w:hideMark/>
          </w:tcPr>
          <w:p w:rsidR="00330956" w:rsidRPr="00330956" w:rsidP="00330956" w14:paraId="4C957786" w14:textId="77777777">
            <w:pPr>
              <w:contextualSpacing/>
              <w:rPr>
                <w:rFonts w:cstheme="minorHAnsi"/>
                <w:sz w:val="16"/>
                <w:szCs w:val="16"/>
              </w:rPr>
            </w:pPr>
            <w:r w:rsidRPr="00330956">
              <w:rPr>
                <w:rFonts w:cstheme="minorHAnsi"/>
                <w:sz w:val="16"/>
                <w:szCs w:val="16"/>
              </w:rPr>
              <w:t>$12,756.65</w:t>
            </w:r>
          </w:p>
        </w:tc>
        <w:tc>
          <w:tcPr>
            <w:tcW w:w="1080" w:type="dxa"/>
            <w:noWrap/>
            <w:hideMark/>
          </w:tcPr>
          <w:p w:rsidR="00330956" w:rsidRPr="00330956" w:rsidP="00330956" w14:paraId="1D172DDE" w14:textId="77777777">
            <w:pPr>
              <w:contextualSpacing/>
              <w:rPr>
                <w:rFonts w:cstheme="minorHAnsi"/>
                <w:sz w:val="16"/>
                <w:szCs w:val="16"/>
              </w:rPr>
            </w:pPr>
            <w:r w:rsidRPr="00330956">
              <w:rPr>
                <w:rFonts w:cstheme="minorHAnsi"/>
                <w:sz w:val="16"/>
                <w:szCs w:val="16"/>
              </w:rPr>
              <w:t>$13,139.34</w:t>
            </w:r>
          </w:p>
        </w:tc>
        <w:tc>
          <w:tcPr>
            <w:tcW w:w="1080" w:type="dxa"/>
            <w:noWrap/>
            <w:hideMark/>
          </w:tcPr>
          <w:p w:rsidR="00330956" w:rsidRPr="00330956" w:rsidP="00330956" w14:paraId="1D475D7D" w14:textId="77777777">
            <w:pPr>
              <w:contextualSpacing/>
              <w:rPr>
                <w:rFonts w:cstheme="minorHAnsi"/>
                <w:sz w:val="16"/>
                <w:szCs w:val="16"/>
              </w:rPr>
            </w:pPr>
            <w:r w:rsidRPr="00330956">
              <w:rPr>
                <w:rFonts w:cstheme="minorHAnsi"/>
                <w:sz w:val="16"/>
                <w:szCs w:val="16"/>
              </w:rPr>
              <w:t>$13,533.53</w:t>
            </w:r>
          </w:p>
        </w:tc>
        <w:tc>
          <w:tcPr>
            <w:tcW w:w="1080" w:type="dxa"/>
            <w:noWrap/>
            <w:hideMark/>
          </w:tcPr>
          <w:p w:rsidR="00330956" w:rsidRPr="00330956" w:rsidP="00330956" w14:paraId="55DA54F5" w14:textId="77777777">
            <w:pPr>
              <w:contextualSpacing/>
              <w:rPr>
                <w:rFonts w:cstheme="minorHAnsi"/>
                <w:sz w:val="16"/>
                <w:szCs w:val="16"/>
              </w:rPr>
            </w:pPr>
            <w:r w:rsidRPr="00330956">
              <w:rPr>
                <w:rFonts w:cstheme="minorHAnsi"/>
                <w:sz w:val="16"/>
                <w:szCs w:val="16"/>
              </w:rPr>
              <w:t>$13,939.53</w:t>
            </w:r>
          </w:p>
        </w:tc>
        <w:tc>
          <w:tcPr>
            <w:tcW w:w="1170" w:type="dxa"/>
            <w:noWrap/>
            <w:hideMark/>
          </w:tcPr>
          <w:p w:rsidR="00330956" w:rsidRPr="00330956" w:rsidP="00330956" w14:paraId="33FA1EF6" w14:textId="77777777">
            <w:pPr>
              <w:contextualSpacing/>
              <w:rPr>
                <w:rFonts w:cstheme="minorHAnsi"/>
                <w:sz w:val="16"/>
                <w:szCs w:val="16"/>
              </w:rPr>
            </w:pPr>
            <w:r w:rsidRPr="00330956">
              <w:rPr>
                <w:rFonts w:cstheme="minorHAnsi"/>
                <w:sz w:val="16"/>
                <w:szCs w:val="16"/>
              </w:rPr>
              <w:t>$65,754.14</w:t>
            </w:r>
          </w:p>
        </w:tc>
      </w:tr>
      <w:tr w14:paraId="48BEF8DA" w14:textId="77777777" w:rsidTr="00330956">
        <w:tblPrEx>
          <w:tblW w:w="9715" w:type="dxa"/>
          <w:tblLayout w:type="fixed"/>
          <w:tblLook w:val="04A0"/>
        </w:tblPrEx>
        <w:trPr>
          <w:trHeight w:val="290"/>
        </w:trPr>
        <w:tc>
          <w:tcPr>
            <w:tcW w:w="1069" w:type="dxa"/>
            <w:noWrap/>
            <w:hideMark/>
          </w:tcPr>
          <w:p w:rsidR="00330956" w:rsidRPr="00330956" w14:paraId="32DC39B5" w14:textId="77777777">
            <w:pPr>
              <w:contextualSpacing/>
              <w:rPr>
                <w:rFonts w:cstheme="minorHAnsi"/>
                <w:b/>
                <w:bCs/>
                <w:sz w:val="16"/>
                <w:szCs w:val="16"/>
              </w:rPr>
            </w:pPr>
            <w:r w:rsidRPr="00330956">
              <w:rPr>
                <w:rFonts w:cstheme="minorHAnsi"/>
                <w:b/>
                <w:bCs/>
                <w:sz w:val="16"/>
                <w:szCs w:val="16"/>
              </w:rPr>
              <w:t>ACOR</w:t>
            </w:r>
          </w:p>
        </w:tc>
        <w:tc>
          <w:tcPr>
            <w:tcW w:w="636" w:type="dxa"/>
            <w:noWrap/>
            <w:hideMark/>
          </w:tcPr>
          <w:p w:rsidR="00330956" w:rsidRPr="00330956" w:rsidP="00330956" w14:paraId="459EAF31" w14:textId="77777777">
            <w:pPr>
              <w:contextualSpacing/>
              <w:rPr>
                <w:rFonts w:cstheme="minorHAnsi"/>
                <w:sz w:val="16"/>
                <w:szCs w:val="16"/>
              </w:rPr>
            </w:pPr>
            <w:r w:rsidRPr="00330956">
              <w:rPr>
                <w:rFonts w:cstheme="minorHAnsi"/>
                <w:sz w:val="16"/>
                <w:szCs w:val="16"/>
              </w:rPr>
              <w:t>0.07</w:t>
            </w:r>
          </w:p>
        </w:tc>
        <w:tc>
          <w:tcPr>
            <w:tcW w:w="720" w:type="dxa"/>
            <w:noWrap/>
            <w:hideMark/>
          </w:tcPr>
          <w:p w:rsidR="00330956" w:rsidRPr="00330956" w:rsidP="00330956" w14:paraId="73B3CDDA" w14:textId="77777777">
            <w:pPr>
              <w:contextualSpacing/>
              <w:rPr>
                <w:rFonts w:cstheme="minorHAnsi"/>
                <w:sz w:val="16"/>
                <w:szCs w:val="16"/>
              </w:rPr>
            </w:pPr>
            <w:r w:rsidRPr="00330956">
              <w:rPr>
                <w:rFonts w:cstheme="minorHAnsi"/>
                <w:sz w:val="16"/>
                <w:szCs w:val="16"/>
              </w:rPr>
              <w:t>146</w:t>
            </w:r>
          </w:p>
        </w:tc>
        <w:tc>
          <w:tcPr>
            <w:tcW w:w="720" w:type="dxa"/>
            <w:noWrap/>
            <w:hideMark/>
          </w:tcPr>
          <w:p w:rsidR="00330956" w:rsidRPr="00330956" w:rsidP="00330956" w14:paraId="53ED2958" w14:textId="77777777">
            <w:pPr>
              <w:contextualSpacing/>
              <w:rPr>
                <w:rFonts w:cstheme="minorHAnsi"/>
                <w:sz w:val="16"/>
                <w:szCs w:val="16"/>
              </w:rPr>
            </w:pPr>
            <w:r w:rsidRPr="00330956">
              <w:rPr>
                <w:rFonts w:cstheme="minorHAnsi"/>
                <w:sz w:val="16"/>
                <w:szCs w:val="16"/>
              </w:rPr>
              <w:t>3</w:t>
            </w:r>
          </w:p>
        </w:tc>
        <w:tc>
          <w:tcPr>
            <w:tcW w:w="1080" w:type="dxa"/>
            <w:noWrap/>
            <w:hideMark/>
          </w:tcPr>
          <w:p w:rsidR="00330956" w:rsidRPr="00330956" w:rsidP="00330956" w14:paraId="4C57E644" w14:textId="77777777">
            <w:pPr>
              <w:contextualSpacing/>
              <w:rPr>
                <w:rFonts w:cstheme="minorHAnsi"/>
                <w:sz w:val="16"/>
                <w:szCs w:val="16"/>
              </w:rPr>
            </w:pPr>
            <w:r w:rsidRPr="00330956">
              <w:rPr>
                <w:rFonts w:cstheme="minorHAnsi"/>
                <w:sz w:val="16"/>
                <w:szCs w:val="16"/>
              </w:rPr>
              <w:t>$10,836.96</w:t>
            </w:r>
          </w:p>
        </w:tc>
        <w:tc>
          <w:tcPr>
            <w:tcW w:w="1080" w:type="dxa"/>
            <w:noWrap/>
            <w:hideMark/>
          </w:tcPr>
          <w:p w:rsidR="00330956" w:rsidRPr="00330956" w:rsidP="00330956" w14:paraId="63299B9D" w14:textId="77777777">
            <w:pPr>
              <w:contextualSpacing/>
              <w:rPr>
                <w:rFonts w:cstheme="minorHAnsi"/>
                <w:sz w:val="16"/>
                <w:szCs w:val="16"/>
              </w:rPr>
            </w:pPr>
            <w:r w:rsidRPr="00330956">
              <w:rPr>
                <w:rFonts w:cstheme="minorHAnsi"/>
                <w:sz w:val="16"/>
                <w:szCs w:val="16"/>
              </w:rPr>
              <w:t>$11,162.06</w:t>
            </w:r>
          </w:p>
        </w:tc>
        <w:tc>
          <w:tcPr>
            <w:tcW w:w="1080" w:type="dxa"/>
            <w:noWrap/>
            <w:hideMark/>
          </w:tcPr>
          <w:p w:rsidR="00330956" w:rsidRPr="00330956" w:rsidP="00330956" w14:paraId="4E43B8DD" w14:textId="77777777">
            <w:pPr>
              <w:contextualSpacing/>
              <w:rPr>
                <w:rFonts w:cstheme="minorHAnsi"/>
                <w:sz w:val="16"/>
                <w:szCs w:val="16"/>
              </w:rPr>
            </w:pPr>
            <w:r w:rsidRPr="00330956">
              <w:rPr>
                <w:rFonts w:cstheme="minorHAnsi"/>
                <w:sz w:val="16"/>
                <w:szCs w:val="16"/>
              </w:rPr>
              <w:t>$11,496.93</w:t>
            </w:r>
          </w:p>
        </w:tc>
        <w:tc>
          <w:tcPr>
            <w:tcW w:w="1080" w:type="dxa"/>
            <w:noWrap/>
            <w:hideMark/>
          </w:tcPr>
          <w:p w:rsidR="00330956" w:rsidRPr="00330956" w:rsidP="00330956" w14:paraId="1717E688" w14:textId="77777777">
            <w:pPr>
              <w:contextualSpacing/>
              <w:rPr>
                <w:rFonts w:cstheme="minorHAnsi"/>
                <w:sz w:val="16"/>
                <w:szCs w:val="16"/>
              </w:rPr>
            </w:pPr>
            <w:r w:rsidRPr="00330956">
              <w:rPr>
                <w:rFonts w:cstheme="minorHAnsi"/>
                <w:sz w:val="16"/>
                <w:szCs w:val="16"/>
              </w:rPr>
              <w:t>$11,841.83</w:t>
            </w:r>
          </w:p>
        </w:tc>
        <w:tc>
          <w:tcPr>
            <w:tcW w:w="1080" w:type="dxa"/>
            <w:noWrap/>
            <w:hideMark/>
          </w:tcPr>
          <w:p w:rsidR="00330956" w:rsidRPr="00330956" w:rsidP="00330956" w14:paraId="0AF3A6A2" w14:textId="77777777">
            <w:pPr>
              <w:contextualSpacing/>
              <w:rPr>
                <w:rFonts w:cstheme="minorHAnsi"/>
                <w:sz w:val="16"/>
                <w:szCs w:val="16"/>
              </w:rPr>
            </w:pPr>
            <w:r w:rsidRPr="00330956">
              <w:rPr>
                <w:rFonts w:cstheme="minorHAnsi"/>
                <w:sz w:val="16"/>
                <w:szCs w:val="16"/>
              </w:rPr>
              <w:t>$12,197.09</w:t>
            </w:r>
          </w:p>
        </w:tc>
        <w:tc>
          <w:tcPr>
            <w:tcW w:w="1170" w:type="dxa"/>
            <w:noWrap/>
            <w:hideMark/>
          </w:tcPr>
          <w:p w:rsidR="00330956" w:rsidRPr="00330956" w:rsidP="00330956" w14:paraId="404C434F" w14:textId="77777777">
            <w:pPr>
              <w:contextualSpacing/>
              <w:rPr>
                <w:rFonts w:cstheme="minorHAnsi"/>
                <w:sz w:val="16"/>
                <w:szCs w:val="16"/>
              </w:rPr>
            </w:pPr>
            <w:r w:rsidRPr="00330956">
              <w:rPr>
                <w:rFonts w:cstheme="minorHAnsi"/>
                <w:sz w:val="16"/>
                <w:szCs w:val="16"/>
              </w:rPr>
              <w:t>$57,534.87</w:t>
            </w:r>
          </w:p>
        </w:tc>
      </w:tr>
      <w:tr w14:paraId="714ACBEC" w14:textId="77777777" w:rsidTr="00330956">
        <w:tblPrEx>
          <w:tblW w:w="9715" w:type="dxa"/>
          <w:tblLayout w:type="fixed"/>
          <w:tblLook w:val="04A0"/>
        </w:tblPrEx>
        <w:trPr>
          <w:trHeight w:val="290"/>
        </w:trPr>
        <w:tc>
          <w:tcPr>
            <w:tcW w:w="1069" w:type="dxa"/>
            <w:noWrap/>
            <w:hideMark/>
          </w:tcPr>
          <w:p w:rsidR="00330956" w:rsidRPr="00330956" w14:paraId="615DA427" w14:textId="77777777">
            <w:pPr>
              <w:contextualSpacing/>
              <w:rPr>
                <w:rFonts w:cstheme="minorHAnsi"/>
                <w:b/>
                <w:bCs/>
                <w:sz w:val="16"/>
                <w:szCs w:val="16"/>
              </w:rPr>
            </w:pPr>
            <w:r w:rsidRPr="00330956">
              <w:rPr>
                <w:rFonts w:cstheme="minorHAnsi"/>
                <w:b/>
                <w:bCs/>
                <w:sz w:val="16"/>
                <w:szCs w:val="16"/>
              </w:rPr>
              <w:t>Contractor Costs</w:t>
            </w:r>
          </w:p>
        </w:tc>
        <w:tc>
          <w:tcPr>
            <w:tcW w:w="636" w:type="dxa"/>
            <w:noWrap/>
            <w:hideMark/>
          </w:tcPr>
          <w:p w:rsidR="00330956" w:rsidRPr="00330956" w14:paraId="606F47A7" w14:textId="77777777">
            <w:pPr>
              <w:contextualSpacing/>
              <w:rPr>
                <w:rFonts w:cstheme="minorHAnsi"/>
                <w:sz w:val="16"/>
                <w:szCs w:val="16"/>
              </w:rPr>
            </w:pPr>
            <w:r w:rsidRPr="00330956">
              <w:rPr>
                <w:rFonts w:cstheme="minorHAnsi"/>
                <w:sz w:val="16"/>
                <w:szCs w:val="16"/>
              </w:rPr>
              <w:t> </w:t>
            </w:r>
          </w:p>
        </w:tc>
        <w:tc>
          <w:tcPr>
            <w:tcW w:w="720" w:type="dxa"/>
            <w:noWrap/>
            <w:hideMark/>
          </w:tcPr>
          <w:p w:rsidR="00330956" w:rsidRPr="00330956" w14:paraId="281CC98E" w14:textId="77777777">
            <w:pPr>
              <w:contextualSpacing/>
              <w:rPr>
                <w:rFonts w:cstheme="minorHAnsi"/>
                <w:sz w:val="16"/>
                <w:szCs w:val="16"/>
              </w:rPr>
            </w:pPr>
            <w:r w:rsidRPr="00330956">
              <w:rPr>
                <w:rFonts w:cstheme="minorHAnsi"/>
                <w:sz w:val="16"/>
                <w:szCs w:val="16"/>
              </w:rPr>
              <w:t> </w:t>
            </w:r>
          </w:p>
        </w:tc>
        <w:tc>
          <w:tcPr>
            <w:tcW w:w="720" w:type="dxa"/>
            <w:noWrap/>
            <w:hideMark/>
          </w:tcPr>
          <w:p w:rsidR="00330956" w:rsidRPr="00330956" w14:paraId="736D1809" w14:textId="77777777">
            <w:pPr>
              <w:contextualSpacing/>
              <w:rPr>
                <w:rFonts w:cstheme="minorHAnsi"/>
                <w:sz w:val="16"/>
                <w:szCs w:val="16"/>
              </w:rPr>
            </w:pPr>
            <w:r w:rsidRPr="00330956">
              <w:rPr>
                <w:rFonts w:cstheme="minorHAnsi"/>
                <w:sz w:val="16"/>
                <w:szCs w:val="16"/>
              </w:rPr>
              <w:t> </w:t>
            </w:r>
          </w:p>
        </w:tc>
        <w:tc>
          <w:tcPr>
            <w:tcW w:w="1080" w:type="dxa"/>
            <w:noWrap/>
            <w:hideMark/>
          </w:tcPr>
          <w:p w:rsidR="00330956" w:rsidRPr="00330956" w:rsidP="00330956" w14:paraId="3B400E1A" w14:textId="77777777">
            <w:pPr>
              <w:contextualSpacing/>
              <w:rPr>
                <w:rFonts w:cstheme="minorHAnsi"/>
                <w:sz w:val="16"/>
                <w:szCs w:val="16"/>
              </w:rPr>
            </w:pPr>
            <w:r w:rsidRPr="00330956">
              <w:rPr>
                <w:rFonts w:cstheme="minorHAnsi"/>
                <w:sz w:val="16"/>
                <w:szCs w:val="16"/>
              </w:rPr>
              <w:t>$487,784.20</w:t>
            </w:r>
          </w:p>
        </w:tc>
        <w:tc>
          <w:tcPr>
            <w:tcW w:w="1080" w:type="dxa"/>
            <w:noWrap/>
            <w:hideMark/>
          </w:tcPr>
          <w:p w:rsidR="00330956" w:rsidRPr="00330956" w:rsidP="00330956" w14:paraId="2369C69A" w14:textId="77777777">
            <w:pPr>
              <w:contextualSpacing/>
              <w:rPr>
                <w:rFonts w:cstheme="minorHAnsi"/>
                <w:sz w:val="16"/>
                <w:szCs w:val="16"/>
              </w:rPr>
            </w:pPr>
            <w:r w:rsidRPr="00330956">
              <w:rPr>
                <w:rFonts w:cstheme="minorHAnsi"/>
                <w:sz w:val="16"/>
                <w:szCs w:val="16"/>
              </w:rPr>
              <w:t>$487,784.20</w:t>
            </w:r>
          </w:p>
        </w:tc>
        <w:tc>
          <w:tcPr>
            <w:tcW w:w="1080" w:type="dxa"/>
            <w:noWrap/>
            <w:hideMark/>
          </w:tcPr>
          <w:p w:rsidR="00330956" w:rsidRPr="00330956" w:rsidP="00330956" w14:paraId="2BF4BC8A" w14:textId="77777777">
            <w:pPr>
              <w:contextualSpacing/>
              <w:rPr>
                <w:rFonts w:cstheme="minorHAnsi"/>
                <w:sz w:val="16"/>
                <w:szCs w:val="16"/>
              </w:rPr>
            </w:pPr>
            <w:r w:rsidRPr="00330956">
              <w:rPr>
                <w:rFonts w:cstheme="minorHAnsi"/>
                <w:sz w:val="16"/>
                <w:szCs w:val="16"/>
              </w:rPr>
              <w:t>$487,784.20</w:t>
            </w:r>
          </w:p>
        </w:tc>
        <w:tc>
          <w:tcPr>
            <w:tcW w:w="1080" w:type="dxa"/>
            <w:noWrap/>
            <w:hideMark/>
          </w:tcPr>
          <w:p w:rsidR="00330956" w:rsidRPr="00330956" w:rsidP="00330956" w14:paraId="66F1D59E" w14:textId="77777777">
            <w:pPr>
              <w:contextualSpacing/>
              <w:rPr>
                <w:rFonts w:cstheme="minorHAnsi"/>
                <w:sz w:val="16"/>
                <w:szCs w:val="16"/>
              </w:rPr>
            </w:pPr>
            <w:r w:rsidRPr="00330956">
              <w:rPr>
                <w:rFonts w:cstheme="minorHAnsi"/>
                <w:sz w:val="16"/>
                <w:szCs w:val="16"/>
              </w:rPr>
              <w:t>$511,945.20</w:t>
            </w:r>
          </w:p>
        </w:tc>
        <w:tc>
          <w:tcPr>
            <w:tcW w:w="1080" w:type="dxa"/>
            <w:noWrap/>
            <w:hideMark/>
          </w:tcPr>
          <w:p w:rsidR="00330956" w:rsidRPr="00330956" w:rsidP="00330956" w14:paraId="669D0648" w14:textId="77777777">
            <w:pPr>
              <w:contextualSpacing/>
              <w:rPr>
                <w:rFonts w:cstheme="minorHAnsi"/>
                <w:sz w:val="16"/>
                <w:szCs w:val="16"/>
              </w:rPr>
            </w:pPr>
            <w:r w:rsidRPr="00330956">
              <w:rPr>
                <w:rFonts w:cstheme="minorHAnsi"/>
                <w:sz w:val="16"/>
                <w:szCs w:val="16"/>
              </w:rPr>
              <w:t>$524,701.20</w:t>
            </w:r>
          </w:p>
        </w:tc>
        <w:tc>
          <w:tcPr>
            <w:tcW w:w="1170" w:type="dxa"/>
            <w:noWrap/>
            <w:hideMark/>
          </w:tcPr>
          <w:p w:rsidR="00330956" w:rsidRPr="00330956" w:rsidP="00330956" w14:paraId="3106E9F9" w14:textId="77777777">
            <w:pPr>
              <w:contextualSpacing/>
              <w:rPr>
                <w:rFonts w:cstheme="minorHAnsi"/>
                <w:sz w:val="16"/>
                <w:szCs w:val="16"/>
              </w:rPr>
            </w:pPr>
            <w:r w:rsidRPr="00330956">
              <w:rPr>
                <w:rFonts w:cstheme="minorHAnsi"/>
                <w:sz w:val="16"/>
                <w:szCs w:val="16"/>
              </w:rPr>
              <w:t>$2,499,999.00</w:t>
            </w:r>
          </w:p>
        </w:tc>
      </w:tr>
      <w:tr w14:paraId="7B79EE88" w14:textId="77777777" w:rsidTr="00330956">
        <w:tblPrEx>
          <w:tblW w:w="9715" w:type="dxa"/>
          <w:tblLayout w:type="fixed"/>
          <w:tblLook w:val="04A0"/>
        </w:tblPrEx>
        <w:trPr>
          <w:trHeight w:val="290"/>
        </w:trPr>
        <w:tc>
          <w:tcPr>
            <w:tcW w:w="1069" w:type="dxa"/>
            <w:noWrap/>
            <w:hideMark/>
          </w:tcPr>
          <w:p w:rsidR="00330956" w:rsidRPr="00330956" w14:paraId="5D7E0E19" w14:textId="77777777">
            <w:pPr>
              <w:contextualSpacing/>
              <w:rPr>
                <w:rFonts w:cstheme="minorHAnsi"/>
                <w:b/>
                <w:bCs/>
                <w:sz w:val="16"/>
                <w:szCs w:val="16"/>
              </w:rPr>
            </w:pPr>
            <w:r w:rsidRPr="00330956">
              <w:rPr>
                <w:rFonts w:cstheme="minorHAnsi"/>
                <w:b/>
                <w:bCs/>
                <w:sz w:val="16"/>
                <w:szCs w:val="16"/>
              </w:rPr>
              <w:t>Total Annualize Cost</w:t>
            </w:r>
          </w:p>
        </w:tc>
        <w:tc>
          <w:tcPr>
            <w:tcW w:w="636" w:type="dxa"/>
            <w:noWrap/>
            <w:hideMark/>
          </w:tcPr>
          <w:p w:rsidR="00330956" w:rsidRPr="00330956" w14:paraId="47EFCE8A" w14:textId="77777777">
            <w:pPr>
              <w:contextualSpacing/>
              <w:rPr>
                <w:rFonts w:cstheme="minorHAnsi"/>
                <w:b/>
                <w:bCs/>
                <w:sz w:val="16"/>
                <w:szCs w:val="16"/>
              </w:rPr>
            </w:pPr>
            <w:r w:rsidRPr="00330956">
              <w:rPr>
                <w:rFonts w:cstheme="minorHAnsi"/>
                <w:b/>
                <w:bCs/>
                <w:sz w:val="16"/>
                <w:szCs w:val="16"/>
              </w:rPr>
              <w:t> </w:t>
            </w:r>
          </w:p>
        </w:tc>
        <w:tc>
          <w:tcPr>
            <w:tcW w:w="720" w:type="dxa"/>
            <w:noWrap/>
            <w:hideMark/>
          </w:tcPr>
          <w:p w:rsidR="00330956" w:rsidRPr="00330956" w:rsidP="00330956" w14:paraId="55D36ED4" w14:textId="77777777">
            <w:pPr>
              <w:contextualSpacing/>
              <w:rPr>
                <w:rFonts w:cstheme="minorHAnsi"/>
                <w:b/>
                <w:bCs/>
                <w:sz w:val="16"/>
                <w:szCs w:val="16"/>
              </w:rPr>
            </w:pPr>
            <w:r w:rsidRPr="00330956">
              <w:rPr>
                <w:rFonts w:cstheme="minorHAnsi"/>
                <w:b/>
                <w:bCs/>
                <w:sz w:val="16"/>
                <w:szCs w:val="16"/>
              </w:rPr>
              <w:t>313</w:t>
            </w:r>
          </w:p>
        </w:tc>
        <w:tc>
          <w:tcPr>
            <w:tcW w:w="720" w:type="dxa"/>
            <w:noWrap/>
            <w:hideMark/>
          </w:tcPr>
          <w:p w:rsidR="00330956" w:rsidRPr="00330956" w14:paraId="2B4FAE08" w14:textId="77777777">
            <w:pPr>
              <w:contextualSpacing/>
              <w:rPr>
                <w:rFonts w:cstheme="minorHAnsi"/>
                <w:b/>
                <w:bCs/>
                <w:sz w:val="16"/>
                <w:szCs w:val="16"/>
              </w:rPr>
            </w:pPr>
            <w:r w:rsidRPr="00330956">
              <w:rPr>
                <w:rFonts w:cstheme="minorHAnsi"/>
                <w:b/>
                <w:bCs/>
                <w:sz w:val="16"/>
                <w:szCs w:val="16"/>
              </w:rPr>
              <w:t> </w:t>
            </w:r>
          </w:p>
        </w:tc>
        <w:tc>
          <w:tcPr>
            <w:tcW w:w="1080" w:type="dxa"/>
            <w:noWrap/>
            <w:hideMark/>
          </w:tcPr>
          <w:p w:rsidR="00330956" w:rsidRPr="00330956" w:rsidP="00330956" w14:paraId="2AD43BC7" w14:textId="77777777">
            <w:pPr>
              <w:contextualSpacing/>
              <w:rPr>
                <w:rFonts w:cstheme="minorHAnsi"/>
                <w:b/>
                <w:bCs/>
                <w:sz w:val="16"/>
                <w:szCs w:val="16"/>
              </w:rPr>
            </w:pPr>
            <w:r w:rsidRPr="00330956">
              <w:rPr>
                <w:rFonts w:cstheme="minorHAnsi"/>
                <w:b/>
                <w:bCs/>
                <w:sz w:val="16"/>
                <w:szCs w:val="16"/>
              </w:rPr>
              <w:t>$511,006.25</w:t>
            </w:r>
          </w:p>
        </w:tc>
        <w:tc>
          <w:tcPr>
            <w:tcW w:w="1080" w:type="dxa"/>
            <w:noWrap/>
            <w:hideMark/>
          </w:tcPr>
          <w:p w:rsidR="00330956" w:rsidRPr="00330956" w:rsidP="00330956" w14:paraId="2B061716" w14:textId="77777777">
            <w:pPr>
              <w:contextualSpacing/>
              <w:rPr>
                <w:rFonts w:cstheme="minorHAnsi"/>
                <w:b/>
                <w:bCs/>
                <w:sz w:val="16"/>
                <w:szCs w:val="16"/>
              </w:rPr>
            </w:pPr>
            <w:r w:rsidRPr="00330956">
              <w:rPr>
                <w:rFonts w:cstheme="minorHAnsi"/>
                <w:b/>
                <w:bCs/>
                <w:sz w:val="16"/>
                <w:szCs w:val="16"/>
              </w:rPr>
              <w:t>$511,702.91</w:t>
            </w:r>
          </w:p>
        </w:tc>
        <w:tc>
          <w:tcPr>
            <w:tcW w:w="1080" w:type="dxa"/>
            <w:noWrap/>
            <w:hideMark/>
          </w:tcPr>
          <w:p w:rsidR="00330956" w:rsidRPr="00330956" w:rsidP="00330956" w14:paraId="23B08002" w14:textId="77777777">
            <w:pPr>
              <w:contextualSpacing/>
              <w:rPr>
                <w:rFonts w:cstheme="minorHAnsi"/>
                <w:b/>
                <w:bCs/>
                <w:sz w:val="16"/>
                <w:szCs w:val="16"/>
              </w:rPr>
            </w:pPr>
            <w:r w:rsidRPr="00330956">
              <w:rPr>
                <w:rFonts w:cstheme="minorHAnsi"/>
                <w:b/>
                <w:bCs/>
                <w:sz w:val="16"/>
                <w:szCs w:val="16"/>
              </w:rPr>
              <w:t>$512,420.47</w:t>
            </w:r>
          </w:p>
        </w:tc>
        <w:tc>
          <w:tcPr>
            <w:tcW w:w="1080" w:type="dxa"/>
            <w:noWrap/>
            <w:hideMark/>
          </w:tcPr>
          <w:p w:rsidR="00330956" w:rsidRPr="00330956" w:rsidP="00330956" w14:paraId="452B9E79" w14:textId="77777777">
            <w:pPr>
              <w:contextualSpacing/>
              <w:rPr>
                <w:rFonts w:cstheme="minorHAnsi"/>
                <w:b/>
                <w:bCs/>
                <w:sz w:val="16"/>
                <w:szCs w:val="16"/>
              </w:rPr>
            </w:pPr>
            <w:r w:rsidRPr="00330956">
              <w:rPr>
                <w:rFonts w:cstheme="minorHAnsi"/>
                <w:b/>
                <w:bCs/>
                <w:sz w:val="16"/>
                <w:szCs w:val="16"/>
              </w:rPr>
              <w:t>$537,320.56</w:t>
            </w:r>
          </w:p>
        </w:tc>
        <w:tc>
          <w:tcPr>
            <w:tcW w:w="1080" w:type="dxa"/>
            <w:noWrap/>
            <w:hideMark/>
          </w:tcPr>
          <w:p w:rsidR="00330956" w:rsidRPr="00330956" w:rsidP="00330956" w14:paraId="356B6851" w14:textId="77777777">
            <w:pPr>
              <w:contextualSpacing/>
              <w:rPr>
                <w:rFonts w:cstheme="minorHAnsi"/>
                <w:b/>
                <w:bCs/>
                <w:sz w:val="16"/>
                <w:szCs w:val="16"/>
              </w:rPr>
            </w:pPr>
            <w:r w:rsidRPr="00330956">
              <w:rPr>
                <w:rFonts w:cstheme="minorHAnsi"/>
                <w:b/>
                <w:bCs/>
                <w:sz w:val="16"/>
                <w:szCs w:val="16"/>
              </w:rPr>
              <w:t>$550,837.82</w:t>
            </w:r>
          </w:p>
        </w:tc>
        <w:tc>
          <w:tcPr>
            <w:tcW w:w="1170" w:type="dxa"/>
            <w:noWrap/>
            <w:hideMark/>
          </w:tcPr>
          <w:p w:rsidR="00330956" w:rsidRPr="00330956" w:rsidP="00330956" w14:paraId="748DB587" w14:textId="77777777">
            <w:pPr>
              <w:contextualSpacing/>
              <w:rPr>
                <w:rFonts w:cstheme="minorHAnsi"/>
                <w:b/>
                <w:bCs/>
                <w:sz w:val="16"/>
                <w:szCs w:val="16"/>
              </w:rPr>
            </w:pPr>
            <w:r w:rsidRPr="00330956">
              <w:rPr>
                <w:rFonts w:cstheme="minorHAnsi"/>
                <w:b/>
                <w:bCs/>
                <w:sz w:val="16"/>
                <w:szCs w:val="16"/>
              </w:rPr>
              <w:t>$2,623,288.01</w:t>
            </w:r>
          </w:p>
        </w:tc>
      </w:tr>
    </w:tbl>
    <w:p w:rsidR="008B0BA4" w:rsidRPr="00DF3DC9" w:rsidP="00330956" w14:paraId="20DCE4D0" w14:textId="77777777">
      <w:pPr>
        <w:contextualSpacing/>
        <w:rPr>
          <w:rFonts w:cs="Times New Roman"/>
          <w:szCs w:val="24"/>
        </w:rPr>
      </w:pPr>
    </w:p>
    <w:p w:rsidR="00DF3DC9" w:rsidRPr="006C5FBF" w:rsidP="00DF3DC9" w14:paraId="7B4B1388" w14:textId="77777777">
      <w:pPr>
        <w:numPr>
          <w:ilvl w:val="0"/>
          <w:numId w:val="1"/>
        </w:numPr>
        <w:autoSpaceDE w:val="0"/>
        <w:autoSpaceDN w:val="0"/>
        <w:adjustRightInd w:val="0"/>
        <w:spacing w:after="0" w:line="240" w:lineRule="auto"/>
        <w:contextualSpacing/>
        <w:rPr>
          <w:rFonts w:cs="Times New Roman"/>
          <w:b/>
        </w:rPr>
      </w:pPr>
      <w:bookmarkStart w:id="25" w:name="_Hlk63087643"/>
      <w:bookmarkStart w:id="26" w:name="_Hlk51332149"/>
      <w:r w:rsidRPr="006C5FBF">
        <w:rPr>
          <w:rFonts w:cs="Times New Roman"/>
          <w:b/>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Pr="006C5FBF" w:rsidR="00F7768F">
        <w:rPr>
          <w:rFonts w:cs="Times New Roman"/>
          <w:b/>
        </w:rPr>
        <w:t xml:space="preserve">. </w:t>
      </w:r>
      <w:bookmarkEnd w:id="25"/>
      <w:r w:rsidRPr="006C5FBF">
        <w:rPr>
          <w:rFonts w:cs="Times New Roman"/>
          <w:b/>
        </w:rPr>
        <w:t xml:space="preserve"> </w:t>
      </w:r>
    </w:p>
    <w:bookmarkEnd w:id="26"/>
    <w:p w:rsidR="00DF3DC9" w:rsidRPr="006C5FBF" w:rsidP="00DF3DC9" w14:paraId="0A3950A1" w14:textId="77777777">
      <w:pPr>
        <w:ind w:left="720"/>
        <w:contextualSpacing/>
        <w:rPr>
          <w:rFonts w:cs="Times New Roman"/>
        </w:rPr>
      </w:pPr>
    </w:p>
    <w:p w:rsidR="00060AF6" w:rsidRPr="006C5FBF" w:rsidP="00060AF6" w14:paraId="03BA36B8" w14:textId="37E08293">
      <w:pPr>
        <w:autoSpaceDE w:val="0"/>
        <w:autoSpaceDN w:val="0"/>
        <w:adjustRightInd w:val="0"/>
        <w:spacing w:after="0" w:line="240" w:lineRule="auto"/>
        <w:contextualSpacing/>
        <w:rPr>
          <w:rFonts w:cs="Times New Roman"/>
        </w:rPr>
      </w:pPr>
      <w:bookmarkStart w:id="27" w:name="_Hlk102461432"/>
      <w:r w:rsidRPr="006C5FBF">
        <w:rPr>
          <w:rFonts w:cs="Times New Roman"/>
        </w:rPr>
        <w:t xml:space="preserve">This is a new </w:t>
      </w:r>
      <w:r w:rsidRPr="006C5FBF" w:rsidR="00FC28DA">
        <w:rPr>
          <w:rFonts w:cs="Times New Roman"/>
        </w:rPr>
        <w:t>collection;</w:t>
      </w:r>
      <w:r w:rsidRPr="006C5FBF">
        <w:rPr>
          <w:rFonts w:cs="Times New Roman"/>
        </w:rPr>
        <w:t xml:space="preserve"> the entire burden cost and number of burden hours will represent a program change.</w:t>
      </w:r>
      <w:bookmarkEnd w:id="27"/>
      <w:r w:rsidRPr="006C5FBF">
        <w:rPr>
          <w:rFonts w:cs="Times New Roman"/>
        </w:rPr>
        <w:t xml:space="preserve"> </w:t>
      </w:r>
      <w:r w:rsidRPr="006C5FBF" w:rsidR="00517000">
        <w:t xml:space="preserve">As such, it requires </w:t>
      </w:r>
      <w:r w:rsidRPr="006C5FBF" w:rsidR="00FC28DA">
        <w:t>an</w:t>
      </w:r>
      <w:r w:rsidRPr="006C5FBF" w:rsidR="00517000">
        <w:t xml:space="preserve"> estimated </w:t>
      </w:r>
      <w:r w:rsidRPr="006C5FBF" w:rsidR="00C620A9">
        <w:t xml:space="preserve">440 </w:t>
      </w:r>
      <w:r w:rsidRPr="006C5FBF" w:rsidR="00111326">
        <w:t xml:space="preserve">annual average hours per participating agency </w:t>
      </w:r>
      <w:r w:rsidRPr="006C5FBF" w:rsidR="008255F9">
        <w:t xml:space="preserve">and $0 additional costs </w:t>
      </w:r>
      <w:r w:rsidRPr="006C5FBF" w:rsidR="00517000">
        <w:t>for the new information collection.</w:t>
      </w:r>
    </w:p>
    <w:p w:rsidR="00DF3DC9" w:rsidRPr="006C5FBF" w:rsidP="00DF3DC9" w14:paraId="7741BD66" w14:textId="77777777">
      <w:pPr>
        <w:autoSpaceDE w:val="0"/>
        <w:autoSpaceDN w:val="0"/>
        <w:adjustRightInd w:val="0"/>
        <w:spacing w:after="0" w:line="240" w:lineRule="auto"/>
        <w:ind w:left="720"/>
        <w:contextualSpacing/>
        <w:rPr>
          <w:rFonts w:cs="Times New Roman"/>
        </w:rPr>
      </w:pPr>
    </w:p>
    <w:p w:rsidR="00DF3DC9" w:rsidRPr="006C5FBF" w:rsidP="00DF3DC9" w14:paraId="300BE020" w14:textId="77777777">
      <w:pPr>
        <w:numPr>
          <w:ilvl w:val="0"/>
          <w:numId w:val="1"/>
        </w:numPr>
        <w:autoSpaceDE w:val="0"/>
        <w:autoSpaceDN w:val="0"/>
        <w:adjustRightInd w:val="0"/>
        <w:spacing w:after="0" w:line="240" w:lineRule="auto"/>
        <w:contextualSpacing/>
        <w:rPr>
          <w:rFonts w:cs="Times New Roman"/>
          <w:b/>
        </w:rPr>
      </w:pPr>
      <w:bookmarkStart w:id="28" w:name="_Hlk51332176"/>
      <w:r w:rsidRPr="006C5FBF">
        <w:rPr>
          <w:rFonts w:cs="Times New Roman"/>
          <w:b/>
        </w:rPr>
        <w:t xml:space="preserve">For </w:t>
      </w:r>
      <w:bookmarkStart w:id="29" w:name="_Hlk63087690"/>
      <w:r w:rsidRPr="006C5FBF">
        <w:rPr>
          <w:rFonts w:cs="Times New Roman"/>
          <w:b/>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8"/>
    <w:bookmarkEnd w:id="29"/>
    <w:p w:rsidR="00DF3DC9" w:rsidRPr="006C5FBF" w:rsidP="00DF3DC9" w14:paraId="52A1FF05" w14:textId="77777777">
      <w:pPr>
        <w:autoSpaceDE w:val="0"/>
        <w:autoSpaceDN w:val="0"/>
        <w:adjustRightInd w:val="0"/>
        <w:spacing w:after="0" w:line="240" w:lineRule="auto"/>
        <w:ind w:firstLine="720"/>
        <w:rPr>
          <w:rFonts w:cs="Times New Roman"/>
        </w:rPr>
      </w:pPr>
    </w:p>
    <w:p w:rsidR="005B6D54" w:rsidRPr="006C5FBF" w:rsidP="005B6D54" w14:paraId="26D979AB" w14:textId="4B049BEF">
      <w:pPr>
        <w:autoSpaceDE w:val="0"/>
        <w:autoSpaceDN w:val="0"/>
        <w:adjustRightInd w:val="0"/>
        <w:spacing w:after="0" w:line="240" w:lineRule="auto"/>
        <w:rPr>
          <w:rFonts w:cs="Times New Roman"/>
        </w:rPr>
      </w:pPr>
      <w:r w:rsidRPr="006C5FBF">
        <w:rPr>
          <w:rFonts w:cs="Times New Roman"/>
        </w:rPr>
        <w:t xml:space="preserve">The information will be published as a report that documents </w:t>
      </w:r>
      <w:r w:rsidRPr="006C5FBF" w:rsidR="00C620A9">
        <w:rPr>
          <w:rFonts w:cs="Times New Roman"/>
        </w:rPr>
        <w:t xml:space="preserve">project </w:t>
      </w:r>
      <w:r w:rsidRPr="006C5FBF">
        <w:rPr>
          <w:rFonts w:cs="Times New Roman"/>
        </w:rPr>
        <w:t xml:space="preserve">findings </w:t>
      </w:r>
      <w:r w:rsidRPr="006C5FBF" w:rsidR="00814BE1">
        <w:rPr>
          <w:rFonts w:cs="Times New Roman"/>
        </w:rPr>
        <w:t>for NHTSA</w:t>
      </w:r>
      <w:r w:rsidRPr="006C5FBF" w:rsidR="00C620A9">
        <w:rPr>
          <w:rFonts w:cs="Times New Roman"/>
        </w:rPr>
        <w:t xml:space="preserve"> and participating agencies</w:t>
      </w:r>
      <w:r w:rsidRPr="006C5FBF">
        <w:rPr>
          <w:rFonts w:cs="Times New Roman"/>
        </w:rPr>
        <w:t>.</w:t>
      </w:r>
      <w:r w:rsidRPr="006C5FBF" w:rsidR="00814BE1">
        <w:rPr>
          <w:rFonts w:cs="Times New Roman"/>
        </w:rPr>
        <w:t xml:space="preserve"> </w:t>
      </w:r>
      <w:r w:rsidRPr="006C5FBF">
        <w:rPr>
          <w:rFonts w:cs="Times New Roman"/>
        </w:rPr>
        <w:t xml:space="preserve"> There will not be any complex analytical techniques used for tabulating results. This is a demonstration project. </w:t>
      </w:r>
      <w:r w:rsidRPr="006C5FBF" w:rsidR="00C620A9">
        <w:rPr>
          <w:rFonts w:cs="Times New Roman"/>
        </w:rPr>
        <w:t xml:space="preserve">NHTSA </w:t>
      </w:r>
      <w:r w:rsidRPr="006C5FBF">
        <w:rPr>
          <w:rFonts w:cs="Times New Roman"/>
        </w:rPr>
        <w:t>intend</w:t>
      </w:r>
      <w:r w:rsidRPr="006C5FBF" w:rsidR="00C620A9">
        <w:rPr>
          <w:rFonts w:cs="Times New Roman"/>
        </w:rPr>
        <w:t>s</w:t>
      </w:r>
      <w:r w:rsidRPr="006C5FBF">
        <w:rPr>
          <w:rFonts w:cs="Times New Roman"/>
        </w:rPr>
        <w:t xml:space="preserve"> to </w:t>
      </w:r>
      <w:r w:rsidRPr="006C5FBF" w:rsidR="00C620A9">
        <w:rPr>
          <w:rFonts w:cs="Times New Roman"/>
        </w:rPr>
        <w:t xml:space="preserve">use </w:t>
      </w:r>
      <w:r w:rsidRPr="006C5FBF">
        <w:rPr>
          <w:rFonts w:cs="Times New Roman"/>
        </w:rPr>
        <w:t xml:space="preserve">the </w:t>
      </w:r>
      <w:r w:rsidRPr="006C5FBF" w:rsidR="00C620A9">
        <w:rPr>
          <w:rFonts w:cs="Times New Roman"/>
        </w:rPr>
        <w:t>findings for internal purposes to substantiate what it takes to</w:t>
      </w:r>
      <w:r w:rsidRPr="006C5FBF">
        <w:rPr>
          <w:rFonts w:cs="Times New Roman"/>
        </w:rPr>
        <w:t xml:space="preserve"> plan and implement the </w:t>
      </w:r>
      <w:r w:rsidRPr="006C5FBF" w:rsidR="00C620A9">
        <w:rPr>
          <w:rFonts w:cs="Times New Roman"/>
        </w:rPr>
        <w:t xml:space="preserve">DRE </w:t>
      </w:r>
      <w:r w:rsidRPr="006C5FBF">
        <w:rPr>
          <w:rFonts w:cs="Times New Roman"/>
        </w:rPr>
        <w:t>project with</w:t>
      </w:r>
      <w:r w:rsidRPr="006C5FBF" w:rsidR="00C620A9">
        <w:rPr>
          <w:rFonts w:cs="Times New Roman"/>
        </w:rPr>
        <w:t>in</w:t>
      </w:r>
      <w:r w:rsidRPr="006C5FBF">
        <w:rPr>
          <w:rFonts w:cs="Times New Roman"/>
        </w:rPr>
        <w:t xml:space="preserve"> selected jurisdictions. </w:t>
      </w:r>
    </w:p>
    <w:p w:rsidR="00DF3DC9" w:rsidRPr="006C5FBF" w:rsidP="00DF3DC9" w14:paraId="30351FB6" w14:textId="77777777">
      <w:pPr>
        <w:autoSpaceDE w:val="0"/>
        <w:autoSpaceDN w:val="0"/>
        <w:adjustRightInd w:val="0"/>
        <w:spacing w:after="0" w:line="240" w:lineRule="auto"/>
        <w:ind w:firstLine="720"/>
        <w:rPr>
          <w:rFonts w:cs="Times New Roman"/>
        </w:rPr>
      </w:pPr>
      <w:r w:rsidRPr="006C5FBF">
        <w:rPr>
          <w:rFonts w:cs="Times New Roman"/>
        </w:rPr>
        <w:t xml:space="preserve">  </w:t>
      </w:r>
    </w:p>
    <w:p w:rsidR="00DF3DC9" w:rsidRPr="006C5FBF" w:rsidP="00DF3DC9" w14:paraId="010E5D7E" w14:textId="77777777">
      <w:pPr>
        <w:numPr>
          <w:ilvl w:val="0"/>
          <w:numId w:val="1"/>
        </w:numPr>
        <w:autoSpaceDE w:val="0"/>
        <w:autoSpaceDN w:val="0"/>
        <w:adjustRightInd w:val="0"/>
        <w:spacing w:after="0" w:line="240" w:lineRule="auto"/>
        <w:contextualSpacing/>
        <w:rPr>
          <w:rFonts w:cs="Times New Roman"/>
          <w:b/>
        </w:rPr>
      </w:pPr>
      <w:bookmarkStart w:id="30" w:name="_Hlk51332202"/>
      <w:r w:rsidRPr="006C5FBF">
        <w:rPr>
          <w:rFonts w:cs="Times New Roman"/>
          <w:b/>
        </w:rPr>
        <w:t>If seeking approval to not display the expiration date for OMB approval of the information collection, explain the reasons that display would be inappropriate.</w:t>
      </w:r>
    </w:p>
    <w:bookmarkEnd w:id="30"/>
    <w:p w:rsidR="00DF3DC9" w:rsidRPr="006C5FBF" w:rsidP="00DF3DC9" w14:paraId="1F254C1E" w14:textId="77777777">
      <w:pPr>
        <w:autoSpaceDE w:val="0"/>
        <w:autoSpaceDN w:val="0"/>
        <w:adjustRightInd w:val="0"/>
        <w:spacing w:after="0" w:line="240" w:lineRule="auto"/>
        <w:ind w:left="720"/>
        <w:contextualSpacing/>
        <w:rPr>
          <w:rFonts w:cs="Times New Roman"/>
        </w:rPr>
      </w:pPr>
    </w:p>
    <w:p w:rsidR="005B6D54" w:rsidRPr="006C5FBF" w:rsidP="005B6D54" w14:paraId="207AB929" w14:textId="6ED43B1B">
      <w:pPr>
        <w:autoSpaceDE w:val="0"/>
        <w:autoSpaceDN w:val="0"/>
        <w:adjustRightInd w:val="0"/>
        <w:spacing w:after="0" w:line="240" w:lineRule="auto"/>
        <w:rPr>
          <w:rFonts w:cs="Times New Roman"/>
        </w:rPr>
      </w:pPr>
      <w:r w:rsidRPr="006C5FBF">
        <w:rPr>
          <w:rFonts w:cs="Times New Roman"/>
        </w:rPr>
        <w:t>NHTSA will display the expiration date for OMB approval.</w:t>
      </w:r>
    </w:p>
    <w:p w:rsidR="00DF3DC9" w:rsidRPr="006C5FBF" w:rsidP="00DF3DC9" w14:paraId="33F0BF16" w14:textId="77777777">
      <w:pPr>
        <w:autoSpaceDE w:val="0"/>
        <w:autoSpaceDN w:val="0"/>
        <w:adjustRightInd w:val="0"/>
        <w:spacing w:after="0" w:line="240" w:lineRule="auto"/>
        <w:ind w:firstLine="720"/>
        <w:rPr>
          <w:rFonts w:cs="Times New Roman"/>
          <w:highlight w:val="yellow"/>
        </w:rPr>
      </w:pPr>
    </w:p>
    <w:p w:rsidR="00DF3DC9" w:rsidRPr="006C5FBF" w:rsidP="00DF3DC9" w14:paraId="35DF7E0B" w14:textId="62FE0835">
      <w:pPr>
        <w:numPr>
          <w:ilvl w:val="0"/>
          <w:numId w:val="1"/>
        </w:numPr>
        <w:contextualSpacing/>
        <w:rPr>
          <w:rFonts w:cs="Times New Roman"/>
          <w:b/>
        </w:rPr>
      </w:pPr>
      <w:bookmarkStart w:id="31" w:name="_Hlk63087720"/>
      <w:bookmarkStart w:id="32" w:name="_Hlk51332218"/>
      <w:r w:rsidRPr="006C5FBF">
        <w:rPr>
          <w:rFonts w:cs="Times New Roman"/>
          <w:b/>
        </w:rPr>
        <w:t>Explain each exception to the topics of the certification statement identified in "Certification for Paperwork Reduction Act Submissions." The required certifications can be found at 5 CFR 1320.9.</w:t>
      </w:r>
      <w:bookmarkStart w:id="33" w:name="_Hlk45889134"/>
      <w:r>
        <w:rPr>
          <w:rFonts w:cs="Times New Roman"/>
          <w:b/>
          <w:vertAlign w:val="superscript"/>
        </w:rPr>
        <w:footnoteReference w:id="6"/>
      </w:r>
      <w:bookmarkEnd w:id="31"/>
      <w:r w:rsidRPr="006C5FBF">
        <w:rPr>
          <w:rFonts w:cs="Times New Roman"/>
          <w:b/>
        </w:rPr>
        <w:t xml:space="preserve"> </w:t>
      </w:r>
      <w:bookmarkEnd w:id="33"/>
    </w:p>
    <w:p w:rsidR="00462FBD" w:rsidRPr="006C5FBF" w:rsidP="00462FBD" w14:paraId="468DC586" w14:textId="7750CD7B">
      <w:pPr>
        <w:contextualSpacing/>
        <w:rPr>
          <w:rFonts w:cs="Times New Roman"/>
          <w:b/>
        </w:rPr>
      </w:pPr>
    </w:p>
    <w:bookmarkEnd w:id="32"/>
    <w:p w:rsidR="005B6D54" w:rsidRPr="006C5FBF" w:rsidP="005B6D54" w14:paraId="5ABD5734" w14:textId="3081451D">
      <w:pPr>
        <w:contextualSpacing/>
        <w:rPr>
          <w:rFonts w:cs="Times New Roman"/>
        </w:rPr>
      </w:pPr>
      <w:r w:rsidRPr="006C5FBF">
        <w:rPr>
          <w:rFonts w:cs="Times New Roman"/>
        </w:rPr>
        <w:t>There are no exceptions to the certifications statement.</w:t>
      </w:r>
    </w:p>
    <w:p w:rsidR="005B6D54" w:rsidRPr="006C5FBF" w:rsidP="005B6D54" w14:paraId="2CC75769" w14:textId="77777777">
      <w:pPr>
        <w:ind w:left="720"/>
        <w:contextualSpacing/>
        <w:rPr>
          <w:rFonts w:cs="Times New Roman"/>
        </w:rPr>
      </w:pPr>
    </w:p>
    <w:p w:rsidR="00D54356" w14:paraId="7D191FFE" w14:textId="47ED48FC">
      <w:pPr>
        <w:rPr>
          <w:rFonts w:eastAsia="Times New Roman" w:cs="Times New Roman"/>
          <w:b/>
          <w:bCs/>
          <w:szCs w:val="24"/>
        </w:rPr>
      </w:pPr>
      <w:r>
        <w:rPr>
          <w:b/>
          <w:bCs/>
        </w:rPr>
        <w:br w:type="page"/>
      </w:r>
    </w:p>
    <w:p w:rsidR="00852796" w:rsidP="006C5FBF" w14:paraId="163D485C" w14:textId="4D637F58">
      <w:pPr>
        <w:pStyle w:val="Heading1"/>
      </w:pPr>
      <w:r>
        <w:t>Appendices</w:t>
      </w:r>
    </w:p>
    <w:p w:rsidR="00852796" w:rsidP="006C5FBF" w14:paraId="5158DC3F" w14:textId="6B412B86">
      <w:pPr>
        <w:pStyle w:val="Heading2"/>
      </w:pPr>
      <w:r>
        <w:t>Appendix A: Tools, Technologies, and Supplies</w:t>
      </w:r>
    </w:p>
    <w:p w:rsidR="00B26FB3" w:rsidRPr="00C2133F" w:rsidP="00C2133F" w14:paraId="3E2F9C35" w14:textId="08220EBE">
      <w:bookmarkStart w:id="34" w:name="_Hlk111817833"/>
      <w:r>
        <w:t xml:space="preserve">Included herein is a list of all possible items that participating agencies may need to properly implement enhancements to their DRE Program. Participating agencies will select only those items that they identify are needed for their proper participation. The “average cost” price is included for informational purposes only. Agencies will not be charged for the items selected/needed. Items are not being provided as gifts but are considered as essential items for proper participation and implementation of the DRE Program. </w:t>
      </w:r>
    </w:p>
    <w:tbl>
      <w:tblPr>
        <w:tblW w:w="9350" w:type="dxa"/>
        <w:tblLook w:val="04A0"/>
      </w:tblPr>
      <w:tblGrid>
        <w:gridCol w:w="2685"/>
        <w:gridCol w:w="4690"/>
        <w:gridCol w:w="1975"/>
      </w:tblGrid>
      <w:tr w14:paraId="185CC1D0" w14:textId="77777777" w:rsidTr="00B26FB3">
        <w:tblPrEx>
          <w:tblW w:w="9350" w:type="dxa"/>
          <w:tblLook w:val="04A0"/>
        </w:tblPrEx>
        <w:trPr>
          <w:trHeight w:val="268"/>
          <w:tblHeader/>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bookmarkEnd w:id="34"/>
          <w:p w:rsidR="00B26FB3" w:rsidRPr="00852796" w:rsidP="00C14CAD" w14:paraId="7BA4C3A5" w14:textId="77777777">
            <w:pPr>
              <w:spacing w:after="0" w:line="240" w:lineRule="auto"/>
              <w:rPr>
                <w:rFonts w:ascii="Calibri" w:eastAsia="Times New Roman" w:hAnsi="Calibri" w:cs="Calibri"/>
                <w:b/>
                <w:bCs/>
                <w:color w:val="000000"/>
              </w:rPr>
            </w:pPr>
            <w:r w:rsidRPr="00852796">
              <w:rPr>
                <w:rFonts w:ascii="Calibri" w:eastAsia="Times New Roman" w:hAnsi="Calibri" w:cs="Calibri"/>
                <w:b/>
                <w:bCs/>
                <w:color w:val="000000"/>
              </w:rPr>
              <w:t>Strategy</w:t>
            </w:r>
          </w:p>
        </w:tc>
        <w:tc>
          <w:tcPr>
            <w:tcW w:w="46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B26FB3" w:rsidRPr="00852796" w:rsidP="00C14CAD" w14:paraId="7AF29809" w14:textId="77777777">
            <w:pPr>
              <w:spacing w:after="0" w:line="240" w:lineRule="auto"/>
              <w:rPr>
                <w:rFonts w:ascii="Calibri" w:eastAsia="Times New Roman" w:hAnsi="Calibri" w:cs="Calibri"/>
                <w:b/>
                <w:bCs/>
                <w:color w:val="000000"/>
              </w:rPr>
            </w:pPr>
            <w:r w:rsidRPr="00852796">
              <w:rPr>
                <w:rFonts w:ascii="Calibri" w:eastAsia="Times New Roman" w:hAnsi="Calibri" w:cs="Calibri"/>
                <w:b/>
                <w:bCs/>
                <w:color w:val="000000"/>
              </w:rPr>
              <w:t>Item</w:t>
            </w:r>
          </w:p>
        </w:tc>
        <w:tc>
          <w:tcPr>
            <w:tcW w:w="1975" w:type="dxa"/>
            <w:tcBorders>
              <w:top w:val="single" w:sz="4" w:space="0" w:color="auto"/>
              <w:left w:val="nil"/>
              <w:bottom w:val="single" w:sz="4" w:space="0" w:color="auto"/>
              <w:right w:val="single" w:sz="4" w:space="0" w:color="auto"/>
            </w:tcBorders>
            <w:shd w:val="clear" w:color="auto" w:fill="D9D9D9" w:themeFill="background1" w:themeFillShade="D9"/>
          </w:tcPr>
          <w:p w:rsidR="00B26FB3" w:rsidRPr="00852796" w:rsidP="00C14CAD" w14:paraId="47BF7E4A"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Average Cost</w:t>
            </w:r>
          </w:p>
        </w:tc>
      </w:tr>
      <w:tr w14:paraId="32266D58" w14:textId="77777777" w:rsidTr="00B26FB3">
        <w:tblPrEx>
          <w:tblW w:w="9350" w:type="dxa"/>
          <w:tblLook w:val="04A0"/>
        </w:tblPrEx>
        <w:trPr>
          <w:trHeight w:val="268"/>
        </w:trPr>
        <w:tc>
          <w:tcPr>
            <w:tcW w:w="2685" w:type="dxa"/>
            <w:vMerge w:val="restart"/>
            <w:tcBorders>
              <w:top w:val="nil"/>
              <w:left w:val="single" w:sz="4" w:space="0" w:color="auto"/>
              <w:bottom w:val="single" w:sz="4" w:space="0" w:color="auto"/>
              <w:right w:val="single" w:sz="4" w:space="0" w:color="auto"/>
            </w:tcBorders>
            <w:shd w:val="clear" w:color="auto" w:fill="auto"/>
            <w:hideMark/>
          </w:tcPr>
          <w:p w:rsidR="00B26FB3" w:rsidRPr="00852796" w:rsidP="00C14CAD" w14:paraId="398415BD"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Data collection devices for DRE evidence gathering and reporting on drivers suspected of drug-impaired driving</w:t>
            </w: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1B42D0F3"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iPad</w:t>
            </w:r>
          </w:p>
        </w:tc>
        <w:tc>
          <w:tcPr>
            <w:tcW w:w="1975" w:type="dxa"/>
            <w:tcBorders>
              <w:top w:val="nil"/>
              <w:left w:val="nil"/>
              <w:bottom w:val="single" w:sz="4" w:space="0" w:color="auto"/>
              <w:right w:val="single" w:sz="4" w:space="0" w:color="auto"/>
            </w:tcBorders>
            <w:vAlign w:val="bottom"/>
          </w:tcPr>
          <w:p w:rsidR="00B26FB3" w:rsidRPr="00852796" w:rsidP="00C14CAD" w14:paraId="6D56B338" w14:textId="77777777">
            <w:pPr>
              <w:spacing w:after="0" w:line="240" w:lineRule="auto"/>
              <w:rPr>
                <w:rFonts w:ascii="Calibri" w:eastAsia="Times New Roman" w:hAnsi="Calibri" w:cs="Calibri"/>
                <w:color w:val="000000"/>
              </w:rPr>
            </w:pPr>
            <w:r>
              <w:rPr>
                <w:rFonts w:ascii="Calibri" w:hAnsi="Calibri" w:cs="Calibri"/>
                <w:color w:val="000000"/>
              </w:rPr>
              <w:t xml:space="preserve"> $           595.67 </w:t>
            </w:r>
          </w:p>
        </w:tc>
      </w:tr>
      <w:tr w14:paraId="00D7F10F"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073DA882"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6376270A"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Android-based tablet</w:t>
            </w:r>
          </w:p>
        </w:tc>
        <w:tc>
          <w:tcPr>
            <w:tcW w:w="1975" w:type="dxa"/>
            <w:tcBorders>
              <w:top w:val="nil"/>
              <w:left w:val="nil"/>
              <w:bottom w:val="single" w:sz="4" w:space="0" w:color="auto"/>
              <w:right w:val="single" w:sz="4" w:space="0" w:color="auto"/>
            </w:tcBorders>
            <w:vAlign w:val="bottom"/>
          </w:tcPr>
          <w:p w:rsidR="00B26FB3" w:rsidRPr="00852796" w:rsidP="00C14CAD" w14:paraId="46C4A417" w14:textId="77777777">
            <w:pPr>
              <w:spacing w:after="0" w:line="240" w:lineRule="auto"/>
              <w:rPr>
                <w:rFonts w:ascii="Calibri" w:eastAsia="Times New Roman" w:hAnsi="Calibri" w:cs="Calibri"/>
                <w:color w:val="000000"/>
              </w:rPr>
            </w:pPr>
            <w:r>
              <w:rPr>
                <w:rFonts w:ascii="Calibri" w:hAnsi="Calibri" w:cs="Calibri"/>
                <w:color w:val="000000"/>
              </w:rPr>
              <w:t xml:space="preserve"> $           849.99 </w:t>
            </w:r>
          </w:p>
        </w:tc>
      </w:tr>
      <w:tr w14:paraId="501E6BA0"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774772BC"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0B098F89"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Laptops that can also be used as tablet</w:t>
            </w:r>
          </w:p>
        </w:tc>
        <w:tc>
          <w:tcPr>
            <w:tcW w:w="1975" w:type="dxa"/>
            <w:tcBorders>
              <w:top w:val="nil"/>
              <w:left w:val="nil"/>
              <w:bottom w:val="single" w:sz="4" w:space="0" w:color="auto"/>
              <w:right w:val="single" w:sz="4" w:space="0" w:color="auto"/>
            </w:tcBorders>
            <w:vAlign w:val="bottom"/>
          </w:tcPr>
          <w:p w:rsidR="00B26FB3" w:rsidRPr="00852796" w:rsidP="00C14CAD" w14:paraId="08D435BE" w14:textId="6DA1CA7C">
            <w:pPr>
              <w:spacing w:after="0" w:line="240" w:lineRule="auto"/>
              <w:rPr>
                <w:rFonts w:ascii="Calibri" w:eastAsia="Times New Roman" w:hAnsi="Calibri" w:cs="Calibri"/>
                <w:color w:val="000000"/>
              </w:rPr>
            </w:pPr>
            <w:r>
              <w:rPr>
                <w:rFonts w:ascii="Calibri" w:hAnsi="Calibri" w:cs="Calibri"/>
                <w:color w:val="000000"/>
              </w:rPr>
              <w:t xml:space="preserve"> $       </w:t>
            </w:r>
            <w:r w:rsidR="00985F7E">
              <w:rPr>
                <w:rFonts w:ascii="Calibri" w:hAnsi="Calibri" w:cs="Calibri"/>
                <w:color w:val="000000"/>
              </w:rPr>
              <w:t xml:space="preserve"> </w:t>
            </w:r>
            <w:r>
              <w:rPr>
                <w:rFonts w:ascii="Calibri" w:hAnsi="Calibri" w:cs="Calibri"/>
                <w:color w:val="000000"/>
              </w:rPr>
              <w:t xml:space="preserve">1,137.99 </w:t>
            </w:r>
          </w:p>
        </w:tc>
      </w:tr>
      <w:tr w14:paraId="11852BFA"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3A13BC68"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222FAF1C"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Smart phone</w:t>
            </w:r>
          </w:p>
        </w:tc>
        <w:tc>
          <w:tcPr>
            <w:tcW w:w="1975" w:type="dxa"/>
            <w:tcBorders>
              <w:top w:val="nil"/>
              <w:left w:val="nil"/>
              <w:bottom w:val="single" w:sz="4" w:space="0" w:color="auto"/>
              <w:right w:val="single" w:sz="4" w:space="0" w:color="auto"/>
            </w:tcBorders>
            <w:vAlign w:val="bottom"/>
          </w:tcPr>
          <w:p w:rsidR="00B26FB3" w:rsidRPr="00852796" w:rsidP="00C14CAD" w14:paraId="1A5D8A09" w14:textId="77777777">
            <w:pPr>
              <w:spacing w:after="0" w:line="240" w:lineRule="auto"/>
              <w:rPr>
                <w:rFonts w:ascii="Calibri" w:eastAsia="Times New Roman" w:hAnsi="Calibri" w:cs="Calibri"/>
                <w:color w:val="000000"/>
              </w:rPr>
            </w:pPr>
            <w:r>
              <w:rPr>
                <w:rFonts w:ascii="Calibri" w:hAnsi="Calibri" w:cs="Calibri"/>
                <w:color w:val="000000"/>
              </w:rPr>
              <w:t xml:space="preserve"> $           982.99 </w:t>
            </w:r>
          </w:p>
        </w:tc>
      </w:tr>
      <w:tr w14:paraId="2E381C07" w14:textId="77777777" w:rsidTr="00B26FB3">
        <w:tblPrEx>
          <w:tblW w:w="9350" w:type="dxa"/>
          <w:tblLook w:val="04A0"/>
        </w:tblPrEx>
        <w:trPr>
          <w:trHeight w:val="268"/>
        </w:trPr>
        <w:tc>
          <w:tcPr>
            <w:tcW w:w="2685" w:type="dxa"/>
            <w:vMerge w:val="restart"/>
            <w:tcBorders>
              <w:top w:val="nil"/>
              <w:left w:val="single" w:sz="4" w:space="0" w:color="auto"/>
              <w:bottom w:val="single" w:sz="4" w:space="0" w:color="auto"/>
              <w:right w:val="single" w:sz="4" w:space="0" w:color="auto"/>
            </w:tcBorders>
            <w:shd w:val="clear" w:color="auto" w:fill="auto"/>
            <w:hideMark/>
          </w:tcPr>
          <w:p w:rsidR="00B26FB3" w:rsidRPr="00852796" w:rsidP="00C14CAD" w14:paraId="3CF4CBD8"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Data collection software and apps</w:t>
            </w: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163CF5E3"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ITSMR DRE Data Entry &amp; Management System</w:t>
            </w:r>
          </w:p>
        </w:tc>
        <w:tc>
          <w:tcPr>
            <w:tcW w:w="1975" w:type="dxa"/>
            <w:tcBorders>
              <w:top w:val="nil"/>
              <w:left w:val="nil"/>
              <w:bottom w:val="single" w:sz="4" w:space="0" w:color="auto"/>
              <w:right w:val="single" w:sz="4" w:space="0" w:color="auto"/>
            </w:tcBorders>
          </w:tcPr>
          <w:tbl>
            <w:tblPr>
              <w:tblW w:w="1360" w:type="dxa"/>
              <w:tblLook w:val="04A0"/>
            </w:tblPr>
            <w:tblGrid>
              <w:gridCol w:w="1360"/>
            </w:tblGrid>
            <w:tr w14:paraId="2DFF30FB" w14:textId="77777777" w:rsidTr="00C14CAD">
              <w:tblPrEx>
                <w:tblW w:w="1360" w:type="dxa"/>
                <w:tblLook w:val="04A0"/>
              </w:tblPrEx>
              <w:trPr>
                <w:trHeight w:val="300"/>
              </w:trPr>
              <w:tc>
                <w:tcPr>
                  <w:tcW w:w="1360" w:type="dxa"/>
                  <w:tcBorders>
                    <w:top w:val="nil"/>
                    <w:left w:val="nil"/>
                    <w:bottom w:val="nil"/>
                    <w:right w:val="nil"/>
                  </w:tcBorders>
                  <w:shd w:val="clear" w:color="auto" w:fill="auto"/>
                  <w:noWrap/>
                  <w:vAlign w:val="bottom"/>
                  <w:hideMark/>
                </w:tcPr>
                <w:p w:rsidR="00B26FB3" w:rsidRPr="000F4CA7" w:rsidP="00C14CAD" w14:paraId="3BB1C5D4" w14:textId="77777777">
                  <w:pPr>
                    <w:spacing w:after="0" w:line="240" w:lineRule="auto"/>
                    <w:rPr>
                      <w:rFonts w:ascii="Calibri" w:eastAsia="Times New Roman" w:hAnsi="Calibri" w:cs="Calibri"/>
                      <w:color w:val="000000"/>
                    </w:rPr>
                  </w:pPr>
                  <w:r w:rsidRPr="000F4CA7">
                    <w:rPr>
                      <w:rFonts w:ascii="Calibri" w:eastAsia="Times New Roman" w:hAnsi="Calibri" w:cs="Calibri"/>
                      <w:color w:val="000000"/>
                    </w:rPr>
                    <w:t>Varies</w:t>
                  </w:r>
                  <w:r>
                    <w:rPr>
                      <w:rFonts w:ascii="Calibri" w:eastAsia="Times New Roman" w:hAnsi="Calibri" w:cs="Calibri"/>
                      <w:color w:val="000000"/>
                    </w:rPr>
                    <w:t>, cannot get actual costs since this is work done through an existing contract with NHTSA</w:t>
                  </w:r>
                </w:p>
              </w:tc>
            </w:tr>
            <w:tr w14:paraId="4B0B032F" w14:textId="77777777" w:rsidTr="00C14CAD">
              <w:tblPrEx>
                <w:tblW w:w="1360" w:type="dxa"/>
                <w:tblLook w:val="04A0"/>
              </w:tblPrEx>
              <w:trPr>
                <w:trHeight w:val="162"/>
              </w:trPr>
              <w:tc>
                <w:tcPr>
                  <w:tcW w:w="1360" w:type="dxa"/>
                  <w:tcBorders>
                    <w:top w:val="nil"/>
                    <w:left w:val="nil"/>
                    <w:bottom w:val="nil"/>
                    <w:right w:val="nil"/>
                  </w:tcBorders>
                  <w:shd w:val="clear" w:color="auto" w:fill="auto"/>
                  <w:noWrap/>
                  <w:vAlign w:val="bottom"/>
                  <w:hideMark/>
                </w:tcPr>
                <w:p w:rsidR="00B26FB3" w:rsidRPr="000F4CA7" w:rsidP="00C14CAD" w14:paraId="3206D44B" w14:textId="77777777">
                  <w:pPr>
                    <w:spacing w:after="0" w:line="240" w:lineRule="auto"/>
                    <w:rPr>
                      <w:rFonts w:ascii="Calibri" w:eastAsia="Times New Roman" w:hAnsi="Calibri" w:cs="Calibri"/>
                      <w:color w:val="000000"/>
                    </w:rPr>
                  </w:pPr>
                </w:p>
              </w:tc>
            </w:tr>
          </w:tbl>
          <w:p w:rsidR="00B26FB3" w:rsidRPr="00852796" w:rsidP="00C14CAD" w14:paraId="0085F5EC" w14:textId="77777777">
            <w:pPr>
              <w:spacing w:after="0" w:line="240" w:lineRule="auto"/>
              <w:rPr>
                <w:rFonts w:ascii="Calibri" w:eastAsia="Times New Roman" w:hAnsi="Calibri" w:cs="Calibri"/>
                <w:color w:val="000000"/>
              </w:rPr>
            </w:pPr>
          </w:p>
        </w:tc>
      </w:tr>
      <w:tr w14:paraId="60B42A67"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39980259"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179EF274"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Other DRE Data Entry &amp; Management Systems</w:t>
            </w:r>
          </w:p>
        </w:tc>
        <w:tc>
          <w:tcPr>
            <w:tcW w:w="1975" w:type="dxa"/>
            <w:tcBorders>
              <w:top w:val="nil"/>
              <w:left w:val="nil"/>
              <w:bottom w:val="single" w:sz="4" w:space="0" w:color="auto"/>
              <w:right w:val="single" w:sz="4" w:space="0" w:color="auto"/>
            </w:tcBorders>
          </w:tcPr>
          <w:p w:rsidR="00B26FB3" w:rsidRPr="00852796" w:rsidP="00C14CAD" w14:paraId="47C80D54" w14:textId="77777777">
            <w:pPr>
              <w:spacing w:after="0" w:line="240" w:lineRule="auto"/>
              <w:rPr>
                <w:rFonts w:ascii="Calibri" w:eastAsia="Times New Roman" w:hAnsi="Calibri" w:cs="Calibri"/>
                <w:color w:val="000000"/>
              </w:rPr>
            </w:pPr>
            <w:r>
              <w:rPr>
                <w:rFonts w:ascii="Calibri" w:eastAsia="Times New Roman" w:hAnsi="Calibri" w:cs="Calibri"/>
                <w:color w:val="000000"/>
              </w:rPr>
              <w:t>There are no commercially available systems, this may be a matter of working with other agencies to use systems they developed</w:t>
            </w:r>
          </w:p>
        </w:tc>
      </w:tr>
      <w:tr w14:paraId="4DBC561A" w14:textId="77777777" w:rsidTr="00B26FB3">
        <w:tblPrEx>
          <w:tblW w:w="9350" w:type="dxa"/>
          <w:tblLook w:val="04A0"/>
        </w:tblPrEx>
        <w:trPr>
          <w:trHeight w:val="268"/>
        </w:trPr>
        <w:tc>
          <w:tcPr>
            <w:tcW w:w="2685" w:type="dxa"/>
            <w:vMerge w:val="restart"/>
            <w:tcBorders>
              <w:top w:val="nil"/>
              <w:left w:val="single" w:sz="4" w:space="0" w:color="auto"/>
              <w:bottom w:val="single" w:sz="4" w:space="0" w:color="auto"/>
              <w:right w:val="single" w:sz="4" w:space="0" w:color="auto"/>
            </w:tcBorders>
            <w:shd w:val="clear" w:color="auto" w:fill="auto"/>
            <w:hideMark/>
          </w:tcPr>
          <w:p w:rsidR="00B26FB3" w:rsidRPr="00852796" w:rsidP="00C14CAD" w14:paraId="7ACB97EB"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DRE call-out systems to obtain an available DRE when a drug influence evaluation is needed</w:t>
            </w: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6F8FFECA"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Smart phones for text message or app-based systems</w:t>
            </w:r>
          </w:p>
        </w:tc>
        <w:tc>
          <w:tcPr>
            <w:tcW w:w="1975" w:type="dxa"/>
            <w:tcBorders>
              <w:top w:val="nil"/>
              <w:left w:val="nil"/>
              <w:bottom w:val="single" w:sz="4" w:space="0" w:color="auto"/>
              <w:right w:val="single" w:sz="4" w:space="0" w:color="auto"/>
            </w:tcBorders>
          </w:tcPr>
          <w:p w:rsidR="00B26FB3" w:rsidRPr="00852796" w:rsidP="00C14CAD" w14:paraId="022E854C" w14:textId="5D7056B1">
            <w:pPr>
              <w:spacing w:after="0" w:line="240" w:lineRule="auto"/>
              <w:rPr>
                <w:rFonts w:ascii="Calibri" w:eastAsia="Times New Roman" w:hAnsi="Calibri" w:cs="Calibri"/>
                <w:color w:val="000000"/>
              </w:rPr>
            </w:pPr>
            <w:r>
              <w:rPr>
                <w:rFonts w:ascii="Calibri" w:hAnsi="Calibri" w:cs="Calibri"/>
                <w:color w:val="000000"/>
              </w:rPr>
              <w:t>$</w:t>
            </w:r>
            <w:r w:rsidR="00985F7E">
              <w:rPr>
                <w:rFonts w:ascii="Calibri" w:hAnsi="Calibri" w:cs="Calibri"/>
                <w:color w:val="000000"/>
              </w:rPr>
              <w:t xml:space="preserve">           </w:t>
            </w:r>
            <w:r>
              <w:rPr>
                <w:rFonts w:ascii="Calibri" w:hAnsi="Calibri" w:cs="Calibri"/>
                <w:color w:val="000000"/>
              </w:rPr>
              <w:t xml:space="preserve"> 982.99</w:t>
            </w:r>
          </w:p>
        </w:tc>
      </w:tr>
      <w:tr w14:paraId="0A6D3689"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4D4004B4"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2C015565"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Everbridge software</w:t>
            </w:r>
          </w:p>
        </w:tc>
        <w:tc>
          <w:tcPr>
            <w:tcW w:w="1975" w:type="dxa"/>
            <w:tcBorders>
              <w:top w:val="nil"/>
              <w:left w:val="nil"/>
              <w:bottom w:val="single" w:sz="4" w:space="0" w:color="auto"/>
              <w:right w:val="single" w:sz="4" w:space="0" w:color="auto"/>
            </w:tcBorders>
          </w:tcPr>
          <w:p w:rsidR="00B26FB3" w:rsidRPr="00852796" w:rsidP="00C14CAD" w14:paraId="4A35BBAA"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Varies, need to know specifics of what will be needed by each agency </w:t>
            </w:r>
            <w:r>
              <w:rPr>
                <w:rFonts w:ascii="Calibri" w:eastAsia="Times New Roman" w:hAnsi="Calibri" w:cs="Calibri"/>
                <w:color w:val="000000"/>
              </w:rPr>
              <w:t>in order to</w:t>
            </w:r>
            <w:r>
              <w:rPr>
                <w:rFonts w:ascii="Calibri" w:eastAsia="Times New Roman" w:hAnsi="Calibri" w:cs="Calibri"/>
                <w:color w:val="000000"/>
              </w:rPr>
              <w:t xml:space="preserve"> get costs</w:t>
            </w:r>
          </w:p>
        </w:tc>
      </w:tr>
      <w:tr w14:paraId="5618FBB7"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1AD1EE14"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02A7339C"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 xml:space="preserve">Notification applications such as GroupMe, Active911, </w:t>
            </w:r>
            <w:r w:rsidRPr="00852796">
              <w:rPr>
                <w:rFonts w:ascii="Calibri" w:eastAsia="Times New Roman" w:hAnsi="Calibri" w:cs="Calibri"/>
                <w:color w:val="000000"/>
              </w:rPr>
              <w:t>IAmResponding</w:t>
            </w:r>
          </w:p>
        </w:tc>
        <w:tc>
          <w:tcPr>
            <w:tcW w:w="1975" w:type="dxa"/>
            <w:tcBorders>
              <w:top w:val="nil"/>
              <w:left w:val="nil"/>
              <w:bottom w:val="single" w:sz="4" w:space="0" w:color="auto"/>
              <w:right w:val="single" w:sz="4" w:space="0" w:color="auto"/>
            </w:tcBorders>
          </w:tcPr>
          <w:p w:rsidR="00B26FB3" w:rsidP="00C14CAD" w14:paraId="63739FF1" w14:textId="39BAA8EE">
            <w:pPr>
              <w:spacing w:after="0" w:line="240" w:lineRule="auto"/>
              <w:rPr>
                <w:rFonts w:ascii="Calibri" w:hAnsi="Calibri" w:cs="Calibri"/>
                <w:color w:val="000000"/>
              </w:rPr>
            </w:pPr>
            <w:r>
              <w:rPr>
                <w:rFonts w:ascii="Calibri" w:hAnsi="Calibri" w:cs="Calibri"/>
                <w:color w:val="000000"/>
              </w:rPr>
              <w:t>$</w:t>
            </w:r>
            <w:r w:rsidR="00985F7E">
              <w:rPr>
                <w:rFonts w:ascii="Calibri" w:hAnsi="Calibri" w:cs="Calibri"/>
                <w:color w:val="000000"/>
              </w:rPr>
              <w:t xml:space="preserve">           </w:t>
            </w:r>
            <w:r>
              <w:rPr>
                <w:rFonts w:ascii="Calibri" w:hAnsi="Calibri" w:cs="Calibri"/>
                <w:color w:val="000000"/>
              </w:rPr>
              <w:t xml:space="preserve">105.00 </w:t>
            </w:r>
          </w:p>
          <w:p w:rsidR="00B26FB3" w:rsidRPr="00852796" w:rsidP="00C14CAD" w14:paraId="65CBCA33" w14:textId="77777777">
            <w:pPr>
              <w:spacing w:after="0" w:line="240" w:lineRule="auto"/>
              <w:rPr>
                <w:rFonts w:ascii="Calibri" w:eastAsia="Times New Roman" w:hAnsi="Calibri" w:cs="Calibri"/>
                <w:color w:val="000000"/>
              </w:rPr>
            </w:pPr>
          </w:p>
        </w:tc>
      </w:tr>
      <w:tr w14:paraId="6EDA18E0" w14:textId="77777777" w:rsidTr="00B26FB3">
        <w:tblPrEx>
          <w:tblW w:w="9350" w:type="dxa"/>
          <w:tblLook w:val="04A0"/>
        </w:tblPrEx>
        <w:trPr>
          <w:trHeight w:val="268"/>
        </w:trPr>
        <w:tc>
          <w:tcPr>
            <w:tcW w:w="2685" w:type="dxa"/>
            <w:vMerge w:val="restart"/>
            <w:tcBorders>
              <w:top w:val="nil"/>
              <w:left w:val="single" w:sz="4" w:space="0" w:color="auto"/>
              <w:bottom w:val="single" w:sz="4" w:space="0" w:color="auto"/>
              <w:right w:val="single" w:sz="4" w:space="0" w:color="auto"/>
            </w:tcBorders>
            <w:shd w:val="clear" w:color="auto" w:fill="auto"/>
            <w:hideMark/>
          </w:tcPr>
          <w:p w:rsidR="00B26FB3" w:rsidRPr="00852796" w:rsidP="00C14CAD" w14:paraId="177D789E"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E-warrant systems/programs for quickly obtaining chemical evidence for impaired driving cases</w:t>
            </w: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438916C5"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PDF Maker to create PDF forms or save documents as PDFs</w:t>
            </w:r>
          </w:p>
        </w:tc>
        <w:tc>
          <w:tcPr>
            <w:tcW w:w="1975" w:type="dxa"/>
            <w:tcBorders>
              <w:top w:val="nil"/>
              <w:left w:val="nil"/>
              <w:bottom w:val="single" w:sz="4" w:space="0" w:color="auto"/>
              <w:right w:val="single" w:sz="4" w:space="0" w:color="auto"/>
            </w:tcBorders>
          </w:tcPr>
          <w:p w:rsidR="00B26FB3" w:rsidP="00C14CAD" w14:paraId="7D3B6771" w14:textId="48EF8A20">
            <w:pPr>
              <w:spacing w:after="0" w:line="240" w:lineRule="auto"/>
              <w:rPr>
                <w:rFonts w:ascii="Calibri" w:hAnsi="Calibri" w:cs="Calibri"/>
                <w:color w:val="000000"/>
              </w:rPr>
            </w:pPr>
            <w:r>
              <w:rPr>
                <w:rFonts w:ascii="Calibri" w:hAnsi="Calibri" w:cs="Calibri"/>
                <w:color w:val="000000"/>
              </w:rPr>
              <w:t>$</w:t>
            </w:r>
            <w:r w:rsidR="00985F7E">
              <w:rPr>
                <w:rFonts w:ascii="Calibri" w:hAnsi="Calibri" w:cs="Calibri"/>
                <w:color w:val="000000"/>
              </w:rPr>
              <w:t xml:space="preserve">           </w:t>
            </w:r>
            <w:r>
              <w:rPr>
                <w:rFonts w:ascii="Calibri" w:hAnsi="Calibri" w:cs="Calibri"/>
                <w:color w:val="000000"/>
              </w:rPr>
              <w:t xml:space="preserve">179.88 </w:t>
            </w:r>
          </w:p>
          <w:p w:rsidR="00B26FB3" w:rsidRPr="00852796" w:rsidP="00C14CAD" w14:paraId="6AFC5F1F" w14:textId="77777777">
            <w:pPr>
              <w:spacing w:after="0" w:line="240" w:lineRule="auto"/>
              <w:rPr>
                <w:rFonts w:ascii="Calibri" w:eastAsia="Times New Roman" w:hAnsi="Calibri" w:cs="Calibri"/>
                <w:color w:val="000000"/>
              </w:rPr>
            </w:pPr>
          </w:p>
        </w:tc>
      </w:tr>
      <w:tr w14:paraId="67FAF631"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3FF949E1"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center"/>
            <w:hideMark/>
          </w:tcPr>
          <w:p w:rsidR="00B26FB3" w:rsidRPr="00852796" w:rsidP="00C14CAD" w14:paraId="599403FE"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Tablets for accessing either a web-based or email-based system</w:t>
            </w:r>
          </w:p>
        </w:tc>
        <w:tc>
          <w:tcPr>
            <w:tcW w:w="1975" w:type="dxa"/>
            <w:tcBorders>
              <w:top w:val="nil"/>
              <w:left w:val="nil"/>
              <w:bottom w:val="single" w:sz="4" w:space="0" w:color="auto"/>
              <w:right w:val="single" w:sz="4" w:space="0" w:color="auto"/>
            </w:tcBorders>
          </w:tcPr>
          <w:p w:rsidR="00985F7E" w:rsidP="00C14CAD" w14:paraId="03E9D002" w14:textId="2031C9B2">
            <w:pPr>
              <w:spacing w:after="0" w:line="240" w:lineRule="auto"/>
              <w:rPr>
                <w:rFonts w:ascii="Calibri" w:eastAsia="Times New Roman" w:hAnsi="Calibri" w:cs="Calibri"/>
                <w:color w:val="000000"/>
              </w:rPr>
            </w:pPr>
            <w:r>
              <w:rPr>
                <w:rFonts w:ascii="Calibri" w:eastAsia="Times New Roman" w:hAnsi="Calibri" w:cs="Calibri"/>
                <w:color w:val="000000"/>
              </w:rPr>
              <w:t>$</w:t>
            </w:r>
            <w:r>
              <w:rPr>
                <w:rFonts w:ascii="Calibri" w:hAnsi="Calibri" w:cs="Calibri"/>
                <w:color w:val="000000"/>
              </w:rPr>
              <w:t xml:space="preserve">   </w:t>
            </w:r>
            <w:r>
              <w:rPr>
                <w:rFonts w:ascii="Calibri" w:eastAsia="Times New Roman" w:hAnsi="Calibri" w:cs="Calibri"/>
                <w:color w:val="000000"/>
              </w:rPr>
              <w:t xml:space="preserve">595.67 (iPad), </w:t>
            </w:r>
          </w:p>
          <w:p w:rsidR="00B26FB3" w:rsidRPr="00852796" w:rsidP="00C14CAD" w14:paraId="1E6A1D83" w14:textId="105ABA1D">
            <w:pPr>
              <w:spacing w:after="0" w:line="240" w:lineRule="auto"/>
              <w:rPr>
                <w:rFonts w:ascii="Calibri" w:eastAsia="Times New Roman" w:hAnsi="Calibri" w:cs="Calibri"/>
                <w:color w:val="000000"/>
              </w:rPr>
            </w:pPr>
            <w:r>
              <w:rPr>
                <w:rFonts w:ascii="Calibri" w:eastAsia="Times New Roman" w:hAnsi="Calibri" w:cs="Calibri"/>
                <w:color w:val="000000"/>
              </w:rPr>
              <w:t>$</w:t>
            </w:r>
            <w:r w:rsidR="00985F7E">
              <w:rPr>
                <w:rFonts w:ascii="Calibri" w:hAnsi="Calibri" w:cs="Calibri"/>
                <w:color w:val="000000"/>
              </w:rPr>
              <w:t xml:space="preserve">   </w:t>
            </w:r>
            <w:r>
              <w:rPr>
                <w:rFonts w:ascii="Calibri" w:eastAsia="Times New Roman" w:hAnsi="Calibri" w:cs="Calibri"/>
                <w:color w:val="000000"/>
              </w:rPr>
              <w:t>849.99 (android)</w:t>
            </w:r>
          </w:p>
        </w:tc>
      </w:tr>
      <w:tr w14:paraId="2C6B5665" w14:textId="77777777" w:rsidTr="00B26FB3">
        <w:tblPrEx>
          <w:tblW w:w="9350" w:type="dxa"/>
          <w:tblLook w:val="04A0"/>
        </w:tblPrEx>
        <w:trPr>
          <w:trHeight w:val="268"/>
        </w:trPr>
        <w:tc>
          <w:tcPr>
            <w:tcW w:w="2685" w:type="dxa"/>
            <w:vMerge w:val="restart"/>
            <w:tcBorders>
              <w:top w:val="nil"/>
              <w:left w:val="single" w:sz="4" w:space="0" w:color="auto"/>
              <w:bottom w:val="single" w:sz="4" w:space="0" w:color="auto"/>
              <w:right w:val="single" w:sz="4" w:space="0" w:color="auto"/>
            </w:tcBorders>
            <w:shd w:val="clear" w:color="auto" w:fill="auto"/>
            <w:hideMark/>
          </w:tcPr>
          <w:p w:rsidR="00B26FB3" w:rsidRPr="00852796" w:rsidP="00C14CAD" w14:paraId="21C39A35"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Law Enforcement Phlebotomy Equipment</w:t>
            </w: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67FFA603"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Pelican Case</w:t>
            </w:r>
          </w:p>
        </w:tc>
        <w:tc>
          <w:tcPr>
            <w:tcW w:w="1975" w:type="dxa"/>
            <w:tcBorders>
              <w:top w:val="nil"/>
              <w:left w:val="nil"/>
              <w:bottom w:val="single" w:sz="4" w:space="0" w:color="auto"/>
              <w:right w:val="single" w:sz="4" w:space="0" w:color="auto"/>
            </w:tcBorders>
            <w:vAlign w:val="bottom"/>
          </w:tcPr>
          <w:p w:rsidR="00B26FB3" w:rsidRPr="00852796" w:rsidP="00C14CAD" w14:paraId="5590BB39" w14:textId="77777777">
            <w:pPr>
              <w:spacing w:after="0" w:line="240" w:lineRule="auto"/>
              <w:rPr>
                <w:rFonts w:ascii="Calibri" w:eastAsia="Times New Roman" w:hAnsi="Calibri" w:cs="Calibri"/>
                <w:color w:val="000000"/>
              </w:rPr>
            </w:pPr>
            <w:r>
              <w:rPr>
                <w:rFonts w:ascii="Calibri" w:hAnsi="Calibri" w:cs="Calibri"/>
                <w:color w:val="000000"/>
              </w:rPr>
              <w:t xml:space="preserve"> $           321.95 </w:t>
            </w:r>
          </w:p>
        </w:tc>
      </w:tr>
      <w:tr w14:paraId="65F0D004"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2CDE2E9E"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62AF39A4"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Butterfly Needles</w:t>
            </w:r>
          </w:p>
        </w:tc>
        <w:tc>
          <w:tcPr>
            <w:tcW w:w="1975" w:type="dxa"/>
            <w:tcBorders>
              <w:top w:val="nil"/>
              <w:left w:val="nil"/>
              <w:bottom w:val="single" w:sz="4" w:space="0" w:color="auto"/>
              <w:right w:val="single" w:sz="4" w:space="0" w:color="auto"/>
            </w:tcBorders>
            <w:vAlign w:val="bottom"/>
          </w:tcPr>
          <w:p w:rsidR="00B26FB3" w:rsidRPr="00852796" w:rsidP="00C14CAD" w14:paraId="77432509" w14:textId="77777777">
            <w:pPr>
              <w:spacing w:after="0" w:line="240" w:lineRule="auto"/>
              <w:rPr>
                <w:rFonts w:ascii="Calibri" w:eastAsia="Times New Roman" w:hAnsi="Calibri" w:cs="Calibri"/>
                <w:color w:val="000000"/>
              </w:rPr>
            </w:pPr>
            <w:r>
              <w:rPr>
                <w:rFonts w:ascii="Calibri" w:hAnsi="Calibri" w:cs="Calibri"/>
                <w:color w:val="000000"/>
              </w:rPr>
              <w:t xml:space="preserve"> $           300.30 </w:t>
            </w:r>
          </w:p>
        </w:tc>
      </w:tr>
      <w:tr w14:paraId="0CCADC12"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62690C22"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730356A8"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Straight Needles</w:t>
            </w:r>
          </w:p>
        </w:tc>
        <w:tc>
          <w:tcPr>
            <w:tcW w:w="1975" w:type="dxa"/>
            <w:tcBorders>
              <w:top w:val="nil"/>
              <w:left w:val="nil"/>
              <w:bottom w:val="single" w:sz="4" w:space="0" w:color="auto"/>
              <w:right w:val="single" w:sz="4" w:space="0" w:color="auto"/>
            </w:tcBorders>
            <w:vAlign w:val="bottom"/>
          </w:tcPr>
          <w:p w:rsidR="00B26FB3" w:rsidRPr="00852796" w:rsidP="00C14CAD" w14:paraId="622050DB" w14:textId="77777777">
            <w:pPr>
              <w:spacing w:after="0" w:line="240" w:lineRule="auto"/>
              <w:rPr>
                <w:rFonts w:ascii="Calibri" w:eastAsia="Times New Roman" w:hAnsi="Calibri" w:cs="Calibri"/>
                <w:color w:val="000000"/>
              </w:rPr>
            </w:pPr>
            <w:r>
              <w:rPr>
                <w:rFonts w:ascii="Calibri" w:hAnsi="Calibri" w:cs="Calibri"/>
                <w:color w:val="000000"/>
              </w:rPr>
              <w:t xml:space="preserve"> $           224.22 </w:t>
            </w:r>
          </w:p>
        </w:tc>
      </w:tr>
      <w:tr w14:paraId="1CEC23DB"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5D695157"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2C62564A"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Vacutainer</w:t>
            </w:r>
          </w:p>
        </w:tc>
        <w:tc>
          <w:tcPr>
            <w:tcW w:w="1975" w:type="dxa"/>
            <w:tcBorders>
              <w:top w:val="nil"/>
              <w:left w:val="nil"/>
              <w:bottom w:val="single" w:sz="4" w:space="0" w:color="auto"/>
              <w:right w:val="single" w:sz="4" w:space="0" w:color="auto"/>
            </w:tcBorders>
            <w:vAlign w:val="bottom"/>
          </w:tcPr>
          <w:p w:rsidR="00B26FB3" w:rsidRPr="00852796" w:rsidP="00C14CAD" w14:paraId="53952CFF" w14:textId="77777777">
            <w:pPr>
              <w:spacing w:after="0" w:line="240" w:lineRule="auto"/>
              <w:rPr>
                <w:rFonts w:ascii="Calibri" w:eastAsia="Times New Roman" w:hAnsi="Calibri" w:cs="Calibri"/>
                <w:color w:val="000000"/>
              </w:rPr>
            </w:pPr>
            <w:r>
              <w:rPr>
                <w:rFonts w:ascii="Calibri" w:hAnsi="Calibri" w:cs="Calibri"/>
                <w:color w:val="000000"/>
              </w:rPr>
              <w:t xml:space="preserve"> $             68.26 </w:t>
            </w:r>
          </w:p>
        </w:tc>
      </w:tr>
      <w:tr w14:paraId="06560F6E"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2A284DA5"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6737788C"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Tourniquets</w:t>
            </w:r>
          </w:p>
        </w:tc>
        <w:tc>
          <w:tcPr>
            <w:tcW w:w="1975" w:type="dxa"/>
            <w:tcBorders>
              <w:top w:val="nil"/>
              <w:left w:val="nil"/>
              <w:bottom w:val="single" w:sz="4" w:space="0" w:color="auto"/>
              <w:right w:val="single" w:sz="4" w:space="0" w:color="auto"/>
            </w:tcBorders>
            <w:vAlign w:val="bottom"/>
          </w:tcPr>
          <w:p w:rsidR="00B26FB3" w:rsidRPr="00852796" w:rsidP="00C14CAD" w14:paraId="5618893F" w14:textId="77777777">
            <w:pPr>
              <w:spacing w:after="0" w:line="240" w:lineRule="auto"/>
              <w:rPr>
                <w:rFonts w:ascii="Calibri" w:eastAsia="Times New Roman" w:hAnsi="Calibri" w:cs="Calibri"/>
                <w:color w:val="000000"/>
              </w:rPr>
            </w:pPr>
            <w:r>
              <w:rPr>
                <w:rFonts w:ascii="Calibri" w:hAnsi="Calibri" w:cs="Calibri"/>
                <w:color w:val="000000"/>
              </w:rPr>
              <w:t xml:space="preserve"> $             93.92 </w:t>
            </w:r>
          </w:p>
        </w:tc>
      </w:tr>
      <w:tr w14:paraId="16A79E14"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2E9AA4C3"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7DAF9059"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Gauze</w:t>
            </w:r>
          </w:p>
        </w:tc>
        <w:tc>
          <w:tcPr>
            <w:tcW w:w="1975" w:type="dxa"/>
            <w:tcBorders>
              <w:top w:val="nil"/>
              <w:left w:val="nil"/>
              <w:bottom w:val="single" w:sz="4" w:space="0" w:color="auto"/>
              <w:right w:val="single" w:sz="4" w:space="0" w:color="auto"/>
            </w:tcBorders>
            <w:vAlign w:val="bottom"/>
          </w:tcPr>
          <w:p w:rsidR="00B26FB3" w:rsidRPr="00852796" w:rsidP="00C14CAD" w14:paraId="5341996C" w14:textId="77777777">
            <w:pPr>
              <w:spacing w:after="0" w:line="240" w:lineRule="auto"/>
              <w:rPr>
                <w:rFonts w:ascii="Calibri" w:eastAsia="Times New Roman" w:hAnsi="Calibri" w:cs="Calibri"/>
                <w:color w:val="000000"/>
              </w:rPr>
            </w:pPr>
            <w:r>
              <w:rPr>
                <w:rFonts w:ascii="Calibri" w:hAnsi="Calibri" w:cs="Calibri"/>
                <w:color w:val="000000"/>
              </w:rPr>
              <w:t xml:space="preserve"> $             42.44 </w:t>
            </w:r>
          </w:p>
        </w:tc>
      </w:tr>
      <w:tr w14:paraId="23A60136"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37681093"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2E50B0CB"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Cohesive Tape</w:t>
            </w:r>
          </w:p>
        </w:tc>
        <w:tc>
          <w:tcPr>
            <w:tcW w:w="1975" w:type="dxa"/>
            <w:tcBorders>
              <w:top w:val="nil"/>
              <w:left w:val="nil"/>
              <w:bottom w:val="single" w:sz="4" w:space="0" w:color="auto"/>
              <w:right w:val="single" w:sz="4" w:space="0" w:color="auto"/>
            </w:tcBorders>
            <w:vAlign w:val="bottom"/>
          </w:tcPr>
          <w:p w:rsidR="00B26FB3" w:rsidRPr="00852796" w:rsidP="00C14CAD" w14:paraId="689B29F8" w14:textId="77777777">
            <w:pPr>
              <w:spacing w:after="0" w:line="240" w:lineRule="auto"/>
              <w:rPr>
                <w:rFonts w:ascii="Calibri" w:eastAsia="Times New Roman" w:hAnsi="Calibri" w:cs="Calibri"/>
                <w:color w:val="000000"/>
              </w:rPr>
            </w:pPr>
            <w:r>
              <w:rPr>
                <w:rFonts w:ascii="Calibri" w:hAnsi="Calibri" w:cs="Calibri"/>
                <w:color w:val="000000"/>
              </w:rPr>
              <w:t xml:space="preserve"> $             22.70 </w:t>
            </w:r>
          </w:p>
        </w:tc>
      </w:tr>
      <w:tr w14:paraId="5C70365F"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32894098"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567FE81A"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Textbooks</w:t>
            </w:r>
          </w:p>
        </w:tc>
        <w:tc>
          <w:tcPr>
            <w:tcW w:w="1975" w:type="dxa"/>
            <w:tcBorders>
              <w:top w:val="nil"/>
              <w:left w:val="nil"/>
              <w:bottom w:val="single" w:sz="4" w:space="0" w:color="auto"/>
              <w:right w:val="single" w:sz="4" w:space="0" w:color="auto"/>
            </w:tcBorders>
            <w:vAlign w:val="bottom"/>
          </w:tcPr>
          <w:p w:rsidR="00B26FB3" w:rsidRPr="00852796" w:rsidP="00C14CAD" w14:paraId="03F801F8" w14:textId="77777777">
            <w:pPr>
              <w:spacing w:after="0" w:line="240" w:lineRule="auto"/>
              <w:rPr>
                <w:rFonts w:ascii="Calibri" w:eastAsia="Times New Roman" w:hAnsi="Calibri" w:cs="Calibri"/>
                <w:color w:val="000000"/>
              </w:rPr>
            </w:pPr>
            <w:r>
              <w:rPr>
                <w:rFonts w:ascii="Calibri" w:hAnsi="Calibri" w:cs="Calibri"/>
                <w:color w:val="000000"/>
              </w:rPr>
              <w:t xml:space="preserve"> $           147.50 </w:t>
            </w:r>
          </w:p>
        </w:tc>
      </w:tr>
      <w:tr w14:paraId="1795C13B"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57E2CBF4"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32B729A1"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Tuition for Forensic Phlebotomy Training</w:t>
            </w:r>
          </w:p>
        </w:tc>
        <w:tc>
          <w:tcPr>
            <w:tcW w:w="1975" w:type="dxa"/>
            <w:tcBorders>
              <w:top w:val="nil"/>
              <w:left w:val="nil"/>
              <w:bottom w:val="single" w:sz="4" w:space="0" w:color="auto"/>
              <w:right w:val="single" w:sz="4" w:space="0" w:color="auto"/>
            </w:tcBorders>
            <w:vAlign w:val="bottom"/>
          </w:tcPr>
          <w:p w:rsidR="00B26FB3" w:rsidRPr="00852796" w:rsidP="00C14CAD" w14:paraId="37C4E519" w14:textId="77777777">
            <w:pPr>
              <w:spacing w:after="0" w:line="240" w:lineRule="auto"/>
              <w:rPr>
                <w:rFonts w:ascii="Calibri" w:eastAsia="Times New Roman" w:hAnsi="Calibri" w:cs="Calibri"/>
                <w:color w:val="000000"/>
              </w:rPr>
            </w:pPr>
            <w:r>
              <w:rPr>
                <w:rFonts w:ascii="Calibri" w:hAnsi="Calibri" w:cs="Calibri"/>
                <w:color w:val="000000"/>
              </w:rPr>
              <w:t xml:space="preserve"> $           780.63 </w:t>
            </w:r>
          </w:p>
        </w:tc>
      </w:tr>
      <w:tr w14:paraId="787A8590"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6722C368"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3BAF57DB"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Hotels for training</w:t>
            </w:r>
          </w:p>
        </w:tc>
        <w:tc>
          <w:tcPr>
            <w:tcW w:w="1975" w:type="dxa"/>
            <w:tcBorders>
              <w:top w:val="nil"/>
              <w:left w:val="nil"/>
              <w:bottom w:val="single" w:sz="4" w:space="0" w:color="auto"/>
              <w:right w:val="single" w:sz="4" w:space="0" w:color="auto"/>
            </w:tcBorders>
            <w:vAlign w:val="bottom"/>
          </w:tcPr>
          <w:p w:rsidR="00B26FB3" w:rsidRPr="00852796" w:rsidP="00C14CAD" w14:paraId="50CA35B0" w14:textId="77777777">
            <w:pPr>
              <w:spacing w:after="0" w:line="240" w:lineRule="auto"/>
              <w:rPr>
                <w:rFonts w:ascii="Calibri" w:eastAsia="Times New Roman" w:hAnsi="Calibri" w:cs="Calibri"/>
                <w:color w:val="000000"/>
              </w:rPr>
            </w:pPr>
            <w:r>
              <w:rPr>
                <w:rFonts w:ascii="Calibri" w:hAnsi="Calibri" w:cs="Calibri"/>
                <w:color w:val="000000"/>
              </w:rPr>
              <w:t xml:space="preserve"> $       1,490.00 </w:t>
            </w:r>
          </w:p>
        </w:tc>
      </w:tr>
      <w:tr w14:paraId="3F1E9514"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0F62E358"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5FB86E86"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Meals for training</w:t>
            </w:r>
          </w:p>
        </w:tc>
        <w:tc>
          <w:tcPr>
            <w:tcW w:w="1975" w:type="dxa"/>
            <w:tcBorders>
              <w:top w:val="nil"/>
              <w:left w:val="nil"/>
              <w:bottom w:val="single" w:sz="4" w:space="0" w:color="auto"/>
              <w:right w:val="single" w:sz="4" w:space="0" w:color="auto"/>
            </w:tcBorders>
            <w:vAlign w:val="bottom"/>
          </w:tcPr>
          <w:p w:rsidR="00B26FB3" w:rsidRPr="00852796" w:rsidP="00C14CAD" w14:paraId="4174F66D" w14:textId="77777777">
            <w:pPr>
              <w:spacing w:after="0" w:line="240" w:lineRule="auto"/>
              <w:rPr>
                <w:rFonts w:ascii="Calibri" w:eastAsia="Times New Roman" w:hAnsi="Calibri" w:cs="Calibri"/>
                <w:color w:val="000000"/>
              </w:rPr>
            </w:pPr>
            <w:r>
              <w:rPr>
                <w:rFonts w:ascii="Calibri" w:hAnsi="Calibri" w:cs="Calibri"/>
                <w:color w:val="000000"/>
              </w:rPr>
              <w:t xml:space="preserve"> $           640.00 </w:t>
            </w:r>
          </w:p>
        </w:tc>
      </w:tr>
      <w:tr w14:paraId="7D43A6C5"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134A062C"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19DB7AA9"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Dynarex</w:t>
            </w:r>
            <w:r w:rsidRPr="00852796">
              <w:rPr>
                <w:rFonts w:ascii="Calibri" w:eastAsia="Times New Roman" w:hAnsi="Calibri" w:cs="Calibri"/>
                <w:color w:val="000000"/>
              </w:rPr>
              <w:t xml:space="preserve"> Blood Collection Holder</w:t>
            </w:r>
          </w:p>
        </w:tc>
        <w:tc>
          <w:tcPr>
            <w:tcW w:w="1975" w:type="dxa"/>
            <w:tcBorders>
              <w:top w:val="nil"/>
              <w:left w:val="nil"/>
              <w:bottom w:val="single" w:sz="4" w:space="0" w:color="auto"/>
              <w:right w:val="single" w:sz="4" w:space="0" w:color="auto"/>
            </w:tcBorders>
            <w:vAlign w:val="bottom"/>
          </w:tcPr>
          <w:p w:rsidR="00B26FB3" w:rsidRPr="00852796" w:rsidP="00C14CAD" w14:paraId="13FD7379" w14:textId="77777777">
            <w:pPr>
              <w:spacing w:after="0" w:line="240" w:lineRule="auto"/>
              <w:rPr>
                <w:rFonts w:ascii="Calibri" w:eastAsia="Times New Roman" w:hAnsi="Calibri" w:cs="Calibri"/>
                <w:color w:val="000000"/>
              </w:rPr>
            </w:pPr>
            <w:r>
              <w:rPr>
                <w:rFonts w:ascii="Calibri" w:hAnsi="Calibri" w:cs="Calibri"/>
                <w:color w:val="000000"/>
              </w:rPr>
              <w:t xml:space="preserve"> $             57.84 </w:t>
            </w:r>
          </w:p>
        </w:tc>
      </w:tr>
      <w:tr w14:paraId="588BC764"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2761CE27"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6E2E67EF"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Medline Sharps Container</w:t>
            </w:r>
          </w:p>
        </w:tc>
        <w:tc>
          <w:tcPr>
            <w:tcW w:w="1975" w:type="dxa"/>
            <w:tcBorders>
              <w:top w:val="nil"/>
              <w:left w:val="nil"/>
              <w:bottom w:val="single" w:sz="4" w:space="0" w:color="auto"/>
              <w:right w:val="single" w:sz="4" w:space="0" w:color="auto"/>
            </w:tcBorders>
            <w:vAlign w:val="bottom"/>
          </w:tcPr>
          <w:p w:rsidR="00B26FB3" w:rsidRPr="00852796" w:rsidP="00C14CAD" w14:paraId="05563DC1" w14:textId="77777777">
            <w:pPr>
              <w:spacing w:after="0" w:line="240" w:lineRule="auto"/>
              <w:rPr>
                <w:rFonts w:ascii="Calibri" w:eastAsia="Times New Roman" w:hAnsi="Calibri" w:cs="Calibri"/>
                <w:color w:val="000000"/>
              </w:rPr>
            </w:pPr>
            <w:r>
              <w:rPr>
                <w:rFonts w:ascii="Calibri" w:hAnsi="Calibri" w:cs="Calibri"/>
                <w:color w:val="000000"/>
              </w:rPr>
              <w:t xml:space="preserve"> $             77.75 </w:t>
            </w:r>
          </w:p>
        </w:tc>
      </w:tr>
      <w:tr w14:paraId="447A5D12"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056D1C9A"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45EEE82F"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Chloride Swabs</w:t>
            </w:r>
          </w:p>
        </w:tc>
        <w:tc>
          <w:tcPr>
            <w:tcW w:w="1975" w:type="dxa"/>
            <w:tcBorders>
              <w:top w:val="nil"/>
              <w:left w:val="nil"/>
              <w:bottom w:val="single" w:sz="4" w:space="0" w:color="auto"/>
              <w:right w:val="single" w:sz="4" w:space="0" w:color="auto"/>
            </w:tcBorders>
            <w:vAlign w:val="bottom"/>
          </w:tcPr>
          <w:p w:rsidR="00B26FB3" w:rsidRPr="00852796" w:rsidP="00C14CAD" w14:paraId="794E1B4D" w14:textId="77777777">
            <w:pPr>
              <w:spacing w:after="0" w:line="240" w:lineRule="auto"/>
              <w:rPr>
                <w:rFonts w:ascii="Calibri" w:eastAsia="Times New Roman" w:hAnsi="Calibri" w:cs="Calibri"/>
                <w:color w:val="000000"/>
              </w:rPr>
            </w:pPr>
            <w:r>
              <w:rPr>
                <w:rFonts w:ascii="Calibri" w:hAnsi="Calibri" w:cs="Calibri"/>
                <w:color w:val="000000"/>
              </w:rPr>
              <w:t xml:space="preserve"> $             15.99 </w:t>
            </w:r>
          </w:p>
        </w:tc>
      </w:tr>
      <w:tr w14:paraId="123046D4"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25515E5F"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3D9E2C64"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Self</w:t>
            </w:r>
            <w:r>
              <w:rPr>
                <w:rFonts w:ascii="Calibri" w:eastAsia="Times New Roman" w:hAnsi="Calibri" w:cs="Calibri"/>
                <w:color w:val="000000"/>
              </w:rPr>
              <w:t>-</w:t>
            </w:r>
            <w:r w:rsidRPr="00852796">
              <w:rPr>
                <w:rFonts w:ascii="Calibri" w:eastAsia="Times New Roman" w:hAnsi="Calibri" w:cs="Calibri"/>
                <w:color w:val="000000"/>
              </w:rPr>
              <w:t>Adherent Bandages</w:t>
            </w:r>
          </w:p>
        </w:tc>
        <w:tc>
          <w:tcPr>
            <w:tcW w:w="1975" w:type="dxa"/>
            <w:tcBorders>
              <w:top w:val="nil"/>
              <w:left w:val="nil"/>
              <w:bottom w:val="single" w:sz="4" w:space="0" w:color="auto"/>
              <w:right w:val="single" w:sz="4" w:space="0" w:color="auto"/>
            </w:tcBorders>
            <w:vAlign w:val="bottom"/>
          </w:tcPr>
          <w:p w:rsidR="00B26FB3" w:rsidRPr="00852796" w:rsidP="00C14CAD" w14:paraId="7819D5E9" w14:textId="77777777">
            <w:pPr>
              <w:spacing w:after="0" w:line="240" w:lineRule="auto"/>
              <w:rPr>
                <w:rFonts w:ascii="Calibri" w:eastAsia="Times New Roman" w:hAnsi="Calibri" w:cs="Calibri"/>
                <w:color w:val="000000"/>
              </w:rPr>
            </w:pPr>
            <w:r>
              <w:rPr>
                <w:rFonts w:ascii="Calibri" w:hAnsi="Calibri" w:cs="Calibri"/>
                <w:color w:val="000000"/>
              </w:rPr>
              <w:t xml:space="preserve"> $             15.00 </w:t>
            </w:r>
          </w:p>
        </w:tc>
      </w:tr>
      <w:tr w14:paraId="6BCE2C22"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6119FE2B"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3D389894"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Surgical Sponges</w:t>
            </w:r>
          </w:p>
        </w:tc>
        <w:tc>
          <w:tcPr>
            <w:tcW w:w="1975" w:type="dxa"/>
            <w:tcBorders>
              <w:top w:val="nil"/>
              <w:left w:val="nil"/>
              <w:bottom w:val="single" w:sz="4" w:space="0" w:color="auto"/>
              <w:right w:val="single" w:sz="4" w:space="0" w:color="auto"/>
            </w:tcBorders>
            <w:vAlign w:val="bottom"/>
          </w:tcPr>
          <w:p w:rsidR="00B26FB3" w:rsidRPr="00852796" w:rsidP="00C14CAD" w14:paraId="3F424141" w14:textId="77777777">
            <w:pPr>
              <w:spacing w:after="0" w:line="240" w:lineRule="auto"/>
              <w:rPr>
                <w:rFonts w:ascii="Calibri" w:eastAsia="Times New Roman" w:hAnsi="Calibri" w:cs="Calibri"/>
                <w:color w:val="000000"/>
              </w:rPr>
            </w:pPr>
            <w:r>
              <w:rPr>
                <w:rFonts w:ascii="Calibri" w:hAnsi="Calibri" w:cs="Calibri"/>
                <w:color w:val="000000"/>
              </w:rPr>
              <w:t xml:space="preserve"> $               5.99 </w:t>
            </w:r>
          </w:p>
        </w:tc>
      </w:tr>
      <w:tr w14:paraId="51D0D555"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5F80062B"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4D79762A"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Blood Collection Tray</w:t>
            </w:r>
          </w:p>
        </w:tc>
        <w:tc>
          <w:tcPr>
            <w:tcW w:w="1975" w:type="dxa"/>
            <w:tcBorders>
              <w:top w:val="nil"/>
              <w:left w:val="nil"/>
              <w:bottom w:val="single" w:sz="4" w:space="0" w:color="auto"/>
              <w:right w:val="single" w:sz="4" w:space="0" w:color="auto"/>
            </w:tcBorders>
            <w:vAlign w:val="bottom"/>
          </w:tcPr>
          <w:p w:rsidR="00B26FB3" w:rsidRPr="00852796" w:rsidP="00C14CAD" w14:paraId="47B6FB3B" w14:textId="77777777">
            <w:pPr>
              <w:spacing w:after="0" w:line="240" w:lineRule="auto"/>
              <w:rPr>
                <w:rFonts w:ascii="Calibri" w:eastAsia="Times New Roman" w:hAnsi="Calibri" w:cs="Calibri"/>
                <w:color w:val="000000"/>
              </w:rPr>
            </w:pPr>
            <w:r>
              <w:rPr>
                <w:rFonts w:ascii="Calibri" w:hAnsi="Calibri" w:cs="Calibri"/>
                <w:color w:val="000000"/>
              </w:rPr>
              <w:t xml:space="preserve"> $             66.01 </w:t>
            </w:r>
          </w:p>
        </w:tc>
      </w:tr>
      <w:tr w14:paraId="6A1CBDF8"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539501FB"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1679EDCD"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Scrubs</w:t>
            </w:r>
          </w:p>
        </w:tc>
        <w:tc>
          <w:tcPr>
            <w:tcW w:w="1975" w:type="dxa"/>
            <w:tcBorders>
              <w:top w:val="nil"/>
              <w:left w:val="nil"/>
              <w:bottom w:val="single" w:sz="4" w:space="0" w:color="auto"/>
              <w:right w:val="single" w:sz="4" w:space="0" w:color="auto"/>
            </w:tcBorders>
            <w:vAlign w:val="bottom"/>
          </w:tcPr>
          <w:p w:rsidR="00B26FB3" w:rsidRPr="00852796" w:rsidP="00C14CAD" w14:paraId="5EA48F5D" w14:textId="77777777">
            <w:pPr>
              <w:spacing w:after="0" w:line="240" w:lineRule="auto"/>
              <w:rPr>
                <w:rFonts w:ascii="Calibri" w:eastAsia="Times New Roman" w:hAnsi="Calibri" w:cs="Calibri"/>
                <w:color w:val="000000"/>
              </w:rPr>
            </w:pPr>
            <w:r>
              <w:rPr>
                <w:rFonts w:ascii="Calibri" w:hAnsi="Calibri" w:cs="Calibri"/>
                <w:color w:val="000000"/>
              </w:rPr>
              <w:t xml:space="preserve"> $             52.54 </w:t>
            </w:r>
          </w:p>
        </w:tc>
      </w:tr>
      <w:tr w14:paraId="2D00B1E9"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6BB0D577"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79FA3887"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Vein Finder</w:t>
            </w:r>
          </w:p>
        </w:tc>
        <w:tc>
          <w:tcPr>
            <w:tcW w:w="1975" w:type="dxa"/>
            <w:tcBorders>
              <w:top w:val="nil"/>
              <w:left w:val="nil"/>
              <w:bottom w:val="single" w:sz="4" w:space="0" w:color="auto"/>
              <w:right w:val="single" w:sz="4" w:space="0" w:color="auto"/>
            </w:tcBorders>
            <w:vAlign w:val="bottom"/>
          </w:tcPr>
          <w:p w:rsidR="00B26FB3" w:rsidRPr="00852796" w:rsidP="00C14CAD" w14:paraId="0F578E74" w14:textId="77777777">
            <w:pPr>
              <w:spacing w:after="0" w:line="240" w:lineRule="auto"/>
              <w:rPr>
                <w:rFonts w:ascii="Calibri" w:eastAsia="Times New Roman" w:hAnsi="Calibri" w:cs="Calibri"/>
                <w:color w:val="000000"/>
              </w:rPr>
            </w:pPr>
            <w:r>
              <w:rPr>
                <w:rFonts w:ascii="Calibri" w:hAnsi="Calibri" w:cs="Calibri"/>
                <w:color w:val="000000"/>
              </w:rPr>
              <w:t xml:space="preserve"> $       1,817.50 </w:t>
            </w:r>
          </w:p>
        </w:tc>
      </w:tr>
      <w:tr w14:paraId="6273A7AF"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0EB61336"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7A0BB0BE"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Phlebotomy Chair</w:t>
            </w:r>
          </w:p>
        </w:tc>
        <w:tc>
          <w:tcPr>
            <w:tcW w:w="1975" w:type="dxa"/>
            <w:tcBorders>
              <w:top w:val="nil"/>
              <w:left w:val="nil"/>
              <w:bottom w:val="single" w:sz="4" w:space="0" w:color="auto"/>
              <w:right w:val="single" w:sz="4" w:space="0" w:color="auto"/>
            </w:tcBorders>
            <w:vAlign w:val="bottom"/>
          </w:tcPr>
          <w:p w:rsidR="00B26FB3" w:rsidRPr="00852796" w:rsidP="00C14CAD" w14:paraId="2D8856B8" w14:textId="77777777">
            <w:pPr>
              <w:spacing w:after="0" w:line="240" w:lineRule="auto"/>
              <w:rPr>
                <w:rFonts w:ascii="Calibri" w:eastAsia="Times New Roman" w:hAnsi="Calibri" w:cs="Calibri"/>
                <w:color w:val="000000"/>
              </w:rPr>
            </w:pPr>
            <w:r>
              <w:rPr>
                <w:rFonts w:ascii="Calibri" w:hAnsi="Calibri" w:cs="Calibri"/>
                <w:color w:val="000000"/>
              </w:rPr>
              <w:t xml:space="preserve"> $           525.00 </w:t>
            </w:r>
          </w:p>
        </w:tc>
      </w:tr>
      <w:tr w14:paraId="16AD69D0"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09F4D26C"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103937A7"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Alcohol wipes</w:t>
            </w:r>
          </w:p>
        </w:tc>
        <w:tc>
          <w:tcPr>
            <w:tcW w:w="1975" w:type="dxa"/>
            <w:tcBorders>
              <w:top w:val="nil"/>
              <w:left w:val="nil"/>
              <w:bottom w:val="single" w:sz="4" w:space="0" w:color="auto"/>
              <w:right w:val="single" w:sz="4" w:space="0" w:color="auto"/>
            </w:tcBorders>
            <w:vAlign w:val="bottom"/>
          </w:tcPr>
          <w:p w:rsidR="00B26FB3" w:rsidRPr="00852796" w:rsidP="00C14CAD" w14:paraId="7E18C0E7" w14:textId="77777777">
            <w:pPr>
              <w:spacing w:after="0" w:line="240" w:lineRule="auto"/>
              <w:rPr>
                <w:rFonts w:ascii="Calibri" w:eastAsia="Times New Roman" w:hAnsi="Calibri" w:cs="Calibri"/>
                <w:color w:val="000000"/>
              </w:rPr>
            </w:pPr>
            <w:r>
              <w:rPr>
                <w:rFonts w:ascii="Calibri" w:hAnsi="Calibri" w:cs="Calibri"/>
                <w:color w:val="000000"/>
              </w:rPr>
              <w:t xml:space="preserve"> $             70.00 </w:t>
            </w:r>
          </w:p>
        </w:tc>
      </w:tr>
      <w:tr w14:paraId="2D6C2CC6"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15C108D6"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297CBD08"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 xml:space="preserve">Antiseptic Cleaning Wipes </w:t>
            </w:r>
          </w:p>
        </w:tc>
        <w:tc>
          <w:tcPr>
            <w:tcW w:w="1975" w:type="dxa"/>
            <w:tcBorders>
              <w:top w:val="nil"/>
              <w:left w:val="nil"/>
              <w:bottom w:val="single" w:sz="4" w:space="0" w:color="auto"/>
              <w:right w:val="single" w:sz="4" w:space="0" w:color="auto"/>
            </w:tcBorders>
            <w:vAlign w:val="bottom"/>
          </w:tcPr>
          <w:p w:rsidR="00B26FB3" w:rsidRPr="00852796" w:rsidP="00C14CAD" w14:paraId="316C93BB" w14:textId="77777777">
            <w:pPr>
              <w:spacing w:after="0" w:line="240" w:lineRule="auto"/>
              <w:rPr>
                <w:rFonts w:ascii="Calibri" w:eastAsia="Times New Roman" w:hAnsi="Calibri" w:cs="Calibri"/>
                <w:color w:val="000000"/>
              </w:rPr>
            </w:pPr>
            <w:r>
              <w:rPr>
                <w:rFonts w:ascii="Calibri" w:hAnsi="Calibri" w:cs="Calibri"/>
                <w:color w:val="000000"/>
              </w:rPr>
              <w:t xml:space="preserve"> $             50.00 </w:t>
            </w:r>
          </w:p>
        </w:tc>
      </w:tr>
      <w:tr w14:paraId="15EFD34F"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29FE787B"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2260C447"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Supply cabinet with lock</w:t>
            </w:r>
          </w:p>
        </w:tc>
        <w:tc>
          <w:tcPr>
            <w:tcW w:w="1975" w:type="dxa"/>
            <w:tcBorders>
              <w:top w:val="nil"/>
              <w:left w:val="nil"/>
              <w:bottom w:val="single" w:sz="4" w:space="0" w:color="auto"/>
              <w:right w:val="single" w:sz="4" w:space="0" w:color="auto"/>
            </w:tcBorders>
            <w:vAlign w:val="bottom"/>
          </w:tcPr>
          <w:p w:rsidR="00B26FB3" w:rsidRPr="00852796" w:rsidP="00C14CAD" w14:paraId="7556971B" w14:textId="77777777">
            <w:pPr>
              <w:spacing w:after="0" w:line="240" w:lineRule="auto"/>
              <w:rPr>
                <w:rFonts w:ascii="Calibri" w:eastAsia="Times New Roman" w:hAnsi="Calibri" w:cs="Calibri"/>
                <w:color w:val="000000"/>
              </w:rPr>
            </w:pPr>
            <w:r>
              <w:rPr>
                <w:rFonts w:ascii="Calibri" w:hAnsi="Calibri" w:cs="Calibri"/>
                <w:color w:val="000000"/>
              </w:rPr>
              <w:t xml:space="preserve"> $           150.00 </w:t>
            </w:r>
          </w:p>
        </w:tc>
      </w:tr>
      <w:tr w14:paraId="69C4DB19"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2C8A31C7"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4CA45BFC"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Supply tray/portable box</w:t>
            </w:r>
          </w:p>
        </w:tc>
        <w:tc>
          <w:tcPr>
            <w:tcW w:w="1975" w:type="dxa"/>
            <w:tcBorders>
              <w:top w:val="nil"/>
              <w:left w:val="nil"/>
              <w:bottom w:val="single" w:sz="4" w:space="0" w:color="auto"/>
              <w:right w:val="single" w:sz="4" w:space="0" w:color="auto"/>
            </w:tcBorders>
            <w:vAlign w:val="bottom"/>
          </w:tcPr>
          <w:p w:rsidR="00B26FB3" w:rsidRPr="00852796" w:rsidP="00C14CAD" w14:paraId="5869B154" w14:textId="77777777">
            <w:pPr>
              <w:spacing w:after="0" w:line="240" w:lineRule="auto"/>
              <w:rPr>
                <w:rFonts w:ascii="Calibri" w:eastAsia="Times New Roman" w:hAnsi="Calibri" w:cs="Calibri"/>
                <w:color w:val="000000"/>
              </w:rPr>
            </w:pPr>
            <w:r>
              <w:rPr>
                <w:rFonts w:ascii="Calibri" w:hAnsi="Calibri" w:cs="Calibri"/>
                <w:color w:val="000000"/>
              </w:rPr>
              <w:t xml:space="preserve"> $             50.00 </w:t>
            </w:r>
          </w:p>
        </w:tc>
      </w:tr>
      <w:tr w14:paraId="4A70807B"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40164A63"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32309EEB"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Storage of samples: Fridge with keyless lock</w:t>
            </w:r>
          </w:p>
        </w:tc>
        <w:tc>
          <w:tcPr>
            <w:tcW w:w="1975" w:type="dxa"/>
            <w:tcBorders>
              <w:top w:val="nil"/>
              <w:left w:val="nil"/>
              <w:bottom w:val="single" w:sz="4" w:space="0" w:color="auto"/>
              <w:right w:val="single" w:sz="4" w:space="0" w:color="auto"/>
            </w:tcBorders>
            <w:vAlign w:val="bottom"/>
          </w:tcPr>
          <w:p w:rsidR="00B26FB3" w:rsidRPr="00852796" w:rsidP="00C14CAD" w14:paraId="0E4D66E1" w14:textId="77777777">
            <w:pPr>
              <w:spacing w:after="0" w:line="240" w:lineRule="auto"/>
              <w:rPr>
                <w:rFonts w:ascii="Calibri" w:eastAsia="Times New Roman" w:hAnsi="Calibri" w:cs="Calibri"/>
                <w:color w:val="000000"/>
              </w:rPr>
            </w:pPr>
            <w:r>
              <w:rPr>
                <w:rFonts w:ascii="Calibri" w:hAnsi="Calibri" w:cs="Calibri"/>
                <w:color w:val="000000"/>
              </w:rPr>
              <w:t xml:space="preserve"> $           750.00 </w:t>
            </w:r>
          </w:p>
        </w:tc>
      </w:tr>
      <w:tr w14:paraId="143E0065"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58FDD81B"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1D587374"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 xml:space="preserve">Practice dummies /instructor demo supplies </w:t>
            </w:r>
          </w:p>
        </w:tc>
        <w:tc>
          <w:tcPr>
            <w:tcW w:w="1975" w:type="dxa"/>
            <w:tcBorders>
              <w:top w:val="nil"/>
              <w:left w:val="nil"/>
              <w:bottom w:val="single" w:sz="4" w:space="0" w:color="auto"/>
              <w:right w:val="single" w:sz="4" w:space="0" w:color="auto"/>
            </w:tcBorders>
            <w:vAlign w:val="bottom"/>
          </w:tcPr>
          <w:p w:rsidR="00B26FB3" w:rsidRPr="00852796" w:rsidP="00C14CAD" w14:paraId="6551F557" w14:textId="77777777">
            <w:pPr>
              <w:spacing w:after="0" w:line="240" w:lineRule="auto"/>
              <w:rPr>
                <w:rFonts w:ascii="Calibri" w:eastAsia="Times New Roman" w:hAnsi="Calibri" w:cs="Calibri"/>
                <w:color w:val="000000"/>
              </w:rPr>
            </w:pPr>
            <w:r>
              <w:rPr>
                <w:rFonts w:ascii="Calibri" w:hAnsi="Calibri" w:cs="Calibri"/>
                <w:color w:val="000000"/>
              </w:rPr>
              <w:t xml:space="preserve"> $           670.50 </w:t>
            </w:r>
          </w:p>
        </w:tc>
      </w:tr>
      <w:tr w14:paraId="2D5F7A68"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29A1EAD9"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43BB5D99"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Arm rest wedge</w:t>
            </w:r>
          </w:p>
        </w:tc>
        <w:tc>
          <w:tcPr>
            <w:tcW w:w="1975" w:type="dxa"/>
            <w:tcBorders>
              <w:top w:val="nil"/>
              <w:left w:val="nil"/>
              <w:bottom w:val="single" w:sz="4" w:space="0" w:color="auto"/>
              <w:right w:val="single" w:sz="4" w:space="0" w:color="auto"/>
            </w:tcBorders>
            <w:vAlign w:val="bottom"/>
          </w:tcPr>
          <w:p w:rsidR="00B26FB3" w:rsidRPr="00852796" w:rsidP="00C14CAD" w14:paraId="06029D76" w14:textId="77777777">
            <w:pPr>
              <w:spacing w:after="0" w:line="240" w:lineRule="auto"/>
              <w:rPr>
                <w:rFonts w:ascii="Calibri" w:eastAsia="Times New Roman" w:hAnsi="Calibri" w:cs="Calibri"/>
                <w:color w:val="000000"/>
              </w:rPr>
            </w:pPr>
            <w:r>
              <w:rPr>
                <w:rFonts w:ascii="Calibri" w:hAnsi="Calibri" w:cs="Calibri"/>
                <w:color w:val="000000"/>
              </w:rPr>
              <w:t xml:space="preserve"> $             50.00 </w:t>
            </w:r>
          </w:p>
        </w:tc>
      </w:tr>
      <w:tr w14:paraId="1AB472B6"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42E7A6A5"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4BF0F0FE"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Phlebotomy arm rest</w:t>
            </w:r>
          </w:p>
        </w:tc>
        <w:tc>
          <w:tcPr>
            <w:tcW w:w="1975" w:type="dxa"/>
            <w:tcBorders>
              <w:top w:val="nil"/>
              <w:left w:val="nil"/>
              <w:bottom w:val="single" w:sz="4" w:space="0" w:color="auto"/>
              <w:right w:val="single" w:sz="4" w:space="0" w:color="auto"/>
            </w:tcBorders>
            <w:vAlign w:val="bottom"/>
          </w:tcPr>
          <w:p w:rsidR="00B26FB3" w:rsidRPr="00852796" w:rsidP="00C14CAD" w14:paraId="755A0D12" w14:textId="77777777">
            <w:pPr>
              <w:spacing w:after="0" w:line="240" w:lineRule="auto"/>
              <w:rPr>
                <w:rFonts w:ascii="Calibri" w:eastAsia="Times New Roman" w:hAnsi="Calibri" w:cs="Calibri"/>
                <w:color w:val="000000"/>
              </w:rPr>
            </w:pPr>
            <w:r>
              <w:rPr>
                <w:rFonts w:ascii="Calibri" w:hAnsi="Calibri" w:cs="Calibri"/>
                <w:color w:val="000000"/>
              </w:rPr>
              <w:t xml:space="preserve"> $           300.00 </w:t>
            </w:r>
          </w:p>
        </w:tc>
      </w:tr>
      <w:tr w14:paraId="1427F422"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17A17DAC"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295EE2E3"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Phlebotomy Recert every 2 years</w:t>
            </w:r>
          </w:p>
        </w:tc>
        <w:tc>
          <w:tcPr>
            <w:tcW w:w="1975" w:type="dxa"/>
            <w:tcBorders>
              <w:top w:val="nil"/>
              <w:left w:val="nil"/>
              <w:bottom w:val="single" w:sz="4" w:space="0" w:color="auto"/>
              <w:right w:val="single" w:sz="4" w:space="0" w:color="auto"/>
            </w:tcBorders>
            <w:vAlign w:val="bottom"/>
          </w:tcPr>
          <w:p w:rsidR="00B26FB3" w:rsidRPr="00852796" w:rsidP="00C14CAD" w14:paraId="3832E92B" w14:textId="77777777">
            <w:pPr>
              <w:spacing w:after="0" w:line="240" w:lineRule="auto"/>
              <w:rPr>
                <w:rFonts w:ascii="Calibri" w:eastAsia="Times New Roman" w:hAnsi="Calibri" w:cs="Calibri"/>
                <w:color w:val="000000"/>
              </w:rPr>
            </w:pPr>
            <w:r>
              <w:rPr>
                <w:rFonts w:ascii="Calibri" w:hAnsi="Calibri" w:cs="Calibri"/>
                <w:color w:val="000000"/>
              </w:rPr>
              <w:t xml:space="preserve"> $           338.00 </w:t>
            </w:r>
          </w:p>
        </w:tc>
      </w:tr>
      <w:tr w14:paraId="45385231"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5BCD8A33"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773BBC29"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IFAK Trauma Kit</w:t>
            </w:r>
          </w:p>
        </w:tc>
        <w:tc>
          <w:tcPr>
            <w:tcW w:w="1975" w:type="dxa"/>
            <w:tcBorders>
              <w:top w:val="nil"/>
              <w:left w:val="nil"/>
              <w:bottom w:val="single" w:sz="4" w:space="0" w:color="auto"/>
              <w:right w:val="single" w:sz="4" w:space="0" w:color="auto"/>
            </w:tcBorders>
            <w:vAlign w:val="bottom"/>
          </w:tcPr>
          <w:p w:rsidR="00B26FB3" w:rsidRPr="00852796" w:rsidP="00C14CAD" w14:paraId="49AE77D7" w14:textId="77777777">
            <w:pPr>
              <w:spacing w:after="0" w:line="240" w:lineRule="auto"/>
              <w:rPr>
                <w:rFonts w:ascii="Calibri" w:eastAsia="Times New Roman" w:hAnsi="Calibri" w:cs="Calibri"/>
                <w:color w:val="000000"/>
              </w:rPr>
            </w:pPr>
            <w:r>
              <w:rPr>
                <w:rFonts w:ascii="Calibri" w:hAnsi="Calibri" w:cs="Calibri"/>
                <w:color w:val="000000"/>
              </w:rPr>
              <w:t xml:space="preserve"> $           140.00 </w:t>
            </w:r>
          </w:p>
        </w:tc>
      </w:tr>
      <w:tr w14:paraId="617B6219" w14:textId="77777777" w:rsidTr="00B26FB3">
        <w:tblPrEx>
          <w:tblW w:w="9350" w:type="dxa"/>
          <w:tblLook w:val="04A0"/>
        </w:tblPrEx>
        <w:trPr>
          <w:trHeight w:val="268"/>
        </w:trPr>
        <w:tc>
          <w:tcPr>
            <w:tcW w:w="2685" w:type="dxa"/>
            <w:vMerge w:val="restart"/>
            <w:tcBorders>
              <w:top w:val="nil"/>
              <w:left w:val="single" w:sz="4" w:space="0" w:color="auto"/>
              <w:bottom w:val="single" w:sz="4" w:space="0" w:color="auto"/>
              <w:right w:val="single" w:sz="4" w:space="0" w:color="auto"/>
            </w:tcBorders>
            <w:shd w:val="clear" w:color="auto" w:fill="auto"/>
            <w:hideMark/>
          </w:tcPr>
          <w:p w:rsidR="00B26FB3" w:rsidRPr="00852796" w:rsidP="00C14CAD" w14:paraId="1CB5E889"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Other equipment used during drug influence evaluations</w:t>
            </w: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09A6953B"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Breathalyzer</w:t>
            </w:r>
          </w:p>
        </w:tc>
        <w:tc>
          <w:tcPr>
            <w:tcW w:w="1975" w:type="dxa"/>
            <w:tcBorders>
              <w:top w:val="nil"/>
              <w:left w:val="nil"/>
              <w:bottom w:val="single" w:sz="4" w:space="0" w:color="auto"/>
              <w:right w:val="single" w:sz="4" w:space="0" w:color="auto"/>
            </w:tcBorders>
            <w:vAlign w:val="bottom"/>
          </w:tcPr>
          <w:p w:rsidR="00B26FB3" w:rsidRPr="00852796" w:rsidP="00C14CAD" w14:paraId="56B7BA85" w14:textId="77777777">
            <w:pPr>
              <w:spacing w:after="0" w:line="240" w:lineRule="auto"/>
              <w:rPr>
                <w:rFonts w:ascii="Calibri" w:eastAsia="Times New Roman" w:hAnsi="Calibri" w:cs="Calibri"/>
                <w:color w:val="000000"/>
              </w:rPr>
            </w:pPr>
            <w:r>
              <w:rPr>
                <w:rFonts w:ascii="Calibri" w:hAnsi="Calibri" w:cs="Calibri"/>
                <w:color w:val="000000"/>
              </w:rPr>
              <w:t xml:space="preserve"> $           410.00 </w:t>
            </w:r>
          </w:p>
        </w:tc>
      </w:tr>
      <w:tr w14:paraId="2EE82E78"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556F347E"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263DB6B1"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Backpack</w:t>
            </w:r>
          </w:p>
        </w:tc>
        <w:tc>
          <w:tcPr>
            <w:tcW w:w="1975" w:type="dxa"/>
            <w:tcBorders>
              <w:top w:val="nil"/>
              <w:left w:val="nil"/>
              <w:bottom w:val="single" w:sz="4" w:space="0" w:color="auto"/>
              <w:right w:val="single" w:sz="4" w:space="0" w:color="auto"/>
            </w:tcBorders>
            <w:vAlign w:val="bottom"/>
          </w:tcPr>
          <w:p w:rsidR="00B26FB3" w:rsidRPr="00852796" w:rsidP="00C14CAD" w14:paraId="289673E0" w14:textId="77777777">
            <w:pPr>
              <w:spacing w:after="0" w:line="240" w:lineRule="auto"/>
              <w:rPr>
                <w:rFonts w:ascii="Calibri" w:eastAsia="Times New Roman" w:hAnsi="Calibri" w:cs="Calibri"/>
                <w:color w:val="000000"/>
              </w:rPr>
            </w:pPr>
            <w:r>
              <w:rPr>
                <w:rFonts w:ascii="Calibri" w:hAnsi="Calibri" w:cs="Calibri"/>
                <w:color w:val="000000"/>
              </w:rPr>
              <w:t xml:space="preserve"> $             84.65 </w:t>
            </w:r>
          </w:p>
        </w:tc>
      </w:tr>
      <w:tr w14:paraId="170F5E27"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1C4B801F"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177EE687"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Briefcase</w:t>
            </w:r>
          </w:p>
        </w:tc>
        <w:tc>
          <w:tcPr>
            <w:tcW w:w="1975" w:type="dxa"/>
            <w:tcBorders>
              <w:top w:val="nil"/>
              <w:left w:val="nil"/>
              <w:bottom w:val="single" w:sz="4" w:space="0" w:color="auto"/>
              <w:right w:val="single" w:sz="4" w:space="0" w:color="auto"/>
            </w:tcBorders>
            <w:vAlign w:val="bottom"/>
          </w:tcPr>
          <w:p w:rsidR="00B26FB3" w:rsidRPr="00852796" w:rsidP="00C14CAD" w14:paraId="7A5E8488" w14:textId="77777777">
            <w:pPr>
              <w:spacing w:after="0" w:line="240" w:lineRule="auto"/>
              <w:rPr>
                <w:rFonts w:ascii="Calibri" w:eastAsia="Times New Roman" w:hAnsi="Calibri" w:cs="Calibri"/>
                <w:color w:val="000000"/>
              </w:rPr>
            </w:pPr>
            <w:r>
              <w:rPr>
                <w:rFonts w:ascii="Calibri" w:hAnsi="Calibri" w:cs="Calibri"/>
                <w:color w:val="000000"/>
              </w:rPr>
              <w:t xml:space="preserve"> $           131.31 </w:t>
            </w:r>
          </w:p>
        </w:tc>
      </w:tr>
      <w:tr w14:paraId="37B72F54"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439BC4AD"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49D4F7C4"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Sphygmomanometer</w:t>
            </w:r>
          </w:p>
        </w:tc>
        <w:tc>
          <w:tcPr>
            <w:tcW w:w="1975" w:type="dxa"/>
            <w:tcBorders>
              <w:top w:val="nil"/>
              <w:left w:val="nil"/>
              <w:bottom w:val="single" w:sz="4" w:space="0" w:color="auto"/>
              <w:right w:val="single" w:sz="4" w:space="0" w:color="auto"/>
            </w:tcBorders>
            <w:vAlign w:val="bottom"/>
          </w:tcPr>
          <w:p w:rsidR="00B26FB3" w:rsidRPr="00852796" w:rsidP="00C14CAD" w14:paraId="0A31E8A8" w14:textId="77777777">
            <w:pPr>
              <w:spacing w:after="0" w:line="240" w:lineRule="auto"/>
              <w:rPr>
                <w:rFonts w:ascii="Calibri" w:eastAsia="Times New Roman" w:hAnsi="Calibri" w:cs="Calibri"/>
                <w:color w:val="000000"/>
              </w:rPr>
            </w:pPr>
            <w:r>
              <w:rPr>
                <w:rFonts w:ascii="Calibri" w:hAnsi="Calibri" w:cs="Calibri"/>
                <w:color w:val="000000"/>
              </w:rPr>
              <w:t xml:space="preserve"> $             29.88 </w:t>
            </w:r>
          </w:p>
        </w:tc>
      </w:tr>
      <w:tr w14:paraId="2A953D69"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099F6922"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4390F8FF"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Stethoscope</w:t>
            </w:r>
          </w:p>
        </w:tc>
        <w:tc>
          <w:tcPr>
            <w:tcW w:w="1975" w:type="dxa"/>
            <w:tcBorders>
              <w:top w:val="nil"/>
              <w:left w:val="nil"/>
              <w:bottom w:val="single" w:sz="4" w:space="0" w:color="auto"/>
              <w:right w:val="single" w:sz="4" w:space="0" w:color="auto"/>
            </w:tcBorders>
            <w:vAlign w:val="bottom"/>
          </w:tcPr>
          <w:p w:rsidR="00B26FB3" w:rsidRPr="00852796" w:rsidP="00C14CAD" w14:paraId="2BAD1898" w14:textId="77777777">
            <w:pPr>
              <w:spacing w:after="0" w:line="240" w:lineRule="auto"/>
              <w:rPr>
                <w:rFonts w:ascii="Calibri" w:eastAsia="Times New Roman" w:hAnsi="Calibri" w:cs="Calibri"/>
                <w:color w:val="000000"/>
              </w:rPr>
            </w:pPr>
            <w:r>
              <w:rPr>
                <w:rFonts w:ascii="Calibri" w:hAnsi="Calibri" w:cs="Calibri"/>
                <w:color w:val="000000"/>
              </w:rPr>
              <w:t xml:space="preserve"> $             63.60 </w:t>
            </w:r>
          </w:p>
        </w:tc>
      </w:tr>
      <w:tr w14:paraId="7EA09DC8"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3A61B5D8"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5189EAFF"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Oral thermometer</w:t>
            </w:r>
          </w:p>
        </w:tc>
        <w:tc>
          <w:tcPr>
            <w:tcW w:w="1975" w:type="dxa"/>
            <w:tcBorders>
              <w:top w:val="nil"/>
              <w:left w:val="nil"/>
              <w:bottom w:val="single" w:sz="4" w:space="0" w:color="auto"/>
              <w:right w:val="single" w:sz="4" w:space="0" w:color="auto"/>
            </w:tcBorders>
            <w:vAlign w:val="bottom"/>
          </w:tcPr>
          <w:p w:rsidR="00B26FB3" w:rsidRPr="00852796" w:rsidP="00C14CAD" w14:paraId="33091613" w14:textId="77777777">
            <w:pPr>
              <w:spacing w:after="0" w:line="240" w:lineRule="auto"/>
              <w:rPr>
                <w:rFonts w:ascii="Calibri" w:eastAsia="Times New Roman" w:hAnsi="Calibri" w:cs="Calibri"/>
                <w:color w:val="000000"/>
              </w:rPr>
            </w:pPr>
            <w:r>
              <w:rPr>
                <w:rFonts w:ascii="Calibri" w:hAnsi="Calibri" w:cs="Calibri"/>
                <w:color w:val="000000"/>
              </w:rPr>
              <w:t xml:space="preserve"> $           392.02 </w:t>
            </w:r>
          </w:p>
        </w:tc>
      </w:tr>
      <w:tr w14:paraId="50B57D4B"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72D1FB69"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7CA6F1CA"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Pupillometer</w:t>
            </w:r>
          </w:p>
        </w:tc>
        <w:tc>
          <w:tcPr>
            <w:tcW w:w="1975" w:type="dxa"/>
            <w:tcBorders>
              <w:top w:val="nil"/>
              <w:left w:val="nil"/>
              <w:bottom w:val="single" w:sz="4" w:space="0" w:color="auto"/>
              <w:right w:val="single" w:sz="4" w:space="0" w:color="auto"/>
            </w:tcBorders>
            <w:vAlign w:val="bottom"/>
          </w:tcPr>
          <w:p w:rsidR="00B26FB3" w:rsidRPr="00852796" w:rsidP="00C14CAD" w14:paraId="2B96BBF5" w14:textId="77777777">
            <w:pPr>
              <w:spacing w:after="0" w:line="240" w:lineRule="auto"/>
              <w:rPr>
                <w:rFonts w:ascii="Calibri" w:eastAsia="Times New Roman" w:hAnsi="Calibri" w:cs="Calibri"/>
                <w:color w:val="000000"/>
              </w:rPr>
            </w:pPr>
            <w:r>
              <w:rPr>
                <w:rFonts w:ascii="Calibri" w:hAnsi="Calibri" w:cs="Calibri"/>
                <w:color w:val="000000"/>
              </w:rPr>
              <w:t xml:space="preserve"> $           232.33 </w:t>
            </w:r>
          </w:p>
        </w:tc>
      </w:tr>
      <w:tr w14:paraId="5094FB7F"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5D949789"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28865530"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Medical pen light</w:t>
            </w:r>
          </w:p>
        </w:tc>
        <w:tc>
          <w:tcPr>
            <w:tcW w:w="1975" w:type="dxa"/>
            <w:tcBorders>
              <w:top w:val="nil"/>
              <w:left w:val="nil"/>
              <w:bottom w:val="single" w:sz="4" w:space="0" w:color="auto"/>
              <w:right w:val="single" w:sz="4" w:space="0" w:color="auto"/>
            </w:tcBorders>
            <w:vAlign w:val="bottom"/>
          </w:tcPr>
          <w:p w:rsidR="00B26FB3" w:rsidRPr="00852796" w:rsidP="00C14CAD" w14:paraId="447ED3ED" w14:textId="77777777">
            <w:pPr>
              <w:spacing w:after="0" w:line="240" w:lineRule="auto"/>
              <w:rPr>
                <w:rFonts w:ascii="Calibri" w:eastAsia="Times New Roman" w:hAnsi="Calibri" w:cs="Calibri"/>
                <w:color w:val="000000"/>
              </w:rPr>
            </w:pPr>
            <w:r>
              <w:rPr>
                <w:rFonts w:ascii="Calibri" w:hAnsi="Calibri" w:cs="Calibri"/>
                <w:color w:val="000000"/>
              </w:rPr>
              <w:t xml:space="preserve"> $             15.01 </w:t>
            </w:r>
          </w:p>
        </w:tc>
      </w:tr>
      <w:tr w14:paraId="31D2C604"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7E810D27"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37E27F17"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Magnifying light</w:t>
            </w:r>
          </w:p>
        </w:tc>
        <w:tc>
          <w:tcPr>
            <w:tcW w:w="1975" w:type="dxa"/>
            <w:tcBorders>
              <w:top w:val="nil"/>
              <w:left w:val="nil"/>
              <w:bottom w:val="single" w:sz="4" w:space="0" w:color="auto"/>
              <w:right w:val="single" w:sz="4" w:space="0" w:color="auto"/>
            </w:tcBorders>
            <w:vAlign w:val="bottom"/>
          </w:tcPr>
          <w:p w:rsidR="00B26FB3" w:rsidRPr="00852796" w:rsidP="00C14CAD" w14:paraId="07325AD1" w14:textId="77777777">
            <w:pPr>
              <w:spacing w:after="0" w:line="240" w:lineRule="auto"/>
              <w:rPr>
                <w:rFonts w:ascii="Calibri" w:eastAsia="Times New Roman" w:hAnsi="Calibri" w:cs="Calibri"/>
                <w:color w:val="000000"/>
              </w:rPr>
            </w:pPr>
            <w:r>
              <w:rPr>
                <w:rFonts w:ascii="Calibri" w:hAnsi="Calibri" w:cs="Calibri"/>
                <w:color w:val="000000"/>
              </w:rPr>
              <w:t xml:space="preserve"> $           130.31 </w:t>
            </w:r>
          </w:p>
        </w:tc>
      </w:tr>
      <w:tr w14:paraId="6A0A87BD"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7E0342DE"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5E29406C"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Medical gloves</w:t>
            </w:r>
          </w:p>
        </w:tc>
        <w:tc>
          <w:tcPr>
            <w:tcW w:w="1975" w:type="dxa"/>
            <w:tcBorders>
              <w:top w:val="nil"/>
              <w:left w:val="nil"/>
              <w:bottom w:val="single" w:sz="4" w:space="0" w:color="auto"/>
              <w:right w:val="single" w:sz="4" w:space="0" w:color="auto"/>
            </w:tcBorders>
            <w:vAlign w:val="bottom"/>
          </w:tcPr>
          <w:p w:rsidR="00B26FB3" w:rsidRPr="00852796" w:rsidP="00C14CAD" w14:paraId="6F996026" w14:textId="77777777">
            <w:pPr>
              <w:spacing w:after="0" w:line="240" w:lineRule="auto"/>
              <w:rPr>
                <w:rFonts w:ascii="Calibri" w:eastAsia="Times New Roman" w:hAnsi="Calibri" w:cs="Calibri"/>
                <w:color w:val="000000"/>
              </w:rPr>
            </w:pPr>
            <w:r>
              <w:rPr>
                <w:rFonts w:ascii="Calibri" w:hAnsi="Calibri" w:cs="Calibri"/>
                <w:color w:val="000000"/>
              </w:rPr>
              <w:t xml:space="preserve"> $             12.92 </w:t>
            </w:r>
          </w:p>
        </w:tc>
      </w:tr>
      <w:tr w14:paraId="5F79AF2F"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31065A44"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5BC1BF2A"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Medical masks</w:t>
            </w:r>
          </w:p>
        </w:tc>
        <w:tc>
          <w:tcPr>
            <w:tcW w:w="1975" w:type="dxa"/>
            <w:tcBorders>
              <w:top w:val="nil"/>
              <w:left w:val="nil"/>
              <w:bottom w:val="single" w:sz="4" w:space="0" w:color="auto"/>
              <w:right w:val="single" w:sz="4" w:space="0" w:color="auto"/>
            </w:tcBorders>
            <w:vAlign w:val="bottom"/>
          </w:tcPr>
          <w:p w:rsidR="00B26FB3" w:rsidRPr="00852796" w:rsidP="00C14CAD" w14:paraId="32CF8DA5" w14:textId="77777777">
            <w:pPr>
              <w:spacing w:after="0" w:line="240" w:lineRule="auto"/>
              <w:rPr>
                <w:rFonts w:ascii="Calibri" w:eastAsia="Times New Roman" w:hAnsi="Calibri" w:cs="Calibri"/>
                <w:color w:val="000000"/>
              </w:rPr>
            </w:pPr>
            <w:r>
              <w:rPr>
                <w:rFonts w:ascii="Calibri" w:hAnsi="Calibri" w:cs="Calibri"/>
                <w:color w:val="000000"/>
              </w:rPr>
              <w:t xml:space="preserve"> $             21.95 </w:t>
            </w:r>
          </w:p>
        </w:tc>
      </w:tr>
      <w:tr w14:paraId="16FCA73B"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5A427969"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43389B18"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Camera</w:t>
            </w:r>
          </w:p>
        </w:tc>
        <w:tc>
          <w:tcPr>
            <w:tcW w:w="1975" w:type="dxa"/>
            <w:tcBorders>
              <w:top w:val="nil"/>
              <w:left w:val="nil"/>
              <w:bottom w:val="single" w:sz="4" w:space="0" w:color="auto"/>
              <w:right w:val="single" w:sz="4" w:space="0" w:color="auto"/>
            </w:tcBorders>
            <w:vAlign w:val="bottom"/>
          </w:tcPr>
          <w:p w:rsidR="00B26FB3" w:rsidRPr="00852796" w:rsidP="00C14CAD" w14:paraId="6DA2BB69" w14:textId="77777777">
            <w:pPr>
              <w:spacing w:after="0" w:line="240" w:lineRule="auto"/>
              <w:rPr>
                <w:rFonts w:ascii="Calibri" w:eastAsia="Times New Roman" w:hAnsi="Calibri" w:cs="Calibri"/>
                <w:color w:val="000000"/>
              </w:rPr>
            </w:pPr>
            <w:r>
              <w:rPr>
                <w:rFonts w:ascii="Calibri" w:hAnsi="Calibri" w:cs="Calibri"/>
                <w:color w:val="000000"/>
              </w:rPr>
              <w:t xml:space="preserve"> $           198.98 </w:t>
            </w:r>
          </w:p>
        </w:tc>
      </w:tr>
      <w:tr w14:paraId="10A47BCF"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75A82E1D"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4FFE0AC4"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Micro recorder</w:t>
            </w:r>
          </w:p>
        </w:tc>
        <w:tc>
          <w:tcPr>
            <w:tcW w:w="1975" w:type="dxa"/>
            <w:tcBorders>
              <w:top w:val="nil"/>
              <w:left w:val="nil"/>
              <w:bottom w:val="single" w:sz="4" w:space="0" w:color="auto"/>
              <w:right w:val="single" w:sz="4" w:space="0" w:color="auto"/>
            </w:tcBorders>
            <w:vAlign w:val="bottom"/>
          </w:tcPr>
          <w:p w:rsidR="00B26FB3" w:rsidRPr="00852796" w:rsidP="00C14CAD" w14:paraId="5FEFE156" w14:textId="77777777">
            <w:pPr>
              <w:spacing w:after="0" w:line="240" w:lineRule="auto"/>
              <w:rPr>
                <w:rFonts w:ascii="Calibri" w:eastAsia="Times New Roman" w:hAnsi="Calibri" w:cs="Calibri"/>
                <w:color w:val="000000"/>
              </w:rPr>
            </w:pPr>
            <w:r>
              <w:rPr>
                <w:rFonts w:ascii="Calibri" w:hAnsi="Calibri" w:cs="Calibri"/>
                <w:color w:val="000000"/>
              </w:rPr>
              <w:t xml:space="preserve"> $             78.05 </w:t>
            </w:r>
          </w:p>
        </w:tc>
      </w:tr>
      <w:tr w14:paraId="414DC654"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112E6654"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3C186BD9"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Thermometer sleeves</w:t>
            </w:r>
          </w:p>
        </w:tc>
        <w:tc>
          <w:tcPr>
            <w:tcW w:w="1975" w:type="dxa"/>
            <w:tcBorders>
              <w:top w:val="nil"/>
              <w:left w:val="nil"/>
              <w:bottom w:val="single" w:sz="4" w:space="0" w:color="auto"/>
              <w:right w:val="single" w:sz="4" w:space="0" w:color="auto"/>
            </w:tcBorders>
            <w:vAlign w:val="bottom"/>
          </w:tcPr>
          <w:p w:rsidR="00B26FB3" w:rsidRPr="00852796" w:rsidP="00C14CAD" w14:paraId="0FEE3AAD" w14:textId="77777777">
            <w:pPr>
              <w:spacing w:after="0" w:line="240" w:lineRule="auto"/>
              <w:rPr>
                <w:rFonts w:ascii="Calibri" w:eastAsia="Times New Roman" w:hAnsi="Calibri" w:cs="Calibri"/>
                <w:color w:val="000000"/>
              </w:rPr>
            </w:pPr>
            <w:r>
              <w:rPr>
                <w:rFonts w:ascii="Calibri" w:hAnsi="Calibri" w:cs="Calibri"/>
                <w:color w:val="000000"/>
              </w:rPr>
              <w:t xml:space="preserve"> $               8.35 </w:t>
            </w:r>
          </w:p>
        </w:tc>
      </w:tr>
      <w:tr w14:paraId="5922E8FB"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5FBE694B"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26DA47DA"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Anti-bacterial gel</w:t>
            </w:r>
          </w:p>
        </w:tc>
        <w:tc>
          <w:tcPr>
            <w:tcW w:w="1975" w:type="dxa"/>
            <w:tcBorders>
              <w:top w:val="nil"/>
              <w:left w:val="nil"/>
              <w:bottom w:val="single" w:sz="4" w:space="0" w:color="auto"/>
              <w:right w:val="single" w:sz="4" w:space="0" w:color="auto"/>
            </w:tcBorders>
            <w:vAlign w:val="bottom"/>
          </w:tcPr>
          <w:p w:rsidR="00B26FB3" w:rsidRPr="00852796" w:rsidP="00C14CAD" w14:paraId="1F03355D" w14:textId="77777777">
            <w:pPr>
              <w:spacing w:after="0" w:line="240" w:lineRule="auto"/>
              <w:rPr>
                <w:rFonts w:ascii="Calibri" w:eastAsia="Times New Roman" w:hAnsi="Calibri" w:cs="Calibri"/>
                <w:color w:val="000000"/>
              </w:rPr>
            </w:pPr>
            <w:r>
              <w:rPr>
                <w:rFonts w:ascii="Calibri" w:hAnsi="Calibri" w:cs="Calibri"/>
                <w:color w:val="000000"/>
              </w:rPr>
              <w:t xml:space="preserve"> $             26.46 </w:t>
            </w:r>
          </w:p>
        </w:tc>
      </w:tr>
      <w:tr w14:paraId="031C9EA6" w14:textId="77777777" w:rsidTr="00B26FB3">
        <w:tblPrEx>
          <w:tblW w:w="9350" w:type="dxa"/>
          <w:tblLook w:val="04A0"/>
        </w:tblPrEx>
        <w:trPr>
          <w:trHeight w:val="268"/>
        </w:trPr>
        <w:tc>
          <w:tcPr>
            <w:tcW w:w="2685" w:type="dxa"/>
            <w:vMerge/>
            <w:tcBorders>
              <w:top w:val="nil"/>
              <w:left w:val="single" w:sz="4" w:space="0" w:color="auto"/>
              <w:bottom w:val="single" w:sz="4" w:space="0" w:color="auto"/>
              <w:right w:val="single" w:sz="4" w:space="0" w:color="auto"/>
            </w:tcBorders>
            <w:vAlign w:val="center"/>
            <w:hideMark/>
          </w:tcPr>
          <w:p w:rsidR="00B26FB3" w:rsidRPr="00852796" w:rsidP="00C14CAD" w14:paraId="2B50C7DE" w14:textId="77777777">
            <w:pPr>
              <w:spacing w:after="0" w:line="240" w:lineRule="auto"/>
              <w:rPr>
                <w:rFonts w:ascii="Calibri" w:eastAsia="Times New Roman" w:hAnsi="Calibri" w:cs="Calibri"/>
                <w:color w:val="000000"/>
              </w:rPr>
            </w:pPr>
          </w:p>
        </w:tc>
        <w:tc>
          <w:tcPr>
            <w:tcW w:w="4690" w:type="dxa"/>
            <w:tcBorders>
              <w:top w:val="nil"/>
              <w:left w:val="nil"/>
              <w:bottom w:val="single" w:sz="4" w:space="0" w:color="auto"/>
              <w:right w:val="single" w:sz="4" w:space="0" w:color="auto"/>
            </w:tcBorders>
            <w:shd w:val="clear" w:color="auto" w:fill="auto"/>
            <w:noWrap/>
            <w:vAlign w:val="bottom"/>
            <w:hideMark/>
          </w:tcPr>
          <w:p w:rsidR="00B26FB3" w:rsidRPr="00852796" w:rsidP="00C14CAD" w14:paraId="55104B97" w14:textId="77777777">
            <w:pPr>
              <w:spacing w:after="0" w:line="240" w:lineRule="auto"/>
              <w:rPr>
                <w:rFonts w:ascii="Calibri" w:eastAsia="Times New Roman" w:hAnsi="Calibri" w:cs="Calibri"/>
                <w:color w:val="000000"/>
              </w:rPr>
            </w:pPr>
            <w:r w:rsidRPr="00852796">
              <w:rPr>
                <w:rFonts w:ascii="Calibri" w:eastAsia="Times New Roman" w:hAnsi="Calibri" w:cs="Calibri"/>
                <w:color w:val="000000"/>
              </w:rPr>
              <w:t>Thumb drive for resources/reports</w:t>
            </w:r>
          </w:p>
        </w:tc>
        <w:tc>
          <w:tcPr>
            <w:tcW w:w="1975" w:type="dxa"/>
            <w:tcBorders>
              <w:top w:val="nil"/>
              <w:left w:val="nil"/>
              <w:bottom w:val="single" w:sz="4" w:space="0" w:color="auto"/>
              <w:right w:val="single" w:sz="4" w:space="0" w:color="auto"/>
            </w:tcBorders>
            <w:vAlign w:val="bottom"/>
          </w:tcPr>
          <w:p w:rsidR="00B26FB3" w:rsidRPr="00852796" w:rsidP="00C14CAD" w14:paraId="6D30C5AE" w14:textId="77777777">
            <w:pPr>
              <w:spacing w:after="0" w:line="240" w:lineRule="auto"/>
              <w:rPr>
                <w:rFonts w:ascii="Calibri" w:eastAsia="Times New Roman" w:hAnsi="Calibri" w:cs="Calibri"/>
                <w:color w:val="000000"/>
              </w:rPr>
            </w:pPr>
            <w:r>
              <w:rPr>
                <w:rFonts w:ascii="Calibri" w:hAnsi="Calibri" w:cs="Calibri"/>
                <w:color w:val="000000"/>
              </w:rPr>
              <w:t xml:space="preserve"> $             15.66 </w:t>
            </w:r>
          </w:p>
        </w:tc>
      </w:tr>
    </w:tbl>
    <w:p w:rsidR="00852796" w:rsidP="00852796" w14:paraId="0E498B24" w14:textId="20D06A40"/>
    <w:p w:rsidR="00852796" w14:paraId="5F83A448" w14:textId="77777777">
      <w:r>
        <w:br w:type="page"/>
      </w:r>
    </w:p>
    <w:p w:rsidR="00060AF6" w:rsidRPr="008478C1" w:rsidP="006C5FBF" w14:paraId="1CD98A6A" w14:textId="01F7F41D">
      <w:pPr>
        <w:pStyle w:val="Heading2"/>
      </w:pPr>
      <w:r>
        <w:t xml:space="preserve">Appendix </w:t>
      </w:r>
      <w:r w:rsidR="000749B0">
        <w:t>B</w:t>
      </w:r>
      <w:r w:rsidR="006C5FBF">
        <w:t xml:space="preserve">: </w:t>
      </w:r>
      <w:r w:rsidRPr="008478C1">
        <w:t>DRE References</w:t>
      </w:r>
    </w:p>
    <w:sdt>
      <w:sdtPr>
        <w:rPr>
          <w:rFonts w:eastAsiaTheme="minorHAnsi" w:cstheme="minorBidi"/>
          <w:szCs w:val="22"/>
        </w:rPr>
        <w:id w:val="-573587230"/>
        <w:bibliography/>
      </w:sdtPr>
      <w:sdtEndPr>
        <w:rPr>
          <w:rFonts w:eastAsiaTheme="minorEastAsia"/>
        </w:rPr>
      </w:sdtEndPr>
      <w:sdtContent>
        <w:p w:rsidR="001F683B" w:rsidP="001F683B" w14:paraId="48CB248E" w14:textId="77777777">
          <w:pPr>
            <w:pStyle w:val="Bibliography"/>
            <w:ind w:left="720" w:hanging="720"/>
            <w:rPr>
              <w:rFonts w:eastAsiaTheme="minorHAnsi" w:cstheme="minorBidi"/>
              <w:szCs w:val="22"/>
            </w:rPr>
          </w:pPr>
        </w:p>
        <w:p w:rsidR="00060AF6" w:rsidP="001F683B" w14:paraId="609FC445" w14:textId="1A1C3FE0">
          <w:pPr>
            <w:pStyle w:val="Bibliography"/>
            <w:ind w:left="720" w:hanging="720"/>
            <w:rPr>
              <w:noProof/>
            </w:rPr>
          </w:pPr>
          <w:r>
            <w:rPr>
              <w:noProof/>
            </w:rPr>
            <w:t>Active911 (n.d.). https://www.active911.com/</w:t>
          </w:r>
        </w:p>
        <w:p w:rsidR="001F683B" w:rsidP="001F683B" w14:paraId="034E95DA" w14:textId="77777777">
          <w:pPr>
            <w:pStyle w:val="Bibliography"/>
            <w:ind w:left="720" w:hanging="720"/>
          </w:pPr>
        </w:p>
        <w:p w:rsidR="00060AF6" w:rsidP="001F683B" w14:paraId="6C397B02" w14:textId="34462D8F">
          <w:pPr>
            <w:pStyle w:val="Bibliography"/>
            <w:ind w:left="720" w:hanging="720"/>
            <w:rPr>
              <w:noProof/>
            </w:rPr>
          </w:pPr>
          <w:r>
            <w:t xml:space="preserve">Everbridge </w:t>
          </w:r>
          <w:r>
            <w:fldChar w:fldCharType="begin"/>
          </w:r>
          <w:r w:rsidRPr="00025B5A">
            <w:instrText xml:space="preserve"> BIBLIOGRAPHY </w:instrText>
          </w:r>
          <w:r>
            <w:fldChar w:fldCharType="separate"/>
          </w:r>
          <w:r>
            <w:rPr>
              <w:noProof/>
            </w:rPr>
            <w:t>(n.d.). https://www.everbridge.com/</w:t>
          </w:r>
        </w:p>
        <w:p w:rsidR="00060AF6" w:rsidRPr="00080E82" w:rsidP="001F683B" w14:paraId="7430E3CD" w14:textId="77777777">
          <w:pPr>
            <w:spacing w:after="0" w:line="240" w:lineRule="auto"/>
          </w:pPr>
        </w:p>
        <w:p w:rsidR="00060AF6" w:rsidP="001F683B" w14:paraId="12A014DB" w14:textId="77777777">
          <w:pPr>
            <w:pStyle w:val="Bibliography"/>
            <w:ind w:left="720" w:hanging="720"/>
            <w:rPr>
              <w:noProof/>
            </w:rPr>
          </w:pPr>
          <w:r>
            <w:rPr>
              <w:noProof/>
            </w:rPr>
            <w:t xml:space="preserve">Engage IACP. (n.d.). </w:t>
          </w:r>
          <w:r>
            <w:rPr>
              <w:i/>
              <w:iCs/>
              <w:noProof/>
            </w:rPr>
            <w:t>Support for local DRE programs</w:t>
          </w:r>
          <w:r>
            <w:rPr>
              <w:noProof/>
            </w:rPr>
            <w:t xml:space="preserve">. </w:t>
          </w:r>
        </w:p>
        <w:p w:rsidR="00060AF6" w:rsidRPr="00080E82" w:rsidP="001F683B" w14:paraId="224CBFE5" w14:textId="77777777">
          <w:pPr>
            <w:spacing w:after="0" w:line="240" w:lineRule="auto"/>
          </w:pPr>
        </w:p>
        <w:p w:rsidR="00060AF6" w:rsidP="001F683B" w14:paraId="756A7FB7" w14:textId="77777777">
          <w:pPr>
            <w:pStyle w:val="Bibliography"/>
            <w:ind w:left="720" w:hanging="720"/>
            <w:rPr>
              <w:noProof/>
            </w:rPr>
          </w:pPr>
          <w:r w:rsidRPr="00080E82">
            <w:rPr>
              <w:noProof/>
            </w:rPr>
            <w:t>GroupMe</w:t>
          </w:r>
          <w:r w:rsidRPr="00C570A0">
            <w:rPr>
              <w:noProof/>
            </w:rPr>
            <w:t>.</w:t>
          </w:r>
          <w:r>
            <w:rPr>
              <w:noProof/>
            </w:rPr>
            <w:t xml:space="preserve"> (n.d.). https://groupme.com/en-US/</w:t>
          </w:r>
        </w:p>
        <w:p w:rsidR="00060AF6" w:rsidRPr="00080E82" w:rsidP="001F683B" w14:paraId="11B29348" w14:textId="77777777">
          <w:pPr>
            <w:spacing w:after="0" w:line="240" w:lineRule="auto"/>
          </w:pPr>
        </w:p>
        <w:p w:rsidR="00060AF6" w:rsidP="001F683B" w14:paraId="0AC8F81E" w14:textId="77777777">
          <w:pPr>
            <w:pStyle w:val="Bibliography"/>
            <w:ind w:left="720" w:hanging="720"/>
            <w:rPr>
              <w:noProof/>
            </w:rPr>
          </w:pPr>
          <w:r>
            <w:rPr>
              <w:noProof/>
            </w:rPr>
            <w:t xml:space="preserve">International Association of Chiefs of Police. (2020). </w:t>
          </w:r>
          <w:r>
            <w:rPr>
              <w:i/>
              <w:iCs/>
              <w:noProof/>
            </w:rPr>
            <w:t>IACP Drug Evaluation &amp; Classification Program Annual Report.</w:t>
          </w:r>
          <w:r>
            <w:rPr>
              <w:noProof/>
            </w:rPr>
            <w:t xml:space="preserve"> </w:t>
          </w:r>
          <w:r w:rsidRPr="00D501D6">
            <w:rPr>
              <w:noProof/>
            </w:rPr>
            <w:t>https://www.theiacp.org/sites/default/files/DEC%20Annual%20Reports/2020%20Annual%20Report.pdf</w:t>
          </w:r>
          <w:r w:rsidRPr="00D501D6">
            <w:rPr>
              <w:noProof/>
            </w:rPr>
            <w:t xml:space="preserve"> </w:t>
          </w:r>
        </w:p>
        <w:p w:rsidR="00060AF6" w:rsidRPr="00080E82" w:rsidP="001F683B" w14:paraId="5AE34AE6" w14:textId="77777777">
          <w:pPr>
            <w:spacing w:after="0" w:line="240" w:lineRule="auto"/>
          </w:pPr>
        </w:p>
        <w:p w:rsidR="00060AF6" w:rsidP="001F683B" w14:paraId="5CBD35A4" w14:textId="77777777">
          <w:pPr>
            <w:pStyle w:val="Bibliography"/>
            <w:ind w:left="720" w:hanging="720"/>
            <w:rPr>
              <w:noProof/>
            </w:rPr>
          </w:pPr>
          <w:r>
            <w:rPr>
              <w:noProof/>
            </w:rPr>
            <w:t xml:space="preserve">International Association of Chiefs of Police. (n.d.). </w:t>
          </w:r>
          <w:r>
            <w:rPr>
              <w:i/>
              <w:iCs/>
              <w:noProof/>
            </w:rPr>
            <w:t>How to Become a drug recognition expert</w:t>
          </w:r>
          <w:r>
            <w:rPr>
              <w:noProof/>
            </w:rPr>
            <w:t>. https://www.theiacp.org/how-to-become-a-drug-recognition-expert</w:t>
          </w:r>
        </w:p>
        <w:p w:rsidR="00060AF6" w:rsidRPr="00080E82" w:rsidP="001F683B" w14:paraId="61BFB77B" w14:textId="77777777">
          <w:pPr>
            <w:spacing w:after="0" w:line="240" w:lineRule="auto"/>
          </w:pPr>
        </w:p>
        <w:p w:rsidR="00060AF6" w:rsidP="001F683B" w14:paraId="12EEE0E6" w14:textId="77777777">
          <w:pPr>
            <w:pStyle w:val="Bibliography"/>
            <w:ind w:left="720" w:hanging="720"/>
            <w:rPr>
              <w:noProof/>
            </w:rPr>
          </w:pPr>
          <w:r>
            <w:rPr>
              <w:noProof/>
            </w:rPr>
            <w:t xml:space="preserve">Office of Behavioral Safety Research. (2021). </w:t>
          </w:r>
          <w:r>
            <w:rPr>
              <w:i/>
              <w:iCs/>
              <w:noProof/>
            </w:rPr>
            <w:t>Update to special reports on traffic safety during the COVID-19 public health emergency: Fourth quarter data.</w:t>
          </w:r>
          <w:r>
            <w:rPr>
              <w:noProof/>
            </w:rPr>
            <w:t xml:space="preserve"> National Highway Traffic Safety Administration. https://rosap.ntl.bts.gov/view/dot/56125</w:t>
          </w:r>
        </w:p>
        <w:p w:rsidR="00060AF6" w:rsidRPr="00080E82" w:rsidP="001F683B" w14:paraId="71368AA7" w14:textId="77777777">
          <w:pPr>
            <w:spacing w:after="0" w:line="240" w:lineRule="auto"/>
          </w:pPr>
        </w:p>
        <w:p w:rsidR="00060AF6" w:rsidP="001F683B" w14:paraId="54722439" w14:textId="77777777">
          <w:pPr>
            <w:pStyle w:val="Bibliography"/>
            <w:ind w:left="720" w:hanging="720"/>
            <w:rPr>
              <w:noProof/>
            </w:rPr>
          </w:pPr>
          <w:r>
            <w:rPr>
              <w:noProof/>
            </w:rPr>
            <w:t xml:space="preserve">Reaves, B. (2011). </w:t>
          </w:r>
          <w:r>
            <w:rPr>
              <w:i/>
              <w:iCs/>
              <w:noProof/>
            </w:rPr>
            <w:t>Census of state and local law enforcement agencies, 2008.</w:t>
          </w:r>
          <w:r>
            <w:rPr>
              <w:noProof/>
            </w:rPr>
            <w:t xml:space="preserve"> Bureau of Justice Statistics. https://bjs.ojp.gov/library/publications/census-state-and-local-law-enforcement-agencies-2008</w:t>
          </w:r>
        </w:p>
        <w:p w:rsidR="00060AF6" w:rsidRPr="00080E82" w:rsidP="001F683B" w14:paraId="39E48CC7" w14:textId="77777777">
          <w:pPr>
            <w:spacing w:after="0" w:line="240" w:lineRule="auto"/>
          </w:pPr>
        </w:p>
        <w:p w:rsidR="00060AF6" w:rsidP="001F683B" w14:paraId="0FF9819E" w14:textId="77777777">
          <w:pPr>
            <w:pStyle w:val="Bibliography"/>
            <w:ind w:left="720" w:hanging="720"/>
            <w:rPr>
              <w:noProof/>
            </w:rPr>
          </w:pPr>
          <w:r>
            <w:rPr>
              <w:noProof/>
            </w:rPr>
            <w:t xml:space="preserve">Talpins, S., Hayes, C., &amp; Kimball, T. (2018). </w:t>
          </w:r>
          <w:r>
            <w:rPr>
              <w:i/>
              <w:iCs/>
              <w:noProof/>
            </w:rPr>
            <w:t>Saving lives and preventing crashes: The drug evaluation and classification (DEC) program.</w:t>
          </w:r>
          <w:r>
            <w:rPr>
              <w:noProof/>
            </w:rPr>
            <w:t xml:space="preserve"> National Traffic Law Center</w:t>
          </w:r>
        </w:p>
        <w:p w:rsidR="00060AF6" w:rsidP="001F683B" w14:paraId="71EE3D46" w14:textId="77777777">
          <w:pPr>
            <w:pStyle w:val="Bibliography"/>
            <w:ind w:left="720" w:hanging="720"/>
            <w:rPr>
              <w:noProof/>
            </w:rPr>
          </w:pPr>
        </w:p>
        <w:p w:rsidR="00060AF6" w:rsidP="001F683B" w14:paraId="5BB18D15" w14:textId="77777777">
          <w:pPr>
            <w:spacing w:after="0" w:line="240" w:lineRule="auto"/>
            <w:rPr>
              <w:b/>
              <w:bCs/>
              <w:noProof/>
            </w:rPr>
          </w:pPr>
          <w:r>
            <w:rPr>
              <w:b/>
              <w:bCs/>
              <w:noProof/>
            </w:rPr>
            <w:fldChar w:fldCharType="end"/>
          </w:r>
          <w:r>
            <w:rPr>
              <w:b/>
              <w:bCs/>
              <w:noProof/>
            </w:rPr>
            <w:t>Law Enforcement Phlebotomy References</w:t>
          </w:r>
        </w:p>
        <w:p w:rsidR="00060AF6" w:rsidRPr="00D61F4A" w:rsidP="001F683B" w14:paraId="457E32C6" w14:textId="77777777">
          <w:pPr>
            <w:spacing w:after="0" w:line="240" w:lineRule="auto"/>
            <w:ind w:left="720" w:hanging="720"/>
          </w:pPr>
          <w:bookmarkStart w:id="35" w:name="_Hlk518303724"/>
          <w:r w:rsidRPr="00D61F4A">
            <w:t xml:space="preserve">Arizona Governor's Office of Highway Safety. (2018). </w:t>
          </w:r>
          <w:r w:rsidRPr="00D61F4A">
            <w:rPr>
              <w:i/>
            </w:rPr>
            <w:t>Phlebotomy Program</w:t>
          </w:r>
          <w:r w:rsidRPr="00D61F4A">
            <w:t xml:space="preserve">. Retrieved </w:t>
          </w:r>
          <w:r>
            <w:t xml:space="preserve">from </w:t>
          </w:r>
          <w:r w:rsidRPr="00C4659B">
            <w:t>https://www.azgohs.gov/programs/default.asp?ID=48</w:t>
          </w:r>
          <w:r w:rsidRPr="00D61F4A">
            <w:t>.</w:t>
          </w:r>
        </w:p>
        <w:p w:rsidR="001F683B" w:rsidP="001F683B" w14:paraId="54E76294" w14:textId="77777777">
          <w:pPr>
            <w:spacing w:after="0" w:line="240" w:lineRule="auto"/>
            <w:ind w:left="720" w:hanging="720"/>
          </w:pPr>
        </w:p>
        <w:p w:rsidR="00060AF6" w:rsidP="001F683B" w14:paraId="156EAF19" w14:textId="45833079">
          <w:pPr>
            <w:spacing w:after="0" w:line="240" w:lineRule="auto"/>
            <w:ind w:left="720" w:hanging="720"/>
            <w:rPr>
              <w:rStyle w:val="Hyperlink"/>
            </w:rPr>
          </w:pPr>
          <w:r>
            <w:t>Ber</w:t>
          </w:r>
          <w:r w:rsidRPr="00D61F4A">
            <w:t xml:space="preserve">ning, A., Compton, R., </w:t>
          </w:r>
          <w:r w:rsidRPr="00D61F4A">
            <w:t>Vegega</w:t>
          </w:r>
          <w:r w:rsidRPr="00D61F4A">
            <w:t xml:space="preserve">, M., </w:t>
          </w:r>
          <w:r w:rsidRPr="00D61F4A">
            <w:t>Beirness</w:t>
          </w:r>
          <w:r w:rsidRPr="00D61F4A">
            <w:t>, D., Hedlund, J., Jones, R., &amp; Nichols, J</w:t>
          </w:r>
          <w:bookmarkEnd w:id="35"/>
          <w:r w:rsidRPr="00D61F4A">
            <w:t xml:space="preserve">. (2008). Refusal of Intoxication Testing: </w:t>
          </w:r>
          <w:r w:rsidRPr="00C4659B">
            <w:rPr>
              <w:i/>
            </w:rPr>
            <w:t>A Report to Congress</w:t>
          </w:r>
          <w:r w:rsidRPr="00D61F4A">
            <w:t>. Washington, DC: National Highway Traffic Safety Administration</w:t>
          </w:r>
          <w:r>
            <w:t xml:space="preserve">. Retrieved from </w:t>
          </w:r>
          <w:r w:rsidRPr="00C4659B">
            <w:t>https://www.nhtsa.gov/sites/nhtsa.dot.gov/files/811098_1.pdf</w:t>
          </w:r>
        </w:p>
        <w:p w:rsidR="00060AF6" w:rsidRPr="00C4659B" w:rsidP="001F683B" w14:paraId="52400B67" w14:textId="77777777">
          <w:pPr>
            <w:spacing w:after="0" w:line="240" w:lineRule="auto"/>
            <w:ind w:left="720" w:hanging="720"/>
          </w:pPr>
          <w:r w:rsidRPr="00D61F4A">
            <w:t>Be</w:t>
          </w:r>
          <w:r>
            <w:t>r</w:t>
          </w:r>
          <w:r w:rsidRPr="00D61F4A">
            <w:t xml:space="preserve">ning, A., </w:t>
          </w:r>
          <w:r w:rsidRPr="00D61F4A">
            <w:t>Beirness</w:t>
          </w:r>
          <w:r w:rsidRPr="00D61F4A">
            <w:t>, D., Hedlund, J., &amp;</w:t>
          </w:r>
          <w:r>
            <w:t xml:space="preserve"> </w:t>
          </w:r>
          <w:r w:rsidRPr="00D61F4A">
            <w:t>Jones, R. (2007). Traffic Safety Facts Research Note: </w:t>
          </w:r>
          <w:r w:rsidRPr="00C4659B">
            <w:rPr>
              <w:i/>
            </w:rPr>
            <w:t>Breath Test Refusals</w:t>
          </w:r>
          <w:r>
            <w:t>.</w:t>
          </w:r>
          <w:r w:rsidRPr="00D61F4A">
            <w:t xml:space="preserve"> Washington, DC: National Highway Traffic Safety Administration</w:t>
          </w:r>
          <w:r>
            <w:t>.</w:t>
          </w:r>
          <w:r w:rsidRPr="00933CD6">
            <w:t xml:space="preserve"> </w:t>
          </w:r>
          <w:r>
            <w:t xml:space="preserve">Retrieved from   </w:t>
          </w:r>
          <w:r w:rsidRPr="00D61F4A">
            <w:t xml:space="preserve"> </w:t>
          </w:r>
          <w:r w:rsidRPr="00C4659B">
            <w:t>https://www.nhtsa.gov/sites/nhtsa.dot.gov/files/810871.pdf</w:t>
          </w:r>
        </w:p>
        <w:p w:rsidR="001F683B" w:rsidP="001F683B" w14:paraId="7FD38970" w14:textId="77777777">
          <w:pPr>
            <w:spacing w:after="0" w:line="240" w:lineRule="auto"/>
            <w:ind w:left="720" w:hanging="720"/>
          </w:pPr>
        </w:p>
        <w:p w:rsidR="00060AF6" w:rsidRPr="00D61F4A" w:rsidP="001F683B" w14:paraId="7E024688" w14:textId="78D789EF">
          <w:pPr>
            <w:spacing w:after="0" w:line="240" w:lineRule="auto"/>
            <w:ind w:left="720" w:hanging="720"/>
          </w:pPr>
          <w:r w:rsidRPr="00D61F4A">
            <w:t>Birchfield v. North Dakota, 579 U.S. _ (2016)</w:t>
          </w:r>
          <w:r>
            <w:t>.</w:t>
          </w:r>
          <w:r w:rsidRPr="00933CD6">
            <w:t xml:space="preserve"> </w:t>
          </w:r>
          <w:r>
            <w:t xml:space="preserve">Retrieved from </w:t>
          </w:r>
          <w:r w:rsidRPr="00D61F4A">
            <w:t xml:space="preserve">  </w:t>
          </w:r>
          <w:r w:rsidRPr="00C4659B">
            <w:t>https://supreme.justia.com/cases/federal/us/579/14-1468/</w:t>
          </w:r>
          <w:r w:rsidRPr="00D61F4A">
            <w:t xml:space="preserve">. </w:t>
          </w:r>
        </w:p>
        <w:p w:rsidR="001F683B" w:rsidP="001F683B" w14:paraId="202E7E1D" w14:textId="77777777">
          <w:pPr>
            <w:spacing w:after="0" w:line="240" w:lineRule="auto"/>
            <w:ind w:left="720" w:hanging="720"/>
          </w:pPr>
        </w:p>
        <w:p w:rsidR="00060AF6" w:rsidRPr="00D61F4A" w:rsidP="001F683B" w14:paraId="3858C0A0" w14:textId="714C88F1">
          <w:pPr>
            <w:spacing w:after="0" w:line="240" w:lineRule="auto"/>
            <w:ind w:left="720" w:hanging="720"/>
          </w:pPr>
          <w:r w:rsidRPr="00D61F4A">
            <w:t>Compton, R. (2017, July). Marijuana-Impaired Driving</w:t>
          </w:r>
          <w:r>
            <w:t>:</w:t>
          </w:r>
          <w:r w:rsidRPr="00D61F4A">
            <w:t xml:space="preserve"> </w:t>
          </w:r>
          <w:r w:rsidRPr="00C4659B">
            <w:rPr>
              <w:i/>
            </w:rPr>
            <w:t>A Report to Congress</w:t>
          </w:r>
          <w:r w:rsidRPr="00D61F4A">
            <w:t xml:space="preserve">. (DOT HS 812 440). Washington, DC: National Highway Traffic Safety Administration. </w:t>
          </w:r>
          <w:r>
            <w:t xml:space="preserve">Retrieved from </w:t>
          </w:r>
          <w:r w:rsidRPr="00D61F4A">
            <w:t>https://www.nhtsa.gov/sites/nhtsa.dot.gov/files/documents/812440-marijuana-impaired-driving-report-to-congress.pdf</w:t>
          </w:r>
        </w:p>
        <w:p w:rsidR="001F683B" w:rsidP="001F683B" w14:paraId="130EBD6F" w14:textId="77777777">
          <w:pPr>
            <w:spacing w:after="0" w:line="240" w:lineRule="auto"/>
            <w:ind w:left="720" w:hanging="720"/>
            <w:rPr>
              <w:color w:val="000000"/>
              <w:shd w:val="clear" w:color="auto" w:fill="FFFFFF"/>
            </w:rPr>
          </w:pPr>
        </w:p>
        <w:p w:rsidR="00060AF6" w:rsidP="001F683B" w14:paraId="3FE27F49" w14:textId="32A8DC0D">
          <w:pPr>
            <w:spacing w:after="0" w:line="240" w:lineRule="auto"/>
            <w:ind w:left="720" w:hanging="720"/>
            <w:rPr>
              <w:rStyle w:val="Hyperlink"/>
              <w:color w:val="075290"/>
              <w:shd w:val="clear" w:color="auto" w:fill="FFFFFF"/>
            </w:rPr>
          </w:pPr>
          <w:r w:rsidRPr="00D61F4A">
            <w:rPr>
              <w:color w:val="000000"/>
              <w:shd w:val="clear" w:color="auto" w:fill="FFFFFF"/>
            </w:rPr>
            <w:t xml:space="preserve">Federal Bureau of Investigation (FBI). Department of Justice (US) (2017). Crime in the United States 2016: </w:t>
          </w:r>
          <w:r w:rsidRPr="00C4659B">
            <w:rPr>
              <w:i/>
              <w:color w:val="000000"/>
              <w:shd w:val="clear" w:color="auto" w:fill="FFFFFF"/>
            </w:rPr>
            <w:t>Uniform Crime Reports</w:t>
          </w:r>
          <w:r w:rsidRPr="00D61F4A">
            <w:rPr>
              <w:color w:val="000000"/>
              <w:shd w:val="clear" w:color="auto" w:fill="FFFFFF"/>
            </w:rPr>
            <w:t>. Washington (DC)</w:t>
          </w:r>
          <w:r>
            <w:rPr>
              <w:color w:val="000000"/>
              <w:shd w:val="clear" w:color="auto" w:fill="FFFFFF"/>
            </w:rPr>
            <w:t>. Retrieved from</w:t>
          </w:r>
          <w:r w:rsidRPr="00D61F4A">
            <w:rPr>
              <w:color w:val="000000"/>
              <w:shd w:val="clear" w:color="auto" w:fill="FFFFFF"/>
            </w:rPr>
            <w:t> </w:t>
          </w:r>
          <w:r w:rsidRPr="00C4659B">
            <w:t>https://ucr.fbi.gov/crime-in-the-u.s/2016/crime-in-the-u.s.-2016/tables/table-18</w:t>
          </w:r>
        </w:p>
        <w:p w:rsidR="001F683B" w:rsidP="001F683B" w14:paraId="2DF6A8D5" w14:textId="77777777">
          <w:pPr>
            <w:spacing w:after="0" w:line="240" w:lineRule="auto"/>
            <w:ind w:left="720" w:hanging="720"/>
          </w:pPr>
        </w:p>
        <w:p w:rsidR="00060AF6" w:rsidRPr="00D61F4A" w:rsidP="001F683B" w14:paraId="6F39E018" w14:textId="37861594">
          <w:pPr>
            <w:spacing w:after="0" w:line="240" w:lineRule="auto"/>
            <w:ind w:left="720" w:hanging="720"/>
            <w:rPr>
              <w:rStyle w:val="Hyperlink"/>
            </w:rPr>
          </w:pPr>
          <w:r w:rsidRPr="00D61F4A">
            <w:t xml:space="preserve">Hedlund, J. (2017). </w:t>
          </w:r>
          <w:r w:rsidRPr="00D61F4A">
            <w:rPr>
              <w:i/>
            </w:rPr>
            <w:t>Drug-Impaired Driving: A Guide for States</w:t>
          </w:r>
          <w:r w:rsidRPr="00D61F4A">
            <w:t>. Governors Highway Safety Association.</w:t>
          </w:r>
        </w:p>
        <w:p w:rsidR="001F683B" w:rsidP="001F683B" w14:paraId="24719B3F" w14:textId="77777777">
          <w:pPr>
            <w:spacing w:after="0" w:line="240" w:lineRule="auto"/>
            <w:ind w:left="720" w:hanging="720"/>
          </w:pPr>
        </w:p>
        <w:p w:rsidR="00060AF6" w:rsidRPr="00D61F4A" w:rsidP="001F683B" w14:paraId="1A56EAFD" w14:textId="6AB7B397">
          <w:pPr>
            <w:spacing w:after="0" w:line="240" w:lineRule="auto"/>
            <w:ind w:left="720" w:hanging="720"/>
          </w:pPr>
          <w:r w:rsidRPr="00D61F4A">
            <w:t xml:space="preserve">Kelley-Baker, T. (2014). </w:t>
          </w:r>
          <w:r w:rsidRPr="00C4659B">
            <w:rPr>
              <w:i/>
            </w:rPr>
            <w:t>Marijuana and Driving Performance</w:t>
          </w:r>
          <w:r w:rsidRPr="00D61F4A">
            <w:t>.</w:t>
          </w:r>
          <w:r>
            <w:t xml:space="preserve"> Retrieved from</w:t>
          </w:r>
          <w:r w:rsidRPr="00D61F4A">
            <w:t xml:space="preserve"> Presentation at TRB Alcohol, Other Drugs and Transportation Committee 2014 Midyear Meeting.</w:t>
          </w:r>
          <w:r>
            <w:t xml:space="preserve"> </w:t>
          </w:r>
        </w:p>
        <w:p w:rsidR="001F683B" w:rsidP="001F683B" w14:paraId="614CD859" w14:textId="77777777">
          <w:pPr>
            <w:spacing w:after="0" w:line="240" w:lineRule="auto"/>
            <w:ind w:left="720" w:hanging="720"/>
          </w:pPr>
        </w:p>
        <w:p w:rsidR="00060AF6" w:rsidP="001F683B" w14:paraId="13819F8A" w14:textId="355D8F3D">
          <w:pPr>
            <w:spacing w:after="0" w:line="240" w:lineRule="auto"/>
            <w:ind w:left="720" w:hanging="720"/>
          </w:pPr>
          <w:r w:rsidRPr="00D61F4A">
            <w:t xml:space="preserve">Logan, B.K. (2014). </w:t>
          </w:r>
          <w:r w:rsidRPr="00C4659B">
            <w:rPr>
              <w:i/>
            </w:rPr>
            <w:t>Thresholds for THC and Driving</w:t>
          </w:r>
          <w:r w:rsidRPr="00D61F4A">
            <w:t>. Presentation at TRB Alcohol, Other Drugs and Transportation Committee 2014 Midyear Meeting.</w:t>
          </w:r>
        </w:p>
        <w:p w:rsidR="001F683B" w:rsidP="001F683B" w14:paraId="1FACAFD9" w14:textId="77777777">
          <w:pPr>
            <w:spacing w:after="0" w:line="240" w:lineRule="auto"/>
            <w:ind w:left="720" w:hanging="720"/>
          </w:pPr>
        </w:p>
        <w:p w:rsidR="00060AF6" w:rsidRPr="00635A06" w:rsidP="001F683B" w14:paraId="6ED22A60" w14:textId="5C14A938">
          <w:pPr>
            <w:spacing w:after="0" w:line="240" w:lineRule="auto"/>
            <w:ind w:left="720" w:hanging="720"/>
            <w:rPr>
              <w:i/>
            </w:rPr>
          </w:pPr>
          <w:r w:rsidRPr="00D61F4A">
            <w:t xml:space="preserve">Marose, D. (2017). </w:t>
          </w:r>
          <w:r w:rsidRPr="00635A06">
            <w:rPr>
              <w:i/>
            </w:rPr>
            <w:t>Law Enforcement Has Another Tool in the Fight Against Impaired Driving: Law Enforcement Phlebotomy in Minnesota.</w:t>
          </w:r>
        </w:p>
        <w:p w:rsidR="001F683B" w:rsidP="001F683B" w14:paraId="2067474D" w14:textId="77777777">
          <w:pPr>
            <w:spacing w:after="0" w:line="240" w:lineRule="auto"/>
            <w:ind w:left="720" w:hanging="720"/>
          </w:pPr>
        </w:p>
        <w:p w:rsidR="00060AF6" w:rsidRPr="00D61F4A" w:rsidP="001F683B" w14:paraId="0FB09C64" w14:textId="3EE2DDE4">
          <w:pPr>
            <w:spacing w:after="0" w:line="240" w:lineRule="auto"/>
            <w:ind w:left="720" w:hanging="720"/>
          </w:pPr>
          <w:r w:rsidRPr="00D61F4A">
            <w:t xml:space="preserve">Minnesota Traffic Law Enforcement Training Program. (2017). </w:t>
          </w:r>
          <w:r w:rsidRPr="00D61F4A">
            <w:rPr>
              <w:i/>
            </w:rPr>
            <w:t>Training Announcement: Law Enforcement Phlebotomist</w:t>
          </w:r>
          <w:r w:rsidRPr="00D61F4A">
            <w:t>. Retrieved from https://dps.mn.gov/divisions/msp/about/Documents/Training%20Announcement%20August%202017.pdf</w:t>
          </w:r>
        </w:p>
        <w:p w:rsidR="001F683B" w:rsidP="001F683B" w14:paraId="377B9E6E" w14:textId="77777777">
          <w:pPr>
            <w:spacing w:after="0" w:line="240" w:lineRule="auto"/>
            <w:ind w:left="720" w:hanging="720"/>
          </w:pPr>
          <w:bookmarkStart w:id="36" w:name="_Hlk518303673"/>
        </w:p>
        <w:p w:rsidR="00060AF6" w:rsidRPr="00D61F4A" w:rsidP="001F683B" w14:paraId="056C5105" w14:textId="352715C9">
          <w:pPr>
            <w:spacing w:after="0" w:line="240" w:lineRule="auto"/>
            <w:ind w:left="720" w:hanging="720"/>
          </w:pPr>
          <w:r w:rsidRPr="00D61F4A">
            <w:t>Missouri v. McNeely, 569 U.S. 141 (2013)</w:t>
          </w:r>
          <w:r>
            <w:t xml:space="preserve">. Retrieved from </w:t>
          </w:r>
          <w:r w:rsidRPr="00D61F4A">
            <w:t xml:space="preserve">  </w:t>
          </w:r>
          <w:r w:rsidRPr="00C4659B">
            <w:t>https://supreme.justia.com/cases/federal/us/569/11-1425/</w:t>
          </w:r>
          <w:r w:rsidRPr="00D61F4A">
            <w:t>.</w:t>
          </w:r>
        </w:p>
        <w:p w:rsidR="001F683B" w:rsidP="001F683B" w14:paraId="046301F1" w14:textId="77777777">
          <w:pPr>
            <w:spacing w:after="0" w:line="240" w:lineRule="auto"/>
            <w:ind w:left="720" w:hanging="720"/>
          </w:pPr>
        </w:p>
        <w:p w:rsidR="00060AF6" w:rsidRPr="00D61F4A" w:rsidP="001F683B" w14:paraId="276CD222" w14:textId="1C79B6B5">
          <w:pPr>
            <w:spacing w:after="0" w:line="240" w:lineRule="auto"/>
            <w:ind w:left="720" w:hanging="720"/>
          </w:pPr>
          <w:r w:rsidRPr="00D61F4A">
            <w:t>Namuswe</w:t>
          </w:r>
          <w:r w:rsidRPr="00D61F4A">
            <w:t xml:space="preserve">, E, Coleman, H., &amp; Berning, A. </w:t>
          </w:r>
          <w:bookmarkEnd w:id="36"/>
          <w:r w:rsidRPr="00D61F4A">
            <w:t xml:space="preserve">(2014). </w:t>
          </w:r>
          <w:r w:rsidRPr="00C4659B">
            <w:rPr>
              <w:i/>
            </w:rPr>
            <w:t>Breath Test Refusal Rates in the United States – 2011 Update</w:t>
          </w:r>
          <w:r w:rsidRPr="00D61F4A">
            <w:t>. Washington, DC: National Highway Traffic Safety Administration.</w:t>
          </w:r>
          <w:r>
            <w:t xml:space="preserve"> Retrieved from</w:t>
          </w:r>
          <w:r w:rsidRPr="00D61F4A">
            <w:t xml:space="preserve"> https://www.nhtsa.gov/sites/nhtsa.dot.gov/files/breath_test_refusal_rates-811881.pdf</w:t>
          </w:r>
        </w:p>
        <w:p w:rsidR="001F683B" w:rsidP="001F683B" w14:paraId="04F7C0D2" w14:textId="77777777">
          <w:pPr>
            <w:spacing w:after="0" w:line="240" w:lineRule="auto"/>
            <w:ind w:left="720" w:hanging="720"/>
            <w:rPr>
              <w:color w:val="000000"/>
              <w:shd w:val="clear" w:color="auto" w:fill="FFFFFF"/>
            </w:rPr>
          </w:pPr>
        </w:p>
        <w:p w:rsidR="00060AF6" w:rsidRPr="00D61F4A" w:rsidP="001F683B" w14:paraId="14C6275D" w14:textId="654E3944">
          <w:pPr>
            <w:spacing w:after="0" w:line="240" w:lineRule="auto"/>
            <w:ind w:left="720" w:hanging="720"/>
            <w:rPr>
              <w:color w:val="000000"/>
              <w:shd w:val="clear" w:color="auto" w:fill="FFFFFF"/>
            </w:rPr>
          </w:pPr>
          <w:r w:rsidRPr="00D61F4A">
            <w:rPr>
              <w:color w:val="000000"/>
              <w:shd w:val="clear" w:color="auto" w:fill="FFFFFF"/>
            </w:rPr>
            <w:t xml:space="preserve">National Highway Traffic Safety Administration (2017). </w:t>
          </w:r>
          <w:r w:rsidRPr="00C4659B">
            <w:rPr>
              <w:i/>
              <w:color w:val="000000"/>
              <w:shd w:val="clear" w:color="auto" w:fill="FFFFFF"/>
            </w:rPr>
            <w:t>Traffic Safety Facts 2016 Data: Alcohol-Impaired Driving</w:t>
          </w:r>
          <w:r w:rsidRPr="00D61F4A">
            <w:rPr>
              <w:color w:val="000000"/>
              <w:shd w:val="clear" w:color="auto" w:fill="FFFFFF"/>
            </w:rPr>
            <w:t>. U.S. Department of Transportation, Washington, DC;</w:t>
          </w:r>
          <w:r>
            <w:rPr>
              <w:color w:val="000000"/>
              <w:shd w:val="clear" w:color="auto" w:fill="FFFFFF"/>
            </w:rPr>
            <w:t xml:space="preserve"> Retrieved from </w:t>
          </w:r>
          <w:r w:rsidRPr="00C4659B">
            <w:t>https://crashstats.nhtsa.dot.gov/Api/Public/ViewPublication/812450</w:t>
          </w:r>
        </w:p>
        <w:p w:rsidR="001F683B" w:rsidP="001F683B" w14:paraId="17259828" w14:textId="77777777">
          <w:pPr>
            <w:spacing w:after="0" w:line="240" w:lineRule="auto"/>
            <w:ind w:left="720" w:hanging="720"/>
          </w:pPr>
        </w:p>
        <w:p w:rsidR="00060AF6" w:rsidRPr="00D61F4A" w:rsidP="001F683B" w14:paraId="10E0D96E" w14:textId="2FACE6F9">
          <w:pPr>
            <w:spacing w:after="0" w:line="240" w:lineRule="auto"/>
            <w:ind w:left="720" w:hanging="720"/>
          </w:pPr>
          <w:r w:rsidRPr="00D61F4A">
            <w:t>Olson, J. (2016). </w:t>
          </w:r>
          <w:r w:rsidRPr="00C4659B">
            <w:rPr>
              <w:i/>
            </w:rPr>
            <w:t>Law Enforcement Phlebotomy: An introduction to the 6 Steps in creating a quality Law Enforcement Phlebotomy Program</w:t>
          </w:r>
          <w:r>
            <w:t>. Handout from Idaho Prosecuting Attorneys Association Conference 2016.</w:t>
          </w:r>
        </w:p>
        <w:p w:rsidR="001F683B" w:rsidP="001F683B" w14:paraId="0C36E974" w14:textId="77777777">
          <w:pPr>
            <w:spacing w:after="0" w:line="240" w:lineRule="auto"/>
            <w:ind w:left="720" w:hanging="720"/>
          </w:pPr>
        </w:p>
        <w:p w:rsidR="00060AF6" w:rsidRPr="00D61F4A" w:rsidP="001F683B" w14:paraId="1D01FEBF" w14:textId="184AE4C4">
          <w:pPr>
            <w:spacing w:after="0" w:line="240" w:lineRule="auto"/>
            <w:ind w:left="720" w:hanging="720"/>
          </w:pPr>
          <w:r w:rsidRPr="00D61F4A">
            <w:t>Schmerber</w:t>
          </w:r>
          <w:r w:rsidRPr="00D61F4A">
            <w:t xml:space="preserve"> v. California, 384 U.S. 757 (1966)</w:t>
          </w:r>
          <w:r>
            <w:t>. Retrieved from</w:t>
          </w:r>
          <w:r w:rsidRPr="00D61F4A">
            <w:t xml:space="preserve"> </w:t>
          </w:r>
          <w:r w:rsidRPr="00C4659B">
            <w:t>https://supreme.justia.com/cases/federal/us/384/757/case.html</w:t>
          </w:r>
        </w:p>
        <w:p w:rsidR="001F683B" w:rsidP="001F683B" w14:paraId="673D6F72" w14:textId="77777777">
          <w:pPr>
            <w:spacing w:after="0" w:line="240" w:lineRule="auto"/>
            <w:ind w:left="720" w:hanging="720"/>
          </w:pPr>
        </w:p>
        <w:p w:rsidR="00060AF6" w:rsidRPr="00D61F4A" w:rsidP="001F683B" w14:paraId="7096982F" w14:textId="31A6CE19">
          <w:pPr>
            <w:spacing w:after="0" w:line="240" w:lineRule="auto"/>
            <w:ind w:left="720" w:hanging="720"/>
          </w:pPr>
          <w:r w:rsidRPr="00D61F4A">
            <w:t xml:space="preserve">State of Idaho: Impaired Driving Program. (2017). </w:t>
          </w:r>
          <w:r w:rsidRPr="00D61F4A">
            <w:rPr>
              <w:i/>
            </w:rPr>
            <w:t>Law Enforcement Phlebotomy Training Program</w:t>
          </w:r>
          <w:r w:rsidRPr="00D61F4A">
            <w:t xml:space="preserve">. Retrieved from </w:t>
          </w:r>
          <w:r w:rsidRPr="00C4659B">
            <w:t>https://www.post.idaho.gov/Reg2/052617PhlebotomyTrainingApplication.pdf</w:t>
          </w:r>
        </w:p>
        <w:p w:rsidR="001F683B" w:rsidP="001F683B" w14:paraId="21F5C568" w14:textId="77777777">
          <w:pPr>
            <w:spacing w:after="0" w:line="240" w:lineRule="auto"/>
            <w:ind w:left="720" w:hanging="720"/>
          </w:pPr>
        </w:p>
        <w:p w:rsidR="00060AF6" w:rsidRPr="00D61F4A" w:rsidP="001F683B" w14:paraId="5C59491F" w14:textId="3AE94480">
          <w:pPr>
            <w:spacing w:after="0" w:line="240" w:lineRule="auto"/>
            <w:ind w:left="720" w:hanging="720"/>
            <w:rPr>
              <w:rStyle w:val="Hyperlink"/>
            </w:rPr>
          </w:pPr>
          <w:r w:rsidRPr="00D61F4A">
            <w:t>State v. May, 2 CA-CR 2004-0099 Court of Appeals, State of Arizona – Division Two</w:t>
          </w:r>
          <w:r>
            <w:t xml:space="preserve">. Retrieved from </w:t>
          </w:r>
          <w:r w:rsidRPr="00C4659B">
            <w:t>https://caselaw.findlaw.com/az-court-of-appeals/1419603.html</w:t>
          </w:r>
          <w:r>
            <w:t xml:space="preserve"> </w:t>
          </w:r>
        </w:p>
        <w:p w:rsidR="001F683B" w:rsidP="001F683B" w14:paraId="4302B4F4" w14:textId="77777777">
          <w:pPr>
            <w:spacing w:after="0" w:line="240" w:lineRule="auto"/>
            <w:ind w:left="720" w:hanging="720"/>
          </w:pPr>
        </w:p>
        <w:p w:rsidR="00060AF6" w:rsidRPr="00D61F4A" w:rsidP="001F683B" w14:paraId="68570273" w14:textId="6CA2F7A0">
          <w:pPr>
            <w:spacing w:after="0" w:line="240" w:lineRule="auto"/>
            <w:ind w:left="720" w:hanging="720"/>
          </w:pPr>
          <w:r w:rsidRPr="00D61F4A">
            <w:t xml:space="preserve">Utah Department of Public Safety. (2017). </w:t>
          </w:r>
          <w:r w:rsidRPr="00635A06">
            <w:rPr>
              <w:i/>
            </w:rPr>
            <w:t>Additional Non-POST Sponsored Training:</w:t>
          </w:r>
          <w:r w:rsidRPr="00C4659B">
            <w:rPr>
              <w:i/>
            </w:rPr>
            <w:t xml:space="preserve"> Peace Officer Standards and Training</w:t>
          </w:r>
          <w:r w:rsidRPr="00D61F4A">
            <w:t>. Retrieved from https://post.utah.gov/in-service-investigations/additional-non-post-sponsored-training/</w:t>
          </w:r>
        </w:p>
        <w:p w:rsidR="001F683B" w:rsidP="001F683B" w14:paraId="39259E1E" w14:textId="77777777">
          <w:pPr>
            <w:spacing w:after="0" w:line="240" w:lineRule="auto"/>
            <w:rPr>
              <w:b/>
              <w:bCs/>
              <w:noProof/>
            </w:rPr>
          </w:pPr>
        </w:p>
        <w:p w:rsidR="00060AF6" w:rsidP="001F683B" w14:paraId="6D05EDF6" w14:textId="59E4C9FC">
          <w:pPr>
            <w:spacing w:after="0" w:line="240" w:lineRule="auto"/>
            <w:rPr>
              <w:b/>
              <w:bCs/>
              <w:noProof/>
            </w:rPr>
          </w:pPr>
          <w:r>
            <w:rPr>
              <w:b/>
              <w:bCs/>
              <w:noProof/>
            </w:rPr>
            <w:t>Expedited Search Warrant References</w:t>
          </w:r>
        </w:p>
        <w:p w:rsidR="00060AF6" w:rsidP="001F683B" w14:paraId="1786DDB2" w14:textId="77777777">
          <w:pPr>
            <w:pStyle w:val="BodyText"/>
            <w:ind w:left="940" w:hanging="720"/>
          </w:pPr>
          <w:r>
            <w:t>725</w:t>
          </w:r>
          <w:r>
            <w:rPr>
              <w:spacing w:val="1"/>
            </w:rPr>
            <w:t xml:space="preserve"> </w:t>
          </w:r>
          <w:r>
            <w:t>Illinois Compiled</w:t>
          </w:r>
          <w:r>
            <w:rPr>
              <w:spacing w:val="-1"/>
            </w:rPr>
            <w:t xml:space="preserve"> </w:t>
          </w:r>
          <w:r>
            <w:t>Statutes. 5/108-4.</w:t>
          </w:r>
          <w:r>
            <w:rPr>
              <w:spacing w:val="2"/>
            </w:rPr>
            <w:t xml:space="preserve"> </w:t>
          </w:r>
          <w:r>
            <w:t>Issuance of</w:t>
          </w:r>
          <w:r>
            <w:rPr>
              <w:spacing w:val="-1"/>
            </w:rPr>
            <w:t xml:space="preserve"> </w:t>
          </w:r>
          <w:r>
            <w:t>Search</w:t>
          </w:r>
          <w:r>
            <w:rPr>
              <w:spacing w:val="-1"/>
            </w:rPr>
            <w:t xml:space="preserve"> </w:t>
          </w:r>
          <w:r>
            <w:t>Warrant.</w:t>
          </w:r>
          <w:r>
            <w:rPr>
              <w:spacing w:val="1"/>
            </w:rPr>
            <w:t xml:space="preserve"> </w:t>
          </w:r>
          <w:hyperlink r:id="rId6">
            <w:r>
              <w:rPr>
                <w:spacing w:val="-1"/>
                <w:u w:val="single"/>
              </w:rPr>
              <w:t>www.ilga.gov/legislation/ilcs/ilcs4.asp?ActID=1966&amp;ChapterID=54&amp;SeqStart=8200000</w:t>
            </w:r>
          </w:hyperlink>
          <w:r>
            <w:t xml:space="preserve"> </w:t>
          </w:r>
          <w:hyperlink r:id="rId6">
            <w:r>
              <w:rPr>
                <w:u w:val="single"/>
              </w:rPr>
              <w:t>&amp;</w:t>
            </w:r>
            <w:r>
              <w:rPr>
                <w:u w:val="single"/>
              </w:rPr>
              <w:t>SeqEnd</w:t>
            </w:r>
            <w:r>
              <w:rPr>
                <w:u w:val="single"/>
              </w:rPr>
              <w:t>=14900000</w:t>
            </w:r>
          </w:hyperlink>
        </w:p>
        <w:p w:rsidR="00060AF6" w:rsidP="001F683B" w14:paraId="2BF3BBB9" w14:textId="77777777">
          <w:pPr>
            <w:pStyle w:val="BodyText"/>
            <w:rPr>
              <w:sz w:val="20"/>
            </w:rPr>
          </w:pPr>
        </w:p>
        <w:p w:rsidR="00060AF6" w:rsidP="001F683B" w14:paraId="40757BAD" w14:textId="77777777">
          <w:pPr>
            <w:pStyle w:val="BodyText"/>
            <w:ind w:left="940" w:right="522" w:hanging="720"/>
          </w:pPr>
          <w:r>
            <w:t>2016 Colorado Revised Statutes - CO Rev Stat § 16-1-106 (2016).</w:t>
          </w:r>
          <w:r>
            <w:rPr>
              <w:spacing w:val="1"/>
            </w:rPr>
            <w:t xml:space="preserve"> </w:t>
          </w:r>
          <w:hyperlink r:id="rId7">
            <w:r>
              <w:rPr>
                <w:spacing w:val="-1"/>
                <w:u w:val="single"/>
              </w:rPr>
              <w:t>https://law.justia.com/codes/colorado/2016/title-16/code-of-criminal-procedure/article-</w:t>
            </w:r>
          </w:hyperlink>
          <w:r>
            <w:t xml:space="preserve"> </w:t>
          </w:r>
          <w:hyperlink r:id="rId7">
            <w:r>
              <w:rPr>
                <w:u w:val="single"/>
              </w:rPr>
              <w:t>1/section-16-1-106/</w:t>
            </w:r>
          </w:hyperlink>
        </w:p>
        <w:p w:rsidR="00060AF6" w:rsidP="001F683B" w14:paraId="76168305" w14:textId="77777777">
          <w:pPr>
            <w:pStyle w:val="BodyText"/>
            <w:rPr>
              <w:sz w:val="20"/>
            </w:rPr>
          </w:pPr>
        </w:p>
        <w:p w:rsidR="00060AF6" w:rsidP="001F683B" w14:paraId="58AD5B97" w14:textId="77777777">
          <w:pPr>
            <w:pStyle w:val="BodyText"/>
            <w:ind w:left="940" w:right="2846" w:hanging="720"/>
          </w:pPr>
          <w:r>
            <w:t>Arizona Supreme Court Administrative Order 2018-51 (2018).</w:t>
          </w:r>
          <w:r>
            <w:rPr>
              <w:spacing w:val="1"/>
            </w:rPr>
            <w:t xml:space="preserve"> </w:t>
          </w:r>
          <w:hyperlink r:id="rId8">
            <w:r>
              <w:rPr>
                <w:spacing w:val="-1"/>
                <w:u w:val="single"/>
              </w:rPr>
              <w:t>www.azcourts.gov/Portals/22/admorder/Orders18/2018-51.pdf</w:t>
            </w:r>
          </w:hyperlink>
        </w:p>
        <w:p w:rsidR="00060AF6" w:rsidP="001F683B" w14:paraId="0D9F849A" w14:textId="77777777">
          <w:pPr>
            <w:pStyle w:val="BodyText"/>
            <w:rPr>
              <w:sz w:val="20"/>
            </w:rPr>
          </w:pPr>
        </w:p>
        <w:p w:rsidR="00060AF6" w:rsidP="001F683B" w14:paraId="3BAECC21" w14:textId="77777777">
          <w:pPr>
            <w:pStyle w:val="BodyText"/>
            <w:ind w:left="940" w:right="698" w:hanging="720"/>
          </w:pPr>
          <w:r>
            <w:t>Benefiel</w:t>
          </w:r>
          <w:r>
            <w:t xml:space="preserve">, G. T. (2012). DUI search warrants: Prosecuting DUI refusals. </w:t>
          </w:r>
          <w:r>
            <w:rPr>
              <w:i/>
            </w:rPr>
            <w:t>The Kansas</w:t>
          </w:r>
          <w:r>
            <w:rPr>
              <w:i/>
              <w:spacing w:val="1"/>
            </w:rPr>
            <w:t xml:space="preserve"> </w:t>
          </w:r>
          <w:r>
            <w:rPr>
              <w:i/>
            </w:rPr>
            <w:t>Prosecutor,</w:t>
          </w:r>
          <w:r>
            <w:rPr>
              <w:i/>
              <w:spacing w:val="-9"/>
            </w:rPr>
            <w:t xml:space="preserve"> </w:t>
          </w:r>
          <w:r>
            <w:rPr>
              <w:i/>
            </w:rPr>
            <w:t>9</w:t>
          </w:r>
          <w:r>
            <w:t>(1).</w:t>
          </w:r>
          <w:r>
            <w:rPr>
              <w:spacing w:val="-8"/>
            </w:rPr>
            <w:t xml:space="preserve"> </w:t>
          </w:r>
          <w:hyperlink r:id="rId9">
            <w:r>
              <w:rPr>
                <w:u w:val="single"/>
              </w:rPr>
              <w:t>www.kcdaa.org/Resources/Documents/KSProsecutor-Spring12.pdf</w:t>
            </w:r>
          </w:hyperlink>
        </w:p>
        <w:p w:rsidR="00060AF6" w:rsidP="001F683B" w14:paraId="3BD9F311" w14:textId="77777777">
          <w:pPr>
            <w:pStyle w:val="BodyText"/>
            <w:rPr>
              <w:sz w:val="20"/>
            </w:rPr>
          </w:pPr>
        </w:p>
        <w:p w:rsidR="00060AF6" w:rsidP="001F683B" w14:paraId="334EAE4A" w14:textId="77777777">
          <w:pPr>
            <w:pStyle w:val="BodyText"/>
            <w:ind w:left="940" w:right="528" w:hanging="720"/>
          </w:pPr>
          <w:r>
            <w:t xml:space="preserve">Berning, A., </w:t>
          </w:r>
          <w:r>
            <w:t>Beirness</w:t>
          </w:r>
          <w:r>
            <w:t xml:space="preserve">, D., Hedlund, J., &amp; Jones, R. (2007). </w:t>
          </w:r>
          <w:r>
            <w:rPr>
              <w:i/>
            </w:rPr>
            <w:t xml:space="preserve">Breath test refusals </w:t>
          </w:r>
          <w:r>
            <w:t>(Traffic Safety</w:t>
          </w:r>
          <w:r>
            <w:rPr>
              <w:spacing w:val="-57"/>
            </w:rPr>
            <w:t xml:space="preserve"> </w:t>
          </w:r>
          <w:r>
            <w:t>Facts Research Note. Report No. DOT HS 810 871. National Highway Traffic Safety</w:t>
          </w:r>
          <w:r>
            <w:rPr>
              <w:spacing w:val="1"/>
            </w:rPr>
            <w:t xml:space="preserve"> </w:t>
          </w:r>
          <w:r>
            <w:t>Administration.</w:t>
          </w:r>
          <w:r>
            <w:rPr>
              <w:spacing w:val="-2"/>
            </w:rPr>
            <w:t xml:space="preserve"> </w:t>
          </w:r>
          <w:r>
            <w:t>Available</w:t>
          </w:r>
          <w:r>
            <w:rPr>
              <w:spacing w:val="-2"/>
            </w:rPr>
            <w:t xml:space="preserve"> </w:t>
          </w:r>
          <w:r>
            <w:t>at</w:t>
          </w:r>
          <w:r>
            <w:rPr>
              <w:spacing w:val="-2"/>
            </w:rPr>
            <w:t xml:space="preserve"> </w:t>
          </w:r>
          <w:hyperlink r:id="rId10">
            <w:r>
              <w:rPr>
                <w:u w:val="single"/>
              </w:rPr>
              <w:t>www.nhtsa.gov/sites/nhtsa.dot.gov/files/810871.pdf</w:t>
            </w:r>
          </w:hyperlink>
        </w:p>
        <w:p w:rsidR="00060AF6" w:rsidP="001F683B" w14:paraId="6C8121ED" w14:textId="77777777">
          <w:pPr>
            <w:pStyle w:val="BodyText"/>
            <w:rPr>
              <w:sz w:val="20"/>
            </w:rPr>
          </w:pPr>
        </w:p>
        <w:p w:rsidR="00060AF6" w:rsidP="001F683B" w14:paraId="30FF6128" w14:textId="77777777">
          <w:pPr>
            <w:pStyle w:val="BodyText"/>
            <w:ind w:left="939" w:right="468" w:hanging="720"/>
          </w:pPr>
          <w:r>
            <w:t xml:space="preserve">Berning, A., Compton, R., </w:t>
          </w:r>
          <w:r>
            <w:t>Vegega</w:t>
          </w:r>
          <w:r>
            <w:t xml:space="preserve">, M., </w:t>
          </w:r>
          <w:r>
            <w:t>Beirness</w:t>
          </w:r>
          <w:r>
            <w:t>, D., Hedlund, J., Jones, R., &amp; Nichols, J.</w:t>
          </w:r>
          <w:r>
            <w:rPr>
              <w:spacing w:val="1"/>
            </w:rPr>
            <w:t xml:space="preserve"> </w:t>
          </w:r>
          <w:r>
            <w:t xml:space="preserve">(2008). </w:t>
          </w:r>
          <w:r>
            <w:rPr>
              <w:i/>
            </w:rPr>
            <w:t xml:space="preserve">Refusal of intoxication testing: A Report to Congress </w:t>
          </w:r>
          <w:r>
            <w:t>(Report No. DOT HS 811</w:t>
          </w:r>
          <w:r>
            <w:rPr>
              <w:spacing w:val="-57"/>
            </w:rPr>
            <w:t xml:space="preserve"> </w:t>
          </w:r>
          <w:r>
            <w:t>098). National Highway Traffic Safety Administration. Available at</w:t>
          </w:r>
          <w:r>
            <w:rPr>
              <w:spacing w:val="1"/>
            </w:rPr>
            <w:t xml:space="preserve"> </w:t>
          </w:r>
          <w:hyperlink r:id="rId11">
            <w:r>
              <w:rPr>
                <w:u w:val="single"/>
              </w:rPr>
              <w:t>www.nhtsa.gov/sites/nhtsa.dot.gov/files/811098_1.pdf</w:t>
            </w:r>
          </w:hyperlink>
        </w:p>
        <w:p w:rsidR="00060AF6" w:rsidP="001F683B" w14:paraId="503F1046" w14:textId="77777777">
          <w:pPr>
            <w:pStyle w:val="BodyText"/>
            <w:rPr>
              <w:sz w:val="20"/>
            </w:rPr>
          </w:pPr>
        </w:p>
        <w:p w:rsidR="00060AF6" w:rsidRPr="001F683B" w:rsidP="001F683B" w14:paraId="6C5056E5" w14:textId="75789A26">
          <w:pPr>
            <w:spacing w:after="0" w:line="240" w:lineRule="auto"/>
            <w:ind w:left="939" w:right="3399" w:hanging="720"/>
          </w:pPr>
          <w:r>
            <w:rPr>
              <w:i/>
            </w:rPr>
            <w:t>Birchfield v. North Dakota</w:t>
          </w:r>
          <w:r>
            <w:t xml:space="preserve">, 136 </w:t>
          </w:r>
          <w:r>
            <w:t>S.Ct</w:t>
          </w:r>
          <w:r>
            <w:t>. 2160 (2016).</w:t>
          </w:r>
          <w:r>
            <w:rPr>
              <w:spacing w:val="1"/>
            </w:rPr>
            <w:t xml:space="preserve"> </w:t>
          </w:r>
          <w:hyperlink r:id="rId12">
            <w:r>
              <w:rPr>
                <w:spacing w:val="-1"/>
                <w:u w:val="single"/>
              </w:rPr>
              <w:t>https://supreme.justia.com/cases/federal/us/579/14-1468</w:t>
            </w:r>
          </w:hyperlink>
          <w:r>
            <w:rPr>
              <w:spacing w:val="-1"/>
            </w:rPr>
            <w:t>/</w:t>
          </w:r>
        </w:p>
        <w:p w:rsidR="001F683B" w:rsidP="001F683B" w14:paraId="0A2195F9" w14:textId="77777777">
          <w:pPr>
            <w:pStyle w:val="BodyText"/>
            <w:ind w:left="939" w:right="1137" w:hanging="720"/>
          </w:pPr>
        </w:p>
        <w:p w:rsidR="00060AF6" w:rsidP="001F683B" w14:paraId="612290AA" w14:textId="360C1F82">
          <w:pPr>
            <w:pStyle w:val="BodyText"/>
            <w:ind w:left="939" w:right="1137" w:hanging="720"/>
          </w:pPr>
          <w:r>
            <w:t>Borakove</w:t>
          </w:r>
          <w:r>
            <w:t xml:space="preserve">, E., &amp; Banks, R. (2018). </w:t>
          </w:r>
          <w:r>
            <w:rPr>
              <w:i/>
            </w:rPr>
            <w:t>A guide to implementing electronic warrants</w:t>
          </w:r>
          <w:r>
            <w:t>. Justice</w:t>
          </w:r>
          <w:r>
            <w:rPr>
              <w:spacing w:val="-57"/>
            </w:rPr>
            <w:t xml:space="preserve"> </w:t>
          </w:r>
          <w:r>
            <w:t>Management</w:t>
          </w:r>
          <w:r>
            <w:rPr>
              <w:spacing w:val="1"/>
            </w:rPr>
            <w:t xml:space="preserve"> </w:t>
          </w:r>
          <w:r>
            <w:t xml:space="preserve">Institute. </w:t>
          </w:r>
          <w:hyperlink r:id="rId13">
            <w:r>
              <w:rPr>
                <w:u w:val="single"/>
              </w:rPr>
              <w:t>www.responsibility.org/wp-</w:t>
            </w:r>
          </w:hyperlink>
          <w:r>
            <w:rPr>
              <w:spacing w:val="1"/>
            </w:rPr>
            <w:t xml:space="preserve"> </w:t>
          </w:r>
          <w:hyperlink r:id="rId13">
            <w:r>
              <w:rPr>
                <w:u w:val="single"/>
              </w:rPr>
              <w:t>content/uploads/2018/04/FAAR_3715-eWarrants-Interactive-PDF_V-</w:t>
            </w:r>
          </w:hyperlink>
          <w:r>
            <w:rPr>
              <w:spacing w:val="1"/>
            </w:rPr>
            <w:t xml:space="preserve"> </w:t>
          </w:r>
          <w:hyperlink r:id="rId13">
            <w:r>
              <w:rPr>
                <w:u w:val="single"/>
              </w:rPr>
              <w:t>4.pdf?pdf=</w:t>
            </w:r>
            <w:r>
              <w:rPr>
                <w:u w:val="single"/>
              </w:rPr>
              <w:t>eWarrants_Implementation_Guide</w:t>
            </w:r>
          </w:hyperlink>
        </w:p>
        <w:p w:rsidR="00060AF6" w:rsidP="001F683B" w14:paraId="0614C52B" w14:textId="77777777">
          <w:pPr>
            <w:pStyle w:val="BodyText"/>
            <w:rPr>
              <w:sz w:val="20"/>
            </w:rPr>
          </w:pPr>
        </w:p>
        <w:p w:rsidR="00060AF6" w:rsidP="001F683B" w14:paraId="65DCBC50" w14:textId="77777777">
          <w:pPr>
            <w:pStyle w:val="BodyText"/>
            <w:ind w:left="940" w:hanging="720"/>
          </w:pPr>
          <w:r>
            <w:t>Bureau of Justice Assistance (2014). Warrant &amp; Disposition Toolkit. Alabama Warrant</w:t>
          </w:r>
          <w:r>
            <w:rPr>
              <w:spacing w:val="1"/>
            </w:rPr>
            <w:t xml:space="preserve"> </w:t>
          </w:r>
          <w:r>
            <w:t>Management Project.</w:t>
          </w:r>
          <w:r>
            <w:rPr>
              <w:spacing w:val="1"/>
            </w:rPr>
            <w:t xml:space="preserve"> </w:t>
          </w:r>
          <w:hyperlink r:id="rId14">
            <w:r>
              <w:rPr>
                <w:spacing w:val="-1"/>
                <w:u w:val="single"/>
              </w:rPr>
              <w:t>www.wdmtoolkit.org/~/media/Microsites/Files/Warrants%20and%20Dispositions/State</w:t>
            </w:r>
          </w:hyperlink>
        </w:p>
        <w:p w:rsidR="00060AF6" w:rsidP="001F683B" w14:paraId="60314405" w14:textId="77777777">
          <w:pPr>
            <w:pStyle w:val="BodyText"/>
            <w:ind w:left="940"/>
          </w:pPr>
          <w:hyperlink r:id="rId14">
            <w:r>
              <w:rPr>
                <w:u w:val="single"/>
              </w:rPr>
              <w:t>%20Implementations/Alabama/AL%20-</w:t>
            </w:r>
          </w:hyperlink>
        </w:p>
        <w:p w:rsidR="00060AF6" w:rsidP="001F683B" w14:paraId="5D0B506D" w14:textId="77777777">
          <w:pPr>
            <w:pStyle w:val="BodyText"/>
            <w:ind w:left="940"/>
          </w:pPr>
          <w:hyperlink r:id="rId14">
            <w:r>
              <w:rPr>
                <w:u w:val="single"/>
              </w:rPr>
              <w:t>%20Results%20and%20Lessons%20Learned%207-8-2015.ashx</w:t>
            </w:r>
          </w:hyperlink>
        </w:p>
        <w:p w:rsidR="00060AF6" w:rsidP="001F683B" w14:paraId="161952EC" w14:textId="77777777">
          <w:pPr>
            <w:pStyle w:val="BodyText"/>
            <w:rPr>
              <w:sz w:val="20"/>
            </w:rPr>
          </w:pPr>
        </w:p>
        <w:p w:rsidR="00060AF6" w:rsidP="001F683B" w14:paraId="648EDBBC" w14:textId="77777777">
          <w:pPr>
            <w:pStyle w:val="BodyText"/>
            <w:ind w:left="940" w:hanging="720"/>
          </w:pPr>
          <w:r>
            <w:t>California Code, Penal Code - PEN CA PENAL § 1526.</w:t>
          </w:r>
          <w:r>
            <w:rPr>
              <w:spacing w:val="1"/>
            </w:rPr>
            <w:t xml:space="preserve"> </w:t>
          </w:r>
          <w:hyperlink r:id="rId15">
            <w:r>
              <w:rPr>
                <w:spacing w:val="-1"/>
                <w:u w:val="single"/>
              </w:rPr>
              <w:t>https://leginfo.legislature.ca.gov/faces/codes_displaySection.xhtml?sectionNum=1526.&amp;l</w:t>
            </w:r>
          </w:hyperlink>
          <w:r>
            <w:t xml:space="preserve"> </w:t>
          </w:r>
          <w:hyperlink r:id="rId15">
            <w:r>
              <w:rPr>
                <w:u w:val="single"/>
              </w:rPr>
              <w:t>awCode</w:t>
            </w:r>
            <w:r>
              <w:rPr>
                <w:u w:val="single"/>
              </w:rPr>
              <w:t>=PEN</w:t>
            </w:r>
          </w:hyperlink>
        </w:p>
        <w:p w:rsidR="00060AF6" w:rsidP="001F683B" w14:paraId="57909762" w14:textId="77777777">
          <w:pPr>
            <w:pStyle w:val="BodyText"/>
            <w:rPr>
              <w:sz w:val="20"/>
            </w:rPr>
          </w:pPr>
        </w:p>
        <w:p w:rsidR="00060AF6" w:rsidP="001F683B" w14:paraId="610C6D81" w14:textId="77777777">
          <w:pPr>
            <w:pStyle w:val="BodyText"/>
            <w:ind w:left="940" w:right="1135" w:hanging="720"/>
          </w:pPr>
          <w:r>
            <w:t>California Courts. (n.d.). Electronic On-Call Warrants - San Bernardino Superior Court.</w:t>
          </w:r>
          <w:r>
            <w:rPr>
              <w:spacing w:val="-57"/>
            </w:rPr>
            <w:t xml:space="preserve"> </w:t>
          </w:r>
          <w:hyperlink r:id="rId16">
            <w:r>
              <w:rPr>
                <w:u w:val="single"/>
              </w:rPr>
              <w:t>www.courts.ca.gov/27655.htm</w:t>
            </w:r>
          </w:hyperlink>
        </w:p>
        <w:p w:rsidR="001F683B" w:rsidP="001F683B" w14:paraId="3E20EA30" w14:textId="77777777">
          <w:pPr>
            <w:pStyle w:val="BodyText"/>
            <w:ind w:left="220" w:right="587"/>
          </w:pPr>
        </w:p>
        <w:p w:rsidR="00060AF6" w:rsidP="00141C3B" w14:paraId="734DE35D" w14:textId="4AA52FA0">
          <w:pPr>
            <w:pStyle w:val="BodyText"/>
            <w:ind w:left="990" w:right="587" w:hanging="770"/>
          </w:pPr>
          <w:r>
            <w:t>Chapter 107 of the 2014 Laws of Maryland – Criminal Procedure – Search Warrants –</w:t>
          </w:r>
          <w:r>
            <w:rPr>
              <w:spacing w:val="1"/>
            </w:rPr>
            <w:t xml:space="preserve"> </w:t>
          </w:r>
          <w:r>
            <w:rPr>
              <w:spacing w:val="-1"/>
            </w:rPr>
            <w:t xml:space="preserve">Procedures. </w:t>
          </w:r>
          <w:hyperlink r:id="rId17">
            <w:r>
              <w:rPr>
                <w:u w:val="single"/>
              </w:rPr>
              <w:t>www.mgaleg.maryland.gov/Pubs/LegisLegal/2014rs-laws-maryland-Vol-</w:t>
            </w:r>
          </w:hyperlink>
          <w:r>
            <w:rPr>
              <w:spacing w:val="-57"/>
            </w:rPr>
            <w:t xml:space="preserve"> </w:t>
          </w:r>
          <w:hyperlink r:id="rId17">
            <w:r>
              <w:rPr>
                <w:u w:val="single"/>
              </w:rPr>
              <w:t>002.pdf</w:t>
            </w:r>
          </w:hyperlink>
        </w:p>
        <w:p w:rsidR="00060AF6" w:rsidP="001F683B" w14:paraId="0E186258" w14:textId="77777777">
          <w:pPr>
            <w:pStyle w:val="BodyText"/>
            <w:rPr>
              <w:sz w:val="20"/>
            </w:rPr>
          </w:pPr>
        </w:p>
        <w:p w:rsidR="00060AF6" w:rsidP="001F683B" w14:paraId="588191AD" w14:textId="77777777">
          <w:pPr>
            <w:pStyle w:val="BodyText"/>
            <w:ind w:left="940" w:hanging="720"/>
          </w:pPr>
          <w:r>
            <w:t>Court</w:t>
          </w:r>
          <w:r>
            <w:rPr>
              <w:spacing w:val="-2"/>
            </w:rPr>
            <w:t xml:space="preserve"> </w:t>
          </w:r>
          <w:r>
            <w:t>of</w:t>
          </w:r>
          <w:r>
            <w:rPr>
              <w:spacing w:val="-3"/>
            </w:rPr>
            <w:t xml:space="preserve"> </w:t>
          </w:r>
          <w:r>
            <w:t>Appeals</w:t>
          </w:r>
          <w:r>
            <w:rPr>
              <w:spacing w:val="-1"/>
            </w:rPr>
            <w:t xml:space="preserve"> </w:t>
          </w:r>
          <w:r>
            <w:t>of</w:t>
          </w:r>
          <w:r>
            <w:rPr>
              <w:spacing w:val="-3"/>
            </w:rPr>
            <w:t xml:space="preserve"> </w:t>
          </w:r>
          <w:r>
            <w:t>Maryland</w:t>
          </w:r>
          <w:r>
            <w:rPr>
              <w:spacing w:val="-2"/>
            </w:rPr>
            <w:t xml:space="preserve"> </w:t>
          </w:r>
          <w:r>
            <w:t>Administrative</w:t>
          </w:r>
          <w:r>
            <w:rPr>
              <w:spacing w:val="-2"/>
            </w:rPr>
            <w:t xml:space="preserve"> </w:t>
          </w:r>
          <w:r>
            <w:t>Order</w:t>
          </w:r>
          <w:r>
            <w:rPr>
              <w:spacing w:val="-3"/>
            </w:rPr>
            <w:t xml:space="preserve"> </w:t>
          </w:r>
          <w:r>
            <w:t>on</w:t>
          </w:r>
          <w:r>
            <w:rPr>
              <w:spacing w:val="-1"/>
            </w:rPr>
            <w:t xml:space="preserve"> </w:t>
          </w:r>
          <w:r>
            <w:t>the</w:t>
          </w:r>
          <w:r>
            <w:rPr>
              <w:spacing w:val="-1"/>
            </w:rPr>
            <w:t xml:space="preserve"> </w:t>
          </w:r>
          <w:r>
            <w:t>Implementation</w:t>
          </w:r>
          <w:r>
            <w:rPr>
              <w:spacing w:val="-2"/>
            </w:rPr>
            <w:t xml:space="preserve"> </w:t>
          </w:r>
          <w:r>
            <w:t>of</w:t>
          </w:r>
          <w:r>
            <w:rPr>
              <w:spacing w:val="-2"/>
            </w:rPr>
            <w:t xml:space="preserve"> </w:t>
          </w:r>
          <w:r>
            <w:t>Electronic</w:t>
          </w:r>
          <w:r>
            <w:rPr>
              <w:spacing w:val="-3"/>
            </w:rPr>
            <w:t xml:space="preserve"> </w:t>
          </w:r>
          <w:r>
            <w:t>Search</w:t>
          </w:r>
          <w:r>
            <w:rPr>
              <w:spacing w:val="-57"/>
            </w:rPr>
            <w:t xml:space="preserve"> </w:t>
          </w:r>
          <w:r>
            <w:t xml:space="preserve">Warrants (2015). </w:t>
          </w:r>
          <w:hyperlink r:id="rId18">
            <w:r>
              <w:rPr>
                <w:u w:val="single"/>
              </w:rPr>
              <w:t>https://mdcourts.gov/sites/default/files/admin-</w:t>
            </w:r>
          </w:hyperlink>
          <w:r>
            <w:rPr>
              <w:spacing w:val="1"/>
            </w:rPr>
            <w:t xml:space="preserve"> </w:t>
          </w:r>
          <w:hyperlink r:id="rId18">
            <w:r>
              <w:rPr>
                <w:u w:val="single"/>
              </w:rPr>
              <w:t>orders/20150629electronicsearchwarrants.pdf</w:t>
            </w:r>
          </w:hyperlink>
        </w:p>
        <w:p w:rsidR="00060AF6" w:rsidP="001F683B" w14:paraId="7DBE6D2A" w14:textId="77777777">
          <w:pPr>
            <w:pStyle w:val="BodyText"/>
            <w:rPr>
              <w:sz w:val="20"/>
            </w:rPr>
          </w:pPr>
        </w:p>
        <w:p w:rsidR="00060AF6" w:rsidP="001F683B" w14:paraId="0D6EE3DD" w14:textId="77777777">
          <w:pPr>
            <w:pStyle w:val="BodyText"/>
            <w:ind w:left="940" w:right="643" w:hanging="720"/>
          </w:pPr>
          <w:r>
            <w:t>Gutier</w:t>
          </w:r>
          <w:r>
            <w:t>, A. (2016, April). “Law enforcement phlebotomy for safer roads” [online article]. The</w:t>
          </w:r>
          <w:r>
            <w:rPr>
              <w:spacing w:val="-58"/>
            </w:rPr>
            <w:t xml:space="preserve"> </w:t>
          </w:r>
          <w:r>
            <w:t>LEL.</w:t>
          </w:r>
          <w:r>
            <w:rPr>
              <w:spacing w:val="-5"/>
            </w:rPr>
            <w:t xml:space="preserve"> </w:t>
          </w:r>
          <w:hyperlink r:id="rId19">
            <w:r>
              <w:rPr>
                <w:u w:val="single"/>
              </w:rPr>
              <w:t>https://gohs.az.gov/sites/default/files/LEL</w:t>
            </w:r>
            <w:r>
              <w:rPr>
                <w:spacing w:val="-8"/>
                <w:u w:val="single"/>
              </w:rPr>
              <w:t xml:space="preserve"> </w:t>
            </w:r>
            <w:r>
              <w:rPr>
                <w:u w:val="single"/>
              </w:rPr>
              <w:t>042016</w:t>
            </w:r>
            <w:r>
              <w:rPr>
                <w:spacing w:val="-5"/>
                <w:u w:val="single"/>
              </w:rPr>
              <w:t xml:space="preserve"> </w:t>
            </w:r>
            <w:r>
              <w:rPr>
                <w:u w:val="single"/>
              </w:rPr>
              <w:t>PhlebotomyNewsArticle.pdf</w:t>
            </w:r>
          </w:hyperlink>
        </w:p>
        <w:p w:rsidR="001F683B" w:rsidP="001F683B" w14:paraId="177FBA56" w14:textId="77777777">
          <w:pPr>
            <w:spacing w:after="0" w:line="240" w:lineRule="auto"/>
            <w:ind w:left="939" w:right="289" w:hanging="720"/>
          </w:pPr>
        </w:p>
        <w:p w:rsidR="00060AF6" w:rsidRPr="001F683B" w:rsidP="001F683B" w14:paraId="64F9CA52" w14:textId="58F704CB">
          <w:pPr>
            <w:spacing w:after="0" w:line="240" w:lineRule="auto"/>
            <w:ind w:left="939" w:right="289" w:hanging="720"/>
          </w:pPr>
          <w:r>
            <w:t xml:space="preserve">Hedlund, J., &amp; </w:t>
          </w:r>
          <w:r>
            <w:t>Beirness</w:t>
          </w:r>
          <w:r>
            <w:t xml:space="preserve">, D. (2007, October). </w:t>
          </w:r>
          <w:r>
            <w:rPr>
              <w:i/>
            </w:rPr>
            <w:t>Use of warrants for breath test refusal: Case</w:t>
          </w:r>
          <w:r>
            <w:rPr>
              <w:i/>
              <w:spacing w:val="1"/>
            </w:rPr>
            <w:t xml:space="preserve"> </w:t>
          </w:r>
          <w:r>
            <w:rPr>
              <w:i/>
            </w:rPr>
            <w:t xml:space="preserve">studies </w:t>
          </w:r>
          <w:r>
            <w:t>(Report No. DOT HS 810 852). National Highway Traffic Safety Administration.</w:t>
          </w:r>
          <w:r>
            <w:rPr>
              <w:spacing w:val="-57"/>
            </w:rPr>
            <w:t xml:space="preserve"> </w:t>
          </w:r>
          <w:r>
            <w:t>Available</w:t>
          </w:r>
          <w:r>
            <w:rPr>
              <w:spacing w:val="-2"/>
            </w:rPr>
            <w:t xml:space="preserve"> </w:t>
          </w:r>
          <w:r>
            <w:t xml:space="preserve">at </w:t>
          </w:r>
          <w:hyperlink r:id="rId20">
            <w:r>
              <w:rPr>
                <w:u w:val="single"/>
              </w:rPr>
              <w:t>www.nhtsa.gov/sites/nhtsa.dot.gov/files/810852.pdf</w:t>
            </w:r>
          </w:hyperlink>
        </w:p>
        <w:p w:rsidR="001F683B" w:rsidP="001F683B" w14:paraId="02028745" w14:textId="77777777">
          <w:pPr>
            <w:spacing w:after="0" w:line="240" w:lineRule="auto"/>
            <w:ind w:left="939" w:right="526" w:hanging="720"/>
          </w:pPr>
        </w:p>
        <w:p w:rsidR="00060AF6" w:rsidRPr="001F683B" w:rsidP="001F683B" w14:paraId="1AFBB226" w14:textId="2148D43A">
          <w:pPr>
            <w:spacing w:after="0" w:line="240" w:lineRule="auto"/>
            <w:ind w:left="939" w:right="526" w:hanging="720"/>
          </w:pPr>
          <w:r>
            <w:t xml:space="preserve">Holmes, E. (2018, April 22-24). </w:t>
          </w:r>
          <w:r>
            <w:rPr>
              <w:i/>
            </w:rPr>
            <w:t>Improving DUI system efficiency: Electronic warrant systems</w:t>
          </w:r>
          <w:r>
            <w:rPr>
              <w:i/>
              <w:spacing w:val="-57"/>
            </w:rPr>
            <w:t xml:space="preserve"> </w:t>
          </w:r>
          <w:r>
            <w:t>[PowerPoint]. Lifesavers Conference 2018, San Antonio, TX.</w:t>
          </w:r>
          <w:r>
            <w:rPr>
              <w:spacing w:val="1"/>
            </w:rPr>
            <w:t xml:space="preserve"> </w:t>
          </w:r>
          <w:hyperlink r:id="rId21">
            <w:r>
              <w:rPr>
                <w:u w:val="single"/>
              </w:rPr>
              <w:t>https://lifesaversconference.org/wp-content/uploads/2018/04/Holmes-ID-04-1.pdf</w:t>
            </w:r>
          </w:hyperlink>
        </w:p>
        <w:p w:rsidR="001F683B" w:rsidP="001F683B" w14:paraId="53D8365A" w14:textId="77777777">
          <w:pPr>
            <w:pStyle w:val="BodyText"/>
            <w:ind w:left="940" w:hanging="720"/>
          </w:pPr>
        </w:p>
        <w:p w:rsidR="00060AF6" w:rsidP="001F683B" w14:paraId="44EE19D8" w14:textId="653C42B6">
          <w:pPr>
            <w:pStyle w:val="BodyText"/>
            <w:ind w:left="940" w:hanging="720"/>
          </w:pPr>
          <w:r>
            <w:t>Holewa</w:t>
          </w:r>
          <w:r>
            <w:t>,</w:t>
          </w:r>
          <w:r>
            <w:rPr>
              <w:spacing w:val="-2"/>
            </w:rPr>
            <w:t xml:space="preserve"> </w:t>
          </w:r>
          <w:r>
            <w:t>S.</w:t>
          </w:r>
          <w:r>
            <w:rPr>
              <w:spacing w:val="-3"/>
            </w:rPr>
            <w:t xml:space="preserve"> </w:t>
          </w:r>
          <w:r>
            <w:t>(2016). Final Report</w:t>
          </w:r>
          <w:r>
            <w:rPr>
              <w:spacing w:val="-2"/>
            </w:rPr>
            <w:t xml:space="preserve"> </w:t>
          </w:r>
          <w:r>
            <w:t>–</w:t>
          </w:r>
          <w:r>
            <w:rPr>
              <w:spacing w:val="-2"/>
            </w:rPr>
            <w:t xml:space="preserve"> </w:t>
          </w:r>
          <w:r>
            <w:t>Electronic</w:t>
          </w:r>
          <w:r>
            <w:rPr>
              <w:spacing w:val="-3"/>
            </w:rPr>
            <w:t xml:space="preserve"> </w:t>
          </w:r>
          <w:r>
            <w:t>Search</w:t>
          </w:r>
          <w:r>
            <w:rPr>
              <w:spacing w:val="-2"/>
            </w:rPr>
            <w:t xml:space="preserve"> </w:t>
          </w:r>
          <w:r>
            <w:t>Warrant</w:t>
          </w:r>
          <w:r>
            <w:rPr>
              <w:spacing w:val="-2"/>
            </w:rPr>
            <w:t xml:space="preserve"> </w:t>
          </w:r>
          <w:r>
            <w:t>Workgroup. North</w:t>
          </w:r>
          <w:r>
            <w:rPr>
              <w:spacing w:val="-2"/>
            </w:rPr>
            <w:t xml:space="preserve"> </w:t>
          </w:r>
          <w:r>
            <w:t>Dakota</w:t>
          </w:r>
          <w:r>
            <w:rPr>
              <w:spacing w:val="-3"/>
            </w:rPr>
            <w:t xml:space="preserve"> </w:t>
          </w:r>
          <w:r>
            <w:t>Court</w:t>
          </w:r>
          <w:r>
            <w:rPr>
              <w:spacing w:val="-57"/>
            </w:rPr>
            <w:t xml:space="preserve"> </w:t>
          </w:r>
          <w:r>
            <w:t>System.</w:t>
          </w:r>
        </w:p>
        <w:p w:rsidR="00060AF6" w:rsidP="001F683B" w14:paraId="7D625C97" w14:textId="77777777">
          <w:pPr>
            <w:pStyle w:val="BodyText"/>
            <w:rPr>
              <w:sz w:val="20"/>
            </w:rPr>
          </w:pPr>
        </w:p>
        <w:p w:rsidR="00060AF6" w:rsidP="001F683B" w14:paraId="418706FD" w14:textId="77777777">
          <w:pPr>
            <w:pStyle w:val="BodyText"/>
            <w:ind w:left="940" w:right="270" w:hanging="720"/>
          </w:pPr>
          <w:r>
            <w:t>International Association of Chiefs of Police. (2018, November). 2018 resolutions.</w:t>
          </w:r>
          <w:r>
            <w:rPr>
              <w:spacing w:val="1"/>
            </w:rPr>
            <w:t xml:space="preserve"> </w:t>
          </w:r>
          <w:hyperlink r:id="rId22">
            <w:r>
              <w:rPr>
                <w:spacing w:val="-1"/>
                <w:u w:val="single"/>
              </w:rPr>
              <w:t>www.theiacp.org/sites/default/files/View%20the%20recently%20adopted%202018%20R</w:t>
            </w:r>
          </w:hyperlink>
          <w:r>
            <w:t xml:space="preserve"> </w:t>
          </w:r>
          <w:hyperlink r:id="rId22">
            <w:r>
              <w:rPr>
                <w:u w:val="single"/>
              </w:rPr>
              <w:t>esolutions.pdf?utm_source</w:t>
            </w:r>
            <w:r>
              <w:rPr>
                <w:u w:val="single"/>
              </w:rPr>
              <w:t>=</w:t>
            </w:r>
            <w:r>
              <w:rPr>
                <w:u w:val="single"/>
              </w:rPr>
              <w:t>Informz&amp;utm_medium</w:t>
            </w:r>
            <w:r>
              <w:rPr>
                <w:u w:val="single"/>
              </w:rPr>
              <w:t>=e-</w:t>
            </w:r>
          </w:hyperlink>
          <w:r>
            <w:rPr>
              <w:spacing w:val="1"/>
            </w:rPr>
            <w:t xml:space="preserve"> </w:t>
          </w:r>
          <w:hyperlink r:id="rId22">
            <w:r>
              <w:rPr>
                <w:u w:val="single"/>
              </w:rPr>
              <w:t>mail&amp;utm_campaign</w:t>
            </w:r>
            <w:r>
              <w:rPr>
                <w:u w:val="single"/>
              </w:rPr>
              <w:t>=Informz%20E-mail</w:t>
            </w:r>
          </w:hyperlink>
        </w:p>
        <w:p w:rsidR="00060AF6" w:rsidP="001F683B" w14:paraId="7423F4BE" w14:textId="77777777">
          <w:pPr>
            <w:pStyle w:val="BodyText"/>
            <w:rPr>
              <w:sz w:val="20"/>
            </w:rPr>
          </w:pPr>
        </w:p>
        <w:p w:rsidR="00060AF6" w:rsidP="001F683B" w14:paraId="22711F40" w14:textId="77777777">
          <w:pPr>
            <w:pStyle w:val="BodyText"/>
            <w:ind w:left="940" w:hanging="720"/>
          </w:pPr>
          <w:r>
            <w:t>Jacobson, M. (2013). Kentucky E-warrants Case Study.</w:t>
          </w:r>
          <w:r>
            <w:rPr>
              <w:spacing w:val="1"/>
            </w:rPr>
            <w:t xml:space="preserve"> </w:t>
          </w:r>
          <w:hyperlink r:id="rId23">
            <w:r>
              <w:rPr>
                <w:spacing w:val="-1"/>
                <w:u w:val="single"/>
              </w:rPr>
              <w:t>www.wdmtoolkit.org/~/media/Microsites/Files/Warrants%20and%20Dispositions/State</w:t>
            </w:r>
          </w:hyperlink>
        </w:p>
        <w:p w:rsidR="00060AF6" w:rsidP="001F683B" w14:paraId="68C8A866" w14:textId="77777777">
          <w:pPr>
            <w:pStyle w:val="BodyText"/>
            <w:ind w:left="940"/>
          </w:pPr>
          <w:hyperlink r:id="rId23">
            <w:r>
              <w:rPr>
                <w:u w:val="single"/>
              </w:rPr>
              <w:t>%20Implementations/Kentucky/Kentucky%20eWarrant%20Case%20Study.ashx</w:t>
            </w:r>
          </w:hyperlink>
        </w:p>
        <w:p w:rsidR="00060AF6" w:rsidP="001F683B" w14:paraId="74F13C33" w14:textId="77777777">
          <w:pPr>
            <w:pStyle w:val="BodyText"/>
            <w:rPr>
              <w:sz w:val="20"/>
            </w:rPr>
          </w:pPr>
        </w:p>
        <w:p w:rsidR="00060AF6" w:rsidP="001F683B" w14:paraId="659F66FD" w14:textId="77777777">
          <w:pPr>
            <w:pStyle w:val="BodyText"/>
            <w:ind w:left="940" w:right="283" w:hanging="720"/>
          </w:pPr>
          <w:r>
            <w:t>Kansas Statute 22-2502. Search warrants; issuance; proceedings authorized; availability of</w:t>
          </w:r>
          <w:r>
            <w:rPr>
              <w:spacing w:val="1"/>
            </w:rPr>
            <w:t xml:space="preserve"> </w:t>
          </w:r>
          <w:r>
            <w:t>affidavits and testimony in support of probable cause requirement; use of electronic</w:t>
          </w:r>
          <w:r>
            <w:rPr>
              <w:spacing w:val="1"/>
            </w:rPr>
            <w:t xml:space="preserve"> </w:t>
          </w:r>
          <w:r>
            <w:t>communications and tracking devices.</w:t>
          </w:r>
          <w:r>
            <w:rPr>
              <w:spacing w:val="1"/>
            </w:rPr>
            <w:t xml:space="preserve"> </w:t>
          </w:r>
          <w:hyperlink r:id="rId24">
            <w:r>
              <w:rPr>
                <w:spacing w:val="-1"/>
                <w:u w:val="single"/>
              </w:rPr>
              <w:t>http://rvpolicy.kdor.ks.gov/Pilots/Ntrntpil/IPILv1x0.NSF/23d6cf461dc0d3f58625656e00</w:t>
            </w:r>
          </w:hyperlink>
          <w:r>
            <w:t xml:space="preserve"> </w:t>
          </w:r>
          <w:hyperlink r:id="rId24">
            <w:r>
              <w:rPr>
                <w:u w:val="single"/>
              </w:rPr>
              <w:t>5c41cd/08121b70179ff9f286258067005c2b03?OpenDocument</w:t>
            </w:r>
          </w:hyperlink>
        </w:p>
        <w:p w:rsidR="00060AF6" w:rsidP="001F683B" w14:paraId="2F3ED87E" w14:textId="77777777">
          <w:pPr>
            <w:pStyle w:val="BodyText"/>
            <w:rPr>
              <w:sz w:val="20"/>
            </w:rPr>
          </w:pPr>
        </w:p>
        <w:p w:rsidR="00060AF6" w:rsidP="001F683B" w14:paraId="190438C9" w14:textId="77777777">
          <w:pPr>
            <w:pStyle w:val="BodyText"/>
            <w:ind w:left="939" w:right="2501" w:hanging="720"/>
          </w:pPr>
          <w:r>
            <w:t>Maryland</w:t>
          </w:r>
          <w:r>
            <w:rPr>
              <w:spacing w:val="-2"/>
            </w:rPr>
            <w:t xml:space="preserve"> </w:t>
          </w:r>
          <w:r>
            <w:t>Code,</w:t>
          </w:r>
          <w:r>
            <w:rPr>
              <w:spacing w:val="-2"/>
            </w:rPr>
            <w:t xml:space="preserve"> </w:t>
          </w:r>
          <w:r>
            <w:t>Criminal</w:t>
          </w:r>
          <w:r>
            <w:rPr>
              <w:spacing w:val="-2"/>
            </w:rPr>
            <w:t xml:space="preserve"> </w:t>
          </w:r>
          <w:r>
            <w:t>Procedure</w:t>
          </w:r>
          <w:r>
            <w:rPr>
              <w:spacing w:val="-3"/>
            </w:rPr>
            <w:t xml:space="preserve"> </w:t>
          </w:r>
          <w:r>
            <w:t>1-203.</w:t>
          </w:r>
          <w:r>
            <w:rPr>
              <w:spacing w:val="-2"/>
            </w:rPr>
            <w:t xml:space="preserve"> </w:t>
          </w:r>
          <w:r>
            <w:t>Article</w:t>
          </w:r>
          <w:r>
            <w:rPr>
              <w:spacing w:val="-3"/>
            </w:rPr>
            <w:t xml:space="preserve"> </w:t>
          </w:r>
          <w:r>
            <w:t>–</w:t>
          </w:r>
          <w:r>
            <w:rPr>
              <w:spacing w:val="-2"/>
            </w:rPr>
            <w:t xml:space="preserve"> </w:t>
          </w:r>
          <w:r>
            <w:t>Criminal</w:t>
          </w:r>
          <w:r>
            <w:rPr>
              <w:spacing w:val="-2"/>
            </w:rPr>
            <w:t xml:space="preserve"> </w:t>
          </w:r>
          <w:r>
            <w:t>Procedure.</w:t>
          </w:r>
          <w:r>
            <w:rPr>
              <w:spacing w:val="-57"/>
            </w:rPr>
            <w:t xml:space="preserve"> </w:t>
          </w:r>
          <w:hyperlink r:id="rId25">
            <w:r>
              <w:rPr>
                <w:u w:val="single"/>
              </w:rPr>
              <w:t>https://law.justia.com/codes/maryland/2005/gcp/1-203.html</w:t>
            </w:r>
          </w:hyperlink>
        </w:p>
        <w:p w:rsidR="00060AF6" w:rsidP="001F683B" w14:paraId="520336C8" w14:textId="77777777">
          <w:pPr>
            <w:pStyle w:val="BodyText"/>
            <w:rPr>
              <w:sz w:val="20"/>
            </w:rPr>
          </w:pPr>
        </w:p>
        <w:p w:rsidR="00060AF6" w:rsidP="001F683B" w14:paraId="60598699" w14:textId="77777777">
          <w:pPr>
            <w:pStyle w:val="BodyText"/>
            <w:ind w:left="220"/>
          </w:pPr>
          <w:r>
            <w:t>Minnesota</w:t>
          </w:r>
          <w:r>
            <w:rPr>
              <w:spacing w:val="-4"/>
            </w:rPr>
            <w:t xml:space="preserve"> </w:t>
          </w:r>
          <w:r>
            <w:t>Court</w:t>
          </w:r>
          <w:r>
            <w:rPr>
              <w:spacing w:val="-3"/>
            </w:rPr>
            <w:t xml:space="preserve"> </w:t>
          </w:r>
          <w:r>
            <w:t>Rules</w:t>
          </w:r>
          <w:r>
            <w:rPr>
              <w:spacing w:val="-3"/>
            </w:rPr>
            <w:t xml:space="preserve"> </w:t>
          </w:r>
          <w:r>
            <w:t>of</w:t>
          </w:r>
          <w:r>
            <w:rPr>
              <w:spacing w:val="-4"/>
            </w:rPr>
            <w:t xml:space="preserve"> </w:t>
          </w:r>
          <w:r>
            <w:t>Criminal</w:t>
          </w:r>
          <w:r>
            <w:rPr>
              <w:spacing w:val="-3"/>
            </w:rPr>
            <w:t xml:space="preserve"> </w:t>
          </w:r>
          <w:r>
            <w:t>Procedure.</w:t>
          </w:r>
          <w:r>
            <w:rPr>
              <w:spacing w:val="-3"/>
            </w:rPr>
            <w:t xml:space="preserve"> </w:t>
          </w:r>
          <w:hyperlink r:id="rId26">
            <w:r>
              <w:rPr>
                <w:u w:val="single"/>
              </w:rPr>
              <w:t>www.revisor.mn.gov/court_rules/rule/cr-toh/</w:t>
            </w:r>
          </w:hyperlink>
        </w:p>
        <w:p w:rsidR="00060AF6" w:rsidP="001F683B" w14:paraId="658D83A8" w14:textId="77777777">
          <w:pPr>
            <w:pStyle w:val="BodyText"/>
            <w:rPr>
              <w:sz w:val="20"/>
            </w:rPr>
          </w:pPr>
        </w:p>
        <w:p w:rsidR="00060AF6" w:rsidP="001F683B" w14:paraId="0100A957" w14:textId="77777777">
          <w:pPr>
            <w:pStyle w:val="BodyText"/>
            <w:ind w:left="940" w:right="566" w:hanging="720"/>
          </w:pPr>
          <w:r>
            <w:rPr>
              <w:i/>
            </w:rPr>
            <w:t xml:space="preserve">Minnesota v. Trahan </w:t>
          </w:r>
          <w:r>
            <w:t>870 N.W.2d 396(Minn. App. 2015).</w:t>
          </w:r>
          <w:r>
            <w:rPr>
              <w:spacing w:val="1"/>
            </w:rPr>
            <w:t xml:space="preserve"> </w:t>
          </w:r>
          <w:hyperlink r:id="rId27">
            <w:r>
              <w:rPr>
                <w:spacing w:val="-1"/>
                <w:u w:val="single"/>
              </w:rPr>
              <w:t>https://cases.justia.com/minnesota/court-of-appeals/2015-a13-931.pdf?ts=1444759769</w:t>
            </w:r>
          </w:hyperlink>
        </w:p>
        <w:p w:rsidR="00060AF6" w:rsidP="001F683B" w14:paraId="116D11E6" w14:textId="77777777">
          <w:pPr>
            <w:pStyle w:val="BodyText"/>
            <w:rPr>
              <w:sz w:val="20"/>
            </w:rPr>
          </w:pPr>
        </w:p>
        <w:p w:rsidR="00060AF6" w:rsidP="001F683B" w14:paraId="20546D3D" w14:textId="77777777">
          <w:pPr>
            <w:pStyle w:val="BodyText"/>
            <w:ind w:left="940" w:hanging="720"/>
          </w:pPr>
          <w:r>
            <w:rPr>
              <w:i/>
            </w:rPr>
            <w:t>Missouri</w:t>
          </w:r>
          <w:r>
            <w:rPr>
              <w:i/>
              <w:spacing w:val="-3"/>
            </w:rPr>
            <w:t xml:space="preserve"> </w:t>
          </w:r>
          <w:r>
            <w:rPr>
              <w:i/>
            </w:rPr>
            <w:t>v.</w:t>
          </w:r>
          <w:r>
            <w:rPr>
              <w:i/>
              <w:spacing w:val="-3"/>
            </w:rPr>
            <w:t xml:space="preserve"> </w:t>
          </w:r>
          <w:r>
            <w:rPr>
              <w:i/>
            </w:rPr>
            <w:t>McNeely</w:t>
          </w:r>
          <w:r>
            <w:t>,</w:t>
          </w:r>
          <w:r>
            <w:rPr>
              <w:spacing w:val="-3"/>
            </w:rPr>
            <w:t xml:space="preserve"> </w:t>
          </w:r>
          <w:r>
            <w:t>569</w:t>
          </w:r>
          <w:r>
            <w:rPr>
              <w:spacing w:val="-2"/>
            </w:rPr>
            <w:t xml:space="preserve"> </w:t>
          </w:r>
          <w:r>
            <w:t>U.S.</w:t>
          </w:r>
          <w:r>
            <w:rPr>
              <w:spacing w:val="-3"/>
            </w:rPr>
            <w:t xml:space="preserve"> </w:t>
          </w:r>
          <w:r>
            <w:t>141</w:t>
          </w:r>
          <w:r>
            <w:rPr>
              <w:spacing w:val="-3"/>
            </w:rPr>
            <w:t xml:space="preserve"> </w:t>
          </w:r>
          <w:r>
            <w:t>(2013).</w:t>
          </w:r>
          <w:r>
            <w:rPr>
              <w:spacing w:val="-3"/>
            </w:rPr>
            <w:t xml:space="preserve"> </w:t>
          </w:r>
          <w:hyperlink r:id="rId28">
            <w:r>
              <w:rPr>
                <w:u w:val="single"/>
              </w:rPr>
              <w:t>https://supreme.justia.com/cases/federal/us/569/11-</w:t>
            </w:r>
          </w:hyperlink>
          <w:r>
            <w:rPr>
              <w:spacing w:val="-57"/>
            </w:rPr>
            <w:t xml:space="preserve"> </w:t>
          </w:r>
          <w:hyperlink r:id="rId28">
            <w:r>
              <w:rPr>
                <w:u w:val="single"/>
              </w:rPr>
              <w:t>1425/</w:t>
            </w:r>
          </w:hyperlink>
        </w:p>
        <w:p w:rsidR="001F683B" w:rsidP="001F683B" w14:paraId="1EB493CD" w14:textId="77777777">
          <w:pPr>
            <w:pStyle w:val="BodyText"/>
            <w:tabs>
              <w:tab w:val="left" w:pos="3860"/>
            </w:tabs>
            <w:ind w:left="940" w:right="3218" w:hanging="720"/>
            <w:rPr>
              <w:i/>
            </w:rPr>
          </w:pPr>
        </w:p>
        <w:p w:rsidR="00060AF6" w:rsidP="001F683B" w14:paraId="3C93DE5D" w14:textId="28AA0CAA">
          <w:pPr>
            <w:pStyle w:val="BodyText"/>
            <w:tabs>
              <w:tab w:val="left" w:pos="3860"/>
            </w:tabs>
            <w:ind w:left="940" w:right="3218" w:hanging="720"/>
          </w:pPr>
          <w:r>
            <w:rPr>
              <w:i/>
            </w:rPr>
            <w:t>Mitchell</w:t>
          </w:r>
          <w:r>
            <w:rPr>
              <w:i/>
              <w:spacing w:val="-2"/>
            </w:rPr>
            <w:t xml:space="preserve"> </w:t>
          </w:r>
          <w:r>
            <w:rPr>
              <w:i/>
            </w:rPr>
            <w:t>v.</w:t>
          </w:r>
          <w:r>
            <w:rPr>
              <w:i/>
              <w:spacing w:val="1"/>
            </w:rPr>
            <w:t xml:space="preserve"> </w:t>
          </w:r>
          <w:r>
            <w:rPr>
              <w:i/>
            </w:rPr>
            <w:t>Wisconsin</w:t>
          </w:r>
          <w:r>
            <w:t>,</w:t>
          </w:r>
          <w:r>
            <w:rPr>
              <w:spacing w:val="-1"/>
            </w:rPr>
            <w:t xml:space="preserve"> </w:t>
          </w:r>
          <w:r>
            <w:t>588</w:t>
          </w:r>
          <w:r>
            <w:rPr>
              <w:spacing w:val="-1"/>
            </w:rPr>
            <w:t xml:space="preserve"> </w:t>
          </w:r>
          <w:r>
            <w:t>U.</w:t>
          </w:r>
          <w:r>
            <w:rPr>
              <w:spacing w:val="-1"/>
            </w:rPr>
            <w:t xml:space="preserve"> </w:t>
          </w:r>
          <w:r>
            <w:t>S.</w:t>
          </w:r>
          <w:r>
            <w:rPr>
              <w:u w:val="single"/>
            </w:rPr>
            <w:tab/>
          </w:r>
          <w:r>
            <w:t xml:space="preserve">, 139 </w:t>
          </w:r>
          <w:r>
            <w:t>S.Ct</w:t>
          </w:r>
          <w:r>
            <w:t xml:space="preserve"> 2525 (2019).</w:t>
          </w:r>
          <w:r>
            <w:rPr>
              <w:spacing w:val="1"/>
            </w:rPr>
            <w:t xml:space="preserve"> </w:t>
          </w:r>
          <w:hyperlink r:id="rId29">
            <w:r>
              <w:rPr>
                <w:spacing w:val="-1"/>
                <w:u w:val="single"/>
              </w:rPr>
              <w:t>www.supremecourt.gov/opinions/18pdf/18-6210_2co3.pdf</w:t>
            </w:r>
          </w:hyperlink>
        </w:p>
        <w:p w:rsidR="00060AF6" w:rsidP="001F683B" w14:paraId="0FC65B52" w14:textId="77777777">
          <w:pPr>
            <w:pStyle w:val="BodyText"/>
            <w:rPr>
              <w:sz w:val="20"/>
            </w:rPr>
          </w:pPr>
        </w:p>
        <w:p w:rsidR="00060AF6" w:rsidP="001F683B" w14:paraId="47AA21D8" w14:textId="77777777">
          <w:pPr>
            <w:spacing w:after="0" w:line="240" w:lineRule="auto"/>
            <w:ind w:left="220"/>
            <w:rPr>
              <w:i/>
            </w:rPr>
          </w:pPr>
          <w:r>
            <w:t>Namuswe</w:t>
          </w:r>
          <w:r>
            <w:t>,</w:t>
          </w:r>
          <w:r>
            <w:rPr>
              <w:spacing w:val="-2"/>
            </w:rPr>
            <w:t xml:space="preserve"> </w:t>
          </w:r>
          <w:r>
            <w:t>E.,</w:t>
          </w:r>
          <w:r>
            <w:rPr>
              <w:spacing w:val="-1"/>
            </w:rPr>
            <w:t xml:space="preserve"> </w:t>
          </w:r>
          <w:r>
            <w:t>Coleman, H.,</w:t>
          </w:r>
          <w:r>
            <w:rPr>
              <w:spacing w:val="-1"/>
            </w:rPr>
            <w:t xml:space="preserve"> </w:t>
          </w:r>
          <w:r>
            <w:t>&amp;</w:t>
          </w:r>
          <w:r>
            <w:rPr>
              <w:spacing w:val="-1"/>
            </w:rPr>
            <w:t xml:space="preserve"> </w:t>
          </w:r>
          <w:r>
            <w:t>Berning,</w:t>
          </w:r>
          <w:r>
            <w:rPr>
              <w:spacing w:val="-2"/>
            </w:rPr>
            <w:t xml:space="preserve"> </w:t>
          </w:r>
          <w:r>
            <w:t>A.</w:t>
          </w:r>
          <w:r>
            <w:rPr>
              <w:spacing w:val="1"/>
            </w:rPr>
            <w:t xml:space="preserve"> </w:t>
          </w:r>
          <w:r>
            <w:t>(2014).</w:t>
          </w:r>
          <w:r>
            <w:rPr>
              <w:spacing w:val="-1"/>
            </w:rPr>
            <w:t xml:space="preserve"> </w:t>
          </w:r>
          <w:r>
            <w:rPr>
              <w:i/>
            </w:rPr>
            <w:t>Breath</w:t>
          </w:r>
          <w:r>
            <w:rPr>
              <w:i/>
              <w:spacing w:val="-2"/>
            </w:rPr>
            <w:t xml:space="preserve"> </w:t>
          </w:r>
          <w:r>
            <w:rPr>
              <w:i/>
            </w:rPr>
            <w:t>test</w:t>
          </w:r>
          <w:r>
            <w:rPr>
              <w:i/>
              <w:spacing w:val="-1"/>
            </w:rPr>
            <w:t xml:space="preserve"> </w:t>
          </w:r>
          <w:r>
            <w:rPr>
              <w:i/>
            </w:rPr>
            <w:t>refusal</w:t>
          </w:r>
          <w:r>
            <w:rPr>
              <w:i/>
              <w:spacing w:val="-1"/>
            </w:rPr>
            <w:t xml:space="preserve"> </w:t>
          </w:r>
          <w:r>
            <w:rPr>
              <w:i/>
            </w:rPr>
            <w:t>rates</w:t>
          </w:r>
          <w:r>
            <w:rPr>
              <w:i/>
              <w:spacing w:val="-2"/>
            </w:rPr>
            <w:t xml:space="preserve"> </w:t>
          </w:r>
          <w:r>
            <w:rPr>
              <w:i/>
            </w:rPr>
            <w:t>in</w:t>
          </w:r>
          <w:r>
            <w:rPr>
              <w:i/>
              <w:spacing w:val="-1"/>
            </w:rPr>
            <w:t xml:space="preserve"> </w:t>
          </w:r>
          <w:r>
            <w:rPr>
              <w:i/>
            </w:rPr>
            <w:t>the</w:t>
          </w:r>
          <w:r>
            <w:rPr>
              <w:i/>
              <w:spacing w:val="-2"/>
            </w:rPr>
            <w:t xml:space="preserve"> </w:t>
          </w:r>
          <w:r>
            <w:rPr>
              <w:i/>
            </w:rPr>
            <w:t>United</w:t>
          </w:r>
          <w:r>
            <w:rPr>
              <w:i/>
              <w:spacing w:val="-2"/>
            </w:rPr>
            <w:t xml:space="preserve"> </w:t>
          </w:r>
          <w:r>
            <w:rPr>
              <w:i/>
            </w:rPr>
            <w:t>States</w:t>
          </w:r>
        </w:p>
        <w:p w:rsidR="00060AF6" w:rsidP="001F683B" w14:paraId="64E13921" w14:textId="77777777">
          <w:pPr>
            <w:pStyle w:val="BodyText"/>
            <w:ind w:left="939" w:right="1169"/>
          </w:pPr>
          <w:r>
            <w:rPr>
              <w:i/>
            </w:rPr>
            <w:t xml:space="preserve">– 2011 update </w:t>
          </w:r>
          <w:r>
            <w:t>(Report No. DOT HS 811 881). National Highway Traffic Safety</w:t>
          </w:r>
          <w:r>
            <w:rPr>
              <w:spacing w:val="-57"/>
            </w:rPr>
            <w:t xml:space="preserve"> </w:t>
          </w:r>
          <w:r>
            <w:t xml:space="preserve">Administration. Available at </w:t>
          </w:r>
          <w:hyperlink r:id="rId30">
            <w:r>
              <w:rPr>
                <w:u w:val="single"/>
              </w:rPr>
              <w:t>www.nhtsa.gov/sites/nhtsa.dot.gov/files/</w:t>
            </w:r>
          </w:hyperlink>
          <w:r>
            <w:rPr>
              <w:spacing w:val="1"/>
            </w:rPr>
            <w:t xml:space="preserve"> </w:t>
          </w:r>
          <w:hyperlink r:id="rId30">
            <w:r>
              <w:rPr>
                <w:u w:val="single"/>
              </w:rPr>
              <w:t>breath_test_refusal_rates-811881.pdf</w:t>
            </w:r>
          </w:hyperlink>
        </w:p>
        <w:p w:rsidR="00060AF6" w:rsidP="001F683B" w14:paraId="2F5982C7" w14:textId="77777777">
          <w:pPr>
            <w:pStyle w:val="BodyText"/>
            <w:rPr>
              <w:sz w:val="20"/>
            </w:rPr>
          </w:pPr>
        </w:p>
        <w:p w:rsidR="00060AF6" w:rsidP="001F683B" w14:paraId="17FAD354" w14:textId="77777777">
          <w:pPr>
            <w:spacing w:after="0" w:line="240" w:lineRule="auto"/>
            <w:ind w:left="940" w:hanging="720"/>
          </w:pPr>
          <w:r>
            <w:t>National</w:t>
          </w:r>
          <w:r>
            <w:rPr>
              <w:spacing w:val="-2"/>
            </w:rPr>
            <w:t xml:space="preserve"> </w:t>
          </w:r>
          <w:r>
            <w:t>Highway</w:t>
          </w:r>
          <w:r>
            <w:rPr>
              <w:spacing w:val="-6"/>
            </w:rPr>
            <w:t xml:space="preserve"> </w:t>
          </w:r>
          <w:r>
            <w:t>Traffic</w:t>
          </w:r>
          <w:r>
            <w:rPr>
              <w:spacing w:val="-3"/>
            </w:rPr>
            <w:t xml:space="preserve"> </w:t>
          </w:r>
          <w:r>
            <w:t>Safety</w:t>
          </w:r>
          <w:r>
            <w:rPr>
              <w:spacing w:val="-6"/>
            </w:rPr>
            <w:t xml:space="preserve"> </w:t>
          </w:r>
          <w:r>
            <w:t>Administration.</w:t>
          </w:r>
          <w:r>
            <w:rPr>
              <w:spacing w:val="-2"/>
            </w:rPr>
            <w:t xml:space="preserve"> </w:t>
          </w:r>
          <w:r>
            <w:t>(2019).</w:t>
          </w:r>
          <w:r>
            <w:rPr>
              <w:spacing w:val="-2"/>
            </w:rPr>
            <w:t xml:space="preserve"> </w:t>
          </w:r>
          <w:r>
            <w:rPr>
              <w:i/>
            </w:rPr>
            <w:t>Law</w:t>
          </w:r>
          <w:r>
            <w:rPr>
              <w:i/>
              <w:spacing w:val="-1"/>
            </w:rPr>
            <w:t xml:space="preserve"> </w:t>
          </w:r>
          <w:r>
            <w:rPr>
              <w:i/>
            </w:rPr>
            <w:t>enforcement phlebotomy</w:t>
          </w:r>
          <w:r>
            <w:rPr>
              <w:i/>
              <w:spacing w:val="-2"/>
            </w:rPr>
            <w:t xml:space="preserve"> </w:t>
          </w:r>
          <w:r>
            <w:rPr>
              <w:i/>
            </w:rPr>
            <w:t>toolkit:</w:t>
          </w:r>
          <w:r>
            <w:rPr>
              <w:i/>
              <w:spacing w:val="-3"/>
            </w:rPr>
            <w:t xml:space="preserve"> </w:t>
          </w:r>
          <w:r>
            <w:rPr>
              <w:i/>
            </w:rPr>
            <w:t>A</w:t>
          </w:r>
          <w:r>
            <w:rPr>
              <w:i/>
              <w:spacing w:val="-57"/>
            </w:rPr>
            <w:t xml:space="preserve"> </w:t>
          </w:r>
          <w:r>
            <w:rPr>
              <w:i/>
            </w:rPr>
            <w:t>guide to assist law enforcement agencies with planning and implementing a phlebotomy</w:t>
          </w:r>
          <w:r>
            <w:rPr>
              <w:i/>
              <w:spacing w:val="1"/>
            </w:rPr>
            <w:t xml:space="preserve"> </w:t>
          </w:r>
          <w:r>
            <w:rPr>
              <w:i/>
            </w:rPr>
            <w:t>program</w:t>
          </w:r>
          <w:r>
            <w:rPr>
              <w:i/>
              <w:spacing w:val="-2"/>
            </w:rPr>
            <w:t xml:space="preserve"> </w:t>
          </w:r>
          <w:r>
            <w:t>(Report DOT</w:t>
          </w:r>
          <w:r>
            <w:rPr>
              <w:spacing w:val="-2"/>
            </w:rPr>
            <w:t xml:space="preserve"> </w:t>
          </w:r>
          <w:r>
            <w:t>HS 812</w:t>
          </w:r>
          <w:r>
            <w:rPr>
              <w:spacing w:val="-1"/>
            </w:rPr>
            <w:t xml:space="preserve"> </w:t>
          </w:r>
          <w:r>
            <w:t>705). National</w:t>
          </w:r>
          <w:r>
            <w:rPr>
              <w:spacing w:val="-1"/>
            </w:rPr>
            <w:t xml:space="preserve"> </w:t>
          </w:r>
          <w:r>
            <w:t>Highway</w:t>
          </w:r>
          <w:r>
            <w:rPr>
              <w:spacing w:val="-5"/>
            </w:rPr>
            <w:t xml:space="preserve"> </w:t>
          </w:r>
          <w:r>
            <w:t>Traffic</w:t>
          </w:r>
          <w:r>
            <w:rPr>
              <w:spacing w:val="-2"/>
            </w:rPr>
            <w:t xml:space="preserve"> </w:t>
          </w:r>
          <w:r>
            <w:t>Safety</w:t>
          </w:r>
          <w:r>
            <w:rPr>
              <w:spacing w:val="-5"/>
            </w:rPr>
            <w:t xml:space="preserve"> </w:t>
          </w:r>
          <w:r>
            <w:t>Administration.</w:t>
          </w:r>
        </w:p>
        <w:p w:rsidR="00060AF6" w:rsidP="001F683B" w14:paraId="0C89F87D" w14:textId="77777777">
          <w:pPr>
            <w:pStyle w:val="BodyText"/>
            <w:ind w:left="940" w:right="1958"/>
          </w:pPr>
          <w:r>
            <w:t xml:space="preserve">Available at </w:t>
          </w:r>
          <w:hyperlink r:id="rId31">
            <w:r>
              <w:rPr>
                <w:u w:val="single"/>
              </w:rPr>
              <w:t>www.nhtsa.gov/sites/nhtsa.dot.gov/files/documents/14222-</w:t>
            </w:r>
          </w:hyperlink>
          <w:r>
            <w:rPr>
              <w:spacing w:val="-57"/>
            </w:rPr>
            <w:t xml:space="preserve"> </w:t>
          </w:r>
          <w:hyperlink r:id="rId31">
            <w:r>
              <w:rPr>
                <w:u w:val="single"/>
              </w:rPr>
              <w:t>phlebotomy_toolkit_final-032819-v1a_tag_0.pdf</w:t>
            </w:r>
          </w:hyperlink>
        </w:p>
        <w:p w:rsidR="00060AF6" w:rsidP="001F683B" w14:paraId="240E8504" w14:textId="77777777">
          <w:pPr>
            <w:pStyle w:val="BodyText"/>
            <w:rPr>
              <w:sz w:val="20"/>
            </w:rPr>
          </w:pPr>
        </w:p>
        <w:p w:rsidR="00060AF6" w:rsidP="001F683B" w14:paraId="5C11A75E" w14:textId="77777777">
          <w:pPr>
            <w:spacing w:after="0" w:line="240" w:lineRule="auto"/>
            <w:ind w:left="940" w:hanging="720"/>
          </w:pPr>
          <w:r>
            <w:rPr>
              <w:i/>
            </w:rPr>
            <w:t>Schmerber</w:t>
          </w:r>
          <w:r>
            <w:rPr>
              <w:i/>
            </w:rPr>
            <w:t xml:space="preserve"> v. California</w:t>
          </w:r>
          <w:r>
            <w:t>, 384 U.S. 757 (1966).</w:t>
          </w:r>
          <w:r>
            <w:rPr>
              <w:spacing w:val="1"/>
            </w:rPr>
            <w:t xml:space="preserve"> </w:t>
          </w:r>
          <w:hyperlink r:id="rId32">
            <w:r>
              <w:rPr>
                <w:spacing w:val="-1"/>
                <w:u w:val="single"/>
              </w:rPr>
              <w:t>https://supreme.justia.com/cases/federal/us/384/757/case.html</w:t>
            </w:r>
          </w:hyperlink>
        </w:p>
        <w:p w:rsidR="00060AF6" w:rsidP="001F683B" w14:paraId="2C4EB4D7" w14:textId="77777777">
          <w:pPr>
            <w:pStyle w:val="BodyText"/>
            <w:rPr>
              <w:sz w:val="20"/>
            </w:rPr>
          </w:pPr>
        </w:p>
        <w:p w:rsidR="00060AF6" w:rsidP="001F683B" w14:paraId="627C60F6" w14:textId="77777777">
          <w:pPr>
            <w:spacing w:after="0" w:line="240" w:lineRule="auto"/>
            <w:ind w:left="940" w:right="246" w:hanging="720"/>
          </w:pPr>
          <w:r>
            <w:t xml:space="preserve">State of Utah. (2008). </w:t>
          </w:r>
          <w:r>
            <w:rPr>
              <w:i/>
            </w:rPr>
            <w:t>E-Warrants: Cross Boundary Collaboration. National Association of State</w:t>
          </w:r>
          <w:r>
            <w:rPr>
              <w:i/>
              <w:spacing w:val="-57"/>
            </w:rPr>
            <w:t xml:space="preserve"> </w:t>
          </w:r>
          <w:r>
            <w:rPr>
              <w:i/>
            </w:rPr>
            <w:t>Chief</w:t>
          </w:r>
          <w:r>
            <w:rPr>
              <w:i/>
              <w:spacing w:val="-2"/>
            </w:rPr>
            <w:t xml:space="preserve"> </w:t>
          </w:r>
          <w:r>
            <w:rPr>
              <w:i/>
            </w:rPr>
            <w:t>Information</w:t>
          </w:r>
          <w:r>
            <w:rPr>
              <w:i/>
              <w:spacing w:val="-2"/>
            </w:rPr>
            <w:t xml:space="preserve"> </w:t>
          </w:r>
          <w:r>
            <w:rPr>
              <w:i/>
            </w:rPr>
            <w:t>Officers</w:t>
          </w:r>
          <w:r>
            <w:rPr>
              <w:i/>
              <w:spacing w:val="-2"/>
            </w:rPr>
            <w:t xml:space="preserve"> </w:t>
          </w:r>
          <w:r>
            <w:rPr>
              <w:i/>
            </w:rPr>
            <w:t>2008</w:t>
          </w:r>
          <w:r>
            <w:rPr>
              <w:i/>
              <w:spacing w:val="-1"/>
            </w:rPr>
            <w:t xml:space="preserve"> </w:t>
          </w:r>
          <w:r>
            <w:rPr>
              <w:i/>
            </w:rPr>
            <w:t>State</w:t>
          </w:r>
          <w:r>
            <w:rPr>
              <w:i/>
              <w:spacing w:val="-3"/>
            </w:rPr>
            <w:t xml:space="preserve"> </w:t>
          </w:r>
          <w:r>
            <w:rPr>
              <w:i/>
            </w:rPr>
            <w:t>IT</w:t>
          </w:r>
          <w:r>
            <w:rPr>
              <w:i/>
              <w:spacing w:val="-2"/>
            </w:rPr>
            <w:t xml:space="preserve"> </w:t>
          </w:r>
          <w:r>
            <w:rPr>
              <w:i/>
            </w:rPr>
            <w:t>Recognition</w:t>
          </w:r>
          <w:r>
            <w:rPr>
              <w:i/>
              <w:spacing w:val="-2"/>
            </w:rPr>
            <w:t xml:space="preserve"> </w:t>
          </w:r>
          <w:r>
            <w:rPr>
              <w:i/>
            </w:rPr>
            <w:t>Awards</w:t>
          </w:r>
          <w:r>
            <w:t>.</w:t>
          </w:r>
          <w:r>
            <w:rPr>
              <w:spacing w:val="-1"/>
            </w:rPr>
            <w:t xml:space="preserve"> </w:t>
          </w:r>
          <w:hyperlink r:id="rId33">
            <w:r>
              <w:rPr>
                <w:u w:val="single"/>
              </w:rPr>
              <w:t>www.nascio.org/awards/</w:t>
            </w:r>
          </w:hyperlink>
        </w:p>
        <w:p w:rsidR="00060AF6" w:rsidP="001F683B" w14:paraId="58A0BACC" w14:textId="77777777">
          <w:pPr>
            <w:pStyle w:val="BodyText"/>
            <w:rPr>
              <w:sz w:val="20"/>
            </w:rPr>
          </w:pPr>
        </w:p>
        <w:p w:rsidR="00060AF6" w:rsidP="001F683B" w14:paraId="292B007F" w14:textId="77777777">
          <w:pPr>
            <w:spacing w:after="0" w:line="240" w:lineRule="auto"/>
            <w:ind w:left="940" w:right="627" w:hanging="720"/>
          </w:pPr>
          <w:r>
            <w:t xml:space="preserve">Vanlaar, W., Brown, S., Ireland, L., &amp; Robertson, R. (2016, August). </w:t>
          </w:r>
          <w:r>
            <w:rPr>
              <w:i/>
            </w:rPr>
            <w:t>Driving while impaired</w:t>
          </w:r>
          <w:r>
            <w:rPr>
              <w:i/>
              <w:spacing w:val="-57"/>
            </w:rPr>
            <w:t xml:space="preserve"> </w:t>
          </w:r>
          <w:r>
            <w:rPr>
              <w:i/>
            </w:rPr>
            <w:t>arrest</w:t>
          </w:r>
          <w:r>
            <w:rPr>
              <w:i/>
              <w:spacing w:val="-1"/>
            </w:rPr>
            <w:t xml:space="preserve"> </w:t>
          </w:r>
          <w:r>
            <w:rPr>
              <w:i/>
            </w:rPr>
            <w:t>process</w:t>
          </w:r>
          <w:r>
            <w:rPr>
              <w:i/>
              <w:spacing w:val="-1"/>
            </w:rPr>
            <w:t xml:space="preserve"> </w:t>
          </w:r>
          <w:r>
            <w:rPr>
              <w:i/>
            </w:rPr>
            <w:t>improvement:</w:t>
          </w:r>
          <w:r>
            <w:rPr>
              <w:i/>
              <w:spacing w:val="-2"/>
            </w:rPr>
            <w:t xml:space="preserve"> </w:t>
          </w:r>
          <w:r>
            <w:rPr>
              <w:i/>
            </w:rPr>
            <w:t>Six</w:t>
          </w:r>
          <w:r>
            <w:rPr>
              <w:i/>
              <w:spacing w:val="-2"/>
            </w:rPr>
            <w:t xml:space="preserve"> </w:t>
          </w:r>
          <w:r>
            <w:rPr>
              <w:i/>
            </w:rPr>
            <w:t>case</w:t>
          </w:r>
          <w:r>
            <w:rPr>
              <w:i/>
              <w:spacing w:val="-2"/>
            </w:rPr>
            <w:t xml:space="preserve"> </w:t>
          </w:r>
          <w:r>
            <w:rPr>
              <w:i/>
            </w:rPr>
            <w:t>studies</w:t>
          </w:r>
          <w:r>
            <w:rPr>
              <w:i/>
              <w:spacing w:val="-1"/>
            </w:rPr>
            <w:t xml:space="preserve"> </w:t>
          </w:r>
          <w:r>
            <w:rPr>
              <w:i/>
            </w:rPr>
            <w:t>of</w:t>
          </w:r>
          <w:r>
            <w:rPr>
              <w:i/>
              <w:spacing w:val="-1"/>
            </w:rPr>
            <w:t xml:space="preserve"> </w:t>
          </w:r>
          <w:r>
            <w:rPr>
              <w:i/>
            </w:rPr>
            <w:t>strategies</w:t>
          </w:r>
          <w:r>
            <w:rPr>
              <w:i/>
              <w:spacing w:val="-1"/>
            </w:rPr>
            <w:t xml:space="preserve"> </w:t>
          </w:r>
          <w:r>
            <w:rPr>
              <w:i/>
            </w:rPr>
            <w:t>used</w:t>
          </w:r>
          <w:r>
            <w:rPr>
              <w:i/>
              <w:spacing w:val="-1"/>
            </w:rPr>
            <w:t xml:space="preserve"> </w:t>
          </w:r>
          <w:r>
            <w:rPr>
              <w:i/>
            </w:rPr>
            <w:t>by</w:t>
          </w:r>
          <w:r>
            <w:rPr>
              <w:i/>
              <w:spacing w:val="-2"/>
            </w:rPr>
            <w:t xml:space="preserve"> </w:t>
          </w:r>
          <w:r>
            <w:rPr>
              <w:i/>
            </w:rPr>
            <w:t>law</w:t>
          </w:r>
          <w:r>
            <w:rPr>
              <w:i/>
              <w:spacing w:val="-1"/>
            </w:rPr>
            <w:t xml:space="preserve"> </w:t>
          </w:r>
          <w:r>
            <w:rPr>
              <w:i/>
            </w:rPr>
            <w:t>enforcement</w:t>
          </w:r>
          <w:r>
            <w:rPr>
              <w:i/>
              <w:spacing w:val="-1"/>
            </w:rPr>
            <w:t xml:space="preserve"> </w:t>
          </w:r>
          <w:r>
            <w:rPr>
              <w:i/>
            </w:rPr>
            <w:t>to</w:t>
          </w:r>
          <w:r>
            <w:rPr>
              <w:i/>
              <w:spacing w:val="-57"/>
            </w:rPr>
            <w:t xml:space="preserve"> </w:t>
          </w:r>
          <w:r>
            <w:rPr>
              <w:i/>
            </w:rPr>
            <w:t xml:space="preserve">reduce the cost and time of processing a DWI arrest </w:t>
          </w:r>
          <w:r>
            <w:t>(Report No. DOT HS 812 308).</w:t>
          </w:r>
          <w:r>
            <w:rPr>
              <w:spacing w:val="1"/>
            </w:rPr>
            <w:t xml:space="preserve"> </w:t>
          </w:r>
          <w:r>
            <w:t>National Highway Traffic Safety Administration. Available at</w:t>
          </w:r>
          <w:r>
            <w:rPr>
              <w:spacing w:val="1"/>
            </w:rPr>
            <w:t xml:space="preserve"> </w:t>
          </w:r>
          <w:hyperlink r:id="rId34">
            <w:r>
              <w:rPr>
                <w:u w:val="single"/>
              </w:rPr>
              <w:t>www.nhtsa.gov/staticfiles/nti/pdf/812308-DWI-Arrest-Process-Improvement.pdf</w:t>
            </w:r>
          </w:hyperlink>
        </w:p>
        <w:p w:rsidR="00060AF6" w:rsidP="001F683B" w14:paraId="71BEE08D" w14:textId="77777777">
          <w:pPr>
            <w:pStyle w:val="BodyText"/>
            <w:rPr>
              <w:sz w:val="20"/>
            </w:rPr>
          </w:pPr>
        </w:p>
        <w:p w:rsidR="00060AF6" w:rsidP="001F683B" w14:paraId="42B967F3" w14:textId="77777777">
          <w:pPr>
            <w:pStyle w:val="BodyText"/>
            <w:ind w:left="940" w:right="370" w:hanging="720"/>
          </w:pPr>
          <w:r>
            <w:t xml:space="preserve">Zwicker, T. J., Hedlund, J., &amp; Northrup, V. S. (2005, August). </w:t>
          </w:r>
          <w:r>
            <w:rPr>
              <w:i/>
            </w:rPr>
            <w:t>Breath test refusals in DWI</w:t>
          </w:r>
          <w:r>
            <w:rPr>
              <w:i/>
              <w:spacing w:val="1"/>
            </w:rPr>
            <w:t xml:space="preserve"> </w:t>
          </w:r>
          <w:r>
            <w:rPr>
              <w:i/>
            </w:rPr>
            <w:t xml:space="preserve">enforcement: An interim report </w:t>
          </w:r>
          <w:r>
            <w:t>(Report No. DOT HS 809 876). National Highway</w:t>
          </w:r>
          <w:r>
            <w:rPr>
              <w:spacing w:val="1"/>
            </w:rPr>
            <w:t xml:space="preserve"> </w:t>
          </w:r>
          <w:r>
            <w:t>Traffic Safety Administration. Available at</w:t>
          </w:r>
          <w:r>
            <w:rPr>
              <w:spacing w:val="1"/>
            </w:rPr>
            <w:t xml:space="preserve"> </w:t>
          </w:r>
          <w:hyperlink r:id="rId35">
            <w:r>
              <w:rPr>
                <w:spacing w:val="-1"/>
                <w:u w:val="single"/>
              </w:rPr>
              <w:t>https://one.nhtsa.gov/people/injury/research/breathtestrefusal/images/BreathTestText.pdf</w:t>
            </w:r>
          </w:hyperlink>
        </w:p>
        <w:p w:rsidR="00060AF6" w:rsidP="001F683B" w14:paraId="5DD5B050" w14:textId="5814ABFE">
          <w:pPr>
            <w:spacing w:after="0" w:line="240" w:lineRule="auto"/>
          </w:pPr>
        </w:p>
      </w:sdtContent>
    </w:sdt>
    <w:p w:rsidR="007A7BB5" w:rsidRPr="002043DA" w:rsidP="002043DA" w14:paraId="172B97B3" w14:textId="77777777">
      <w:pPr>
        <w:rPr>
          <w:rFonts w:cs="Times New Roman"/>
          <w:szCs w:val="24"/>
        </w:rPr>
      </w:pPr>
    </w:p>
    <w:sectPr>
      <w:footerReference w:type="default" r:id="rI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2084298"/>
      <w:docPartObj>
        <w:docPartGallery w:val="Page Numbers (Bottom of Page)"/>
        <w:docPartUnique/>
      </w:docPartObj>
    </w:sdtPr>
    <w:sdtEndPr>
      <w:rPr>
        <w:noProof/>
      </w:rPr>
    </w:sdtEndPr>
    <w:sdtContent>
      <w:p w:rsidR="00294667" w14:paraId="1C0C539D" w14:textId="168B81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94667" w14:paraId="14B261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371C7" w:rsidP="00F27C2C" w14:paraId="396E9BB6" w14:textId="77777777">
      <w:pPr>
        <w:spacing w:after="0" w:line="240" w:lineRule="auto"/>
      </w:pPr>
      <w:r>
        <w:separator/>
      </w:r>
    </w:p>
  </w:footnote>
  <w:footnote w:type="continuationSeparator" w:id="1">
    <w:p w:rsidR="00F371C7" w:rsidP="00F27C2C" w14:paraId="4FFF1D32" w14:textId="77777777">
      <w:pPr>
        <w:spacing w:after="0" w:line="240" w:lineRule="auto"/>
      </w:pPr>
      <w:r>
        <w:continuationSeparator/>
      </w:r>
    </w:p>
  </w:footnote>
  <w:footnote w:id="2">
    <w:p w:rsidR="00A15D55" w:rsidRPr="00141C3B" w:rsidP="00F27C2C" w14:paraId="3E520BE3" w14:textId="77777777">
      <w:pPr>
        <w:pStyle w:val="FootnoteText"/>
        <w:rPr>
          <w:rFonts w:cs="Times New Roman"/>
          <w:sz w:val="16"/>
          <w:szCs w:val="16"/>
        </w:rPr>
      </w:pPr>
      <w:r w:rsidRPr="00141C3B">
        <w:rPr>
          <w:rStyle w:val="FootnoteReference"/>
          <w:sz w:val="16"/>
          <w:szCs w:val="16"/>
        </w:rPr>
        <w:footnoteRef/>
      </w:r>
      <w:r w:rsidRPr="00141C3B">
        <w:rPr>
          <w:sz w:val="16"/>
          <w:szCs w:val="16"/>
        </w:rPr>
        <w:t xml:space="preserve">  </w:t>
      </w:r>
      <w:r w:rsidRPr="00141C3B">
        <w:rPr>
          <w:rFonts w:cs="Times New Roman"/>
          <w:sz w:val="16"/>
          <w:szCs w:val="16"/>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3">
    <w:p w:rsidR="0047142D" w:rsidRPr="00141C3B" w:rsidP="00141C3B" w14:paraId="3BF68FB6" w14:textId="22BE2E08">
      <w:pPr>
        <w:pStyle w:val="Heading2"/>
        <w:shd w:val="clear" w:color="auto" w:fill="FFFFFF"/>
        <w:spacing w:before="0"/>
        <w:rPr>
          <w:sz w:val="18"/>
          <w:szCs w:val="18"/>
          <w:u w:val="single"/>
        </w:rPr>
      </w:pPr>
      <w:r w:rsidRPr="003F2FBA">
        <w:rPr>
          <w:rStyle w:val="FootnoteReference"/>
          <w:rFonts w:ascii="Times New Roman" w:hAnsi="Times New Roman" w:cs="Times New Roman"/>
          <w:color w:val="auto"/>
          <w:sz w:val="20"/>
          <w:szCs w:val="20"/>
        </w:rPr>
        <w:footnoteRef/>
      </w:r>
      <w:r w:rsidRPr="00141C3B">
        <w:rPr>
          <w:color w:val="auto"/>
          <w:sz w:val="18"/>
          <w:szCs w:val="18"/>
        </w:rPr>
        <w:t xml:space="preserve"> </w:t>
      </w:r>
      <w:r w:rsidRPr="00141C3B">
        <w:rPr>
          <w:rFonts w:ascii="Times New Roman" w:hAnsi="Times New Roman" w:cs="Times New Roman"/>
          <w:color w:val="auto"/>
          <w:sz w:val="18"/>
          <w:szCs w:val="18"/>
        </w:rPr>
        <w:t>National estimates for Police and Sheriff’s Patrol Officers, available at</w:t>
      </w:r>
      <w:r w:rsidRPr="00141C3B">
        <w:rPr>
          <w:rFonts w:ascii="Times New Roman" w:hAnsi="Times New Roman" w:cs="Times New Roman"/>
          <w:sz w:val="18"/>
          <w:szCs w:val="18"/>
        </w:rPr>
        <w:t xml:space="preserve"> </w:t>
      </w:r>
      <w:hyperlink r:id="rId1" w:history="1">
        <w:r w:rsidRPr="00141C3B">
          <w:rPr>
            <w:rStyle w:val="Hyperlink"/>
            <w:rFonts w:cs="Times New Roman"/>
            <w:sz w:val="18"/>
            <w:szCs w:val="18"/>
          </w:rPr>
          <w:t>https://www.bls.gov/oes/current/oes333051.htm</w:t>
        </w:r>
      </w:hyperlink>
      <w:r w:rsidRPr="00141C3B">
        <w:rPr>
          <w:rFonts w:ascii="Times New Roman" w:hAnsi="Times New Roman" w:cs="Times New Roman"/>
          <w:sz w:val="18"/>
          <w:szCs w:val="18"/>
        </w:rPr>
        <w:t xml:space="preserve"> </w:t>
      </w:r>
      <w:r w:rsidRPr="00141C3B">
        <w:rPr>
          <w:rFonts w:ascii="Times New Roman" w:hAnsi="Times New Roman" w:cs="Times New Roman"/>
          <w:color w:val="auto"/>
          <w:sz w:val="18"/>
          <w:szCs w:val="18"/>
        </w:rPr>
        <w:t>(accessed May 5, 2022).</w:t>
      </w:r>
    </w:p>
  </w:footnote>
  <w:footnote w:id="4">
    <w:p w:rsidR="0047142D" w:rsidRPr="00141C3B" w:rsidP="00141C3B" w14:paraId="70951FEA" w14:textId="1C2A4C22">
      <w:pPr>
        <w:pStyle w:val="FootnoteText"/>
        <w:rPr>
          <w:sz w:val="18"/>
          <w:szCs w:val="18"/>
        </w:rPr>
      </w:pPr>
      <w:r w:rsidRPr="003F2FBA">
        <w:rPr>
          <w:rStyle w:val="FootnoteReference"/>
        </w:rPr>
        <w:footnoteRef/>
      </w:r>
      <w:r w:rsidRPr="00141C3B">
        <w:rPr>
          <w:sz w:val="18"/>
          <w:szCs w:val="18"/>
        </w:rPr>
        <w:t xml:space="preserve"> Table 1: Employer costs for employee compensation by ownership, </w:t>
      </w:r>
      <w:r w:rsidRPr="00141C3B">
        <w:rPr>
          <w:sz w:val="18"/>
          <w:szCs w:val="18"/>
        </w:rPr>
        <w:t>state</w:t>
      </w:r>
      <w:r w:rsidRPr="00141C3B">
        <w:rPr>
          <w:sz w:val="18"/>
          <w:szCs w:val="18"/>
        </w:rPr>
        <w:t xml:space="preserve"> and local government workers, available at </w:t>
      </w:r>
      <w:hyperlink r:id="rId2" w:history="1">
        <w:r w:rsidRPr="00141C3B">
          <w:rPr>
            <w:rStyle w:val="Hyperlink"/>
            <w:sz w:val="18"/>
            <w:szCs w:val="18"/>
          </w:rPr>
          <w:t>https://www.bls.gov/news.release/ecec.t01.htm</w:t>
        </w:r>
      </w:hyperlink>
      <w:r w:rsidRPr="00141C3B">
        <w:rPr>
          <w:sz w:val="18"/>
          <w:szCs w:val="18"/>
        </w:rPr>
        <w:t xml:space="preserve"> (accessed May 5, 2022).</w:t>
      </w:r>
    </w:p>
  </w:footnote>
  <w:footnote w:id="5">
    <w:p w:rsidR="00A15D55" w:rsidRPr="00141C3B" w:rsidP="00214359" w14:paraId="6A284FCD" w14:textId="6A1781F5">
      <w:pPr>
        <w:pStyle w:val="FootnoteText"/>
        <w:rPr>
          <w:sz w:val="16"/>
          <w:szCs w:val="16"/>
        </w:rPr>
      </w:pPr>
      <w:r w:rsidRPr="00141C3B">
        <w:rPr>
          <w:rStyle w:val="FootnoteReference"/>
          <w:sz w:val="16"/>
          <w:szCs w:val="16"/>
        </w:rPr>
        <w:footnoteRef/>
      </w:r>
      <w:r w:rsidRPr="00141C3B">
        <w:rPr>
          <w:sz w:val="16"/>
          <w:szCs w:val="16"/>
        </w:rPr>
        <w:t xml:space="preserve"> Employer Costs for Employee Compensation, p.4, https://www.bls.gov/news.release/archives/ecec_03182022.pdf. Accessed 03/30/22.</w:t>
      </w:r>
    </w:p>
  </w:footnote>
  <w:footnote w:id="6">
    <w:p w:rsidR="00A15D55" w:rsidRPr="00141C3B" w:rsidP="00DF3DC9" w14:paraId="5E1A5154" w14:textId="77777777">
      <w:pPr>
        <w:pStyle w:val="FootnoteText"/>
        <w:rPr>
          <w:sz w:val="16"/>
          <w:szCs w:val="16"/>
        </w:rPr>
      </w:pPr>
      <w:r w:rsidRPr="00141C3B">
        <w:rPr>
          <w:rStyle w:val="FootnoteReference"/>
          <w:sz w:val="16"/>
          <w:szCs w:val="16"/>
        </w:rPr>
        <w:footnoteRef/>
      </w:r>
      <w:r w:rsidRPr="00141C3B">
        <w:rPr>
          <w:sz w:val="16"/>
          <w:szCs w:val="16"/>
        </w:rPr>
        <w:t xml:space="preserve"> Specifically explain how the agency display the OMB control number and expiration date and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D17F7"/>
    <w:multiLevelType w:val="multilevel"/>
    <w:tmpl w:val="0BDE8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4E0C17"/>
    <w:multiLevelType w:val="hybridMultilevel"/>
    <w:tmpl w:val="EEA61F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9D4A53"/>
    <w:multiLevelType w:val="hybridMultilevel"/>
    <w:tmpl w:val="343EB6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CB3822"/>
    <w:multiLevelType w:val="hybridMultilevel"/>
    <w:tmpl w:val="74508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E971C7"/>
    <w:multiLevelType w:val="hybridMultilevel"/>
    <w:tmpl w:val="4052EC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DAF4397"/>
    <w:multiLevelType w:val="hybridMultilevel"/>
    <w:tmpl w:val="E6D07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B15345"/>
    <w:multiLevelType w:val="hybridMultilevel"/>
    <w:tmpl w:val="B338EB5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A6968DC"/>
    <w:multiLevelType w:val="hybridMultilevel"/>
    <w:tmpl w:val="260269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AA84B29"/>
    <w:multiLevelType w:val="multilevel"/>
    <w:tmpl w:val="5D8C4A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DB02FF4"/>
    <w:multiLevelType w:val="hybridMultilevel"/>
    <w:tmpl w:val="CD167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7"/>
  </w:num>
  <w:num w:numId="5">
    <w:abstractNumId w:val="5"/>
  </w:num>
  <w:num w:numId="6">
    <w:abstractNumId w:val="12"/>
  </w:num>
  <w:num w:numId="7">
    <w:abstractNumId w:val="2"/>
  </w:num>
  <w:num w:numId="8">
    <w:abstractNumId w:val="10"/>
  </w:num>
  <w:num w:numId="9">
    <w:abstractNumId w:val="8"/>
  </w:num>
  <w:num w:numId="10">
    <w:abstractNumId w:val="15"/>
  </w:num>
  <w:num w:numId="11">
    <w:abstractNumId w:val="13"/>
  </w:num>
  <w:num w:numId="12">
    <w:abstractNumId w:val="0"/>
  </w:num>
  <w:num w:numId="13">
    <w:abstractNumId w:val="14"/>
  </w:num>
  <w:num w:numId="14">
    <w:abstractNumId w:val="9"/>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0337"/>
    <w:rsid w:val="00002D98"/>
    <w:rsid w:val="00006DBB"/>
    <w:rsid w:val="000104C3"/>
    <w:rsid w:val="0001081D"/>
    <w:rsid w:val="000154D7"/>
    <w:rsid w:val="00021581"/>
    <w:rsid w:val="00023BB3"/>
    <w:rsid w:val="00025B5A"/>
    <w:rsid w:val="00025DAF"/>
    <w:rsid w:val="000325B4"/>
    <w:rsid w:val="00035911"/>
    <w:rsid w:val="000373A8"/>
    <w:rsid w:val="00053D0D"/>
    <w:rsid w:val="00060AF6"/>
    <w:rsid w:val="0006116F"/>
    <w:rsid w:val="0006254D"/>
    <w:rsid w:val="00064933"/>
    <w:rsid w:val="000650F6"/>
    <w:rsid w:val="00067636"/>
    <w:rsid w:val="00071F96"/>
    <w:rsid w:val="000749B0"/>
    <w:rsid w:val="00080E82"/>
    <w:rsid w:val="000816A4"/>
    <w:rsid w:val="000818FE"/>
    <w:rsid w:val="000A650D"/>
    <w:rsid w:val="000A6804"/>
    <w:rsid w:val="000B2A7A"/>
    <w:rsid w:val="000C45D9"/>
    <w:rsid w:val="000C520D"/>
    <w:rsid w:val="000E2828"/>
    <w:rsid w:val="000F4CA7"/>
    <w:rsid w:val="000F4E2D"/>
    <w:rsid w:val="00107E93"/>
    <w:rsid w:val="00111326"/>
    <w:rsid w:val="00111A51"/>
    <w:rsid w:val="00112715"/>
    <w:rsid w:val="00114A72"/>
    <w:rsid w:val="001366A6"/>
    <w:rsid w:val="0014151B"/>
    <w:rsid w:val="00141C3B"/>
    <w:rsid w:val="00147CAF"/>
    <w:rsid w:val="00150037"/>
    <w:rsid w:val="00150DED"/>
    <w:rsid w:val="00150F00"/>
    <w:rsid w:val="001527CB"/>
    <w:rsid w:val="001546EE"/>
    <w:rsid w:val="00172D4C"/>
    <w:rsid w:val="00191457"/>
    <w:rsid w:val="00194A6E"/>
    <w:rsid w:val="001A582E"/>
    <w:rsid w:val="001B134A"/>
    <w:rsid w:val="001C2D68"/>
    <w:rsid w:val="001D6A80"/>
    <w:rsid w:val="001E324D"/>
    <w:rsid w:val="001E4FA8"/>
    <w:rsid w:val="001E655A"/>
    <w:rsid w:val="001F5E50"/>
    <w:rsid w:val="001F663A"/>
    <w:rsid w:val="001F683B"/>
    <w:rsid w:val="002043DA"/>
    <w:rsid w:val="00204EF6"/>
    <w:rsid w:val="00214359"/>
    <w:rsid w:val="00220D22"/>
    <w:rsid w:val="00234C5B"/>
    <w:rsid w:val="00236F4A"/>
    <w:rsid w:val="0024786F"/>
    <w:rsid w:val="00257526"/>
    <w:rsid w:val="00260340"/>
    <w:rsid w:val="00261A6E"/>
    <w:rsid w:val="002646CD"/>
    <w:rsid w:val="00266137"/>
    <w:rsid w:val="0028079A"/>
    <w:rsid w:val="00286504"/>
    <w:rsid w:val="00294667"/>
    <w:rsid w:val="002964B5"/>
    <w:rsid w:val="002974C4"/>
    <w:rsid w:val="002C2972"/>
    <w:rsid w:val="002F7721"/>
    <w:rsid w:val="0030016B"/>
    <w:rsid w:val="003138F6"/>
    <w:rsid w:val="00326AB9"/>
    <w:rsid w:val="00330956"/>
    <w:rsid w:val="00332ACE"/>
    <w:rsid w:val="003348FA"/>
    <w:rsid w:val="00335193"/>
    <w:rsid w:val="00350121"/>
    <w:rsid w:val="003529DF"/>
    <w:rsid w:val="00375E27"/>
    <w:rsid w:val="00382F0F"/>
    <w:rsid w:val="00387F40"/>
    <w:rsid w:val="00392734"/>
    <w:rsid w:val="003A19E8"/>
    <w:rsid w:val="003A1B26"/>
    <w:rsid w:val="003A6583"/>
    <w:rsid w:val="003B0DD3"/>
    <w:rsid w:val="003B6B57"/>
    <w:rsid w:val="003D7FAC"/>
    <w:rsid w:val="003E47FC"/>
    <w:rsid w:val="003F2FBA"/>
    <w:rsid w:val="004005A9"/>
    <w:rsid w:val="00406840"/>
    <w:rsid w:val="00407D44"/>
    <w:rsid w:val="00407F80"/>
    <w:rsid w:val="00411D4F"/>
    <w:rsid w:val="004236BE"/>
    <w:rsid w:val="00423D5A"/>
    <w:rsid w:val="00425484"/>
    <w:rsid w:val="00432ABE"/>
    <w:rsid w:val="00437242"/>
    <w:rsid w:val="00444B2C"/>
    <w:rsid w:val="00444C7E"/>
    <w:rsid w:val="00457DFC"/>
    <w:rsid w:val="00462FBD"/>
    <w:rsid w:val="004630A8"/>
    <w:rsid w:val="00465EFD"/>
    <w:rsid w:val="004668D3"/>
    <w:rsid w:val="0047142D"/>
    <w:rsid w:val="00475ADB"/>
    <w:rsid w:val="004838ED"/>
    <w:rsid w:val="00484767"/>
    <w:rsid w:val="00485D95"/>
    <w:rsid w:val="00493B61"/>
    <w:rsid w:val="0049556A"/>
    <w:rsid w:val="004A331D"/>
    <w:rsid w:val="004A3EFF"/>
    <w:rsid w:val="004A5A72"/>
    <w:rsid w:val="004B76A4"/>
    <w:rsid w:val="004C1B34"/>
    <w:rsid w:val="004D050C"/>
    <w:rsid w:val="004D08A8"/>
    <w:rsid w:val="004D2989"/>
    <w:rsid w:val="004D5EF8"/>
    <w:rsid w:val="004D7EEE"/>
    <w:rsid w:val="004E25F6"/>
    <w:rsid w:val="004E6137"/>
    <w:rsid w:val="004F2D1D"/>
    <w:rsid w:val="0050145A"/>
    <w:rsid w:val="00505840"/>
    <w:rsid w:val="00507CD1"/>
    <w:rsid w:val="00510436"/>
    <w:rsid w:val="0051234B"/>
    <w:rsid w:val="00517000"/>
    <w:rsid w:val="00520569"/>
    <w:rsid w:val="00522B51"/>
    <w:rsid w:val="005271A9"/>
    <w:rsid w:val="00531CC9"/>
    <w:rsid w:val="00537028"/>
    <w:rsid w:val="0053708C"/>
    <w:rsid w:val="005516E3"/>
    <w:rsid w:val="00564ED1"/>
    <w:rsid w:val="00574C22"/>
    <w:rsid w:val="00580055"/>
    <w:rsid w:val="00581997"/>
    <w:rsid w:val="00583C6B"/>
    <w:rsid w:val="00583DE3"/>
    <w:rsid w:val="00585D17"/>
    <w:rsid w:val="0058631B"/>
    <w:rsid w:val="00592E76"/>
    <w:rsid w:val="005A702A"/>
    <w:rsid w:val="005B61CE"/>
    <w:rsid w:val="005B6D54"/>
    <w:rsid w:val="005B7AB5"/>
    <w:rsid w:val="005B7B45"/>
    <w:rsid w:val="005C4264"/>
    <w:rsid w:val="005C7653"/>
    <w:rsid w:val="005D1A57"/>
    <w:rsid w:val="005E23A3"/>
    <w:rsid w:val="005E63E8"/>
    <w:rsid w:val="005F2C5E"/>
    <w:rsid w:val="005F2ED5"/>
    <w:rsid w:val="00616850"/>
    <w:rsid w:val="00623CCF"/>
    <w:rsid w:val="00635A06"/>
    <w:rsid w:val="006379D6"/>
    <w:rsid w:val="0065122F"/>
    <w:rsid w:val="00651DDA"/>
    <w:rsid w:val="00660F56"/>
    <w:rsid w:val="00677646"/>
    <w:rsid w:val="00677BB9"/>
    <w:rsid w:val="00681302"/>
    <w:rsid w:val="00681554"/>
    <w:rsid w:val="00682CA2"/>
    <w:rsid w:val="00691599"/>
    <w:rsid w:val="0069588D"/>
    <w:rsid w:val="00697CE2"/>
    <w:rsid w:val="00697FBC"/>
    <w:rsid w:val="006B2347"/>
    <w:rsid w:val="006B5C70"/>
    <w:rsid w:val="006C5242"/>
    <w:rsid w:val="006C5FBF"/>
    <w:rsid w:val="006D78F1"/>
    <w:rsid w:val="006E22B2"/>
    <w:rsid w:val="006F25E5"/>
    <w:rsid w:val="006F2CE0"/>
    <w:rsid w:val="006F34A0"/>
    <w:rsid w:val="006F49A0"/>
    <w:rsid w:val="00702348"/>
    <w:rsid w:val="0071000D"/>
    <w:rsid w:val="00717F76"/>
    <w:rsid w:val="007207A1"/>
    <w:rsid w:val="00741E32"/>
    <w:rsid w:val="00743BD9"/>
    <w:rsid w:val="007468FA"/>
    <w:rsid w:val="00751F1C"/>
    <w:rsid w:val="00756CEA"/>
    <w:rsid w:val="00761A48"/>
    <w:rsid w:val="007672F9"/>
    <w:rsid w:val="0079294D"/>
    <w:rsid w:val="0079323A"/>
    <w:rsid w:val="007A7BB5"/>
    <w:rsid w:val="007B0DFF"/>
    <w:rsid w:val="007B3BF7"/>
    <w:rsid w:val="007B4613"/>
    <w:rsid w:val="007B70EF"/>
    <w:rsid w:val="007C2EC8"/>
    <w:rsid w:val="007D0FB8"/>
    <w:rsid w:val="007E17F9"/>
    <w:rsid w:val="007F23C4"/>
    <w:rsid w:val="0080192E"/>
    <w:rsid w:val="0080196E"/>
    <w:rsid w:val="008021DB"/>
    <w:rsid w:val="00803CC2"/>
    <w:rsid w:val="00811183"/>
    <w:rsid w:val="0081167F"/>
    <w:rsid w:val="008128CE"/>
    <w:rsid w:val="00814BE1"/>
    <w:rsid w:val="008255F9"/>
    <w:rsid w:val="00833B22"/>
    <w:rsid w:val="008361E8"/>
    <w:rsid w:val="00836BCF"/>
    <w:rsid w:val="00840F63"/>
    <w:rsid w:val="008478C1"/>
    <w:rsid w:val="00851602"/>
    <w:rsid w:val="00852710"/>
    <w:rsid w:val="00852796"/>
    <w:rsid w:val="008530ED"/>
    <w:rsid w:val="00861C91"/>
    <w:rsid w:val="008673F2"/>
    <w:rsid w:val="00873D36"/>
    <w:rsid w:val="00891C1B"/>
    <w:rsid w:val="008979DE"/>
    <w:rsid w:val="008A6B31"/>
    <w:rsid w:val="008A7DE4"/>
    <w:rsid w:val="008B0BA4"/>
    <w:rsid w:val="008B3A7C"/>
    <w:rsid w:val="008C6576"/>
    <w:rsid w:val="008D2BDA"/>
    <w:rsid w:val="008D5544"/>
    <w:rsid w:val="008E5D1B"/>
    <w:rsid w:val="008E762F"/>
    <w:rsid w:val="008F0DC5"/>
    <w:rsid w:val="00900AA8"/>
    <w:rsid w:val="00901F7F"/>
    <w:rsid w:val="00905960"/>
    <w:rsid w:val="00914BBF"/>
    <w:rsid w:val="0092738A"/>
    <w:rsid w:val="00933CD6"/>
    <w:rsid w:val="00934909"/>
    <w:rsid w:val="00934994"/>
    <w:rsid w:val="009356E6"/>
    <w:rsid w:val="00954B35"/>
    <w:rsid w:val="00983FCF"/>
    <w:rsid w:val="00985F7E"/>
    <w:rsid w:val="00996F58"/>
    <w:rsid w:val="009A5FC1"/>
    <w:rsid w:val="009B254C"/>
    <w:rsid w:val="009C5C2D"/>
    <w:rsid w:val="009D3BCA"/>
    <w:rsid w:val="009E5049"/>
    <w:rsid w:val="009F1B07"/>
    <w:rsid w:val="009F284C"/>
    <w:rsid w:val="00A04705"/>
    <w:rsid w:val="00A121CA"/>
    <w:rsid w:val="00A15D55"/>
    <w:rsid w:val="00A25650"/>
    <w:rsid w:val="00A26325"/>
    <w:rsid w:val="00A63292"/>
    <w:rsid w:val="00A63E87"/>
    <w:rsid w:val="00A8543B"/>
    <w:rsid w:val="00A85763"/>
    <w:rsid w:val="00A93FDF"/>
    <w:rsid w:val="00A94D30"/>
    <w:rsid w:val="00AA02E8"/>
    <w:rsid w:val="00AA1721"/>
    <w:rsid w:val="00AB0500"/>
    <w:rsid w:val="00AB4D71"/>
    <w:rsid w:val="00AB57CA"/>
    <w:rsid w:val="00AD2130"/>
    <w:rsid w:val="00AD2B4B"/>
    <w:rsid w:val="00AD7F95"/>
    <w:rsid w:val="00AE109E"/>
    <w:rsid w:val="00B13993"/>
    <w:rsid w:val="00B23BDB"/>
    <w:rsid w:val="00B26FB3"/>
    <w:rsid w:val="00B3391C"/>
    <w:rsid w:val="00B35300"/>
    <w:rsid w:val="00B449AF"/>
    <w:rsid w:val="00B64B86"/>
    <w:rsid w:val="00B676D5"/>
    <w:rsid w:val="00B7228D"/>
    <w:rsid w:val="00B72920"/>
    <w:rsid w:val="00B72BD8"/>
    <w:rsid w:val="00B82BC9"/>
    <w:rsid w:val="00BA2379"/>
    <w:rsid w:val="00BA56AE"/>
    <w:rsid w:val="00BB03DE"/>
    <w:rsid w:val="00BC05B3"/>
    <w:rsid w:val="00BC15A6"/>
    <w:rsid w:val="00BC7DD7"/>
    <w:rsid w:val="00BD2747"/>
    <w:rsid w:val="00BE5C7C"/>
    <w:rsid w:val="00BF6B67"/>
    <w:rsid w:val="00C06467"/>
    <w:rsid w:val="00C14CAD"/>
    <w:rsid w:val="00C20261"/>
    <w:rsid w:val="00C2133F"/>
    <w:rsid w:val="00C2219B"/>
    <w:rsid w:val="00C37CEF"/>
    <w:rsid w:val="00C44990"/>
    <w:rsid w:val="00C4659B"/>
    <w:rsid w:val="00C478D2"/>
    <w:rsid w:val="00C514F7"/>
    <w:rsid w:val="00C540A5"/>
    <w:rsid w:val="00C570A0"/>
    <w:rsid w:val="00C61959"/>
    <w:rsid w:val="00C620A9"/>
    <w:rsid w:val="00C73854"/>
    <w:rsid w:val="00C74354"/>
    <w:rsid w:val="00C75A28"/>
    <w:rsid w:val="00C830C1"/>
    <w:rsid w:val="00C938EF"/>
    <w:rsid w:val="00CA1900"/>
    <w:rsid w:val="00CA6390"/>
    <w:rsid w:val="00CB50A6"/>
    <w:rsid w:val="00CB6506"/>
    <w:rsid w:val="00CB689C"/>
    <w:rsid w:val="00CB71C4"/>
    <w:rsid w:val="00CC136B"/>
    <w:rsid w:val="00CC3C4C"/>
    <w:rsid w:val="00CD56D9"/>
    <w:rsid w:val="00CD6F99"/>
    <w:rsid w:val="00CE1150"/>
    <w:rsid w:val="00CE2B7E"/>
    <w:rsid w:val="00CF03E1"/>
    <w:rsid w:val="00CF42C7"/>
    <w:rsid w:val="00CF6DDC"/>
    <w:rsid w:val="00D00F96"/>
    <w:rsid w:val="00D01FEF"/>
    <w:rsid w:val="00D047D4"/>
    <w:rsid w:val="00D14971"/>
    <w:rsid w:val="00D20393"/>
    <w:rsid w:val="00D27E74"/>
    <w:rsid w:val="00D33687"/>
    <w:rsid w:val="00D4660A"/>
    <w:rsid w:val="00D501D6"/>
    <w:rsid w:val="00D54356"/>
    <w:rsid w:val="00D61F4A"/>
    <w:rsid w:val="00D67A1C"/>
    <w:rsid w:val="00D71142"/>
    <w:rsid w:val="00D71AD2"/>
    <w:rsid w:val="00D7634F"/>
    <w:rsid w:val="00D77353"/>
    <w:rsid w:val="00D82C6F"/>
    <w:rsid w:val="00D94C3C"/>
    <w:rsid w:val="00D965B1"/>
    <w:rsid w:val="00DC6309"/>
    <w:rsid w:val="00DD544D"/>
    <w:rsid w:val="00DF0908"/>
    <w:rsid w:val="00DF380A"/>
    <w:rsid w:val="00DF3DC9"/>
    <w:rsid w:val="00E03404"/>
    <w:rsid w:val="00E047AD"/>
    <w:rsid w:val="00E0514C"/>
    <w:rsid w:val="00E35B13"/>
    <w:rsid w:val="00E40F22"/>
    <w:rsid w:val="00E6454A"/>
    <w:rsid w:val="00E77266"/>
    <w:rsid w:val="00E81E27"/>
    <w:rsid w:val="00E872E9"/>
    <w:rsid w:val="00E938EE"/>
    <w:rsid w:val="00E9530E"/>
    <w:rsid w:val="00EA1134"/>
    <w:rsid w:val="00EA69FB"/>
    <w:rsid w:val="00EA7CDC"/>
    <w:rsid w:val="00EB3C72"/>
    <w:rsid w:val="00EB7465"/>
    <w:rsid w:val="00EE1737"/>
    <w:rsid w:val="00EF547A"/>
    <w:rsid w:val="00F04875"/>
    <w:rsid w:val="00F210D4"/>
    <w:rsid w:val="00F27C2C"/>
    <w:rsid w:val="00F371C7"/>
    <w:rsid w:val="00F43203"/>
    <w:rsid w:val="00F43BC1"/>
    <w:rsid w:val="00F513E0"/>
    <w:rsid w:val="00F61D7C"/>
    <w:rsid w:val="00F64428"/>
    <w:rsid w:val="00F656FD"/>
    <w:rsid w:val="00F7768F"/>
    <w:rsid w:val="00F97030"/>
    <w:rsid w:val="00FA5D31"/>
    <w:rsid w:val="00FA68D1"/>
    <w:rsid w:val="00FB2597"/>
    <w:rsid w:val="00FB7091"/>
    <w:rsid w:val="00FC28DA"/>
    <w:rsid w:val="00FC2DBC"/>
    <w:rsid w:val="00FC5DA2"/>
    <w:rsid w:val="00FD1FFC"/>
    <w:rsid w:val="00FF3973"/>
    <w:rsid w:val="00FF5623"/>
    <w:rsid w:val="00FF70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5C26E"/>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FBF"/>
  </w:style>
  <w:style w:type="paragraph" w:styleId="Heading1">
    <w:name w:val="heading 1"/>
    <w:basedOn w:val="Normal"/>
    <w:next w:val="Normal"/>
    <w:link w:val="Heading1Char"/>
    <w:uiPriority w:val="9"/>
    <w:qFormat/>
    <w:rsid w:val="006C5FB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6C5FB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C5FB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C5FB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6C5FB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6C5FB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6C5FB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6C5FB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6C5FB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basedOn w:val="DefaultParagraphFont"/>
    <w:uiPriority w:val="99"/>
    <w:unhideWhenUsed/>
    <w:rsid w:val="00F27C2C"/>
    <w:rPr>
      <w:vertAlign w:val="superscript"/>
    </w:rPr>
  </w:style>
  <w:style w:type="paragraph" w:styleId="ListParagraph">
    <w:name w:val="List Paragraph"/>
    <w:aliases w:val="Bulleted List,Bulleted List Paragraph,Sub Bullet"/>
    <w:basedOn w:val="Normal"/>
    <w:link w:val="ListParagraphChar"/>
    <w:uiPriority w:val="34"/>
    <w:qFormat/>
    <w:rsid w:val="000154D7"/>
    <w:pPr>
      <w:ind w:left="720"/>
      <w:contextualSpacing/>
    </w:pPr>
  </w:style>
  <w:style w:type="table" w:styleId="TableGrid">
    <w:name w:val="Table Grid"/>
    <w:basedOn w:val="TableNormal"/>
    <w:uiPriority w:val="3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customStyle="1" w:styleId="Heading2Char">
    <w:name w:val="Heading 2 Char"/>
    <w:basedOn w:val="DefaultParagraphFont"/>
    <w:link w:val="Heading2"/>
    <w:uiPriority w:val="9"/>
    <w:rsid w:val="006C5FBF"/>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060AF6"/>
    <w:pPr>
      <w:spacing w:after="0" w:line="240" w:lineRule="auto"/>
    </w:pPr>
    <w:rPr>
      <w:rFonts w:eastAsia="Times New Roman" w:cs="Times New Roman"/>
      <w:szCs w:val="24"/>
    </w:rPr>
  </w:style>
  <w:style w:type="paragraph" w:styleId="BodyText">
    <w:name w:val="Body Text"/>
    <w:basedOn w:val="Normal"/>
    <w:link w:val="BodyTextChar"/>
    <w:uiPriority w:val="1"/>
    <w:rsid w:val="00060AF6"/>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060AF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C5FBF"/>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rsid w:val="006C5FBF"/>
    <w:rPr>
      <w:rFonts w:asciiTheme="majorHAnsi" w:eastAsiaTheme="majorEastAsia" w:hAnsiTheme="majorHAnsi" w:cstheme="majorBidi"/>
      <w:color w:val="365F91" w:themeColor="accent1" w:themeShade="BF"/>
      <w:sz w:val="28"/>
      <w:szCs w:val="28"/>
    </w:rPr>
  </w:style>
  <w:style w:type="character" w:customStyle="1" w:styleId="ListParagraphChar">
    <w:name w:val="List Paragraph Char"/>
    <w:aliases w:val="Bulleted List Char,Bulleted List Paragraph Char,Sub Bullet Char"/>
    <w:basedOn w:val="DefaultParagraphFont"/>
    <w:link w:val="ListParagraph"/>
    <w:uiPriority w:val="34"/>
    <w:rsid w:val="00C830C1"/>
  </w:style>
  <w:style w:type="character" w:styleId="FollowedHyperlink">
    <w:name w:val="FollowedHyperlink"/>
    <w:basedOn w:val="DefaultParagraphFont"/>
    <w:uiPriority w:val="99"/>
    <w:semiHidden/>
    <w:unhideWhenUsed/>
    <w:rsid w:val="00CB6506"/>
    <w:rPr>
      <w:color w:val="800080" w:themeColor="followedHyperlink"/>
      <w:u w:val="single"/>
    </w:rPr>
  </w:style>
  <w:style w:type="table" w:styleId="GridTable4Accent5">
    <w:name w:val="Grid Table 4 Accent 5"/>
    <w:basedOn w:val="TableNormal"/>
    <w:uiPriority w:val="49"/>
    <w:rsid w:val="00B26FB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rsid w:val="00B26FB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abels">
    <w:name w:val="Labels"/>
    <w:basedOn w:val="Normal"/>
    <w:rsid w:val="00111A51"/>
    <w:pPr>
      <w:spacing w:after="0"/>
    </w:pPr>
    <w:rPr>
      <w:sz w:val="18"/>
    </w:rPr>
  </w:style>
  <w:style w:type="character" w:styleId="PlaceholderText">
    <w:name w:val="Placeholder Text"/>
    <w:basedOn w:val="DefaultParagraphFont"/>
    <w:uiPriority w:val="99"/>
    <w:semiHidden/>
    <w:rsid w:val="00111A51"/>
    <w:rPr>
      <w:color w:val="808080"/>
    </w:rPr>
  </w:style>
  <w:style w:type="character" w:customStyle="1" w:styleId="APANormalChar">
    <w:name w:val="APA Normal Char"/>
    <w:link w:val="APANormal"/>
    <w:locked/>
    <w:rsid w:val="00294667"/>
    <w:rPr>
      <w:rFonts w:ascii="Times New Roman" w:hAnsi="Times New Roman" w:cs="Times New Roman"/>
      <w:sz w:val="24"/>
      <w:szCs w:val="24"/>
    </w:rPr>
  </w:style>
  <w:style w:type="paragraph" w:customStyle="1" w:styleId="APANormal">
    <w:name w:val="APA Normal"/>
    <w:basedOn w:val="Normal"/>
    <w:link w:val="APANormalChar"/>
    <w:qFormat/>
    <w:rsid w:val="00294667"/>
    <w:pPr>
      <w:autoSpaceDE w:val="0"/>
      <w:autoSpaceDN w:val="0"/>
      <w:adjustRightInd w:val="0"/>
      <w:spacing w:after="240" w:line="240" w:lineRule="auto"/>
    </w:pPr>
    <w:rPr>
      <w:rFonts w:cs="Times New Roman"/>
      <w:szCs w:val="24"/>
    </w:rPr>
  </w:style>
  <w:style w:type="paragraph" w:styleId="Header">
    <w:name w:val="header"/>
    <w:basedOn w:val="Normal"/>
    <w:link w:val="HeaderChar"/>
    <w:uiPriority w:val="99"/>
    <w:unhideWhenUsed/>
    <w:rsid w:val="00294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667"/>
    <w:rPr>
      <w:rFonts w:ascii="Times New Roman" w:hAnsi="Times New Roman"/>
      <w:sz w:val="24"/>
    </w:rPr>
  </w:style>
  <w:style w:type="paragraph" w:styleId="Footer">
    <w:name w:val="footer"/>
    <w:basedOn w:val="Normal"/>
    <w:link w:val="FooterChar"/>
    <w:uiPriority w:val="99"/>
    <w:unhideWhenUsed/>
    <w:rsid w:val="00294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67"/>
    <w:rPr>
      <w:rFonts w:ascii="Times New Roman" w:hAnsi="Times New Roman"/>
      <w:sz w:val="24"/>
    </w:rPr>
  </w:style>
  <w:style w:type="paragraph" w:styleId="Revision">
    <w:name w:val="Revision"/>
    <w:hidden/>
    <w:uiPriority w:val="99"/>
    <w:semiHidden/>
    <w:rsid w:val="00234C5B"/>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9"/>
    <w:semiHidden/>
    <w:rsid w:val="006C5FBF"/>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6C5FB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6C5FB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6C5FB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6C5FB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6C5FB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6C5FBF"/>
    <w:pPr>
      <w:spacing w:line="240" w:lineRule="auto"/>
    </w:pPr>
    <w:rPr>
      <w:b/>
      <w:bCs/>
      <w:smallCaps/>
      <w:color w:val="1F497D" w:themeColor="text2"/>
    </w:rPr>
  </w:style>
  <w:style w:type="paragraph" w:styleId="Title">
    <w:name w:val="Title"/>
    <w:basedOn w:val="Normal"/>
    <w:next w:val="Normal"/>
    <w:link w:val="TitleChar"/>
    <w:uiPriority w:val="10"/>
    <w:qFormat/>
    <w:rsid w:val="006C5FB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6C5FBF"/>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6C5FB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6C5FBF"/>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6C5FBF"/>
    <w:rPr>
      <w:b/>
      <w:bCs/>
    </w:rPr>
  </w:style>
  <w:style w:type="character" w:styleId="Emphasis">
    <w:name w:val="Emphasis"/>
    <w:basedOn w:val="DefaultParagraphFont"/>
    <w:uiPriority w:val="20"/>
    <w:qFormat/>
    <w:rsid w:val="006C5FBF"/>
    <w:rPr>
      <w:i/>
      <w:iCs/>
    </w:rPr>
  </w:style>
  <w:style w:type="paragraph" w:styleId="NoSpacing">
    <w:name w:val="No Spacing"/>
    <w:uiPriority w:val="1"/>
    <w:qFormat/>
    <w:rsid w:val="006C5FBF"/>
    <w:pPr>
      <w:spacing w:after="0" w:line="240" w:lineRule="auto"/>
    </w:pPr>
  </w:style>
  <w:style w:type="paragraph" w:styleId="Quote">
    <w:name w:val="Quote"/>
    <w:basedOn w:val="Normal"/>
    <w:next w:val="Normal"/>
    <w:link w:val="QuoteChar"/>
    <w:uiPriority w:val="29"/>
    <w:qFormat/>
    <w:rsid w:val="006C5FB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6C5FBF"/>
    <w:rPr>
      <w:color w:val="1F497D" w:themeColor="text2"/>
      <w:sz w:val="24"/>
      <w:szCs w:val="24"/>
    </w:rPr>
  </w:style>
  <w:style w:type="paragraph" w:styleId="IntenseQuote">
    <w:name w:val="Intense Quote"/>
    <w:basedOn w:val="Normal"/>
    <w:next w:val="Normal"/>
    <w:link w:val="IntenseQuoteChar"/>
    <w:uiPriority w:val="30"/>
    <w:qFormat/>
    <w:rsid w:val="006C5FB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6C5FB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6C5FBF"/>
    <w:rPr>
      <w:i/>
      <w:iCs/>
      <w:color w:val="595959" w:themeColor="text1" w:themeTint="A6"/>
    </w:rPr>
  </w:style>
  <w:style w:type="character" w:styleId="IntenseEmphasis">
    <w:name w:val="Intense Emphasis"/>
    <w:basedOn w:val="DefaultParagraphFont"/>
    <w:uiPriority w:val="21"/>
    <w:qFormat/>
    <w:rsid w:val="006C5FBF"/>
    <w:rPr>
      <w:b/>
      <w:bCs/>
      <w:i/>
      <w:iCs/>
    </w:rPr>
  </w:style>
  <w:style w:type="character" w:styleId="SubtleReference">
    <w:name w:val="Subtle Reference"/>
    <w:basedOn w:val="DefaultParagraphFont"/>
    <w:uiPriority w:val="31"/>
    <w:qFormat/>
    <w:rsid w:val="006C5FBF"/>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6C5FBF"/>
    <w:rPr>
      <w:b/>
      <w:bCs/>
      <w:smallCaps/>
      <w:color w:val="1F497D" w:themeColor="text2"/>
      <w:u w:val="single"/>
    </w:rPr>
  </w:style>
  <w:style w:type="character" w:styleId="BookTitle">
    <w:name w:val="Book Title"/>
    <w:basedOn w:val="DefaultParagraphFont"/>
    <w:uiPriority w:val="33"/>
    <w:qFormat/>
    <w:rsid w:val="006C5FBF"/>
    <w:rPr>
      <w:b/>
      <w:bCs/>
      <w:smallCaps/>
      <w:spacing w:val="10"/>
    </w:rPr>
  </w:style>
  <w:style w:type="paragraph" w:styleId="TOCHeading">
    <w:name w:val="TOC Heading"/>
    <w:basedOn w:val="Heading1"/>
    <w:next w:val="Normal"/>
    <w:uiPriority w:val="39"/>
    <w:semiHidden/>
    <w:unhideWhenUsed/>
    <w:qFormat/>
    <w:rsid w:val="006C5FB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htsa.gov/sites/nhtsa.dot.gov/files/810871.pdf" TargetMode="External" /><Relationship Id="rId11" Type="http://schemas.openxmlformats.org/officeDocument/2006/relationships/hyperlink" Target="https://www.nhtsa.gov/sites/nhtsa.dot.gov/files/811098_1.pdf" TargetMode="External" /><Relationship Id="rId12" Type="http://schemas.openxmlformats.org/officeDocument/2006/relationships/hyperlink" Target="https://supreme.justia.com/cases/federal/us/579/14-1468" TargetMode="External" /><Relationship Id="rId13" Type="http://schemas.openxmlformats.org/officeDocument/2006/relationships/hyperlink" Target="https://www.responsibility.org/wp-content/uploads/2018/04/FAAR_3715-eWarrants-Interactive-PDF_V-4.pdf?pdf=eWarrants_Implementation_Guide" TargetMode="External" /><Relationship Id="rId14" Type="http://schemas.openxmlformats.org/officeDocument/2006/relationships/hyperlink" Target="http://www.wdmtoolkit.org/%7E/media/Microsites/Files/Warrants%20and%20Dispositions/State%20Implementations/Alabama/AL%20-%20Results%20and%20Lessons%20Learned%207-8-2015.ashx" TargetMode="External" /><Relationship Id="rId15" Type="http://schemas.openxmlformats.org/officeDocument/2006/relationships/hyperlink" Target="https://leginfo.legislature.ca.gov/faces/codes_displaySection.xhtml?sectionNum=1526.&amp;lawCode=PEN" TargetMode="External" /><Relationship Id="rId16" Type="http://schemas.openxmlformats.org/officeDocument/2006/relationships/hyperlink" Target="https://www.courts.ca.gov/27655.htm" TargetMode="External" /><Relationship Id="rId17" Type="http://schemas.openxmlformats.org/officeDocument/2006/relationships/hyperlink" Target="http://www.mgaleg.maryland.gov/Pubs/LegisLegal/2014rs-laws-maryland-Vol-002.pdf" TargetMode="External" /><Relationship Id="rId18" Type="http://schemas.openxmlformats.org/officeDocument/2006/relationships/hyperlink" Target="https://mdcourts.gov/sites/default/files/admin-orders/20150629electronicsearchwarrants.pdf" TargetMode="External" /><Relationship Id="rId19" Type="http://schemas.openxmlformats.org/officeDocument/2006/relationships/hyperlink" Target="https://gohs.az.gov/sites/default/files/LEL%20042016%20PhlebotomyNewsArticle.pdf" TargetMode="External" /><Relationship Id="rId2" Type="http://schemas.openxmlformats.org/officeDocument/2006/relationships/settings" Target="settings.xml" /><Relationship Id="rId20" Type="http://schemas.openxmlformats.org/officeDocument/2006/relationships/hyperlink" Target="https://www.nhtsa.gov/sites/nhtsa.dot.gov/files/810852.pdf" TargetMode="External" /><Relationship Id="rId21" Type="http://schemas.openxmlformats.org/officeDocument/2006/relationships/hyperlink" Target="https://lifesaversconference.org/wp-content/uploads/2018/04/Holmes-ID-04-1.pdf" TargetMode="External" /><Relationship Id="rId22" Type="http://schemas.openxmlformats.org/officeDocument/2006/relationships/hyperlink" Target="https://www.theiacp.org/sites/default/files/View%20the%20recently%20adopted%202018%20Resolutions.pdf?utm_source=Informz&amp;utm_medium=email&amp;utm_campaign=Informz%20Email" TargetMode="External" /><Relationship Id="rId23" Type="http://schemas.openxmlformats.org/officeDocument/2006/relationships/hyperlink" Target="http://www.wdmtoolkit.org/%7E/media/Microsites/Files/Warrants%20and%20Dispositions/State%20Implementations/Kentucky/Kentucky%20eWarrant%20Case%20Study.ashx" TargetMode="External" /><Relationship Id="rId24" Type="http://schemas.openxmlformats.org/officeDocument/2006/relationships/hyperlink" Target="http://rvpolicy.kdor.ks.gov/Pilots/Ntrntpil/IPILv1x0.NSF/23d6cf461dc0d3f58625656e005c41cd/08121b70179ff9f286258067005c2b03?OpenDocument" TargetMode="External" /><Relationship Id="rId25" Type="http://schemas.openxmlformats.org/officeDocument/2006/relationships/hyperlink" Target="https://law.justia.com/codes/maryland/2005/gcp/1-203.html" TargetMode="External" /><Relationship Id="rId26" Type="http://schemas.openxmlformats.org/officeDocument/2006/relationships/hyperlink" Target="https://www.revisor.mn.gov/court_rules/rule/cr-toh/" TargetMode="External" /><Relationship Id="rId27" Type="http://schemas.openxmlformats.org/officeDocument/2006/relationships/hyperlink" Target="https://cases.justia.com/minnesota/court-of-appeals/2015-a13-931.pdf?ts=1444759769" TargetMode="External" /><Relationship Id="rId28" Type="http://schemas.openxmlformats.org/officeDocument/2006/relationships/hyperlink" Target="https://supreme.justia.com/cases/federal/us/569/11-1425/" TargetMode="External" /><Relationship Id="rId29" Type="http://schemas.openxmlformats.org/officeDocument/2006/relationships/hyperlink" Target="https://www.supremecourt.gov/opinions/18pdf/18-6210_2co3.pdf" TargetMode="External" /><Relationship Id="rId3" Type="http://schemas.openxmlformats.org/officeDocument/2006/relationships/webSettings" Target="webSettings.xml" /><Relationship Id="rId30" Type="http://schemas.openxmlformats.org/officeDocument/2006/relationships/hyperlink" Target="https://www.nhtsa.gov/sites/nhtsa.dot.gov/files/breath_test_refusal_rates-811881.pdf" TargetMode="External" /><Relationship Id="rId31" Type="http://schemas.openxmlformats.org/officeDocument/2006/relationships/hyperlink" Target="https://www.nhtsa.gov/sites/nhtsa.dot.gov/files/documents/14222-phlebotomy_toolkit_final-032819-v1a_tag_0.pdf" TargetMode="External" /><Relationship Id="rId32" Type="http://schemas.openxmlformats.org/officeDocument/2006/relationships/hyperlink" Target="https://supreme.justia.com/cases/federal/us/384/757/case.html" TargetMode="External" /><Relationship Id="rId33" Type="http://schemas.openxmlformats.org/officeDocument/2006/relationships/hyperlink" Target="http://www.nascio.org/awards/" TargetMode="External" /><Relationship Id="rId34" Type="http://schemas.openxmlformats.org/officeDocument/2006/relationships/hyperlink" Target="https://www.nhtsa.gov/staticfiles/nti/pdf/812308-DWI-Arrest-Process-Improvement.pdf" TargetMode="External" /><Relationship Id="rId35" Type="http://schemas.openxmlformats.org/officeDocument/2006/relationships/hyperlink" Target="https://one.nhtsa.gov/people/injury/research/breathtestrefusal/images/BreathTestText.pdf" TargetMode="External"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ilga.gov/legislation/ilcs/ilcs4.asp?ActID=1966&amp;ChapterID=54&amp;SeqStart=8200000&amp;SeqEnd=14900000" TargetMode="External" /><Relationship Id="rId7" Type="http://schemas.openxmlformats.org/officeDocument/2006/relationships/hyperlink" Target="https://law.justia.com/codes/colorado/2016/title-16/code-of-criminal-procedure/article-1/section-16-1-106/" TargetMode="External" /><Relationship Id="rId8" Type="http://schemas.openxmlformats.org/officeDocument/2006/relationships/hyperlink" Target="https://www.azcourts.gov/Portals/22/admorder/Orders18/2018-51.pdf" TargetMode="External" /><Relationship Id="rId9" Type="http://schemas.openxmlformats.org/officeDocument/2006/relationships/hyperlink" Target="http://www.kcdaa.org/Resources/Documents/KSProsecutor-Spring12.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333051.htm" TargetMode="External" /><Relationship Id="rId2" Type="http://schemas.openxmlformats.org/officeDocument/2006/relationships/hyperlink" Target="https://www.bls.gov/news.release/ecec.t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Tal18</b:Tag>
    <b:SourceType>Report</b:SourceType>
    <b:Guid>{022ED55E-6E45-4E5F-9B3C-560523FEDBA6}</b:Guid>
    <b:Title>Saving Lives and Preventing Crashes: The Drug Evaluation and Classification (DEC) Program:</b:Title>
    <b:Year>2018</b:Year>
    <b:Publisher>National Traffic Law Center</b:Publisher>
    <b:Author>
      <b:Author>
        <b:NameList>
          <b:Person>
            <b:Last>Talpins</b:Last>
            <b:First>Steve</b:First>
          </b:Person>
          <b:Person>
            <b:Last>Hayes</b:Last>
            <b:First>Chuck</b:First>
          </b:Person>
          <b:Person>
            <b:Last>Kimball</b:Last>
            <b:First>Tom</b:First>
          </b:Person>
        </b:NameList>
      </b:Author>
    </b:Author>
    <b:RefOrder>1</b:RefOrder>
  </b:Source>
  <b:Source>
    <b:Tag>Int</b:Tag>
    <b:SourceType>InternetSite</b:SourceType>
    <b:Guid>{0DAD3B47-EA3F-4C38-9EFE-CF326B7B6798}</b:Guid>
    <b:Title>How to Become a Drug Recognition Expert</b:Title>
    <b:Author>
      <b:Author>
        <b:Corporate>International Association of Chiefs of Police</b:Corporate>
      </b:Author>
    </b:Author>
    <b:InternetSiteTitle>IACP</b:InternetSiteTitle>
    <b:URL>https://www.theiacp.org/how-to-become-a-drug-recognition-expert</b:URL>
    <b:RefOrder>2</b:RefOrder>
  </b:Source>
  <b:Source>
    <b:Tag>Vir18</b:Tag>
    <b:SourceType>Report</b:SourceType>
    <b:Guid>{AD8D619D-7DF4-4AD8-9E6C-C2EC76B64407}</b:Guid>
    <b:Title>Annual Report</b:Title>
    <b:Year>2018</b:Year>
    <b:URL>https://www.dcjs.virginia.gov/sites/dcjs.virginia.gov/files/publications/law-enforcement/vlepsc-annual-report.pdf</b:URL>
    <b:Author>
      <b:Author>
        <b:Corporate>Virginia Law Enforcement Professional Standards Commission</b:Corporate>
      </b:Author>
    </b:Author>
    <b:Publisher>Virginia Department of Criminal Justice Services</b:Publisher>
    <b:City>Richmond</b:City>
    <b:RefOrder>4</b:RefOrder>
  </b:Source>
  <b:Source>
    <b:Tag>Eng</b:Tag>
    <b:SourceType>InternetSite</b:SourceType>
    <b:Guid>{3D0D54BD-0716-4291-A5D4-F111BC58CF09}</b:Guid>
    <b:Title>Support for Local DRE Programs</b:Title>
    <b:InternetSiteTitle>IACP DRE Section Community</b:InternetSiteTitle>
    <b:URL>https://engage.theiacp.org/communities/community-home/digestviewer/viewthread?GroupId=313&amp;MessageKey=8d988495-8863-4081-9670-5a9485e4b888&amp;CommunityKey=2edbaa37-b6aa-45e1-8bee-5ea58b1c4834&amp;tab=digestviewer&amp;ReturnUrl=%2fcommunities%2fcommunity-home%2fdigest</b:URL>
    <b:Author>
      <b:Author>
        <b:Corporate>Engage IACP</b:Corporate>
      </b:Author>
    </b:Author>
    <b:RefOrder>5</b:RefOrder>
  </b:Source>
  <b:Source>
    <b:Tag>IntCP</b:Tag>
    <b:SourceType>Report</b:SourceType>
    <b:Guid>{CB3A26E7-05FC-40C7-9B6C-D18B2ED6A74E}</b:Guid>
    <b:Author>
      <b:Author>
        <b:Corporate>International Association of Chiefs of Police</b:Corporate>
      </b:Author>
    </b:Author>
    <b:Title>IACP Drug Evaluation &amp; Classification Program Annual Report</b:Title>
    <b:Year>2020</b:Year>
    <b:Publisher>International Association of Chiefs of Police</b:Publisher>
    <b:City>Alexandria</b:City>
    <b:URL>https://www.theiacp.org/sites/default/files/DEC%20Annual%20Reports/2020%20Annual%20Report.pdf</b:URL>
    <b:RefOrder>3</b:RefOrder>
  </b:Source>
  <b:Source>
    <b:Tag>Off21</b:Tag>
    <b:SourceType>Report</b:SourceType>
    <b:Guid>{40DA6FF1-F252-4209-BCFC-385C784FB059}</b:Guid>
    <b:Author>
      <b:Author>
        <b:Corporate>Office of Behavioral Safety Research</b:Corporate>
      </b:Author>
    </b:Author>
    <b:Title>Update  to  spe-cial  reports  on  traffic  safety  during  the  COVID-19  public  health  emergency:  Fourth  quarter  data</b:Title>
    <b:Year>2021</b:Year>
    <b:Publisher>National Highway Traffic Safety Administration</b:Publisher>
    <b:URL>https://rosap.ntl.bts.gov/view/dot/56125</b:URL>
    <b:RefOrder>6</b:RefOrder>
  </b:Source>
  <b:Source>
    <b:Tag>Gro</b:Tag>
    <b:SourceType>InternetSite</b:SourceType>
    <b:Guid>{FED99253-D19E-44DB-84CA-67CBAD477D8F}</b:Guid>
    <b:Title>GroupMe</b:Title>
    <b:InternetSiteTitle>GroupMe</b:InternetSiteTitle>
    <b:URL>https://groupme.com/en-US/</b:URL>
    <b:RefOrder>8</b:RefOrder>
  </b:Source>
  <b:Source>
    <b:Tag>Eve</b:Tag>
    <b:SourceType>InternetSite</b:SourceType>
    <b:Guid>{C3431F21-EB29-459C-AC7C-E19B4DA5167B}</b:Guid>
    <b:InternetSiteTitle>Everbridge</b:InternetSiteTitle>
    <b:URL>https://www.everbridge.com/</b:URL>
    <b:RefOrder>9</b:RefOrder>
  </b:Source>
  <b:Source>
    <b:Tag>Act</b:Tag>
    <b:SourceType>InternetSite</b:SourceType>
    <b:Guid>{20D24BE0-55FF-42B4-BF87-3A1E9DFD9EA3}</b:Guid>
    <b:InternetSiteTitle>Active911</b:InternetSiteTitle>
    <b:URL>https://www.active911.com/</b:URL>
    <b:RefOrder>10</b:RefOrder>
  </b:Source>
  <b:Source>
    <b:Tag>Rea11</b:Tag>
    <b:SourceType>Report</b:SourceType>
    <b:Guid>{C174BAF0-E3D5-49A9-BD7E-ACAC7BB46F67}</b:Guid>
    <b:Author>
      <b:Author>
        <b:NameList>
          <b:Person>
            <b:Last>Reaves</b:Last>
            <b:First>Bryan</b:First>
          </b:Person>
        </b:NameList>
      </b:Author>
    </b:Author>
    <b:Title>Census of State and Local Law Enforcement Agencies, 2008</b:Title>
    <b:Year>2011</b:Year>
    <b:URL>https://bjs.ojp.gov/library/publications/census-state-and-local-law-enforcement-agencies-2008</b:URL>
    <b:Publisher>Bureau of Justice Statistics</b:Publisher>
    <b:RefOrder>7</b:RefOrder>
  </b:Source>
</b:Sources>
</file>

<file path=customXml/itemProps1.xml><?xml version="1.0" encoding="utf-8"?>
<ds:datastoreItem xmlns:ds="http://schemas.openxmlformats.org/officeDocument/2006/customXml" ds:itemID="{F7C5521C-E303-4FB7-909E-89F50435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8385</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Justification</vt:lpstr>
      <vt:lpstr>Appendices</vt:lpstr>
      <vt:lpstr>    Appendix A: Tools, Technologies, and Supplies</vt:lpstr>
      <vt:lpstr>    Appendix B: DRE References</vt:lpstr>
    </vt:vector>
  </TitlesOfParts>
  <Company/>
  <LinksUpToDate>false</LinksUpToDate>
  <CharactersWithSpaces>56074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Milani, Jacqueline (NHTSA)</cp:lastModifiedBy>
  <cp:revision>2</cp:revision>
  <dcterms:created xsi:type="dcterms:W3CDTF">2022-12-01T20:32:00Z</dcterms:created>
  <dcterms:modified xsi:type="dcterms:W3CDTF">2022-12-01T20:32:00Z</dcterms:modified>
</cp:coreProperties>
</file>