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1BDFA476" w14:textId="77777777">
      <w:pPr>
        <w:jc w:val="center"/>
        <w:rPr>
          <w:b/>
          <w:sz w:val="24"/>
          <w:szCs w:val="24"/>
        </w:rPr>
      </w:pPr>
      <w:r w:rsidRPr="00167E53">
        <w:rPr>
          <w:b/>
          <w:sz w:val="24"/>
          <w:szCs w:val="24"/>
        </w:rPr>
        <w:t>Supporting Statement for Paperwork Reduction Act Submissions</w:t>
      </w:r>
    </w:p>
    <w:p w:rsidR="00167E53" w:rsidRPr="00167E53" w14:paraId="6DB4FA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PRO </w:t>
      </w:r>
      <w:r w:rsidR="00FA0120">
        <w:rPr>
          <w:b/>
          <w:sz w:val="24"/>
          <w:szCs w:val="24"/>
        </w:rPr>
        <w:t xml:space="preserve">Housing </w:t>
      </w:r>
      <w:r>
        <w:rPr>
          <w:b/>
          <w:sz w:val="24"/>
          <w:szCs w:val="24"/>
        </w:rPr>
        <w:t>Competition Application Collection</w:t>
      </w:r>
    </w:p>
    <w:p w:rsidR="00167E53" w:rsidRPr="00167E53" w14:paraId="530D97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8C20DF">
        <w:rPr>
          <w:b/>
          <w:sz w:val="24"/>
          <w:szCs w:val="24"/>
        </w:rPr>
        <w:t>2506-new)</w:t>
      </w:r>
    </w:p>
    <w:p w:rsidR="009E13B1" w:rsidRPr="00167E53" w:rsidP="006C7FAE" w14:paraId="4B7E9530" w14:textId="77777777">
      <w:pPr>
        <w:rPr>
          <w:b/>
          <w:sz w:val="24"/>
          <w:szCs w:val="24"/>
        </w:rPr>
      </w:pPr>
    </w:p>
    <w:p w:rsidR="009E13B1" w:rsidRPr="006C7FAE" w14:paraId="522E37E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5222FD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2360D8AD"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848A2" w:rsidRPr="00211B6A" w:rsidP="008848A2" w14:paraId="5565206A" w14:textId="77777777">
      <w:pPr>
        <w:tabs>
          <w:tab w:val="left" w:pos="-720"/>
        </w:tabs>
        <w:suppressAutoHyphens/>
        <w:overflowPunct/>
        <w:autoSpaceDE/>
        <w:autoSpaceDN/>
        <w:adjustRightInd/>
        <w:spacing w:after="120"/>
        <w:textAlignment w:val="auto"/>
        <w:rPr>
          <w:rFonts w:eastAsia="Calibri"/>
          <w:color w:val="4472C4"/>
          <w:sz w:val="24"/>
          <w:szCs w:val="24"/>
        </w:rPr>
      </w:pPr>
      <w:r w:rsidRPr="00211B6A">
        <w:rPr>
          <w:rFonts w:eastAsia="Calibri"/>
          <w:color w:val="4472C4"/>
          <w:sz w:val="24"/>
          <w:szCs w:val="24"/>
        </w:rPr>
        <w:t xml:space="preserve">The Consolidated Appropriations Act, 2023 (PL 117-328) included funds for the identification and removal of barriers to affordable housing production and preservation.  </w:t>
      </w:r>
      <w:r w:rsidR="00F403A7">
        <w:rPr>
          <w:rFonts w:eastAsia="Calibri"/>
          <w:color w:val="4472C4"/>
          <w:sz w:val="24"/>
          <w:szCs w:val="24"/>
        </w:rPr>
        <w:t>T</w:t>
      </w:r>
      <w:r w:rsidRPr="00211B6A">
        <w:rPr>
          <w:rFonts w:eastAsia="Calibri"/>
          <w:color w:val="4472C4"/>
          <w:sz w:val="24"/>
          <w:szCs w:val="24"/>
        </w:rPr>
        <w:t xml:space="preserve">he </w:t>
      </w:r>
      <w:r w:rsidR="00D15ACD">
        <w:rPr>
          <w:rFonts w:eastAsia="Calibri"/>
          <w:color w:val="4472C4"/>
          <w:sz w:val="24"/>
          <w:szCs w:val="24"/>
        </w:rPr>
        <w:t xml:space="preserve">law </w:t>
      </w:r>
      <w:r w:rsidRPr="00211B6A">
        <w:rPr>
          <w:rFonts w:eastAsia="Calibri"/>
          <w:color w:val="4472C4"/>
          <w:sz w:val="24"/>
          <w:szCs w:val="24"/>
        </w:rPr>
        <w:t xml:space="preserve">has made available $85 million for competitive grants. </w:t>
      </w:r>
      <w:r w:rsidR="00E709AF">
        <w:rPr>
          <w:rFonts w:eastAsia="Calibri"/>
          <w:color w:val="4472C4"/>
          <w:sz w:val="24"/>
          <w:szCs w:val="24"/>
        </w:rPr>
        <w:t xml:space="preserve">Pursuant to the requirements at 2 CFR 200.204, </w:t>
      </w:r>
      <w:r w:rsidRPr="00211B6A">
        <w:rPr>
          <w:rFonts w:eastAsia="Calibri"/>
          <w:color w:val="4472C4"/>
          <w:sz w:val="24"/>
          <w:szCs w:val="24"/>
        </w:rPr>
        <w:t xml:space="preserve">HUD </w:t>
      </w:r>
      <w:r w:rsidR="00F403A7">
        <w:rPr>
          <w:rFonts w:eastAsia="Calibri"/>
          <w:color w:val="4472C4"/>
          <w:sz w:val="24"/>
          <w:szCs w:val="24"/>
        </w:rPr>
        <w:t>is required</w:t>
      </w:r>
      <w:r w:rsidRPr="00211B6A">
        <w:rPr>
          <w:rFonts w:eastAsia="Calibri"/>
          <w:color w:val="4472C4"/>
          <w:sz w:val="24"/>
          <w:szCs w:val="24"/>
        </w:rPr>
        <w:t xml:space="preserve"> to make these </w:t>
      </w:r>
      <w:r w:rsidR="007B4B70">
        <w:rPr>
          <w:rFonts w:eastAsia="Calibri"/>
          <w:color w:val="4472C4"/>
          <w:sz w:val="24"/>
          <w:szCs w:val="24"/>
        </w:rPr>
        <w:t>competitive</w:t>
      </w:r>
      <w:r w:rsidRPr="00211B6A" w:rsidR="007B4B70">
        <w:rPr>
          <w:rFonts w:eastAsia="Calibri"/>
          <w:color w:val="4472C4"/>
          <w:sz w:val="24"/>
          <w:szCs w:val="24"/>
        </w:rPr>
        <w:t xml:space="preserve"> </w:t>
      </w:r>
      <w:r w:rsidRPr="00211B6A">
        <w:rPr>
          <w:rFonts w:eastAsia="Calibri"/>
          <w:color w:val="4472C4"/>
          <w:sz w:val="24"/>
          <w:szCs w:val="24"/>
        </w:rPr>
        <w:t xml:space="preserve">funds available through the Notice of Funding Opportunity (NOFO) process.  The competition will invite States, local governments, metropolitan planning organizations, and multijurisdictional entities to apply for funds for their eligible activities that develop, evaluate, </w:t>
      </w:r>
      <w:r w:rsidR="007B4B70">
        <w:rPr>
          <w:rFonts w:eastAsia="Calibri"/>
          <w:color w:val="4472C4"/>
          <w:sz w:val="24"/>
          <w:szCs w:val="24"/>
        </w:rPr>
        <w:t xml:space="preserve">and implement housing policy plans, improve housing strategies, </w:t>
      </w:r>
      <w:r w:rsidRPr="00211B6A">
        <w:rPr>
          <w:rFonts w:eastAsia="Calibri"/>
          <w:color w:val="4472C4"/>
          <w:sz w:val="24"/>
          <w:szCs w:val="24"/>
        </w:rPr>
        <w:t>and facilitate affordable housing production and preservation.</w:t>
      </w:r>
    </w:p>
    <w:p w:rsidR="00AA087C" w:rsidRPr="00211B6A" w:rsidP="00AA087C" w14:paraId="23996BDC" w14:textId="77777777">
      <w:pPr>
        <w:tabs>
          <w:tab w:val="left" w:pos="-720"/>
        </w:tabs>
        <w:suppressAutoHyphens/>
        <w:overflowPunct/>
        <w:autoSpaceDE/>
        <w:autoSpaceDN/>
        <w:adjustRightInd/>
        <w:spacing w:after="120"/>
        <w:textAlignment w:val="auto"/>
        <w:rPr>
          <w:rFonts w:eastAsia="Calibri"/>
          <w:color w:val="4472C4"/>
          <w:sz w:val="24"/>
          <w:szCs w:val="24"/>
        </w:rPr>
      </w:pPr>
      <w:r w:rsidRPr="00211B6A">
        <w:rPr>
          <w:rFonts w:eastAsia="Calibri"/>
          <w:color w:val="4472C4"/>
          <w:sz w:val="24"/>
          <w:szCs w:val="24"/>
        </w:rPr>
        <w:t>PL 117-328 language</w:t>
      </w:r>
      <w:r w:rsidR="00D33FA8">
        <w:rPr>
          <w:rFonts w:eastAsia="Calibri"/>
          <w:color w:val="4472C4"/>
          <w:sz w:val="24"/>
          <w:szCs w:val="24"/>
        </w:rPr>
        <w:t xml:space="preserve"> at Division L, Title II</w:t>
      </w:r>
      <w:r w:rsidRPr="00211B6A">
        <w:rPr>
          <w:rFonts w:eastAsia="Calibri"/>
          <w:color w:val="4472C4"/>
          <w:sz w:val="24"/>
          <w:szCs w:val="24"/>
        </w:rPr>
        <w:t>:</w:t>
      </w:r>
    </w:p>
    <w:p w:rsidR="00F30DAD" w:rsidRPr="00E709AF" w:rsidP="00CE77CB" w14:paraId="4FCB993C" w14:textId="77777777">
      <w:pPr>
        <w:keepLines/>
        <w:tabs>
          <w:tab w:val="left" w:pos="360"/>
        </w:tabs>
        <w:spacing w:after="80"/>
        <w:ind w:left="360" w:hanging="360"/>
        <w:rPr>
          <w:color w:val="4472C4"/>
        </w:rPr>
      </w:pPr>
      <w:r w:rsidRPr="00211B6A">
        <w:rPr>
          <w:color w:val="4472C4"/>
        </w:rPr>
        <w:t xml:space="preserve">(2) $85,000,000 shall be available for the Secretary to award grants on a competitive basis to State and local governments, metropolitan planning organizations, and multijurisdictional entities for additional activities under title I of the </w:t>
      </w:r>
      <w:r w:rsidR="00CE77CB">
        <w:rPr>
          <w:color w:val="4472C4"/>
        </w:rPr>
        <w:t>[</w:t>
      </w:r>
      <w:r w:rsidRPr="00CE77CB" w:rsidR="00CE77CB">
        <w:rPr>
          <w:color w:val="4472C4"/>
        </w:rPr>
        <w:t>Housing and Community Development Act of 1974, as amended (42 U.S.C. 5301 et seq.)</w:t>
      </w:r>
      <w:r w:rsidR="00CE77CB">
        <w:rPr>
          <w:color w:val="4472C4"/>
        </w:rPr>
        <w:t>]</w:t>
      </w:r>
      <w:r w:rsidRPr="00211B6A">
        <w:rPr>
          <w:color w:val="4472C4"/>
        </w:rPr>
        <w:t xml:space="preserve"> for the identification and removal of barriers to affordable housing production and preservation: Provided, That eligible uses of such grants include activities to further develop, evaluate, and implement housing policy plans, improve housing strategies, and facilitate affordable housing production and preservation: Provided further, That the Secretary shall prioritize applicants that are able to (A) demonstrate progress and a commitment to overcoming local barriers to facilitate the increase in affordable housing production and preservation; and (B) demonstrate an acute demand for housing affordable to households with incomes below 100 percent of the area median income: Provided further, That funds allocated for such grants shall not adversely affect the amount of any formula assistance received by a jurisdiction under paragraph (1) of this heading: Provided further, That in administering such amounts the Secretary may waive or specify alternative requirements for any provision of such title I except for requirements related to fair housing, nondiscrimination, labor standards, the environment, and requirements that activities benefit persons of low- and moderate-income, upon a finding that any such waivers or alternative requirements are necessary to expedite or facilitate the use of such amounts;</w:t>
      </w:r>
    </w:p>
    <w:p w:rsidR="009E13B1" w:rsidRPr="006C7FAE" w14:paraId="50C2631F" w14:textId="77777777">
      <w:pPr>
        <w:tabs>
          <w:tab w:val="left" w:pos="360"/>
        </w:tabs>
        <w:ind w:left="360" w:hanging="360"/>
        <w:rPr>
          <w:sz w:val="24"/>
          <w:szCs w:val="24"/>
        </w:rPr>
      </w:pPr>
    </w:p>
    <w:p w:rsidR="009E13B1" w:rsidRPr="006C7FAE" w14:paraId="4C616B50"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9E13B1" w:rsidRPr="00211B6A" w:rsidP="00AA087C" w14:paraId="505EA7BD" w14:textId="77777777">
      <w:pPr>
        <w:keepLines/>
        <w:tabs>
          <w:tab w:val="left" w:pos="360"/>
          <w:tab w:val="left" w:pos="720"/>
        </w:tabs>
        <w:rPr>
          <w:rFonts w:eastAsia="Calibri"/>
          <w:color w:val="4472C4"/>
          <w:sz w:val="24"/>
          <w:szCs w:val="24"/>
        </w:rPr>
      </w:pPr>
      <w:r>
        <w:rPr>
          <w:rFonts w:eastAsia="Calibri"/>
          <w:color w:val="4472C4"/>
          <w:sz w:val="24"/>
          <w:szCs w:val="24"/>
        </w:rPr>
        <w:t xml:space="preserve">New collection.  </w:t>
      </w:r>
      <w:r w:rsidR="00E8272F">
        <w:rPr>
          <w:rFonts w:eastAsia="Calibri"/>
          <w:color w:val="4472C4"/>
          <w:sz w:val="24"/>
          <w:szCs w:val="24"/>
        </w:rPr>
        <w:t xml:space="preserve">Applications are electronically submitted through grants.gov. </w:t>
      </w:r>
      <w:r w:rsidRPr="00211B6A" w:rsidR="00AA087C">
        <w:rPr>
          <w:rFonts w:eastAsia="Calibri"/>
          <w:color w:val="4472C4"/>
          <w:sz w:val="24"/>
          <w:szCs w:val="24"/>
        </w:rPr>
        <w:t xml:space="preserve">The information </w:t>
      </w:r>
      <w:r w:rsidR="00E8272F">
        <w:rPr>
          <w:rFonts w:eastAsia="Calibri"/>
          <w:color w:val="4472C4"/>
          <w:sz w:val="24"/>
          <w:szCs w:val="24"/>
        </w:rPr>
        <w:t xml:space="preserve">collected </w:t>
      </w:r>
      <w:r w:rsidRPr="00211B6A" w:rsidR="00AA087C">
        <w:rPr>
          <w:rFonts w:eastAsia="Calibri"/>
          <w:color w:val="4472C4"/>
          <w:sz w:val="24"/>
          <w:szCs w:val="24"/>
        </w:rPr>
        <w:t xml:space="preserve">will be used by </w:t>
      </w:r>
      <w:r w:rsidR="0093585B">
        <w:rPr>
          <w:rFonts w:eastAsia="Calibri"/>
          <w:color w:val="4472C4"/>
          <w:sz w:val="24"/>
          <w:szCs w:val="24"/>
        </w:rPr>
        <w:t>HUD’s Office of Community Planning and Development</w:t>
      </w:r>
      <w:r w:rsidRPr="00211B6A" w:rsidR="0093585B">
        <w:rPr>
          <w:rFonts w:eastAsia="Calibri"/>
          <w:color w:val="4472C4"/>
          <w:sz w:val="24"/>
          <w:szCs w:val="24"/>
        </w:rPr>
        <w:t xml:space="preserve"> </w:t>
      </w:r>
      <w:r w:rsidRPr="00211B6A" w:rsidR="00AA087C">
        <w:rPr>
          <w:rFonts w:eastAsia="Calibri"/>
          <w:color w:val="4472C4"/>
          <w:sz w:val="24"/>
          <w:szCs w:val="24"/>
        </w:rPr>
        <w:t xml:space="preserve">to assess applications </w:t>
      </w:r>
      <w:r w:rsidR="0093585B">
        <w:rPr>
          <w:rFonts w:eastAsia="Calibri"/>
          <w:color w:val="4472C4"/>
          <w:sz w:val="24"/>
          <w:szCs w:val="24"/>
        </w:rPr>
        <w:t xml:space="preserve">against the competitive criteria </w:t>
      </w:r>
      <w:r w:rsidRPr="00211B6A" w:rsidR="00AA087C">
        <w:rPr>
          <w:rFonts w:eastAsia="Calibri"/>
          <w:color w:val="4472C4"/>
          <w:sz w:val="24"/>
          <w:szCs w:val="24"/>
        </w:rPr>
        <w:t>and make funding awards to those applicants that meet all the requirements of the NOFO.</w:t>
      </w:r>
      <w:r w:rsidR="00E8272F">
        <w:rPr>
          <w:rFonts w:eastAsia="Calibri"/>
          <w:color w:val="4472C4"/>
          <w:sz w:val="24"/>
          <w:szCs w:val="24"/>
        </w:rPr>
        <w:t xml:space="preserve"> HUD will conduct a threshold and quality control review using grant solutions. Applications that meet the threshold requirements will receive a panel review for assessment and scoring.</w:t>
      </w:r>
      <w:r w:rsidR="00E709AF">
        <w:rPr>
          <w:rFonts w:eastAsia="Calibri"/>
          <w:color w:val="4472C4"/>
          <w:sz w:val="24"/>
          <w:szCs w:val="24"/>
        </w:rPr>
        <w:t xml:space="preserve"> Using the information obtained, HUD shall prioritize applicants</w:t>
      </w:r>
      <w:r w:rsidR="00E8272F">
        <w:rPr>
          <w:rFonts w:eastAsia="Calibri"/>
          <w:color w:val="4472C4"/>
          <w:sz w:val="24"/>
          <w:szCs w:val="24"/>
        </w:rPr>
        <w:t xml:space="preserve"> during the scoring process </w:t>
      </w:r>
      <w:r w:rsidR="00E709AF">
        <w:rPr>
          <w:rFonts w:eastAsia="Calibri"/>
          <w:color w:val="4472C4"/>
          <w:sz w:val="24"/>
          <w:szCs w:val="24"/>
        </w:rPr>
        <w:t>that are able to (A) demonstrate progress and a commitment to overcoming local barriers to facilitate the increase in affordable housing production and preservation; and (B) demonstrate an acute demand for housing affordable to households with incomes below 100 percent of the area median income.</w:t>
      </w:r>
      <w:r w:rsidR="00E8272F">
        <w:rPr>
          <w:rFonts w:eastAsia="Calibri"/>
          <w:color w:val="4472C4"/>
          <w:sz w:val="24"/>
          <w:szCs w:val="24"/>
        </w:rPr>
        <w:t xml:space="preserve"> The highest scored applicants will </w:t>
      </w:r>
      <w:r w:rsidR="009A4BD2">
        <w:rPr>
          <w:rFonts w:eastAsia="Calibri"/>
          <w:color w:val="4472C4"/>
          <w:sz w:val="24"/>
          <w:szCs w:val="24"/>
        </w:rPr>
        <w:t xml:space="preserve">be </w:t>
      </w:r>
      <w:r w:rsidR="00E8272F">
        <w:rPr>
          <w:rFonts w:eastAsia="Calibri"/>
          <w:color w:val="4472C4"/>
          <w:sz w:val="24"/>
          <w:szCs w:val="24"/>
        </w:rPr>
        <w:t xml:space="preserve">selected for funding until all funds are </w:t>
      </w:r>
      <w:r w:rsidR="009A4BD2">
        <w:rPr>
          <w:rFonts w:eastAsia="Calibri"/>
          <w:color w:val="4472C4"/>
          <w:sz w:val="24"/>
          <w:szCs w:val="24"/>
        </w:rPr>
        <w:t>awarded, or the obligation period has expired</w:t>
      </w:r>
      <w:r w:rsidR="00E8272F">
        <w:rPr>
          <w:rFonts w:eastAsia="Calibri"/>
          <w:color w:val="4472C4"/>
          <w:sz w:val="24"/>
          <w:szCs w:val="24"/>
        </w:rPr>
        <w:t>.</w:t>
      </w:r>
    </w:p>
    <w:p w:rsidR="00AA087C" w:rsidRPr="00AA087C" w14:paraId="5A55E908" w14:textId="77777777">
      <w:pPr>
        <w:keepLines/>
        <w:tabs>
          <w:tab w:val="left" w:pos="360"/>
          <w:tab w:val="left" w:pos="720"/>
        </w:tabs>
        <w:ind w:left="360"/>
        <w:rPr>
          <w:rFonts w:eastAsia="Calibri"/>
          <w:sz w:val="24"/>
          <w:szCs w:val="24"/>
        </w:rPr>
      </w:pPr>
    </w:p>
    <w:p w:rsidR="00AA087C" w:rsidRPr="006C7FAE" w14:paraId="2CD9BCE9" w14:textId="77777777">
      <w:pPr>
        <w:keepLines/>
        <w:tabs>
          <w:tab w:val="left" w:pos="360"/>
          <w:tab w:val="left" w:pos="720"/>
        </w:tabs>
        <w:ind w:left="360"/>
        <w:rPr>
          <w:sz w:val="24"/>
          <w:szCs w:val="24"/>
        </w:rPr>
      </w:pPr>
    </w:p>
    <w:p w:rsidR="009E13B1" w:rsidRPr="006C7FAE" w14:paraId="38310ACA"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4BD2" w:rsidP="00AA087C" w14:paraId="4C77C08C" w14:textId="77777777">
      <w:pPr>
        <w:keepLines/>
        <w:tabs>
          <w:tab w:val="left" w:pos="360"/>
          <w:tab w:val="left" w:pos="720"/>
        </w:tabs>
        <w:rPr>
          <w:color w:val="4472C4"/>
          <w:sz w:val="24"/>
          <w:szCs w:val="24"/>
        </w:rPr>
      </w:pPr>
      <w:r w:rsidRPr="00211B6A">
        <w:rPr>
          <w:color w:val="4472C4"/>
          <w:sz w:val="24"/>
          <w:szCs w:val="24"/>
        </w:rPr>
        <w:t xml:space="preserve">The NOFO will be posted to Grants.gov and applications will be collected electronically. The basis for the decision </w:t>
      </w:r>
      <w:r w:rsidR="007B4B70">
        <w:rPr>
          <w:color w:val="4472C4"/>
          <w:sz w:val="24"/>
          <w:szCs w:val="24"/>
        </w:rPr>
        <w:t xml:space="preserve">is </w:t>
      </w:r>
      <w:r w:rsidRPr="00211B6A">
        <w:rPr>
          <w:color w:val="4472C4"/>
          <w:sz w:val="24"/>
          <w:szCs w:val="24"/>
        </w:rPr>
        <w:t>to</w:t>
      </w:r>
      <w:r w:rsidR="00E709AF">
        <w:rPr>
          <w:color w:val="4472C4"/>
          <w:sz w:val="24"/>
          <w:szCs w:val="24"/>
        </w:rPr>
        <w:t xml:space="preserve"> provide an easily accessible avenue for application submission,</w:t>
      </w:r>
      <w:r w:rsidRPr="00211B6A">
        <w:rPr>
          <w:color w:val="4472C4"/>
          <w:sz w:val="24"/>
          <w:szCs w:val="24"/>
        </w:rPr>
        <w:t xml:space="preserve"> assess the timeline of submission, and provide a way to ensure HUD receives all applications without delay.</w:t>
      </w:r>
    </w:p>
    <w:p w:rsidR="009A4BD2" w:rsidP="00AA087C" w14:paraId="29229A8B" w14:textId="77777777">
      <w:pPr>
        <w:keepLines/>
        <w:tabs>
          <w:tab w:val="left" w:pos="360"/>
          <w:tab w:val="left" w:pos="720"/>
        </w:tabs>
        <w:rPr>
          <w:color w:val="4472C4"/>
          <w:sz w:val="24"/>
          <w:szCs w:val="24"/>
        </w:rPr>
      </w:pPr>
    </w:p>
    <w:p w:rsidR="009E13B1" w:rsidRPr="00211B6A" w:rsidP="00AA087C" w14:paraId="2F8F9E9D" w14:textId="77777777">
      <w:pPr>
        <w:keepLines/>
        <w:tabs>
          <w:tab w:val="left" w:pos="360"/>
          <w:tab w:val="left" w:pos="720"/>
        </w:tabs>
        <w:rPr>
          <w:color w:val="4472C4"/>
          <w:sz w:val="24"/>
          <w:szCs w:val="24"/>
        </w:rPr>
      </w:pPr>
      <w:r>
        <w:rPr>
          <w:color w:val="4472C4"/>
          <w:sz w:val="24"/>
          <w:szCs w:val="24"/>
        </w:rPr>
        <w:t>Post award activity will utilize the Disaster Recovery Grant Reporting system. These activities have already been reviewed and approved by OMB and do not need any further review. For more information on Community Development Block Grant (CDBG) required post award activities see OMB Control #s 2506: 0077, 0085, 0117, and 0165.</w:t>
      </w:r>
    </w:p>
    <w:p w:rsidR="00AA087C" w:rsidRPr="006C7FAE" w14:paraId="33C4B7E4" w14:textId="77777777">
      <w:pPr>
        <w:tabs>
          <w:tab w:val="left" w:pos="360"/>
        </w:tabs>
        <w:ind w:left="360" w:hanging="360"/>
        <w:rPr>
          <w:sz w:val="24"/>
          <w:szCs w:val="24"/>
        </w:rPr>
      </w:pPr>
    </w:p>
    <w:p w:rsidR="009E13B1" w:rsidRPr="006C7FAE" w14:paraId="1CCF6AEA"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9E13B1" w:rsidRPr="00211B6A" w:rsidP="00AA087C" w14:paraId="5C45589D" w14:textId="77777777">
      <w:pPr>
        <w:keepLines/>
        <w:tabs>
          <w:tab w:val="left" w:pos="360"/>
          <w:tab w:val="left" w:pos="720"/>
        </w:tabs>
        <w:rPr>
          <w:color w:val="4472C4"/>
          <w:sz w:val="24"/>
          <w:szCs w:val="24"/>
        </w:rPr>
      </w:pPr>
      <w:r w:rsidRPr="00211B6A">
        <w:rPr>
          <w:color w:val="4472C4"/>
          <w:sz w:val="24"/>
          <w:szCs w:val="24"/>
        </w:rPr>
        <w:t>This competition was authorized under the 2023 Consolidated Appropriations Act</w:t>
      </w:r>
      <w:r w:rsidR="00EB18DF">
        <w:rPr>
          <w:color w:val="4472C4"/>
          <w:sz w:val="24"/>
          <w:szCs w:val="24"/>
        </w:rPr>
        <w:t xml:space="preserve"> as a new initiative</w:t>
      </w:r>
      <w:r w:rsidRPr="00211B6A">
        <w:rPr>
          <w:color w:val="4472C4"/>
          <w:sz w:val="24"/>
          <w:szCs w:val="24"/>
        </w:rPr>
        <w:t xml:space="preserve">. </w:t>
      </w:r>
      <w:r w:rsidR="00B12386">
        <w:rPr>
          <w:color w:val="4472C4"/>
          <w:sz w:val="24"/>
          <w:szCs w:val="24"/>
        </w:rPr>
        <w:t xml:space="preserve">This is a new collection of information for such initiative. </w:t>
      </w:r>
      <w:r w:rsidRPr="00211B6A">
        <w:rPr>
          <w:color w:val="4472C4"/>
          <w:sz w:val="24"/>
          <w:szCs w:val="24"/>
        </w:rPr>
        <w:t>As such</w:t>
      </w:r>
      <w:r w:rsidR="00F403A7">
        <w:rPr>
          <w:color w:val="4472C4"/>
          <w:sz w:val="24"/>
          <w:szCs w:val="24"/>
        </w:rPr>
        <w:t>,</w:t>
      </w:r>
      <w:r w:rsidRPr="00211B6A">
        <w:rPr>
          <w:color w:val="4472C4"/>
          <w:sz w:val="24"/>
          <w:szCs w:val="24"/>
        </w:rPr>
        <w:t xml:space="preserve"> duplication is not an issue. The applications collected will be new applications for proposed projects from various entities across the nation.</w:t>
      </w:r>
    </w:p>
    <w:p w:rsidR="00AA087C" w:rsidRPr="006C7FAE" w:rsidP="00AA087C" w14:paraId="6B65756B" w14:textId="77777777">
      <w:pPr>
        <w:keepLines/>
        <w:tabs>
          <w:tab w:val="left" w:pos="360"/>
          <w:tab w:val="left" w:pos="720"/>
        </w:tabs>
        <w:rPr>
          <w:sz w:val="24"/>
          <w:szCs w:val="24"/>
        </w:rPr>
      </w:pPr>
    </w:p>
    <w:p w:rsidR="009E13B1" w:rsidRPr="006C7FAE" w14:paraId="2E5689C6"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E13B1" w:rsidRPr="00211B6A" w:rsidP="00AA087C" w14:paraId="48F04D2B" w14:textId="77777777">
      <w:pPr>
        <w:tabs>
          <w:tab w:val="left" w:pos="360"/>
        </w:tabs>
        <w:rPr>
          <w:color w:val="4472C4"/>
          <w:sz w:val="24"/>
          <w:szCs w:val="24"/>
        </w:rPr>
      </w:pPr>
      <w:r>
        <w:rPr>
          <w:color w:val="4472C4"/>
          <w:sz w:val="24"/>
          <w:szCs w:val="24"/>
        </w:rPr>
        <w:t xml:space="preserve">Although the applicant pool is limited to </w:t>
      </w:r>
      <w:r w:rsidRPr="00211B6A">
        <w:rPr>
          <w:rFonts w:eastAsia="Calibri"/>
          <w:color w:val="4472C4"/>
          <w:sz w:val="24"/>
          <w:szCs w:val="24"/>
        </w:rPr>
        <w:t>States, local governments, metropolitan planning organizations, and multijurisdictional entities</w:t>
      </w:r>
      <w:r>
        <w:rPr>
          <w:color w:val="4472C4"/>
          <w:sz w:val="24"/>
          <w:szCs w:val="24"/>
        </w:rPr>
        <w:t>, t</w:t>
      </w:r>
      <w:r w:rsidRPr="00211B6A" w:rsidR="00AA087C">
        <w:rPr>
          <w:color w:val="4472C4"/>
          <w:sz w:val="24"/>
          <w:szCs w:val="24"/>
        </w:rPr>
        <w:t xml:space="preserve">his collection can impact small businesses or other small entities. </w:t>
      </w:r>
      <w:r w:rsidR="00F403A7">
        <w:rPr>
          <w:color w:val="4472C4"/>
          <w:sz w:val="24"/>
          <w:szCs w:val="24"/>
        </w:rPr>
        <w:t>To</w:t>
      </w:r>
      <w:r w:rsidR="001D16AB">
        <w:rPr>
          <w:color w:val="4472C4"/>
          <w:sz w:val="24"/>
          <w:szCs w:val="24"/>
        </w:rPr>
        <w:t xml:space="preserve"> </w:t>
      </w:r>
      <w:r w:rsidRPr="00211B6A" w:rsidR="0042798E">
        <w:rPr>
          <w:color w:val="4472C4"/>
          <w:sz w:val="24"/>
          <w:szCs w:val="24"/>
        </w:rPr>
        <w:t>minimize</w:t>
      </w:r>
      <w:r w:rsidRPr="00211B6A" w:rsidR="00AA087C">
        <w:rPr>
          <w:color w:val="4472C4"/>
          <w:sz w:val="24"/>
          <w:szCs w:val="24"/>
        </w:rPr>
        <w:t xml:space="preserve"> burden to said entities, HUD recommends partnering with other entities. While it is not a requirement of the </w:t>
      </w:r>
      <w:r w:rsidRPr="00116053" w:rsidR="00AA087C">
        <w:rPr>
          <w:color w:val="4472C4"/>
          <w:sz w:val="24"/>
          <w:szCs w:val="24"/>
        </w:rPr>
        <w:t xml:space="preserve">NOFO, </w:t>
      </w:r>
      <w:r w:rsidRPr="00116053">
        <w:rPr>
          <w:color w:val="4472C4"/>
          <w:sz w:val="24"/>
          <w:szCs w:val="24"/>
        </w:rPr>
        <w:t>small entities may partner with an eligible</w:t>
      </w:r>
      <w:r>
        <w:rPr>
          <w:color w:val="4472C4"/>
          <w:sz w:val="24"/>
          <w:szCs w:val="24"/>
        </w:rPr>
        <w:t xml:space="preserve"> applicant to reduce any burden. </w:t>
      </w:r>
      <w:r w:rsidR="00E87DA5">
        <w:rPr>
          <w:color w:val="4472C4"/>
          <w:sz w:val="24"/>
          <w:szCs w:val="24"/>
        </w:rPr>
        <w:t>Multijurisdictional p</w:t>
      </w:r>
      <w:r w:rsidRPr="00211B6A" w:rsidR="00AA087C">
        <w:rPr>
          <w:color w:val="4472C4"/>
          <w:sz w:val="24"/>
          <w:szCs w:val="24"/>
        </w:rPr>
        <w:t>artnerships will provide the most effective way to share the burden of completing the application process and carrying out the funded activities.</w:t>
      </w:r>
    </w:p>
    <w:p w:rsidR="00AA087C" w:rsidRPr="006C7FAE" w14:paraId="45CD351A" w14:textId="77777777">
      <w:pPr>
        <w:tabs>
          <w:tab w:val="left" w:pos="360"/>
        </w:tabs>
        <w:ind w:left="360" w:hanging="360"/>
        <w:rPr>
          <w:sz w:val="24"/>
          <w:szCs w:val="24"/>
        </w:rPr>
      </w:pPr>
    </w:p>
    <w:p w:rsidR="009E13B1" w:rsidRPr="006C7FAE" w14:paraId="6C7AEF0C"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E8272F" w:rsidRPr="00DE40D3" w:rsidP="00E8272F" w14:paraId="43319FF0" w14:textId="77777777">
      <w:pPr>
        <w:pStyle w:val="pf0"/>
        <w:rPr>
          <w:color w:val="4472C4"/>
        </w:rPr>
      </w:pPr>
      <w:r w:rsidRPr="00211B6A">
        <w:rPr>
          <w:color w:val="4472C4"/>
        </w:rPr>
        <w:t xml:space="preserve">The consequence to Federal Program or Policy activities if this collection is not conducted is that </w:t>
      </w:r>
      <w:r w:rsidR="00DE40D3">
        <w:rPr>
          <w:color w:val="4472C4"/>
        </w:rPr>
        <w:t>HUD</w:t>
      </w:r>
      <w:r w:rsidRPr="00211B6A">
        <w:rPr>
          <w:color w:val="4472C4"/>
        </w:rPr>
        <w:t xml:space="preserve"> will be unable to award the $85M to the communities who need it. There are no technical or legal obstacles to reducing burden that we are </w:t>
      </w:r>
      <w:r w:rsidRPr="00211B6A" w:rsidR="00C15DAB">
        <w:rPr>
          <w:color w:val="4472C4"/>
        </w:rPr>
        <w:t>aware</w:t>
      </w:r>
      <w:r w:rsidRPr="00211B6A">
        <w:rPr>
          <w:color w:val="4472C4"/>
        </w:rPr>
        <w:t xml:space="preserve"> of.</w:t>
      </w:r>
      <w:r>
        <w:rPr>
          <w:color w:val="4472C4"/>
        </w:rPr>
        <w:t xml:space="preserve"> </w:t>
      </w:r>
      <w:r w:rsidRPr="00DE40D3">
        <w:rPr>
          <w:color w:val="4472C4"/>
        </w:rPr>
        <w:t xml:space="preserve">Application information will be collected for the purposes of this NOFO; it is required to fully assess each applicant’s qualifications for the specific purposes of the PRO </w:t>
      </w:r>
      <w:r w:rsidR="00116053">
        <w:rPr>
          <w:color w:val="4472C4"/>
        </w:rPr>
        <w:t xml:space="preserve">Housing </w:t>
      </w:r>
      <w:r w:rsidRPr="00DE40D3">
        <w:rPr>
          <w:color w:val="4472C4"/>
        </w:rPr>
        <w:t>competition. All information collected is used to carefully consider applications for selection, funding, and to determine whether the selected applicants have met the expectations established by the Congressional appropriations and HUD leadership. If HUD collects less information, or collected it less frequently, the Department could not accurately identify eligible applicants, determine the eligibility of applicants for grant funds, or ensure that funds were spent according to the intention of the appropriations.</w:t>
      </w:r>
    </w:p>
    <w:p w:rsidR="009E13B1" w:rsidRPr="00211B6A" w:rsidP="0042798E" w14:paraId="61D18856" w14:textId="77777777">
      <w:pPr>
        <w:keepLines/>
        <w:tabs>
          <w:tab w:val="left" w:pos="360"/>
          <w:tab w:val="left" w:pos="720"/>
        </w:tabs>
        <w:rPr>
          <w:color w:val="4472C4"/>
          <w:sz w:val="24"/>
          <w:szCs w:val="24"/>
        </w:rPr>
      </w:pPr>
    </w:p>
    <w:p w:rsidR="0042798E" w:rsidRPr="006C7FAE" w:rsidP="0042798E" w14:paraId="3E683664" w14:textId="77777777">
      <w:pPr>
        <w:keepLines/>
        <w:tabs>
          <w:tab w:val="left" w:pos="360"/>
          <w:tab w:val="left" w:pos="720"/>
        </w:tabs>
        <w:rPr>
          <w:sz w:val="24"/>
          <w:szCs w:val="24"/>
        </w:rPr>
      </w:pPr>
    </w:p>
    <w:p w:rsidR="009E13B1" w:rsidRPr="006C7FAE" w14:paraId="3EFB6A6D"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009E13B1" w:rsidRPr="006C7FAE" w14:paraId="4E2EB81B"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C43F3B" w:rsidR="00E8272F">
        <w:rPr>
          <w:color w:val="4472C4"/>
          <w:sz w:val="24"/>
          <w:szCs w:val="24"/>
          <w:u w:val="single"/>
        </w:rPr>
        <w:t>Not Applicable</w:t>
      </w:r>
    </w:p>
    <w:p w:rsidR="009E13B1" w:rsidRPr="006C7FAE" w14:paraId="7159BBD9"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C43F3B" w:rsidR="00E8272F">
        <w:rPr>
          <w:color w:val="4472C4"/>
          <w:sz w:val="24"/>
          <w:szCs w:val="24"/>
          <w:u w:val="single"/>
        </w:rPr>
        <w:t>Not Applicable</w:t>
      </w:r>
    </w:p>
    <w:p w:rsidR="009E13B1" w:rsidRPr="00C43F3B" w14:paraId="1A885E15" w14:textId="77777777">
      <w:pPr>
        <w:numPr>
          <w:ilvl w:val="0"/>
          <w:numId w:val="14"/>
        </w:numPr>
        <w:tabs>
          <w:tab w:val="left" w:pos="600"/>
        </w:tabs>
        <w:rPr>
          <w:color w:val="4472C4"/>
          <w:sz w:val="24"/>
          <w:szCs w:val="24"/>
          <w:u w:val="single"/>
        </w:rPr>
      </w:pPr>
      <w:r w:rsidRPr="006C7FAE">
        <w:rPr>
          <w:sz w:val="24"/>
          <w:szCs w:val="24"/>
        </w:rPr>
        <w:t xml:space="preserve">requiring respondents to submit more than an original and two copies of any document; </w:t>
      </w:r>
      <w:r w:rsidRPr="00C43F3B" w:rsidR="00E8272F">
        <w:rPr>
          <w:color w:val="4472C4"/>
          <w:sz w:val="24"/>
          <w:szCs w:val="24"/>
          <w:u w:val="single"/>
        </w:rPr>
        <w:t>Not Applicable</w:t>
      </w:r>
    </w:p>
    <w:p w:rsidR="009E13B1" w:rsidRPr="006C7FAE" w14:paraId="7C8E14FB" w14:textId="77777777">
      <w:pPr>
        <w:numPr>
          <w:ilvl w:val="0"/>
          <w:numId w:val="14"/>
        </w:numPr>
        <w:tabs>
          <w:tab w:val="left" w:pos="600"/>
        </w:tabs>
        <w:rPr>
          <w:sz w:val="24"/>
          <w:szCs w:val="24"/>
        </w:rPr>
      </w:pPr>
      <w:r w:rsidRPr="006C7FAE">
        <w:rPr>
          <w:sz w:val="24"/>
          <w:szCs w:val="24"/>
        </w:rPr>
        <w:t>requiring respondents to retain records other than health, medical, government contract, grant-in-aid, or tax records for more than three years;</w:t>
      </w:r>
      <w:r w:rsidR="00E8272F">
        <w:rPr>
          <w:sz w:val="24"/>
          <w:szCs w:val="24"/>
        </w:rPr>
        <w:t xml:space="preserve"> </w:t>
      </w:r>
      <w:r w:rsidRPr="00C43F3B" w:rsidR="00E8272F">
        <w:rPr>
          <w:color w:val="4472C4"/>
          <w:sz w:val="24"/>
          <w:szCs w:val="24"/>
          <w:u w:val="single"/>
        </w:rPr>
        <w:t>Not Applicable</w:t>
      </w:r>
      <w:r w:rsidRPr="006C7FAE">
        <w:rPr>
          <w:sz w:val="24"/>
          <w:szCs w:val="24"/>
        </w:rPr>
        <w:t xml:space="preserve"> </w:t>
      </w:r>
    </w:p>
    <w:p w:rsidR="009E13B1" w:rsidRPr="006C7FAE" w14:paraId="71C7DAB7"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C43F3B" w:rsidR="00E8272F">
        <w:rPr>
          <w:color w:val="4472C4"/>
          <w:sz w:val="24"/>
          <w:szCs w:val="24"/>
          <w:u w:val="single"/>
        </w:rPr>
        <w:t>Not Applicable</w:t>
      </w:r>
    </w:p>
    <w:p w:rsidR="009E13B1" w:rsidRPr="006C7FAE" w14:paraId="1B1E904D"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C43F3B" w:rsidR="00E8272F">
        <w:rPr>
          <w:color w:val="4472C4"/>
          <w:sz w:val="24"/>
          <w:szCs w:val="24"/>
          <w:u w:val="single"/>
        </w:rPr>
        <w:t>Not applicable</w:t>
      </w:r>
    </w:p>
    <w:p w:rsidR="009E13B1" w:rsidRPr="006C7FAE" w14:paraId="7E928A26"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C43F3B" w:rsidR="00E8272F">
        <w:rPr>
          <w:color w:val="4472C4"/>
          <w:sz w:val="24"/>
          <w:szCs w:val="24"/>
          <w:u w:val="single"/>
        </w:rPr>
        <w:t>Not Applicable</w:t>
      </w:r>
    </w:p>
    <w:p w:rsidR="009E13B1" w:rsidRPr="006C7FAE" w14:paraId="56CACC23"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E8272F">
        <w:rPr>
          <w:sz w:val="24"/>
          <w:szCs w:val="24"/>
        </w:rPr>
        <w:t xml:space="preserve"> </w:t>
      </w:r>
      <w:r w:rsidRPr="00C43F3B" w:rsidR="00E8272F">
        <w:rPr>
          <w:color w:val="4472C4"/>
          <w:sz w:val="24"/>
          <w:szCs w:val="24"/>
          <w:u w:val="single"/>
        </w:rPr>
        <w:t>Not Applicable</w:t>
      </w:r>
    </w:p>
    <w:p w:rsidR="009E13B1" w:rsidRPr="00211B6A" w14:paraId="3D065021" w14:textId="77777777">
      <w:pPr>
        <w:tabs>
          <w:tab w:val="left" w:pos="360"/>
        </w:tabs>
        <w:ind w:left="360" w:hanging="360"/>
        <w:rPr>
          <w:color w:val="4472C4"/>
          <w:sz w:val="24"/>
          <w:szCs w:val="24"/>
        </w:rPr>
      </w:pPr>
      <w:r w:rsidRPr="00211B6A">
        <w:rPr>
          <w:color w:val="4472C4"/>
          <w:sz w:val="24"/>
          <w:szCs w:val="24"/>
        </w:rPr>
        <w:t>There are no special circumstances.</w:t>
      </w:r>
    </w:p>
    <w:p w:rsidR="0042798E" w:rsidRPr="006C7FAE" w14:paraId="363CCDAB" w14:textId="77777777">
      <w:pPr>
        <w:tabs>
          <w:tab w:val="left" w:pos="360"/>
        </w:tabs>
        <w:ind w:left="360" w:hanging="360"/>
        <w:rPr>
          <w:sz w:val="24"/>
          <w:szCs w:val="24"/>
        </w:rPr>
      </w:pPr>
    </w:p>
    <w:p w:rsidR="009E13B1" w:rsidRPr="006C7FAE" w14:paraId="55AADE21"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6C7FAE" w14:paraId="17187CFF"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Pr="006C7FAE" w14:paraId="217FF06C"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418F7" w:rsidP="00F403A7" w14:paraId="44371209" w14:textId="77777777">
      <w:pPr>
        <w:tabs>
          <w:tab w:val="left" w:pos="360"/>
        </w:tabs>
        <w:rPr>
          <w:color w:val="4472C4"/>
          <w:sz w:val="24"/>
          <w:szCs w:val="24"/>
        </w:rPr>
      </w:pPr>
      <w:bookmarkStart w:id="0" w:name="_Hlk137647830"/>
      <w:r>
        <w:rPr>
          <w:color w:val="4472C4"/>
          <w:sz w:val="24"/>
          <w:szCs w:val="24"/>
        </w:rPr>
        <w:t xml:space="preserve"> </w:t>
      </w:r>
    </w:p>
    <w:p w:rsidR="009E13B1" w:rsidP="00A418F7" w14:paraId="0FBBC2F5" w14:textId="77777777">
      <w:pPr>
        <w:tabs>
          <w:tab w:val="left" w:pos="360"/>
        </w:tabs>
        <w:ind w:left="720"/>
        <w:rPr>
          <w:color w:val="4472C4"/>
          <w:sz w:val="24"/>
          <w:szCs w:val="24"/>
        </w:rPr>
      </w:pPr>
      <w:r>
        <w:rPr>
          <w:color w:val="4472C4"/>
          <w:sz w:val="24"/>
          <w:szCs w:val="24"/>
        </w:rPr>
        <w:t xml:space="preserve">In accordance with 5 CFR 1320(d), the Agency’s notice soliciting public comments was announced in the Federal Register on </w:t>
      </w:r>
      <w:r w:rsidR="00D20E69">
        <w:rPr>
          <w:color w:val="4472C4"/>
          <w:sz w:val="24"/>
          <w:szCs w:val="24"/>
        </w:rPr>
        <w:t>May 22, 2023</w:t>
      </w:r>
      <w:r>
        <w:rPr>
          <w:color w:val="4472C4"/>
          <w:sz w:val="24"/>
          <w:szCs w:val="24"/>
        </w:rPr>
        <w:t xml:space="preserve">, volume </w:t>
      </w:r>
      <w:r w:rsidR="00D20E69">
        <w:rPr>
          <w:color w:val="4472C4"/>
          <w:sz w:val="24"/>
          <w:szCs w:val="24"/>
        </w:rPr>
        <w:t>88</w:t>
      </w:r>
      <w:r>
        <w:rPr>
          <w:color w:val="4472C4"/>
          <w:sz w:val="24"/>
          <w:szCs w:val="24"/>
        </w:rPr>
        <w:t xml:space="preserve">, No. </w:t>
      </w:r>
      <w:r w:rsidR="00D20E69">
        <w:rPr>
          <w:color w:val="4472C4"/>
          <w:sz w:val="24"/>
          <w:szCs w:val="24"/>
        </w:rPr>
        <w:t>98</w:t>
      </w:r>
      <w:r>
        <w:rPr>
          <w:color w:val="4472C4"/>
          <w:sz w:val="24"/>
          <w:szCs w:val="24"/>
        </w:rPr>
        <w:t xml:space="preserve">, page </w:t>
      </w:r>
      <w:r w:rsidR="00D20E69">
        <w:rPr>
          <w:color w:val="4472C4"/>
          <w:sz w:val="24"/>
          <w:szCs w:val="24"/>
        </w:rPr>
        <w:t>32782</w:t>
      </w:r>
      <w:r>
        <w:rPr>
          <w:color w:val="4472C4"/>
          <w:sz w:val="24"/>
          <w:szCs w:val="24"/>
        </w:rPr>
        <w:t>.</w:t>
      </w:r>
    </w:p>
    <w:p w:rsidR="00D20E69" w:rsidP="00A418F7" w14:paraId="3132E2C2" w14:textId="77777777">
      <w:pPr>
        <w:tabs>
          <w:tab w:val="left" w:pos="360"/>
        </w:tabs>
        <w:ind w:left="720"/>
        <w:rPr>
          <w:color w:val="4472C4"/>
          <w:sz w:val="24"/>
          <w:szCs w:val="24"/>
        </w:rPr>
      </w:pPr>
    </w:p>
    <w:p w:rsidR="00D20E69" w:rsidP="00A418F7" w14:paraId="0831F755" w14:textId="61F70E66">
      <w:pPr>
        <w:tabs>
          <w:tab w:val="left" w:pos="360"/>
        </w:tabs>
        <w:ind w:left="720"/>
        <w:rPr>
          <w:color w:val="4472C4"/>
          <w:sz w:val="24"/>
          <w:szCs w:val="24"/>
        </w:rPr>
      </w:pPr>
      <w:r>
        <w:rPr>
          <w:color w:val="4472C4"/>
          <w:sz w:val="24"/>
          <w:szCs w:val="24"/>
        </w:rPr>
        <w:t>As of June 24</w:t>
      </w:r>
      <w:r w:rsidRPr="00D20E69">
        <w:rPr>
          <w:color w:val="4472C4"/>
          <w:sz w:val="24"/>
          <w:szCs w:val="24"/>
          <w:vertAlign w:val="superscript"/>
        </w:rPr>
        <w:t>th</w:t>
      </w:r>
      <w:r>
        <w:rPr>
          <w:color w:val="4472C4"/>
          <w:sz w:val="24"/>
          <w:szCs w:val="24"/>
        </w:rPr>
        <w:t xml:space="preserve">, HUD has received comments from internal HUD departments and has not received any comments from the public. Upon the completion of the </w:t>
      </w:r>
      <w:r w:rsidR="004B1E01">
        <w:rPr>
          <w:color w:val="4472C4"/>
          <w:sz w:val="24"/>
          <w:szCs w:val="24"/>
        </w:rPr>
        <w:t>60-day</w:t>
      </w:r>
      <w:r>
        <w:rPr>
          <w:color w:val="4472C4"/>
          <w:sz w:val="24"/>
          <w:szCs w:val="24"/>
        </w:rPr>
        <w:t xml:space="preserve"> period, </w:t>
      </w:r>
      <w:r w:rsidR="001C1759">
        <w:rPr>
          <w:color w:val="4472C4"/>
          <w:sz w:val="24"/>
          <w:szCs w:val="24"/>
        </w:rPr>
        <w:t xml:space="preserve">no comments were received. </w:t>
      </w:r>
    </w:p>
    <w:p w:rsidR="004B1E01" w:rsidP="00A418F7" w14:paraId="7FEA3CF6" w14:textId="77777777">
      <w:pPr>
        <w:tabs>
          <w:tab w:val="left" w:pos="360"/>
        </w:tabs>
        <w:ind w:left="720"/>
        <w:rPr>
          <w:color w:val="4472C4"/>
          <w:sz w:val="24"/>
          <w:szCs w:val="24"/>
        </w:rPr>
      </w:pPr>
    </w:p>
    <w:bookmarkEnd w:id="0"/>
    <w:p w:rsidR="00C15DAB" w:rsidRPr="006C7FAE" w14:paraId="58319556" w14:textId="77777777">
      <w:pPr>
        <w:tabs>
          <w:tab w:val="left" w:pos="360"/>
        </w:tabs>
        <w:ind w:left="360" w:hanging="360"/>
        <w:rPr>
          <w:sz w:val="24"/>
          <w:szCs w:val="24"/>
        </w:rPr>
      </w:pPr>
    </w:p>
    <w:p w:rsidR="009E13B1" w:rsidRPr="006C7FAE" w14:paraId="013AFAB5"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r w:rsidRPr="006C7FAE" w:rsidR="0042798E">
        <w:rPr>
          <w:sz w:val="24"/>
          <w:szCs w:val="24"/>
        </w:rPr>
        <w:t>renumeration</w:t>
      </w:r>
      <w:r w:rsidRPr="006C7FAE">
        <w:rPr>
          <w:sz w:val="24"/>
          <w:szCs w:val="24"/>
        </w:rPr>
        <w:t xml:space="preserve"> of contractors or grantees.</w:t>
      </w:r>
    </w:p>
    <w:p w:rsidR="009E13B1" w:rsidRPr="00211B6A" w14:paraId="4EB0ABE6" w14:textId="77777777">
      <w:pPr>
        <w:tabs>
          <w:tab w:val="left" w:pos="360"/>
        </w:tabs>
        <w:ind w:left="360" w:hanging="360"/>
        <w:rPr>
          <w:color w:val="4472C4"/>
          <w:sz w:val="24"/>
          <w:szCs w:val="24"/>
        </w:rPr>
      </w:pPr>
      <w:r w:rsidRPr="00211B6A">
        <w:rPr>
          <w:color w:val="4472C4"/>
          <w:sz w:val="24"/>
          <w:szCs w:val="24"/>
        </w:rPr>
        <w:t>There will be no payments or gifts to respondents outside of the awards made to successful applicants.</w:t>
      </w:r>
    </w:p>
    <w:p w:rsidR="0042798E" w:rsidRPr="006C7FAE" w14:paraId="6ABF6E98" w14:textId="77777777">
      <w:pPr>
        <w:tabs>
          <w:tab w:val="left" w:pos="360"/>
        </w:tabs>
        <w:ind w:left="360" w:hanging="360"/>
        <w:rPr>
          <w:sz w:val="24"/>
          <w:szCs w:val="24"/>
        </w:rPr>
      </w:pPr>
    </w:p>
    <w:p w:rsidR="009E13B1" w:rsidRPr="006C7FAE" w14:paraId="4D02B2EE"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p>
    <w:p w:rsidR="00FB3A37" w:rsidRPr="00211B6A" w:rsidP="00FB3A37" w14:paraId="7B973C02" w14:textId="77777777">
      <w:pPr>
        <w:rPr>
          <w:color w:val="4472C4"/>
          <w:sz w:val="24"/>
          <w:szCs w:val="24"/>
        </w:rPr>
      </w:pPr>
      <w:bookmarkStart w:id="1" w:name="_Hlk121237908"/>
      <w:r w:rsidRPr="00211B6A">
        <w:rPr>
          <w:color w:val="4472C4"/>
          <w:sz w:val="24"/>
          <w:szCs w:val="24"/>
        </w:rPr>
        <w:t>In accordance with the Privacy Act, the collection tool and certification note the following: The Privacy Act of 1974 as amended (5 U.S.C. 552a) and P.L. 117-328 authorize collection of this information. The purpose of this collection is to accept applications for projects requesting federal grant funds made available in 2023 Consolidated Appropriations Act. Pursuant to 5 U.S.C. 552a (b)(3), additional disclosures of this information may be to: Research and Statistical Analysis Disclosure; Information Sharing; Environment Disclosure; Data Breach Remediation Purposes; Disclosures for Law Enforcement Investigations; Court or Law Enforcement Proceedings; Department of Justice for Litigation</w:t>
      </w:r>
    </w:p>
    <w:bookmarkEnd w:id="1"/>
    <w:p w:rsidR="009E13B1" w:rsidRPr="006C7FAE" w14:paraId="73E619FA" w14:textId="77777777">
      <w:pPr>
        <w:tabs>
          <w:tab w:val="left" w:pos="360"/>
        </w:tabs>
        <w:ind w:left="360" w:hanging="360"/>
        <w:rPr>
          <w:sz w:val="24"/>
          <w:szCs w:val="24"/>
        </w:rPr>
      </w:pPr>
    </w:p>
    <w:p w:rsidR="009E13B1" w:rsidRPr="006C7FAE" w14:paraId="5D7F7265"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211B6A" w:rsidP="00DC1116" w14:paraId="7D548027" w14:textId="77777777">
      <w:pPr>
        <w:rPr>
          <w:color w:val="4472C4"/>
          <w:sz w:val="24"/>
          <w:szCs w:val="24"/>
        </w:rPr>
      </w:pPr>
      <w:r>
        <w:rPr>
          <w:color w:val="4472C4"/>
          <w:sz w:val="24"/>
          <w:szCs w:val="24"/>
        </w:rPr>
        <w:t>This information collection does not include any questions of a sensitive nature, such as sexual behavior and attitudes, religious beliefs, and other matters that are commonly considered private. The information will collect program and system level data only, and no personally identifiable information will be collected regarding current or future program participants.</w:t>
      </w:r>
    </w:p>
    <w:p w:rsidR="00FB3A37" w:rsidRPr="006C7FAE" w14:paraId="2DC554DA" w14:textId="77777777">
      <w:pPr>
        <w:tabs>
          <w:tab w:val="left" w:pos="360"/>
        </w:tabs>
        <w:ind w:left="360" w:hanging="360"/>
        <w:rPr>
          <w:sz w:val="24"/>
          <w:szCs w:val="24"/>
        </w:rPr>
      </w:pPr>
    </w:p>
    <w:p w:rsidR="009E13B1" w:rsidRPr="006C7FAE" w14:paraId="0654EC44"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009E13B1" w:rsidRPr="006C7FAE" w14:paraId="02F8A19B"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175C73EE"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00FF34F0" w:rsidP="00FF34F0" w14:paraId="50D822EA" w14:textId="77777777">
      <w:pPr>
        <w:keepLines/>
        <w:numPr>
          <w:ilvl w:val="0"/>
          <w:numId w:val="14"/>
        </w:numPr>
        <w:tabs>
          <w:tab w:val="left" w:pos="480"/>
        </w:tabs>
        <w:spacing w:after="80"/>
        <w:ind w:left="480"/>
        <w:rPr>
          <w:sz w:val="24"/>
          <w:szCs w:val="24"/>
        </w:rPr>
      </w:pPr>
      <w:r w:rsidRPr="006C7FAE">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B1E01" w:rsidRPr="00C43F3B" w:rsidP="002202E2" w14:paraId="0EC0575C" w14:textId="77777777">
      <w:pPr>
        <w:keepLines/>
        <w:tabs>
          <w:tab w:val="left" w:pos="480"/>
        </w:tabs>
        <w:spacing w:after="80"/>
        <w:rPr>
          <w:color w:val="4472C4"/>
          <w:sz w:val="24"/>
          <w:szCs w:val="24"/>
        </w:rPr>
      </w:pPr>
    </w:p>
    <w:p w:rsidR="003077E7" w:rsidP="002202E2" w14:paraId="03E40A90" w14:textId="77777777">
      <w:pPr>
        <w:keepLines/>
        <w:tabs>
          <w:tab w:val="left" w:pos="480"/>
        </w:tabs>
        <w:spacing w:after="80"/>
        <w:rPr>
          <w:color w:val="4472C4"/>
          <w:sz w:val="24"/>
          <w:szCs w:val="24"/>
        </w:rPr>
      </w:pPr>
      <w:bookmarkStart w:id="2" w:name="_Hlk138521195"/>
      <w:r w:rsidRPr="00C43F3B">
        <w:rPr>
          <w:color w:val="4472C4"/>
          <w:sz w:val="24"/>
          <w:szCs w:val="24"/>
        </w:rPr>
        <w:t xml:space="preserve">The estimated burden for this </w:t>
      </w:r>
      <w:r w:rsidR="00371D10">
        <w:rPr>
          <w:color w:val="4472C4"/>
          <w:sz w:val="24"/>
          <w:szCs w:val="24"/>
        </w:rPr>
        <w:t xml:space="preserve">NOFO application </w:t>
      </w:r>
      <w:r w:rsidRPr="00C43F3B">
        <w:rPr>
          <w:color w:val="4472C4"/>
          <w:sz w:val="24"/>
          <w:szCs w:val="24"/>
        </w:rPr>
        <w:t xml:space="preserve">collection includes HUD’s Standardized Grant Application forms which have been reviewed and approved by OMB under control number: 2501-0017. Additionally, as stated above, OMB has reviewed and approved the post award activity for CDBG activities under control numbers: 2506- 0077, 0085, 0117, and 0165. The </w:t>
      </w:r>
      <w:r w:rsidR="00771F81">
        <w:rPr>
          <w:color w:val="4472C4"/>
          <w:sz w:val="24"/>
          <w:szCs w:val="24"/>
        </w:rPr>
        <w:t xml:space="preserve">burden hours and </w:t>
      </w:r>
      <w:r w:rsidRPr="00C43F3B">
        <w:rPr>
          <w:color w:val="4472C4"/>
          <w:sz w:val="24"/>
          <w:szCs w:val="24"/>
        </w:rPr>
        <w:t>requirements under the</w:t>
      </w:r>
      <w:r w:rsidR="00771F81">
        <w:rPr>
          <w:color w:val="4472C4"/>
          <w:sz w:val="24"/>
          <w:szCs w:val="24"/>
        </w:rPr>
        <w:t xml:space="preserve"> </w:t>
      </w:r>
      <w:r w:rsidR="00712BDD">
        <w:rPr>
          <w:color w:val="4472C4"/>
          <w:sz w:val="24"/>
          <w:szCs w:val="24"/>
        </w:rPr>
        <w:t>above-</w:t>
      </w:r>
      <w:r w:rsidR="00771F81">
        <w:rPr>
          <w:color w:val="4472C4"/>
          <w:sz w:val="24"/>
          <w:szCs w:val="24"/>
        </w:rPr>
        <w:t xml:space="preserve">mentioned </w:t>
      </w:r>
      <w:r w:rsidRPr="00C43F3B">
        <w:rPr>
          <w:color w:val="4472C4"/>
          <w:sz w:val="24"/>
          <w:szCs w:val="24"/>
        </w:rPr>
        <w:t>approved collections ha</w:t>
      </w:r>
      <w:r w:rsidRPr="00C43F3B" w:rsidR="004B1E01">
        <w:rPr>
          <w:color w:val="4472C4"/>
          <w:sz w:val="24"/>
          <w:szCs w:val="24"/>
        </w:rPr>
        <w:t>ve</w:t>
      </w:r>
      <w:r w:rsidRPr="00C43F3B">
        <w:rPr>
          <w:color w:val="4472C4"/>
          <w:sz w:val="24"/>
          <w:szCs w:val="24"/>
        </w:rPr>
        <w:t xml:space="preserve"> not been altered in any way. </w:t>
      </w:r>
      <w:r w:rsidR="00371D10">
        <w:rPr>
          <w:color w:val="4472C4"/>
          <w:sz w:val="24"/>
          <w:szCs w:val="24"/>
        </w:rPr>
        <w:t>Applicants are asked to provide narrative responses detailing their proposed activities using PRO Housing funding</w:t>
      </w:r>
      <w:r>
        <w:rPr>
          <w:color w:val="4472C4"/>
          <w:sz w:val="24"/>
          <w:szCs w:val="24"/>
        </w:rPr>
        <w:t>.</w:t>
      </w:r>
      <w:r w:rsidR="00155CC0">
        <w:rPr>
          <w:color w:val="4472C4"/>
          <w:sz w:val="24"/>
          <w:szCs w:val="24"/>
        </w:rPr>
        <w:t xml:space="preserve"> </w:t>
      </w:r>
      <w:r>
        <w:rPr>
          <w:color w:val="4472C4"/>
          <w:sz w:val="24"/>
          <w:szCs w:val="24"/>
        </w:rPr>
        <w:t>Applicants are also required to affirmatively acknowledge the statutorily required certification, located in Appendix D of the NOFO. HUD is collecting certifications from all applicants, and there is a specific certification form depending on each applicant type: local governments, state governments, metropolitan planning organizations and multijurisdictional entities. Each applicant is only required to complete one certification form. The certification form collects information related to a variety of laws, including CDBG requirements and cross-cutting requirements. The applicant will be expected to review and sign the form.</w:t>
      </w:r>
    </w:p>
    <w:p w:rsidR="003077E7" w:rsidP="00116053" w14:paraId="5E75FB3F" w14:textId="77777777">
      <w:pPr>
        <w:spacing w:after="80"/>
        <w:rPr>
          <w:color w:val="4472C4"/>
          <w:sz w:val="24"/>
          <w:szCs w:val="24"/>
        </w:rPr>
      </w:pPr>
      <w:r>
        <w:rPr>
          <w:color w:val="4472C4"/>
          <w:sz w:val="24"/>
          <w:szCs w:val="24"/>
        </w:rPr>
        <w:t xml:space="preserve">If an applicant is proposing a partnership with one or more entities as part of their application submission, the applicant must provide documentation of that partnership in the form of partner letters from each partner and a partnership agreement. </w:t>
      </w:r>
      <w:r w:rsidR="00712BDD">
        <w:rPr>
          <w:color w:val="4472C4"/>
          <w:sz w:val="24"/>
          <w:szCs w:val="24"/>
        </w:rPr>
        <w:t>The burden hours include submission of documentation of partnership, if required. O</w:t>
      </w:r>
      <w:r>
        <w:rPr>
          <w:color w:val="4472C4"/>
          <w:sz w:val="24"/>
          <w:szCs w:val="24"/>
        </w:rPr>
        <w:t xml:space="preserve">ptional partnership templates </w:t>
      </w:r>
      <w:r w:rsidR="00712BDD">
        <w:rPr>
          <w:color w:val="4472C4"/>
          <w:sz w:val="24"/>
          <w:szCs w:val="24"/>
        </w:rPr>
        <w:t xml:space="preserve">are included </w:t>
      </w:r>
      <w:r>
        <w:rPr>
          <w:color w:val="4472C4"/>
          <w:sz w:val="24"/>
          <w:szCs w:val="24"/>
        </w:rPr>
        <w:t>in the application package</w:t>
      </w:r>
      <w:r w:rsidR="00712BDD">
        <w:rPr>
          <w:color w:val="4472C4"/>
          <w:sz w:val="24"/>
          <w:szCs w:val="24"/>
        </w:rPr>
        <w:t xml:space="preserve">, which </w:t>
      </w:r>
      <w:r>
        <w:rPr>
          <w:color w:val="4472C4"/>
          <w:sz w:val="24"/>
          <w:szCs w:val="24"/>
        </w:rPr>
        <w:t xml:space="preserve">applicants may </w:t>
      </w:r>
      <w:r w:rsidR="00712BDD">
        <w:rPr>
          <w:color w:val="4472C4"/>
          <w:sz w:val="24"/>
          <w:szCs w:val="24"/>
        </w:rPr>
        <w:t xml:space="preserve">choose to </w:t>
      </w:r>
      <w:r>
        <w:rPr>
          <w:color w:val="4472C4"/>
          <w:sz w:val="24"/>
          <w:szCs w:val="24"/>
        </w:rPr>
        <w:t xml:space="preserve">use to satisfy these requirements. </w:t>
      </w:r>
    </w:p>
    <w:p w:rsidR="004B1E01" w:rsidRPr="00C43F3B" w:rsidP="002202E2" w14:paraId="6F347DEB" w14:textId="77777777">
      <w:pPr>
        <w:keepLines/>
        <w:tabs>
          <w:tab w:val="left" w:pos="480"/>
        </w:tabs>
        <w:spacing w:after="80"/>
        <w:rPr>
          <w:color w:val="4472C4"/>
          <w:sz w:val="24"/>
          <w:szCs w:val="24"/>
        </w:rPr>
      </w:pPr>
      <w:r>
        <w:rPr>
          <w:color w:val="4472C4"/>
          <w:sz w:val="24"/>
          <w:szCs w:val="24"/>
        </w:rPr>
        <w:t xml:space="preserve">The burden hours associated with the </w:t>
      </w:r>
      <w:r w:rsidR="00712BDD">
        <w:rPr>
          <w:color w:val="4472C4"/>
          <w:sz w:val="24"/>
          <w:szCs w:val="24"/>
        </w:rPr>
        <w:t>above-</w:t>
      </w:r>
      <w:r>
        <w:rPr>
          <w:color w:val="4472C4"/>
          <w:sz w:val="24"/>
          <w:szCs w:val="24"/>
        </w:rPr>
        <w:t>mentioned forms have been included in the burden hours list below.</w:t>
      </w:r>
    </w:p>
    <w:p w:rsidR="00FF34F0" w:rsidRPr="00FF34F0" w:rsidP="004B1E01" w14:paraId="4BCF9F00" w14:textId="77777777">
      <w:pPr>
        <w:keepLines/>
        <w:tabs>
          <w:tab w:val="left" w:pos="480"/>
        </w:tabs>
        <w:spacing w:after="80"/>
        <w:rPr>
          <w:sz w:val="24"/>
          <w:szCs w:val="24"/>
        </w:rPr>
      </w:pPr>
    </w:p>
    <w:p w:rsidR="0041023B" w:rsidP="0041023B" w14:paraId="77139BF0" w14:textId="7777777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Estimated Public Burden</w:t>
      </w:r>
    </w:p>
    <w:tbl>
      <w:tblPr>
        <w:tblW w:w="9540" w:type="dxa"/>
        <w:tblInd w:w="260" w:type="dxa"/>
        <w:tblLayout w:type="fixed"/>
        <w:tblCellMar>
          <w:left w:w="0" w:type="dxa"/>
          <w:right w:w="0" w:type="dxa"/>
        </w:tblCellMar>
        <w:tblLook w:val="04A0"/>
      </w:tblPr>
      <w:tblGrid>
        <w:gridCol w:w="1440"/>
        <w:gridCol w:w="1260"/>
        <w:gridCol w:w="1260"/>
        <w:gridCol w:w="1260"/>
        <w:gridCol w:w="1080"/>
        <w:gridCol w:w="1080"/>
        <w:gridCol w:w="1108"/>
        <w:gridCol w:w="1052"/>
      </w:tblGrid>
      <w:tr w14:paraId="14F9CC92" w14:textId="77777777" w:rsidTr="0041023B">
        <w:tblPrEx>
          <w:tblW w:w="9540" w:type="dxa"/>
          <w:tblInd w:w="260" w:type="dxa"/>
          <w:tblLayout w:type="fixed"/>
          <w:tblCellMar>
            <w:left w:w="0" w:type="dxa"/>
            <w:right w:w="0" w:type="dxa"/>
          </w:tblCellMar>
          <w:tblLook w:val="04A0"/>
        </w:tblPrEx>
        <w:trPr>
          <w:trHeight w:val="648"/>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54518" w:rsidRPr="00211B6A" w:rsidP="0011643A" w14:paraId="46523754" w14:textId="77777777">
            <w:pPr>
              <w:jc w:val="center"/>
              <w:rPr>
                <w:rFonts w:eastAsia="Calibri"/>
                <w:bCs/>
                <w:color w:val="4472C4"/>
              </w:rPr>
            </w:pPr>
            <w:bookmarkStart w:id="3" w:name="_Hlk137546057"/>
            <w:r w:rsidRPr="00211B6A">
              <w:rPr>
                <w:rFonts w:eastAsia="Calibri"/>
                <w:bCs/>
                <w:color w:val="4472C4"/>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518" w:rsidRPr="00211B6A" w:rsidP="0011643A" w14:paraId="5B217625" w14:textId="77777777">
            <w:pPr>
              <w:jc w:val="center"/>
              <w:rPr>
                <w:rFonts w:eastAsia="Calibri"/>
                <w:bCs/>
                <w:color w:val="4472C4"/>
              </w:rPr>
            </w:pPr>
            <w:r w:rsidRPr="00211B6A">
              <w:rPr>
                <w:rFonts w:eastAsia="Calibri"/>
                <w:bCs/>
                <w:color w:val="4472C4"/>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518" w:rsidRPr="00211B6A" w:rsidP="0011643A" w14:paraId="2DBE411C" w14:textId="77777777">
            <w:pPr>
              <w:jc w:val="center"/>
              <w:rPr>
                <w:rFonts w:eastAsia="Calibri"/>
                <w:bCs/>
                <w:color w:val="4472C4"/>
              </w:rPr>
            </w:pPr>
            <w:r w:rsidRPr="00211B6A">
              <w:rPr>
                <w:rFonts w:eastAsia="Calibri"/>
                <w:bCs/>
                <w:color w:val="4472C4"/>
              </w:rPr>
              <w:t>Frequency of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518" w:rsidRPr="00211B6A" w:rsidP="0011643A" w14:paraId="76D49693" w14:textId="77777777">
            <w:pPr>
              <w:jc w:val="center"/>
              <w:rPr>
                <w:rFonts w:eastAsia="Calibri"/>
                <w:bCs/>
                <w:color w:val="4472C4"/>
              </w:rPr>
            </w:pPr>
            <w:r w:rsidRPr="00211B6A">
              <w:rPr>
                <w:rFonts w:eastAsia="Calibri"/>
                <w:bCs/>
                <w:color w:val="4472C4"/>
              </w:rPr>
              <w:t>Responses</w:t>
            </w:r>
          </w:p>
          <w:p w:rsidR="00254518" w:rsidRPr="00211B6A" w:rsidP="0011643A" w14:paraId="54A18993" w14:textId="77777777">
            <w:pPr>
              <w:jc w:val="center"/>
              <w:rPr>
                <w:rFonts w:eastAsia="Calibri"/>
                <w:bCs/>
                <w:color w:val="4472C4"/>
              </w:rPr>
            </w:pPr>
            <w:r w:rsidRPr="00211B6A">
              <w:rPr>
                <w:rFonts w:eastAsia="Calibri"/>
                <w:bCs/>
                <w:color w:val="4472C4"/>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518" w:rsidRPr="00211B6A" w:rsidP="0011643A" w14:paraId="5427B620" w14:textId="77777777">
            <w:pPr>
              <w:jc w:val="center"/>
              <w:rPr>
                <w:rFonts w:eastAsia="Calibri"/>
                <w:bCs/>
                <w:color w:val="4472C4"/>
              </w:rPr>
            </w:pPr>
            <w:r w:rsidRPr="00211B6A">
              <w:rPr>
                <w:rFonts w:eastAsia="Calibri"/>
                <w:bCs/>
                <w:color w:val="4472C4"/>
              </w:rPr>
              <w:t>Burden Hour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518" w:rsidRPr="00211B6A" w:rsidP="0011643A" w14:paraId="1282CEC8" w14:textId="77777777">
            <w:pPr>
              <w:jc w:val="center"/>
              <w:rPr>
                <w:rFonts w:eastAsia="Calibri"/>
                <w:bCs/>
                <w:color w:val="4472C4"/>
              </w:rPr>
            </w:pPr>
            <w:r w:rsidRPr="00211B6A">
              <w:rPr>
                <w:rFonts w:eastAsia="Calibri"/>
                <w:bCs/>
                <w:color w:val="4472C4"/>
              </w:rPr>
              <w:t>Annual Burden Hours</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518" w:rsidRPr="00211B6A" w:rsidP="0011643A" w14:paraId="3F438A60" w14:textId="77777777">
            <w:pPr>
              <w:jc w:val="center"/>
              <w:rPr>
                <w:rFonts w:eastAsia="Calibri"/>
                <w:bCs/>
                <w:color w:val="4472C4"/>
              </w:rPr>
            </w:pPr>
            <w:r w:rsidRPr="00211B6A">
              <w:rPr>
                <w:rFonts w:eastAsia="Calibri"/>
                <w:bCs/>
                <w:color w:val="4472C4"/>
              </w:rPr>
              <w:t>Hourly Cost Per Response</w:t>
            </w:r>
            <w:r w:rsidR="0041023B">
              <w:rPr>
                <w:rFonts w:eastAsia="Calibri"/>
                <w:bCs/>
                <w:color w:val="4472C4"/>
              </w:rPr>
              <w:t>*</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518" w:rsidRPr="00211B6A" w:rsidP="0011643A" w14:paraId="1D2055CD" w14:textId="77777777">
            <w:pPr>
              <w:jc w:val="center"/>
              <w:rPr>
                <w:rFonts w:eastAsia="Calibri"/>
                <w:bCs/>
                <w:color w:val="4472C4"/>
              </w:rPr>
            </w:pPr>
            <w:r w:rsidRPr="00211B6A">
              <w:rPr>
                <w:rFonts w:eastAsia="Calibri"/>
                <w:bCs/>
                <w:color w:val="4472C4"/>
              </w:rPr>
              <w:t>Annual Cost</w:t>
            </w:r>
          </w:p>
          <w:p w:rsidR="00254518" w:rsidRPr="00211B6A" w:rsidP="0011643A" w14:paraId="7C88538A" w14:textId="77777777">
            <w:pPr>
              <w:jc w:val="center"/>
              <w:rPr>
                <w:rFonts w:eastAsia="Calibri"/>
                <w:bCs/>
                <w:color w:val="4472C4"/>
              </w:rPr>
            </w:pPr>
          </w:p>
        </w:tc>
      </w:tr>
      <w:tr w14:paraId="613DE7A4" w14:textId="77777777" w:rsidTr="0041023B">
        <w:tblPrEx>
          <w:tblW w:w="9540" w:type="dxa"/>
          <w:tblInd w:w="260" w:type="dxa"/>
          <w:tblLayout w:type="fixed"/>
          <w:tblCellMar>
            <w:left w:w="0" w:type="dxa"/>
            <w:right w:w="0" w:type="dxa"/>
          </w:tblCellMar>
          <w:tblLook w:val="04A0"/>
        </w:tblPrEx>
        <w:trPr>
          <w:trHeight w:val="648"/>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54518" w:rsidRPr="00211B6A" w:rsidP="0011643A" w14:paraId="4E29C532" w14:textId="77777777">
            <w:pPr>
              <w:jc w:val="center"/>
              <w:rPr>
                <w:rFonts w:eastAsia="Calibri"/>
                <w:bCs/>
                <w:color w:val="4472C4"/>
              </w:rPr>
            </w:pPr>
            <w:r>
              <w:rPr>
                <w:rFonts w:eastAsia="Calibri"/>
                <w:bCs/>
                <w:color w:val="4472C4"/>
              </w:rPr>
              <w:t>NOFO</w:t>
            </w:r>
            <w:r w:rsidR="00371D10">
              <w:rPr>
                <w:rFonts w:eastAsia="Calibri"/>
                <w:bCs/>
                <w:color w:val="4472C4"/>
              </w:rPr>
              <w:t xml:space="preserve"> Application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518" w:rsidRPr="00211B6A" w:rsidP="0011643A" w14:paraId="337EE5EF" w14:textId="77777777">
            <w:pPr>
              <w:jc w:val="center"/>
              <w:rPr>
                <w:rFonts w:eastAsia="Calibri"/>
                <w:bCs/>
                <w:color w:val="4472C4"/>
              </w:rPr>
            </w:pPr>
            <w:r w:rsidRPr="00211B6A">
              <w:rPr>
                <w:rFonts w:eastAsia="Calibri"/>
                <w:bCs/>
                <w:color w:val="4472C4"/>
              </w:rPr>
              <w:t>100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518" w:rsidRPr="00211B6A" w:rsidP="0011643A" w14:paraId="2647C257" w14:textId="77777777">
            <w:pPr>
              <w:jc w:val="center"/>
              <w:rPr>
                <w:rFonts w:eastAsia="Calibri"/>
                <w:bCs/>
                <w:color w:val="4472C4"/>
              </w:rPr>
            </w:pPr>
            <w:r w:rsidRPr="00211B6A">
              <w:rPr>
                <w:rFonts w:eastAsia="Calibri"/>
                <w:bCs/>
                <w:color w:val="4472C4"/>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518" w:rsidRPr="00211B6A" w:rsidP="0011643A" w14:paraId="29F74625" w14:textId="77777777">
            <w:pPr>
              <w:jc w:val="center"/>
              <w:rPr>
                <w:rFonts w:eastAsia="Calibri"/>
                <w:bCs/>
                <w:color w:val="4472C4"/>
              </w:rPr>
            </w:pPr>
            <w:r w:rsidRPr="00211B6A">
              <w:rPr>
                <w:rFonts w:eastAsia="Calibri"/>
                <w:bCs/>
                <w:color w:val="4472C4"/>
              </w:rPr>
              <w:t>1</w:t>
            </w:r>
            <w:r>
              <w:rPr>
                <w:rFonts w:eastAsia="Calibri"/>
                <w:bCs/>
                <w:color w:val="4472C4"/>
              </w:rPr>
              <w:t>00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518" w:rsidRPr="00211B6A" w:rsidP="0011643A" w14:paraId="0E4AB84F" w14:textId="77777777">
            <w:pPr>
              <w:jc w:val="center"/>
              <w:rPr>
                <w:rFonts w:eastAsia="Calibri"/>
                <w:bCs/>
                <w:color w:val="4472C4"/>
              </w:rPr>
            </w:pPr>
            <w:r>
              <w:rPr>
                <w:rFonts w:eastAsia="Calibri"/>
                <w:bCs/>
                <w:color w:val="4472C4"/>
              </w:rPr>
              <w:t>10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518" w:rsidRPr="00211B6A" w:rsidP="0011643A" w14:paraId="638D7162" w14:textId="77777777">
            <w:pPr>
              <w:jc w:val="center"/>
              <w:rPr>
                <w:rFonts w:eastAsia="Calibri"/>
                <w:bCs/>
                <w:color w:val="4472C4"/>
              </w:rPr>
            </w:pPr>
            <w:r>
              <w:rPr>
                <w:rFonts w:eastAsia="Calibri"/>
                <w:bCs/>
                <w:color w:val="4472C4"/>
              </w:rPr>
              <w:t>10</w:t>
            </w:r>
            <w:r>
              <w:rPr>
                <w:rFonts w:eastAsia="Calibri"/>
                <w:bCs/>
                <w:color w:val="4472C4"/>
              </w:rPr>
              <w:t>00</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518" w:rsidRPr="00211B6A" w:rsidP="0011643A" w14:paraId="4443AFC4" w14:textId="77777777">
            <w:pPr>
              <w:jc w:val="center"/>
              <w:rPr>
                <w:rFonts w:eastAsia="Calibri"/>
                <w:bCs/>
                <w:color w:val="4472C4"/>
              </w:rPr>
            </w:pPr>
            <w:r w:rsidRPr="00211B6A">
              <w:rPr>
                <w:rFonts w:eastAsia="Calibri"/>
                <w:bCs/>
                <w:color w:val="4472C4"/>
              </w:rPr>
              <w:t>$38.92</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518" w:rsidRPr="00211B6A" w:rsidP="0011643A" w14:paraId="73BAD302" w14:textId="77777777">
            <w:pPr>
              <w:jc w:val="center"/>
              <w:rPr>
                <w:rFonts w:eastAsia="Calibri"/>
                <w:bCs/>
                <w:color w:val="4472C4"/>
              </w:rPr>
            </w:pPr>
            <w:r w:rsidRPr="00211B6A">
              <w:rPr>
                <w:rFonts w:eastAsia="Calibri"/>
                <w:bCs/>
                <w:color w:val="4472C4"/>
              </w:rPr>
              <w:t>$</w:t>
            </w:r>
            <w:r w:rsidR="002202E2">
              <w:rPr>
                <w:rFonts w:eastAsia="Calibri"/>
                <w:bCs/>
                <w:color w:val="4472C4"/>
              </w:rPr>
              <w:t>38,920</w:t>
            </w:r>
          </w:p>
        </w:tc>
      </w:tr>
      <w:tr w14:paraId="45E1EAB3" w14:textId="77777777" w:rsidTr="0041023B">
        <w:tblPrEx>
          <w:tblW w:w="9540" w:type="dxa"/>
          <w:tblInd w:w="260" w:type="dxa"/>
          <w:tblLayout w:type="fixed"/>
          <w:tblCellMar>
            <w:left w:w="0" w:type="dxa"/>
            <w:right w:w="0" w:type="dxa"/>
          </w:tblCellMar>
          <w:tblLook w:val="04A0"/>
        </w:tblPrEx>
        <w:trPr>
          <w:trHeight w:val="648"/>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4885" w:rsidP="0011643A" w14:paraId="1EEC586B" w14:textId="77777777">
            <w:pPr>
              <w:jc w:val="center"/>
              <w:rPr>
                <w:rFonts w:eastAsia="Calibri"/>
                <w:bCs/>
                <w:color w:val="4472C4"/>
              </w:rPr>
            </w:pPr>
            <w:r>
              <w:rPr>
                <w:rFonts w:eastAsia="Calibri"/>
                <w:bCs/>
                <w:color w:val="4472C4"/>
              </w:rPr>
              <w:t xml:space="preserve">NOFO </w:t>
            </w:r>
            <w:r>
              <w:rPr>
                <w:rFonts w:eastAsia="Calibri"/>
                <w:bCs/>
                <w:color w:val="4472C4"/>
              </w:rPr>
              <w:t>Certifications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6C08D28A" w14:textId="77777777">
            <w:pPr>
              <w:jc w:val="center"/>
              <w:rPr>
                <w:rFonts w:eastAsia="Calibri"/>
                <w:bCs/>
                <w:color w:val="4472C4"/>
              </w:rPr>
            </w:pPr>
            <w:r>
              <w:rPr>
                <w:rFonts w:eastAsia="Calibri"/>
                <w:bCs/>
                <w:color w:val="4472C4"/>
              </w:rPr>
              <w:t>100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2981F7E3" w14:textId="77777777">
            <w:pPr>
              <w:jc w:val="center"/>
              <w:rPr>
                <w:rFonts w:eastAsia="Calibri"/>
                <w:bCs/>
                <w:color w:val="4472C4"/>
              </w:rPr>
            </w:pPr>
            <w:r>
              <w:rPr>
                <w:rFonts w:eastAsia="Calibri"/>
                <w:bCs/>
                <w:color w:val="4472C4"/>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7A0F8DC3" w14:textId="77777777">
            <w:pPr>
              <w:jc w:val="center"/>
              <w:rPr>
                <w:rFonts w:eastAsia="Calibri"/>
                <w:bCs/>
                <w:color w:val="4472C4"/>
              </w:rPr>
            </w:pPr>
            <w:r>
              <w:rPr>
                <w:rFonts w:eastAsia="Calibri"/>
                <w:bCs/>
                <w:color w:val="4472C4"/>
              </w:rPr>
              <w:t>100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41BE6AED" w14:textId="77777777">
            <w:pPr>
              <w:jc w:val="center"/>
              <w:rPr>
                <w:rFonts w:eastAsia="Calibri"/>
                <w:bCs/>
                <w:color w:val="4472C4"/>
              </w:rPr>
            </w:pPr>
            <w:r>
              <w:rPr>
                <w:rFonts w:eastAsia="Calibri"/>
                <w:bCs/>
                <w:color w:val="4472C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4118CDF4" w14:textId="77777777">
            <w:pPr>
              <w:jc w:val="center"/>
              <w:rPr>
                <w:rFonts w:eastAsia="Calibri"/>
                <w:bCs/>
                <w:color w:val="4472C4"/>
              </w:rPr>
            </w:pPr>
            <w:r>
              <w:rPr>
                <w:rFonts w:eastAsia="Calibri"/>
                <w:bCs/>
                <w:color w:val="4472C4"/>
              </w:rPr>
              <w:t>100</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6FA1EAE5" w14:textId="77777777">
            <w:pPr>
              <w:jc w:val="center"/>
              <w:rPr>
                <w:rFonts w:eastAsia="Calibri"/>
                <w:bCs/>
                <w:color w:val="4472C4"/>
              </w:rPr>
            </w:pPr>
            <w:r>
              <w:rPr>
                <w:rFonts w:eastAsia="Calibri"/>
                <w:bCs/>
                <w:color w:val="4472C4"/>
              </w:rPr>
              <w:t>$38.92</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RPr="00211B6A" w:rsidP="0011643A" w14:paraId="31BD4A8E" w14:textId="77777777">
            <w:pPr>
              <w:jc w:val="center"/>
              <w:rPr>
                <w:rFonts w:eastAsia="Calibri"/>
                <w:bCs/>
                <w:color w:val="4472C4"/>
              </w:rPr>
            </w:pPr>
            <w:r>
              <w:rPr>
                <w:rFonts w:eastAsia="Calibri"/>
                <w:bCs/>
                <w:color w:val="4472C4"/>
              </w:rPr>
              <w:t>$3,892</w:t>
            </w:r>
          </w:p>
        </w:tc>
      </w:tr>
      <w:tr w14:paraId="4C894B96" w14:textId="77777777" w:rsidTr="0041023B">
        <w:tblPrEx>
          <w:tblW w:w="9540" w:type="dxa"/>
          <w:tblInd w:w="260" w:type="dxa"/>
          <w:tblLayout w:type="fixed"/>
          <w:tblCellMar>
            <w:left w:w="0" w:type="dxa"/>
            <w:right w:w="0" w:type="dxa"/>
          </w:tblCellMar>
          <w:tblLook w:val="04A0"/>
        </w:tblPrEx>
        <w:trPr>
          <w:trHeight w:val="648"/>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4885" w:rsidP="0011643A" w14:paraId="06F5A8F3" w14:textId="77777777">
            <w:pPr>
              <w:jc w:val="center"/>
              <w:rPr>
                <w:rFonts w:eastAsia="Calibri"/>
                <w:bCs/>
                <w:color w:val="4472C4"/>
              </w:rPr>
            </w:pPr>
            <w:r>
              <w:rPr>
                <w:rFonts w:eastAsia="Calibri"/>
                <w:bCs/>
                <w:color w:val="4472C4"/>
              </w:rPr>
              <w:t>Total</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195F368A" w14:textId="77777777">
            <w:pPr>
              <w:jc w:val="center"/>
              <w:rPr>
                <w:rFonts w:eastAsia="Calibri"/>
                <w:bCs/>
                <w:color w:val="4472C4"/>
              </w:rPr>
            </w:pPr>
            <w:r>
              <w:rPr>
                <w:rFonts w:eastAsia="Calibri"/>
                <w:bCs/>
                <w:color w:val="4472C4"/>
              </w:rPr>
              <w:t>100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74BC11D0" w14:textId="77777777">
            <w:pPr>
              <w:jc w:val="center"/>
              <w:rPr>
                <w:rFonts w:eastAsia="Calibri"/>
                <w:bCs/>
                <w:color w:val="4472C4"/>
              </w:rPr>
            </w:pPr>
            <w:r>
              <w:rPr>
                <w:rFonts w:eastAsia="Calibri"/>
                <w:bCs/>
                <w:color w:val="4472C4"/>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6E0455EA" w14:textId="77777777">
            <w:pPr>
              <w:jc w:val="center"/>
              <w:rPr>
                <w:rFonts w:eastAsia="Calibri"/>
                <w:bCs/>
                <w:color w:val="4472C4"/>
              </w:rPr>
            </w:pPr>
            <w:r>
              <w:rPr>
                <w:rFonts w:eastAsia="Calibri"/>
                <w:bCs/>
                <w:color w:val="4472C4"/>
              </w:rPr>
              <w:t>100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3760EDDD" w14:textId="77777777">
            <w:pPr>
              <w:jc w:val="center"/>
              <w:rPr>
                <w:rFonts w:eastAsia="Calibri"/>
                <w:bCs/>
                <w:color w:val="4472C4"/>
              </w:rPr>
            </w:pPr>
            <w:r>
              <w:rPr>
                <w:rFonts w:eastAsia="Calibri"/>
                <w:bCs/>
                <w:color w:val="4472C4"/>
              </w:rPr>
              <w:t>11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1C921ADE" w14:textId="77777777">
            <w:pPr>
              <w:jc w:val="center"/>
              <w:rPr>
                <w:rFonts w:eastAsia="Calibri"/>
                <w:bCs/>
                <w:color w:val="4472C4"/>
              </w:rPr>
            </w:pPr>
            <w:r>
              <w:rPr>
                <w:rFonts w:eastAsia="Calibri"/>
                <w:bCs/>
                <w:color w:val="4472C4"/>
              </w:rPr>
              <w:t>11</w:t>
            </w:r>
            <w:r w:rsidR="004B1E01">
              <w:rPr>
                <w:rFonts w:eastAsia="Calibri"/>
                <w:bCs/>
                <w:color w:val="4472C4"/>
              </w:rPr>
              <w:t>00</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P="0011643A" w14:paraId="2C1D797C" w14:textId="77777777">
            <w:pPr>
              <w:jc w:val="center"/>
              <w:rPr>
                <w:rFonts w:eastAsia="Calibri"/>
                <w:bCs/>
                <w:color w:val="4472C4"/>
              </w:rPr>
            </w:pPr>
            <w:r>
              <w:rPr>
                <w:rFonts w:eastAsia="Calibri"/>
                <w:bCs/>
                <w:color w:val="4472C4"/>
              </w:rPr>
              <w:t>$38.92</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4885" w:rsidRPr="00211B6A" w:rsidP="0011643A" w14:paraId="01CA64CA" w14:textId="77777777">
            <w:pPr>
              <w:jc w:val="center"/>
              <w:rPr>
                <w:rFonts w:eastAsia="Calibri"/>
                <w:bCs/>
                <w:color w:val="4472C4"/>
              </w:rPr>
            </w:pPr>
            <w:r>
              <w:rPr>
                <w:rFonts w:eastAsia="Calibri"/>
                <w:bCs/>
                <w:color w:val="4472C4"/>
              </w:rPr>
              <w:t>$</w:t>
            </w:r>
            <w:r w:rsidR="002202E2">
              <w:rPr>
                <w:rFonts w:eastAsia="Calibri"/>
                <w:bCs/>
                <w:color w:val="4472C4"/>
              </w:rPr>
              <w:t>42,812</w:t>
            </w:r>
          </w:p>
        </w:tc>
      </w:tr>
    </w:tbl>
    <w:bookmarkEnd w:id="3"/>
    <w:p w:rsidR="00CD0D28" w:rsidRPr="0041023B" w:rsidP="0041023B" w14:paraId="4A2587CB" w14:textId="77777777">
      <w:pPr>
        <w:keepLines/>
        <w:tabs>
          <w:tab w:val="left" w:pos="360"/>
          <w:tab w:val="left" w:pos="720"/>
          <w:tab w:val="center" w:pos="1680"/>
          <w:tab w:val="center" w:pos="3120"/>
          <w:tab w:val="center" w:pos="4560"/>
          <w:tab w:val="center" w:pos="6000"/>
          <w:tab w:val="center" w:pos="7440"/>
          <w:tab w:val="center" w:pos="8880"/>
        </w:tabs>
        <w:ind w:left="360"/>
        <w:rPr>
          <w:i/>
          <w:iCs/>
          <w:color w:val="4472C4"/>
          <w:sz w:val="22"/>
          <w:szCs w:val="22"/>
        </w:rPr>
      </w:pPr>
      <w:r w:rsidRPr="0041023B">
        <w:rPr>
          <w:i/>
          <w:iCs/>
          <w:color w:val="4472C4"/>
          <w:sz w:val="22"/>
          <w:szCs w:val="22"/>
        </w:rPr>
        <w:t>* Given that the nature of the applicants is unknown at this time, HUD estimates the cost per response to average around OPMs supplied GS-13 base pay level (locality pay not included). While NOFO applicants may vary in experience, pay, and possibly industry, HUD believes that the average range of pay across the respondents will fall closely within the GS-13 pay range.</w:t>
      </w:r>
    </w:p>
    <w:bookmarkEnd w:id="2"/>
    <w:p w:rsidR="0041023B" w:rsidRPr="00211B6A" w:rsidP="00CD0D28" w14:paraId="1CD76079" w14:textId="77777777">
      <w:pPr>
        <w:keepLines/>
        <w:tabs>
          <w:tab w:val="left" w:pos="360"/>
          <w:tab w:val="left" w:pos="720"/>
          <w:tab w:val="center" w:pos="1680"/>
          <w:tab w:val="center" w:pos="3120"/>
          <w:tab w:val="center" w:pos="4560"/>
          <w:tab w:val="center" w:pos="6000"/>
          <w:tab w:val="center" w:pos="7440"/>
          <w:tab w:val="center" w:pos="8880"/>
        </w:tabs>
        <w:rPr>
          <w:color w:val="4472C4"/>
          <w:sz w:val="24"/>
          <w:szCs w:val="24"/>
        </w:rPr>
      </w:pPr>
    </w:p>
    <w:p w:rsidR="009E13B1" w:rsidRPr="006C7FAE" w14:paraId="0D9CC0C0"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Pr="006C7FAE" w14:paraId="519B4178"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w:t>
      </w:r>
      <w:r w:rsidRPr="006C7FAE">
        <w:rPr>
          <w:sz w:val="24"/>
          <w:szCs w:val="24"/>
        </w:rPr>
        <w:t xml:space="preserve">information such as purchasing computers and software; monitoring, sampling, drilling and testing equipment; and record storage facilities; </w:t>
      </w:r>
    </w:p>
    <w:p w:rsidR="009E13B1" w:rsidRPr="006C7FAE" w14:paraId="4C2B6984"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6C7FAE" w14:paraId="387BCD63"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E13B1" w:rsidRPr="00211B6A" w:rsidP="00CD0D28" w14:paraId="0083200B" w14:textId="77777777">
      <w:pPr>
        <w:keepLines/>
        <w:tabs>
          <w:tab w:val="left" w:pos="360"/>
          <w:tab w:val="left" w:pos="720"/>
        </w:tabs>
        <w:rPr>
          <w:color w:val="4472C4"/>
          <w:sz w:val="24"/>
          <w:szCs w:val="24"/>
        </w:rPr>
      </w:pPr>
      <w:r>
        <w:rPr>
          <w:color w:val="4472C4"/>
          <w:sz w:val="24"/>
          <w:szCs w:val="24"/>
        </w:rPr>
        <w:t>We do not anticipate any capital or start up costs needed as the projects should be ongoing. A successful applicant will have already started work on the project but needs an additional infusion of funds to help move the project to completion.</w:t>
      </w:r>
    </w:p>
    <w:p w:rsidR="00CD0D28" w:rsidRPr="006C7FAE" w14:paraId="4170E7A4" w14:textId="77777777">
      <w:pPr>
        <w:keepLines/>
        <w:tabs>
          <w:tab w:val="left" w:pos="360"/>
          <w:tab w:val="left" w:pos="720"/>
        </w:tabs>
        <w:ind w:left="360"/>
        <w:rPr>
          <w:sz w:val="24"/>
          <w:szCs w:val="24"/>
        </w:rPr>
      </w:pPr>
    </w:p>
    <w:p w:rsidR="009E13B1" w14:paraId="23734769"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15DAB" w:rsidRPr="00211B6A" w:rsidP="00C15DAB" w14:paraId="18875B5E" w14:textId="77777777">
      <w:pPr>
        <w:keepLines/>
        <w:tabs>
          <w:tab w:val="left" w:pos="360"/>
        </w:tabs>
        <w:spacing w:after="80"/>
        <w:rPr>
          <w:color w:val="4472C4"/>
          <w:sz w:val="24"/>
          <w:szCs w:val="24"/>
        </w:rPr>
      </w:pPr>
      <w:r>
        <w:rPr>
          <w:color w:val="4472C4"/>
          <w:sz w:val="24"/>
          <w:szCs w:val="24"/>
        </w:rPr>
        <w:t>The cost to the Federal government</w:t>
      </w:r>
      <w:r w:rsidR="00796408">
        <w:rPr>
          <w:color w:val="4472C4"/>
          <w:sz w:val="24"/>
          <w:szCs w:val="24"/>
        </w:rPr>
        <w:t xml:space="preserve"> is for dedicated staff hours. Staff will review applications during business hours so no overtime costs should be incurred. </w:t>
      </w:r>
      <w:r w:rsidR="00F50E08">
        <w:rPr>
          <w:color w:val="4472C4"/>
          <w:sz w:val="24"/>
          <w:szCs w:val="24"/>
        </w:rPr>
        <w:t>Based on previous HUD NOFO collection review information, i</w:t>
      </w:r>
      <w:r w:rsidR="00796408">
        <w:rPr>
          <w:color w:val="4472C4"/>
          <w:sz w:val="24"/>
          <w:szCs w:val="24"/>
        </w:rPr>
        <w:t xml:space="preserve">t is expected that staff will </w:t>
      </w:r>
      <w:r w:rsidR="00910CD8">
        <w:rPr>
          <w:color w:val="4472C4"/>
          <w:sz w:val="24"/>
          <w:szCs w:val="24"/>
        </w:rPr>
        <w:t xml:space="preserve">collectively </w:t>
      </w:r>
      <w:r w:rsidR="00796408">
        <w:rPr>
          <w:color w:val="4472C4"/>
          <w:sz w:val="24"/>
          <w:szCs w:val="24"/>
        </w:rPr>
        <w:t xml:space="preserve">spend </w:t>
      </w:r>
      <w:r w:rsidR="00F50E08">
        <w:rPr>
          <w:color w:val="4472C4"/>
          <w:sz w:val="24"/>
          <w:szCs w:val="24"/>
        </w:rPr>
        <w:t>about 15</w:t>
      </w:r>
      <w:r w:rsidR="00796408">
        <w:rPr>
          <w:color w:val="4472C4"/>
          <w:sz w:val="24"/>
          <w:szCs w:val="24"/>
        </w:rPr>
        <w:t xml:space="preserve"> hours to complete the threshold, QC, and Full reviews of </w:t>
      </w:r>
      <w:r w:rsidR="00F46282">
        <w:rPr>
          <w:color w:val="4472C4"/>
          <w:sz w:val="24"/>
          <w:szCs w:val="24"/>
        </w:rPr>
        <w:t xml:space="preserve">each </w:t>
      </w:r>
      <w:r w:rsidR="00796408">
        <w:rPr>
          <w:color w:val="4472C4"/>
          <w:sz w:val="24"/>
          <w:szCs w:val="24"/>
        </w:rPr>
        <w:t>application. Equipment costs are already allocated, and the agency should not incur any new costs associated with the collection of applications. The applications are collected through grants.gov and will be stored on a SharePoint site during the review period. There will be no printed materials. The table below shows the estimated cost of this application collection.</w:t>
      </w:r>
    </w:p>
    <w:p w:rsidR="00167E53" w:rsidRPr="00211B6A" w:rsidP="00167E53" w14:paraId="1BC8DEEC" w14:textId="77777777">
      <w:pPr>
        <w:overflowPunct/>
        <w:autoSpaceDE/>
        <w:autoSpaceDN/>
        <w:adjustRightInd/>
        <w:spacing w:after="80"/>
        <w:ind w:left="360"/>
        <w:textAlignment w:val="auto"/>
        <w:rPr>
          <w:rFonts w:eastAsia="Calibri"/>
          <w:color w:val="4472C4"/>
        </w:rPr>
      </w:pPr>
    </w:p>
    <w:p w:rsidR="00F50E08" w:rsidP="0041023B" w14:paraId="041CB8F0" w14:textId="77777777">
      <w:pPr>
        <w:pStyle w:val="Caption"/>
        <w:keepNext/>
      </w:pPr>
      <w:r>
        <w:t xml:space="preserve">Table </w:t>
      </w:r>
      <w:r>
        <w:fldChar w:fldCharType="begin"/>
      </w:r>
      <w:r>
        <w:instrText xml:space="preserve"> SEQ Table \* ARABIC </w:instrText>
      </w:r>
      <w:r>
        <w:fldChar w:fldCharType="separate"/>
      </w:r>
      <w:r w:rsidR="0041023B">
        <w:rPr>
          <w:noProof/>
        </w:rPr>
        <w:t>2</w:t>
      </w:r>
      <w:r w:rsidR="0041023B">
        <w:rPr>
          <w:noProof/>
        </w:rPr>
        <w:fldChar w:fldCharType="end"/>
      </w:r>
      <w:r>
        <w:t xml:space="preserve">: </w:t>
      </w:r>
      <w:r w:rsidR="0041023B">
        <w:t xml:space="preserve">Estimated </w:t>
      </w:r>
      <w:r>
        <w:t>HUD Burden</w:t>
      </w:r>
    </w:p>
    <w:tbl>
      <w:tblPr>
        <w:tblW w:w="9540" w:type="dxa"/>
        <w:tblInd w:w="260" w:type="dxa"/>
        <w:tblLayout w:type="fixed"/>
        <w:tblCellMar>
          <w:left w:w="0" w:type="dxa"/>
          <w:right w:w="0" w:type="dxa"/>
        </w:tblCellMar>
        <w:tblLook w:val="04A0"/>
      </w:tblPr>
      <w:tblGrid>
        <w:gridCol w:w="1440"/>
        <w:gridCol w:w="1260"/>
        <w:gridCol w:w="1260"/>
        <w:gridCol w:w="1260"/>
        <w:gridCol w:w="1080"/>
        <w:gridCol w:w="1080"/>
        <w:gridCol w:w="1108"/>
        <w:gridCol w:w="1052"/>
      </w:tblGrid>
      <w:tr w14:paraId="7186D24E" w14:textId="77777777" w:rsidTr="0041023B">
        <w:tblPrEx>
          <w:tblW w:w="9540" w:type="dxa"/>
          <w:tblInd w:w="260" w:type="dxa"/>
          <w:tblLayout w:type="fixed"/>
          <w:tblCellMar>
            <w:left w:w="0" w:type="dxa"/>
            <w:right w:w="0" w:type="dxa"/>
          </w:tblCellMar>
          <w:tblLook w:val="04A0"/>
        </w:tblPrEx>
        <w:trPr>
          <w:trHeight w:val="648"/>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0D28" w:rsidRPr="00211B6A" w:rsidP="00211B6A" w14:paraId="5CEF8150" w14:textId="77777777">
            <w:pPr>
              <w:jc w:val="center"/>
              <w:rPr>
                <w:rFonts w:eastAsia="Calibri"/>
                <w:bCs/>
                <w:color w:val="4472C4"/>
              </w:rPr>
            </w:pPr>
            <w:r w:rsidRPr="00211B6A">
              <w:rPr>
                <w:rFonts w:eastAsia="Calibri"/>
                <w:bCs/>
                <w:color w:val="4472C4"/>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0D28" w:rsidRPr="00211B6A" w:rsidP="00211B6A" w14:paraId="6B40C7C1" w14:textId="77777777">
            <w:pPr>
              <w:jc w:val="center"/>
              <w:rPr>
                <w:rFonts w:eastAsia="Calibri"/>
                <w:bCs/>
                <w:color w:val="4472C4"/>
              </w:rPr>
            </w:pPr>
            <w:r w:rsidRPr="00211B6A">
              <w:rPr>
                <w:rFonts w:eastAsia="Calibri"/>
                <w:bCs/>
                <w:color w:val="4472C4"/>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0D28" w:rsidRPr="00211B6A" w:rsidP="00211B6A" w14:paraId="2F3C3452" w14:textId="77777777">
            <w:pPr>
              <w:jc w:val="center"/>
              <w:rPr>
                <w:rFonts w:eastAsia="Calibri"/>
                <w:bCs/>
                <w:color w:val="4472C4"/>
              </w:rPr>
            </w:pPr>
            <w:r w:rsidRPr="00211B6A">
              <w:rPr>
                <w:rFonts w:eastAsia="Calibri"/>
                <w:bCs/>
                <w:color w:val="4472C4"/>
              </w:rPr>
              <w:t>Frequency of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0D28" w:rsidRPr="00211B6A" w:rsidP="00211B6A" w14:paraId="33AFF559" w14:textId="77777777">
            <w:pPr>
              <w:jc w:val="center"/>
              <w:rPr>
                <w:rFonts w:eastAsia="Calibri"/>
                <w:bCs/>
                <w:color w:val="4472C4"/>
              </w:rPr>
            </w:pPr>
            <w:r w:rsidRPr="00211B6A">
              <w:rPr>
                <w:rFonts w:eastAsia="Calibri"/>
                <w:bCs/>
                <w:color w:val="4472C4"/>
              </w:rPr>
              <w:t>Responses</w:t>
            </w:r>
          </w:p>
          <w:p w:rsidR="00CD0D28" w:rsidRPr="00211B6A" w:rsidP="00211B6A" w14:paraId="00641CB8" w14:textId="77777777">
            <w:pPr>
              <w:jc w:val="center"/>
              <w:rPr>
                <w:rFonts w:eastAsia="Calibri"/>
                <w:bCs/>
                <w:color w:val="4472C4"/>
              </w:rPr>
            </w:pPr>
            <w:r w:rsidRPr="00211B6A">
              <w:rPr>
                <w:rFonts w:eastAsia="Calibri"/>
                <w:bCs/>
                <w:color w:val="4472C4"/>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0D28" w:rsidRPr="00211B6A" w:rsidP="00211B6A" w14:paraId="1BAE79F7" w14:textId="77777777">
            <w:pPr>
              <w:jc w:val="center"/>
              <w:rPr>
                <w:rFonts w:eastAsia="Calibri"/>
                <w:bCs/>
                <w:color w:val="4472C4"/>
              </w:rPr>
            </w:pPr>
            <w:r w:rsidRPr="00211B6A">
              <w:rPr>
                <w:rFonts w:eastAsia="Calibri"/>
                <w:bCs/>
                <w:color w:val="4472C4"/>
              </w:rPr>
              <w:t>Burden Hour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0D28" w:rsidRPr="00211B6A" w:rsidP="00211B6A" w14:paraId="0F89B846" w14:textId="77777777">
            <w:pPr>
              <w:jc w:val="center"/>
              <w:rPr>
                <w:rFonts w:eastAsia="Calibri"/>
                <w:bCs/>
                <w:color w:val="4472C4"/>
              </w:rPr>
            </w:pPr>
            <w:r w:rsidRPr="00211B6A">
              <w:rPr>
                <w:rFonts w:eastAsia="Calibri"/>
                <w:bCs/>
                <w:color w:val="4472C4"/>
              </w:rPr>
              <w:t>Annual Burden Hours</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0D28" w:rsidRPr="00211B6A" w:rsidP="00211B6A" w14:paraId="316F187E" w14:textId="77777777">
            <w:pPr>
              <w:jc w:val="center"/>
              <w:rPr>
                <w:rFonts w:eastAsia="Calibri"/>
                <w:bCs/>
                <w:color w:val="4472C4"/>
              </w:rPr>
            </w:pPr>
            <w:r w:rsidRPr="00211B6A">
              <w:rPr>
                <w:rFonts w:eastAsia="Calibri"/>
                <w:bCs/>
                <w:color w:val="4472C4"/>
              </w:rPr>
              <w:t>Hourly Cost Per Response</w:t>
            </w:r>
            <w:r w:rsidR="00F50E08">
              <w:rPr>
                <w:rFonts w:eastAsia="Calibri"/>
                <w:bCs/>
                <w:color w:val="4472C4"/>
              </w:rPr>
              <w:t>*</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0D28" w:rsidRPr="00211B6A" w:rsidP="00211B6A" w14:paraId="0E0B630F" w14:textId="77777777">
            <w:pPr>
              <w:jc w:val="center"/>
              <w:rPr>
                <w:rFonts w:eastAsia="Calibri"/>
                <w:bCs/>
                <w:color w:val="4472C4"/>
              </w:rPr>
            </w:pPr>
            <w:r w:rsidRPr="00211B6A">
              <w:rPr>
                <w:rFonts w:eastAsia="Calibri"/>
                <w:bCs/>
                <w:color w:val="4472C4"/>
              </w:rPr>
              <w:t>Annual Cost</w:t>
            </w:r>
          </w:p>
          <w:p w:rsidR="00CD0D28" w:rsidRPr="00211B6A" w:rsidP="00211B6A" w14:paraId="65E3DC49" w14:textId="77777777">
            <w:pPr>
              <w:jc w:val="center"/>
              <w:rPr>
                <w:rFonts w:eastAsia="Calibri"/>
                <w:bCs/>
                <w:color w:val="4472C4"/>
              </w:rPr>
            </w:pPr>
          </w:p>
        </w:tc>
      </w:tr>
      <w:tr w14:paraId="4B3D1FA9" w14:textId="77777777" w:rsidTr="0041023B">
        <w:tblPrEx>
          <w:tblW w:w="9540" w:type="dxa"/>
          <w:tblInd w:w="260" w:type="dxa"/>
          <w:tblLayout w:type="fixed"/>
          <w:tblCellMar>
            <w:left w:w="0" w:type="dxa"/>
            <w:right w:w="0" w:type="dxa"/>
          </w:tblCellMar>
          <w:tblLook w:val="04A0"/>
        </w:tblPrEx>
        <w:trPr>
          <w:trHeight w:val="648"/>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0D28" w:rsidRPr="00211B6A" w:rsidP="00211B6A" w14:paraId="5C3EE8DB" w14:textId="77777777">
            <w:pPr>
              <w:jc w:val="center"/>
              <w:rPr>
                <w:rFonts w:eastAsia="Calibri"/>
                <w:bCs/>
                <w:color w:val="4472C4"/>
              </w:rPr>
            </w:pPr>
            <w:r>
              <w:rPr>
                <w:rFonts w:eastAsia="Calibri"/>
                <w:bCs/>
                <w:color w:val="4472C4"/>
              </w:rPr>
              <w:t>NOFO</w:t>
            </w:r>
            <w:r w:rsidR="004B1E01">
              <w:rPr>
                <w:rFonts w:eastAsia="Calibri"/>
                <w:bCs/>
                <w:color w:val="4472C4"/>
              </w:rPr>
              <w:t xml:space="preserve"> Review</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0D28" w:rsidRPr="00211B6A" w:rsidP="00211B6A" w14:paraId="7477F066" w14:textId="77777777">
            <w:pPr>
              <w:jc w:val="center"/>
              <w:rPr>
                <w:rFonts w:eastAsia="Calibri"/>
                <w:bCs/>
                <w:color w:val="4472C4"/>
              </w:rPr>
            </w:pPr>
            <w:r w:rsidRPr="00211B6A">
              <w:rPr>
                <w:rFonts w:eastAsia="Calibri"/>
                <w:bCs/>
                <w:color w:val="4472C4"/>
              </w:rPr>
              <w:t>100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0D28" w:rsidRPr="00211B6A" w:rsidP="00211B6A" w14:paraId="384E66E6" w14:textId="77777777">
            <w:pPr>
              <w:jc w:val="center"/>
              <w:rPr>
                <w:rFonts w:eastAsia="Calibri"/>
                <w:bCs/>
                <w:color w:val="4472C4"/>
              </w:rPr>
            </w:pPr>
            <w:r w:rsidRPr="00211B6A">
              <w:rPr>
                <w:rFonts w:eastAsia="Calibri"/>
                <w:bCs/>
                <w:color w:val="4472C4"/>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0D28" w:rsidRPr="00211B6A" w:rsidP="00211B6A" w14:paraId="32CE6A7C" w14:textId="77777777">
            <w:pPr>
              <w:jc w:val="center"/>
              <w:rPr>
                <w:rFonts w:eastAsia="Calibri"/>
                <w:bCs/>
                <w:color w:val="4472C4"/>
              </w:rPr>
            </w:pPr>
            <w:r w:rsidRPr="00211B6A">
              <w:rPr>
                <w:rFonts w:eastAsia="Calibri"/>
                <w:bCs/>
                <w:color w:val="4472C4"/>
              </w:rPr>
              <w:t>1</w:t>
            </w:r>
            <w:r w:rsidR="00910CD8">
              <w:rPr>
                <w:rFonts w:eastAsia="Calibri"/>
                <w:bCs/>
                <w:color w:val="4472C4"/>
              </w:rPr>
              <w:t>00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0D28" w:rsidRPr="00211B6A" w:rsidP="00211B6A" w14:paraId="33D7E439" w14:textId="77777777">
            <w:pPr>
              <w:jc w:val="center"/>
              <w:rPr>
                <w:rFonts w:eastAsia="Calibri"/>
                <w:bCs/>
                <w:color w:val="4472C4"/>
              </w:rPr>
            </w:pPr>
            <w:r>
              <w:rPr>
                <w:rFonts w:eastAsia="Calibri"/>
                <w:bCs/>
                <w:color w:val="4472C4"/>
              </w:rPr>
              <w:t>15</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0D28" w:rsidRPr="00211B6A" w:rsidP="00211B6A" w14:paraId="7C5B3BFD" w14:textId="77777777">
            <w:pPr>
              <w:jc w:val="center"/>
              <w:rPr>
                <w:rFonts w:eastAsia="Calibri"/>
                <w:bCs/>
                <w:color w:val="4472C4"/>
              </w:rPr>
            </w:pPr>
            <w:r>
              <w:rPr>
                <w:rFonts w:eastAsia="Calibri"/>
                <w:bCs/>
                <w:color w:val="4472C4"/>
              </w:rPr>
              <w:t>1500</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0D28" w:rsidRPr="00211B6A" w:rsidP="00211B6A" w14:paraId="53195E95" w14:textId="77777777">
            <w:pPr>
              <w:jc w:val="center"/>
              <w:rPr>
                <w:rFonts w:eastAsia="Calibri"/>
                <w:bCs/>
                <w:color w:val="4472C4"/>
              </w:rPr>
            </w:pPr>
            <w:r w:rsidRPr="00211B6A">
              <w:rPr>
                <w:rFonts w:eastAsia="Calibri"/>
                <w:bCs/>
                <w:color w:val="4472C4"/>
              </w:rPr>
              <w:t>$38.92</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0D28" w:rsidRPr="00211B6A" w:rsidP="00211B6A" w14:paraId="0F4E55C5" w14:textId="77777777">
            <w:pPr>
              <w:jc w:val="center"/>
              <w:rPr>
                <w:rFonts w:eastAsia="Calibri"/>
                <w:bCs/>
                <w:color w:val="4472C4"/>
              </w:rPr>
            </w:pPr>
            <w:r>
              <w:rPr>
                <w:rFonts w:eastAsia="Calibri"/>
                <w:bCs/>
                <w:color w:val="4472C4"/>
              </w:rPr>
              <w:t>$</w:t>
            </w:r>
            <w:r w:rsidR="00F50E08">
              <w:rPr>
                <w:rFonts w:eastAsia="Calibri"/>
                <w:bCs/>
                <w:color w:val="4472C4"/>
              </w:rPr>
              <w:t>58,380</w:t>
            </w:r>
          </w:p>
        </w:tc>
      </w:tr>
    </w:tbl>
    <w:p w:rsidR="009E13B1" w:rsidRPr="00DC1116" w:rsidP="0041023B" w14:paraId="02F47FF9" w14:textId="77777777">
      <w:pPr>
        <w:keepLines/>
        <w:tabs>
          <w:tab w:val="left" w:pos="360"/>
          <w:tab w:val="left" w:pos="720"/>
        </w:tabs>
        <w:rPr>
          <w:i/>
          <w:iCs/>
        </w:rPr>
      </w:pPr>
      <w:r w:rsidRPr="0041023B">
        <w:rPr>
          <w:i/>
          <w:iCs/>
        </w:rPr>
        <w:t>*HUD burden cost is based on OPMs 2022 furnished salaries for GS-13 level employees</w:t>
      </w:r>
      <w:r w:rsidR="0041023B">
        <w:rPr>
          <w:i/>
          <w:iCs/>
        </w:rPr>
        <w:t xml:space="preserve"> (locality pay not included)</w:t>
      </w:r>
      <w:r w:rsidRPr="0041023B">
        <w:rPr>
          <w:i/>
          <w:iCs/>
        </w:rPr>
        <w:t>. Given that salary grades may vary across panel review teams, HUD believes the GS-13 pay</w:t>
      </w:r>
      <w:r w:rsidRPr="0041023B" w:rsidR="0041023B">
        <w:rPr>
          <w:i/>
          <w:iCs/>
        </w:rPr>
        <w:t xml:space="preserve"> level is an accurate average across review teams. So</w:t>
      </w:r>
      <w:r w:rsidR="0041023B">
        <w:rPr>
          <w:i/>
          <w:iCs/>
        </w:rPr>
        <w:t>me</w:t>
      </w:r>
      <w:r w:rsidRPr="0041023B" w:rsidR="0041023B">
        <w:rPr>
          <w:i/>
          <w:iCs/>
        </w:rPr>
        <w:t xml:space="preserve"> reviewers </w:t>
      </w:r>
      <w:r w:rsidRPr="00DC1116" w:rsidR="0041023B">
        <w:rPr>
          <w:i/>
          <w:iCs/>
        </w:rPr>
        <w:t>may make more or less than the stated burden cost.</w:t>
      </w:r>
      <w:r w:rsidRPr="00DC1116">
        <w:rPr>
          <w:i/>
          <w:iCs/>
        </w:rPr>
        <w:t xml:space="preserve"> </w:t>
      </w:r>
    </w:p>
    <w:p w:rsidR="009E13B1" w14:paraId="78DE244F" w14:textId="77777777">
      <w:pPr>
        <w:tabs>
          <w:tab w:val="left" w:pos="360"/>
        </w:tabs>
        <w:ind w:left="360" w:hanging="360"/>
        <w:rPr>
          <w:sz w:val="24"/>
          <w:szCs w:val="24"/>
        </w:rPr>
      </w:pPr>
    </w:p>
    <w:p w:rsidR="006C7FAE" w:rsidRPr="006C7FAE" w14:paraId="7D23D505" w14:textId="77777777">
      <w:pPr>
        <w:tabs>
          <w:tab w:val="left" w:pos="360"/>
        </w:tabs>
        <w:ind w:left="360" w:hanging="360"/>
        <w:rPr>
          <w:sz w:val="24"/>
          <w:szCs w:val="24"/>
        </w:rPr>
      </w:pPr>
    </w:p>
    <w:p w:rsidR="009E13B1" w14:paraId="62B02E5B"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C15DAB" w:rsidRPr="00211B6A" w14:paraId="1BEF378C" w14:textId="77777777">
      <w:pPr>
        <w:keepLines/>
        <w:tabs>
          <w:tab w:val="left" w:pos="360"/>
        </w:tabs>
        <w:spacing w:after="80"/>
        <w:ind w:left="360" w:hanging="360"/>
        <w:rPr>
          <w:color w:val="4472C4"/>
          <w:sz w:val="24"/>
          <w:szCs w:val="24"/>
        </w:rPr>
      </w:pPr>
      <w:r w:rsidRPr="00211B6A">
        <w:rPr>
          <w:color w:val="4472C4"/>
          <w:sz w:val="24"/>
          <w:szCs w:val="24"/>
        </w:rPr>
        <w:t>Not applicable</w:t>
      </w:r>
    </w:p>
    <w:p w:rsidR="009E13B1" w:rsidRPr="006C7FAE" w14:paraId="4332AB35" w14:textId="77777777">
      <w:pPr>
        <w:keepLines/>
        <w:tabs>
          <w:tab w:val="left" w:pos="360"/>
          <w:tab w:val="left" w:pos="720"/>
        </w:tabs>
        <w:ind w:left="360"/>
        <w:rPr>
          <w:sz w:val="24"/>
          <w:szCs w:val="24"/>
        </w:rPr>
      </w:pPr>
    </w:p>
    <w:p w:rsidR="009E13B1" w:rsidRPr="006C7FAE" w14:paraId="09DEF6A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rsidRPr="00211B6A" w:rsidP="00C15DAB" w14:paraId="49AA56AA" w14:textId="77777777">
      <w:pPr>
        <w:tabs>
          <w:tab w:val="left" w:pos="360"/>
        </w:tabs>
        <w:rPr>
          <w:color w:val="4472C4"/>
          <w:sz w:val="24"/>
          <w:szCs w:val="24"/>
        </w:rPr>
      </w:pPr>
      <w:r>
        <w:rPr>
          <w:color w:val="4472C4"/>
          <w:sz w:val="24"/>
          <w:szCs w:val="24"/>
        </w:rPr>
        <w:t xml:space="preserve">In accordance with the Uniform Administrative Requirements, 2 CFR 200.212(a) and the statutory requirements for Federal Spending Transparency (e.g. FFATA), except as noted in this section, for applicable Federal awards the Federal awarding agency must announce all federal awarding publicly and publish the required information on a publicly available OMB-designated governmentwide website. </w:t>
      </w:r>
      <w:r w:rsidR="00F46282">
        <w:rPr>
          <w:color w:val="4472C4"/>
          <w:sz w:val="24"/>
          <w:szCs w:val="24"/>
        </w:rPr>
        <w:t>T</w:t>
      </w:r>
      <w:r w:rsidRPr="00211B6A" w:rsidR="00FB3A37">
        <w:rPr>
          <w:color w:val="4472C4"/>
          <w:sz w:val="24"/>
          <w:szCs w:val="24"/>
        </w:rPr>
        <w:t>he awardee information will be posted in the Federal Register. Panelists will review and score each application</w:t>
      </w:r>
      <w:r w:rsidR="00EB18DF">
        <w:rPr>
          <w:color w:val="4472C4"/>
          <w:sz w:val="24"/>
          <w:szCs w:val="24"/>
        </w:rPr>
        <w:t xml:space="preserve"> in accordance with the HUD Reform Act</w:t>
      </w:r>
      <w:r w:rsidRPr="00211B6A" w:rsidR="00FB3A37">
        <w:rPr>
          <w:color w:val="4472C4"/>
          <w:sz w:val="24"/>
          <w:szCs w:val="24"/>
        </w:rPr>
        <w:t xml:space="preserve"> to ensure they meet threshold and application requirements</w:t>
      </w:r>
      <w:r w:rsidR="00903D92">
        <w:rPr>
          <w:color w:val="4472C4"/>
          <w:sz w:val="24"/>
          <w:szCs w:val="24"/>
        </w:rPr>
        <w:t>.</w:t>
      </w:r>
      <w:r>
        <w:rPr>
          <w:color w:val="4472C4"/>
          <w:sz w:val="24"/>
          <w:szCs w:val="24"/>
        </w:rPr>
        <w:t xml:space="preserve"> While we do not know the actual dates the NOFO will be posted, it will be made available to the public for a period not </w:t>
      </w:r>
      <w:r w:rsidR="00F403A7">
        <w:rPr>
          <w:color w:val="4472C4"/>
          <w:sz w:val="24"/>
          <w:szCs w:val="24"/>
        </w:rPr>
        <w:t xml:space="preserve">to </w:t>
      </w:r>
      <w:r>
        <w:rPr>
          <w:color w:val="4472C4"/>
          <w:sz w:val="24"/>
          <w:szCs w:val="24"/>
        </w:rPr>
        <w:t>exceed 90 days. Upon the end of the posting period, the NOFO applications will be reviewed</w:t>
      </w:r>
      <w:r w:rsidR="00F403A7">
        <w:rPr>
          <w:color w:val="4472C4"/>
          <w:sz w:val="24"/>
          <w:szCs w:val="24"/>
        </w:rPr>
        <w:t xml:space="preserve"> and ranked. Those applications meeting the requirements of the NOFO can expect to be awarded no later than 90 days from the end of the application window.</w:t>
      </w:r>
    </w:p>
    <w:p w:rsidR="00C15DAB" w:rsidRPr="006C7FAE" w14:paraId="26CB8F5A" w14:textId="77777777">
      <w:pPr>
        <w:tabs>
          <w:tab w:val="left" w:pos="360"/>
        </w:tabs>
        <w:ind w:left="360" w:hanging="360"/>
        <w:rPr>
          <w:sz w:val="24"/>
          <w:szCs w:val="24"/>
        </w:rPr>
      </w:pPr>
    </w:p>
    <w:p w:rsidR="009E13B1" w:rsidRPr="006C7FAE" w14:paraId="6A473022"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E13B1" w:rsidRPr="00211B6A" w:rsidP="00FB3A37" w14:paraId="480E6A48" w14:textId="77777777">
      <w:pPr>
        <w:keepLines/>
        <w:tabs>
          <w:tab w:val="left" w:pos="360"/>
          <w:tab w:val="left" w:pos="720"/>
        </w:tabs>
        <w:rPr>
          <w:color w:val="4472C4"/>
          <w:sz w:val="24"/>
          <w:szCs w:val="24"/>
        </w:rPr>
      </w:pPr>
      <w:r w:rsidRPr="00211B6A">
        <w:rPr>
          <w:color w:val="4472C4"/>
          <w:sz w:val="24"/>
          <w:szCs w:val="24"/>
        </w:rPr>
        <w:t>Not applicable</w:t>
      </w:r>
    </w:p>
    <w:p w:rsidR="00FB3A37" w:rsidRPr="00211B6A" w:rsidP="00FB3A37" w14:paraId="6C103581" w14:textId="77777777">
      <w:pPr>
        <w:keepLines/>
        <w:tabs>
          <w:tab w:val="left" w:pos="360"/>
          <w:tab w:val="left" w:pos="720"/>
        </w:tabs>
        <w:rPr>
          <w:color w:val="4472C4"/>
          <w:sz w:val="24"/>
          <w:szCs w:val="24"/>
        </w:rPr>
      </w:pPr>
    </w:p>
    <w:p w:rsidR="009E13B1" w:rsidRPr="006C7FAE" w14:paraId="44E17E8A"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9E13B1" w:rsidRPr="00211B6A" w:rsidP="00FB3A37" w14:paraId="19C04489" w14:textId="77777777">
      <w:pPr>
        <w:keepLines/>
        <w:tabs>
          <w:tab w:val="left" w:pos="360"/>
          <w:tab w:val="left" w:pos="720"/>
        </w:tabs>
        <w:rPr>
          <w:color w:val="4472C4"/>
          <w:sz w:val="24"/>
          <w:szCs w:val="24"/>
        </w:rPr>
      </w:pPr>
      <w:r w:rsidRPr="00211B6A">
        <w:rPr>
          <w:color w:val="4472C4"/>
          <w:sz w:val="24"/>
          <w:szCs w:val="24"/>
        </w:rPr>
        <w:t>Not Applicable</w:t>
      </w:r>
    </w:p>
    <w:p w:rsidR="009E13B1" w:rsidRPr="006C7FAE" w14:paraId="0011EB6E" w14:textId="77777777">
      <w:pPr>
        <w:tabs>
          <w:tab w:val="left" w:pos="360"/>
          <w:tab w:val="left" w:pos="720"/>
        </w:tabs>
        <w:rPr>
          <w:sz w:val="24"/>
          <w:szCs w:val="24"/>
        </w:rPr>
      </w:pPr>
    </w:p>
    <w:p w:rsidR="009E13B1" w:rsidRPr="006C7FAE" w:rsidP="00167E53" w14:paraId="4A817C27"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60CD74F8"/>
    <w:multiLevelType w:val="hybridMultilevel"/>
    <w:tmpl w:val="5F247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671689149">
    <w:abstractNumId w:val="4"/>
  </w:num>
  <w:num w:numId="2" w16cid:durableId="32772334">
    <w:abstractNumId w:val="2"/>
  </w:num>
  <w:num w:numId="3" w16cid:durableId="1039671234">
    <w:abstractNumId w:val="8"/>
  </w:num>
  <w:num w:numId="4" w16cid:durableId="439957797">
    <w:abstractNumId w:val="5"/>
  </w:num>
  <w:num w:numId="5" w16cid:durableId="1832063362">
    <w:abstractNumId w:val="6"/>
  </w:num>
  <w:num w:numId="6" w16cid:durableId="1443845720">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952443910">
    <w:abstractNumId w:val="3"/>
  </w:num>
  <w:num w:numId="8" w16cid:durableId="898788841">
    <w:abstractNumId w:val="12"/>
  </w:num>
  <w:num w:numId="9" w16cid:durableId="1416628120">
    <w:abstractNumId w:val="1"/>
  </w:num>
  <w:num w:numId="10" w16cid:durableId="1953127678">
    <w:abstractNumId w:val="11"/>
  </w:num>
  <w:num w:numId="11" w16cid:durableId="1336230872">
    <w:abstractNumId w:val="10"/>
  </w:num>
  <w:num w:numId="12" w16cid:durableId="181288702">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604416421">
    <w:abstractNumId w:val="7"/>
  </w:num>
  <w:num w:numId="14" w16cid:durableId="161192954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635988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7"/>
  <w:removePersonalInformation/>
  <w:removeDateAndTime/>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6142"/>
    <w:rsid w:val="0002544C"/>
    <w:rsid w:val="000827CB"/>
    <w:rsid w:val="000A1639"/>
    <w:rsid w:val="000E00A8"/>
    <w:rsid w:val="000E2A89"/>
    <w:rsid w:val="00116053"/>
    <w:rsid w:val="0011643A"/>
    <w:rsid w:val="00131F5B"/>
    <w:rsid w:val="00155CC0"/>
    <w:rsid w:val="00161717"/>
    <w:rsid w:val="00167E53"/>
    <w:rsid w:val="001C1759"/>
    <w:rsid w:val="001D16AB"/>
    <w:rsid w:val="001D5225"/>
    <w:rsid w:val="001F3D3A"/>
    <w:rsid w:val="00211B6A"/>
    <w:rsid w:val="002202E2"/>
    <w:rsid w:val="0024464F"/>
    <w:rsid w:val="00245069"/>
    <w:rsid w:val="00254518"/>
    <w:rsid w:val="00256603"/>
    <w:rsid w:val="002C5442"/>
    <w:rsid w:val="002C61E7"/>
    <w:rsid w:val="002D4885"/>
    <w:rsid w:val="002F6CE8"/>
    <w:rsid w:val="003077E7"/>
    <w:rsid w:val="00340823"/>
    <w:rsid w:val="00356E6B"/>
    <w:rsid w:val="00360090"/>
    <w:rsid w:val="003706CE"/>
    <w:rsid w:val="00371D10"/>
    <w:rsid w:val="0040297A"/>
    <w:rsid w:val="0041023B"/>
    <w:rsid w:val="00414BD7"/>
    <w:rsid w:val="0042798E"/>
    <w:rsid w:val="004416C6"/>
    <w:rsid w:val="00450591"/>
    <w:rsid w:val="00474F00"/>
    <w:rsid w:val="00482815"/>
    <w:rsid w:val="004B1E01"/>
    <w:rsid w:val="004B3DCD"/>
    <w:rsid w:val="004C25E4"/>
    <w:rsid w:val="004E0B7B"/>
    <w:rsid w:val="00510E3B"/>
    <w:rsid w:val="005156B0"/>
    <w:rsid w:val="00577C1D"/>
    <w:rsid w:val="005A2E4F"/>
    <w:rsid w:val="006107BB"/>
    <w:rsid w:val="006416E3"/>
    <w:rsid w:val="00647A86"/>
    <w:rsid w:val="006B7674"/>
    <w:rsid w:val="006C7FAE"/>
    <w:rsid w:val="00712BDD"/>
    <w:rsid w:val="00771F81"/>
    <w:rsid w:val="00796408"/>
    <w:rsid w:val="007B3A11"/>
    <w:rsid w:val="007B4B70"/>
    <w:rsid w:val="0082180F"/>
    <w:rsid w:val="00834401"/>
    <w:rsid w:val="008848A2"/>
    <w:rsid w:val="00891907"/>
    <w:rsid w:val="008A53EB"/>
    <w:rsid w:val="008C20DF"/>
    <w:rsid w:val="00903D92"/>
    <w:rsid w:val="00910CD8"/>
    <w:rsid w:val="009124BF"/>
    <w:rsid w:val="0093585B"/>
    <w:rsid w:val="00951FE0"/>
    <w:rsid w:val="0098520E"/>
    <w:rsid w:val="009A0BA1"/>
    <w:rsid w:val="009A4BD2"/>
    <w:rsid w:val="009E0C3E"/>
    <w:rsid w:val="009E13B1"/>
    <w:rsid w:val="00A418F7"/>
    <w:rsid w:val="00A5550A"/>
    <w:rsid w:val="00A903F7"/>
    <w:rsid w:val="00A904A6"/>
    <w:rsid w:val="00A97B92"/>
    <w:rsid w:val="00AA087C"/>
    <w:rsid w:val="00AD65E9"/>
    <w:rsid w:val="00B01940"/>
    <w:rsid w:val="00B04BA6"/>
    <w:rsid w:val="00B12386"/>
    <w:rsid w:val="00B226E9"/>
    <w:rsid w:val="00B61AAB"/>
    <w:rsid w:val="00BC10AF"/>
    <w:rsid w:val="00BD08FA"/>
    <w:rsid w:val="00BD3245"/>
    <w:rsid w:val="00C15DAB"/>
    <w:rsid w:val="00C43F3B"/>
    <w:rsid w:val="00C833D7"/>
    <w:rsid w:val="00CD0D28"/>
    <w:rsid w:val="00CD751E"/>
    <w:rsid w:val="00CE1567"/>
    <w:rsid w:val="00CE77CB"/>
    <w:rsid w:val="00D15ACD"/>
    <w:rsid w:val="00D20E69"/>
    <w:rsid w:val="00D33FA8"/>
    <w:rsid w:val="00DC1116"/>
    <w:rsid w:val="00DE40D3"/>
    <w:rsid w:val="00DE6977"/>
    <w:rsid w:val="00E228D8"/>
    <w:rsid w:val="00E709AF"/>
    <w:rsid w:val="00E8272F"/>
    <w:rsid w:val="00E87DA5"/>
    <w:rsid w:val="00EB18DF"/>
    <w:rsid w:val="00EE7F77"/>
    <w:rsid w:val="00F27C8F"/>
    <w:rsid w:val="00F30DAD"/>
    <w:rsid w:val="00F403A7"/>
    <w:rsid w:val="00F46282"/>
    <w:rsid w:val="00F50E08"/>
    <w:rsid w:val="00FA0120"/>
    <w:rsid w:val="00FB3A37"/>
    <w:rsid w:val="00FF34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4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Revision">
    <w:name w:val="Revision"/>
    <w:hidden/>
    <w:uiPriority w:val="99"/>
    <w:semiHidden/>
    <w:rsid w:val="007B4B70"/>
  </w:style>
  <w:style w:type="character" w:styleId="CommentReference">
    <w:name w:val="annotation reference"/>
    <w:semiHidden/>
    <w:unhideWhenUsed/>
    <w:rsid w:val="007B4B70"/>
    <w:rPr>
      <w:sz w:val="16"/>
      <w:szCs w:val="16"/>
    </w:rPr>
  </w:style>
  <w:style w:type="paragraph" w:styleId="CommentText">
    <w:name w:val="annotation text"/>
    <w:basedOn w:val="Normal"/>
    <w:link w:val="CommentTextChar"/>
    <w:unhideWhenUsed/>
    <w:rsid w:val="007B4B70"/>
  </w:style>
  <w:style w:type="character" w:customStyle="1" w:styleId="CommentTextChar">
    <w:name w:val="Comment Text Char"/>
    <w:basedOn w:val="DefaultParagraphFont"/>
    <w:link w:val="CommentText"/>
    <w:rsid w:val="007B4B70"/>
  </w:style>
  <w:style w:type="paragraph" w:styleId="CommentSubject">
    <w:name w:val="annotation subject"/>
    <w:basedOn w:val="CommentText"/>
    <w:next w:val="CommentText"/>
    <w:link w:val="CommentSubjectChar"/>
    <w:uiPriority w:val="99"/>
    <w:semiHidden/>
    <w:unhideWhenUsed/>
    <w:rsid w:val="007B4B70"/>
    <w:rPr>
      <w:b/>
      <w:bCs/>
    </w:rPr>
  </w:style>
  <w:style w:type="character" w:customStyle="1" w:styleId="CommentSubjectChar">
    <w:name w:val="Comment Subject Char"/>
    <w:link w:val="CommentSubject"/>
    <w:uiPriority w:val="99"/>
    <w:semiHidden/>
    <w:rsid w:val="007B4B70"/>
    <w:rPr>
      <w:b/>
      <w:bCs/>
    </w:rPr>
  </w:style>
  <w:style w:type="paragraph" w:customStyle="1" w:styleId="pf0">
    <w:name w:val="pf0"/>
    <w:basedOn w:val="Normal"/>
    <w:rsid w:val="00E8272F"/>
    <w:pPr>
      <w:overflowPunct/>
      <w:autoSpaceDE/>
      <w:autoSpaceDN/>
      <w:adjustRightInd/>
      <w:spacing w:before="100" w:beforeAutospacing="1" w:after="100" w:afterAutospacing="1"/>
      <w:textAlignment w:val="auto"/>
    </w:pPr>
    <w:rPr>
      <w:sz w:val="24"/>
      <w:szCs w:val="24"/>
    </w:rPr>
  </w:style>
  <w:style w:type="character" w:customStyle="1" w:styleId="cf01">
    <w:name w:val="cf01"/>
    <w:rsid w:val="00E8272F"/>
    <w:rPr>
      <w:rFonts w:ascii="Segoe UI" w:hAnsi="Segoe UI" w:cs="Segoe UI" w:hint="default"/>
      <w:i/>
      <w:iCs/>
      <w:sz w:val="18"/>
      <w:szCs w:val="18"/>
    </w:rPr>
  </w:style>
  <w:style w:type="paragraph" w:styleId="Caption">
    <w:name w:val="caption"/>
    <w:basedOn w:val="Normal"/>
    <w:next w:val="Normal"/>
    <w:uiPriority w:val="35"/>
    <w:unhideWhenUsed/>
    <w:qFormat/>
    <w:rsid w:val="00F50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29DB75002698409B40D3BA6619CA0F" ma:contentTypeVersion="15" ma:contentTypeDescription="Create a new document." ma:contentTypeScope="" ma:versionID="14f45f118f57ac88ff056e316a3eed56">
  <xsd:schema xmlns:xsd="http://www.w3.org/2001/XMLSchema" xmlns:xs="http://www.w3.org/2001/XMLSchema" xmlns:p="http://schemas.microsoft.com/office/2006/metadata/properties" xmlns:ns2="ff8eb4d5-823a-4586-b1aa-8c53c93af297" xmlns:ns3="9aa893cc-c39f-4330-9bc8-227960a9e323" targetNamespace="http://schemas.microsoft.com/office/2006/metadata/properties" ma:root="true" ma:fieldsID="6533d646fc0c71a6caf632edb774c6bd" ns2:_="" ns3:_="">
    <xsd:import namespace="ff8eb4d5-823a-4586-b1aa-8c53c93af297"/>
    <xsd:import namespace="9aa893cc-c39f-4330-9bc8-227960a9e323"/>
    <xsd:element name="properties">
      <xsd:complexType>
        <xsd:sequence>
          <xsd:element name="documentManagement">
            <xsd:complexType>
              <xsd:all>
                <xsd:element ref="ns2:MediaServiceMetadata" minOccurs="0"/>
                <xsd:element ref="ns2:MediaServiceFastMetadata" minOccurs="0"/>
                <xsd:element ref="ns2:DocumentType" minOccurs="0"/>
                <xsd:element ref="ns3:SharedWithUsers" minOccurs="0"/>
                <xsd:element ref="ns3:SharedWithDetails" minOccurs="0"/>
                <xsd:element ref="ns2:Category" minOccurs="0"/>
                <xsd:element ref="ns2:Long_x0020_Descrip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eb4d5-823a-4586-b1aa-8c53c93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restriction base="dms:Text">
          <xsd:maxLength value="255"/>
        </xsd:restriction>
      </xsd:simpleType>
    </xsd:element>
    <xsd:element name="Category" ma:index="13" nillable="true" ma:displayName="Category" ma:internalName="Category">
      <xsd:complexType>
        <xsd:complexContent>
          <xsd:extension base="dms:MultiChoice">
            <xsd:sequence>
              <xsd:element name="Value" maxOccurs="unbounded" minOccurs="0" nillable="true">
                <xsd:simpleType>
                  <xsd:restriction base="dms:Choice">
                    <xsd:enumeration value="Administration"/>
                    <xsd:enumeration value="Correspondence"/>
                    <xsd:enumeration value="Memo"/>
                    <xsd:enumeration value="Policy"/>
                    <xsd:enumeration value="Systems"/>
                    <xsd:enumeration value="IDIS"/>
                    <xsd:enumeration value="DRGR"/>
                    <xsd:enumeration value="TA"/>
                    <xsd:enumeration value="State CDBG"/>
                    <xsd:enumeration value="RHP"/>
                    <xsd:enumeration value="CDBG-CV"/>
                    <xsd:enumeration value="Section 3"/>
                    <xsd:enumeration value="Entitlement"/>
                    <xsd:enumeration value="Grants"/>
                  </xsd:restriction>
                </xsd:simpleType>
              </xsd:element>
            </xsd:sequence>
          </xsd:extension>
        </xsd:complexContent>
      </xsd:complexType>
    </xsd:element>
    <xsd:element name="Long_x0020_Description" ma:index="14" nillable="true" ma:displayName="Document Description" ma:format="Dropdown" ma:internalName="Long_x0020_Description">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93cc-c39f-4330-9bc8-227960a9e3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53774-0580-4bc1-97a7-80ba39ab1907}" ma:internalName="TaxCatchAll" ma:showField="CatchAllData" ma:web="9aa893cc-c39f-4330-9bc8-227960a9e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ong_x0020_Description xmlns="ff8eb4d5-823a-4586-b1aa-8c53c93af297" xsi:nil="true"/>
    <DocumentType xmlns="ff8eb4d5-823a-4586-b1aa-8c53c93af297" xsi:nil="true"/>
    <Category xmlns="ff8eb4d5-823a-4586-b1aa-8c53c93af297" xsi:nil="true"/>
    <lcf76f155ced4ddcb4097134ff3c332f xmlns="ff8eb4d5-823a-4586-b1aa-8c53c93af297">
      <Terms xmlns="http://schemas.microsoft.com/office/infopath/2007/PartnerControls"/>
    </lcf76f155ced4ddcb4097134ff3c332f>
    <TaxCatchAll xmlns="9aa893cc-c39f-4330-9bc8-227960a9e323" xsi:nil="true"/>
  </documentManagement>
</p:properties>
</file>

<file path=customXml/itemProps1.xml><?xml version="1.0" encoding="utf-8"?>
<ds:datastoreItem xmlns:ds="http://schemas.openxmlformats.org/officeDocument/2006/customXml" ds:itemID="{C8D0DD15-9C8E-4203-AECD-208F03546C43}">
  <ds:schemaRefs>
    <ds:schemaRef ds:uri="http://schemas.openxmlformats.org/officeDocument/2006/bibliography"/>
  </ds:schemaRefs>
</ds:datastoreItem>
</file>

<file path=customXml/itemProps2.xml><?xml version="1.0" encoding="utf-8"?>
<ds:datastoreItem xmlns:ds="http://schemas.openxmlformats.org/officeDocument/2006/customXml" ds:itemID="{6689B77A-05D0-4761-B721-3413700A5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eb4d5-823a-4586-b1aa-8c53c93af297"/>
    <ds:schemaRef ds:uri="9aa893cc-c39f-4330-9bc8-227960a9e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F125F-E4B0-4AE1-8EDA-3659564128AF}">
  <ds:schemaRefs>
    <ds:schemaRef ds:uri="http://schemas.microsoft.com/sharepoint/v3/contenttype/forms"/>
  </ds:schemaRefs>
</ds:datastoreItem>
</file>

<file path=customXml/itemProps4.xml><?xml version="1.0" encoding="utf-8"?>
<ds:datastoreItem xmlns:ds="http://schemas.openxmlformats.org/officeDocument/2006/customXml" ds:itemID="{56D16DF4-1F48-48CB-8575-EFF4B05A76E9}">
  <ds:schemaRefs>
    <ds:schemaRef ds:uri="http://schemas.microsoft.com/office/2006/metadata/longProperties"/>
  </ds:schemaRefs>
</ds:datastoreItem>
</file>

<file path=customXml/itemProps5.xml><?xml version="1.0" encoding="utf-8"?>
<ds:datastoreItem xmlns:ds="http://schemas.openxmlformats.org/officeDocument/2006/customXml" ds:itemID="{AF63666C-392C-4EEC-84DE-D58C4A71B7EB}">
  <ds:schemaRefs>
    <ds:schemaRef ds:uri="http://schemas.microsoft.com/office/2006/metadata/properties"/>
    <ds:schemaRef ds:uri="http://schemas.microsoft.com/office/infopath/2007/PartnerControls"/>
    <ds:schemaRef ds:uri="391a0e0c-4638-4a3c-862f-c948ea5dc120"/>
    <ds:schemaRef ds:uri="ff8eb4d5-823a-4586-b1aa-8c53c93af297"/>
    <ds:schemaRef ds:uri="9aa893cc-c39f-4330-9bc8-227960a9e3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3269</Words>
  <Characters>18634</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2023-07-20T01:01:00Z</dcterms:created>
  <dcterms:modified xsi:type="dcterms:W3CDTF">2023-08-01T14:51:00Z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ContentTypeId">
    <vt:lpwstr>0x010100DF29DB75002698409B40D3BA6619CA0F</vt:lpwstr>
  </property>
  <property fmtid="{D5CDD505-2E9C-101B-9397-08002B2CF9AE}" pid="4" name="DocumentType">
    <vt:lpwstr/>
  </property>
  <property fmtid="{D5CDD505-2E9C-101B-9397-08002B2CF9AE}" pid="5" name="lcf76f155ced4ddcb4097134ff3c332f">
    <vt:lpwstr/>
  </property>
  <property fmtid="{D5CDD505-2E9C-101B-9397-08002B2CF9AE}" pid="6" name="Long Description">
    <vt:lpwstr/>
  </property>
  <property fmtid="{D5CDD505-2E9C-101B-9397-08002B2CF9AE}" pid="7" name="MediaServiceImageTags">
    <vt:lpwstr/>
  </property>
  <property fmtid="{D5CDD505-2E9C-101B-9397-08002B2CF9AE}" pid="8" name="TaxCatchAll">
    <vt:lpwstr/>
  </property>
</Properties>
</file>