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69B" w:rsidP="00CD169B" w14:paraId="5AA9AB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D169B" w:rsidRPr="00062094" w:rsidP="00CD169B" w14:paraId="3C7575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D73217">
        <w:rPr>
          <w:rFonts w:ascii="Helvetica" w:hAnsi="Helvetica"/>
          <w:b/>
          <w:sz w:val="28"/>
        </w:rPr>
        <w:t xml:space="preserve">    </w:t>
      </w:r>
      <w:r w:rsidRPr="00062094">
        <w:rPr>
          <w:rFonts w:ascii="Helvetica" w:hAnsi="Helvetica"/>
          <w:b/>
          <w:sz w:val="24"/>
          <w:szCs w:val="24"/>
        </w:rPr>
        <w:t>Project-Based Voucher (PBV) Housing Assistance Payment (HAP) Contract Data Collection</w:t>
      </w:r>
    </w:p>
    <w:p w:rsidR="00CD169B" w:rsidRPr="00062094" w:rsidP="00CD169B" w14:paraId="013170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062094">
        <w:rPr>
          <w:rFonts w:ascii="Helvetica" w:hAnsi="Helvetica"/>
          <w:b/>
          <w:sz w:val="24"/>
          <w:szCs w:val="24"/>
        </w:rPr>
        <w:t>OMB Control Number: 2577-0296</w:t>
      </w:r>
    </w:p>
    <w:p w:rsidR="00CD169B" w:rsidP="00CD169B" w14:paraId="60C05B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D169B" w:rsidRPr="00C20477" w:rsidP="00CD169B" w14:paraId="4E8FD68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C20477">
        <w:rPr>
          <w:b/>
          <w:sz w:val="22"/>
          <w:szCs w:val="22"/>
        </w:rPr>
        <w:t xml:space="preserve">A. </w:t>
      </w:r>
      <w:r w:rsidRPr="00C20477">
        <w:rPr>
          <w:b/>
          <w:sz w:val="22"/>
          <w:szCs w:val="22"/>
        </w:rPr>
        <w:tab/>
        <w:t>Justi</w:t>
      </w:r>
      <w:r w:rsidRPr="00C20477">
        <w:rPr>
          <w:b/>
          <w:color w:val="000000"/>
          <w:sz w:val="22"/>
          <w:szCs w:val="22"/>
        </w:rPr>
        <w:t>fication</w:t>
      </w:r>
    </w:p>
    <w:p w:rsidR="00CD169B" w:rsidP="00CD169B" w14:paraId="7F2661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CD169B" w:rsidP="00CD169B" w14:paraId="7E7623AA" w14:textId="77777777">
      <w:pPr>
        <w:keepLines/>
        <w:tabs>
          <w:tab w:val="left" w:pos="360"/>
        </w:tabs>
        <w:spacing w:after="80"/>
        <w:ind w:left="360" w:hanging="360"/>
        <w:rPr>
          <w:color w:val="000000"/>
          <w:sz w:val="22"/>
        </w:rPr>
      </w:pPr>
      <w:r w:rsidRPr="00484EEA">
        <w:rPr>
          <w:b/>
          <w:bCs/>
          <w:color w:val="000000"/>
          <w:sz w:val="18"/>
        </w:rPr>
        <w:t>1.</w:t>
      </w:r>
      <w:r w:rsidRPr="00484EEA">
        <w:rPr>
          <w:b/>
          <w:bCs/>
          <w:color w:val="000000"/>
          <w:sz w:val="18"/>
        </w:rPr>
        <w:tab/>
      </w:r>
      <w:r w:rsidRPr="00484EEA">
        <w:rPr>
          <w:b/>
          <w:bCs/>
          <w:color w:val="000000"/>
          <w:sz w:val="22"/>
        </w:rPr>
        <w:t>Why is this information necessary?  Identify any legal or administrative requirements that necessitate the collection.  Attach a copy of the appropriate section of each statute and regulation mandating/authorizing the collection of information.</w:t>
      </w:r>
    </w:p>
    <w:p w:rsidR="00CD169B" w:rsidRPr="00484EEA" w:rsidP="00CD169B" w14:paraId="15432054" w14:textId="77777777">
      <w:pPr>
        <w:keepLines/>
        <w:tabs>
          <w:tab w:val="left" w:pos="360"/>
        </w:tabs>
        <w:spacing w:after="80"/>
        <w:ind w:left="360"/>
        <w:rPr>
          <w:rStyle w:val="eop"/>
          <w:color w:val="000000"/>
          <w:sz w:val="22"/>
          <w:szCs w:val="22"/>
          <w:shd w:val="clear" w:color="auto" w:fill="FFFFFF"/>
        </w:rPr>
      </w:pPr>
      <w:r w:rsidRPr="00484EEA">
        <w:rPr>
          <w:rStyle w:val="normaltextrun"/>
          <w:color w:val="000000"/>
          <w:sz w:val="22"/>
          <w:szCs w:val="22"/>
          <w:shd w:val="clear" w:color="auto" w:fill="FFFFFF"/>
        </w:rPr>
        <w:t xml:space="preserve">In the past </w:t>
      </w:r>
      <w:r>
        <w:rPr>
          <w:rStyle w:val="normaltextrun"/>
          <w:color w:val="000000"/>
          <w:sz w:val="22"/>
          <w:szCs w:val="22"/>
          <w:shd w:val="clear" w:color="auto" w:fill="FFFFFF"/>
        </w:rPr>
        <w:t>6</w:t>
      </w:r>
      <w:r w:rsidRPr="00484EEA">
        <w:rPr>
          <w:rStyle w:val="normaltextrun"/>
          <w:color w:val="000000"/>
          <w:sz w:val="22"/>
          <w:szCs w:val="22"/>
          <w:shd w:val="clear" w:color="auto" w:fill="FFFFFF"/>
        </w:rPr>
        <w:t xml:space="preserve"> years, the share of Project Based-Vouchers (PBVs) has grown from approximately 5 percent of the Housing Choice Voucher program to </w:t>
      </w:r>
      <w:r>
        <w:rPr>
          <w:rStyle w:val="normaltextrun"/>
          <w:color w:val="000000"/>
          <w:sz w:val="22"/>
          <w:szCs w:val="22"/>
          <w:shd w:val="clear" w:color="auto" w:fill="FFFFFF"/>
        </w:rPr>
        <w:t>over 13.2</w:t>
      </w:r>
      <w:r w:rsidRPr="00484EEA">
        <w:rPr>
          <w:rStyle w:val="normaltextrun"/>
          <w:color w:val="000000"/>
          <w:sz w:val="22"/>
          <w:szCs w:val="22"/>
          <w:shd w:val="clear" w:color="auto" w:fill="FFFFFF"/>
        </w:rPr>
        <w:t xml:space="preserve"> percent of the HCV Program. Along with this growth, repositioning vehicles like RAD and legislation like the Housing Opportunities through Modernization Act (HOTMA) have increased the complexity of administering PBVs.  Repositioning has also created a new level of risk for PBVs as a growing part of the PBV portfolio consists of units which were constructed with HUD funds and are supposed to remain affordable in perpetuity. HUD’s tracking and monitoring of these projects has not increased commensurately to match the program’s growing size and complexity.  This creates an</w:t>
      </w:r>
      <w:r>
        <w:rPr>
          <w:rStyle w:val="normaltextrun"/>
          <w:color w:val="000000"/>
          <w:sz w:val="22"/>
          <w:szCs w:val="22"/>
          <w:shd w:val="clear" w:color="auto" w:fill="FFFFFF"/>
        </w:rPr>
        <w:t xml:space="preserve"> </w:t>
      </w:r>
      <w:r w:rsidRPr="00484EEA">
        <w:rPr>
          <w:rStyle w:val="normaltextrun"/>
          <w:color w:val="000000"/>
          <w:sz w:val="22"/>
          <w:szCs w:val="22"/>
          <w:shd w:val="clear" w:color="auto" w:fill="FFFFFF"/>
        </w:rPr>
        <w:t>information</w:t>
      </w:r>
      <w:r>
        <w:rPr>
          <w:rStyle w:val="normaltextrun"/>
          <w:color w:val="000000"/>
          <w:sz w:val="22"/>
          <w:szCs w:val="22"/>
          <w:shd w:val="clear" w:color="auto" w:fill="FFFFFF"/>
        </w:rPr>
        <w:t xml:space="preserve"> </w:t>
      </w:r>
      <w:r w:rsidRPr="00484EEA">
        <w:rPr>
          <w:rStyle w:val="normaltextrun"/>
          <w:color w:val="000000"/>
          <w:sz w:val="22"/>
          <w:szCs w:val="22"/>
          <w:shd w:val="clear" w:color="auto" w:fill="FFFFFF"/>
        </w:rPr>
        <w:t>deficiency that could increase risk and impede HUD’s ability to monitor this critical component of the HCV program.</w:t>
      </w:r>
      <w:r w:rsidRPr="00484EEA">
        <w:rPr>
          <w:rStyle w:val="eop"/>
          <w:color w:val="000000"/>
          <w:sz w:val="22"/>
          <w:szCs w:val="22"/>
          <w:shd w:val="clear" w:color="auto" w:fill="FFFFFF"/>
        </w:rPr>
        <w:t> </w:t>
      </w:r>
    </w:p>
    <w:p w:rsidR="00CD169B" w:rsidRPr="00484EEA" w:rsidP="00CD169B" w14:paraId="4B3BFBD3" w14:textId="7BBADD89">
      <w:pPr>
        <w:keepLines/>
        <w:tabs>
          <w:tab w:val="left" w:pos="360"/>
        </w:tabs>
        <w:spacing w:after="80"/>
        <w:ind w:left="360"/>
        <w:rPr>
          <w:rStyle w:val="eop"/>
          <w:sz w:val="22"/>
          <w:szCs w:val="22"/>
        </w:rPr>
      </w:pPr>
      <w:r w:rsidRPr="1AD87E82">
        <w:rPr>
          <w:rStyle w:val="normaltextrun"/>
          <w:sz w:val="22"/>
          <w:szCs w:val="22"/>
        </w:rPr>
        <w:t xml:space="preserve">HUD currently collects information on individual participants in the HCV program who are in PBV through the PIC system. This consists of a separate section that PHAs fill out in the 50058 for families that lease a PBV/PBC unit. </w:t>
      </w:r>
      <w:r w:rsidRPr="1AD87E82">
        <w:rPr>
          <w:rStyle w:val="normaltextrun"/>
          <w:sz w:val="22"/>
          <w:szCs w:val="22"/>
          <w:u w:val="single"/>
        </w:rPr>
        <w:t>While this does give HUD information on PBV families and the units they reside in, it does not provide HUD with any project level information.</w:t>
      </w:r>
      <w:r w:rsidRPr="1AD87E82">
        <w:rPr>
          <w:rStyle w:val="normaltextrun"/>
          <w:sz w:val="22"/>
          <w:szCs w:val="22"/>
        </w:rPr>
        <w:t> </w:t>
      </w:r>
      <w:r w:rsidRPr="1AD87E82">
        <w:rPr>
          <w:rStyle w:val="eop"/>
          <w:sz w:val="22"/>
          <w:szCs w:val="22"/>
        </w:rPr>
        <w:t> </w:t>
      </w:r>
    </w:p>
    <w:p w:rsidR="00CD169B" w:rsidRPr="00484EEA" w:rsidP="00CD169B" w14:paraId="5738A82A" w14:textId="77777777">
      <w:pPr>
        <w:keepLines/>
        <w:tabs>
          <w:tab w:val="left" w:pos="360"/>
        </w:tabs>
        <w:spacing w:after="80"/>
        <w:ind w:left="360"/>
        <w:rPr>
          <w:rStyle w:val="eop"/>
          <w:sz w:val="22"/>
          <w:szCs w:val="22"/>
        </w:rPr>
      </w:pPr>
      <w:r w:rsidRPr="00484EEA">
        <w:rPr>
          <w:rStyle w:val="normaltextrun"/>
          <w:sz w:val="22"/>
          <w:szCs w:val="22"/>
        </w:rPr>
        <w:t>In addition, PHAs are required to report information on Project Based Vouchers in the Voucher Management System (VMS</w:t>
      </w:r>
      <w:r w:rsidRPr="70F1E9E1">
        <w:rPr>
          <w:rStyle w:val="normaltextrun"/>
          <w:sz w:val="22"/>
          <w:szCs w:val="22"/>
        </w:rPr>
        <w:t xml:space="preserve">).  This </w:t>
      </w:r>
      <w:r w:rsidRPr="00484EEA">
        <w:rPr>
          <w:rStyle w:val="normaltextrun"/>
          <w:sz w:val="22"/>
          <w:szCs w:val="22"/>
        </w:rPr>
        <w:t xml:space="preserve">aggregated information </w:t>
      </w:r>
      <w:r w:rsidRPr="70F1E9E1">
        <w:rPr>
          <w:rStyle w:val="normaltextrun"/>
          <w:sz w:val="22"/>
          <w:szCs w:val="22"/>
        </w:rPr>
        <w:t xml:space="preserve">is </w:t>
      </w:r>
      <w:r w:rsidRPr="00484EEA">
        <w:rPr>
          <w:rStyle w:val="normaltextrun"/>
          <w:sz w:val="22"/>
          <w:szCs w:val="22"/>
        </w:rPr>
        <w:t xml:space="preserve">at the PHA level on the total number of vouchers committed under an Agreement to Enter HAP Contract (AHAP) as well as those under a Housing Assistance Payment (HAP) Contract.  PHAs must also separately report in the comment section of VMS the number of PBV units under HAP contract that are currently not leased. This provides HUD with data on PBVs at the PHA level but does not provide </w:t>
      </w:r>
      <w:r w:rsidRPr="70F1E9E1">
        <w:rPr>
          <w:rStyle w:val="normaltextrun"/>
          <w:sz w:val="22"/>
          <w:szCs w:val="22"/>
        </w:rPr>
        <w:t xml:space="preserve">HUD </w:t>
      </w:r>
      <w:r w:rsidRPr="00484EEA">
        <w:rPr>
          <w:rStyle w:val="normaltextrun"/>
          <w:sz w:val="22"/>
          <w:szCs w:val="22"/>
        </w:rPr>
        <w:t>with information on PBVs at the project level.</w:t>
      </w:r>
      <w:r w:rsidRPr="00484EEA">
        <w:rPr>
          <w:rStyle w:val="eop"/>
          <w:sz w:val="22"/>
          <w:szCs w:val="22"/>
        </w:rPr>
        <w:t> </w:t>
      </w:r>
    </w:p>
    <w:p w:rsidR="00CD169B" w:rsidP="00CD169B" w14:paraId="33983D48" w14:textId="77777777">
      <w:pPr>
        <w:keepLines/>
        <w:tabs>
          <w:tab w:val="left" w:pos="360"/>
        </w:tabs>
        <w:spacing w:after="80"/>
        <w:ind w:left="360"/>
        <w:rPr>
          <w:rStyle w:val="eop"/>
          <w:sz w:val="22"/>
          <w:szCs w:val="22"/>
        </w:rPr>
      </w:pPr>
      <w:r w:rsidRPr="00484EEA">
        <w:rPr>
          <w:rStyle w:val="normaltextrun"/>
          <w:sz w:val="22"/>
          <w:szCs w:val="22"/>
        </w:rPr>
        <w:t xml:space="preserve">This leaves a gap in HUD’s information collection of PBVs between the individual tenant data and the aggregated PHA data. HUD does not systematically collect information on the project level, including the number of </w:t>
      </w:r>
      <w:r w:rsidRPr="4DB979E7">
        <w:rPr>
          <w:rStyle w:val="normaltextrun"/>
          <w:sz w:val="22"/>
          <w:szCs w:val="22"/>
        </w:rPr>
        <w:t xml:space="preserve">PBV </w:t>
      </w:r>
      <w:r w:rsidRPr="00484EEA">
        <w:rPr>
          <w:rStyle w:val="normaltextrun"/>
          <w:sz w:val="22"/>
          <w:szCs w:val="22"/>
        </w:rPr>
        <w:t xml:space="preserve">units at  projects, what exceptions apply, the terms of contract, and numerous other potential data.  This creates a challenge for monitoring, tracking and analyzing PBV projects, and limits HUD’s ability to respond to requests for information on the PBV program from Congress and other </w:t>
      </w:r>
      <w:r w:rsidRPr="4DB979E7">
        <w:rPr>
          <w:rStyle w:val="normaltextrun"/>
          <w:sz w:val="22"/>
          <w:szCs w:val="22"/>
        </w:rPr>
        <w:t>stakeholders</w:t>
      </w:r>
      <w:r>
        <w:rPr>
          <w:rStyle w:val="eop"/>
          <w:sz w:val="22"/>
          <w:szCs w:val="22"/>
        </w:rPr>
        <w:t>.</w:t>
      </w:r>
    </w:p>
    <w:p w:rsidR="00CD169B" w:rsidP="00CD169B" w14:paraId="7273CDD1" w14:textId="77777777">
      <w:pPr>
        <w:keepLines/>
        <w:tabs>
          <w:tab w:val="left" w:pos="360"/>
        </w:tabs>
        <w:spacing w:after="80"/>
        <w:ind w:left="360"/>
        <w:rPr>
          <w:rStyle w:val="normaltextrun"/>
          <w:color w:val="000000"/>
          <w:sz w:val="22"/>
          <w:szCs w:val="22"/>
          <w:shd w:val="clear" w:color="auto" w:fill="FFFFFF"/>
        </w:rPr>
      </w:pPr>
      <w:r w:rsidRPr="00343F75">
        <w:rPr>
          <w:rStyle w:val="eop"/>
          <w:sz w:val="22"/>
          <w:szCs w:val="22"/>
        </w:rPr>
        <w:t xml:space="preserve">The inclusion of the fields mentioned below will assist with the </w:t>
      </w:r>
      <w:r w:rsidRPr="000737C1">
        <w:rPr>
          <w:rStyle w:val="normaltextrun"/>
          <w:color w:val="000000"/>
          <w:sz w:val="22"/>
          <w:szCs w:val="22"/>
          <w:shd w:val="clear" w:color="auto" w:fill="FFFFFF"/>
        </w:rPr>
        <w:t>development of system improvements that may reduce the administrative burden of PHAs</w:t>
      </w:r>
      <w:r>
        <w:rPr>
          <w:rStyle w:val="normaltextrun"/>
          <w:color w:val="000000"/>
          <w:sz w:val="22"/>
          <w:szCs w:val="22"/>
          <w:shd w:val="clear" w:color="auto" w:fill="FFFFFF"/>
        </w:rPr>
        <w:t>. Fields included in this PRA are as follows:</w:t>
      </w:r>
    </w:p>
    <w:p w:rsidR="00CD169B" w:rsidRPr="000737C1" w:rsidP="00CD169B" w14:paraId="5FABC2E2" w14:textId="77777777">
      <w:pPr>
        <w:pStyle w:val="ListParagraph"/>
        <w:keepLines/>
        <w:numPr>
          <w:ilvl w:val="0"/>
          <w:numId w:val="4"/>
        </w:numPr>
        <w:tabs>
          <w:tab w:val="left" w:pos="360"/>
        </w:tabs>
        <w:rPr>
          <w:sz w:val="22"/>
          <w:szCs w:val="22"/>
        </w:rPr>
      </w:pPr>
      <w:r w:rsidRPr="000737C1">
        <w:rPr>
          <w:sz w:val="22"/>
          <w:szCs w:val="22"/>
        </w:rPr>
        <w:t xml:space="preserve">HAP Contract Number </w:t>
      </w:r>
    </w:p>
    <w:p w:rsidR="00CD169B" w:rsidRPr="000737C1" w:rsidP="00CD169B" w14:paraId="5B6050F6" w14:textId="77777777">
      <w:pPr>
        <w:pStyle w:val="ListParagraph"/>
        <w:keepLines/>
        <w:numPr>
          <w:ilvl w:val="0"/>
          <w:numId w:val="4"/>
        </w:numPr>
        <w:tabs>
          <w:tab w:val="left" w:pos="360"/>
        </w:tabs>
        <w:rPr>
          <w:sz w:val="22"/>
          <w:szCs w:val="22"/>
        </w:rPr>
      </w:pPr>
      <w:r w:rsidRPr="000737C1">
        <w:rPr>
          <w:sz w:val="22"/>
          <w:szCs w:val="22"/>
        </w:rPr>
        <w:t xml:space="preserve">Name of Project </w:t>
      </w:r>
    </w:p>
    <w:p w:rsidR="00CD169B" w:rsidRPr="000737C1" w:rsidP="00CD169B" w14:paraId="190EC6AF" w14:textId="77777777">
      <w:pPr>
        <w:pStyle w:val="ListParagraph"/>
        <w:keepLines/>
        <w:numPr>
          <w:ilvl w:val="0"/>
          <w:numId w:val="4"/>
        </w:numPr>
        <w:tabs>
          <w:tab w:val="left" w:pos="360"/>
        </w:tabs>
        <w:rPr>
          <w:sz w:val="22"/>
          <w:szCs w:val="22"/>
        </w:rPr>
      </w:pPr>
      <w:r w:rsidRPr="000737C1">
        <w:rPr>
          <w:sz w:val="22"/>
          <w:szCs w:val="22"/>
        </w:rPr>
        <w:t xml:space="preserve">Primary Street Address </w:t>
      </w:r>
    </w:p>
    <w:p w:rsidR="00CD169B" w:rsidRPr="000737C1" w:rsidP="00CD169B" w14:paraId="66E8EED4" w14:textId="77777777">
      <w:pPr>
        <w:pStyle w:val="ListParagraph"/>
        <w:keepLines/>
        <w:numPr>
          <w:ilvl w:val="0"/>
          <w:numId w:val="4"/>
        </w:numPr>
        <w:tabs>
          <w:tab w:val="left" w:pos="360"/>
        </w:tabs>
        <w:rPr>
          <w:sz w:val="22"/>
          <w:szCs w:val="22"/>
        </w:rPr>
      </w:pPr>
      <w:r w:rsidRPr="000737C1">
        <w:rPr>
          <w:sz w:val="22"/>
          <w:szCs w:val="22"/>
        </w:rPr>
        <w:t xml:space="preserve">Structure Type </w:t>
      </w:r>
    </w:p>
    <w:p w:rsidR="00CD169B" w:rsidRPr="000737C1" w:rsidP="00CD169B" w14:paraId="111F3141" w14:textId="77777777">
      <w:pPr>
        <w:pStyle w:val="ListParagraph"/>
        <w:keepLines/>
        <w:numPr>
          <w:ilvl w:val="0"/>
          <w:numId w:val="4"/>
        </w:numPr>
        <w:tabs>
          <w:tab w:val="left" w:pos="360"/>
        </w:tabs>
        <w:rPr>
          <w:sz w:val="22"/>
          <w:szCs w:val="22"/>
        </w:rPr>
      </w:pPr>
      <w:r w:rsidRPr="000737C1">
        <w:rPr>
          <w:sz w:val="22"/>
          <w:szCs w:val="22"/>
        </w:rPr>
        <w:t xml:space="preserve">Effective Date of HAP Contract </w:t>
      </w:r>
    </w:p>
    <w:p w:rsidR="00CD169B" w:rsidRPr="000737C1" w:rsidP="00CD169B" w14:paraId="74B15637" w14:textId="77777777">
      <w:pPr>
        <w:pStyle w:val="ListParagraph"/>
        <w:keepLines/>
        <w:numPr>
          <w:ilvl w:val="0"/>
          <w:numId w:val="4"/>
        </w:numPr>
        <w:tabs>
          <w:tab w:val="left" w:pos="360"/>
        </w:tabs>
        <w:rPr>
          <w:sz w:val="22"/>
          <w:szCs w:val="22"/>
        </w:rPr>
      </w:pPr>
      <w:r w:rsidRPr="000737C1">
        <w:rPr>
          <w:sz w:val="22"/>
          <w:szCs w:val="22"/>
        </w:rPr>
        <w:t>Expiration Date of HAP Contract</w:t>
      </w:r>
    </w:p>
    <w:p w:rsidR="00CD169B" w:rsidRPr="000737C1" w:rsidP="00CD169B" w14:paraId="52456062" w14:textId="77777777">
      <w:pPr>
        <w:pStyle w:val="ListParagraph"/>
        <w:keepLines/>
        <w:numPr>
          <w:ilvl w:val="0"/>
          <w:numId w:val="4"/>
        </w:numPr>
        <w:tabs>
          <w:tab w:val="left" w:pos="360"/>
        </w:tabs>
        <w:rPr>
          <w:sz w:val="22"/>
          <w:szCs w:val="22"/>
        </w:rPr>
      </w:pPr>
      <w:r w:rsidRPr="000737C1">
        <w:rPr>
          <w:sz w:val="22"/>
          <w:szCs w:val="22"/>
        </w:rPr>
        <w:t>Type of Project Based Section 8 Contract</w:t>
      </w:r>
    </w:p>
    <w:p w:rsidR="00CD169B" w:rsidRPr="000737C1" w:rsidP="00CD169B" w14:paraId="4A8F78BA" w14:textId="77777777">
      <w:pPr>
        <w:pStyle w:val="ListParagraph"/>
        <w:keepLines/>
        <w:numPr>
          <w:ilvl w:val="0"/>
          <w:numId w:val="4"/>
        </w:numPr>
        <w:tabs>
          <w:tab w:val="left" w:pos="360"/>
        </w:tabs>
        <w:rPr>
          <w:sz w:val="22"/>
          <w:szCs w:val="22"/>
        </w:rPr>
      </w:pPr>
      <w:r w:rsidRPr="000737C1">
        <w:rPr>
          <w:sz w:val="22"/>
          <w:szCs w:val="22"/>
        </w:rPr>
        <w:t>Is this a RAD HAP contract?</w:t>
      </w:r>
    </w:p>
    <w:p w:rsidR="00CD169B" w:rsidRPr="000737C1" w:rsidP="00CD169B" w14:paraId="7D174B56" w14:textId="77777777">
      <w:pPr>
        <w:pStyle w:val="ListParagraph"/>
        <w:keepLines/>
        <w:numPr>
          <w:ilvl w:val="0"/>
          <w:numId w:val="4"/>
        </w:numPr>
        <w:tabs>
          <w:tab w:val="left" w:pos="360"/>
        </w:tabs>
        <w:rPr>
          <w:sz w:val="22"/>
          <w:szCs w:val="22"/>
        </w:rPr>
      </w:pPr>
      <w:r w:rsidRPr="000737C1">
        <w:rPr>
          <w:sz w:val="22"/>
          <w:szCs w:val="22"/>
        </w:rPr>
        <w:t xml:space="preserve">Vacancy Payments Permitted? </w:t>
      </w:r>
    </w:p>
    <w:p w:rsidR="00CD169B" w:rsidRPr="000737C1" w:rsidP="00CD169B" w14:paraId="01B2254C" w14:textId="77777777">
      <w:pPr>
        <w:pStyle w:val="ListParagraph"/>
        <w:keepLines/>
        <w:numPr>
          <w:ilvl w:val="0"/>
          <w:numId w:val="4"/>
        </w:numPr>
        <w:tabs>
          <w:tab w:val="left" w:pos="360"/>
        </w:tabs>
        <w:rPr>
          <w:sz w:val="22"/>
          <w:szCs w:val="22"/>
        </w:rPr>
      </w:pPr>
      <w:r w:rsidRPr="000737C1">
        <w:rPr>
          <w:sz w:val="22"/>
          <w:szCs w:val="22"/>
        </w:rPr>
        <w:t>Ownership Structure</w:t>
      </w:r>
    </w:p>
    <w:p w:rsidR="00CD169B" w:rsidRPr="000737C1" w:rsidP="00CD169B" w14:paraId="2A4D7C40" w14:textId="77777777">
      <w:pPr>
        <w:pStyle w:val="ListParagraph"/>
        <w:keepLines/>
        <w:numPr>
          <w:ilvl w:val="0"/>
          <w:numId w:val="4"/>
        </w:numPr>
        <w:tabs>
          <w:tab w:val="left" w:pos="360"/>
        </w:tabs>
        <w:rPr>
          <w:sz w:val="22"/>
          <w:szCs w:val="22"/>
        </w:rPr>
      </w:pPr>
      <w:r w:rsidRPr="000737C1">
        <w:rPr>
          <w:sz w:val="22"/>
          <w:szCs w:val="22"/>
        </w:rPr>
        <w:t>If PHA-Owned: Name of Independent Entity or Entities</w:t>
      </w:r>
    </w:p>
    <w:p w:rsidR="00CD169B" w:rsidRPr="000737C1" w:rsidP="00CD169B" w14:paraId="79A45A19" w14:textId="77777777">
      <w:pPr>
        <w:pStyle w:val="ListParagraph"/>
        <w:keepLines/>
        <w:numPr>
          <w:ilvl w:val="0"/>
          <w:numId w:val="4"/>
        </w:numPr>
        <w:tabs>
          <w:tab w:val="left" w:pos="360"/>
        </w:tabs>
        <w:rPr>
          <w:sz w:val="22"/>
          <w:szCs w:val="22"/>
        </w:rPr>
      </w:pPr>
      <w:r w:rsidRPr="000737C1">
        <w:rPr>
          <w:sz w:val="22"/>
          <w:szCs w:val="22"/>
        </w:rPr>
        <w:t>Number of Total Units in the Project (PBV and non-PBV units)</w:t>
      </w:r>
    </w:p>
    <w:p w:rsidR="00CD169B" w:rsidRPr="000737C1" w:rsidP="00CD169B" w14:paraId="3121606D" w14:textId="77777777">
      <w:pPr>
        <w:pStyle w:val="ListParagraph"/>
        <w:keepLines/>
        <w:numPr>
          <w:ilvl w:val="0"/>
          <w:numId w:val="4"/>
        </w:numPr>
        <w:tabs>
          <w:tab w:val="left" w:pos="360"/>
        </w:tabs>
        <w:rPr>
          <w:sz w:val="22"/>
          <w:szCs w:val="22"/>
        </w:rPr>
      </w:pPr>
      <w:r w:rsidRPr="000737C1">
        <w:rPr>
          <w:sz w:val="22"/>
          <w:szCs w:val="22"/>
        </w:rPr>
        <w:t>Number of Units Under HAP Contract by Bedroom Size</w:t>
      </w:r>
    </w:p>
    <w:p w:rsidR="00CD169B" w:rsidRPr="000737C1" w:rsidP="00CD169B" w14:paraId="687D0C70" w14:textId="77777777">
      <w:pPr>
        <w:pStyle w:val="ListParagraph"/>
        <w:keepLines/>
        <w:numPr>
          <w:ilvl w:val="0"/>
          <w:numId w:val="4"/>
        </w:numPr>
        <w:tabs>
          <w:tab w:val="left" w:pos="360"/>
        </w:tabs>
        <w:rPr>
          <w:sz w:val="22"/>
          <w:szCs w:val="22"/>
        </w:rPr>
      </w:pPr>
      <w:r w:rsidRPr="000737C1">
        <w:rPr>
          <w:sz w:val="22"/>
          <w:szCs w:val="22"/>
        </w:rPr>
        <w:t>Number and Bedroom Distribution of PBV-Assisted Section 504 Units at the Project</w:t>
      </w:r>
    </w:p>
    <w:p w:rsidR="00CD169B" w:rsidRPr="000737C1" w:rsidP="00CD169B" w14:paraId="20531289" w14:textId="77777777">
      <w:pPr>
        <w:pStyle w:val="ListParagraph"/>
        <w:keepLines/>
        <w:numPr>
          <w:ilvl w:val="0"/>
          <w:numId w:val="4"/>
        </w:numPr>
        <w:tabs>
          <w:tab w:val="left" w:pos="360"/>
        </w:tabs>
        <w:rPr>
          <w:sz w:val="22"/>
          <w:szCs w:val="22"/>
        </w:rPr>
      </w:pPr>
      <w:r w:rsidRPr="000737C1">
        <w:rPr>
          <w:sz w:val="22"/>
          <w:szCs w:val="22"/>
        </w:rPr>
        <w:t>Does an Exception to the Income-Mixing Requirement Apply?</w:t>
      </w:r>
    </w:p>
    <w:p w:rsidR="00CD169B" w:rsidRPr="000737C1" w:rsidP="00CD169B" w14:paraId="2DFAD030" w14:textId="77777777">
      <w:pPr>
        <w:pStyle w:val="ListParagraph"/>
        <w:keepLines/>
        <w:numPr>
          <w:ilvl w:val="0"/>
          <w:numId w:val="4"/>
        </w:numPr>
        <w:tabs>
          <w:tab w:val="left" w:pos="360"/>
        </w:tabs>
        <w:rPr>
          <w:sz w:val="22"/>
          <w:szCs w:val="22"/>
        </w:rPr>
      </w:pPr>
      <w:r w:rsidRPr="000737C1">
        <w:rPr>
          <w:sz w:val="22"/>
          <w:szCs w:val="22"/>
        </w:rPr>
        <w:t>If Yes, which exception is applicable?</w:t>
      </w:r>
    </w:p>
    <w:p w:rsidR="00CD169B" w:rsidRPr="000737C1" w:rsidP="00CD169B" w14:paraId="0A1180AE" w14:textId="77777777">
      <w:pPr>
        <w:pStyle w:val="ListParagraph"/>
        <w:keepLines/>
        <w:numPr>
          <w:ilvl w:val="0"/>
          <w:numId w:val="4"/>
        </w:numPr>
        <w:tabs>
          <w:tab w:val="left" w:pos="360"/>
        </w:tabs>
        <w:rPr>
          <w:sz w:val="22"/>
          <w:szCs w:val="22"/>
        </w:rPr>
      </w:pPr>
      <w:r w:rsidRPr="000737C1">
        <w:rPr>
          <w:sz w:val="22"/>
          <w:szCs w:val="22"/>
        </w:rPr>
        <w:t>Program Cap Exception?</w:t>
      </w:r>
    </w:p>
    <w:p w:rsidR="00CD169B" w:rsidRPr="009D2075" w:rsidP="00CD169B" w14:paraId="5C825260" w14:textId="77777777">
      <w:pPr>
        <w:pStyle w:val="ListParagraph"/>
        <w:keepLines/>
        <w:numPr>
          <w:ilvl w:val="0"/>
          <w:numId w:val="4"/>
        </w:numPr>
        <w:tabs>
          <w:tab w:val="left" w:pos="360"/>
        </w:tabs>
        <w:rPr>
          <w:sz w:val="22"/>
          <w:szCs w:val="22"/>
        </w:rPr>
      </w:pPr>
      <w:r w:rsidRPr="000737C1">
        <w:rPr>
          <w:sz w:val="22"/>
          <w:szCs w:val="22"/>
        </w:rPr>
        <w:t>If yes, enter the number of units for each excepted category.</w:t>
      </w:r>
    </w:p>
    <w:p w:rsidR="00CD169B" w:rsidP="00CD169B" w14:paraId="0E9F0B70" w14:textId="77777777">
      <w:pPr>
        <w:pStyle w:val="ListParagraph"/>
        <w:keepLines/>
        <w:numPr>
          <w:ilvl w:val="0"/>
          <w:numId w:val="4"/>
        </w:numPr>
        <w:tabs>
          <w:tab w:val="left" w:pos="360"/>
        </w:tabs>
        <w:rPr>
          <w:sz w:val="22"/>
          <w:szCs w:val="22"/>
        </w:rPr>
      </w:pPr>
      <w:r w:rsidRPr="6881A5B9">
        <w:rPr>
          <w:sz w:val="22"/>
          <w:szCs w:val="22"/>
        </w:rPr>
        <w:t>Annual Replacement Reserve Deposit Amount</w:t>
      </w:r>
    </w:p>
    <w:p w:rsidR="00CD169B" w:rsidP="00CD169B" w14:paraId="06868402" w14:textId="77777777">
      <w:pPr>
        <w:pStyle w:val="ListParagraph"/>
        <w:keepLines/>
        <w:numPr>
          <w:ilvl w:val="0"/>
          <w:numId w:val="4"/>
        </w:numPr>
        <w:tabs>
          <w:tab w:val="left" w:pos="360"/>
        </w:tabs>
        <w:rPr>
          <w:sz w:val="22"/>
          <w:szCs w:val="22"/>
        </w:rPr>
      </w:pPr>
      <w:r w:rsidRPr="6881A5B9">
        <w:rPr>
          <w:sz w:val="22"/>
          <w:szCs w:val="22"/>
        </w:rPr>
        <w:t xml:space="preserve">Annual Replacement Reserve Withdrawal </w:t>
      </w:r>
      <w:r>
        <w:rPr>
          <w:sz w:val="22"/>
          <w:szCs w:val="22"/>
        </w:rPr>
        <w:t>Amount</w:t>
      </w:r>
    </w:p>
    <w:p w:rsidR="00CD169B" w:rsidP="00CD169B" w14:paraId="7182FCAB" w14:textId="77777777">
      <w:pPr>
        <w:pStyle w:val="ListParagraph"/>
        <w:numPr>
          <w:ilvl w:val="0"/>
          <w:numId w:val="4"/>
        </w:numPr>
        <w:rPr>
          <w:sz w:val="22"/>
          <w:szCs w:val="22"/>
        </w:rPr>
      </w:pPr>
      <w:r w:rsidRPr="009D2075">
        <w:rPr>
          <w:sz w:val="22"/>
          <w:szCs w:val="22"/>
        </w:rPr>
        <w:t>Ending Balance for the Replacement Reserve Account</w:t>
      </w:r>
    </w:p>
    <w:p w:rsidR="00CD169B" w:rsidRPr="009D2075" w:rsidP="00CD169B" w14:paraId="492411F3" w14:textId="77777777">
      <w:pPr>
        <w:pStyle w:val="ListParagraph"/>
        <w:keepLines/>
        <w:numPr>
          <w:ilvl w:val="0"/>
          <w:numId w:val="4"/>
        </w:numPr>
        <w:tabs>
          <w:tab w:val="left" w:pos="360"/>
        </w:tabs>
        <w:spacing w:after="80"/>
        <w:rPr>
          <w:sz w:val="22"/>
          <w:szCs w:val="22"/>
        </w:rPr>
      </w:pPr>
      <w:r w:rsidRPr="009D2075">
        <w:rPr>
          <w:sz w:val="22"/>
          <w:szCs w:val="22"/>
        </w:rPr>
        <w:t>Replacement Reserve Deposits Suspended/Waived Indicator?</w:t>
      </w:r>
    </w:p>
    <w:p w:rsidR="00CD169B" w:rsidRPr="009D2075" w:rsidP="00CD169B" w14:paraId="07D16B6D" w14:textId="77777777">
      <w:pPr>
        <w:pStyle w:val="ListParagraph"/>
        <w:keepLines/>
        <w:numPr>
          <w:ilvl w:val="0"/>
          <w:numId w:val="4"/>
        </w:numPr>
        <w:tabs>
          <w:tab w:val="left" w:pos="360"/>
        </w:tabs>
        <w:spacing w:after="80"/>
      </w:pPr>
      <w:r w:rsidRPr="009D2075">
        <w:rPr>
          <w:sz w:val="22"/>
          <w:szCs w:val="22"/>
        </w:rPr>
        <w:t>Date Replacement Reserve Deposits Suspended/Waived?</w:t>
      </w:r>
    </w:p>
    <w:p w:rsidR="00CD169B" w:rsidP="00CD169B" w14:paraId="0812E767" w14:textId="77777777">
      <w:pPr>
        <w:pStyle w:val="ListParagraph"/>
        <w:keepLines/>
        <w:tabs>
          <w:tab w:val="left" w:pos="360"/>
        </w:tabs>
        <w:spacing w:after="80"/>
      </w:pPr>
      <w:r>
        <w:tab/>
      </w:r>
    </w:p>
    <w:p w:rsidR="00CD169B" w:rsidP="00CD169B" w14:paraId="584413BD" w14:textId="77777777">
      <w:pPr>
        <w:keepLines/>
        <w:tabs>
          <w:tab w:val="left" w:pos="360"/>
        </w:tabs>
        <w:spacing w:after="80"/>
        <w:rPr>
          <w:b/>
          <w:bCs/>
          <w:sz w:val="22"/>
          <w:szCs w:val="22"/>
        </w:rPr>
      </w:pPr>
      <w:r w:rsidRPr="1AD87E82">
        <w:rPr>
          <w:b/>
          <w:bCs/>
          <w:sz w:val="22"/>
          <w:szCs w:val="22"/>
        </w:rPr>
        <w:t xml:space="preserve">CFR 24 Part 983 | Project-Based Voucher (PBV) Program </w:t>
      </w:r>
    </w:p>
    <w:p w:rsidR="00B90FD4" w:rsidRPr="00D01119" w:rsidP="00B90FD4" w14:paraId="088044C2" w14:textId="77777777">
      <w:pPr>
        <w:keepLines/>
        <w:tabs>
          <w:tab w:val="left" w:pos="360"/>
        </w:tabs>
        <w:spacing w:after="80"/>
        <w:rPr>
          <w:b/>
          <w:bCs/>
          <w:sz w:val="22"/>
          <w:szCs w:val="22"/>
        </w:rPr>
      </w:pPr>
      <w:r>
        <w:rPr>
          <w:sz w:val="22"/>
          <w:szCs w:val="22"/>
        </w:rPr>
        <w:tab/>
      </w:r>
      <w:r w:rsidRPr="00D01119">
        <w:rPr>
          <w:b/>
          <w:bCs/>
          <w:sz w:val="22"/>
          <w:szCs w:val="22"/>
        </w:rPr>
        <w:t>§ 983.201 Applicability</w:t>
      </w:r>
    </w:p>
    <w:p w:rsidR="0011591F" w:rsidRPr="0011591F" w:rsidP="1AD87E82" w14:paraId="36395614" w14:textId="2D2EF1DC">
      <w:pPr>
        <w:pStyle w:val="NormalWeb"/>
        <w:shd w:val="clear" w:color="auto" w:fill="FFFFFF" w:themeFill="background1"/>
        <w:spacing w:before="0" w:beforeAutospacing="0" w:after="150" w:afterAutospacing="0"/>
        <w:ind w:left="720"/>
        <w:rPr>
          <w:color w:val="333333"/>
        </w:rPr>
      </w:pPr>
      <w:r w:rsidRPr="0011591F">
        <w:rPr>
          <w:color w:val="333333"/>
          <w:sz w:val="22"/>
          <w:szCs w:val="22"/>
        </w:rPr>
        <w:t>Subpart E applies to all PBV assistance under part 983 (including assistance for existing, newly constructed, or</w:t>
      </w:r>
      <w:r w:rsidRPr="0011591F">
        <w:rPr>
          <w:color w:val="333333"/>
        </w:rPr>
        <w:t xml:space="preserve"> rehabilitated housing).</w:t>
      </w:r>
    </w:p>
    <w:p w:rsidR="00B90FD4" w:rsidRPr="00D01119" w:rsidP="1AD87E82" w14:paraId="3BDA7E73" w14:textId="77777777">
      <w:pPr>
        <w:keepLines/>
        <w:tabs>
          <w:tab w:val="left" w:pos="360"/>
        </w:tabs>
        <w:spacing w:after="80"/>
        <w:rPr>
          <w:b/>
          <w:bCs/>
          <w:sz w:val="22"/>
          <w:szCs w:val="22"/>
        </w:rPr>
      </w:pPr>
      <w:r>
        <w:rPr>
          <w:sz w:val="22"/>
          <w:szCs w:val="22"/>
        </w:rPr>
        <w:tab/>
      </w:r>
      <w:r w:rsidRPr="00403B63">
        <w:rPr>
          <w:b/>
          <w:bCs/>
          <w:sz w:val="22"/>
          <w:szCs w:val="22"/>
        </w:rPr>
        <w:t>§ 983.203 HAP contract information</w:t>
      </w:r>
      <w:r w:rsidRPr="1AD87E82">
        <w:rPr>
          <w:b/>
          <w:bCs/>
          <w:sz w:val="22"/>
          <w:szCs w:val="22"/>
        </w:rPr>
        <w:t>§ 983.203 HAP contract information</w:t>
      </w:r>
    </w:p>
    <w:p w:rsidR="00186B8C" w:rsidRPr="00186B8C" w:rsidP="1AD87E82" w14:paraId="0E77625D" w14:textId="77777777">
      <w:pPr>
        <w:pStyle w:val="NormalWeb"/>
        <w:shd w:val="clear" w:color="auto" w:fill="FFFFFF" w:themeFill="background1"/>
        <w:spacing w:before="0" w:beforeAutospacing="0" w:after="150" w:afterAutospacing="0"/>
        <w:ind w:left="720"/>
        <w:rPr>
          <w:color w:val="333333"/>
          <w:sz w:val="22"/>
          <w:szCs w:val="22"/>
        </w:rPr>
      </w:pPr>
      <w:r w:rsidRPr="1AD87E82">
        <w:rPr>
          <w:color w:val="333333"/>
          <w:sz w:val="22"/>
          <w:szCs w:val="22"/>
        </w:rPr>
        <w:t>The HAP contract must specify:</w:t>
      </w:r>
    </w:p>
    <w:p w:rsidR="00186B8C" w:rsidRPr="00186B8C" w:rsidP="1AD87E82" w14:paraId="15053BFD"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(a)</w:t>
      </w:r>
      <w:r w:rsidRPr="00186B8C">
        <w:rPr>
          <w:color w:val="333333"/>
          <w:sz w:val="22"/>
          <w:szCs w:val="22"/>
        </w:rPr>
        <w:t> The total number of </w:t>
      </w:r>
      <w:hyperlink r:id="rId7" w:history="1">
        <w:r w:rsidRPr="00186B8C">
          <w:rPr>
            <w:rStyle w:val="Hyperlink"/>
            <w:color w:val="001C72"/>
            <w:sz w:val="22"/>
            <w:szCs w:val="22"/>
          </w:rPr>
          <w:t>contract units</w:t>
        </w:r>
      </w:hyperlink>
      <w:r w:rsidRPr="00186B8C">
        <w:rPr>
          <w:color w:val="333333"/>
          <w:sz w:val="22"/>
          <w:szCs w:val="22"/>
        </w:rPr>
        <w:t> by number of bedrooms;</w:t>
      </w:r>
    </w:p>
    <w:p w:rsidR="00186B8C" w:rsidRPr="00186B8C" w:rsidP="1AD87E82" w14:paraId="04DB2737"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(b)</w:t>
      </w:r>
      <w:r w:rsidRPr="00186B8C">
        <w:rPr>
          <w:color w:val="333333"/>
          <w:sz w:val="22"/>
          <w:szCs w:val="22"/>
        </w:rPr>
        <w:t> Information needed to identify the </w:t>
      </w:r>
      <w:hyperlink r:id="rId8" w:history="1">
        <w:r w:rsidRPr="00186B8C">
          <w:rPr>
            <w:rStyle w:val="Hyperlink"/>
            <w:color w:val="001C72"/>
            <w:sz w:val="22"/>
            <w:szCs w:val="22"/>
          </w:rPr>
          <w:t>site</w:t>
        </w:r>
      </w:hyperlink>
      <w:r w:rsidRPr="00186B8C">
        <w:rPr>
          <w:color w:val="333333"/>
          <w:sz w:val="22"/>
          <w:szCs w:val="22"/>
        </w:rPr>
        <w:t> and the building or buildings where the </w:t>
      </w:r>
      <w:hyperlink r:id="rId7" w:history="1">
        <w:r w:rsidRPr="00186B8C">
          <w:rPr>
            <w:rStyle w:val="Hyperlink"/>
            <w:color w:val="001C72"/>
            <w:sz w:val="22"/>
            <w:szCs w:val="22"/>
          </w:rPr>
          <w:t>contract units</w:t>
        </w:r>
      </w:hyperlink>
      <w:r w:rsidRPr="00186B8C">
        <w:rPr>
          <w:color w:val="333333"/>
          <w:sz w:val="22"/>
          <w:szCs w:val="22"/>
        </w:rPr>
        <w:t> are located. The information must include the </w:t>
      </w:r>
      <w:hyperlink r:id="rId9" w:history="1">
        <w:r w:rsidRPr="00186B8C">
          <w:rPr>
            <w:rStyle w:val="Hyperlink"/>
            <w:color w:val="001C72"/>
            <w:sz w:val="22"/>
            <w:szCs w:val="22"/>
          </w:rPr>
          <w:t>project</w:t>
        </w:r>
      </w:hyperlink>
      <w:r w:rsidRPr="00186B8C">
        <w:rPr>
          <w:color w:val="333333"/>
          <w:sz w:val="22"/>
          <w:szCs w:val="22"/>
        </w:rPr>
        <w:t>'s name, street address, city or county, state and zip code, block and lot number (if known), and any other information necessary to clearly identify the </w:t>
      </w:r>
      <w:hyperlink r:id="rId8" w:history="1">
        <w:r w:rsidRPr="00186B8C">
          <w:rPr>
            <w:rStyle w:val="Hyperlink"/>
            <w:color w:val="001C72"/>
            <w:sz w:val="22"/>
            <w:szCs w:val="22"/>
          </w:rPr>
          <w:t>site</w:t>
        </w:r>
      </w:hyperlink>
      <w:r w:rsidRPr="00186B8C">
        <w:rPr>
          <w:color w:val="333333"/>
          <w:sz w:val="22"/>
          <w:szCs w:val="22"/>
        </w:rPr>
        <w:t> and the building;</w:t>
      </w:r>
    </w:p>
    <w:p w:rsidR="00186B8C" w:rsidRPr="00186B8C" w:rsidP="1AD87E82" w14:paraId="667C1556"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(c)</w:t>
      </w:r>
      <w:r w:rsidRPr="00186B8C">
        <w:rPr>
          <w:color w:val="333333"/>
          <w:sz w:val="22"/>
          <w:szCs w:val="22"/>
        </w:rPr>
        <w:t> Information needed to identity the specific </w:t>
      </w:r>
      <w:hyperlink r:id="rId7" w:history="1">
        <w:r w:rsidRPr="00186B8C">
          <w:rPr>
            <w:rStyle w:val="Hyperlink"/>
            <w:color w:val="001C72"/>
            <w:sz w:val="22"/>
            <w:szCs w:val="22"/>
          </w:rPr>
          <w:t>contract units</w:t>
        </w:r>
      </w:hyperlink>
      <w:r w:rsidRPr="00186B8C">
        <w:rPr>
          <w:color w:val="333333"/>
          <w:sz w:val="22"/>
          <w:szCs w:val="22"/>
        </w:rPr>
        <w:t> in each building. The information must include the number of </w:t>
      </w:r>
      <w:hyperlink r:id="rId7" w:history="1">
        <w:r w:rsidRPr="00186B8C">
          <w:rPr>
            <w:rStyle w:val="Hyperlink"/>
            <w:color w:val="001C72"/>
            <w:sz w:val="22"/>
            <w:szCs w:val="22"/>
          </w:rPr>
          <w:t>contract units</w:t>
        </w:r>
      </w:hyperlink>
      <w:r w:rsidRPr="00186B8C">
        <w:rPr>
          <w:color w:val="333333"/>
          <w:sz w:val="22"/>
          <w:szCs w:val="22"/>
        </w:rPr>
        <w:t> in the building, the location of each contract unit, the area of each contract unit, and the number of bedrooms and bathrooms in each contract unit;</w:t>
      </w:r>
    </w:p>
    <w:p w:rsidR="00186B8C" w:rsidRPr="00186B8C" w:rsidP="1AD87E82" w14:paraId="414B7276"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(d)</w:t>
      </w:r>
      <w:r w:rsidRPr="00186B8C">
        <w:rPr>
          <w:color w:val="333333"/>
          <w:sz w:val="22"/>
          <w:szCs w:val="22"/>
        </w:rPr>
        <w:t> Services, maintenance, and equipment to be supplied by the owner without charges in addition to the </w:t>
      </w:r>
      <w:hyperlink r:id="rId10" w:history="1">
        <w:r w:rsidRPr="00186B8C">
          <w:rPr>
            <w:rStyle w:val="Hyperlink"/>
            <w:color w:val="001C72"/>
            <w:sz w:val="22"/>
            <w:szCs w:val="22"/>
          </w:rPr>
          <w:t>rent to owner</w:t>
        </w:r>
      </w:hyperlink>
      <w:r w:rsidRPr="00186B8C">
        <w:rPr>
          <w:color w:val="333333"/>
          <w:sz w:val="22"/>
          <w:szCs w:val="22"/>
        </w:rPr>
        <w:t>;</w:t>
      </w:r>
    </w:p>
    <w:p w:rsidR="00186B8C" w:rsidRPr="00186B8C" w:rsidP="1AD87E82" w14:paraId="0672FA21"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(e)</w:t>
      </w:r>
      <w:r w:rsidRPr="00186B8C">
        <w:rPr>
          <w:color w:val="333333"/>
          <w:sz w:val="22"/>
          <w:szCs w:val="22"/>
        </w:rPr>
        <w:t> Utilities available to the </w:t>
      </w:r>
      <w:hyperlink r:id="rId7" w:history="1">
        <w:r w:rsidRPr="00186B8C">
          <w:rPr>
            <w:rStyle w:val="Hyperlink"/>
            <w:color w:val="001C72"/>
            <w:sz w:val="22"/>
            <w:szCs w:val="22"/>
          </w:rPr>
          <w:t>contract units</w:t>
        </w:r>
      </w:hyperlink>
      <w:r w:rsidRPr="00186B8C">
        <w:rPr>
          <w:color w:val="333333"/>
          <w:sz w:val="22"/>
          <w:szCs w:val="22"/>
        </w:rPr>
        <w:t>, including a specification of utility services to be paid by the owner (without charges in addition to rent) and utility services to be paid by the tenant;</w:t>
      </w:r>
    </w:p>
    <w:p w:rsidR="00186B8C" w:rsidRPr="00186B8C" w:rsidP="1AD87E82" w14:paraId="03F26EA0"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(f)</w:t>
      </w:r>
      <w:r w:rsidRPr="00186B8C">
        <w:rPr>
          <w:color w:val="333333"/>
          <w:sz w:val="22"/>
          <w:szCs w:val="22"/>
        </w:rPr>
        <w:t> Features provided to comply with </w:t>
      </w:r>
      <w:hyperlink r:id="rId11" w:history="1">
        <w:r w:rsidRPr="00186B8C">
          <w:rPr>
            <w:rStyle w:val="Hyperlink"/>
            <w:color w:val="001C72"/>
            <w:sz w:val="22"/>
            <w:szCs w:val="22"/>
          </w:rPr>
          <w:t>program</w:t>
        </w:r>
      </w:hyperlink>
      <w:r w:rsidRPr="00186B8C">
        <w:rPr>
          <w:color w:val="333333"/>
          <w:sz w:val="22"/>
          <w:szCs w:val="22"/>
        </w:rPr>
        <w:t> accessibility requirements of Section 504 of the </w:t>
      </w:r>
      <w:hyperlink r:id="rId12" w:history="1">
        <w:r w:rsidRPr="00186B8C">
          <w:rPr>
            <w:rStyle w:val="Hyperlink"/>
            <w:color w:val="001C72"/>
            <w:sz w:val="22"/>
            <w:szCs w:val="22"/>
          </w:rPr>
          <w:t>Rehabilitation Act of 1973</w:t>
        </w:r>
      </w:hyperlink>
      <w:r w:rsidRPr="00186B8C">
        <w:rPr>
          <w:color w:val="333333"/>
          <w:sz w:val="22"/>
          <w:szCs w:val="22"/>
        </w:rPr>
        <w:t> (</w:t>
      </w:r>
      <w:hyperlink r:id="rId13" w:history="1">
        <w:r w:rsidRPr="00186B8C">
          <w:rPr>
            <w:rStyle w:val="Hyperlink"/>
            <w:color w:val="001C72"/>
            <w:sz w:val="22"/>
            <w:szCs w:val="22"/>
          </w:rPr>
          <w:t>29 U.S.C. 794</w:t>
        </w:r>
      </w:hyperlink>
      <w:r w:rsidRPr="00186B8C">
        <w:rPr>
          <w:color w:val="333333"/>
          <w:sz w:val="22"/>
          <w:szCs w:val="22"/>
        </w:rPr>
        <w:t>) and implementing regulations at </w:t>
      </w:r>
      <w:hyperlink r:id="rId14" w:history="1">
        <w:r w:rsidRPr="00186B8C">
          <w:rPr>
            <w:rStyle w:val="Hyperlink"/>
            <w:color w:val="001C72"/>
            <w:sz w:val="22"/>
            <w:szCs w:val="22"/>
          </w:rPr>
          <w:t>24 CFR part 8</w:t>
        </w:r>
      </w:hyperlink>
      <w:r w:rsidRPr="00186B8C">
        <w:rPr>
          <w:color w:val="333333"/>
          <w:sz w:val="22"/>
          <w:szCs w:val="22"/>
        </w:rPr>
        <w:t>;</w:t>
      </w:r>
    </w:p>
    <w:p w:rsidR="00186B8C" w:rsidRPr="00186B8C" w:rsidP="1AD87E82" w14:paraId="068AB12B" w14:textId="77777777">
      <w:pPr>
        <w:pStyle w:val="psection-1"/>
        <w:shd w:val="clear" w:color="auto" w:fill="FFFFFF" w:themeFill="background1"/>
        <w:spacing w:before="150" w:beforeAutospacing="0" w:after="150" w:afterAutospacing="0"/>
        <w:ind w:left="720"/>
        <w:rPr>
          <w:color w:val="333333"/>
          <w:sz w:val="22"/>
          <w:szCs w:val="22"/>
        </w:rPr>
      </w:pPr>
      <w:r w:rsidRPr="1AD87E82">
        <w:rPr>
          <w:rStyle w:val="enumxml"/>
          <w:b/>
          <w:bCs/>
          <w:color w:val="333333"/>
          <w:sz w:val="22"/>
          <w:szCs w:val="22"/>
        </w:rPr>
        <w:t>(g)</w:t>
      </w:r>
      <w:r w:rsidRPr="1AD87E82">
        <w:rPr>
          <w:color w:val="333333"/>
          <w:sz w:val="22"/>
          <w:szCs w:val="22"/>
        </w:rPr>
        <w:t> The HAP contract term;</w:t>
      </w:r>
    </w:p>
    <w:p w:rsidR="00186B8C" w:rsidRPr="00186B8C" w:rsidP="1AD87E82" w14:paraId="11BB6536"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(h)</w:t>
      </w:r>
      <w:r w:rsidRPr="00186B8C">
        <w:rPr>
          <w:color w:val="333333"/>
          <w:sz w:val="22"/>
          <w:szCs w:val="22"/>
        </w:rPr>
        <w:t> The number of units in any </w:t>
      </w:r>
      <w:hyperlink r:id="rId9" w:history="1">
        <w:r w:rsidRPr="00186B8C">
          <w:rPr>
            <w:rStyle w:val="Hyperlink"/>
            <w:color w:val="001C72"/>
            <w:sz w:val="22"/>
            <w:szCs w:val="22"/>
          </w:rPr>
          <w:t>project</w:t>
        </w:r>
      </w:hyperlink>
      <w:r w:rsidRPr="00186B8C">
        <w:rPr>
          <w:color w:val="333333"/>
          <w:sz w:val="22"/>
          <w:szCs w:val="22"/>
        </w:rPr>
        <w:t> that will exceed the 25 percent per-project cap (as described in </w:t>
      </w:r>
      <w:hyperlink r:id="rId15" w:history="1">
        <w:r w:rsidRPr="00186B8C">
          <w:rPr>
            <w:rStyle w:val="Hyperlink"/>
            <w:color w:val="001C72"/>
            <w:sz w:val="22"/>
            <w:szCs w:val="22"/>
          </w:rPr>
          <w:t>§ 983.56</w:t>
        </w:r>
      </w:hyperlink>
      <w:r w:rsidRPr="00186B8C">
        <w:rPr>
          <w:color w:val="333333"/>
          <w:sz w:val="22"/>
          <w:szCs w:val="22"/>
        </w:rPr>
        <w:t>), which will be set-aside for occupancy by </w:t>
      </w:r>
      <w:hyperlink r:id="rId16" w:history="1">
        <w:r w:rsidRPr="00186B8C">
          <w:rPr>
            <w:rStyle w:val="Hyperlink"/>
            <w:color w:val="001C72"/>
            <w:sz w:val="22"/>
            <w:szCs w:val="22"/>
          </w:rPr>
          <w:t>qualifying families</w:t>
        </w:r>
      </w:hyperlink>
      <w:r w:rsidRPr="00186B8C">
        <w:rPr>
          <w:color w:val="333333"/>
          <w:sz w:val="22"/>
          <w:szCs w:val="22"/>
        </w:rPr>
        <w:t> (elderly and/or disabled families and families receiving supportive services); and</w:t>
      </w:r>
    </w:p>
    <w:p w:rsidR="00186B8C" w:rsidRPr="00186B8C" w:rsidP="1AD87E82" w14:paraId="5D2690FF" w14:textId="77777777">
      <w:pPr>
        <w:pStyle w:val="psection-1"/>
        <w:shd w:val="clear" w:color="auto" w:fill="FFFFFF" w:themeFill="background1"/>
        <w:spacing w:before="150" w:beforeAutospacing="0" w:after="150" w:afterAutospacing="0"/>
        <w:ind w:left="720"/>
        <w:rPr>
          <w:color w:val="333333"/>
          <w:sz w:val="22"/>
          <w:szCs w:val="22"/>
        </w:rPr>
      </w:pPr>
      <w:r w:rsidRPr="00186B8C">
        <w:rPr>
          <w:rStyle w:val="enumxml"/>
          <w:b/>
          <w:bCs/>
          <w:color w:val="333333"/>
          <w:sz w:val="22"/>
          <w:szCs w:val="22"/>
        </w:rPr>
        <w:t>(i)</w:t>
      </w:r>
      <w:r w:rsidRPr="00186B8C">
        <w:rPr>
          <w:color w:val="333333"/>
          <w:sz w:val="22"/>
          <w:szCs w:val="22"/>
        </w:rPr>
        <w:t> The initial </w:t>
      </w:r>
      <w:hyperlink r:id="rId10" w:history="1">
        <w:r w:rsidRPr="00186B8C">
          <w:rPr>
            <w:rStyle w:val="Hyperlink"/>
            <w:color w:val="001C72"/>
            <w:sz w:val="22"/>
            <w:szCs w:val="22"/>
          </w:rPr>
          <w:t>rent to owner</w:t>
        </w:r>
      </w:hyperlink>
      <w:r w:rsidRPr="00186B8C">
        <w:rPr>
          <w:color w:val="333333"/>
          <w:sz w:val="22"/>
          <w:szCs w:val="22"/>
        </w:rPr>
        <w:t> (for the first 12 months of the HAP contract term).</w:t>
      </w:r>
    </w:p>
    <w:p w:rsidR="00B34177" w:rsidP="1AD87E82" w14:paraId="7BAF6042" w14:textId="51190D51">
      <w:pPr>
        <w:keepLines/>
        <w:tabs>
          <w:tab w:val="left" w:pos="360"/>
        </w:tabs>
        <w:spacing w:after="80"/>
        <w:rPr>
          <w:b/>
          <w:bCs/>
          <w:sz w:val="22"/>
          <w:szCs w:val="22"/>
        </w:rPr>
      </w:pPr>
    </w:p>
    <w:p w:rsidR="00CD169B" w:rsidP="00CD169B" w14:paraId="51D4CA25" w14:textId="4833862E">
      <w:pPr>
        <w:keepLines/>
        <w:tabs>
          <w:tab w:val="left" w:pos="360"/>
        </w:tabs>
        <w:spacing w:after="80"/>
        <w:ind w:left="360"/>
        <w:rPr>
          <w:color w:val="000000"/>
          <w:sz w:val="22"/>
        </w:rPr>
      </w:pPr>
      <w:r w:rsidRPr="00C71F1A">
        <w:rPr>
          <w:b/>
          <w:bCs/>
          <w:color w:val="000000"/>
          <w:sz w:val="22"/>
        </w:rPr>
        <w:t>Notice PIH 2012-21</w:t>
      </w:r>
      <w:r>
        <w:rPr>
          <w:b/>
          <w:bCs/>
          <w:color w:val="000000"/>
          <w:sz w:val="22"/>
        </w:rPr>
        <w:t xml:space="preserve"> | </w:t>
      </w:r>
      <w:r w:rsidRPr="00ED07AB">
        <w:rPr>
          <w:color w:val="000000"/>
          <w:sz w:val="22"/>
        </w:rPr>
        <w:t>Financial Reporting Requirements for the HCV Program Submitted through the FASH-PH and VMS</w:t>
      </w:r>
    </w:p>
    <w:p w:rsidR="00CD169B" w:rsidRPr="00ED07AB" w:rsidP="00CD169B" w14:paraId="6B5BD8E3" w14:textId="77777777">
      <w:pPr>
        <w:keepLines/>
        <w:tabs>
          <w:tab w:val="left" w:pos="360"/>
        </w:tabs>
        <w:spacing w:after="80"/>
        <w:ind w:left="720"/>
        <w:rPr>
          <w:color w:val="000000"/>
          <w:sz w:val="22"/>
        </w:rPr>
      </w:pPr>
      <w:r w:rsidRPr="00ED07AB">
        <w:rPr>
          <w:color w:val="000000"/>
          <w:sz w:val="22"/>
        </w:rPr>
        <w:t>(9) PHAs are required to transmit certain leasing and cost data electronically through VMS. Data is collected monthly. Reporting is time sensitive.</w:t>
      </w:r>
    </w:p>
    <w:p w:rsidR="00CD169B" w:rsidRPr="00C71F1A" w:rsidP="00CD169B" w14:paraId="3D9C6870" w14:textId="77777777">
      <w:pPr>
        <w:keepLines/>
        <w:tabs>
          <w:tab w:val="left" w:pos="360"/>
        </w:tabs>
        <w:spacing w:after="80"/>
        <w:ind w:left="360"/>
        <w:rPr>
          <w:b/>
          <w:bCs/>
          <w:color w:val="000000"/>
          <w:sz w:val="22"/>
        </w:rPr>
      </w:pPr>
    </w:p>
    <w:p w:rsidR="00CD169B" w:rsidP="00CD169B" w14:paraId="345F60C9" w14:textId="77777777">
      <w:pPr>
        <w:keepLines/>
        <w:tabs>
          <w:tab w:val="left" w:pos="360"/>
        </w:tabs>
        <w:spacing w:after="80"/>
        <w:rPr>
          <w:color w:val="000000"/>
          <w:sz w:val="22"/>
          <w:szCs w:val="22"/>
        </w:rPr>
      </w:pPr>
      <w:r>
        <w:rPr>
          <w:color w:val="000000"/>
          <w:sz w:val="22"/>
        </w:rPr>
        <w:tab/>
      </w:r>
      <w:r w:rsidRPr="654B2FB4">
        <w:rPr>
          <w:b/>
          <w:color w:val="000000"/>
          <w:sz w:val="22"/>
          <w:szCs w:val="22"/>
        </w:rPr>
        <w:t>Notice PIH 2017-21</w:t>
      </w:r>
      <w:r w:rsidRPr="654B2FB4">
        <w:rPr>
          <w:color w:val="000000"/>
          <w:sz w:val="22"/>
          <w:szCs w:val="22"/>
        </w:rPr>
        <w:t xml:space="preserve"> | Implementation Guidance: HOTMA – HCV and PBV Provisions</w:t>
      </w:r>
    </w:p>
    <w:p w:rsidR="00CD169B" w:rsidRPr="000737C1" w:rsidP="00CD169B" w14:paraId="4A10DF87" w14:textId="77777777">
      <w:pPr>
        <w:keepLines/>
        <w:tabs>
          <w:tab w:val="left" w:pos="360"/>
        </w:tabs>
        <w:spacing w:after="80"/>
        <w:ind w:left="720"/>
        <w:rPr>
          <w:color w:val="000000"/>
          <w:sz w:val="22"/>
          <w:szCs w:val="22"/>
        </w:rPr>
      </w:pPr>
      <w:r w:rsidRPr="24225061">
        <w:rPr>
          <w:color w:val="000000" w:themeColor="text1"/>
          <w:sz w:val="22"/>
          <w:szCs w:val="22"/>
        </w:rPr>
        <w:t>Appendix III (5) | PHAs are required to submit leasing and cost data in the VMS on a monthly basis. PHAs report (a) the number of PBVs under an AHAP but not under a HAP, (b) the number of PBVs under a HAP and leased, (c) the number of PBVs under a HAP that are note leased and not receiving vacancy payments, (d) the number of PBVs under a HAP and not leased with vacancy payments and associated vacancy HAP expenses and (e) HAP expenses.</w:t>
      </w:r>
    </w:p>
    <w:p w:rsidR="4C0D829F" w:rsidP="4C0D829F" w14:paraId="6B540B69" w14:textId="6AE414DA">
      <w:pPr>
        <w:keepLines/>
        <w:tabs>
          <w:tab w:val="left" w:pos="360"/>
        </w:tabs>
        <w:spacing w:after="80"/>
        <w:ind w:left="720"/>
        <w:rPr>
          <w:color w:val="000000" w:themeColor="text1"/>
          <w:sz w:val="22"/>
          <w:szCs w:val="22"/>
        </w:rPr>
      </w:pPr>
    </w:p>
    <w:p w:rsidR="00CD169B" w:rsidP="00CD169B" w14:paraId="045C1616" w14:textId="77777777">
      <w:pPr>
        <w:tabs>
          <w:tab w:val="left" w:pos="360"/>
        </w:tabs>
        <w:spacing w:after="80"/>
        <w:rPr>
          <w:sz w:val="22"/>
          <w:szCs w:val="22"/>
        </w:rPr>
      </w:pPr>
      <w:r w:rsidRPr="000737C1">
        <w:rPr>
          <w:b/>
          <w:bCs/>
          <w:color w:val="000000" w:themeColor="text1"/>
          <w:sz w:val="22"/>
          <w:szCs w:val="22"/>
        </w:rPr>
        <w:t xml:space="preserve">      Notice </w:t>
      </w:r>
      <w:r w:rsidRPr="000737C1">
        <w:rPr>
          <w:b/>
          <w:bCs/>
          <w:sz w:val="22"/>
          <w:szCs w:val="22"/>
        </w:rPr>
        <w:t>PIH-2019- 23 (HA)</w:t>
      </w:r>
      <w:r w:rsidRPr="654B2FB4">
        <w:rPr>
          <w:sz w:val="22"/>
          <w:szCs w:val="22"/>
        </w:rPr>
        <w:t xml:space="preserve"> | Rental Assistance Demonstration – Final Implementation, Revision 4</w:t>
      </w:r>
    </w:p>
    <w:p w:rsidR="00CD169B" w:rsidP="00CD169B" w14:paraId="5BC80DE0" w14:textId="77777777">
      <w:pPr>
        <w:tabs>
          <w:tab w:val="left" w:pos="360"/>
        </w:tabs>
        <w:spacing w:after="80"/>
        <w:ind w:left="360"/>
        <w:rPr>
          <w:sz w:val="22"/>
          <w:szCs w:val="22"/>
        </w:rPr>
      </w:pPr>
      <w:r w:rsidRPr="654B2FB4">
        <w:rPr>
          <w:sz w:val="22"/>
          <w:szCs w:val="22"/>
        </w:rPr>
        <w:t xml:space="preserve">The Project Owner shall establish and maintain a replacement reserve in an interest-bearing account to aid in </w:t>
      </w:r>
      <w:r>
        <w:tab/>
      </w:r>
      <w:r w:rsidRPr="654B2FB4">
        <w:rPr>
          <w:sz w:val="22"/>
          <w:szCs w:val="22"/>
        </w:rPr>
        <w:t xml:space="preserve">funding extraordinary maintenance and repair and replacement of capital items in accordance with applicable regulations. The reserve must be built up to and maintained at a level determined by HUD to be sufficient to meet projected requirements. For FHA transactions, Replacement Reserves shall be maintained in accordance with the FHA </w:t>
      </w:r>
      <w:r w:rsidRPr="654B2FB4">
        <w:rPr>
          <w:sz w:val="22"/>
          <w:szCs w:val="22"/>
        </w:rPr>
        <w:t>Regulatory Agreement. For all other transactions, Replacement Reserves shall be maintained in a bank account or similar instrument, as approved by HUD, where funds will be held by the Project Owner or mortgagee and may be drawn from the reserve account and used subject to HUD guidelines.</w:t>
      </w:r>
    </w:p>
    <w:p w:rsidR="00CD169B" w:rsidP="00CD169B" w14:paraId="24C939F2" w14:textId="77777777">
      <w:pPr>
        <w:tabs>
          <w:tab w:val="left" w:pos="360"/>
        </w:tabs>
        <w:rPr>
          <w:color w:val="000000"/>
          <w:sz w:val="18"/>
        </w:rPr>
      </w:pPr>
    </w:p>
    <w:p w:rsidR="00CD169B" w:rsidP="00CD169B" w14:paraId="56C0BE26" w14:textId="77777777">
      <w:pPr>
        <w:keepLines/>
        <w:tabs>
          <w:tab w:val="left" w:pos="360"/>
        </w:tabs>
        <w:spacing w:after="80"/>
        <w:ind w:left="360" w:hanging="360"/>
        <w:rPr>
          <w:b/>
          <w:bCs/>
          <w:color w:val="000000"/>
          <w:sz w:val="22"/>
        </w:rPr>
      </w:pPr>
      <w:r w:rsidRPr="00484EEA">
        <w:rPr>
          <w:b/>
          <w:bCs/>
          <w:color w:val="000000"/>
          <w:sz w:val="18"/>
        </w:rPr>
        <w:t>2.</w:t>
      </w:r>
      <w:r w:rsidRPr="00484EEA">
        <w:rPr>
          <w:b/>
          <w:bCs/>
          <w:color w:val="000000"/>
          <w:sz w:val="18"/>
        </w:rPr>
        <w:tab/>
      </w:r>
      <w:r w:rsidRPr="00484EEA">
        <w:rPr>
          <w:b/>
          <w:bCs/>
          <w:color w:val="000000"/>
          <w:sz w:val="22"/>
        </w:rPr>
        <w:t xml:space="preserve">How is the information collected and how is the information to be used?  </w:t>
      </w:r>
    </w:p>
    <w:p w:rsidR="00CD169B" w:rsidRPr="000737C1" w:rsidP="00CD169B" w14:paraId="3B4B8B5A" w14:textId="77777777">
      <w:pPr>
        <w:keepLines/>
        <w:tabs>
          <w:tab w:val="left" w:pos="360"/>
        </w:tabs>
        <w:spacing w:after="80"/>
        <w:ind w:left="360"/>
        <w:rPr>
          <w:color w:val="000000"/>
          <w:sz w:val="22"/>
          <w:szCs w:val="22"/>
        </w:rPr>
      </w:pPr>
      <w:r w:rsidRPr="4DB979E7">
        <w:rPr>
          <w:color w:val="000000" w:themeColor="text1"/>
          <w:sz w:val="22"/>
          <w:szCs w:val="22"/>
        </w:rPr>
        <w:t xml:space="preserve">Information will be collected through the Housing Information Portal (HIP) system within the PBV HAP Collection data module.  PHAs will be required to submit relevant HAP contract data on PBV projects.  Data points will include the number of PBV units by bedroom size, number of total units in the project, effective and expiration dates, and what exceptions apply. PHAs will also be required to enter replacement reserve information at the project-level for a subset of PBVs that are RAD.  </w:t>
      </w:r>
    </w:p>
    <w:p w:rsidR="00CD169B" w:rsidRPr="0031701C" w:rsidP="00CD169B" w14:paraId="5C2DC37A" w14:textId="77777777">
      <w:pPr>
        <w:keepLines/>
        <w:tabs>
          <w:tab w:val="left" w:pos="360"/>
        </w:tabs>
        <w:spacing w:after="80"/>
        <w:ind w:left="360" w:hanging="360"/>
        <w:rPr>
          <w:color w:val="000000"/>
          <w:sz w:val="22"/>
          <w:szCs w:val="22"/>
        </w:rPr>
      </w:pPr>
      <w:r>
        <w:rPr>
          <w:color w:val="000000"/>
          <w:sz w:val="22"/>
        </w:rPr>
        <w:tab/>
      </w:r>
      <w:r w:rsidRPr="5C11DD0C">
        <w:rPr>
          <w:color w:val="000000"/>
          <w:sz w:val="22"/>
          <w:szCs w:val="22"/>
        </w:rPr>
        <w:t>The information will be used by HUD to track PBV projects and monitor the PBV program. It will also be used to respond to requests for information on the PBV program from Congress and other stakeholders.</w:t>
      </w:r>
    </w:p>
    <w:p w:rsidR="00CD169B" w:rsidP="00CD169B" w14:paraId="62B0F99B" w14:textId="77777777">
      <w:pPr>
        <w:tabs>
          <w:tab w:val="left" w:pos="360"/>
        </w:tabs>
        <w:rPr>
          <w:color w:val="000000"/>
          <w:sz w:val="18"/>
        </w:rPr>
      </w:pPr>
    </w:p>
    <w:p w:rsidR="00CD169B" w:rsidP="00CD169B" w14:paraId="3A64AACB" w14:textId="77777777">
      <w:pPr>
        <w:keepLines/>
        <w:tabs>
          <w:tab w:val="left" w:pos="360"/>
        </w:tabs>
        <w:spacing w:after="80"/>
        <w:ind w:left="360" w:hanging="360"/>
        <w:rPr>
          <w:color w:val="000000"/>
          <w:sz w:val="22"/>
        </w:rPr>
      </w:pPr>
      <w:r>
        <w:rPr>
          <w:color w:val="000000"/>
          <w:sz w:val="18"/>
        </w:rPr>
        <w:t>3.</w:t>
      </w:r>
      <w:r>
        <w:rPr>
          <w:color w:val="000000"/>
          <w:sz w:val="18"/>
        </w:rPr>
        <w:tab/>
      </w:r>
      <w:r w:rsidRPr="00F06A6C">
        <w:rPr>
          <w:b/>
          <w:bCs/>
          <w:color w:val="000000"/>
          <w:sz w:val="22"/>
        </w:rPr>
        <w:t>Describe whether, and to what extent, the collection of information is automated (item 13b1 of OMB form 83-i).  If it’s not automated, explain why not.  Also describe any other efforts to reduce burden.</w:t>
      </w:r>
    </w:p>
    <w:p w:rsidR="00CD169B" w:rsidP="00CD169B" w14:paraId="42F8EE69" w14:textId="77777777">
      <w:pPr>
        <w:keepLines/>
        <w:tabs>
          <w:tab w:val="left" w:pos="360"/>
        </w:tabs>
        <w:spacing w:after="80"/>
        <w:ind w:left="360"/>
        <w:rPr>
          <w:color w:val="000000"/>
          <w:sz w:val="22"/>
          <w:szCs w:val="22"/>
        </w:rPr>
      </w:pPr>
      <w:r w:rsidRPr="5C11DD0C">
        <w:rPr>
          <w:color w:val="000000"/>
          <w:sz w:val="22"/>
          <w:szCs w:val="22"/>
        </w:rPr>
        <w:t xml:space="preserve">Data entry will not be automated. PHAs will only need to enter information when they </w:t>
      </w:r>
      <w:r>
        <w:rPr>
          <w:color w:val="000000"/>
          <w:sz w:val="22"/>
          <w:szCs w:val="22"/>
        </w:rPr>
        <w:t>execute new HAP contracts</w:t>
      </w:r>
      <w:r w:rsidRPr="5C11DD0C">
        <w:rPr>
          <w:color w:val="000000"/>
          <w:sz w:val="22"/>
          <w:szCs w:val="22"/>
        </w:rPr>
        <w:t xml:space="preserve">, or when information about </w:t>
      </w:r>
      <w:r>
        <w:rPr>
          <w:color w:val="000000"/>
          <w:sz w:val="22"/>
          <w:szCs w:val="22"/>
        </w:rPr>
        <w:t xml:space="preserve">a HAP contract </w:t>
      </w:r>
      <w:r w:rsidRPr="5C11DD0C">
        <w:rPr>
          <w:color w:val="000000"/>
          <w:sz w:val="22"/>
          <w:szCs w:val="22"/>
        </w:rPr>
        <w:t>changes.</w:t>
      </w:r>
    </w:p>
    <w:p w:rsidR="00CD169B" w:rsidP="00CD169B" w14:paraId="62DF029E" w14:textId="77777777">
      <w:pPr>
        <w:tabs>
          <w:tab w:val="left" w:pos="360"/>
        </w:tabs>
        <w:ind w:left="360" w:hanging="360"/>
        <w:rPr>
          <w:color w:val="000000"/>
          <w:sz w:val="18"/>
        </w:rPr>
      </w:pPr>
    </w:p>
    <w:p w:rsidR="00CD169B" w:rsidRPr="00C20477" w:rsidP="00CD169B" w14:paraId="20744463" w14:textId="77777777">
      <w:pPr>
        <w:keepLines/>
        <w:tabs>
          <w:tab w:val="left" w:pos="360"/>
        </w:tabs>
        <w:spacing w:after="80"/>
        <w:ind w:left="360" w:hanging="360"/>
        <w:rPr>
          <w:b/>
          <w:bCs/>
          <w:color w:val="000000"/>
          <w:sz w:val="22"/>
        </w:rPr>
      </w:pPr>
      <w:r>
        <w:rPr>
          <w:color w:val="000000"/>
          <w:sz w:val="18"/>
        </w:rPr>
        <w:t>4.</w:t>
      </w:r>
      <w:r>
        <w:rPr>
          <w:color w:val="000000"/>
          <w:sz w:val="18"/>
        </w:rPr>
        <w:tab/>
      </w:r>
      <w:r w:rsidRPr="00F06A6C">
        <w:rPr>
          <w:b/>
          <w:bCs/>
          <w:color w:val="000000"/>
          <w:sz w:val="22"/>
        </w:rPr>
        <w:t>Is this information collected elsewhere?  If so, why cannot any similar information already available be used or modified.</w:t>
      </w:r>
    </w:p>
    <w:p w:rsidR="00CD169B" w:rsidRPr="00F06A6C" w:rsidP="00CD169B" w14:paraId="27704D67" w14:textId="77777777">
      <w:pPr>
        <w:keepLines/>
        <w:tabs>
          <w:tab w:val="left" w:pos="360"/>
        </w:tabs>
        <w:spacing w:after="80"/>
        <w:ind w:left="360"/>
        <w:rPr>
          <w:color w:val="000000"/>
          <w:sz w:val="22"/>
          <w:szCs w:val="22"/>
        </w:rPr>
      </w:pPr>
      <w:r w:rsidRPr="5C11DD0C">
        <w:rPr>
          <w:color w:val="000000"/>
          <w:sz w:val="22"/>
          <w:szCs w:val="22"/>
        </w:rPr>
        <w:t xml:space="preserve">This information is currently not collected elsewhere by HUD. PHAs may be recording and managing this information internally. </w:t>
      </w:r>
    </w:p>
    <w:p w:rsidR="00CD169B" w:rsidP="00CD169B" w14:paraId="1A562E2E" w14:textId="77777777">
      <w:pPr>
        <w:tabs>
          <w:tab w:val="left" w:pos="360"/>
        </w:tabs>
        <w:ind w:left="360" w:hanging="360"/>
        <w:rPr>
          <w:color w:val="000000"/>
          <w:sz w:val="18"/>
        </w:rPr>
      </w:pPr>
    </w:p>
    <w:p w:rsidR="00CD169B" w:rsidP="00CD169B" w14:paraId="7736524E" w14:textId="77777777">
      <w:pPr>
        <w:keepLines/>
        <w:tabs>
          <w:tab w:val="left" w:pos="360"/>
        </w:tabs>
        <w:spacing w:after="80"/>
        <w:ind w:left="360" w:hanging="360"/>
        <w:rPr>
          <w:color w:val="000000"/>
          <w:sz w:val="22"/>
        </w:rPr>
      </w:pPr>
      <w:r>
        <w:rPr>
          <w:color w:val="000000"/>
          <w:sz w:val="18"/>
        </w:rPr>
        <w:t>5.</w:t>
      </w:r>
      <w:r>
        <w:rPr>
          <w:color w:val="000000"/>
          <w:sz w:val="18"/>
        </w:rPr>
        <w:tab/>
      </w:r>
      <w:r w:rsidRPr="00F06A6C">
        <w:rPr>
          <w:b/>
          <w:bCs/>
          <w:color w:val="000000"/>
          <w:sz w:val="22"/>
        </w:rPr>
        <w:t>Does the collection of information impact small businesses or other small entities (item 5 of OMB form 83-i)?  Describe any methods used to minimize burden.</w:t>
      </w:r>
    </w:p>
    <w:p w:rsidR="00CD169B" w:rsidP="00CD169B" w14:paraId="7A0071FE" w14:textId="77777777">
      <w:pPr>
        <w:keepLines/>
        <w:tabs>
          <w:tab w:val="left" w:pos="360"/>
        </w:tabs>
        <w:spacing w:after="80"/>
        <w:ind w:left="360"/>
        <w:rPr>
          <w:color w:val="000000"/>
          <w:sz w:val="22"/>
          <w:szCs w:val="22"/>
        </w:rPr>
      </w:pPr>
      <w:r w:rsidRPr="5C11DD0C">
        <w:rPr>
          <w:color w:val="000000"/>
          <w:sz w:val="22"/>
          <w:szCs w:val="22"/>
        </w:rPr>
        <w:t>This collection of information will impact all PHAs that have project-based</w:t>
      </w:r>
      <w:r>
        <w:rPr>
          <w:color w:val="000000"/>
          <w:sz w:val="22"/>
          <w:szCs w:val="22"/>
        </w:rPr>
        <w:t xml:space="preserve"> </w:t>
      </w:r>
      <w:r w:rsidRPr="5C11DD0C">
        <w:rPr>
          <w:color w:val="000000"/>
          <w:sz w:val="22"/>
          <w:szCs w:val="22"/>
        </w:rPr>
        <w:t>vouchers in their portfolio. This may include small PHAs. HUD may provide technical assistance to PHAs that require assistance understanding the new reporting fields for PBVs.</w:t>
      </w:r>
    </w:p>
    <w:p w:rsidR="00CD169B" w:rsidP="00CD169B" w14:paraId="7E22209F" w14:textId="77777777">
      <w:pPr>
        <w:tabs>
          <w:tab w:val="left" w:pos="360"/>
        </w:tabs>
        <w:ind w:left="360" w:hanging="360"/>
        <w:rPr>
          <w:color w:val="000000"/>
          <w:sz w:val="18"/>
        </w:rPr>
      </w:pPr>
    </w:p>
    <w:p w:rsidR="00CD169B" w:rsidP="00CD169B" w14:paraId="7E4A5DA2" w14:textId="77777777">
      <w:pPr>
        <w:keepLines/>
        <w:tabs>
          <w:tab w:val="left" w:pos="360"/>
        </w:tabs>
        <w:spacing w:after="80"/>
        <w:ind w:left="360" w:hanging="360"/>
        <w:rPr>
          <w:b/>
          <w:bCs/>
          <w:color w:val="000000"/>
          <w:sz w:val="22"/>
        </w:rPr>
      </w:pPr>
      <w:r>
        <w:rPr>
          <w:color w:val="000000"/>
          <w:sz w:val="18"/>
        </w:rPr>
        <w:t>6.</w:t>
      </w:r>
      <w:r>
        <w:rPr>
          <w:color w:val="000000"/>
          <w:sz w:val="18"/>
        </w:rPr>
        <w:tab/>
      </w:r>
      <w:r w:rsidRPr="00F06A6C">
        <w:rPr>
          <w:b/>
          <w:bCs/>
          <w:color w:val="000000"/>
          <w:sz w:val="22"/>
        </w:rPr>
        <w:t>Describe the consequence to Federal program or policy activities if the collection is not conducted or is conducted less frequently, as well as any technical or legal obstacles to reducing burden.</w:t>
      </w:r>
    </w:p>
    <w:p w:rsidR="00CD169B" w:rsidP="00CD169B" w14:paraId="05F70305" w14:textId="77777777">
      <w:pPr>
        <w:keepLines/>
        <w:tabs>
          <w:tab w:val="left" w:pos="360"/>
        </w:tabs>
        <w:spacing w:after="80"/>
        <w:ind w:left="360"/>
        <w:rPr>
          <w:color w:val="000000"/>
          <w:sz w:val="22"/>
          <w:szCs w:val="22"/>
        </w:rPr>
      </w:pPr>
      <w:r w:rsidRPr="5C11DD0C">
        <w:rPr>
          <w:color w:val="000000"/>
          <w:sz w:val="22"/>
          <w:szCs w:val="22"/>
        </w:rPr>
        <w:t>Currently, HUD does not track project-level data on the Project Based Voucher portfolio. Consequences include – continued lack of understanding of how PBVs are being implemented and how this is impacting the PHA’s ability to house low-income families, continued lack of ability to appropriately monitor and manage risk within the PBV program, inability to conduct meaningful research on the PBV portfolio and develop recommendations for improvement.  Additionally, having more detailed information would allow HUD to respond to requests for information from Congress and the public.</w:t>
      </w:r>
    </w:p>
    <w:p w:rsidR="00CD169B" w:rsidP="00CD169B" w14:paraId="703B9155" w14:textId="77777777">
      <w:pPr>
        <w:tabs>
          <w:tab w:val="left" w:pos="360"/>
        </w:tabs>
        <w:ind w:left="360" w:hanging="360"/>
        <w:rPr>
          <w:color w:val="000000"/>
          <w:sz w:val="18"/>
        </w:rPr>
      </w:pPr>
    </w:p>
    <w:p w:rsidR="00CD169B" w:rsidRPr="00126444" w:rsidP="00CD169B" w14:paraId="384364C3" w14:textId="77777777">
      <w:pPr>
        <w:numPr>
          <w:ilvl w:val="0"/>
          <w:numId w:val="3"/>
        </w:numPr>
        <w:overflowPunct/>
        <w:autoSpaceDE/>
        <w:autoSpaceDN/>
        <w:adjustRightInd/>
        <w:spacing w:after="200" w:line="276" w:lineRule="auto"/>
        <w:ind w:left="360" w:firstLine="0"/>
        <w:contextualSpacing/>
        <w:textAlignment w:val="auto"/>
        <w:rPr>
          <w:rFonts w:eastAsia="Calibri"/>
          <w:sz w:val="22"/>
          <w:szCs w:val="22"/>
        </w:rPr>
      </w:pPr>
      <w:r w:rsidRPr="00126444">
        <w:rPr>
          <w:rFonts w:eastAsia="Calibri"/>
          <w:b/>
          <w:sz w:val="22"/>
          <w:szCs w:val="22"/>
        </w:rPr>
        <w:t>Explain any special circumstances that would cause an information to be collected in a manner:</w:t>
      </w:r>
    </w:p>
    <w:p w:rsidR="00CD169B" w:rsidP="00CD169B" w14:paraId="0C7D627D" w14:textId="77777777">
      <w:pPr>
        <w:overflowPunct/>
        <w:autoSpaceDE/>
        <w:autoSpaceDN/>
        <w:adjustRightInd/>
        <w:spacing w:after="200" w:line="276" w:lineRule="auto"/>
        <w:ind w:left="1485"/>
        <w:contextualSpacing/>
        <w:textAlignment w:val="auto"/>
        <w:rPr>
          <w:rFonts w:eastAsia="Calibri"/>
        </w:rPr>
      </w:pPr>
      <w:bookmarkStart w:id="0" w:name="_Hlk494808620"/>
    </w:p>
    <w:p w:rsidR="00CD169B" w:rsidRPr="00126444" w:rsidP="00CD169B" w14:paraId="4137FA20"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R</w:t>
      </w:r>
      <w:r w:rsidRPr="00126444">
        <w:rPr>
          <w:rFonts w:eastAsia="Calibri"/>
          <w:sz w:val="22"/>
          <w:szCs w:val="22"/>
        </w:rPr>
        <w:t xml:space="preserve">equiring respondents to report information to the agency more than quarterly; </w:t>
      </w:r>
    </w:p>
    <w:p w:rsidR="00CD169B" w:rsidP="00CD169B" w14:paraId="1B83779E" w14:textId="77777777">
      <w:pPr>
        <w:overflowPunct/>
        <w:autoSpaceDE/>
        <w:autoSpaceDN/>
        <w:adjustRightInd/>
        <w:spacing w:after="200" w:line="276" w:lineRule="auto"/>
        <w:ind w:left="720"/>
        <w:contextualSpacing/>
        <w:textAlignment w:val="auto"/>
        <w:rPr>
          <w:rFonts w:eastAsia="Calibri"/>
          <w:bCs/>
          <w:sz w:val="22"/>
          <w:szCs w:val="22"/>
        </w:rPr>
      </w:pPr>
      <w:r>
        <w:rPr>
          <w:rFonts w:eastAsia="Calibri"/>
          <w:bCs/>
          <w:sz w:val="22"/>
          <w:szCs w:val="22"/>
        </w:rPr>
        <w:t xml:space="preserve">PHAs would be required on a one-time basis to enter data into the system for all their projects, and </w:t>
      </w:r>
    </w:p>
    <w:p w:rsidR="00CD169B" w:rsidRPr="009113BD" w:rsidP="00CD169B" w14:paraId="1D90A1A5" w14:textId="77777777">
      <w:pPr>
        <w:overflowPunct/>
        <w:autoSpaceDE/>
        <w:autoSpaceDN/>
        <w:adjustRightInd/>
        <w:spacing w:after="200" w:line="276" w:lineRule="auto"/>
        <w:ind w:left="720"/>
        <w:contextualSpacing/>
        <w:textAlignment w:val="auto"/>
        <w:rPr>
          <w:rFonts w:eastAsia="Calibri"/>
          <w:b/>
          <w:sz w:val="22"/>
          <w:szCs w:val="22"/>
        </w:rPr>
      </w:pPr>
      <w:r w:rsidRPr="00EF0F91">
        <w:rPr>
          <w:rFonts w:eastAsia="Calibri"/>
          <w:b/>
          <w:sz w:val="22"/>
          <w:szCs w:val="22"/>
        </w:rPr>
        <w:t>Not Applicable</w:t>
      </w:r>
    </w:p>
    <w:p w:rsidR="00CD169B" w:rsidRPr="00126444" w:rsidP="00CD169B" w14:paraId="50960817"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R</w:t>
      </w:r>
      <w:r w:rsidRPr="00126444">
        <w:rPr>
          <w:rFonts w:eastAsia="Calibri"/>
          <w:sz w:val="22"/>
          <w:szCs w:val="22"/>
        </w:rPr>
        <w:t>equiring respondents to prepare a written response to a collection of information in fewer than 30 days after receipt of it;</w:t>
      </w:r>
    </w:p>
    <w:p w:rsidR="00CD169B" w:rsidRPr="009113BD" w:rsidP="00CD169B" w14:paraId="26C12955" w14:textId="77777777">
      <w:pPr>
        <w:overflowPunct/>
        <w:autoSpaceDE/>
        <w:autoSpaceDN/>
        <w:adjustRightInd/>
        <w:spacing w:after="200" w:line="276" w:lineRule="auto"/>
        <w:ind w:left="720"/>
        <w:contextualSpacing/>
        <w:textAlignment w:val="auto"/>
        <w:rPr>
          <w:rFonts w:eastAsia="Calibri"/>
          <w:b/>
          <w:sz w:val="22"/>
          <w:szCs w:val="22"/>
        </w:rPr>
      </w:pPr>
      <w:r w:rsidRPr="00D079B4">
        <w:rPr>
          <w:rFonts w:eastAsia="Calibri"/>
          <w:b/>
          <w:sz w:val="22"/>
          <w:szCs w:val="22"/>
        </w:rPr>
        <w:t>Not Applicable</w:t>
      </w:r>
    </w:p>
    <w:p w:rsidR="00CD169B" w:rsidRPr="00126444" w:rsidP="00CD169B" w14:paraId="5B5B6696"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R</w:t>
      </w:r>
      <w:r w:rsidRPr="00126444">
        <w:rPr>
          <w:rFonts w:eastAsia="Calibri"/>
          <w:sz w:val="22"/>
          <w:szCs w:val="22"/>
        </w:rPr>
        <w:t>equiring respondents to submit more than an original and two copies of any document;</w:t>
      </w:r>
    </w:p>
    <w:p w:rsidR="00CD169B" w:rsidRPr="009113BD" w:rsidP="00CD169B" w14:paraId="5C7B77FC" w14:textId="77777777">
      <w:pPr>
        <w:overflowPunct/>
        <w:autoSpaceDE/>
        <w:autoSpaceDN/>
        <w:adjustRightInd/>
        <w:spacing w:after="200" w:line="276" w:lineRule="auto"/>
        <w:ind w:left="720"/>
        <w:contextualSpacing/>
        <w:textAlignment w:val="auto"/>
        <w:rPr>
          <w:rFonts w:eastAsia="Calibri"/>
          <w:b/>
          <w:sz w:val="22"/>
          <w:szCs w:val="22"/>
        </w:rPr>
      </w:pPr>
      <w:r w:rsidRPr="00D079B4">
        <w:rPr>
          <w:rFonts w:eastAsia="Calibri"/>
          <w:b/>
          <w:sz w:val="22"/>
          <w:szCs w:val="22"/>
        </w:rPr>
        <w:t>Not Applicable</w:t>
      </w:r>
    </w:p>
    <w:p w:rsidR="00CD169B" w:rsidRPr="00126444" w:rsidP="00CD169B" w14:paraId="07B6E32E"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R</w:t>
      </w:r>
      <w:r w:rsidRPr="00126444">
        <w:rPr>
          <w:rFonts w:eastAsia="Calibri"/>
          <w:sz w:val="22"/>
          <w:szCs w:val="22"/>
        </w:rPr>
        <w:t>equiring respondents to retain records other than health, medical, government contract, grant-in-aid, or tax records for more than three years;</w:t>
      </w:r>
    </w:p>
    <w:p w:rsidR="00CD169B" w:rsidRPr="009113BD" w:rsidP="00CD169B" w14:paraId="0E360D04" w14:textId="77777777">
      <w:pPr>
        <w:overflowPunct/>
        <w:autoSpaceDE/>
        <w:autoSpaceDN/>
        <w:adjustRightInd/>
        <w:spacing w:after="200" w:line="276" w:lineRule="auto"/>
        <w:ind w:left="720"/>
        <w:contextualSpacing/>
        <w:textAlignment w:val="auto"/>
        <w:rPr>
          <w:rFonts w:eastAsia="Calibri"/>
          <w:b/>
          <w:sz w:val="22"/>
          <w:szCs w:val="22"/>
        </w:rPr>
      </w:pPr>
      <w:r w:rsidRPr="00D079B4">
        <w:rPr>
          <w:rFonts w:eastAsia="Calibri"/>
          <w:b/>
          <w:sz w:val="22"/>
          <w:szCs w:val="22"/>
        </w:rPr>
        <w:t>Not Applicable</w:t>
      </w:r>
    </w:p>
    <w:p w:rsidR="00CD169B" w:rsidRPr="00126444" w:rsidP="00CD169B" w14:paraId="4A9E19DC"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I</w:t>
      </w:r>
      <w:r w:rsidRPr="00126444">
        <w:rPr>
          <w:rFonts w:eastAsia="Calibri"/>
          <w:sz w:val="22"/>
          <w:szCs w:val="22"/>
        </w:rPr>
        <w:t>n connection with a statistical survey, that is not designed to produce valid and reliable results than can be generalized to the universe of the study;</w:t>
      </w:r>
    </w:p>
    <w:p w:rsidR="00CD169B" w:rsidRPr="009113BD" w:rsidP="00CD169B" w14:paraId="2E52EABC" w14:textId="77777777">
      <w:pPr>
        <w:overflowPunct/>
        <w:autoSpaceDE/>
        <w:autoSpaceDN/>
        <w:adjustRightInd/>
        <w:spacing w:after="200" w:line="276" w:lineRule="auto"/>
        <w:ind w:left="720"/>
        <w:contextualSpacing/>
        <w:textAlignment w:val="auto"/>
        <w:rPr>
          <w:rFonts w:eastAsia="Calibri"/>
          <w:b/>
          <w:sz w:val="22"/>
          <w:szCs w:val="22"/>
        </w:rPr>
      </w:pPr>
      <w:r w:rsidRPr="00D079B4">
        <w:rPr>
          <w:rFonts w:eastAsia="Calibri"/>
          <w:b/>
          <w:sz w:val="22"/>
          <w:szCs w:val="22"/>
        </w:rPr>
        <w:t>Not Applicable</w:t>
      </w:r>
    </w:p>
    <w:p w:rsidR="00CD169B" w:rsidRPr="00126444" w:rsidP="00CD169B" w14:paraId="3E03F1A8"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R</w:t>
      </w:r>
      <w:r w:rsidRPr="00126444">
        <w:rPr>
          <w:rFonts w:eastAsia="Calibri"/>
          <w:sz w:val="22"/>
          <w:szCs w:val="22"/>
        </w:rPr>
        <w:t>equiring the use of statistical data classification that has not been reviewed and approved by OMB;</w:t>
      </w:r>
    </w:p>
    <w:p w:rsidR="00CD169B" w:rsidRPr="009113BD" w:rsidP="00CD169B" w14:paraId="385A9F2F" w14:textId="77777777">
      <w:pPr>
        <w:overflowPunct/>
        <w:autoSpaceDE/>
        <w:autoSpaceDN/>
        <w:adjustRightInd/>
        <w:spacing w:after="200" w:line="276" w:lineRule="auto"/>
        <w:ind w:left="720"/>
        <w:contextualSpacing/>
        <w:textAlignment w:val="auto"/>
        <w:rPr>
          <w:rFonts w:eastAsia="Calibri"/>
          <w:b/>
          <w:sz w:val="22"/>
          <w:szCs w:val="22"/>
        </w:rPr>
      </w:pPr>
      <w:r w:rsidRPr="00D079B4">
        <w:rPr>
          <w:rFonts w:eastAsia="Calibri"/>
          <w:b/>
          <w:sz w:val="22"/>
          <w:szCs w:val="22"/>
        </w:rPr>
        <w:t>Not Applicable</w:t>
      </w:r>
    </w:p>
    <w:p w:rsidR="00CD169B" w:rsidRPr="00126444" w:rsidP="00CD169B" w14:paraId="0799B029"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T</w:t>
      </w:r>
      <w:r w:rsidRPr="00126444">
        <w:rPr>
          <w:rFonts w:eastAsia="Calibri"/>
          <w:sz w:val="22"/>
          <w:szCs w:val="22"/>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169B" w:rsidRPr="009113BD" w:rsidP="00CD169B" w14:paraId="2E07BF75" w14:textId="77777777">
      <w:pPr>
        <w:overflowPunct/>
        <w:autoSpaceDE/>
        <w:autoSpaceDN/>
        <w:adjustRightInd/>
        <w:spacing w:after="200" w:line="276" w:lineRule="auto"/>
        <w:ind w:left="720"/>
        <w:contextualSpacing/>
        <w:textAlignment w:val="auto"/>
        <w:rPr>
          <w:rFonts w:eastAsia="Calibri"/>
          <w:b/>
          <w:sz w:val="22"/>
          <w:szCs w:val="22"/>
        </w:rPr>
      </w:pPr>
      <w:r w:rsidRPr="00D079B4">
        <w:rPr>
          <w:rFonts w:eastAsia="Calibri"/>
          <w:b/>
          <w:sz w:val="22"/>
          <w:szCs w:val="22"/>
        </w:rPr>
        <w:t>Not Applicable</w:t>
      </w:r>
    </w:p>
    <w:p w:rsidR="00CD169B" w:rsidRPr="00126444" w:rsidP="00CD169B" w14:paraId="7A48A592" w14:textId="77777777">
      <w:pPr>
        <w:numPr>
          <w:ilvl w:val="0"/>
          <w:numId w:val="2"/>
        </w:numPr>
        <w:overflowPunct/>
        <w:autoSpaceDE/>
        <w:autoSpaceDN/>
        <w:adjustRightInd/>
        <w:spacing w:after="200" w:line="276" w:lineRule="auto"/>
        <w:ind w:left="720"/>
        <w:contextualSpacing/>
        <w:textAlignment w:val="auto"/>
        <w:rPr>
          <w:rFonts w:eastAsia="Calibri"/>
          <w:sz w:val="22"/>
          <w:szCs w:val="22"/>
        </w:rPr>
      </w:pPr>
      <w:r>
        <w:rPr>
          <w:rFonts w:eastAsia="Calibri"/>
          <w:sz w:val="22"/>
          <w:szCs w:val="22"/>
        </w:rPr>
        <w:t>R</w:t>
      </w:r>
      <w:r w:rsidRPr="00126444">
        <w:rPr>
          <w:rFonts w:eastAsia="Calibri"/>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CD169B" w:rsidRPr="00D079B4" w:rsidP="00CD169B" w14:paraId="5004C979" w14:textId="77777777">
      <w:pPr>
        <w:overflowPunct/>
        <w:autoSpaceDE/>
        <w:autoSpaceDN/>
        <w:adjustRightInd/>
        <w:spacing w:after="200" w:line="276" w:lineRule="auto"/>
        <w:ind w:left="720"/>
        <w:contextualSpacing/>
        <w:textAlignment w:val="auto"/>
        <w:rPr>
          <w:rFonts w:eastAsia="Calibri"/>
          <w:b/>
          <w:sz w:val="22"/>
          <w:szCs w:val="22"/>
        </w:rPr>
      </w:pPr>
      <w:r w:rsidRPr="00D079B4">
        <w:rPr>
          <w:rFonts w:eastAsia="Calibri"/>
          <w:b/>
          <w:sz w:val="22"/>
          <w:szCs w:val="22"/>
        </w:rPr>
        <w:t>Not Applicable</w:t>
      </w:r>
    </w:p>
    <w:bookmarkEnd w:id="0"/>
    <w:p w:rsidR="00CD169B" w:rsidP="00CD169B" w14:paraId="62B21579" w14:textId="77777777">
      <w:pPr>
        <w:tabs>
          <w:tab w:val="left" w:pos="360"/>
        </w:tabs>
        <w:rPr>
          <w:color w:val="000000"/>
          <w:sz w:val="22"/>
        </w:rPr>
      </w:pPr>
    </w:p>
    <w:p w:rsidR="006935F3" w:rsidP="006935F3" w14:paraId="6A1EC7DE" w14:textId="27DCA291">
      <w:pPr>
        <w:pStyle w:val="ListParagraph"/>
        <w:numPr>
          <w:ilvl w:val="0"/>
          <w:numId w:val="3"/>
        </w:numPr>
        <w:tabs>
          <w:tab w:val="left" w:pos="360"/>
        </w:tabs>
        <w:rPr>
          <w:sz w:val="18"/>
        </w:rPr>
      </w:pPr>
      <w:r w:rsidRPr="006935F3">
        <w:rPr>
          <w:sz w:val="18"/>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935F3" w:rsidRPr="006935F3" w:rsidP="006935F3" w14:paraId="6EE67F9A" w14:textId="77777777">
      <w:pPr>
        <w:pStyle w:val="ListParagraph"/>
        <w:tabs>
          <w:tab w:val="left" w:pos="360"/>
        </w:tabs>
        <w:ind w:left="810"/>
        <w:rPr>
          <w:sz w:val="18"/>
        </w:rPr>
      </w:pPr>
    </w:p>
    <w:p w:rsidR="006935F3" w:rsidP="006935F3" w14:paraId="39E686EF" w14:textId="21D4236E">
      <w:pPr>
        <w:numPr>
          <w:ilvl w:val="0"/>
          <w:numId w:val="5"/>
        </w:numPr>
        <w:tabs>
          <w:tab w:val="left" w:pos="360"/>
        </w:tabs>
        <w:rPr>
          <w:sz w:val="18"/>
        </w:rPr>
      </w:pPr>
      <w:r>
        <w:rPr>
          <w:sz w:val="18"/>
        </w:rPr>
        <w:t xml:space="preserve">Describe efforts to consult with persons outside the agency to obtain their views on the availability of data, frequency of collection, the clarity of instructions and recordkeeping disclosure, or reporting format (if any) and the data elements to be recorded, disclosed, or reported. </w:t>
      </w:r>
      <w:r w:rsidRPr="006935F3">
        <w:rPr>
          <w:b/>
          <w:bCs/>
          <w:sz w:val="22"/>
          <w:szCs w:val="22"/>
        </w:rPr>
        <w:t>Not Applicable</w:t>
      </w:r>
    </w:p>
    <w:p w:rsidR="00CD169B" w:rsidP="006935F3" w14:paraId="64EEC016" w14:textId="16AE3A6D">
      <w:pPr>
        <w:pStyle w:val="ListParagraph"/>
        <w:keepLines/>
        <w:numPr>
          <w:ilvl w:val="0"/>
          <w:numId w:val="5"/>
        </w:numPr>
        <w:tabs>
          <w:tab w:val="left" w:pos="360"/>
        </w:tabs>
        <w:spacing w:after="80"/>
        <w:rPr>
          <w:b/>
          <w:color w:val="000000"/>
          <w:sz w:val="22"/>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r w:rsidRPr="006935F3">
        <w:rPr>
          <w:b/>
          <w:bCs/>
          <w:sz w:val="22"/>
          <w:szCs w:val="22"/>
        </w:rPr>
        <w:t>Not Applicable</w:t>
      </w:r>
    </w:p>
    <w:p w:rsidR="00AB57A4" w:rsidRPr="009113BD" w:rsidP="00AB57A4" w14:paraId="1666DA6B" w14:textId="1D07FC09">
      <w:pPr>
        <w:ind w:left="720"/>
        <w:rPr>
          <w:color w:val="000000" w:themeColor="text1"/>
          <w:sz w:val="22"/>
          <w:szCs w:val="22"/>
        </w:rPr>
      </w:pPr>
      <w:r w:rsidRPr="1AD87E82">
        <w:rPr>
          <w:sz w:val="22"/>
          <w:szCs w:val="22"/>
        </w:rPr>
        <w:t>HUD published a Notice of Proposed Information Collection for public comments in the</w:t>
      </w:r>
      <w:r w:rsidRPr="1AD87E82">
        <w:rPr>
          <w:color w:val="FF0000"/>
          <w:sz w:val="22"/>
          <w:szCs w:val="22"/>
        </w:rPr>
        <w:t xml:space="preserve"> </w:t>
      </w:r>
      <w:r w:rsidRPr="1AD87E82">
        <w:rPr>
          <w:i/>
          <w:iCs/>
          <w:color w:val="000000" w:themeColor="text1"/>
          <w:sz w:val="22"/>
          <w:szCs w:val="22"/>
        </w:rPr>
        <w:t>Federal Register</w:t>
      </w:r>
      <w:r w:rsidRPr="1AD87E82">
        <w:rPr>
          <w:color w:val="000000" w:themeColor="text1"/>
          <w:sz w:val="22"/>
          <w:szCs w:val="22"/>
        </w:rPr>
        <w:t>, Volume 8</w:t>
      </w:r>
      <w:r w:rsidR="00A24E3E">
        <w:rPr>
          <w:color w:val="000000" w:themeColor="text1"/>
          <w:sz w:val="22"/>
          <w:szCs w:val="22"/>
        </w:rPr>
        <w:t>8</w:t>
      </w:r>
      <w:r w:rsidRPr="1AD87E82">
        <w:rPr>
          <w:color w:val="000000" w:themeColor="text1"/>
          <w:sz w:val="22"/>
          <w:szCs w:val="22"/>
        </w:rPr>
        <w:t xml:space="preserve">; Number </w:t>
      </w:r>
      <w:r w:rsidR="00A24E3E">
        <w:rPr>
          <w:color w:val="000000" w:themeColor="text1"/>
          <w:sz w:val="22"/>
          <w:szCs w:val="22"/>
        </w:rPr>
        <w:t>86</w:t>
      </w:r>
      <w:r w:rsidRPr="1AD87E82">
        <w:rPr>
          <w:color w:val="000000" w:themeColor="text1"/>
          <w:sz w:val="22"/>
          <w:szCs w:val="22"/>
        </w:rPr>
        <w:t xml:space="preserve">; Page </w:t>
      </w:r>
      <w:r w:rsidR="00A24E3E">
        <w:rPr>
          <w:color w:val="000000" w:themeColor="text1"/>
          <w:sz w:val="22"/>
          <w:szCs w:val="22"/>
        </w:rPr>
        <w:t>28594</w:t>
      </w:r>
      <w:r w:rsidRPr="1AD87E82">
        <w:rPr>
          <w:color w:val="000000" w:themeColor="text1"/>
          <w:sz w:val="22"/>
          <w:szCs w:val="22"/>
        </w:rPr>
        <w:t xml:space="preserve"> on </w:t>
      </w:r>
      <w:r w:rsidR="00A24E3E">
        <w:rPr>
          <w:color w:val="000000" w:themeColor="text1"/>
          <w:sz w:val="22"/>
          <w:szCs w:val="22"/>
        </w:rPr>
        <w:t>May 4, 2023</w:t>
      </w:r>
      <w:r w:rsidRPr="1AD87E82">
        <w:rPr>
          <w:color w:val="000000" w:themeColor="text1"/>
          <w:sz w:val="22"/>
          <w:szCs w:val="22"/>
        </w:rPr>
        <w:t xml:space="preserve">.  The public was given until </w:t>
      </w:r>
      <w:r w:rsidR="00A24E3E">
        <w:rPr>
          <w:color w:val="000000" w:themeColor="text1"/>
          <w:sz w:val="22"/>
          <w:szCs w:val="22"/>
        </w:rPr>
        <w:t>July 3</w:t>
      </w:r>
      <w:r w:rsidRPr="1AD87E82">
        <w:rPr>
          <w:color w:val="000000" w:themeColor="text1"/>
          <w:sz w:val="22"/>
          <w:szCs w:val="22"/>
        </w:rPr>
        <w:t>,</w:t>
      </w:r>
      <w:r w:rsidR="00A24E3E">
        <w:rPr>
          <w:color w:val="000000" w:themeColor="text1"/>
          <w:sz w:val="22"/>
          <w:szCs w:val="22"/>
        </w:rPr>
        <w:t xml:space="preserve"> 2023</w:t>
      </w:r>
      <w:r w:rsidRPr="1AD87E82">
        <w:rPr>
          <w:color w:val="000000" w:themeColor="text1"/>
          <w:sz w:val="22"/>
          <w:szCs w:val="22"/>
        </w:rPr>
        <w:t xml:space="preserve"> to submit comments on the Proposed Information Collection.  HUD received </w:t>
      </w:r>
      <w:r w:rsidR="00403B63">
        <w:rPr>
          <w:color w:val="000000" w:themeColor="text1"/>
          <w:sz w:val="22"/>
          <w:szCs w:val="22"/>
        </w:rPr>
        <w:t xml:space="preserve">no </w:t>
      </w:r>
      <w:r w:rsidRPr="1AD87E82">
        <w:rPr>
          <w:color w:val="000000" w:themeColor="text1"/>
          <w:sz w:val="22"/>
          <w:szCs w:val="22"/>
        </w:rPr>
        <w:t>public comments on this Proposed Information Collection.</w:t>
      </w:r>
    </w:p>
    <w:p w:rsidR="00CD169B" w:rsidP="00CD169B" w14:paraId="1AB1178D" w14:textId="77777777">
      <w:pPr>
        <w:tabs>
          <w:tab w:val="left" w:pos="360"/>
        </w:tabs>
        <w:ind w:left="360" w:hanging="360"/>
        <w:rPr>
          <w:color w:val="000000"/>
          <w:sz w:val="18"/>
        </w:rPr>
      </w:pPr>
    </w:p>
    <w:p w:rsidR="00CD169B" w:rsidRPr="00126444" w:rsidP="00CD169B" w14:paraId="16E13B17" w14:textId="77777777">
      <w:pPr>
        <w:keepLines/>
        <w:tabs>
          <w:tab w:val="left" w:pos="360"/>
        </w:tabs>
        <w:spacing w:after="80"/>
        <w:ind w:left="360" w:hanging="360"/>
        <w:rPr>
          <w:b/>
          <w:bCs/>
          <w:color w:val="000000"/>
          <w:sz w:val="22"/>
        </w:rPr>
      </w:pPr>
      <w:r>
        <w:rPr>
          <w:color w:val="000000"/>
          <w:sz w:val="18"/>
        </w:rPr>
        <w:t>9.</w:t>
      </w:r>
      <w:r>
        <w:rPr>
          <w:color w:val="000000"/>
          <w:sz w:val="18"/>
        </w:rPr>
        <w:tab/>
      </w:r>
      <w:r w:rsidRPr="00126444">
        <w:rPr>
          <w:b/>
          <w:bCs/>
          <w:color w:val="000000"/>
          <w:sz w:val="22"/>
        </w:rPr>
        <w:t>Explain any payments or gifts to respondents, other than remuneration of contractors or grantees.</w:t>
      </w:r>
    </w:p>
    <w:p w:rsidR="00CD169B" w:rsidP="00CD169B" w14:paraId="59A4A40A" w14:textId="77777777">
      <w:pPr>
        <w:keepLines/>
        <w:tabs>
          <w:tab w:val="left" w:pos="360"/>
        </w:tabs>
        <w:spacing w:after="80"/>
        <w:ind w:left="720" w:hanging="360"/>
        <w:rPr>
          <w:color w:val="000000"/>
          <w:sz w:val="22"/>
          <w:szCs w:val="22"/>
        </w:rPr>
      </w:pPr>
      <w:r w:rsidRPr="5C11DD0C">
        <w:rPr>
          <w:color w:val="000000"/>
          <w:sz w:val="22"/>
          <w:szCs w:val="22"/>
        </w:rPr>
        <w:t>No payments or gifts to respondents are provided.</w:t>
      </w:r>
    </w:p>
    <w:p w:rsidR="00CD169B" w:rsidP="00CD169B" w14:paraId="1C3606CD" w14:textId="77777777">
      <w:pPr>
        <w:tabs>
          <w:tab w:val="left" w:pos="360"/>
        </w:tabs>
        <w:ind w:left="360" w:hanging="360"/>
        <w:rPr>
          <w:color w:val="000000"/>
          <w:sz w:val="18"/>
        </w:rPr>
      </w:pPr>
    </w:p>
    <w:p w:rsidR="00CD169B" w:rsidP="00CD169B" w14:paraId="5FAFA0EA" w14:textId="77777777">
      <w:pPr>
        <w:overflowPunct/>
        <w:autoSpaceDE/>
        <w:autoSpaceDN/>
        <w:adjustRightInd/>
        <w:textAlignment w:val="auto"/>
        <w:rPr>
          <w:color w:val="000000"/>
          <w:sz w:val="18"/>
        </w:rPr>
      </w:pPr>
      <w:r>
        <w:rPr>
          <w:color w:val="000000"/>
          <w:sz w:val="18"/>
        </w:rPr>
        <w:br w:type="page"/>
      </w:r>
    </w:p>
    <w:p w:rsidR="00CD169B" w:rsidP="00CD169B" w14:paraId="6FBD24EB" w14:textId="77777777">
      <w:pPr>
        <w:keepLines/>
        <w:tabs>
          <w:tab w:val="left" w:pos="360"/>
        </w:tabs>
        <w:spacing w:after="80"/>
        <w:ind w:left="360" w:hanging="360"/>
        <w:rPr>
          <w:b/>
          <w:bCs/>
          <w:color w:val="000000"/>
          <w:sz w:val="22"/>
        </w:rPr>
      </w:pPr>
      <w:r>
        <w:rPr>
          <w:color w:val="000000"/>
          <w:sz w:val="18"/>
        </w:rPr>
        <w:t>10.</w:t>
      </w:r>
      <w:r>
        <w:rPr>
          <w:color w:val="000000"/>
          <w:sz w:val="18"/>
        </w:rPr>
        <w:tab/>
      </w:r>
      <w:r w:rsidRPr="00126444">
        <w:rPr>
          <w:b/>
          <w:bCs/>
          <w:color w:val="000000"/>
          <w:sz w:val="22"/>
        </w:rPr>
        <w:t>Describe any assurance of confidentiality provided to respondents and the basis for assurance in statute, regulation or agency policy.</w:t>
      </w:r>
      <w:r>
        <w:rPr>
          <w:b/>
          <w:bCs/>
          <w:color w:val="000000"/>
          <w:sz w:val="22"/>
        </w:rPr>
        <w:t xml:space="preserve">  </w:t>
      </w:r>
    </w:p>
    <w:p w:rsidR="00E85D88" w:rsidP="00E85D88" w14:paraId="53C97780" w14:textId="77777777">
      <w:pPr>
        <w:keepLines/>
        <w:tabs>
          <w:tab w:val="left" w:pos="360"/>
        </w:tabs>
        <w:spacing w:after="80"/>
        <w:ind w:left="360"/>
        <w:rPr>
          <w:color w:val="000000"/>
          <w:sz w:val="22"/>
          <w:szCs w:val="22"/>
        </w:rPr>
      </w:pPr>
      <w:r w:rsidRPr="1AD87E82">
        <w:rPr>
          <w:color w:val="000000" w:themeColor="text1"/>
          <w:sz w:val="22"/>
          <w:szCs w:val="22"/>
        </w:rPr>
        <w:t>The Privacy Act of 1974 (Pub. L. No. 93-579, 88 Stat. 1896, 5 U.S.C. 552a) protects respondents who meet the information reporting requirements.)</w:t>
      </w:r>
    </w:p>
    <w:p w:rsidR="00CD169B" w:rsidP="00CD169B" w14:paraId="5EE3385A" w14:textId="77777777">
      <w:pPr>
        <w:tabs>
          <w:tab w:val="left" w:pos="360"/>
        </w:tabs>
        <w:ind w:left="360" w:hanging="360"/>
        <w:rPr>
          <w:color w:val="000000"/>
          <w:sz w:val="18"/>
        </w:rPr>
      </w:pPr>
    </w:p>
    <w:p w:rsidR="00CD169B" w:rsidP="00CD169B" w14:paraId="4DF5C024" w14:textId="77777777">
      <w:pPr>
        <w:keepLines/>
        <w:tabs>
          <w:tab w:val="left" w:pos="360"/>
          <w:tab w:val="left" w:pos="720"/>
        </w:tabs>
        <w:ind w:left="360" w:hanging="360"/>
        <w:rPr>
          <w:color w:val="000000"/>
          <w:sz w:val="22"/>
        </w:rPr>
      </w:pPr>
      <w:r>
        <w:rPr>
          <w:color w:val="000000"/>
          <w:sz w:val="18"/>
        </w:rPr>
        <w:t>11.</w:t>
      </w:r>
      <w:r>
        <w:rPr>
          <w:color w:val="000000"/>
          <w:sz w:val="18"/>
        </w:rPr>
        <w:tab/>
      </w:r>
      <w:r w:rsidRPr="00981103">
        <w:rPr>
          <w:b/>
          <w:color w:val="000000"/>
          <w:sz w:val="22"/>
        </w:rPr>
        <w:t>Justify any questions of a sensitive nature, such as sexual, religious beliefs, and other matters that are commonly considered private</w:t>
      </w:r>
    </w:p>
    <w:p w:rsidR="00CD169B" w:rsidP="00CD169B" w14:paraId="67D9110C" w14:textId="77777777">
      <w:pPr>
        <w:keepLines/>
        <w:tabs>
          <w:tab w:val="left" w:pos="360"/>
        </w:tabs>
        <w:ind w:left="360" w:hanging="360"/>
        <w:rPr>
          <w:color w:val="000000"/>
          <w:sz w:val="22"/>
        </w:rPr>
      </w:pPr>
    </w:p>
    <w:p w:rsidR="00CD169B" w:rsidP="00CD169B" w14:paraId="0D6FEFC0" w14:textId="77777777">
      <w:pPr>
        <w:keepLines/>
        <w:tabs>
          <w:tab w:val="left" w:pos="360"/>
          <w:tab w:val="left" w:pos="720"/>
        </w:tabs>
        <w:ind w:left="360" w:hanging="360"/>
        <w:rPr>
          <w:color w:val="000000"/>
          <w:sz w:val="22"/>
        </w:rPr>
      </w:pPr>
      <w:r>
        <w:rPr>
          <w:color w:val="000000"/>
          <w:sz w:val="18"/>
        </w:rPr>
        <w:t>12.</w:t>
      </w:r>
      <w:r>
        <w:rPr>
          <w:color w:val="000000"/>
          <w:sz w:val="18"/>
        </w:rPr>
        <w:tab/>
      </w:r>
      <w:r w:rsidRPr="00842DDC">
        <w:rPr>
          <w:b/>
          <w:color w:val="000000"/>
          <w:sz w:val="22"/>
        </w:rPr>
        <w:t xml:space="preserve">Estimate public burden: number of respondents, frequency of response, annual hour burden.  Read the complete instructions on </w:t>
      </w:r>
      <w:r w:rsidRPr="00842DDC">
        <w:rPr>
          <w:b/>
          <w:color w:val="000000"/>
          <w:sz w:val="22"/>
        </w:rPr>
        <w:t>the form</w:t>
      </w:r>
      <w:r w:rsidRPr="00842DDC">
        <w:rPr>
          <w:b/>
          <w:color w:val="000000"/>
          <w:sz w:val="22"/>
        </w:rPr>
        <w:t xml:space="preserve"> 83i.  Explain how the burden was estimated.  Generally, estimates should not include burden hours for customary and usual business practices.  Provide a table to describe the elements of the burden. Break out each form used</w:t>
      </w:r>
      <w:r>
        <w:rPr>
          <w:color w:val="000000"/>
          <w:sz w:val="22"/>
        </w:rPr>
        <w:t xml:space="preserve">.  </w:t>
      </w:r>
    </w:p>
    <w:p w:rsidR="00CD169B" w:rsidP="006935F3" w14:paraId="1A4D4BEE" w14:textId="77777777">
      <w:pPr>
        <w:numPr>
          <w:ilvl w:val="0"/>
          <w:numId w:val="5"/>
        </w:numPr>
        <w:tabs>
          <w:tab w:val="left" w:pos="480"/>
        </w:tabs>
        <w:contextualSpacing/>
        <w:rPr>
          <w:color w:val="000000"/>
          <w:sz w:val="22"/>
        </w:rPr>
      </w:pPr>
      <w:r w:rsidRPr="1AD87E82">
        <w:rPr>
          <w:color w:val="000000" w:themeColor="text1"/>
          <w:sz w:val="22"/>
          <w:szCs w:val="22"/>
        </w:rPr>
        <w:t xml:space="preserve">If this collection uses more than one form, provide separate estimates for each form and aggregate the hour burdens in item 13 of OMB Form 83i; and </w:t>
      </w:r>
    </w:p>
    <w:p w:rsidR="00CD169B" w:rsidP="006935F3" w14:paraId="22669F43" w14:textId="77777777">
      <w:pPr>
        <w:keepLines/>
        <w:numPr>
          <w:ilvl w:val="0"/>
          <w:numId w:val="5"/>
        </w:numPr>
        <w:tabs>
          <w:tab w:val="left" w:pos="480"/>
        </w:tabs>
        <w:contextualSpacing/>
        <w:rPr>
          <w:color w:val="000000"/>
          <w:sz w:val="22"/>
        </w:rPr>
      </w:pPr>
      <w:r w:rsidRPr="1AD87E82">
        <w:rPr>
          <w:color w:val="000000" w:themeColor="text1"/>
          <w:sz w:val="22"/>
          <w:szCs w:val="22"/>
        </w:rPr>
        <w:t xml:space="preserve">Provide estimates of annualized cost to respondents for the hour burdens for collections of information, identifying and using appropriate wage rate categories.  </w:t>
      </w:r>
    </w:p>
    <w:p w:rsidR="00CD169B" w:rsidRPr="000737C1" w:rsidP="006935F3" w14:paraId="55F890D9" w14:textId="77777777">
      <w:pPr>
        <w:keepLines/>
        <w:numPr>
          <w:ilvl w:val="0"/>
          <w:numId w:val="5"/>
        </w:numPr>
        <w:tabs>
          <w:tab w:val="left" w:pos="480"/>
        </w:tabs>
        <w:contextualSpacing/>
        <w:rPr>
          <w:color w:val="000000"/>
          <w:sz w:val="22"/>
        </w:rPr>
      </w:pPr>
      <w:r w:rsidRPr="1AD87E82">
        <w:rPr>
          <w:color w:val="000000" w:themeColor="text1"/>
          <w:sz w:val="22"/>
          <w:szCs w:val="22"/>
        </w:rPr>
        <w:t>The cost of contracting out or paying outside parties for information collection activities should not be included here.  Instead this cost should be included in Item 13.</w:t>
      </w:r>
    </w:p>
    <w:p w:rsidR="00CD169B" w:rsidP="00CD169B" w14:paraId="3BD9C7EC" w14:textId="77777777">
      <w:pPr>
        <w:rPr>
          <w:b/>
        </w:rPr>
      </w:pPr>
    </w:p>
    <w:p w:rsidR="00CD169B" w:rsidRPr="004567F8" w:rsidP="00CD169B" w14:paraId="2CD78293" w14:textId="77777777">
      <w:pPr>
        <w:rPr>
          <w:bCs/>
        </w:rPr>
      </w:pPr>
      <w:r w:rsidRPr="004567F8">
        <w:rPr>
          <w:bCs/>
        </w:rPr>
        <w:t>*This is the current number of PHAs with PBVs, this number is expected to increase as has been the trend with PBV for several years.</w:t>
      </w:r>
    </w:p>
    <w:p w:rsidR="00CD169B" w:rsidRPr="004567F8" w:rsidP="00CD169B" w14:paraId="62B91313" w14:textId="77777777">
      <w:pPr>
        <w:rPr>
          <w:bCs/>
        </w:rPr>
      </w:pPr>
      <w:r w:rsidRPr="004567F8">
        <w:rPr>
          <w:bCs/>
        </w:rPr>
        <w:t>+These are over-estimates, most PHAs will not be adding new PBVs or making changes to existing PBVs each month.</w:t>
      </w:r>
    </w:p>
    <w:p w:rsidR="00CD169B" w:rsidP="00CD169B" w14:paraId="711D994A" w14:textId="77777777">
      <w:pPr>
        <w:tabs>
          <w:tab w:val="left" w:pos="360"/>
        </w:tabs>
        <w:ind w:left="360" w:hanging="360"/>
        <w:rPr>
          <w:color w:val="000000"/>
          <w:sz w:val="18"/>
        </w:rPr>
      </w:pPr>
    </w:p>
    <w:p w:rsidR="00CD169B" w:rsidRPr="00DF5C8E" w:rsidP="00CD169B" w14:paraId="178EA079" w14:textId="77777777">
      <w:pPr>
        <w:tabs>
          <w:tab w:val="left" w:pos="360"/>
        </w:tabs>
        <w:ind w:left="360" w:hanging="360"/>
        <w:rPr>
          <w:color w:val="000000"/>
          <w:sz w:val="22"/>
          <w:szCs w:val="22"/>
        </w:rPr>
      </w:pPr>
      <w:r w:rsidRPr="00DF5C8E">
        <w:rPr>
          <w:color w:val="000000"/>
          <w:sz w:val="22"/>
          <w:szCs w:val="22"/>
        </w:rPr>
        <w:t>13.</w:t>
      </w:r>
      <w:r w:rsidRPr="00DF5C8E">
        <w:rPr>
          <w:color w:val="000000"/>
          <w:sz w:val="22"/>
          <w:szCs w:val="22"/>
        </w:rPr>
        <w:tab/>
      </w:r>
      <w:r w:rsidRPr="00842DDC">
        <w:rPr>
          <w:b/>
          <w:bCs/>
          <w:color w:val="000000"/>
          <w:sz w:val="22"/>
          <w:szCs w:val="22"/>
        </w:rPr>
        <w:t>Estimate of the annual cost to respondents or recordkeepers (do not include the cost of hour burden shown in Items 12 and 14).</w:t>
      </w:r>
      <w:r w:rsidRPr="00DF5C8E">
        <w:rPr>
          <w:color w:val="000000"/>
          <w:sz w:val="22"/>
          <w:szCs w:val="22"/>
        </w:rPr>
        <w:t xml:space="preserve">  </w:t>
      </w:r>
      <w:r w:rsidRPr="00DF5C8E">
        <w:rPr>
          <w:i/>
          <w:iCs/>
          <w:color w:val="000000"/>
          <w:sz w:val="22"/>
          <w:szCs w:val="22"/>
        </w:rPr>
        <w:t>Read the complete instructions on the form 83i.</w:t>
      </w:r>
      <w:r w:rsidRPr="00DF5C8E">
        <w:rPr>
          <w:color w:val="000000"/>
          <w:sz w:val="22"/>
          <w:szCs w:val="22"/>
        </w:rPr>
        <w:t xml:space="preserve">  </w:t>
      </w:r>
    </w:p>
    <w:p w:rsidR="00CD169B" w:rsidP="00CD169B" w14:paraId="55AF0DB5" w14:textId="77777777">
      <w:pPr>
        <w:tabs>
          <w:tab w:val="left" w:pos="360"/>
        </w:tabs>
        <w:ind w:left="360" w:hanging="360"/>
        <w:rPr>
          <w:color w:val="000000"/>
          <w:sz w:val="22"/>
        </w:rPr>
      </w:pP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5"/>
        <w:gridCol w:w="1350"/>
        <w:gridCol w:w="1710"/>
        <w:gridCol w:w="1260"/>
        <w:gridCol w:w="1440"/>
        <w:gridCol w:w="810"/>
        <w:gridCol w:w="990"/>
        <w:gridCol w:w="1350"/>
      </w:tblGrid>
      <w:tr w14:paraId="592905D7" w14:textId="77777777" w:rsidTr="00D3301D">
        <w:tblPrEx>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85" w:type="dxa"/>
            <w:tcBorders>
              <w:top w:val="single" w:sz="4" w:space="0" w:color="auto"/>
              <w:left w:val="single" w:sz="4" w:space="0" w:color="auto"/>
            </w:tcBorders>
            <w:shd w:val="clear" w:color="auto" w:fill="C6D9F1"/>
          </w:tcPr>
          <w:p w:rsidR="00CD169B" w:rsidRPr="00F36A13" w:rsidP="00D3301D" w14:paraId="37ADCB18" w14:textId="77777777">
            <w:pPr>
              <w:jc w:val="center"/>
              <w:rPr>
                <w:b/>
                <w:sz w:val="18"/>
                <w:szCs w:val="18"/>
              </w:rPr>
            </w:pPr>
            <w:r w:rsidRPr="00F36A13">
              <w:rPr>
                <w:b/>
                <w:sz w:val="18"/>
                <w:szCs w:val="18"/>
              </w:rPr>
              <w:t>Information</w:t>
            </w:r>
          </w:p>
          <w:p w:rsidR="00CD169B" w:rsidRPr="00F36A13" w:rsidP="00D3301D" w14:paraId="2155389A" w14:textId="77777777">
            <w:pPr>
              <w:jc w:val="center"/>
              <w:rPr>
                <w:b/>
                <w:sz w:val="18"/>
                <w:szCs w:val="18"/>
              </w:rPr>
            </w:pPr>
            <w:r w:rsidRPr="00F36A13">
              <w:rPr>
                <w:b/>
                <w:sz w:val="18"/>
                <w:szCs w:val="18"/>
              </w:rPr>
              <w:t>Collection</w:t>
            </w:r>
          </w:p>
        </w:tc>
        <w:tc>
          <w:tcPr>
            <w:tcW w:w="1350" w:type="dxa"/>
            <w:tcBorders>
              <w:top w:val="single" w:sz="4" w:space="0" w:color="auto"/>
            </w:tcBorders>
            <w:shd w:val="clear" w:color="auto" w:fill="C6D9F1"/>
          </w:tcPr>
          <w:p w:rsidR="00CD169B" w:rsidRPr="00F36A13" w:rsidP="00D3301D" w14:paraId="5D694077" w14:textId="77777777">
            <w:pPr>
              <w:jc w:val="center"/>
              <w:rPr>
                <w:b/>
                <w:sz w:val="18"/>
                <w:szCs w:val="18"/>
              </w:rPr>
            </w:pPr>
            <w:r w:rsidRPr="00F36A13">
              <w:rPr>
                <w:b/>
                <w:sz w:val="18"/>
                <w:szCs w:val="18"/>
              </w:rPr>
              <w:t>Number of</w:t>
            </w:r>
          </w:p>
          <w:p w:rsidR="00CD169B" w:rsidRPr="00F36A13" w:rsidP="00D3301D" w14:paraId="29DAEAE0" w14:textId="77777777">
            <w:pPr>
              <w:jc w:val="center"/>
              <w:rPr>
                <w:b/>
                <w:sz w:val="18"/>
                <w:szCs w:val="18"/>
              </w:rPr>
            </w:pPr>
            <w:r w:rsidRPr="00F36A13">
              <w:rPr>
                <w:b/>
                <w:sz w:val="18"/>
                <w:szCs w:val="18"/>
              </w:rPr>
              <w:t>Respondents</w:t>
            </w:r>
          </w:p>
        </w:tc>
        <w:tc>
          <w:tcPr>
            <w:tcW w:w="1710" w:type="dxa"/>
            <w:tcBorders>
              <w:top w:val="single" w:sz="4" w:space="0" w:color="auto"/>
            </w:tcBorders>
            <w:shd w:val="clear" w:color="auto" w:fill="C6D9F1"/>
          </w:tcPr>
          <w:p w:rsidR="00CD169B" w:rsidRPr="00F36A13" w:rsidP="00D3301D" w14:paraId="4E715E74" w14:textId="77777777">
            <w:pPr>
              <w:jc w:val="center"/>
              <w:rPr>
                <w:b/>
                <w:sz w:val="18"/>
                <w:szCs w:val="18"/>
              </w:rPr>
            </w:pPr>
            <w:r w:rsidRPr="00F36A13">
              <w:rPr>
                <w:b/>
                <w:sz w:val="18"/>
                <w:szCs w:val="18"/>
              </w:rPr>
              <w:t>*Average Number of Reponses per Respondent</w:t>
            </w:r>
          </w:p>
        </w:tc>
        <w:tc>
          <w:tcPr>
            <w:tcW w:w="1260" w:type="dxa"/>
            <w:tcBorders>
              <w:top w:val="single" w:sz="4" w:space="0" w:color="auto"/>
            </w:tcBorders>
            <w:shd w:val="clear" w:color="auto" w:fill="C6D9F1"/>
          </w:tcPr>
          <w:p w:rsidR="00CD169B" w:rsidRPr="00F36A13" w:rsidP="00D3301D" w14:paraId="6E416221" w14:textId="77777777">
            <w:pPr>
              <w:jc w:val="center"/>
              <w:rPr>
                <w:b/>
                <w:sz w:val="18"/>
                <w:szCs w:val="18"/>
              </w:rPr>
            </w:pPr>
            <w:r w:rsidRPr="00F36A13">
              <w:rPr>
                <w:b/>
                <w:sz w:val="18"/>
                <w:szCs w:val="18"/>
              </w:rPr>
              <w:t>Total Annual Responses</w:t>
            </w:r>
          </w:p>
        </w:tc>
        <w:tc>
          <w:tcPr>
            <w:tcW w:w="1440" w:type="dxa"/>
            <w:tcBorders>
              <w:top w:val="single" w:sz="4" w:space="0" w:color="auto"/>
            </w:tcBorders>
            <w:shd w:val="clear" w:color="auto" w:fill="C6D9F1"/>
          </w:tcPr>
          <w:p w:rsidR="00CD169B" w:rsidRPr="00F36A13" w:rsidP="00D3301D" w14:paraId="5D5E6B98" w14:textId="77777777">
            <w:pPr>
              <w:jc w:val="center"/>
              <w:rPr>
                <w:b/>
                <w:sz w:val="18"/>
                <w:szCs w:val="18"/>
              </w:rPr>
            </w:pPr>
            <w:r w:rsidRPr="00F36A13">
              <w:rPr>
                <w:b/>
                <w:sz w:val="18"/>
                <w:szCs w:val="18"/>
              </w:rPr>
              <w:t>Burden Hours/Minutes per Response</w:t>
            </w:r>
          </w:p>
        </w:tc>
        <w:tc>
          <w:tcPr>
            <w:tcW w:w="810" w:type="dxa"/>
            <w:tcBorders>
              <w:top w:val="single" w:sz="4" w:space="0" w:color="auto"/>
            </w:tcBorders>
            <w:shd w:val="clear" w:color="auto" w:fill="C6D9F1"/>
          </w:tcPr>
          <w:p w:rsidR="00CD169B" w:rsidRPr="00F36A13" w:rsidP="00D3301D" w14:paraId="0A529DBC" w14:textId="77777777">
            <w:pPr>
              <w:jc w:val="center"/>
              <w:rPr>
                <w:b/>
                <w:sz w:val="18"/>
                <w:szCs w:val="18"/>
              </w:rPr>
            </w:pPr>
            <w:r w:rsidRPr="00F36A13">
              <w:rPr>
                <w:b/>
                <w:sz w:val="18"/>
                <w:szCs w:val="18"/>
              </w:rPr>
              <w:t>Total</w:t>
            </w:r>
          </w:p>
          <w:p w:rsidR="00CD169B" w:rsidRPr="00F36A13" w:rsidP="00D3301D" w14:paraId="1E79DDE9" w14:textId="77777777">
            <w:pPr>
              <w:jc w:val="center"/>
              <w:rPr>
                <w:b/>
                <w:sz w:val="18"/>
                <w:szCs w:val="18"/>
              </w:rPr>
            </w:pPr>
            <w:r w:rsidRPr="00F36A13">
              <w:rPr>
                <w:b/>
                <w:sz w:val="18"/>
                <w:szCs w:val="18"/>
              </w:rPr>
              <w:t>Hours</w:t>
            </w:r>
          </w:p>
        </w:tc>
        <w:tc>
          <w:tcPr>
            <w:tcW w:w="990" w:type="dxa"/>
            <w:tcBorders>
              <w:top w:val="single" w:sz="4" w:space="0" w:color="auto"/>
            </w:tcBorders>
            <w:shd w:val="clear" w:color="auto" w:fill="C6D9F1"/>
          </w:tcPr>
          <w:p w:rsidR="00CD169B" w:rsidRPr="00F36A13" w:rsidP="00D3301D" w14:paraId="4442F85B" w14:textId="77777777">
            <w:pPr>
              <w:jc w:val="center"/>
              <w:rPr>
                <w:b/>
                <w:sz w:val="18"/>
                <w:szCs w:val="18"/>
              </w:rPr>
            </w:pPr>
            <w:r w:rsidRPr="00F36A13">
              <w:rPr>
                <w:b/>
                <w:sz w:val="18"/>
                <w:szCs w:val="18"/>
              </w:rPr>
              <w:t>Hourly Cost</w:t>
            </w:r>
          </w:p>
        </w:tc>
        <w:tc>
          <w:tcPr>
            <w:tcW w:w="1350" w:type="dxa"/>
            <w:tcBorders>
              <w:top w:val="single" w:sz="4" w:space="0" w:color="auto"/>
            </w:tcBorders>
            <w:shd w:val="clear" w:color="auto" w:fill="C6D9F1"/>
          </w:tcPr>
          <w:p w:rsidR="00CD169B" w:rsidRPr="00F36A13" w:rsidP="00D3301D" w14:paraId="583E8430" w14:textId="77777777">
            <w:pPr>
              <w:jc w:val="center"/>
              <w:rPr>
                <w:b/>
                <w:sz w:val="18"/>
                <w:szCs w:val="18"/>
              </w:rPr>
            </w:pPr>
            <w:r w:rsidRPr="00F36A13">
              <w:rPr>
                <w:b/>
                <w:sz w:val="18"/>
                <w:szCs w:val="18"/>
              </w:rPr>
              <w:t>Total Annual Cost</w:t>
            </w:r>
          </w:p>
          <w:p w:rsidR="00CD169B" w:rsidRPr="00F36A13" w:rsidP="00D3301D" w14:paraId="71620A10" w14:textId="77777777">
            <w:pPr>
              <w:jc w:val="center"/>
              <w:rPr>
                <w:b/>
                <w:sz w:val="18"/>
                <w:szCs w:val="18"/>
              </w:rPr>
            </w:pPr>
          </w:p>
        </w:tc>
      </w:tr>
      <w:tr w14:paraId="73E9406F" w14:textId="77777777" w:rsidTr="00D3301D">
        <w:tblPrEx>
          <w:tblW w:w="10795" w:type="dxa"/>
          <w:jc w:val="center"/>
          <w:tblLayout w:type="fixed"/>
          <w:tblLook w:val="00A0"/>
        </w:tblPrEx>
        <w:trPr>
          <w:jc w:val="center"/>
        </w:trPr>
        <w:tc>
          <w:tcPr>
            <w:tcW w:w="1885" w:type="dxa"/>
            <w:tcBorders>
              <w:left w:val="single" w:sz="4" w:space="0" w:color="auto"/>
            </w:tcBorders>
            <w:vAlign w:val="center"/>
          </w:tcPr>
          <w:p w:rsidR="00CD169B" w:rsidRPr="005B0EFD" w:rsidP="00D3301D" w14:paraId="15D1F707" w14:textId="77777777">
            <w:pPr>
              <w:jc w:val="center"/>
              <w:rPr>
                <w:b/>
                <w:sz w:val="18"/>
                <w:szCs w:val="18"/>
              </w:rPr>
            </w:pPr>
            <w:r w:rsidRPr="005B0EFD">
              <w:rPr>
                <w:b/>
                <w:sz w:val="18"/>
                <w:szCs w:val="18"/>
              </w:rPr>
              <w:t>PBV Property Information</w:t>
            </w:r>
          </w:p>
        </w:tc>
        <w:tc>
          <w:tcPr>
            <w:tcW w:w="1350" w:type="dxa"/>
            <w:vAlign w:val="center"/>
          </w:tcPr>
          <w:p w:rsidR="00CD169B" w:rsidRPr="00D15085" w:rsidP="00D3301D" w14:paraId="32FE8CED" w14:textId="77777777">
            <w:pPr>
              <w:jc w:val="center"/>
              <w:rPr>
                <w:sz w:val="22"/>
                <w:szCs w:val="22"/>
              </w:rPr>
            </w:pPr>
            <w:r>
              <w:rPr>
                <w:sz w:val="22"/>
                <w:szCs w:val="22"/>
              </w:rPr>
              <w:t>819</w:t>
            </w:r>
          </w:p>
        </w:tc>
        <w:tc>
          <w:tcPr>
            <w:tcW w:w="1710" w:type="dxa"/>
            <w:vAlign w:val="center"/>
          </w:tcPr>
          <w:p w:rsidR="00CD169B" w:rsidRPr="00D15085" w:rsidP="00D3301D" w14:paraId="6A714194" w14:textId="77777777">
            <w:pPr>
              <w:jc w:val="center"/>
              <w:rPr>
                <w:sz w:val="22"/>
                <w:szCs w:val="22"/>
              </w:rPr>
            </w:pPr>
            <w:r w:rsidRPr="00D15085">
              <w:rPr>
                <w:sz w:val="22"/>
                <w:szCs w:val="22"/>
              </w:rPr>
              <w:t>6</w:t>
            </w:r>
          </w:p>
        </w:tc>
        <w:tc>
          <w:tcPr>
            <w:tcW w:w="1260" w:type="dxa"/>
            <w:vAlign w:val="center"/>
          </w:tcPr>
          <w:p w:rsidR="00CD169B" w:rsidRPr="001E4176" w:rsidP="00D3301D" w14:paraId="15EDB0AC" w14:textId="77777777">
            <w:pPr>
              <w:jc w:val="center"/>
              <w:rPr>
                <w:sz w:val="22"/>
                <w:szCs w:val="22"/>
              </w:rPr>
            </w:pPr>
            <w:r w:rsidRPr="000737C1">
              <w:rPr>
                <w:rFonts w:eastAsia="Calibri"/>
                <w:bCs/>
                <w:sz w:val="22"/>
                <w:szCs w:val="22"/>
              </w:rPr>
              <w:t>4,914</w:t>
            </w:r>
          </w:p>
        </w:tc>
        <w:tc>
          <w:tcPr>
            <w:tcW w:w="1440" w:type="dxa"/>
            <w:vAlign w:val="center"/>
          </w:tcPr>
          <w:p w:rsidR="00CD169B" w:rsidRPr="00D15085" w:rsidP="00D3301D" w14:paraId="5A9F6B28" w14:textId="77777777">
            <w:pPr>
              <w:jc w:val="center"/>
              <w:rPr>
                <w:sz w:val="22"/>
                <w:szCs w:val="22"/>
              </w:rPr>
            </w:pPr>
            <w:r w:rsidRPr="00D15085">
              <w:rPr>
                <w:sz w:val="22"/>
                <w:szCs w:val="22"/>
              </w:rPr>
              <w:t>1.5</w:t>
            </w:r>
          </w:p>
        </w:tc>
        <w:tc>
          <w:tcPr>
            <w:tcW w:w="810" w:type="dxa"/>
            <w:vAlign w:val="center"/>
          </w:tcPr>
          <w:p w:rsidR="00CD169B" w:rsidRPr="00D15085" w:rsidP="00D3301D" w14:paraId="30DED1F9" w14:textId="77777777">
            <w:pPr>
              <w:jc w:val="center"/>
              <w:rPr>
                <w:sz w:val="22"/>
                <w:szCs w:val="22"/>
              </w:rPr>
            </w:pPr>
            <w:r w:rsidRPr="000737C1">
              <w:rPr>
                <w:sz w:val="22"/>
                <w:szCs w:val="22"/>
              </w:rPr>
              <w:t>7,371</w:t>
            </w:r>
          </w:p>
        </w:tc>
        <w:tc>
          <w:tcPr>
            <w:tcW w:w="990" w:type="dxa"/>
            <w:vAlign w:val="center"/>
          </w:tcPr>
          <w:p w:rsidR="00CD169B" w:rsidRPr="00D15085" w:rsidP="00D3301D" w14:paraId="6F29FB45" w14:textId="77777777">
            <w:pPr>
              <w:jc w:val="center"/>
              <w:rPr>
                <w:sz w:val="22"/>
                <w:szCs w:val="22"/>
              </w:rPr>
            </w:pPr>
            <w:r w:rsidRPr="000737C1">
              <w:rPr>
                <w:sz w:val="22"/>
                <w:szCs w:val="22"/>
              </w:rPr>
              <w:t>$44.71</w:t>
            </w:r>
          </w:p>
        </w:tc>
        <w:tc>
          <w:tcPr>
            <w:tcW w:w="1350" w:type="dxa"/>
            <w:vAlign w:val="center"/>
          </w:tcPr>
          <w:p w:rsidR="00CD169B" w:rsidRPr="001E4176" w:rsidP="00D3301D" w14:paraId="389980A6" w14:textId="77777777">
            <w:pPr>
              <w:jc w:val="center"/>
              <w:rPr>
                <w:b/>
                <w:bCs/>
                <w:sz w:val="22"/>
                <w:szCs w:val="22"/>
              </w:rPr>
            </w:pPr>
            <w:r w:rsidRPr="000737C1">
              <w:rPr>
                <w:b/>
                <w:bCs/>
                <w:sz w:val="22"/>
                <w:szCs w:val="22"/>
              </w:rPr>
              <w:t>$329,557</w:t>
            </w:r>
          </w:p>
        </w:tc>
      </w:tr>
      <w:tr w14:paraId="0674A0CC" w14:textId="77777777" w:rsidTr="00D3301D">
        <w:tblPrEx>
          <w:tblW w:w="10795" w:type="dxa"/>
          <w:jc w:val="center"/>
          <w:tblLayout w:type="fixed"/>
          <w:tblLook w:val="00A0"/>
        </w:tblPrEx>
        <w:trPr>
          <w:trHeight w:val="521"/>
          <w:jc w:val="center"/>
        </w:trPr>
        <w:tc>
          <w:tcPr>
            <w:tcW w:w="1885" w:type="dxa"/>
            <w:tcBorders>
              <w:top w:val="single" w:sz="4" w:space="0" w:color="auto"/>
              <w:left w:val="nil"/>
              <w:bottom w:val="nil"/>
              <w:right w:val="nil"/>
            </w:tcBorders>
            <w:vAlign w:val="center"/>
          </w:tcPr>
          <w:p w:rsidR="00CD169B" w:rsidRPr="005B0EFD" w:rsidP="00D3301D" w14:paraId="5659E440" w14:textId="77777777">
            <w:pPr>
              <w:jc w:val="center"/>
              <w:rPr>
                <w:b/>
                <w:sz w:val="22"/>
                <w:szCs w:val="22"/>
              </w:rPr>
            </w:pPr>
            <w:r w:rsidRPr="005B0EFD">
              <w:rPr>
                <w:b/>
                <w:sz w:val="22"/>
                <w:szCs w:val="22"/>
              </w:rPr>
              <w:t>Totals</w:t>
            </w:r>
          </w:p>
        </w:tc>
        <w:tc>
          <w:tcPr>
            <w:tcW w:w="1350" w:type="dxa"/>
            <w:tcBorders>
              <w:top w:val="single" w:sz="4" w:space="0" w:color="auto"/>
              <w:left w:val="nil"/>
              <w:bottom w:val="nil"/>
              <w:right w:val="nil"/>
            </w:tcBorders>
            <w:vAlign w:val="center"/>
          </w:tcPr>
          <w:p w:rsidR="00CD169B" w:rsidRPr="00D15085" w:rsidP="00D3301D" w14:paraId="519643E4" w14:textId="77777777">
            <w:pPr>
              <w:jc w:val="center"/>
              <w:rPr>
                <w:b/>
                <w:bCs/>
                <w:sz w:val="22"/>
                <w:szCs w:val="22"/>
              </w:rPr>
            </w:pPr>
            <w:r>
              <w:rPr>
                <w:b/>
                <w:bCs/>
                <w:sz w:val="22"/>
                <w:szCs w:val="22"/>
              </w:rPr>
              <w:t>819</w:t>
            </w:r>
          </w:p>
        </w:tc>
        <w:tc>
          <w:tcPr>
            <w:tcW w:w="2970" w:type="dxa"/>
            <w:gridSpan w:val="2"/>
            <w:tcBorders>
              <w:top w:val="single" w:sz="4" w:space="0" w:color="auto"/>
              <w:left w:val="nil"/>
              <w:bottom w:val="nil"/>
              <w:right w:val="nil"/>
            </w:tcBorders>
            <w:vAlign w:val="center"/>
          </w:tcPr>
          <w:p w:rsidR="00CD169B" w:rsidRPr="005B0EFD" w:rsidP="00D3301D" w14:paraId="0CB7571A" w14:textId="77777777">
            <w:pPr>
              <w:jc w:val="center"/>
              <w:rPr>
                <w:b/>
                <w:bCs/>
                <w:sz w:val="22"/>
                <w:szCs w:val="22"/>
              </w:rPr>
            </w:pPr>
            <w:r w:rsidRPr="005B0EFD">
              <w:rPr>
                <w:b/>
                <w:bCs/>
                <w:sz w:val="22"/>
                <w:szCs w:val="22"/>
              </w:rPr>
              <w:t xml:space="preserve">Total Responses:  </w:t>
            </w:r>
            <w:r>
              <w:rPr>
                <w:b/>
                <w:bCs/>
                <w:sz w:val="22"/>
                <w:szCs w:val="22"/>
              </w:rPr>
              <w:t>4,914</w:t>
            </w:r>
          </w:p>
        </w:tc>
        <w:tc>
          <w:tcPr>
            <w:tcW w:w="2250" w:type="dxa"/>
            <w:gridSpan w:val="2"/>
            <w:tcBorders>
              <w:top w:val="single" w:sz="4" w:space="0" w:color="auto"/>
              <w:left w:val="nil"/>
              <w:bottom w:val="nil"/>
              <w:right w:val="nil"/>
            </w:tcBorders>
            <w:vAlign w:val="center"/>
          </w:tcPr>
          <w:p w:rsidR="00CD169B" w:rsidRPr="005B0EFD" w:rsidP="00D3301D" w14:paraId="709528AE" w14:textId="77777777">
            <w:pPr>
              <w:jc w:val="center"/>
              <w:rPr>
                <w:b/>
                <w:bCs/>
                <w:sz w:val="22"/>
                <w:szCs w:val="22"/>
              </w:rPr>
            </w:pPr>
            <w:r w:rsidRPr="005B0EFD">
              <w:rPr>
                <w:b/>
                <w:bCs/>
                <w:sz w:val="22"/>
                <w:szCs w:val="22"/>
              </w:rPr>
              <w:t xml:space="preserve">Total Hours:   </w:t>
            </w:r>
            <w:r>
              <w:rPr>
                <w:b/>
                <w:bCs/>
                <w:sz w:val="22"/>
                <w:szCs w:val="22"/>
              </w:rPr>
              <w:t>7,371</w:t>
            </w:r>
          </w:p>
        </w:tc>
        <w:tc>
          <w:tcPr>
            <w:tcW w:w="990" w:type="dxa"/>
            <w:tcBorders>
              <w:top w:val="single" w:sz="4" w:space="0" w:color="auto"/>
              <w:left w:val="nil"/>
              <w:bottom w:val="nil"/>
              <w:right w:val="nil"/>
            </w:tcBorders>
            <w:vAlign w:val="center"/>
          </w:tcPr>
          <w:p w:rsidR="00CD169B" w:rsidRPr="005B0EFD" w:rsidP="00D3301D" w14:paraId="254689CF" w14:textId="77777777">
            <w:pPr>
              <w:jc w:val="center"/>
              <w:rPr>
                <w:b/>
                <w:sz w:val="22"/>
                <w:szCs w:val="22"/>
              </w:rPr>
            </w:pPr>
          </w:p>
        </w:tc>
        <w:tc>
          <w:tcPr>
            <w:tcW w:w="1350" w:type="dxa"/>
            <w:tcBorders>
              <w:top w:val="single" w:sz="4" w:space="0" w:color="auto"/>
              <w:left w:val="nil"/>
              <w:bottom w:val="nil"/>
              <w:right w:val="nil"/>
            </w:tcBorders>
            <w:vAlign w:val="center"/>
          </w:tcPr>
          <w:p w:rsidR="00CD169B" w:rsidRPr="005B0EFD" w:rsidP="00D3301D" w14:paraId="1E218193" w14:textId="77777777">
            <w:pPr>
              <w:jc w:val="center"/>
              <w:rPr>
                <w:b/>
                <w:sz w:val="22"/>
                <w:szCs w:val="22"/>
              </w:rPr>
            </w:pPr>
          </w:p>
        </w:tc>
      </w:tr>
    </w:tbl>
    <w:p w:rsidR="00CD169B" w:rsidP="00CD169B" w14:paraId="43497505" w14:textId="77777777">
      <w:pPr>
        <w:tabs>
          <w:tab w:val="left" w:pos="360"/>
        </w:tabs>
        <w:rPr>
          <w:color w:val="000000"/>
          <w:sz w:val="18"/>
        </w:rPr>
      </w:pPr>
    </w:p>
    <w:p w:rsidR="00CD169B" w:rsidP="00CD169B" w14:paraId="741B2285" w14:textId="77777777">
      <w:pPr>
        <w:keepLines/>
        <w:tabs>
          <w:tab w:val="left" w:pos="360"/>
        </w:tabs>
        <w:spacing w:after="80"/>
        <w:ind w:left="360" w:hanging="360"/>
        <w:rPr>
          <w:color w:val="000000"/>
          <w:sz w:val="22"/>
          <w:szCs w:val="22"/>
        </w:rPr>
      </w:pPr>
      <w:bookmarkStart w:id="1" w:name="_Hlk43470888"/>
      <w:r w:rsidRPr="00F60DD3">
        <w:rPr>
          <w:color w:val="000000"/>
          <w:sz w:val="22"/>
          <w:szCs w:val="22"/>
        </w:rPr>
        <w:t>14.</w:t>
      </w:r>
      <w:r w:rsidRPr="00F60DD3">
        <w:rPr>
          <w:color w:val="000000"/>
          <w:sz w:val="22"/>
          <w:szCs w:val="22"/>
        </w:rPr>
        <w:tab/>
      </w:r>
      <w:r w:rsidRPr="00842DDC">
        <w:rPr>
          <w:b/>
          <w:bCs/>
          <w:color w:val="000000"/>
          <w:sz w:val="22"/>
          <w:szCs w:val="22"/>
        </w:rPr>
        <w:t>The estimate annualized costs to the federal government, based on a GS-13, Step 1 rate are provided below.</w:t>
      </w:r>
      <w:r>
        <w:rPr>
          <w:color w:val="000000"/>
          <w:sz w:val="22"/>
          <w:szCs w:val="22"/>
        </w:rPr>
        <w:t xml:space="preserve">  </w:t>
      </w:r>
    </w:p>
    <w:p w:rsidR="00CD169B" w:rsidRPr="00F60DD3" w:rsidP="00CD169B" w14:paraId="50084320" w14:textId="77777777">
      <w:pPr>
        <w:keepLines/>
        <w:tabs>
          <w:tab w:val="left" w:pos="360"/>
        </w:tabs>
        <w:spacing w:after="80"/>
        <w:ind w:left="360" w:hanging="360"/>
        <w:rPr>
          <w:color w:val="000000"/>
          <w:sz w:val="22"/>
          <w:szCs w:val="22"/>
        </w:rPr>
      </w:pPr>
      <w:r>
        <w:rPr>
          <w:color w:val="000000"/>
          <w:sz w:val="22"/>
          <w:szCs w:val="22"/>
        </w:rPr>
        <w:t>A GS-13 Step 1 rate is the average salary for a Management Analyst.</w:t>
      </w:r>
    </w:p>
    <w:tbl>
      <w:tblPr>
        <w:tblStyle w:val="TableGrid"/>
        <w:tblW w:w="0" w:type="auto"/>
        <w:jc w:val="center"/>
        <w:tblLook w:val="04A0"/>
      </w:tblPr>
      <w:tblGrid>
        <w:gridCol w:w="2875"/>
        <w:gridCol w:w="2160"/>
        <w:gridCol w:w="2340"/>
        <w:gridCol w:w="2250"/>
      </w:tblGrid>
      <w:tr w14:paraId="7A4FC60A" w14:textId="77777777" w:rsidTr="00D3301D">
        <w:tblPrEx>
          <w:tblW w:w="0" w:type="auto"/>
          <w:jc w:val="center"/>
          <w:tblLook w:val="04A0"/>
        </w:tblPrEx>
        <w:trPr>
          <w:jc w:val="center"/>
        </w:trPr>
        <w:tc>
          <w:tcPr>
            <w:tcW w:w="9625" w:type="dxa"/>
            <w:gridSpan w:val="4"/>
          </w:tcPr>
          <w:p w:rsidR="00CD169B" w:rsidP="00D3301D" w14:paraId="6803F15F" w14:textId="77777777">
            <w:pPr>
              <w:keepLines/>
              <w:tabs>
                <w:tab w:val="left" w:pos="360"/>
              </w:tabs>
              <w:spacing w:after="80"/>
              <w:jc w:val="center"/>
              <w:rPr>
                <w:color w:val="000000"/>
                <w:sz w:val="22"/>
              </w:rPr>
            </w:pPr>
            <w:r>
              <w:rPr>
                <w:color w:val="000000"/>
                <w:sz w:val="22"/>
              </w:rPr>
              <w:t>HUD Field Staff Review of PHA Submissions</w:t>
            </w:r>
          </w:p>
        </w:tc>
      </w:tr>
      <w:tr w14:paraId="6A779935" w14:textId="77777777" w:rsidTr="00D3301D">
        <w:tblPrEx>
          <w:tblW w:w="0" w:type="auto"/>
          <w:jc w:val="center"/>
          <w:tblLook w:val="04A0"/>
        </w:tblPrEx>
        <w:trPr>
          <w:trHeight w:val="302"/>
          <w:jc w:val="center"/>
        </w:trPr>
        <w:tc>
          <w:tcPr>
            <w:tcW w:w="2875" w:type="dxa"/>
            <w:shd w:val="clear" w:color="auto" w:fill="D9E2F3" w:themeFill="accent1" w:themeFillTint="33"/>
            <w:vAlign w:val="center"/>
          </w:tcPr>
          <w:p w:rsidR="00CD169B" w:rsidRPr="00F60DD3" w:rsidP="00D3301D" w14:paraId="616D697D" w14:textId="77777777">
            <w:pPr>
              <w:keepLines/>
              <w:tabs>
                <w:tab w:val="left" w:pos="360"/>
              </w:tabs>
              <w:spacing w:after="80"/>
              <w:jc w:val="center"/>
              <w:rPr>
                <w:b/>
                <w:bCs/>
                <w:color w:val="000000"/>
                <w:sz w:val="22"/>
              </w:rPr>
            </w:pPr>
            <w:r w:rsidRPr="00F60DD3">
              <w:rPr>
                <w:b/>
                <w:bCs/>
                <w:color w:val="000000"/>
                <w:sz w:val="22"/>
              </w:rPr>
              <w:t>GS-13 Step 1 Hourly Salary</w:t>
            </w:r>
          </w:p>
        </w:tc>
        <w:tc>
          <w:tcPr>
            <w:tcW w:w="2160" w:type="dxa"/>
            <w:shd w:val="clear" w:color="auto" w:fill="D9E2F3" w:themeFill="accent1" w:themeFillTint="33"/>
            <w:vAlign w:val="center"/>
          </w:tcPr>
          <w:p w:rsidR="00CD169B" w:rsidRPr="00F60DD3" w:rsidP="00D3301D" w14:paraId="3D74C3FE" w14:textId="77777777">
            <w:pPr>
              <w:keepLines/>
              <w:tabs>
                <w:tab w:val="left" w:pos="360"/>
              </w:tabs>
              <w:spacing w:after="80"/>
              <w:jc w:val="center"/>
              <w:rPr>
                <w:b/>
                <w:bCs/>
                <w:color w:val="000000"/>
                <w:sz w:val="22"/>
              </w:rPr>
            </w:pPr>
            <w:r w:rsidRPr="00F60DD3">
              <w:rPr>
                <w:b/>
                <w:bCs/>
                <w:color w:val="000000"/>
                <w:sz w:val="22"/>
              </w:rPr>
              <w:t>Hours per Response</w:t>
            </w:r>
          </w:p>
        </w:tc>
        <w:tc>
          <w:tcPr>
            <w:tcW w:w="2340" w:type="dxa"/>
            <w:shd w:val="clear" w:color="auto" w:fill="D9E2F3" w:themeFill="accent1" w:themeFillTint="33"/>
            <w:vAlign w:val="center"/>
          </w:tcPr>
          <w:p w:rsidR="00CD169B" w:rsidRPr="00F60DD3" w:rsidP="00D3301D" w14:paraId="438FAA1C" w14:textId="77777777">
            <w:pPr>
              <w:keepLines/>
              <w:tabs>
                <w:tab w:val="left" w:pos="360"/>
              </w:tabs>
              <w:spacing w:after="80"/>
              <w:jc w:val="center"/>
              <w:rPr>
                <w:b/>
                <w:bCs/>
                <w:color w:val="000000"/>
                <w:sz w:val="22"/>
              </w:rPr>
            </w:pPr>
            <w:r w:rsidRPr="00F60DD3">
              <w:rPr>
                <w:b/>
                <w:bCs/>
                <w:color w:val="000000"/>
                <w:sz w:val="22"/>
              </w:rPr>
              <w:t>Responses per Annum</w:t>
            </w:r>
          </w:p>
        </w:tc>
        <w:tc>
          <w:tcPr>
            <w:tcW w:w="2250" w:type="dxa"/>
            <w:shd w:val="clear" w:color="auto" w:fill="D9E2F3" w:themeFill="accent1" w:themeFillTint="33"/>
            <w:vAlign w:val="center"/>
          </w:tcPr>
          <w:p w:rsidR="00CD169B" w:rsidRPr="00F60DD3" w:rsidP="00D3301D" w14:paraId="797DCEE8" w14:textId="77777777">
            <w:pPr>
              <w:keepLines/>
              <w:tabs>
                <w:tab w:val="left" w:pos="360"/>
              </w:tabs>
              <w:spacing w:after="80"/>
              <w:jc w:val="center"/>
              <w:rPr>
                <w:b/>
                <w:bCs/>
                <w:color w:val="000000"/>
                <w:sz w:val="22"/>
              </w:rPr>
            </w:pPr>
            <w:r w:rsidRPr="00F60DD3">
              <w:rPr>
                <w:b/>
                <w:bCs/>
                <w:color w:val="000000"/>
                <w:sz w:val="22"/>
              </w:rPr>
              <w:t>Total Federal Cost</w:t>
            </w:r>
          </w:p>
        </w:tc>
      </w:tr>
      <w:tr w14:paraId="7E484720" w14:textId="77777777" w:rsidTr="00D3301D">
        <w:tblPrEx>
          <w:tblW w:w="0" w:type="auto"/>
          <w:jc w:val="center"/>
          <w:tblLook w:val="04A0"/>
        </w:tblPrEx>
        <w:trPr>
          <w:trHeight w:val="239"/>
          <w:jc w:val="center"/>
        </w:trPr>
        <w:tc>
          <w:tcPr>
            <w:tcW w:w="2875" w:type="dxa"/>
            <w:vAlign w:val="center"/>
          </w:tcPr>
          <w:p w:rsidR="00CD169B" w:rsidP="00D3301D" w14:paraId="093D7B12" w14:textId="77777777">
            <w:pPr>
              <w:keepLines/>
              <w:tabs>
                <w:tab w:val="left" w:pos="360"/>
              </w:tabs>
              <w:spacing w:before="80" w:after="80"/>
              <w:jc w:val="center"/>
              <w:rPr>
                <w:color w:val="000000"/>
                <w:sz w:val="22"/>
              </w:rPr>
            </w:pPr>
            <w:r>
              <w:rPr>
                <w:color w:val="000000"/>
                <w:sz w:val="22"/>
              </w:rPr>
              <w:t>$</w:t>
            </w:r>
            <w:r w:rsidRPr="00C67A9C">
              <w:rPr>
                <w:color w:val="000000"/>
                <w:sz w:val="22"/>
              </w:rPr>
              <w:t>40.51</w:t>
            </w:r>
          </w:p>
        </w:tc>
        <w:tc>
          <w:tcPr>
            <w:tcW w:w="2160" w:type="dxa"/>
            <w:vAlign w:val="center"/>
          </w:tcPr>
          <w:p w:rsidR="00CD169B" w:rsidP="00D3301D" w14:paraId="16A71BD6" w14:textId="77777777">
            <w:pPr>
              <w:keepLines/>
              <w:tabs>
                <w:tab w:val="left" w:pos="360"/>
              </w:tabs>
              <w:spacing w:before="80" w:after="80"/>
              <w:jc w:val="center"/>
              <w:rPr>
                <w:color w:val="000000"/>
                <w:sz w:val="22"/>
              </w:rPr>
            </w:pPr>
            <w:r>
              <w:rPr>
                <w:color w:val="000000"/>
                <w:sz w:val="22"/>
              </w:rPr>
              <w:t>0.1</w:t>
            </w:r>
          </w:p>
        </w:tc>
        <w:tc>
          <w:tcPr>
            <w:tcW w:w="2340" w:type="dxa"/>
            <w:vAlign w:val="center"/>
          </w:tcPr>
          <w:p w:rsidR="00CD169B" w:rsidP="00D3301D" w14:paraId="23E3A05C" w14:textId="77777777">
            <w:pPr>
              <w:keepLines/>
              <w:tabs>
                <w:tab w:val="left" w:pos="360"/>
              </w:tabs>
              <w:spacing w:before="80" w:after="80"/>
              <w:jc w:val="center"/>
              <w:rPr>
                <w:color w:val="000000"/>
                <w:sz w:val="22"/>
              </w:rPr>
            </w:pPr>
            <w:r w:rsidRPr="001E4176">
              <w:rPr>
                <w:bCs/>
                <w:color w:val="000000"/>
                <w:sz w:val="22"/>
              </w:rPr>
              <w:t>4,914</w:t>
            </w:r>
          </w:p>
        </w:tc>
        <w:tc>
          <w:tcPr>
            <w:tcW w:w="2250" w:type="dxa"/>
            <w:vAlign w:val="center"/>
          </w:tcPr>
          <w:p w:rsidR="00CD169B" w:rsidP="00D3301D" w14:paraId="6E8BA510" w14:textId="77777777">
            <w:pPr>
              <w:keepLines/>
              <w:tabs>
                <w:tab w:val="left" w:pos="360"/>
              </w:tabs>
              <w:spacing w:before="80" w:after="80"/>
              <w:jc w:val="center"/>
              <w:rPr>
                <w:color w:val="000000"/>
                <w:sz w:val="22"/>
              </w:rPr>
            </w:pPr>
            <w:r>
              <w:rPr>
                <w:color w:val="000000"/>
                <w:sz w:val="22"/>
              </w:rPr>
              <w:t>$</w:t>
            </w:r>
            <w:r w:rsidRPr="00B87D11">
              <w:rPr>
                <w:color w:val="000000"/>
                <w:sz w:val="22"/>
              </w:rPr>
              <w:t>19</w:t>
            </w:r>
            <w:r>
              <w:rPr>
                <w:color w:val="000000"/>
                <w:sz w:val="22"/>
              </w:rPr>
              <w:t>,</w:t>
            </w:r>
            <w:r w:rsidRPr="00B87D11">
              <w:rPr>
                <w:color w:val="000000"/>
                <w:sz w:val="22"/>
              </w:rPr>
              <w:t>906.61</w:t>
            </w:r>
          </w:p>
        </w:tc>
      </w:tr>
    </w:tbl>
    <w:bookmarkEnd w:id="1"/>
    <w:p w:rsidR="00CD169B" w:rsidRPr="00981103" w:rsidP="00CD169B" w14:paraId="35DDA19E" w14:textId="77777777">
      <w:pPr>
        <w:overflowPunct/>
        <w:autoSpaceDE/>
        <w:autoSpaceDN/>
        <w:adjustRightInd/>
        <w:rPr>
          <w:rFonts w:ascii="Segoe UI" w:hAnsi="Segoe UI" w:cs="Segoe UI"/>
          <w:sz w:val="18"/>
          <w:szCs w:val="18"/>
        </w:rPr>
      </w:pPr>
      <w:r w:rsidRPr="00981103">
        <w:rPr>
          <w:sz w:val="22"/>
          <w:szCs w:val="22"/>
        </w:rPr>
        <w:t> </w:t>
      </w:r>
    </w:p>
    <w:p w:rsidR="00CD169B" w:rsidP="00CD169B" w14:paraId="128E0224" w14:textId="77777777">
      <w:pPr>
        <w:tabs>
          <w:tab w:val="left" w:pos="360"/>
        </w:tabs>
        <w:ind w:left="360" w:hanging="360"/>
        <w:rPr>
          <w:color w:val="000000"/>
          <w:sz w:val="18"/>
        </w:rPr>
      </w:pPr>
    </w:p>
    <w:p w:rsidR="00CD169B" w:rsidRPr="00DF5C8E" w:rsidP="00CD169B" w14:paraId="6CF4ED73" w14:textId="77777777">
      <w:pPr>
        <w:keepLines/>
        <w:tabs>
          <w:tab w:val="left" w:pos="360"/>
        </w:tabs>
        <w:spacing w:after="80"/>
        <w:ind w:left="360" w:hanging="360"/>
        <w:rPr>
          <w:color w:val="000000"/>
          <w:sz w:val="22"/>
          <w:szCs w:val="22"/>
        </w:rPr>
      </w:pPr>
      <w:r w:rsidRPr="00DF5C8E">
        <w:rPr>
          <w:color w:val="000000"/>
          <w:sz w:val="22"/>
          <w:szCs w:val="22"/>
        </w:rPr>
        <w:t>15.</w:t>
      </w:r>
      <w:r w:rsidRPr="00DF5C8E">
        <w:rPr>
          <w:color w:val="000000"/>
          <w:sz w:val="22"/>
          <w:szCs w:val="22"/>
        </w:rPr>
        <w:tab/>
      </w:r>
      <w:r w:rsidRPr="00842DDC">
        <w:rPr>
          <w:b/>
          <w:color w:val="000000"/>
          <w:sz w:val="22"/>
          <w:szCs w:val="22"/>
        </w:rPr>
        <w:t>Explain any program changes or adjustments reported in items 13 and 14 of the OMB Form 83i.</w:t>
      </w:r>
    </w:p>
    <w:p w:rsidR="00AB0671" w:rsidP="00CD169B" w14:paraId="131A0507" w14:textId="77777777">
      <w:pPr>
        <w:tabs>
          <w:tab w:val="left" w:pos="360"/>
        </w:tabs>
        <w:ind w:left="360" w:hanging="360"/>
        <w:rPr>
          <w:color w:val="000000"/>
          <w:sz w:val="22"/>
          <w:szCs w:val="22"/>
        </w:rPr>
      </w:pPr>
      <w:r>
        <w:rPr>
          <w:color w:val="000000"/>
          <w:sz w:val="22"/>
          <w:szCs w:val="22"/>
        </w:rPr>
        <w:t xml:space="preserve">HUD increased the number of respondents from 668 </w:t>
      </w:r>
      <w:r>
        <w:rPr>
          <w:color w:val="000000"/>
          <w:sz w:val="22"/>
          <w:szCs w:val="22"/>
        </w:rPr>
        <w:t>respondents</w:t>
      </w:r>
      <w:r w:rsidR="001A7B44">
        <w:rPr>
          <w:color w:val="000000"/>
          <w:sz w:val="22"/>
          <w:szCs w:val="22"/>
        </w:rPr>
        <w:t>,</w:t>
      </w:r>
      <w:r>
        <w:rPr>
          <w:color w:val="000000"/>
          <w:sz w:val="22"/>
          <w:szCs w:val="22"/>
        </w:rPr>
        <w:t xml:space="preserve"> in the </w:t>
      </w:r>
      <w:r w:rsidR="001A7B44">
        <w:rPr>
          <w:color w:val="000000"/>
          <w:sz w:val="22"/>
          <w:szCs w:val="22"/>
        </w:rPr>
        <w:t xml:space="preserve">original PRA published in 2019, to 819 respondents because </w:t>
      </w:r>
      <w:r>
        <w:rPr>
          <w:color w:val="000000"/>
          <w:sz w:val="22"/>
          <w:szCs w:val="22"/>
        </w:rPr>
        <w:t xml:space="preserve">additional Public Housing Authorities have </w:t>
      </w:r>
      <w:r>
        <w:rPr>
          <w:color w:val="000000"/>
          <w:sz w:val="22"/>
          <w:szCs w:val="22"/>
        </w:rPr>
        <w:t>project based</w:t>
      </w:r>
      <w:r>
        <w:rPr>
          <w:color w:val="000000"/>
          <w:sz w:val="22"/>
          <w:szCs w:val="22"/>
        </w:rPr>
        <w:t xml:space="preserve"> vouchers in their portfolio and would be required to respond to this data collation.  </w:t>
      </w:r>
    </w:p>
    <w:p w:rsidR="00AB0671" w:rsidP="00CD169B" w14:paraId="6B0CCE94" w14:textId="77777777">
      <w:pPr>
        <w:tabs>
          <w:tab w:val="left" w:pos="360"/>
        </w:tabs>
        <w:ind w:left="360" w:hanging="360"/>
        <w:rPr>
          <w:color w:val="000000"/>
          <w:sz w:val="22"/>
          <w:szCs w:val="22"/>
        </w:rPr>
      </w:pPr>
    </w:p>
    <w:p w:rsidR="00AB0671" w:rsidP="00CD169B" w14:paraId="70065CB5" w14:textId="77777777">
      <w:pPr>
        <w:tabs>
          <w:tab w:val="left" w:pos="360"/>
        </w:tabs>
        <w:ind w:left="360" w:hanging="360"/>
        <w:rPr>
          <w:color w:val="000000"/>
          <w:sz w:val="22"/>
          <w:szCs w:val="22"/>
        </w:rPr>
      </w:pPr>
      <w:r>
        <w:rPr>
          <w:color w:val="000000"/>
          <w:sz w:val="22"/>
          <w:szCs w:val="22"/>
        </w:rPr>
        <w:t>HUD increased the hourly cost due to salary increases since 2019 due to cost of living.</w:t>
      </w:r>
    </w:p>
    <w:p w:rsidR="00CD169B" w:rsidRPr="00DF5C8E" w:rsidP="00CD169B" w14:paraId="0B4654D5" w14:textId="186B8628">
      <w:pPr>
        <w:tabs>
          <w:tab w:val="left" w:pos="360"/>
        </w:tabs>
        <w:ind w:left="360" w:hanging="360"/>
        <w:rPr>
          <w:color w:val="000000"/>
          <w:sz w:val="22"/>
          <w:szCs w:val="22"/>
        </w:rPr>
      </w:pPr>
      <w:r>
        <w:rPr>
          <w:color w:val="000000"/>
          <w:sz w:val="22"/>
          <w:szCs w:val="22"/>
        </w:rPr>
        <w:t xml:space="preserve"> </w:t>
      </w:r>
    </w:p>
    <w:p w:rsidR="00CD169B" w:rsidRPr="00DF5C8E" w:rsidP="00CD169B" w14:paraId="24313331" w14:textId="77777777">
      <w:pPr>
        <w:keepLines/>
        <w:tabs>
          <w:tab w:val="left" w:pos="360"/>
        </w:tabs>
        <w:ind w:left="360" w:hanging="360"/>
        <w:rPr>
          <w:color w:val="000000"/>
          <w:sz w:val="22"/>
          <w:szCs w:val="22"/>
        </w:rPr>
      </w:pPr>
      <w:r w:rsidRPr="00842DDC">
        <w:rPr>
          <w:b/>
          <w:bCs/>
          <w:color w:val="000000"/>
          <w:sz w:val="22"/>
          <w:szCs w:val="22"/>
        </w:rPr>
        <w:t>16.</w:t>
      </w:r>
      <w:r w:rsidRPr="00842DDC">
        <w:rPr>
          <w:b/>
          <w:bCs/>
          <w:color w:val="000000"/>
          <w:sz w:val="22"/>
          <w:szCs w:val="22"/>
        </w:rPr>
        <w:tab/>
        <w:t xml:space="preserve">If the information </w:t>
      </w:r>
      <w:r w:rsidRPr="00842DDC">
        <w:rPr>
          <w:b/>
          <w:bCs/>
          <w:color w:val="000000"/>
          <w:sz w:val="22"/>
          <w:szCs w:val="22"/>
        </w:rPr>
        <w:t>will be</w:t>
      </w:r>
      <w:r w:rsidRPr="00842DDC">
        <w:rPr>
          <w:b/>
          <w:bCs/>
          <w:color w:val="000000"/>
          <w:sz w:val="22"/>
          <w:szCs w:val="22"/>
        </w:rPr>
        <w:t xml:space="preserve"> published, outline plans for tabulation and publication</w:t>
      </w:r>
      <w:r w:rsidRPr="00DF5C8E">
        <w:rPr>
          <w:color w:val="000000"/>
          <w:sz w:val="22"/>
          <w:szCs w:val="22"/>
        </w:rPr>
        <w:t xml:space="preserve">.  </w:t>
      </w:r>
    </w:p>
    <w:p w:rsidR="00AB0671" w:rsidP="00CD169B" w14:paraId="4C61CAB1" w14:textId="77777777">
      <w:pPr>
        <w:tabs>
          <w:tab w:val="left" w:pos="360"/>
        </w:tabs>
        <w:ind w:left="360" w:hanging="360"/>
        <w:rPr>
          <w:color w:val="000000"/>
          <w:sz w:val="22"/>
          <w:szCs w:val="22"/>
        </w:rPr>
      </w:pPr>
    </w:p>
    <w:p w:rsidR="00CD169B" w:rsidP="00CD169B" w14:paraId="0E85A10A" w14:textId="06C42BD2">
      <w:pPr>
        <w:tabs>
          <w:tab w:val="left" w:pos="360"/>
        </w:tabs>
        <w:ind w:left="360" w:hanging="360"/>
        <w:rPr>
          <w:color w:val="000000"/>
          <w:sz w:val="22"/>
          <w:szCs w:val="22"/>
        </w:rPr>
      </w:pPr>
      <w:r>
        <w:rPr>
          <w:color w:val="000000"/>
          <w:sz w:val="22"/>
          <w:szCs w:val="22"/>
        </w:rPr>
        <w:t>Information will be collected and published in an public-facing dashboard which allows the public to see national totals, state level totals and drill down to the totals by Public Housing Authority.</w:t>
      </w:r>
    </w:p>
    <w:p w:rsidR="00AB0671" w:rsidRPr="00DF5C8E" w:rsidP="00CD169B" w14:paraId="292EB062" w14:textId="77777777">
      <w:pPr>
        <w:tabs>
          <w:tab w:val="left" w:pos="360"/>
        </w:tabs>
        <w:ind w:left="360" w:hanging="360"/>
        <w:rPr>
          <w:color w:val="000000"/>
          <w:sz w:val="22"/>
          <w:szCs w:val="22"/>
        </w:rPr>
      </w:pPr>
    </w:p>
    <w:p w:rsidR="00CD169B" w:rsidRPr="00842DDC" w:rsidP="00CD169B" w14:paraId="377FC5FD" w14:textId="77777777">
      <w:pPr>
        <w:keepLines/>
        <w:tabs>
          <w:tab w:val="left" w:pos="360"/>
        </w:tabs>
        <w:ind w:left="360" w:hanging="360"/>
        <w:rPr>
          <w:b/>
          <w:bCs/>
          <w:color w:val="000000"/>
          <w:sz w:val="22"/>
          <w:szCs w:val="22"/>
        </w:rPr>
      </w:pPr>
      <w:r w:rsidRPr="00842DDC">
        <w:rPr>
          <w:b/>
          <w:bCs/>
          <w:color w:val="000000"/>
          <w:sz w:val="22"/>
          <w:szCs w:val="22"/>
        </w:rPr>
        <w:t>17.</w:t>
      </w:r>
      <w:r w:rsidRPr="00842DDC">
        <w:rPr>
          <w:b/>
          <w:bCs/>
          <w:color w:val="000000"/>
          <w:sz w:val="22"/>
          <w:szCs w:val="22"/>
        </w:rPr>
        <w:tab/>
        <w:t xml:space="preserve">Explain any request to not display the expiration date. </w:t>
      </w:r>
    </w:p>
    <w:p w:rsidR="00CD169B" w:rsidRPr="00DF5C8E" w:rsidP="00CD169B" w14:paraId="3BDB4E15" w14:textId="611BAA17">
      <w:pPr>
        <w:tabs>
          <w:tab w:val="left" w:pos="360"/>
        </w:tabs>
        <w:ind w:left="360" w:hanging="360"/>
        <w:rPr>
          <w:color w:val="000000"/>
          <w:sz w:val="22"/>
          <w:szCs w:val="22"/>
        </w:rPr>
      </w:pPr>
      <w:r>
        <w:rPr>
          <w:color w:val="000000"/>
          <w:sz w:val="22"/>
          <w:szCs w:val="22"/>
        </w:rPr>
        <w:t>N/A</w:t>
      </w:r>
    </w:p>
    <w:p w:rsidR="00CD169B" w:rsidRPr="00842DDC" w:rsidP="00CD169B" w14:paraId="674F46EE" w14:textId="77777777">
      <w:pPr>
        <w:keepLines/>
        <w:tabs>
          <w:tab w:val="left" w:pos="360"/>
        </w:tabs>
        <w:spacing w:after="80"/>
        <w:ind w:left="360" w:hanging="360"/>
        <w:rPr>
          <w:b/>
          <w:bCs/>
          <w:color w:val="000000"/>
          <w:sz w:val="22"/>
          <w:szCs w:val="22"/>
        </w:rPr>
      </w:pPr>
      <w:r w:rsidRPr="00842DDC">
        <w:rPr>
          <w:b/>
          <w:bCs/>
          <w:color w:val="000000"/>
          <w:sz w:val="22"/>
          <w:szCs w:val="22"/>
        </w:rPr>
        <w:t>18.</w:t>
      </w:r>
      <w:r w:rsidRPr="00842DDC">
        <w:rPr>
          <w:b/>
          <w:bCs/>
          <w:color w:val="000000"/>
          <w:sz w:val="22"/>
          <w:szCs w:val="22"/>
        </w:rPr>
        <w:tab/>
        <w:t>Explain each exception to the certification statement identified in item 19.</w:t>
      </w:r>
    </w:p>
    <w:p w:rsidR="00CD169B" w:rsidP="00CD169B" w14:paraId="6761075A" w14:textId="5C3DBCD8">
      <w:pPr>
        <w:tabs>
          <w:tab w:val="left" w:pos="360"/>
          <w:tab w:val="left" w:pos="720"/>
        </w:tabs>
        <w:rPr>
          <w:color w:val="000000"/>
        </w:rPr>
      </w:pPr>
      <w:r>
        <w:rPr>
          <w:color w:val="000000"/>
        </w:rPr>
        <w:t>N/A</w:t>
      </w:r>
    </w:p>
    <w:p w:rsidR="00CD169B" w:rsidRPr="000737C1" w:rsidP="00CD169B" w14:paraId="1064014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F66FE9" w14:paraId="4A6391D1" w14:textId="77777777"/>
    <w:sectPr w:rsidSect="00D3301D">
      <w:footerReference w:type="default" r:id="rId17"/>
      <w:footerReference w:type="first" r:id="rId18"/>
      <w:pgSz w:w="12240" w:h="15840"/>
      <w:pgMar w:top="480" w:right="720" w:bottom="480" w:left="54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023" w14:paraId="76A3813F" w14:textId="36C72F40">
    <w:pPr>
      <w:pStyle w:val="Footer"/>
      <w:pBdr>
        <w:top w:val="single" w:sz="6" w:space="1" w:color="auto"/>
      </w:pBdr>
      <w:tabs>
        <w:tab w:val="clear" w:pos="4320"/>
        <w:tab w:val="clear" w:pos="8640"/>
        <w:tab w:val="right" w:pos="10920"/>
      </w:tabs>
      <w:ind w:left="-120" w:right="-120"/>
    </w:pPr>
    <w:r>
      <w:rPr>
        <w:rFonts w:ascii="Helvetica" w:hAnsi="Helvetica"/>
        <w:b/>
        <w:sz w:val="18"/>
      </w:rPr>
      <w:t>Supporting Statement</w:t>
    </w:r>
    <w:r w:rsidR="0008294B">
      <w:rPr>
        <w:rFonts w:ascii="Helvetica" w:hAnsi="Helvetica"/>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01BC2C2B"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5A6023" w14:paraId="791D3BC6" w14:textId="592E9557">
          <w:pPr>
            <w:pStyle w:val="Footer"/>
            <w:rPr>
              <w:rFonts w:ascii="Helvetica" w:hAnsi="Helvetica"/>
              <w:sz w:val="16"/>
            </w:rPr>
          </w:pPr>
        </w:p>
      </w:tc>
      <w:tc>
        <w:tcPr>
          <w:tcW w:w="2748" w:type="dxa"/>
          <w:tcBorders>
            <w:left w:val="nil"/>
          </w:tcBorders>
        </w:tcPr>
        <w:p w:rsidR="005A6023" w14:paraId="718B229F" w14:textId="755857D6">
          <w:pPr>
            <w:pStyle w:val="Footer"/>
            <w:rPr>
              <w:rFonts w:ascii="Helvetica" w:hAnsi="Helvetica"/>
              <w:sz w:val="16"/>
            </w:rPr>
          </w:pPr>
        </w:p>
      </w:tc>
    </w:tr>
  </w:tbl>
  <w:p w:rsidR="005A6023" w14:paraId="2AF73195"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1B651F4"/>
    <w:multiLevelType w:val="hybridMultilevel"/>
    <w:tmpl w:val="FD345C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1C2F2A"/>
    <w:multiLevelType w:val="hybridMultilevel"/>
    <w:tmpl w:val="53E4D79A"/>
    <w:lvl w:ilvl="0">
      <w:start w:val="7"/>
      <w:numFmt w:val="decimal"/>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2A070B37"/>
    <w:multiLevelType w:val="hybridMultilevel"/>
    <w:tmpl w:val="DF58BA78"/>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4">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num w:numId="1" w16cid:durableId="151573016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447816922">
    <w:abstractNumId w:val="4"/>
  </w:num>
  <w:num w:numId="3" w16cid:durableId="1842546771">
    <w:abstractNumId w:val="2"/>
  </w:num>
  <w:num w:numId="4" w16cid:durableId="275599705">
    <w:abstractNumId w:val="1"/>
  </w:num>
  <w:num w:numId="5" w16cid:durableId="73865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9B"/>
    <w:rsid w:val="00013911"/>
    <w:rsid w:val="00062094"/>
    <w:rsid w:val="00070EFE"/>
    <w:rsid w:val="000737C1"/>
    <w:rsid w:val="0008294B"/>
    <w:rsid w:val="000E22D5"/>
    <w:rsid w:val="0011591F"/>
    <w:rsid w:val="00126444"/>
    <w:rsid w:val="00170980"/>
    <w:rsid w:val="00186B8C"/>
    <w:rsid w:val="001A7B44"/>
    <w:rsid w:val="001E4176"/>
    <w:rsid w:val="001E41CF"/>
    <w:rsid w:val="00205340"/>
    <w:rsid w:val="00295621"/>
    <w:rsid w:val="002F0008"/>
    <w:rsid w:val="00300A8E"/>
    <w:rsid w:val="00314A6F"/>
    <w:rsid w:val="0031701C"/>
    <w:rsid w:val="00343F75"/>
    <w:rsid w:val="00403B63"/>
    <w:rsid w:val="004567F8"/>
    <w:rsid w:val="00484EEA"/>
    <w:rsid w:val="004A0AE0"/>
    <w:rsid w:val="004C695C"/>
    <w:rsid w:val="004D05CC"/>
    <w:rsid w:val="004F028B"/>
    <w:rsid w:val="005A32A6"/>
    <w:rsid w:val="005A6023"/>
    <w:rsid w:val="005B0EFD"/>
    <w:rsid w:val="00652A38"/>
    <w:rsid w:val="00671B66"/>
    <w:rsid w:val="006935F3"/>
    <w:rsid w:val="006E5D80"/>
    <w:rsid w:val="007A7EB1"/>
    <w:rsid w:val="007C0879"/>
    <w:rsid w:val="00842DDC"/>
    <w:rsid w:val="00880153"/>
    <w:rsid w:val="009113BD"/>
    <w:rsid w:val="00914C05"/>
    <w:rsid w:val="009230D0"/>
    <w:rsid w:val="00942409"/>
    <w:rsid w:val="00952085"/>
    <w:rsid w:val="00970B05"/>
    <w:rsid w:val="00981103"/>
    <w:rsid w:val="00983759"/>
    <w:rsid w:val="009C51D2"/>
    <w:rsid w:val="009D2075"/>
    <w:rsid w:val="009E5710"/>
    <w:rsid w:val="009F4ADE"/>
    <w:rsid w:val="00A17049"/>
    <w:rsid w:val="00A21CE9"/>
    <w:rsid w:val="00A24E3E"/>
    <w:rsid w:val="00A61BBF"/>
    <w:rsid w:val="00AB0671"/>
    <w:rsid w:val="00AB57A4"/>
    <w:rsid w:val="00AD4AAF"/>
    <w:rsid w:val="00B34177"/>
    <w:rsid w:val="00B40148"/>
    <w:rsid w:val="00B830C4"/>
    <w:rsid w:val="00B87D11"/>
    <w:rsid w:val="00B90FD4"/>
    <w:rsid w:val="00BE3CEF"/>
    <w:rsid w:val="00C20477"/>
    <w:rsid w:val="00C4620D"/>
    <w:rsid w:val="00C604BE"/>
    <w:rsid w:val="00C64957"/>
    <w:rsid w:val="00C67A9C"/>
    <w:rsid w:val="00C71F1A"/>
    <w:rsid w:val="00CC15CB"/>
    <w:rsid w:val="00CD169B"/>
    <w:rsid w:val="00D01119"/>
    <w:rsid w:val="00D079B4"/>
    <w:rsid w:val="00D15085"/>
    <w:rsid w:val="00D3210D"/>
    <w:rsid w:val="00D3301D"/>
    <w:rsid w:val="00D47B38"/>
    <w:rsid w:val="00D73217"/>
    <w:rsid w:val="00DF5C8E"/>
    <w:rsid w:val="00E43D02"/>
    <w:rsid w:val="00E52725"/>
    <w:rsid w:val="00E72D16"/>
    <w:rsid w:val="00E85D88"/>
    <w:rsid w:val="00ED07AB"/>
    <w:rsid w:val="00EF0F91"/>
    <w:rsid w:val="00F06A6C"/>
    <w:rsid w:val="00F335F9"/>
    <w:rsid w:val="00F33E81"/>
    <w:rsid w:val="00F36A13"/>
    <w:rsid w:val="00F60DD3"/>
    <w:rsid w:val="00F66FE9"/>
    <w:rsid w:val="1289A49E"/>
    <w:rsid w:val="1AD87E82"/>
    <w:rsid w:val="24225061"/>
    <w:rsid w:val="4C0D829F"/>
    <w:rsid w:val="4DB979E7"/>
    <w:rsid w:val="4E58A0F0"/>
    <w:rsid w:val="5C11DD0C"/>
    <w:rsid w:val="654B2FB4"/>
    <w:rsid w:val="6881A5B9"/>
    <w:rsid w:val="70F1E9E1"/>
    <w:rsid w:val="71AAB6F7"/>
    <w:rsid w:val="728F0480"/>
    <w:rsid w:val="7CE54A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250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69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D169B"/>
    <w:pPr>
      <w:tabs>
        <w:tab w:val="center" w:pos="4320"/>
        <w:tab w:val="right" w:pos="8640"/>
      </w:tabs>
    </w:pPr>
  </w:style>
  <w:style w:type="character" w:customStyle="1" w:styleId="HeaderChar">
    <w:name w:val="Header Char"/>
    <w:basedOn w:val="DefaultParagraphFont"/>
    <w:link w:val="Header"/>
    <w:semiHidden/>
    <w:rsid w:val="00CD169B"/>
    <w:rPr>
      <w:rFonts w:ascii="Times New Roman" w:eastAsia="Times New Roman" w:hAnsi="Times New Roman" w:cs="Times New Roman"/>
      <w:kern w:val="0"/>
      <w:sz w:val="20"/>
      <w:szCs w:val="20"/>
      <w14:ligatures w14:val="none"/>
    </w:rPr>
  </w:style>
  <w:style w:type="paragraph" w:styleId="Footer">
    <w:name w:val="footer"/>
    <w:basedOn w:val="Normal"/>
    <w:link w:val="FooterChar"/>
    <w:semiHidden/>
    <w:rsid w:val="00CD169B"/>
    <w:pPr>
      <w:tabs>
        <w:tab w:val="center" w:pos="4320"/>
        <w:tab w:val="right" w:pos="8640"/>
      </w:tabs>
    </w:pPr>
  </w:style>
  <w:style w:type="character" w:customStyle="1" w:styleId="FooterChar">
    <w:name w:val="Footer Char"/>
    <w:basedOn w:val="DefaultParagraphFont"/>
    <w:link w:val="Footer"/>
    <w:semiHidden/>
    <w:rsid w:val="00CD169B"/>
    <w:rPr>
      <w:rFonts w:ascii="Times New Roman" w:eastAsia="Times New Roman" w:hAnsi="Times New Roman" w:cs="Times New Roman"/>
      <w:kern w:val="0"/>
      <w:sz w:val="20"/>
      <w:szCs w:val="20"/>
      <w14:ligatures w14:val="none"/>
    </w:rPr>
  </w:style>
  <w:style w:type="character" w:customStyle="1" w:styleId="normaltextrun">
    <w:name w:val="normaltextrun"/>
    <w:rsid w:val="00CD169B"/>
  </w:style>
  <w:style w:type="character" w:customStyle="1" w:styleId="eop">
    <w:name w:val="eop"/>
    <w:rsid w:val="00CD169B"/>
  </w:style>
  <w:style w:type="table" w:styleId="TableGrid">
    <w:name w:val="Table Grid"/>
    <w:basedOn w:val="TableNormal"/>
    <w:uiPriority w:val="59"/>
    <w:rsid w:val="00CD16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69B"/>
    <w:pPr>
      <w:ind w:left="720"/>
      <w:contextualSpacing/>
    </w:pPr>
  </w:style>
  <w:style w:type="character" w:styleId="CommentReference">
    <w:name w:val="annotation reference"/>
    <w:basedOn w:val="DefaultParagraphFont"/>
    <w:uiPriority w:val="99"/>
    <w:semiHidden/>
    <w:unhideWhenUsed/>
    <w:rsid w:val="00B40148"/>
    <w:rPr>
      <w:sz w:val="16"/>
      <w:szCs w:val="16"/>
    </w:rPr>
  </w:style>
  <w:style w:type="paragraph" w:styleId="CommentText">
    <w:name w:val="annotation text"/>
    <w:basedOn w:val="Normal"/>
    <w:link w:val="CommentTextChar"/>
    <w:uiPriority w:val="99"/>
    <w:unhideWhenUsed/>
    <w:rsid w:val="00B40148"/>
  </w:style>
  <w:style w:type="character" w:customStyle="1" w:styleId="CommentTextChar">
    <w:name w:val="Comment Text Char"/>
    <w:basedOn w:val="DefaultParagraphFont"/>
    <w:link w:val="CommentText"/>
    <w:uiPriority w:val="99"/>
    <w:rsid w:val="00B4014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0148"/>
    <w:rPr>
      <w:b/>
      <w:bCs/>
    </w:rPr>
  </w:style>
  <w:style w:type="character" w:customStyle="1" w:styleId="CommentSubjectChar">
    <w:name w:val="Comment Subject Char"/>
    <w:basedOn w:val="CommentTextChar"/>
    <w:link w:val="CommentSubject"/>
    <w:uiPriority w:val="99"/>
    <w:semiHidden/>
    <w:rsid w:val="00B4014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17049"/>
    <w:p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11591F"/>
    <w:pPr>
      <w:overflowPunct/>
      <w:autoSpaceDE/>
      <w:autoSpaceDN/>
      <w:adjustRightInd/>
      <w:spacing w:before="100" w:beforeAutospacing="1" w:after="100" w:afterAutospacing="1"/>
      <w:textAlignment w:val="auto"/>
    </w:pPr>
    <w:rPr>
      <w:sz w:val="24"/>
      <w:szCs w:val="24"/>
    </w:rPr>
  </w:style>
  <w:style w:type="paragraph" w:customStyle="1" w:styleId="psection-1">
    <w:name w:val="psection-1"/>
    <w:basedOn w:val="Normal"/>
    <w:rsid w:val="00186B8C"/>
    <w:pPr>
      <w:overflowPunct/>
      <w:autoSpaceDE/>
      <w:autoSpaceDN/>
      <w:adjustRightInd/>
      <w:spacing w:before="100" w:beforeAutospacing="1" w:after="100" w:afterAutospacing="1"/>
      <w:textAlignment w:val="auto"/>
    </w:pPr>
    <w:rPr>
      <w:sz w:val="24"/>
      <w:szCs w:val="24"/>
    </w:rPr>
  </w:style>
  <w:style w:type="character" w:customStyle="1" w:styleId="enumxml">
    <w:name w:val="enumxml"/>
    <w:basedOn w:val="DefaultParagraphFont"/>
    <w:rsid w:val="00186B8C"/>
  </w:style>
  <w:style w:type="character" w:styleId="Hyperlink">
    <w:name w:val="Hyperlink"/>
    <w:basedOn w:val="DefaultParagraphFont"/>
    <w:uiPriority w:val="99"/>
    <w:semiHidden/>
    <w:unhideWhenUsed/>
    <w:rsid w:val="00186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a6be65e68c286cf754d374208ba03301&amp;term_occur=999&amp;term_src=Title:24:Subtitle:B:Chapter:IX:Part:983:Subpart:E:983.203" TargetMode="External" /><Relationship Id="rId11" Type="http://schemas.openxmlformats.org/officeDocument/2006/relationships/hyperlink" Target="https://www.law.cornell.edu/definitions/index.php?width=840&amp;height=800&amp;iframe=true&amp;def_id=7e4d919a2325215c6968d88371211121&amp;term_occur=999&amp;term_src=Title:24:Subtitle:B:Chapter:IX:Part:983:Subpart:E:983.203" TargetMode="External" /><Relationship Id="rId12" Type="http://schemas.openxmlformats.org/officeDocument/2006/relationships/hyperlink" Target="https://www.law.cornell.edu/topn/rehabilitation_act_of_1973" TargetMode="External" /><Relationship Id="rId13" Type="http://schemas.openxmlformats.org/officeDocument/2006/relationships/hyperlink" Target="https://www.law.cornell.edu/uscode/text/29/794" TargetMode="External" /><Relationship Id="rId14" Type="http://schemas.openxmlformats.org/officeDocument/2006/relationships/hyperlink" Target="https://www.law.cornell.edu/cfr/text/24/part-8" TargetMode="External" /><Relationship Id="rId15" Type="http://schemas.openxmlformats.org/officeDocument/2006/relationships/hyperlink" Target="https://www.law.cornell.edu/cfr/text/24/983.56" TargetMode="External" /><Relationship Id="rId16" Type="http://schemas.openxmlformats.org/officeDocument/2006/relationships/hyperlink" Target="https://www.law.cornell.edu/definitions/index.php?width=840&amp;height=800&amp;iframe=true&amp;def_id=acb1e27191e31aa4cb3b245539512eab&amp;term_occur=999&amp;term_src=Title:24:Subtitle:B:Chapter:IX:Part:983:Subpart:E:983.203"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definitions/index.php?width=840&amp;height=800&amp;iframe=true&amp;def_id=618f8a9e22c84bc344db9d93491ddecb&amp;term_occur=999&amp;term_src=Title:24:Subtitle:B:Chapter:IX:Part:983:Subpart:E:983.203" TargetMode="External" /><Relationship Id="rId8" Type="http://schemas.openxmlformats.org/officeDocument/2006/relationships/hyperlink" Target="https://www.law.cornell.edu/definitions/index.php?width=840&amp;height=800&amp;iframe=true&amp;def_id=96a54ddb3fa82b0a420e11a5e77a6099&amp;term_occur=999&amp;term_src=Title:24:Subtitle:B:Chapter:IX:Part:983:Subpart:E:983.203" TargetMode="External" /><Relationship Id="rId9" Type="http://schemas.openxmlformats.org/officeDocument/2006/relationships/hyperlink" Target="https://www.law.cornell.edu/definitions/index.php?width=840&amp;height=800&amp;iframe=true&amp;def_id=d7a7e310213948166aff01c312d67ac8&amp;term_occur=999&amp;term_src=Title:24:Subtitle:B:Chapter:IX:Part:983:Subpart:E:983.2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8B0C543903E7429806616CCC8804BE" ma:contentTypeVersion="17" ma:contentTypeDescription="Create a new document." ma:contentTypeScope="" ma:versionID="389e51ab2dba5370c771c02550ce066b">
  <xsd:schema xmlns:xsd="http://www.w3.org/2001/XMLSchema" xmlns:xs="http://www.w3.org/2001/XMLSchema" xmlns:p="http://schemas.microsoft.com/office/2006/metadata/properties" xmlns:ns2="dfa42e7d-fb86-4563-8984-0accd8a0715b" xmlns:ns3="fd014737-7608-4b1e-b967-8de8d479122d" targetNamespace="http://schemas.microsoft.com/office/2006/metadata/properties" ma:root="true" ma:fieldsID="8435db5194202af09856865edbd7a885" ns2:_="" ns3:_="">
    <xsd:import namespace="dfa42e7d-fb86-4563-8984-0accd8a0715b"/>
    <xsd:import namespace="fd014737-7608-4b1e-b967-8de8d47912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CommentsSubmittedtoAb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42e7d-fb86-4563-8984-0accd8a07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CommentsSubmittedtoAbt" ma:index="24" nillable="true" ma:displayName="Comments Submitted to Abt" ma:default="0" ma:format="Dropdown" ma:internalName="CommentsSubmittedtoAb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14737-7608-4b1e-b967-8de8d47912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88967a-d856-449f-a65f-d9ae0dd8a932}" ma:internalName="TaxCatchAll" ma:showField="CatchAllData" ma:web="fd014737-7608-4b1e-b967-8de8d4791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a42e7d-fb86-4563-8984-0accd8a0715b">
      <Terms xmlns="http://schemas.microsoft.com/office/infopath/2007/PartnerControls"/>
    </lcf76f155ced4ddcb4097134ff3c332f>
    <TaxCatchAll xmlns="fd014737-7608-4b1e-b967-8de8d479122d"/>
    <CommentsSubmittedtoAbt xmlns="dfa42e7d-fb86-4563-8984-0accd8a0715b">false</CommentsSubmittedtoAbt>
  </documentManagement>
</p:properties>
</file>

<file path=customXml/itemProps1.xml><?xml version="1.0" encoding="utf-8"?>
<ds:datastoreItem xmlns:ds="http://schemas.openxmlformats.org/officeDocument/2006/customXml" ds:itemID="{F7918F93-EDAA-4795-87C1-E99AC96426B1}">
  <ds:schemaRefs>
    <ds:schemaRef ds:uri="http://schemas.microsoft.com/sharepoint/v3/contenttype/forms"/>
  </ds:schemaRefs>
</ds:datastoreItem>
</file>

<file path=customXml/itemProps2.xml><?xml version="1.0" encoding="utf-8"?>
<ds:datastoreItem xmlns:ds="http://schemas.openxmlformats.org/officeDocument/2006/customXml" ds:itemID="{4B5B7A63-8193-4283-A7D2-9AF84449E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42e7d-fb86-4563-8984-0accd8a0715b"/>
    <ds:schemaRef ds:uri="fd014737-7608-4b1e-b967-8de8d4791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EDE1F-8B3D-4825-8CFC-24F483BC2494}">
  <ds:schemaRefs>
    <ds:schemaRef ds:uri="http://schemas.microsoft.com/office/2006/metadata/properties"/>
    <ds:schemaRef ds:uri="http://schemas.microsoft.com/office/2006/documentManagement/types"/>
    <ds:schemaRef ds:uri="http://purl.org/dc/elements/1.1/"/>
    <ds:schemaRef ds:uri="fd014737-7608-4b1e-b967-8de8d479122d"/>
    <ds:schemaRef ds:uri="http://schemas.microsoft.com/office/infopath/2007/PartnerControls"/>
    <ds:schemaRef ds:uri="http://schemas.openxmlformats.org/package/2006/metadata/core-properties"/>
    <ds:schemaRef ds:uri="http://purl.org/dc/terms/"/>
    <ds:schemaRef ds:uri="dfa42e7d-fb86-4563-8984-0accd8a0715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2023-10-17T18:19:00Z</dcterms:created>
  <dcterms:modified xsi:type="dcterms:W3CDTF">2023-10-17T19:25:00Z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0x010100158B0C543903E7429806616CCC8804BE</vt:lpwstr>
  </property>
  <property fmtid="{D5CDD505-2E9C-101B-9397-08002B2CF9AE}" pid="3" name="MediaServiceImageTags">
    <vt:lpwstr/>
  </property>
  <property fmtid="{D5CDD505-2E9C-101B-9397-08002B2CF9AE}" pid="4" name="_dlc_DocIdItemGuid">
    <vt:lpwstr>fb3a3954-e881-4517-879b-22c350c5a21e</vt:lpwstr>
  </property>
</Properties>
</file>