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526" w:rsidRDefault="00D60526" w14:paraId="4E86C0CA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:rsidRDefault="00D60526" w14:paraId="229EF51A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D60526" w14:paraId="6AFD51E9" w14:textId="77777777">
        <w:tc>
          <w:tcPr>
            <w:tcW w:w="77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D60526" w:rsidRDefault="00D60526" w14:paraId="472DB99E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:rsidRDefault="00D60526" w14:paraId="4036ADB4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:rsidRDefault="00D60526" w14:paraId="0CB29AED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3AEE22FB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E35F35" w:rsidRDefault="00E35F35" w14:paraId="42192BF9" w14:textId="7EAD307A">
            <w:pPr>
              <w:spacing w:before="40" w:after="40"/>
              <w:ind w:left="252"/>
            </w:pPr>
            <w:r>
              <w:t>2577-0296</w:t>
            </w:r>
          </w:p>
          <w:p w:rsidR="00D60526" w:rsidRDefault="0063027C" w14:paraId="5CC0C974" w14:textId="03828AF3">
            <w:pPr>
              <w:spacing w:before="40" w:after="40"/>
              <w:ind w:left="252"/>
              <w:rPr>
                <w:color w:val="000000"/>
              </w:rPr>
            </w:pPr>
            <w:r>
              <w:t>FR–7024–N–40</w:t>
            </w:r>
          </w:p>
        </w:tc>
      </w:tr>
      <w:tr w:rsidR="00D60526" w14:paraId="5D197A02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:rsidRDefault="00D60526" w14:paraId="133C51A1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:rsidRDefault="00D60526" w14:paraId="0C145C3E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:rsidRDefault="00D60526" w14:paraId="04236655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D60526" w14:paraId="5C6F9AAD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356A823B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D60526" w:rsidRDefault="0063027C" w14:paraId="5212F3AA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Not Available Yet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D60526" w:rsidRDefault="00D60526" w14:paraId="3C1A9F9E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0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D60526" w:rsidRDefault="00D60526" w14:paraId="646A4896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1BF3BB8A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408DC62D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19F87255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</w:tcBorders>
          </w:tcPr>
          <w:p w:rsidR="00D60526" w:rsidRDefault="00D60526" w14:paraId="6B46F361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3099F9BF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706E54CD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53B83B1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5DC02D6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 w:rsidR="00E501C4"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641747B5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1E0ED281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39AE689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nil"/>
            </w:tcBorders>
          </w:tcPr>
          <w:p w:rsidR="00D60526" w:rsidRDefault="00D60526" w14:paraId="72EF5ED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5DA410C3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color="auto" w:sz="6" w:space="0"/>
              <w:right w:val="nil"/>
            </w:tcBorders>
          </w:tcPr>
          <w:p w:rsidR="00D60526" w:rsidRDefault="00D60526" w14:paraId="6C26DBAB" w14:textId="77777777">
            <w:pPr>
              <w:pBdr>
                <w:top w:val="single" w:color="auto" w:sz="6" w:space="1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29C6250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318886B1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D60526" w14:paraId="3371C801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7A23E838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4E90B55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2088996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595D7410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2F12A20F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78DFEF2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41E716A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2F11A61B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713A70C3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6A04D8B5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56FA78EF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61FE5937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75B17E80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354EE771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380E1BF2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531E1B4C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pct20" w:color="auto" w:fill="auto"/>
          </w:tcPr>
          <w:p w:rsidR="00D60526" w:rsidRDefault="00D60526" w14:paraId="450A0302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pct20" w:color="auto" w:fill="auto"/>
          </w:tcPr>
          <w:p w:rsidR="00D60526" w:rsidRDefault="00D60526" w14:paraId="2C2239BF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1B741C04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1052D84D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5540BD17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E501C4" w14:paraId="2FA3014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0595C03C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50639387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171F863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2F6D0CE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502756A1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5CFC72F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5BD4792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0137AE5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6117E4A6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10334C56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1B04492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0E7607D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name="Text12" w:id="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</w:tr>
      <w:tr w:rsidR="00D60526" w14:paraId="7C2CB946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6CABA5D2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10054A40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35FE2E86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 w:rsidR="00D60526" w:rsidRDefault="00D60526" w14:paraId="734BAA23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:rsidRDefault="00D60526" w14:paraId="38CAEA4A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5B8AF02C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D60526" w:rsidRDefault="00D60526" w14:paraId="5ACCA4D8" w14:textId="77777777">
      <w:pPr>
        <w:ind w:left="-12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491A11" w:rsidRDefault="00491A11" w14:paraId="77DCDA64" w14:textId="77777777">
      <w:pPr>
        <w:ind w:left="-120"/>
        <w:rPr>
          <w:rFonts w:ascii="Helvetica" w:hAnsi="Helvetica"/>
          <w:color w:val="000000"/>
          <w:sz w:val="16"/>
        </w:rPr>
      </w:pPr>
    </w:p>
    <w:p w:rsidRPr="00491A11" w:rsidR="002A0DB0" w:rsidP="00E501C4" w:rsidRDefault="002A0DB0" w14:paraId="6EB32C0E" w14:textId="77777777">
      <w:pPr>
        <w:spacing w:after="160" w:line="252" w:lineRule="auto"/>
        <w:rPr>
          <w:b/>
          <w:bCs/>
          <w:color w:val="000000"/>
          <w:sz w:val="22"/>
        </w:rPr>
      </w:pPr>
      <w:r w:rsidRPr="00491A11">
        <w:rPr>
          <w:b/>
          <w:bCs/>
          <w:color w:val="000000"/>
          <w:sz w:val="22"/>
        </w:rPr>
        <w:t>Field Name Changes</w:t>
      </w:r>
      <w:r w:rsidR="00491A11">
        <w:rPr>
          <w:b/>
          <w:bCs/>
          <w:color w:val="000000"/>
          <w:sz w:val="22"/>
        </w:rPr>
        <w:t>:</w:t>
      </w:r>
    </w:p>
    <w:p w:rsidRPr="002A0DB0" w:rsidR="002A0DB0" w:rsidP="00552EC8" w:rsidRDefault="002A0DB0" w14:paraId="6AAE0D7E" w14:textId="77777777">
      <w:pPr>
        <w:numPr>
          <w:ilvl w:val="0"/>
          <w:numId w:val="1"/>
        </w:numPr>
        <w:overflowPunct/>
        <w:autoSpaceDE/>
        <w:autoSpaceDN/>
        <w:adjustRightInd/>
        <w:spacing w:after="160" w:line="252" w:lineRule="auto"/>
        <w:textAlignment w:val="auto"/>
        <w:rPr>
          <w:color w:val="000000"/>
          <w:sz w:val="22"/>
          <w:szCs w:val="22"/>
        </w:rPr>
      </w:pPr>
      <w:r w:rsidRPr="002A0DB0">
        <w:rPr>
          <w:sz w:val="22"/>
          <w:szCs w:val="22"/>
        </w:rPr>
        <w:t>Revised Name: Effective Date of HAP Contract (formerly Effective Dates(s) of HAP Contract)</w:t>
      </w:r>
      <w:r w:rsidR="00FD59BC">
        <w:rPr>
          <w:sz w:val="22"/>
          <w:szCs w:val="22"/>
        </w:rPr>
        <w:t xml:space="preserve"> --</w:t>
      </w:r>
      <w:r w:rsidRPr="002A0DB0">
        <w:rPr>
          <w:sz w:val="22"/>
          <w:szCs w:val="22"/>
        </w:rPr>
        <w:t xml:space="preserve"> </w:t>
      </w:r>
      <w:r w:rsidR="00FD59BC">
        <w:rPr>
          <w:sz w:val="22"/>
          <w:szCs w:val="22"/>
        </w:rPr>
        <w:t>HUD</w:t>
      </w:r>
      <w:r w:rsidRPr="002A0DB0">
        <w:rPr>
          <w:sz w:val="22"/>
          <w:szCs w:val="22"/>
        </w:rPr>
        <w:t xml:space="preserve"> will only collect the first effective date of the HAP contract even if it is a multi-stage contract. </w:t>
      </w:r>
    </w:p>
    <w:p w:rsidRPr="002A0DB0" w:rsidR="00FD59BC" w:rsidP="00FD59BC" w:rsidRDefault="00FD59BC" w14:paraId="32489715" w14:textId="77777777">
      <w:pPr>
        <w:numPr>
          <w:ilvl w:val="0"/>
          <w:numId w:val="1"/>
        </w:numPr>
        <w:overflowPunct/>
        <w:autoSpaceDE/>
        <w:autoSpaceDN/>
        <w:adjustRightInd/>
        <w:spacing w:after="160" w:line="252" w:lineRule="auto"/>
        <w:textAlignment w:val="auto"/>
        <w:rPr>
          <w:color w:val="000000"/>
          <w:sz w:val="22"/>
          <w:szCs w:val="22"/>
        </w:rPr>
      </w:pPr>
      <w:r w:rsidRPr="002A0DB0">
        <w:rPr>
          <w:sz w:val="22"/>
          <w:szCs w:val="22"/>
        </w:rPr>
        <w:t xml:space="preserve">Revised Name: </w:t>
      </w:r>
      <w:r>
        <w:rPr>
          <w:sz w:val="22"/>
          <w:szCs w:val="22"/>
        </w:rPr>
        <w:t xml:space="preserve">Type: Existing, Rehabilitated, Newly Constructed </w:t>
      </w:r>
      <w:r w:rsidRPr="002A0DB0">
        <w:rPr>
          <w:sz w:val="22"/>
          <w:szCs w:val="22"/>
        </w:rPr>
        <w:t xml:space="preserve">(formerly </w:t>
      </w:r>
      <w:r>
        <w:rPr>
          <w:sz w:val="22"/>
          <w:szCs w:val="22"/>
        </w:rPr>
        <w:t>Type: Existing, Rehabilitation, or Newly Constructed) –</w:t>
      </w:r>
      <w:r w:rsidRPr="002A0DB0">
        <w:rPr>
          <w:sz w:val="22"/>
          <w:szCs w:val="22"/>
        </w:rPr>
        <w:t xml:space="preserve"> </w:t>
      </w:r>
      <w:r>
        <w:rPr>
          <w:sz w:val="22"/>
          <w:szCs w:val="22"/>
        </w:rPr>
        <w:t>HUD would like to clarify the name of the field from rehabilitation to rehabilitated.</w:t>
      </w:r>
      <w:r w:rsidRPr="002A0DB0">
        <w:rPr>
          <w:sz w:val="22"/>
          <w:szCs w:val="22"/>
        </w:rPr>
        <w:t xml:space="preserve"> </w:t>
      </w:r>
    </w:p>
    <w:p w:rsidR="00DE4B23" w:rsidP="00DE4B23" w:rsidRDefault="00DE4B23" w14:paraId="25D8C138" w14:textId="2B846096">
      <w:pPr>
        <w:numPr>
          <w:ilvl w:val="0"/>
          <w:numId w:val="1"/>
        </w:numPr>
        <w:spacing w:after="160" w:line="252" w:lineRule="auto"/>
        <w:rPr>
          <w:color w:val="000000"/>
          <w:sz w:val="22"/>
        </w:rPr>
      </w:pPr>
      <w:r w:rsidRPr="002A0DB0">
        <w:rPr>
          <w:sz w:val="22"/>
          <w:szCs w:val="22"/>
        </w:rPr>
        <w:t xml:space="preserve">Revised Name: </w:t>
      </w:r>
      <w:r w:rsidR="006D05A5">
        <w:rPr>
          <w:sz w:val="22"/>
          <w:szCs w:val="22"/>
        </w:rPr>
        <w:t>Ownership Structure</w:t>
      </w:r>
      <w:r>
        <w:rPr>
          <w:color w:val="000000"/>
          <w:sz w:val="22"/>
        </w:rPr>
        <w:t xml:space="preserve"> (formerly </w:t>
      </w:r>
      <w:r w:rsidRPr="00DE4B23">
        <w:rPr>
          <w:color w:val="000000"/>
          <w:sz w:val="22"/>
        </w:rPr>
        <w:t>PHA Owned, PHA has Ownership Interest but not PHA Owned, No PHA Ownership Interest</w:t>
      </w:r>
      <w:r>
        <w:rPr>
          <w:color w:val="000000"/>
          <w:sz w:val="22"/>
        </w:rPr>
        <w:t xml:space="preserve">) – HUD would like to </w:t>
      </w:r>
      <w:r w:rsidR="006D05A5">
        <w:rPr>
          <w:color w:val="000000"/>
          <w:sz w:val="22"/>
        </w:rPr>
        <w:t xml:space="preserve">simplify the field name and have the following </w:t>
      </w:r>
      <w:proofErr w:type="gramStart"/>
      <w:r w:rsidR="006D05A5">
        <w:rPr>
          <w:color w:val="000000"/>
          <w:sz w:val="22"/>
        </w:rPr>
        <w:t>drop down</w:t>
      </w:r>
      <w:proofErr w:type="gramEnd"/>
      <w:r w:rsidR="006D05A5">
        <w:rPr>
          <w:color w:val="000000"/>
          <w:sz w:val="22"/>
        </w:rPr>
        <w:t xml:space="preserve"> selections for clarity: </w:t>
      </w:r>
      <w:r w:rsidRPr="00DE4B23" w:rsidR="006D05A5">
        <w:rPr>
          <w:color w:val="000000"/>
          <w:sz w:val="22"/>
        </w:rPr>
        <w:t>PHA</w:t>
      </w:r>
      <w:r w:rsidR="006D05A5">
        <w:rPr>
          <w:color w:val="000000"/>
          <w:sz w:val="22"/>
        </w:rPr>
        <w:t>-</w:t>
      </w:r>
      <w:r w:rsidRPr="00DE4B23" w:rsidR="006D05A5">
        <w:rPr>
          <w:color w:val="000000"/>
          <w:sz w:val="22"/>
        </w:rPr>
        <w:t>Owned, PHA has Ownership Interest but not PHA</w:t>
      </w:r>
      <w:r w:rsidR="006D05A5">
        <w:rPr>
          <w:color w:val="000000"/>
          <w:sz w:val="22"/>
        </w:rPr>
        <w:t>-</w:t>
      </w:r>
      <w:r w:rsidRPr="00DE4B23" w:rsidR="006D05A5">
        <w:rPr>
          <w:color w:val="000000"/>
          <w:sz w:val="22"/>
        </w:rPr>
        <w:t>Owned, No</w:t>
      </w:r>
      <w:r w:rsidR="006D05A5">
        <w:rPr>
          <w:color w:val="000000"/>
          <w:sz w:val="22"/>
        </w:rPr>
        <w:t>t</w:t>
      </w:r>
      <w:r w:rsidRPr="00DE4B23" w:rsidR="006D05A5">
        <w:rPr>
          <w:color w:val="000000"/>
          <w:sz w:val="22"/>
        </w:rPr>
        <w:t xml:space="preserve"> PHA</w:t>
      </w:r>
      <w:r w:rsidR="006D05A5">
        <w:rPr>
          <w:color w:val="000000"/>
          <w:sz w:val="22"/>
        </w:rPr>
        <w:t>-</w:t>
      </w:r>
      <w:r w:rsidRPr="00DE4B23" w:rsidR="006D05A5">
        <w:rPr>
          <w:color w:val="000000"/>
          <w:sz w:val="22"/>
        </w:rPr>
        <w:t>Owne</w:t>
      </w:r>
      <w:r w:rsidR="006D05A5">
        <w:rPr>
          <w:color w:val="000000"/>
          <w:sz w:val="22"/>
        </w:rPr>
        <w:t xml:space="preserve">d and No PHA </w:t>
      </w:r>
      <w:r w:rsidRPr="00DE4B23" w:rsidR="006D05A5">
        <w:rPr>
          <w:color w:val="000000"/>
          <w:sz w:val="22"/>
        </w:rPr>
        <w:t>Ownership Interest</w:t>
      </w:r>
      <w:r>
        <w:rPr>
          <w:color w:val="000000"/>
          <w:sz w:val="22"/>
        </w:rPr>
        <w:t>.</w:t>
      </w:r>
    </w:p>
    <w:p w:rsidR="00E16E36" w:rsidP="00E16E36" w:rsidRDefault="00E16E36" w14:paraId="0A1C6E1D" w14:textId="4BE52C75">
      <w:pPr>
        <w:numPr>
          <w:ilvl w:val="0"/>
          <w:numId w:val="1"/>
        </w:numPr>
        <w:spacing w:after="160" w:line="252" w:lineRule="auto"/>
        <w:rPr>
          <w:color w:val="000000"/>
          <w:sz w:val="22"/>
        </w:rPr>
      </w:pPr>
      <w:r w:rsidRPr="002A0DB0">
        <w:rPr>
          <w:sz w:val="22"/>
          <w:szCs w:val="22"/>
        </w:rPr>
        <w:t xml:space="preserve">Revised Name: </w:t>
      </w:r>
      <w:r>
        <w:rPr>
          <w:sz w:val="22"/>
          <w:szCs w:val="22"/>
        </w:rPr>
        <w:t xml:space="preserve">Primary </w:t>
      </w:r>
      <w:r w:rsidR="004D311A">
        <w:rPr>
          <w:sz w:val="22"/>
          <w:szCs w:val="22"/>
        </w:rPr>
        <w:t xml:space="preserve">Address </w:t>
      </w:r>
      <w:r>
        <w:rPr>
          <w:color w:val="000000"/>
          <w:sz w:val="22"/>
        </w:rPr>
        <w:t xml:space="preserve">(formerly </w:t>
      </w:r>
      <w:r w:rsidR="00ED7208">
        <w:rPr>
          <w:color w:val="000000"/>
          <w:sz w:val="22"/>
        </w:rPr>
        <w:t>Address of Building</w:t>
      </w:r>
      <w:r w:rsidR="0040578E">
        <w:rPr>
          <w:color w:val="000000"/>
          <w:sz w:val="22"/>
        </w:rPr>
        <w:t xml:space="preserve">(s) and Units) </w:t>
      </w:r>
      <w:r>
        <w:rPr>
          <w:color w:val="000000"/>
          <w:sz w:val="22"/>
        </w:rPr>
        <w:t xml:space="preserve">– HUD would like </w:t>
      </w:r>
      <w:r w:rsidR="0040578E">
        <w:rPr>
          <w:color w:val="000000"/>
          <w:sz w:val="22"/>
        </w:rPr>
        <w:t xml:space="preserve">to clarify that </w:t>
      </w:r>
      <w:r w:rsidR="00651934">
        <w:rPr>
          <w:color w:val="000000"/>
          <w:sz w:val="22"/>
        </w:rPr>
        <w:t xml:space="preserve">it is requesting the primary address </w:t>
      </w:r>
      <w:r w:rsidR="00133EC7">
        <w:rPr>
          <w:color w:val="000000"/>
          <w:sz w:val="22"/>
        </w:rPr>
        <w:t xml:space="preserve">for the </w:t>
      </w:r>
      <w:r w:rsidR="00CA0B4A">
        <w:rPr>
          <w:color w:val="000000"/>
          <w:sz w:val="22"/>
        </w:rPr>
        <w:t>HAP contract rather than multiple addresses for the buildings within the HAP contract.</w:t>
      </w:r>
    </w:p>
    <w:p w:rsidR="00E16E36" w:rsidP="00FD400F" w:rsidRDefault="00E16E36" w14:paraId="107A3037" w14:textId="77777777">
      <w:pPr>
        <w:spacing w:after="160" w:line="252" w:lineRule="auto"/>
        <w:ind w:left="720"/>
        <w:rPr>
          <w:color w:val="000000"/>
          <w:sz w:val="22"/>
        </w:rPr>
      </w:pPr>
    </w:p>
    <w:p w:rsidRPr="00491A11" w:rsidR="001D6046" w:rsidP="001D6046" w:rsidRDefault="001D6046" w14:paraId="07794ADA" w14:textId="77777777">
      <w:pPr>
        <w:spacing w:after="160" w:line="252" w:lineRule="auto"/>
        <w:rPr>
          <w:b/>
          <w:bCs/>
          <w:color w:val="000000"/>
          <w:sz w:val="22"/>
        </w:rPr>
      </w:pPr>
      <w:r w:rsidRPr="00491A11">
        <w:rPr>
          <w:b/>
          <w:bCs/>
          <w:color w:val="000000"/>
          <w:sz w:val="22"/>
        </w:rPr>
        <w:lastRenderedPageBreak/>
        <w:t>Adjustment to Field Data Collection:</w:t>
      </w:r>
    </w:p>
    <w:p w:rsidR="003B6CD2" w:rsidP="003B6CD2" w:rsidRDefault="003B6CD2" w14:paraId="533947F0" w14:textId="056A326A">
      <w:pPr>
        <w:numPr>
          <w:ilvl w:val="0"/>
          <w:numId w:val="1"/>
        </w:numPr>
        <w:spacing w:after="160" w:line="252" w:lineRule="auto"/>
        <w:rPr>
          <w:color w:val="000000"/>
          <w:sz w:val="22"/>
        </w:rPr>
      </w:pPr>
      <w:r>
        <w:rPr>
          <w:sz w:val="22"/>
          <w:szCs w:val="22"/>
        </w:rPr>
        <w:t>Income Mixing Requirement Exception Category –</w:t>
      </w:r>
      <w:r>
        <w:rPr>
          <w:color w:val="000000"/>
          <w:sz w:val="22"/>
        </w:rPr>
        <w:t xml:space="preserve"> Add</w:t>
      </w:r>
      <w:r w:rsidR="00371F86">
        <w:rPr>
          <w:color w:val="000000"/>
          <w:sz w:val="22"/>
        </w:rPr>
        <w:t xml:space="preserve"> two</w:t>
      </w:r>
      <w:r>
        <w:rPr>
          <w:color w:val="000000"/>
          <w:sz w:val="22"/>
        </w:rPr>
        <w:t xml:space="preserve"> additional exception catego</w:t>
      </w:r>
      <w:r w:rsidR="00371F86">
        <w:rPr>
          <w:color w:val="000000"/>
          <w:sz w:val="22"/>
        </w:rPr>
        <w:t>ries</w:t>
      </w:r>
      <w:r w:rsidR="009D6346">
        <w:rPr>
          <w:color w:val="000000"/>
          <w:sz w:val="22"/>
        </w:rPr>
        <w:t xml:space="preserve">.  </w:t>
      </w:r>
      <w:r w:rsidR="002F33E4">
        <w:rPr>
          <w:color w:val="000000"/>
          <w:sz w:val="22"/>
        </w:rPr>
        <w:t>The first</w:t>
      </w:r>
      <w:r w:rsidR="009D6346">
        <w:rPr>
          <w:color w:val="000000"/>
          <w:sz w:val="22"/>
        </w:rPr>
        <w:t xml:space="preserve"> labeled</w:t>
      </w:r>
      <w:r>
        <w:rPr>
          <w:color w:val="000000"/>
          <w:sz w:val="22"/>
        </w:rPr>
        <w:t xml:space="preserve"> “MTW Waiver Authority” to allow for Moving-to-Work (MTW) agencies to identify that their waiver authority is being used as an exception to the income mixing requirement. </w:t>
      </w:r>
      <w:r w:rsidR="00A76115">
        <w:rPr>
          <w:color w:val="000000"/>
          <w:sz w:val="22"/>
        </w:rPr>
        <w:t xml:space="preserve"> </w:t>
      </w:r>
      <w:r w:rsidRPr="002F33E4" w:rsidR="002F33E4">
        <w:rPr>
          <w:color w:val="000000"/>
          <w:sz w:val="22"/>
          <w:szCs w:val="22"/>
        </w:rPr>
        <w:t>The second labeled “U</w:t>
      </w:r>
      <w:r w:rsidRPr="002F33E4" w:rsidR="002F33E4">
        <w:rPr>
          <w:spacing w:val="1"/>
          <w:sz w:val="22"/>
          <w:szCs w:val="22"/>
        </w:rPr>
        <w:t>nits that are exclusively made available to eligible youth receiving FUP/FYI assistance</w:t>
      </w:r>
      <w:r w:rsidR="00B4171A">
        <w:rPr>
          <w:spacing w:val="1"/>
          <w:sz w:val="22"/>
          <w:szCs w:val="22"/>
        </w:rPr>
        <w:t>,</w:t>
      </w:r>
      <w:r w:rsidRPr="002F33E4" w:rsidR="002F33E4">
        <w:rPr>
          <w:spacing w:val="1"/>
          <w:sz w:val="22"/>
          <w:szCs w:val="22"/>
        </w:rPr>
        <w:t>”</w:t>
      </w:r>
      <w:r w:rsidR="00B4171A">
        <w:rPr>
          <w:spacing w:val="1"/>
          <w:sz w:val="22"/>
          <w:szCs w:val="22"/>
        </w:rPr>
        <w:t xml:space="preserve"> which is necessary because a new exception category was established under the Fostering Stable Housing Opportunities amendments that were </w:t>
      </w:r>
      <w:r w:rsidRPr="009A6BE0" w:rsidR="00B4171A">
        <w:rPr>
          <w:spacing w:val="1"/>
          <w:sz w:val="22"/>
          <w:szCs w:val="22"/>
        </w:rPr>
        <w:t xml:space="preserve">enacted </w:t>
      </w:r>
      <w:r w:rsidRPr="009A6BE0" w:rsidR="009A6BE0">
        <w:rPr>
          <w:color w:val="000000"/>
          <w:sz w:val="22"/>
          <w:szCs w:val="22"/>
        </w:rPr>
        <w:t>as part of the Consolidated Appropriations Act, 2021</w:t>
      </w:r>
      <w:r w:rsidRPr="009A6BE0" w:rsidR="009A6BE0">
        <w:rPr>
          <w:sz w:val="22"/>
          <w:szCs w:val="22"/>
        </w:rPr>
        <w:t xml:space="preserve"> (Pub. L. 116-260)</w:t>
      </w:r>
      <w:r w:rsidR="009A6BE0">
        <w:rPr>
          <w:spacing w:val="1"/>
          <w:sz w:val="22"/>
          <w:szCs w:val="22"/>
        </w:rPr>
        <w:t xml:space="preserve">.  </w:t>
      </w:r>
      <w:r>
        <w:rPr>
          <w:color w:val="000000"/>
          <w:sz w:val="22"/>
        </w:rPr>
        <w:t>Th</w:t>
      </w:r>
      <w:r w:rsidR="00AA275C">
        <w:rPr>
          <w:color w:val="000000"/>
          <w:sz w:val="22"/>
        </w:rPr>
        <w:t>ese two</w:t>
      </w:r>
      <w:r>
        <w:rPr>
          <w:color w:val="000000"/>
          <w:sz w:val="22"/>
        </w:rPr>
        <w:t xml:space="preserve"> additional exception categor</w:t>
      </w:r>
      <w:r w:rsidR="00AA275C">
        <w:rPr>
          <w:color w:val="000000"/>
          <w:sz w:val="22"/>
        </w:rPr>
        <w:t>ies</w:t>
      </w:r>
      <w:r>
        <w:rPr>
          <w:color w:val="000000"/>
          <w:sz w:val="22"/>
        </w:rPr>
        <w:t xml:space="preserve"> will be added to the current exception categories of: u</w:t>
      </w:r>
      <w:r w:rsidRPr="008B3774">
        <w:rPr>
          <w:color w:val="000000"/>
          <w:sz w:val="22"/>
        </w:rPr>
        <w:t>nits that are exclusively made available to households eligible for supportive services</w:t>
      </w:r>
      <w:r>
        <w:rPr>
          <w:color w:val="000000"/>
          <w:sz w:val="22"/>
        </w:rPr>
        <w:t>; u</w:t>
      </w:r>
      <w:r w:rsidRPr="008B3774">
        <w:rPr>
          <w:color w:val="000000"/>
          <w:sz w:val="22"/>
        </w:rPr>
        <w:t>nits that are specifically made available for families receiving supportive services</w:t>
      </w:r>
      <w:r>
        <w:rPr>
          <w:color w:val="000000"/>
          <w:sz w:val="22"/>
        </w:rPr>
        <w:t>;</w:t>
      </w:r>
      <w:r w:rsidRPr="008B3774">
        <w:rPr>
          <w:color w:val="000000"/>
          <w:sz w:val="22"/>
        </w:rPr>
        <w:t xml:space="preserve"> </w:t>
      </w:r>
      <w:r>
        <w:rPr>
          <w:color w:val="000000"/>
          <w:sz w:val="22"/>
        </w:rPr>
        <w:t>u</w:t>
      </w:r>
      <w:r w:rsidRPr="008B3774">
        <w:rPr>
          <w:color w:val="000000"/>
          <w:sz w:val="22"/>
        </w:rPr>
        <w:t>nits that are exclusively made available to elderly families</w:t>
      </w:r>
      <w:r>
        <w:rPr>
          <w:color w:val="000000"/>
          <w:sz w:val="22"/>
        </w:rPr>
        <w:t>;</w:t>
      </w:r>
      <w:r w:rsidRPr="008B3774">
        <w:rPr>
          <w:color w:val="000000"/>
          <w:sz w:val="22"/>
        </w:rPr>
        <w:t xml:space="preserve"> </w:t>
      </w:r>
      <w:r>
        <w:rPr>
          <w:color w:val="000000"/>
          <w:sz w:val="22"/>
        </w:rPr>
        <w:t>u</w:t>
      </w:r>
      <w:r w:rsidRPr="008B3774">
        <w:rPr>
          <w:color w:val="000000"/>
          <w:sz w:val="22"/>
        </w:rPr>
        <w:t>nits that are specifically made available for disabled families</w:t>
      </w:r>
      <w:r>
        <w:rPr>
          <w:color w:val="000000"/>
          <w:sz w:val="22"/>
        </w:rPr>
        <w:t>;</w:t>
      </w:r>
      <w:r w:rsidRPr="008B3774">
        <w:rPr>
          <w:color w:val="000000"/>
          <w:sz w:val="22"/>
        </w:rPr>
        <w:t xml:space="preserve"> </w:t>
      </w:r>
      <w:r>
        <w:rPr>
          <w:color w:val="000000"/>
          <w:sz w:val="22"/>
        </w:rPr>
        <w:t>u</w:t>
      </w:r>
      <w:r w:rsidRPr="008B3774">
        <w:rPr>
          <w:color w:val="000000"/>
          <w:sz w:val="22"/>
        </w:rPr>
        <w:t>nits located in a census tract with a poverty rate of 20 percent or less</w:t>
      </w:r>
      <w:r>
        <w:rPr>
          <w:color w:val="000000"/>
          <w:sz w:val="22"/>
        </w:rPr>
        <w:t>; u</w:t>
      </w:r>
      <w:r w:rsidRPr="008B3774">
        <w:rPr>
          <w:color w:val="000000"/>
          <w:sz w:val="22"/>
        </w:rPr>
        <w:t>nits that were previously subject to certain federal rent restrictions or receiving another type of long-term housing subsidy provided by HUD</w:t>
      </w:r>
      <w:r>
        <w:rPr>
          <w:color w:val="000000"/>
          <w:sz w:val="22"/>
        </w:rPr>
        <w:t xml:space="preserve">; </w:t>
      </w:r>
      <w:r w:rsidRPr="008B3774">
        <w:rPr>
          <w:color w:val="000000"/>
          <w:sz w:val="22"/>
        </w:rPr>
        <w:t>RAD PBV units</w:t>
      </w:r>
      <w:r>
        <w:rPr>
          <w:color w:val="000000"/>
          <w:sz w:val="22"/>
        </w:rPr>
        <w:t>; and HUD-VASH vouchers.</w:t>
      </w:r>
    </w:p>
    <w:p w:rsidRPr="00B66C17" w:rsidR="001D6046" w:rsidP="003B6CD2" w:rsidRDefault="001D6046" w14:paraId="5789AB9C" w14:textId="77777777">
      <w:pPr>
        <w:numPr>
          <w:ilvl w:val="0"/>
          <w:numId w:val="1"/>
        </w:numPr>
        <w:overflowPunct/>
        <w:autoSpaceDE/>
        <w:autoSpaceDN/>
        <w:adjustRightInd/>
        <w:spacing w:after="160" w:line="252" w:lineRule="auto"/>
        <w:textAlignment w:val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Program Cap Exception Category – </w:t>
      </w:r>
      <w:r w:rsidR="00F711A3">
        <w:rPr>
          <w:sz w:val="22"/>
          <w:szCs w:val="22"/>
        </w:rPr>
        <w:t>Enter the number of excepted units f</w:t>
      </w:r>
      <w:r w:rsidR="007D7FF6">
        <w:rPr>
          <w:sz w:val="22"/>
          <w:szCs w:val="22"/>
        </w:rPr>
        <w:t>or each</w:t>
      </w:r>
      <w:r w:rsidR="00F711A3">
        <w:rPr>
          <w:sz w:val="22"/>
          <w:szCs w:val="22"/>
        </w:rPr>
        <w:t xml:space="preserve"> allow</w:t>
      </w:r>
      <w:r w:rsidR="007D7FF6">
        <w:rPr>
          <w:sz w:val="22"/>
          <w:szCs w:val="22"/>
        </w:rPr>
        <w:t>able category</w:t>
      </w:r>
      <w:r w:rsidR="00F711A3">
        <w:rPr>
          <w:sz w:val="22"/>
          <w:szCs w:val="22"/>
        </w:rPr>
        <w:t xml:space="preserve"> </w:t>
      </w:r>
      <w:r w:rsidR="00491A11">
        <w:rPr>
          <w:sz w:val="22"/>
          <w:szCs w:val="22"/>
        </w:rPr>
        <w:t>r</w:t>
      </w:r>
      <w:r>
        <w:rPr>
          <w:sz w:val="22"/>
          <w:szCs w:val="22"/>
        </w:rPr>
        <w:t xml:space="preserve">ather than choose the applicable exception from </w:t>
      </w:r>
      <w:r w:rsidRPr="00B66C17">
        <w:rPr>
          <w:sz w:val="22"/>
          <w:szCs w:val="22"/>
        </w:rPr>
        <w:t>among those allowed by 24 CFR 983.6 as amended by 82 FR 5458 (Jan. 18, 2017), 82 FR 32461 (Jul. 14, 2017)</w:t>
      </w:r>
      <w:r w:rsidRPr="00B66C17" w:rsidR="00B66C17">
        <w:rPr>
          <w:sz w:val="22"/>
          <w:szCs w:val="22"/>
        </w:rPr>
        <w:t>.  HUD would like</w:t>
      </w:r>
      <w:r w:rsidRPr="00B66C17">
        <w:rPr>
          <w:sz w:val="22"/>
          <w:szCs w:val="22"/>
        </w:rPr>
        <w:t xml:space="preserve"> the PHA to enter the number of associated PBV units under the HAP contract for each exception category. </w:t>
      </w:r>
    </w:p>
    <w:p w:rsidR="008B3774" w:rsidP="008B3774" w:rsidRDefault="008B3774" w14:paraId="57896F50" w14:textId="4F5755E8">
      <w:pPr>
        <w:numPr>
          <w:ilvl w:val="0"/>
          <w:numId w:val="1"/>
        </w:numPr>
        <w:spacing w:after="160" w:line="252" w:lineRule="auto"/>
        <w:rPr>
          <w:color w:val="000000"/>
          <w:sz w:val="22"/>
        </w:rPr>
      </w:pPr>
      <w:r>
        <w:rPr>
          <w:sz w:val="22"/>
          <w:szCs w:val="22"/>
        </w:rPr>
        <w:t>Program Cap Exception Category –</w:t>
      </w:r>
      <w:r>
        <w:rPr>
          <w:color w:val="000000"/>
          <w:sz w:val="22"/>
        </w:rPr>
        <w:t xml:space="preserve"> Add </w:t>
      </w:r>
      <w:r w:rsidR="00EB3FF3">
        <w:rPr>
          <w:color w:val="000000"/>
          <w:sz w:val="22"/>
        </w:rPr>
        <w:t xml:space="preserve">two </w:t>
      </w:r>
      <w:r>
        <w:rPr>
          <w:color w:val="000000"/>
          <w:sz w:val="22"/>
        </w:rPr>
        <w:t>additional exception categor</w:t>
      </w:r>
      <w:r w:rsidR="00EB3FF3">
        <w:rPr>
          <w:color w:val="000000"/>
          <w:sz w:val="22"/>
        </w:rPr>
        <w:t>ies.  The first labeled</w:t>
      </w:r>
      <w:r>
        <w:rPr>
          <w:color w:val="000000"/>
          <w:sz w:val="22"/>
        </w:rPr>
        <w:t xml:space="preserve"> “MTW Waiver Authority” to allow for Moving-to-Work (MTW) agencies to identify that their waiver authority is being used as an exception to the </w:t>
      </w:r>
      <w:r w:rsidR="00E36B9B">
        <w:rPr>
          <w:color w:val="000000"/>
          <w:sz w:val="22"/>
        </w:rPr>
        <w:t>program cap</w:t>
      </w:r>
      <w:r>
        <w:rPr>
          <w:color w:val="000000"/>
          <w:sz w:val="22"/>
        </w:rPr>
        <w:t xml:space="preserve">.  </w:t>
      </w:r>
      <w:r w:rsidRPr="002F33E4" w:rsidR="00EB3FF3">
        <w:rPr>
          <w:color w:val="000000"/>
          <w:sz w:val="22"/>
          <w:szCs w:val="22"/>
        </w:rPr>
        <w:t>The second labeled “</w:t>
      </w:r>
      <w:r w:rsidRPr="00B40A20" w:rsidR="00B40A20">
        <w:rPr>
          <w:color w:val="000000"/>
          <w:sz w:val="22"/>
          <w:szCs w:val="22"/>
        </w:rPr>
        <w:t>Units that house eligible youth receiving FUP/FYI assistance</w:t>
      </w:r>
      <w:r w:rsidRPr="00B40A20" w:rsidR="00EB3FF3">
        <w:rPr>
          <w:spacing w:val="1"/>
          <w:sz w:val="22"/>
          <w:szCs w:val="22"/>
        </w:rPr>
        <w:t xml:space="preserve">,” which is necessary because a new exception category was established under the Fostering Stable Housing Opportunities amendments that were enacted </w:t>
      </w:r>
      <w:r w:rsidRPr="00B40A20" w:rsidR="00EB3FF3">
        <w:rPr>
          <w:color w:val="000000"/>
          <w:sz w:val="22"/>
          <w:szCs w:val="22"/>
        </w:rPr>
        <w:t>as part of the Consolidated Appropriations</w:t>
      </w:r>
      <w:r w:rsidRPr="009A6BE0" w:rsidR="00EB3FF3">
        <w:rPr>
          <w:color w:val="000000"/>
          <w:sz w:val="22"/>
          <w:szCs w:val="22"/>
        </w:rPr>
        <w:t xml:space="preserve"> Act, 2021</w:t>
      </w:r>
      <w:r w:rsidRPr="009A6BE0" w:rsidR="00EB3FF3">
        <w:rPr>
          <w:sz w:val="22"/>
          <w:szCs w:val="22"/>
        </w:rPr>
        <w:t xml:space="preserve"> (Pub. L. 116-260)</w:t>
      </w:r>
      <w:r w:rsidR="00EB3FF3">
        <w:rPr>
          <w:spacing w:val="1"/>
          <w:sz w:val="22"/>
          <w:szCs w:val="22"/>
        </w:rPr>
        <w:t xml:space="preserve">.  </w:t>
      </w:r>
      <w:r w:rsidR="00DE4D2D">
        <w:rPr>
          <w:color w:val="000000"/>
          <w:sz w:val="22"/>
        </w:rPr>
        <w:t>These two</w:t>
      </w:r>
      <w:r>
        <w:rPr>
          <w:color w:val="000000"/>
          <w:sz w:val="22"/>
        </w:rPr>
        <w:t xml:space="preserve"> additional exception categor</w:t>
      </w:r>
      <w:r w:rsidR="00DE4D2D">
        <w:rPr>
          <w:color w:val="000000"/>
          <w:sz w:val="22"/>
        </w:rPr>
        <w:t>ies</w:t>
      </w:r>
      <w:r>
        <w:rPr>
          <w:color w:val="000000"/>
          <w:sz w:val="22"/>
        </w:rPr>
        <w:t xml:space="preserve"> will be added to the current exception categories of: </w:t>
      </w:r>
      <w:r w:rsidR="00E36B9B">
        <w:rPr>
          <w:color w:val="000000"/>
          <w:sz w:val="22"/>
        </w:rPr>
        <w:t>u</w:t>
      </w:r>
      <w:r w:rsidRPr="00E36B9B" w:rsidR="00E36B9B">
        <w:rPr>
          <w:color w:val="000000"/>
          <w:sz w:val="22"/>
        </w:rPr>
        <w:t>nits that are specifically made available to house homeless individuals and families</w:t>
      </w:r>
      <w:r>
        <w:rPr>
          <w:color w:val="000000"/>
          <w:sz w:val="22"/>
        </w:rPr>
        <w:t xml:space="preserve">; </w:t>
      </w:r>
      <w:r w:rsidR="00E36B9B">
        <w:rPr>
          <w:color w:val="000000"/>
          <w:sz w:val="22"/>
        </w:rPr>
        <w:t>u</w:t>
      </w:r>
      <w:r w:rsidRPr="00E36B9B" w:rsidR="00E36B9B">
        <w:rPr>
          <w:color w:val="000000"/>
          <w:sz w:val="22"/>
        </w:rPr>
        <w:t>nits that are specifically made available to house families that are comprised of or include a veteran</w:t>
      </w:r>
      <w:r w:rsidR="00E36B9B">
        <w:rPr>
          <w:color w:val="000000"/>
          <w:sz w:val="22"/>
        </w:rPr>
        <w:t>;</w:t>
      </w:r>
      <w:r w:rsidRPr="00E36B9B" w:rsidR="00E36B9B">
        <w:rPr>
          <w:color w:val="000000"/>
          <w:sz w:val="22"/>
        </w:rPr>
        <w:t xml:space="preserve"> </w:t>
      </w:r>
      <w:r w:rsidR="00E36B9B">
        <w:rPr>
          <w:color w:val="000000"/>
          <w:sz w:val="22"/>
        </w:rPr>
        <w:t>u</w:t>
      </w:r>
      <w:r w:rsidRPr="00E36B9B" w:rsidR="00E36B9B">
        <w:rPr>
          <w:color w:val="000000"/>
          <w:sz w:val="22"/>
        </w:rPr>
        <w:t>nits that provide supportive housing to persons with disabilities or to elderly persons</w:t>
      </w:r>
      <w:r>
        <w:rPr>
          <w:color w:val="000000"/>
          <w:sz w:val="22"/>
        </w:rPr>
        <w:t>;</w:t>
      </w:r>
      <w:r w:rsidRPr="008B3774">
        <w:rPr>
          <w:color w:val="000000"/>
          <w:sz w:val="22"/>
        </w:rPr>
        <w:t xml:space="preserve"> </w:t>
      </w:r>
      <w:r w:rsidR="00E36B9B">
        <w:rPr>
          <w:color w:val="000000"/>
          <w:sz w:val="22"/>
        </w:rPr>
        <w:t>u</w:t>
      </w:r>
      <w:r w:rsidRPr="00E36B9B" w:rsidR="00E36B9B">
        <w:rPr>
          <w:color w:val="000000"/>
          <w:sz w:val="22"/>
        </w:rPr>
        <w:t>nits that were previously subject to certain federal rent restrictions or receiving another type of long-term housing subsidy provided by HUD</w:t>
      </w:r>
      <w:r>
        <w:rPr>
          <w:color w:val="000000"/>
          <w:sz w:val="22"/>
        </w:rPr>
        <w:t xml:space="preserve">; </w:t>
      </w:r>
      <w:r w:rsidRPr="008B3774">
        <w:rPr>
          <w:color w:val="000000"/>
          <w:sz w:val="22"/>
        </w:rPr>
        <w:t>RAD PBV units</w:t>
      </w:r>
      <w:r>
        <w:rPr>
          <w:color w:val="000000"/>
          <w:sz w:val="22"/>
        </w:rPr>
        <w:t xml:space="preserve">; and </w:t>
      </w:r>
      <w:r w:rsidRPr="00E36B9B" w:rsidR="00E36B9B">
        <w:rPr>
          <w:color w:val="000000"/>
          <w:sz w:val="22"/>
        </w:rPr>
        <w:t>HUD-VASH vouchers specifically designated for project-based assistance</w:t>
      </w:r>
      <w:r>
        <w:rPr>
          <w:color w:val="000000"/>
          <w:sz w:val="22"/>
        </w:rPr>
        <w:t>.</w:t>
      </w:r>
    </w:p>
    <w:p w:rsidR="00D60526" w:rsidP="00762440" w:rsidRDefault="008E63F6" w14:paraId="4E8042A1" w14:textId="77777777">
      <w:pPr>
        <w:numPr>
          <w:ilvl w:val="0"/>
          <w:numId w:val="1"/>
        </w:numPr>
        <w:spacing w:after="160" w:line="252" w:lineRule="auto"/>
        <w:rPr>
          <w:color w:val="000000"/>
        </w:rPr>
      </w:pPr>
      <w:r w:rsidRPr="00CA7FCB">
        <w:rPr>
          <w:color w:val="000000"/>
          <w:sz w:val="22"/>
        </w:rPr>
        <w:t>Number and Bedroom Distribution of PBV-Assisted Section 504 Units at the Project – This field will capture the number of PBV-Assisted units for the following: Section 504 mobility units, Section 504 Hearing/Vision units, and Section 504 Mobility</w:t>
      </w:r>
      <w:r w:rsidR="00CA7FCB">
        <w:rPr>
          <w:color w:val="000000"/>
          <w:sz w:val="22"/>
        </w:rPr>
        <w:t xml:space="preserve"> </w:t>
      </w:r>
      <w:r w:rsidRPr="00CA7FCB">
        <w:rPr>
          <w:color w:val="000000"/>
          <w:sz w:val="22"/>
        </w:rPr>
        <w:t>+</w:t>
      </w:r>
      <w:r w:rsidR="00CA7FCB">
        <w:rPr>
          <w:color w:val="000000"/>
          <w:sz w:val="22"/>
        </w:rPr>
        <w:t xml:space="preserve"> </w:t>
      </w:r>
      <w:r w:rsidRPr="00CA7FCB">
        <w:rPr>
          <w:color w:val="000000"/>
          <w:sz w:val="22"/>
        </w:rPr>
        <w:t xml:space="preserve">Hearing/Vision units.  This will allow HUD to identify not only the number of Section 504 mobility units and Section 504 Hearing/Vision units but also the number of units that are both accessible for mobility impairments and hearing/vision impairments.  This addition is necessary to reduce possible duplicate entries </w:t>
      </w:r>
      <w:r w:rsidRPr="00CA7FCB" w:rsidR="00CA7FCB">
        <w:rPr>
          <w:color w:val="000000"/>
          <w:sz w:val="22"/>
        </w:rPr>
        <w:t xml:space="preserve">when a unit is accessible to both mobility and hearing/vision impairments. </w:t>
      </w:r>
    </w:p>
    <w:sectPr w:rsidR="00D60526">
      <w:footerReference w:type="default" r:id="rId9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CA2FD" w14:textId="77777777" w:rsidR="006D05A5" w:rsidRDefault="006D05A5">
      <w:r>
        <w:separator/>
      </w:r>
    </w:p>
  </w:endnote>
  <w:endnote w:type="continuationSeparator" w:id="0">
    <w:p w14:paraId="0C16CEFC" w14:textId="77777777" w:rsidR="006D05A5" w:rsidRDefault="006D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D60526" w14:paraId="41D51D30" w14:textId="77777777">
      <w:tc>
        <w:tcPr>
          <w:tcW w:w="5628" w:type="dxa"/>
          <w:tcBorders>
            <w:right w:val="nil"/>
          </w:tcBorders>
        </w:tcPr>
        <w:p w14:paraId="7E1C4718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1DE04F65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415289EB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1681C701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0BBC218C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4B5FA378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</w:t>
          </w:r>
          <w:proofErr w:type="spellStart"/>
          <w:r>
            <w:rPr>
              <w:rFonts w:ascii="Helvetica" w:hAnsi="Helvetica"/>
              <w:sz w:val="16"/>
            </w:rPr>
            <w:t>Eddins</w:t>
          </w:r>
          <w:proofErr w:type="spellEnd"/>
          <w:r>
            <w:rPr>
              <w:rFonts w:ascii="Helvetica" w:hAnsi="Helvetica"/>
              <w:sz w:val="16"/>
            </w:rPr>
            <w:t>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F0F017F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14:paraId="6DB922E0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727BDEFD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1526743E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7F462A63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27CD92C8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1484BC0E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E9EA" w14:textId="77777777" w:rsidR="006D05A5" w:rsidRDefault="006D05A5">
      <w:r>
        <w:separator/>
      </w:r>
    </w:p>
  </w:footnote>
  <w:footnote w:type="continuationSeparator" w:id="0">
    <w:p w14:paraId="1D2EE807" w14:textId="77777777" w:rsidR="006D05A5" w:rsidRDefault="006D0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C30CE"/>
    <w:multiLevelType w:val="hybridMultilevel"/>
    <w:tmpl w:val="0902F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A5"/>
    <w:rsid w:val="00133EC7"/>
    <w:rsid w:val="001D6046"/>
    <w:rsid w:val="002A0DB0"/>
    <w:rsid w:val="002F33E4"/>
    <w:rsid w:val="00371F86"/>
    <w:rsid w:val="003B6CD2"/>
    <w:rsid w:val="0040578E"/>
    <w:rsid w:val="00491A11"/>
    <w:rsid w:val="004D311A"/>
    <w:rsid w:val="00552EC8"/>
    <w:rsid w:val="0057744B"/>
    <w:rsid w:val="0063027C"/>
    <w:rsid w:val="00651934"/>
    <w:rsid w:val="006D05A5"/>
    <w:rsid w:val="00762440"/>
    <w:rsid w:val="00790EE8"/>
    <w:rsid w:val="00796E58"/>
    <w:rsid w:val="007C7622"/>
    <w:rsid w:val="007D6F4D"/>
    <w:rsid w:val="007D7FF6"/>
    <w:rsid w:val="008632D5"/>
    <w:rsid w:val="008B3774"/>
    <w:rsid w:val="008E63F6"/>
    <w:rsid w:val="009A6BE0"/>
    <w:rsid w:val="009D6346"/>
    <w:rsid w:val="00A76115"/>
    <w:rsid w:val="00AA275C"/>
    <w:rsid w:val="00AB14A5"/>
    <w:rsid w:val="00B40A20"/>
    <w:rsid w:val="00B4171A"/>
    <w:rsid w:val="00B66C17"/>
    <w:rsid w:val="00CA0B4A"/>
    <w:rsid w:val="00CA7FCB"/>
    <w:rsid w:val="00D60526"/>
    <w:rsid w:val="00DE4B23"/>
    <w:rsid w:val="00DE4D2D"/>
    <w:rsid w:val="00E16E36"/>
    <w:rsid w:val="00E35F35"/>
    <w:rsid w:val="00E36B9B"/>
    <w:rsid w:val="00E501C4"/>
    <w:rsid w:val="00EB3FF3"/>
    <w:rsid w:val="00ED7208"/>
    <w:rsid w:val="00F711A3"/>
    <w:rsid w:val="00FD400F"/>
    <w:rsid w:val="00FD4BF8"/>
    <w:rsid w:val="00FD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7249B"/>
  <w15:chartTrackingRefBased/>
  <w15:docId w15:val="{A6B84E7D-8601-40A4-9EBA-10EB0A41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7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uiPriority w:val="9"/>
    <w:semiHidden/>
    <w:rsid w:val="008B377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56836\AppData\Local\Microsoft\Windows\INetCache\Content.Outlook\3UN9FALE\83c%20-%20HAP%20Contract%20Collection%20Form%20(00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ED18BB158941A637FB61B4844667" ma:contentTypeVersion="15" ma:contentTypeDescription="Create a new document." ma:contentTypeScope="" ma:versionID="f19292471a0e969f81d6b754a01f008f">
  <xsd:schema xmlns:xsd="http://www.w3.org/2001/XMLSchema" xmlns:xs="http://www.w3.org/2001/XMLSchema" xmlns:p="http://schemas.microsoft.com/office/2006/metadata/properties" xmlns:ns1="http://schemas.microsoft.com/sharepoint/v3" xmlns:ns3="bd0d42a1-3cac-46ac-b14e-063baaeeb0d5" xmlns:ns4="66780095-3e77-4be1-9501-f99fa1338296" targetNamespace="http://schemas.microsoft.com/office/2006/metadata/properties" ma:root="true" ma:fieldsID="fc1d7b9f38ae330b246cb2682ea63bf1" ns1:_="" ns3:_="" ns4:_="">
    <xsd:import namespace="http://schemas.microsoft.com/sharepoint/v3"/>
    <xsd:import namespace="bd0d42a1-3cac-46ac-b14e-063baaeeb0d5"/>
    <xsd:import namespace="66780095-3e77-4be1-9501-f99fa13382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42a1-3cac-46ac-b14e-063baaeeb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0095-3e77-4be1-9501-f99fa1338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74DB9-78EF-451A-93CA-F28F5E78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0d42a1-3cac-46ac-b14e-063baaeeb0d5"/>
    <ds:schemaRef ds:uri="66780095-3e77-4be1-9501-f99fa1338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 - HAP Contract Collection Form (002).dot</Template>
  <TotalTime>6</TotalTime>
  <Pages>2</Pages>
  <Words>785</Words>
  <Characters>4845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Bertram, Marika M</dc:creator>
  <cp:keywords/>
  <dc:description/>
  <cp:lastModifiedBy>Smith, Dawn M</cp:lastModifiedBy>
  <cp:revision>2</cp:revision>
  <cp:lastPrinted>2001-03-13T22:43:00Z</cp:lastPrinted>
  <dcterms:created xsi:type="dcterms:W3CDTF">2022-01-06T15:41:00Z</dcterms:created>
  <dcterms:modified xsi:type="dcterms:W3CDTF">2022-01-06T15:41:00Z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0x01010023F6ED18BB158941A637FB61B4844667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