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3C6F" w:rsidRPr="008F3C6F" w:rsidP="008F3C6F" w14:paraId="29755A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rPr>
      </w:pPr>
      <w:r w:rsidRPr="008F3C6F">
        <w:rPr>
          <w:b/>
          <w:sz w:val="28"/>
        </w:rPr>
        <w:t>Supporting Statement for Paperwork Reduction Act Submissions</w:t>
      </w:r>
    </w:p>
    <w:p w:rsidR="008F3C6F" w:rsidP="008F3C6F" w14:paraId="37A87013" w14:textId="776417A6">
      <w:pPr>
        <w:tabs>
          <w:tab w:val="left" w:pos="240"/>
        </w:tabs>
        <w:spacing w:after="40"/>
        <w:ind w:left="120" w:right="-120"/>
        <w:jc w:val="center"/>
        <w:rPr>
          <w:b/>
          <w:sz w:val="24"/>
          <w:szCs w:val="24"/>
        </w:rPr>
      </w:pPr>
      <w:r w:rsidRPr="008F3C6F">
        <w:rPr>
          <w:b/>
          <w:sz w:val="24"/>
          <w:szCs w:val="24"/>
        </w:rPr>
        <w:t>Public Housing Capital Fund Amendments to the Annual Contributions Contract</w:t>
      </w:r>
    </w:p>
    <w:p w:rsidR="008F3C6F" w:rsidRPr="008F3C6F" w:rsidP="008F3C6F" w14:paraId="58483892" w14:textId="390E3AFD">
      <w:pPr>
        <w:tabs>
          <w:tab w:val="left" w:pos="240"/>
        </w:tabs>
        <w:spacing w:after="40"/>
        <w:ind w:left="120" w:right="-120"/>
        <w:jc w:val="center"/>
        <w:rPr>
          <w:sz w:val="24"/>
          <w:szCs w:val="24"/>
        </w:rPr>
      </w:pPr>
      <w:r>
        <w:rPr>
          <w:b/>
          <w:sz w:val="24"/>
          <w:szCs w:val="24"/>
        </w:rPr>
        <w:t>OMB: 2577-NEW</w:t>
      </w:r>
    </w:p>
    <w:p w:rsidR="008F3C6F" w:rsidP="008F3C6F" w14:paraId="06D5F5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8F3C6F" w:rsidP="008F3C6F" w14:paraId="162FF9F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F3C6F" w:rsidP="008F3C6F" w14:paraId="49956E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8F3C6F" w:rsidP="008F3C6F" w14:paraId="04AC6D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8F3C6F" w:rsidRPr="00F87CFD" w:rsidP="008F3C6F" w14:paraId="65E7F961" w14:textId="77777777">
      <w:pPr>
        <w:keepLines/>
        <w:tabs>
          <w:tab w:val="left" w:pos="360"/>
        </w:tabs>
        <w:spacing w:after="80"/>
        <w:ind w:left="360" w:hanging="360"/>
        <w:rPr>
          <w:b/>
          <w:bCs/>
          <w:sz w:val="18"/>
        </w:rPr>
      </w:pPr>
      <w:r>
        <w:rPr>
          <w:sz w:val="18"/>
        </w:rPr>
        <w:t>1.</w:t>
      </w:r>
      <w:r>
        <w:rPr>
          <w:sz w:val="18"/>
        </w:rPr>
        <w:tab/>
      </w:r>
      <w:r w:rsidRPr="00F87CFD">
        <w:rPr>
          <w:b/>
          <w:bCs/>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F3C6F" w:rsidP="008F3C6F" w14:paraId="0F56E2DF" w14:textId="77777777">
      <w:pPr>
        <w:tabs>
          <w:tab w:val="left" w:pos="360"/>
        </w:tabs>
        <w:ind w:left="360" w:hanging="360"/>
        <w:rPr>
          <w:sz w:val="18"/>
        </w:rPr>
      </w:pPr>
      <w:r>
        <w:rPr>
          <w:sz w:val="18"/>
        </w:rPr>
        <w:tab/>
      </w:r>
    </w:p>
    <w:p w:rsidR="008F3C6F" w:rsidRPr="005D27D0" w:rsidP="008F3C6F" w14:paraId="134A3651" w14:textId="77777777">
      <w:pPr>
        <w:tabs>
          <w:tab w:val="left" w:pos="360"/>
        </w:tabs>
        <w:ind w:left="360" w:hanging="360"/>
        <w:rPr>
          <w:sz w:val="22"/>
        </w:rPr>
      </w:pPr>
      <w:r>
        <w:rPr>
          <w:sz w:val="18"/>
        </w:rPr>
        <w:tab/>
      </w:r>
      <w:r w:rsidRPr="005D27D0">
        <w:rPr>
          <w:sz w:val="22"/>
        </w:rPr>
        <w:t>This PRA moves forms and provisions of amendments to the Annual Contributions Contract (ACC) from OMB Collection 2577-0075 into a new collection.  The reason for the move is to keep similar types of information in separate collections.  In addition to moving this information to a new collection, the HUD-52190 Declaration of Trust/Restrictive Covenants and the Mixed Finance Amendment to the ACC were moved to OMB 2577-0275 - Public/Private Partnerships for the Mixed-Finance Development of Public Housing Units.  All other information regarding inventory removals was retained in OMB 2577-0075 which is being renewed.</w:t>
      </w:r>
    </w:p>
    <w:p w:rsidR="008F3C6F" w:rsidRPr="005D27D0" w:rsidP="008F3C6F" w14:paraId="211288D6" w14:textId="77777777">
      <w:pPr>
        <w:tabs>
          <w:tab w:val="left" w:pos="360"/>
        </w:tabs>
        <w:ind w:left="360" w:hanging="360"/>
        <w:rPr>
          <w:sz w:val="22"/>
        </w:rPr>
      </w:pPr>
    </w:p>
    <w:p w:rsidR="008F3C6F" w:rsidRPr="005D27D0" w:rsidP="008F3C6F" w14:paraId="5F183130" w14:textId="77777777">
      <w:pPr>
        <w:tabs>
          <w:tab w:val="left" w:pos="360"/>
        </w:tabs>
        <w:ind w:left="360" w:hanging="360"/>
        <w:rPr>
          <w:sz w:val="22"/>
        </w:rPr>
      </w:pPr>
      <w:r w:rsidRPr="005D27D0">
        <w:rPr>
          <w:sz w:val="22"/>
        </w:rPr>
        <w:tab/>
        <w:t xml:space="preserve">Section 9 of the United States Housing Act of 1937 (42 U.S.C. 1437 g) (“1937 Act”) permits the Secretary of HUD to make assistance available to PHAs to carry out capital and management activities to achieve and maintain the low- income character of public housing projects.  The Secretary is required to embody the provisions for such assistance in a grant agreement.  Governing regulations are at 24 CFR part 905.   </w:t>
      </w:r>
    </w:p>
    <w:p w:rsidR="008F3C6F" w:rsidRPr="005D27D0" w:rsidP="008F3C6F" w14:paraId="3E23E829" w14:textId="77777777">
      <w:pPr>
        <w:tabs>
          <w:tab w:val="left" w:pos="360"/>
        </w:tabs>
        <w:ind w:left="360" w:hanging="360"/>
        <w:rPr>
          <w:sz w:val="22"/>
        </w:rPr>
      </w:pPr>
      <w:r w:rsidRPr="005D27D0">
        <w:rPr>
          <w:sz w:val="22"/>
        </w:rPr>
        <w:tab/>
      </w:r>
    </w:p>
    <w:p w:rsidR="008F3C6F" w:rsidRPr="005D27D0" w:rsidP="008F3C6F" w14:paraId="028E520D" w14:textId="77777777">
      <w:pPr>
        <w:tabs>
          <w:tab w:val="left" w:pos="360"/>
        </w:tabs>
        <w:ind w:left="360" w:hanging="360"/>
        <w:rPr>
          <w:sz w:val="22"/>
        </w:rPr>
      </w:pPr>
      <w:r w:rsidRPr="005D27D0">
        <w:rPr>
          <w:sz w:val="22"/>
        </w:rPr>
        <w:tab/>
        <w:t xml:space="preserve">Pursuant to the 1937 Act and the regulations at 24 CFR part 905, PHAs must enter into a grant agreement with HUD governing the terms and conditions of their public housing.  HUD refers to this agreement as an Annual Contributions Contract (ACC).  Under the ACC, HUD agrees to provide funding to the PHA to support its program and the PHA agrees to administer the program in accordance with HUD regulations and requirements and the terms of the ACC.  All PHAs must have an executed ACC on file with HUD.  </w:t>
      </w:r>
    </w:p>
    <w:p w:rsidR="008F3C6F" w:rsidRPr="005D27D0" w:rsidP="008F3C6F" w14:paraId="28EE7871" w14:textId="77777777">
      <w:pPr>
        <w:tabs>
          <w:tab w:val="left" w:pos="360"/>
        </w:tabs>
        <w:ind w:left="360" w:hanging="360"/>
        <w:rPr>
          <w:sz w:val="22"/>
        </w:rPr>
      </w:pPr>
    </w:p>
    <w:p w:rsidR="008F3C6F" w:rsidRPr="005D27D0" w:rsidP="008F3C6F" w14:paraId="5F8F57F9" w14:textId="77777777">
      <w:pPr>
        <w:tabs>
          <w:tab w:val="left" w:pos="360"/>
        </w:tabs>
        <w:ind w:left="360" w:hanging="360"/>
        <w:rPr>
          <w:sz w:val="22"/>
        </w:rPr>
      </w:pPr>
      <w:r w:rsidRPr="005D27D0">
        <w:rPr>
          <w:sz w:val="22"/>
        </w:rPr>
        <w:tab/>
        <w:t>Additional information about each form is as follows:</w:t>
      </w:r>
    </w:p>
    <w:p w:rsidR="008F3C6F" w:rsidRPr="005D27D0" w:rsidP="008F3C6F" w14:paraId="192EE2E5" w14:textId="77777777">
      <w:pPr>
        <w:tabs>
          <w:tab w:val="left" w:pos="360"/>
        </w:tabs>
        <w:ind w:left="360" w:hanging="360"/>
        <w:rPr>
          <w:sz w:val="22"/>
        </w:rPr>
      </w:pPr>
    </w:p>
    <w:p w:rsidR="008F3C6F" w:rsidRPr="005D27D0" w:rsidP="008F3C6F" w14:paraId="36C33333" w14:textId="77777777">
      <w:pPr>
        <w:tabs>
          <w:tab w:val="left" w:pos="360"/>
        </w:tabs>
        <w:ind w:left="360" w:hanging="360"/>
        <w:rPr>
          <w:sz w:val="22"/>
        </w:rPr>
      </w:pPr>
      <w:r w:rsidRPr="005D27D0">
        <w:rPr>
          <w:sz w:val="22"/>
        </w:rPr>
        <w:tab/>
        <w:t>Capital Fund Program Amendment to the ACC (HUD-52840-A). This form amends a PHA’s ACC each time HUD provides Capital Fund Program assistance to a PHA for capital and management activities of PHA projects. This collection amends this form to change its format from PDF/Word to Excel only.</w:t>
      </w:r>
    </w:p>
    <w:p w:rsidR="008F3C6F" w:rsidP="008F3C6F" w14:paraId="798FF45B" w14:textId="77777777">
      <w:pPr>
        <w:tabs>
          <w:tab w:val="left" w:pos="360"/>
        </w:tabs>
        <w:ind w:left="360" w:hanging="360"/>
        <w:rPr>
          <w:sz w:val="18"/>
        </w:rPr>
      </w:pPr>
    </w:p>
    <w:p w:rsidR="008F3C6F" w:rsidRPr="00F87CFD" w:rsidP="008F3C6F" w14:paraId="229E362E" w14:textId="77777777">
      <w:pPr>
        <w:keepLines/>
        <w:tabs>
          <w:tab w:val="left" w:pos="360"/>
        </w:tabs>
        <w:spacing w:after="80"/>
        <w:ind w:left="360" w:hanging="360"/>
        <w:rPr>
          <w:b/>
          <w:bCs/>
          <w:sz w:val="18"/>
        </w:rPr>
      </w:pPr>
      <w:r>
        <w:rPr>
          <w:sz w:val="18"/>
        </w:rPr>
        <w:t>2.</w:t>
      </w:r>
      <w:r>
        <w:rPr>
          <w:sz w:val="18"/>
        </w:rPr>
        <w:tab/>
      </w:r>
      <w:r w:rsidRPr="00F87CFD">
        <w:rPr>
          <w:b/>
          <w:bCs/>
          <w:sz w:val="18"/>
        </w:rPr>
        <w:t>Indicate how, by whom and for what purpose the information is to be used.  Except for a new collection, indicate the actual use the agency has made of the information received from the current collection.</w:t>
      </w:r>
    </w:p>
    <w:p w:rsidR="008F3C6F" w:rsidP="008F3C6F" w14:paraId="2A914493" w14:textId="77777777">
      <w:pPr>
        <w:tabs>
          <w:tab w:val="left" w:pos="360"/>
        </w:tabs>
        <w:ind w:left="360"/>
        <w:rPr>
          <w:sz w:val="22"/>
        </w:rPr>
      </w:pPr>
      <w:r w:rsidRPr="005D27D0">
        <w:rPr>
          <w:sz w:val="22"/>
        </w:rPr>
        <w:t>ACCs establish the grant relationship between HUD and PHAs administering public housing programs. ACC amendments are executed for each year when Capital Fund assistance is provided to PHAs under the Capital Fund formula and when including Capital Funds are provided for emergency and disaster grant activities, safety and security expenditures and for Capital Fund Financing transactions.  HUD action and PHA submissions are also required when Capital Funds are recaptured for non-compliance or when grant funds are not used within the obligation and expenditure time-limits.</w:t>
      </w:r>
    </w:p>
    <w:p w:rsidR="008F3C6F" w:rsidP="008F3C6F" w14:paraId="22008848" w14:textId="77777777">
      <w:pPr>
        <w:tabs>
          <w:tab w:val="left" w:pos="360"/>
        </w:tabs>
        <w:ind w:left="360"/>
        <w:rPr>
          <w:sz w:val="18"/>
        </w:rPr>
      </w:pPr>
    </w:p>
    <w:p w:rsidR="008F3C6F" w:rsidRPr="00F87CFD" w:rsidP="008F3C6F" w14:paraId="0978F393" w14:textId="77777777">
      <w:pPr>
        <w:keepLines/>
        <w:tabs>
          <w:tab w:val="left" w:pos="360"/>
        </w:tabs>
        <w:spacing w:after="80"/>
        <w:ind w:left="360" w:hanging="360"/>
        <w:rPr>
          <w:b/>
          <w:bCs/>
          <w:sz w:val="18"/>
        </w:rPr>
      </w:pPr>
      <w:r>
        <w:rPr>
          <w:sz w:val="18"/>
        </w:rPr>
        <w:t>3.</w:t>
      </w:r>
      <w:r>
        <w:rPr>
          <w:sz w:val="18"/>
        </w:rPr>
        <w:tab/>
      </w:r>
      <w:r w:rsidRPr="00F87CFD">
        <w:rPr>
          <w:b/>
          <w:bCs/>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F3C6F" w:rsidP="008F3C6F" w14:paraId="0024F179" w14:textId="77777777">
      <w:pPr>
        <w:keepLines/>
        <w:tabs>
          <w:tab w:val="left" w:pos="360"/>
          <w:tab w:val="left" w:pos="720"/>
        </w:tabs>
        <w:ind w:left="360"/>
        <w:rPr>
          <w:sz w:val="18"/>
        </w:rPr>
      </w:pPr>
      <w:r>
        <w:rPr>
          <w:sz w:val="22"/>
        </w:rPr>
        <w:t>Information is typically emailed to the HUD office.</w:t>
      </w:r>
    </w:p>
    <w:p w:rsidR="008F3C6F" w:rsidP="008F3C6F" w14:paraId="245062BC" w14:textId="77777777">
      <w:pPr>
        <w:tabs>
          <w:tab w:val="left" w:pos="360"/>
        </w:tabs>
        <w:ind w:left="360" w:hanging="360"/>
        <w:rPr>
          <w:sz w:val="18"/>
        </w:rPr>
      </w:pPr>
    </w:p>
    <w:p w:rsidR="008F3C6F" w:rsidRPr="00F87CFD" w:rsidP="008F3C6F" w14:paraId="3AE88D7B" w14:textId="77777777">
      <w:pPr>
        <w:keepLines/>
        <w:tabs>
          <w:tab w:val="left" w:pos="360"/>
        </w:tabs>
        <w:spacing w:after="80"/>
        <w:ind w:left="360" w:hanging="360"/>
        <w:rPr>
          <w:b/>
          <w:bCs/>
          <w:sz w:val="18"/>
        </w:rPr>
      </w:pPr>
      <w:r>
        <w:rPr>
          <w:sz w:val="18"/>
        </w:rPr>
        <w:t>4.</w:t>
      </w:r>
      <w:r>
        <w:rPr>
          <w:sz w:val="18"/>
        </w:rPr>
        <w:tab/>
      </w:r>
      <w:r w:rsidRPr="00F87CFD">
        <w:rPr>
          <w:b/>
          <w:bCs/>
          <w:sz w:val="18"/>
        </w:rPr>
        <w:t>Describe efforts to identify duplication.  Show specifically why any similar information already available cannot be used or modified for use for the purposes described in Item 2 above.</w:t>
      </w:r>
    </w:p>
    <w:p w:rsidR="008F3C6F" w:rsidP="008F3C6F" w14:paraId="06887EFB" w14:textId="77777777">
      <w:pPr>
        <w:keepLines/>
        <w:tabs>
          <w:tab w:val="left" w:pos="360"/>
          <w:tab w:val="left" w:pos="720"/>
        </w:tabs>
        <w:ind w:left="360"/>
        <w:rPr>
          <w:sz w:val="22"/>
        </w:rPr>
      </w:pPr>
    </w:p>
    <w:p w:rsidR="008F3C6F" w:rsidP="008F3C6F" w14:paraId="3D7C07C0" w14:textId="77777777">
      <w:pPr>
        <w:keepLines/>
        <w:tabs>
          <w:tab w:val="left" w:pos="360"/>
          <w:tab w:val="left" w:pos="720"/>
        </w:tabs>
        <w:ind w:left="360"/>
        <w:rPr>
          <w:sz w:val="18"/>
        </w:rPr>
      </w:pPr>
      <w:r>
        <w:rPr>
          <w:sz w:val="22"/>
        </w:rPr>
        <w:t>There is no duplication of information associated with this collection. The information required and collected with each action is not collected elsewhere.</w:t>
      </w:r>
    </w:p>
    <w:p w:rsidR="008F3C6F" w:rsidP="008F3C6F" w14:paraId="5A421CCD" w14:textId="77777777">
      <w:pPr>
        <w:tabs>
          <w:tab w:val="left" w:pos="360"/>
        </w:tabs>
        <w:ind w:left="360" w:hanging="360"/>
        <w:rPr>
          <w:sz w:val="18"/>
        </w:rPr>
      </w:pPr>
    </w:p>
    <w:p w:rsidR="008F3C6F" w:rsidRPr="00F87CFD" w:rsidP="008F3C6F" w14:paraId="3557CC53" w14:textId="77777777">
      <w:pPr>
        <w:keepLines/>
        <w:tabs>
          <w:tab w:val="left" w:pos="360"/>
        </w:tabs>
        <w:spacing w:after="80"/>
        <w:ind w:left="360" w:hanging="360"/>
        <w:rPr>
          <w:b/>
          <w:bCs/>
          <w:sz w:val="18"/>
        </w:rPr>
      </w:pPr>
      <w:r>
        <w:rPr>
          <w:sz w:val="18"/>
        </w:rPr>
        <w:t>5.</w:t>
      </w:r>
      <w:r>
        <w:rPr>
          <w:sz w:val="18"/>
        </w:rPr>
        <w:tab/>
      </w:r>
      <w:r w:rsidRPr="00F87CFD">
        <w:rPr>
          <w:b/>
          <w:bCs/>
          <w:sz w:val="18"/>
        </w:rPr>
        <w:t>If the collection of information impacts small businesses or other small entities (Item 5 of OMB Form 83-I) describe any methods used to minimize burden.</w:t>
      </w:r>
    </w:p>
    <w:p w:rsidR="008F3C6F" w:rsidP="008F3C6F" w14:paraId="04465C8E" w14:textId="77777777">
      <w:pPr>
        <w:keepLines/>
        <w:tabs>
          <w:tab w:val="left" w:pos="360"/>
          <w:tab w:val="left" w:pos="720"/>
        </w:tabs>
        <w:ind w:left="360"/>
        <w:rPr>
          <w:sz w:val="18"/>
        </w:rPr>
      </w:pPr>
      <w:r>
        <w:rPr>
          <w:sz w:val="22"/>
        </w:rPr>
        <w:fldChar w:fldCharType="begin">
          <w:ffData>
            <w:name w:val=""/>
            <w:enabled/>
            <w:calcOnExit w:val="0"/>
            <w:textInput>
              <w:default w:val="No, the information being collected does not impact small businesses or other small entities."/>
            </w:textInput>
          </w:ffData>
        </w:fldChar>
      </w:r>
      <w:r>
        <w:rPr>
          <w:sz w:val="22"/>
        </w:rPr>
        <w:instrText xml:space="preserve"> FORMTEXT </w:instrText>
      </w:r>
      <w:r>
        <w:rPr>
          <w:sz w:val="22"/>
        </w:rPr>
        <w:fldChar w:fldCharType="separate"/>
      </w:r>
      <w:r>
        <w:rPr>
          <w:noProof/>
          <w:sz w:val="22"/>
        </w:rPr>
        <w:t>No, the information being collected does not impact small businesses or other small entities.</w:t>
      </w:r>
      <w:r>
        <w:rPr>
          <w:sz w:val="22"/>
        </w:rPr>
        <w:fldChar w:fldCharType="end"/>
      </w:r>
    </w:p>
    <w:p w:rsidR="008F3C6F" w:rsidP="008F3C6F" w14:paraId="1A59633E" w14:textId="77777777">
      <w:pPr>
        <w:tabs>
          <w:tab w:val="left" w:pos="360"/>
        </w:tabs>
        <w:ind w:left="360" w:hanging="360"/>
        <w:rPr>
          <w:sz w:val="18"/>
        </w:rPr>
      </w:pPr>
    </w:p>
    <w:p w:rsidR="008F3C6F" w:rsidRPr="00F87CFD" w:rsidP="008F3C6F" w14:paraId="72410914" w14:textId="77777777">
      <w:pPr>
        <w:keepLines/>
        <w:tabs>
          <w:tab w:val="left" w:pos="360"/>
        </w:tabs>
        <w:spacing w:after="80"/>
        <w:ind w:left="360" w:hanging="360"/>
        <w:rPr>
          <w:b/>
          <w:bCs/>
          <w:sz w:val="18"/>
        </w:rPr>
      </w:pPr>
      <w:r>
        <w:rPr>
          <w:sz w:val="18"/>
        </w:rPr>
        <w:t>6.</w:t>
      </w:r>
      <w:r>
        <w:rPr>
          <w:sz w:val="18"/>
        </w:rPr>
        <w:tab/>
      </w:r>
      <w:r w:rsidRPr="00F87CFD">
        <w:rPr>
          <w:b/>
          <w:bCs/>
          <w:sz w:val="18"/>
        </w:rPr>
        <w:t>Describe the consequence to Federal program or policy activities if the collection is not conducted or is conducted less frequently, as well as any technical or legal obstacles to reducing burden.</w:t>
      </w:r>
    </w:p>
    <w:p w:rsidR="008F3C6F" w:rsidP="008F3C6F" w14:paraId="44063003" w14:textId="77777777">
      <w:pPr>
        <w:tabs>
          <w:tab w:val="left" w:pos="360"/>
        </w:tabs>
        <w:ind w:left="360" w:hanging="360"/>
        <w:rPr>
          <w:sz w:val="18"/>
        </w:rPr>
      </w:pPr>
      <w:r>
        <w:rPr>
          <w:sz w:val="18"/>
        </w:rPr>
        <w:tab/>
      </w:r>
    </w:p>
    <w:p w:rsidR="008F3C6F" w:rsidRPr="001B761B" w:rsidP="008F3C6F" w14:paraId="3C6CC4B9" w14:textId="77777777">
      <w:pPr>
        <w:tabs>
          <w:tab w:val="left" w:pos="360"/>
        </w:tabs>
        <w:ind w:left="360" w:hanging="360"/>
        <w:rPr>
          <w:sz w:val="22"/>
        </w:rPr>
      </w:pPr>
      <w:r>
        <w:rPr>
          <w:sz w:val="18"/>
        </w:rPr>
        <w:tab/>
      </w:r>
      <w:r w:rsidRPr="001B761B">
        <w:rPr>
          <w:sz w:val="22"/>
        </w:rPr>
        <w:t>The submission of ACCs, amendments, and associated documents and forms is a long-standing statutory and regulatory requirement of entities that conduct business with HUD.  If HUD did not collect this information, the Department would be in noncompliance with the specific intent and directions of Congress.  Without this information, HUD’s interest in these properties may also be unprotected, resulting in the potential loss of public housing.  Without Capital Fund ACC Amendments, HUD would be at high risk of making incorrect payments to housing authorities.  If this information were collected less frequently, it would prevent the award and obligation of annual Capital Fund formula grants and Capital Fund special purpose grants (e.g., emergency grants) and prevent the 1937 Act from being properly carried out.</w:t>
      </w:r>
    </w:p>
    <w:p w:rsidR="008F3C6F" w:rsidRPr="001B761B" w:rsidP="008F3C6F" w14:paraId="33C3BAAF" w14:textId="77777777">
      <w:pPr>
        <w:tabs>
          <w:tab w:val="left" w:pos="360"/>
        </w:tabs>
        <w:ind w:left="360" w:hanging="360"/>
        <w:rPr>
          <w:sz w:val="22"/>
        </w:rPr>
      </w:pPr>
    </w:p>
    <w:p w:rsidR="008F3C6F" w:rsidRPr="00F87CFD" w:rsidP="008F3C6F" w14:paraId="76DD9E5E" w14:textId="77777777">
      <w:pPr>
        <w:numPr>
          <w:ilvl w:val="0"/>
          <w:numId w:val="1"/>
        </w:numPr>
        <w:tabs>
          <w:tab w:val="left" w:pos="360"/>
        </w:tabs>
        <w:rPr>
          <w:b/>
          <w:bCs/>
          <w:sz w:val="18"/>
        </w:rPr>
      </w:pPr>
      <w:r w:rsidRPr="00F87CFD">
        <w:rPr>
          <w:b/>
          <w:bCs/>
          <w:sz w:val="18"/>
        </w:rPr>
        <w:t xml:space="preserve">Explain any special circumstances that would cause an information collection to be conducted in a manner: </w:t>
      </w:r>
    </w:p>
    <w:p w:rsidR="008F3C6F" w:rsidP="008F3C6F" w14:paraId="2F117156" w14:textId="77777777">
      <w:pPr>
        <w:numPr>
          <w:ilvl w:val="0"/>
          <w:numId w:val="2"/>
        </w:numPr>
        <w:tabs>
          <w:tab w:val="left" w:pos="600"/>
        </w:tabs>
        <w:rPr>
          <w:sz w:val="18"/>
        </w:rPr>
      </w:pPr>
      <w:r>
        <w:rPr>
          <w:sz w:val="18"/>
        </w:rPr>
        <w:t xml:space="preserve">requiring respondents to report information to the agency more than quarterly; </w:t>
      </w:r>
    </w:p>
    <w:p w:rsidR="008F3C6F" w:rsidP="008F3C6F" w14:paraId="4B35CD61" w14:textId="77777777">
      <w:pPr>
        <w:numPr>
          <w:ilvl w:val="0"/>
          <w:numId w:val="2"/>
        </w:numPr>
        <w:tabs>
          <w:tab w:val="left" w:pos="600"/>
        </w:tabs>
        <w:rPr>
          <w:sz w:val="18"/>
        </w:rPr>
      </w:pPr>
      <w:r>
        <w:rPr>
          <w:sz w:val="18"/>
        </w:rPr>
        <w:t xml:space="preserve">requiring respondents to prepare a written response to a collection of information in fewer than 30 days after receipt of it; </w:t>
      </w:r>
    </w:p>
    <w:p w:rsidR="008F3C6F" w:rsidP="008F3C6F" w14:paraId="6A14D39C" w14:textId="77777777">
      <w:pPr>
        <w:numPr>
          <w:ilvl w:val="0"/>
          <w:numId w:val="2"/>
        </w:numPr>
        <w:tabs>
          <w:tab w:val="left" w:pos="600"/>
        </w:tabs>
        <w:rPr>
          <w:sz w:val="18"/>
        </w:rPr>
      </w:pPr>
      <w:r>
        <w:rPr>
          <w:sz w:val="18"/>
        </w:rPr>
        <w:t xml:space="preserve">requiring respondents to submit more than an original and two copies of any document; </w:t>
      </w:r>
    </w:p>
    <w:p w:rsidR="008F3C6F" w:rsidP="008F3C6F" w14:paraId="3C06EB8D" w14:textId="77777777">
      <w:pPr>
        <w:numPr>
          <w:ilvl w:val="0"/>
          <w:numId w:val="2"/>
        </w:numPr>
        <w:tabs>
          <w:tab w:val="left" w:pos="600"/>
        </w:tabs>
        <w:rPr>
          <w:sz w:val="18"/>
        </w:rPr>
      </w:pPr>
      <w:r>
        <w:rPr>
          <w:sz w:val="18"/>
        </w:rPr>
        <w:t xml:space="preserve">requiring respondents to retain records other than health, medical, government contract, grant-in-aid, or tax records for more than three years; </w:t>
      </w:r>
    </w:p>
    <w:p w:rsidR="008F3C6F" w:rsidP="008F3C6F" w14:paraId="70875EEE" w14:textId="77777777">
      <w:pPr>
        <w:numPr>
          <w:ilvl w:val="0"/>
          <w:numId w:val="2"/>
        </w:numPr>
        <w:tabs>
          <w:tab w:val="left" w:pos="600"/>
        </w:tabs>
        <w:rPr>
          <w:sz w:val="18"/>
        </w:rPr>
      </w:pPr>
      <w:r>
        <w:rPr>
          <w:sz w:val="18"/>
        </w:rPr>
        <w:t xml:space="preserve">in connection with a statistical survey, that is not designed to produce valid and reliable results than can be generalized to the universe of study; </w:t>
      </w:r>
    </w:p>
    <w:p w:rsidR="008F3C6F" w:rsidP="008F3C6F" w14:paraId="1451C115" w14:textId="77777777">
      <w:pPr>
        <w:numPr>
          <w:ilvl w:val="0"/>
          <w:numId w:val="2"/>
        </w:numPr>
        <w:tabs>
          <w:tab w:val="left" w:pos="600"/>
        </w:tabs>
        <w:rPr>
          <w:sz w:val="18"/>
        </w:rPr>
      </w:pPr>
      <w:r>
        <w:rPr>
          <w:sz w:val="18"/>
        </w:rPr>
        <w:t xml:space="preserve">requiring the use of a statistical data classification that has not been reviewed and approved by OMB; </w:t>
      </w:r>
    </w:p>
    <w:p w:rsidR="008F3C6F" w:rsidP="008F3C6F" w14:paraId="1F68F668" w14:textId="77777777">
      <w:pPr>
        <w:numPr>
          <w:ilvl w:val="0"/>
          <w:numId w:val="2"/>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F3C6F" w:rsidP="008F3C6F" w14:paraId="18C1BAF7" w14:textId="77777777">
      <w:pPr>
        <w:keepLines/>
        <w:numPr>
          <w:ilvl w:val="0"/>
          <w:numId w:val="2"/>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8F3C6F" w:rsidP="008F3C6F" w14:paraId="5B2E5EA2" w14:textId="77777777">
      <w:pPr>
        <w:keepLines/>
        <w:tabs>
          <w:tab w:val="left" w:pos="360"/>
          <w:tab w:val="left" w:pos="720"/>
        </w:tabs>
        <w:ind w:left="360"/>
        <w:rPr>
          <w:sz w:val="18"/>
        </w:rPr>
      </w:pPr>
      <w:r>
        <w:rPr>
          <w:sz w:val="22"/>
        </w:rPr>
        <w:t>Not Applicable</w:t>
      </w:r>
    </w:p>
    <w:p w:rsidR="008F3C6F" w:rsidP="008F3C6F" w14:paraId="1CF162F1" w14:textId="77777777">
      <w:pPr>
        <w:tabs>
          <w:tab w:val="left" w:pos="360"/>
        </w:tabs>
        <w:ind w:left="360" w:hanging="360"/>
        <w:rPr>
          <w:sz w:val="18"/>
        </w:rPr>
      </w:pPr>
    </w:p>
    <w:p w:rsidR="008F3C6F" w:rsidP="008F3C6F" w14:paraId="736D7537" w14:textId="77777777">
      <w:pPr>
        <w:tabs>
          <w:tab w:val="left" w:pos="360"/>
        </w:tabs>
        <w:ind w:left="360" w:hanging="360"/>
        <w:rPr>
          <w:sz w:val="18"/>
        </w:rPr>
      </w:pPr>
      <w:r>
        <w:rPr>
          <w:sz w:val="18"/>
        </w:rPr>
        <w:t xml:space="preserve"> 8.</w:t>
      </w:r>
      <w:r>
        <w:rPr>
          <w:sz w:val="18"/>
        </w:rPr>
        <w:tab/>
      </w:r>
      <w:r w:rsidRPr="00F87CFD">
        <w:rPr>
          <w:b/>
          <w:bCs/>
          <w:sz w:val="18"/>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sz w:val="18"/>
        </w:rPr>
        <w:t xml:space="preserve">. </w:t>
      </w:r>
    </w:p>
    <w:p w:rsidR="008F3C6F" w:rsidP="008F3C6F" w14:paraId="4936ABA0" w14:textId="77777777">
      <w:pPr>
        <w:numPr>
          <w:ilvl w:val="0"/>
          <w:numId w:val="2"/>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F3C6F" w:rsidP="008F3C6F" w14:paraId="516301A6" w14:textId="77777777">
      <w:pPr>
        <w:keepLines/>
        <w:numPr>
          <w:ilvl w:val="0"/>
          <w:numId w:val="2"/>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F3C6F" w:rsidP="008F3C6F" w14:paraId="5E43260E" w14:textId="77777777">
      <w:pPr>
        <w:keepLines/>
        <w:tabs>
          <w:tab w:val="left" w:pos="360"/>
          <w:tab w:val="left" w:pos="720"/>
        </w:tabs>
        <w:ind w:left="360"/>
        <w:rPr>
          <w:sz w:val="22"/>
        </w:rPr>
      </w:pPr>
    </w:p>
    <w:p w:rsidR="008F3C6F" w:rsidP="008F3C6F" w14:paraId="5117BE60" w14:textId="301C0007">
      <w:pPr>
        <w:keepLines/>
        <w:tabs>
          <w:tab w:val="left" w:pos="360"/>
          <w:tab w:val="left" w:pos="720"/>
        </w:tabs>
        <w:ind w:left="360"/>
        <w:rPr>
          <w:sz w:val="18"/>
        </w:rPr>
      </w:pPr>
      <w:r>
        <w:rPr>
          <w:sz w:val="22"/>
        </w:rPr>
        <w:t>HUD published a Notice of Proposed Information Collection for public comments in the Federal Register, Volume, 88; Number 84; Page 27525 on May 2, 2023. The public was given until July 3, 2023, to submit comments on the proposed information collection.</w:t>
      </w:r>
      <w:r w:rsidR="00BE305E">
        <w:rPr>
          <w:sz w:val="22"/>
        </w:rPr>
        <w:t xml:space="preserve"> No public comments were received.</w:t>
      </w:r>
    </w:p>
    <w:p w:rsidR="008F3C6F" w:rsidP="008F3C6F" w14:paraId="16EF5A2B" w14:textId="77777777">
      <w:pPr>
        <w:tabs>
          <w:tab w:val="left" w:pos="360"/>
        </w:tabs>
        <w:ind w:left="360" w:hanging="360"/>
        <w:rPr>
          <w:sz w:val="18"/>
        </w:rPr>
      </w:pPr>
    </w:p>
    <w:p w:rsidR="008F3C6F" w:rsidRPr="00F87CFD" w:rsidP="008F3C6F" w14:paraId="7762EFAC" w14:textId="77777777">
      <w:pPr>
        <w:keepLines/>
        <w:tabs>
          <w:tab w:val="left" w:pos="360"/>
        </w:tabs>
        <w:spacing w:after="80"/>
        <w:ind w:left="360" w:hanging="360"/>
        <w:rPr>
          <w:b/>
          <w:bCs/>
          <w:sz w:val="18"/>
        </w:rPr>
      </w:pPr>
      <w:r>
        <w:rPr>
          <w:sz w:val="18"/>
        </w:rPr>
        <w:t>9.</w:t>
      </w:r>
      <w:r>
        <w:rPr>
          <w:sz w:val="18"/>
        </w:rPr>
        <w:tab/>
      </w:r>
      <w:r w:rsidRPr="00F87CFD">
        <w:rPr>
          <w:b/>
          <w:bCs/>
          <w:sz w:val="18"/>
        </w:rPr>
        <w:t>Explain any decision to provide any payment or gift to respondents, other than reenumeration of contractors or grantees.</w:t>
      </w:r>
    </w:p>
    <w:p w:rsidR="008F3C6F" w:rsidP="008F3C6F" w14:paraId="29918156" w14:textId="77777777">
      <w:pPr>
        <w:keepLines/>
        <w:tabs>
          <w:tab w:val="left" w:pos="360"/>
          <w:tab w:val="left" w:pos="720"/>
        </w:tabs>
        <w:ind w:left="360"/>
        <w:rPr>
          <w:sz w:val="18"/>
        </w:rPr>
      </w:pPr>
      <w:r>
        <w:rPr>
          <w:sz w:val="22"/>
        </w:rPr>
        <w:t>No payments or gifts to respondents are provided.</w:t>
      </w:r>
    </w:p>
    <w:p w:rsidR="008F3C6F" w:rsidP="008F3C6F" w14:paraId="4E1B90CA" w14:textId="77777777">
      <w:pPr>
        <w:tabs>
          <w:tab w:val="left" w:pos="360"/>
        </w:tabs>
        <w:ind w:left="360" w:hanging="360"/>
        <w:rPr>
          <w:sz w:val="18"/>
        </w:rPr>
      </w:pPr>
    </w:p>
    <w:p w:rsidR="008F3C6F" w:rsidRPr="00F87CFD" w:rsidP="008F3C6F" w14:paraId="128E7957" w14:textId="77777777">
      <w:pPr>
        <w:keepLines/>
        <w:tabs>
          <w:tab w:val="left" w:pos="360"/>
        </w:tabs>
        <w:spacing w:after="80"/>
        <w:ind w:left="360" w:hanging="360"/>
        <w:rPr>
          <w:b/>
          <w:bCs/>
          <w:sz w:val="18"/>
        </w:rPr>
      </w:pPr>
      <w:r>
        <w:rPr>
          <w:sz w:val="18"/>
        </w:rPr>
        <w:t>10.</w:t>
      </w:r>
      <w:r>
        <w:rPr>
          <w:sz w:val="18"/>
        </w:rPr>
        <w:tab/>
      </w:r>
      <w:r w:rsidRPr="00F87CFD">
        <w:rPr>
          <w:b/>
          <w:bCs/>
          <w:sz w:val="18"/>
        </w:rPr>
        <w:t>Describe any assurance of confidentiality provided to respondents and the basis for assurance in statute, regulation or agency policy.</w:t>
      </w:r>
    </w:p>
    <w:p w:rsidR="008F3C6F" w:rsidP="008F3C6F" w14:paraId="7ED1BDEB" w14:textId="77777777">
      <w:pPr>
        <w:keepLines/>
        <w:tabs>
          <w:tab w:val="left" w:pos="360"/>
          <w:tab w:val="left" w:pos="720"/>
        </w:tabs>
        <w:ind w:left="360"/>
        <w:rPr>
          <w:sz w:val="18"/>
        </w:rPr>
      </w:pPr>
      <w:r>
        <w:rPr>
          <w:sz w:val="22"/>
        </w:rPr>
        <w:t>The information provided is not of a confidential nature.</w:t>
      </w:r>
    </w:p>
    <w:p w:rsidR="008F3C6F" w:rsidP="008F3C6F" w14:paraId="4F6FCCDE" w14:textId="77777777">
      <w:pPr>
        <w:tabs>
          <w:tab w:val="left" w:pos="360"/>
        </w:tabs>
        <w:ind w:left="360" w:hanging="360"/>
        <w:rPr>
          <w:sz w:val="18"/>
        </w:rPr>
      </w:pPr>
    </w:p>
    <w:p w:rsidR="008F3C6F" w:rsidP="008F3C6F" w14:paraId="0F133B17" w14:textId="77777777">
      <w:pPr>
        <w:keepLines/>
        <w:tabs>
          <w:tab w:val="left" w:pos="360"/>
        </w:tabs>
        <w:spacing w:after="80"/>
        <w:ind w:left="360" w:hanging="360"/>
        <w:rPr>
          <w:sz w:val="18"/>
        </w:rPr>
      </w:pPr>
      <w:r>
        <w:rPr>
          <w:sz w:val="18"/>
        </w:rPr>
        <w:t>11.</w:t>
      </w:r>
      <w:r>
        <w:rPr>
          <w:sz w:val="18"/>
        </w:rPr>
        <w:tab/>
      </w:r>
      <w:r w:rsidRPr="00F87CFD">
        <w:rPr>
          <w:b/>
          <w:bCs/>
          <w:sz w:val="18"/>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sz w:val="18"/>
        </w:rPr>
        <w:t>.</w:t>
      </w:r>
    </w:p>
    <w:p w:rsidR="008F3C6F" w:rsidP="008F3C6F" w14:paraId="6FCE9E0B" w14:textId="77777777">
      <w:pPr>
        <w:keepLines/>
        <w:tabs>
          <w:tab w:val="left" w:pos="360"/>
          <w:tab w:val="left" w:pos="720"/>
        </w:tabs>
        <w:ind w:left="360"/>
        <w:rPr>
          <w:sz w:val="18"/>
        </w:rPr>
      </w:pPr>
      <w:r>
        <w:rPr>
          <w:sz w:val="22"/>
        </w:rPr>
        <w:t>The information collected does not contain questions of a sensitive nature.</w:t>
      </w:r>
    </w:p>
    <w:p w:rsidR="008F3C6F" w:rsidP="008F3C6F" w14:paraId="64921124" w14:textId="77777777">
      <w:pPr>
        <w:tabs>
          <w:tab w:val="left" w:pos="360"/>
        </w:tabs>
        <w:ind w:left="360" w:hanging="360"/>
        <w:rPr>
          <w:sz w:val="18"/>
        </w:rPr>
      </w:pPr>
    </w:p>
    <w:p w:rsidR="008F3C6F" w:rsidP="008F3C6F" w14:paraId="52A889BD" w14:textId="77777777">
      <w:pPr>
        <w:tabs>
          <w:tab w:val="left" w:pos="360"/>
        </w:tabs>
        <w:ind w:left="360" w:hanging="360"/>
        <w:rPr>
          <w:sz w:val="18"/>
        </w:rPr>
      </w:pPr>
      <w:r>
        <w:rPr>
          <w:sz w:val="18"/>
        </w:rPr>
        <w:t>12.</w:t>
      </w:r>
      <w:r>
        <w:rPr>
          <w:sz w:val="18"/>
        </w:rPr>
        <w:tab/>
      </w:r>
      <w:r w:rsidRPr="00F87CFD">
        <w:rPr>
          <w:b/>
          <w:bCs/>
          <w:sz w:val="18"/>
        </w:rPr>
        <w:t>Provide estimates of the hour burden of the collection of information.  The statement should:</w:t>
      </w:r>
      <w:r>
        <w:rPr>
          <w:sz w:val="18"/>
        </w:rPr>
        <w:t xml:space="preserve"> </w:t>
      </w:r>
    </w:p>
    <w:p w:rsidR="008F3C6F" w:rsidP="008F3C6F" w14:paraId="26B8F493" w14:textId="77777777">
      <w:pPr>
        <w:numPr>
          <w:ilvl w:val="0"/>
          <w:numId w:val="2"/>
        </w:numPr>
        <w:tabs>
          <w:tab w:val="left" w:pos="480"/>
        </w:tabs>
        <w:ind w:left="480"/>
        <w:rPr>
          <w:sz w:val="18"/>
        </w:rPr>
      </w:pPr>
      <w:r>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F3C6F" w:rsidP="008F3C6F" w14:paraId="208B67DF" w14:textId="77777777">
      <w:pPr>
        <w:numPr>
          <w:ilvl w:val="0"/>
          <w:numId w:val="2"/>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8F3C6F" w:rsidP="008F3C6F" w14:paraId="1F1C9FE5" w14:textId="77777777">
      <w:pPr>
        <w:keepLines/>
        <w:numPr>
          <w:ilvl w:val="0"/>
          <w:numId w:val="2"/>
        </w:numPr>
        <w:tabs>
          <w:tab w:val="left" w:pos="480"/>
        </w:tabs>
        <w:spacing w:after="80"/>
        <w:ind w:left="480"/>
        <w:rPr>
          <w:sz w:val="18"/>
        </w:rPr>
      </w:pPr>
      <w:r>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F3C6F" w:rsidP="008F3C6F" w14:paraId="282ECB6A" w14:textId="77777777">
      <w:pPr>
        <w:keepLines/>
        <w:tabs>
          <w:tab w:val="left" w:pos="360"/>
          <w:tab w:val="left" w:pos="720"/>
          <w:tab w:val="center" w:pos="1680"/>
          <w:tab w:val="center" w:pos="3120"/>
          <w:tab w:val="center" w:pos="4560"/>
          <w:tab w:val="center" w:pos="6000"/>
          <w:tab w:val="center" w:pos="7440"/>
          <w:tab w:val="center" w:pos="8880"/>
        </w:tabs>
        <w:ind w:left="360"/>
        <w:rPr>
          <w:sz w:val="18"/>
        </w:rPr>
      </w:pPr>
    </w:p>
    <w:tbl>
      <w:tblPr>
        <w:tblW w:w="10819" w:type="dxa"/>
        <w:tblCellSpacing w:w="0" w:type="dxa"/>
        <w:tblInd w:w="720" w:type="dxa"/>
        <w:tblCellMar>
          <w:left w:w="0" w:type="dxa"/>
          <w:right w:w="0" w:type="dxa"/>
        </w:tblCellMar>
        <w:tblLook w:val="0000"/>
      </w:tblPr>
      <w:tblGrid>
        <w:gridCol w:w="10819"/>
      </w:tblGrid>
      <w:tr w14:paraId="65ED6414" w14:textId="77777777" w:rsidTr="00C2619F">
        <w:tblPrEx>
          <w:tblW w:w="10819" w:type="dxa"/>
          <w:tblCellSpacing w:w="0" w:type="dxa"/>
          <w:tblInd w:w="720" w:type="dxa"/>
          <w:tblCellMar>
            <w:left w:w="0" w:type="dxa"/>
            <w:right w:w="0" w:type="dxa"/>
          </w:tblCellMar>
          <w:tblLook w:val="0000"/>
        </w:tblPrEx>
        <w:trPr>
          <w:trHeight w:val="270"/>
          <w:tblCellSpacing w:w="0" w:type="dxa"/>
        </w:trPr>
        <w:tc>
          <w:tcPr>
            <w:tcW w:w="0" w:type="auto"/>
          </w:tcPr>
          <w:p w:rsidR="008F3C6F" w:rsidRPr="009C797A" w:rsidP="00C2619F" w14:paraId="263E7654" w14:textId="77777777">
            <w:pPr>
              <w:overflowPunct/>
              <w:autoSpaceDE/>
              <w:autoSpaceDN/>
              <w:adjustRightInd/>
              <w:textAlignment w:val="auto"/>
              <w:rPr>
                <w:sz w:val="22"/>
                <w:szCs w:val="22"/>
              </w:rPr>
            </w:pPr>
            <w:r w:rsidRPr="009C797A">
              <w:rPr>
                <w:sz w:val="22"/>
                <w:szCs w:val="22"/>
              </w:rPr>
              <w:t xml:space="preserve">The annual reporting burden hours are based on estimated amounts of time for each action from the execution of a new ACC to the reporting of required information under specific sections of the ACC.  Amendments for funding are submitted annually; ACC-related information in lines other than line 22 is submitted once, on occurrence.       </w:t>
            </w:r>
          </w:p>
          <w:p w:rsidR="008F3C6F" w:rsidRPr="009C797A" w:rsidP="00C2619F" w14:paraId="454E3FAB" w14:textId="77777777">
            <w:pPr>
              <w:overflowPunct/>
              <w:autoSpaceDE/>
              <w:autoSpaceDN/>
              <w:adjustRightInd/>
              <w:textAlignment w:val="auto"/>
              <w:rPr>
                <w:sz w:val="24"/>
                <w:szCs w:val="24"/>
              </w:rPr>
            </w:pPr>
          </w:p>
        </w:tc>
      </w:tr>
    </w:tbl>
    <w:p w:rsidR="008F3C6F" w:rsidRPr="009C797A" w:rsidP="008F3C6F" w14:paraId="5F252EC0" w14:textId="77777777">
      <w:pPr>
        <w:ind w:left="703"/>
        <w:rPr>
          <w:sz w:val="22"/>
          <w:szCs w:val="22"/>
        </w:rPr>
      </w:pPr>
      <w:r w:rsidRPr="009C797A">
        <w:rPr>
          <w:sz w:val="22"/>
          <w:szCs w:val="22"/>
        </w:rPr>
        <w:t>The information collection, recordkeeping, and reporting requirements will result in the following approximate burden:</w:t>
      </w:r>
    </w:p>
    <w:p w:rsidR="008F3C6F" w:rsidP="008F3C6F" w14:paraId="307F73A3" w14:textId="77777777">
      <w:pPr>
        <w:tabs>
          <w:tab w:val="left" w:pos="6930"/>
        </w:tabs>
        <w:rPr>
          <w:sz w:val="24"/>
        </w:rPr>
      </w:pPr>
    </w:p>
    <w:tbl>
      <w:tblPr>
        <w:tblStyle w:val="TableGrid"/>
        <w:tblpPr w:leftFromText="180" w:rightFromText="180" w:vertAnchor="text" w:tblpY="1"/>
        <w:tblOverlap w:val="never"/>
        <w:tblW w:w="0" w:type="auto"/>
        <w:tblLayout w:type="fixed"/>
        <w:tblLook w:val="04A0"/>
      </w:tblPr>
      <w:tblGrid>
        <w:gridCol w:w="436"/>
        <w:gridCol w:w="4025"/>
        <w:gridCol w:w="1061"/>
        <w:gridCol w:w="1313"/>
        <w:gridCol w:w="900"/>
        <w:gridCol w:w="1194"/>
        <w:gridCol w:w="1596"/>
      </w:tblGrid>
      <w:tr w14:paraId="18FACCB1" w14:textId="77777777" w:rsidTr="00C2619F">
        <w:tblPrEx>
          <w:tblW w:w="0" w:type="auto"/>
          <w:tblLayout w:type="fixed"/>
          <w:tblLook w:val="04A0"/>
        </w:tblPrEx>
        <w:trPr>
          <w:trHeight w:val="615"/>
        </w:trPr>
        <w:tc>
          <w:tcPr>
            <w:tcW w:w="436" w:type="dxa"/>
            <w:vAlign w:val="center"/>
            <w:hideMark/>
          </w:tcPr>
          <w:p w:rsidR="008F3C6F" w:rsidRPr="005D59C1" w:rsidP="00C2619F" w14:paraId="2483FFAB" w14:textId="77777777">
            <w:pPr>
              <w:tabs>
                <w:tab w:val="left" w:pos="6930"/>
              </w:tabs>
              <w:jc w:val="center"/>
            </w:pPr>
          </w:p>
        </w:tc>
        <w:tc>
          <w:tcPr>
            <w:tcW w:w="4025" w:type="dxa"/>
            <w:vAlign w:val="center"/>
            <w:hideMark/>
          </w:tcPr>
          <w:p w:rsidR="008F3C6F" w:rsidRPr="005D59C1" w:rsidP="00C2619F" w14:paraId="76F41996" w14:textId="77777777">
            <w:pPr>
              <w:tabs>
                <w:tab w:val="left" w:pos="6930"/>
              </w:tabs>
              <w:jc w:val="center"/>
            </w:pPr>
            <w:r w:rsidRPr="005D59C1">
              <w:t>ACC Provision</w:t>
            </w:r>
            <w:r>
              <w:t>s/HUD Form</w:t>
            </w:r>
          </w:p>
        </w:tc>
        <w:tc>
          <w:tcPr>
            <w:tcW w:w="1061" w:type="dxa"/>
            <w:vAlign w:val="center"/>
            <w:hideMark/>
          </w:tcPr>
          <w:p w:rsidR="008F3C6F" w:rsidRPr="005D59C1" w:rsidP="00C2619F" w14:paraId="0D8680DD" w14:textId="77777777">
            <w:pPr>
              <w:tabs>
                <w:tab w:val="left" w:pos="6930"/>
              </w:tabs>
              <w:jc w:val="center"/>
            </w:pPr>
            <w:r w:rsidRPr="005D59C1">
              <w:t>Total Responses</w:t>
            </w:r>
          </w:p>
        </w:tc>
        <w:tc>
          <w:tcPr>
            <w:tcW w:w="1313" w:type="dxa"/>
            <w:vAlign w:val="center"/>
            <w:hideMark/>
          </w:tcPr>
          <w:p w:rsidR="008F3C6F" w:rsidRPr="005D59C1" w:rsidP="00C2619F" w14:paraId="7C0A4B04" w14:textId="77777777">
            <w:pPr>
              <w:tabs>
                <w:tab w:val="left" w:pos="6930"/>
              </w:tabs>
              <w:jc w:val="center"/>
            </w:pPr>
            <w:r w:rsidRPr="005D59C1">
              <w:t>Burden hours per response</w:t>
            </w:r>
          </w:p>
        </w:tc>
        <w:tc>
          <w:tcPr>
            <w:tcW w:w="900" w:type="dxa"/>
            <w:vAlign w:val="center"/>
            <w:hideMark/>
          </w:tcPr>
          <w:p w:rsidR="008F3C6F" w:rsidRPr="005D59C1" w:rsidP="00C2619F" w14:paraId="31ECC327" w14:textId="77777777">
            <w:pPr>
              <w:tabs>
                <w:tab w:val="left" w:pos="6930"/>
              </w:tabs>
              <w:jc w:val="center"/>
            </w:pPr>
            <w:r w:rsidRPr="005D59C1">
              <w:t>Total Hours</w:t>
            </w:r>
          </w:p>
        </w:tc>
        <w:tc>
          <w:tcPr>
            <w:tcW w:w="1194" w:type="dxa"/>
            <w:vAlign w:val="center"/>
            <w:hideMark/>
          </w:tcPr>
          <w:p w:rsidR="008F3C6F" w:rsidRPr="005D59C1" w:rsidP="00C2619F" w14:paraId="63077BD1" w14:textId="77777777">
            <w:pPr>
              <w:tabs>
                <w:tab w:val="left" w:pos="6930"/>
              </w:tabs>
              <w:jc w:val="center"/>
            </w:pPr>
            <w:r w:rsidRPr="005D59C1">
              <w:t>Cost per hour</w:t>
            </w:r>
          </w:p>
        </w:tc>
        <w:tc>
          <w:tcPr>
            <w:tcW w:w="1596" w:type="dxa"/>
            <w:vAlign w:val="center"/>
            <w:hideMark/>
          </w:tcPr>
          <w:p w:rsidR="008F3C6F" w:rsidRPr="005D59C1" w:rsidP="00C2619F" w14:paraId="3125FA29" w14:textId="77777777">
            <w:pPr>
              <w:tabs>
                <w:tab w:val="left" w:pos="6930"/>
              </w:tabs>
              <w:jc w:val="center"/>
            </w:pPr>
            <w:r w:rsidRPr="005D59C1">
              <w:t>($) Total Cost</w:t>
            </w:r>
          </w:p>
        </w:tc>
      </w:tr>
      <w:tr w14:paraId="78F681C7" w14:textId="77777777" w:rsidTr="00C2619F">
        <w:tblPrEx>
          <w:tblW w:w="0" w:type="auto"/>
          <w:tblLayout w:type="fixed"/>
          <w:tblLook w:val="04A0"/>
        </w:tblPrEx>
        <w:trPr>
          <w:trHeight w:val="509"/>
        </w:trPr>
        <w:tc>
          <w:tcPr>
            <w:tcW w:w="436" w:type="dxa"/>
            <w:vAlign w:val="center"/>
            <w:hideMark/>
          </w:tcPr>
          <w:p w:rsidR="008F3C6F" w:rsidRPr="005D59C1" w:rsidP="00C2619F" w14:paraId="688B54F3" w14:textId="77777777">
            <w:pPr>
              <w:tabs>
                <w:tab w:val="left" w:pos="6930"/>
              </w:tabs>
              <w:jc w:val="center"/>
            </w:pPr>
            <w:bookmarkStart w:id="0" w:name="_Hlk130376916"/>
            <w:r w:rsidRPr="005D59C1">
              <w:t>1</w:t>
            </w:r>
          </w:p>
        </w:tc>
        <w:tc>
          <w:tcPr>
            <w:tcW w:w="4025" w:type="dxa"/>
            <w:vAlign w:val="center"/>
            <w:hideMark/>
          </w:tcPr>
          <w:p w:rsidR="008F3C6F" w:rsidRPr="005D59C1" w:rsidP="00C2619F" w14:paraId="4446E663" w14:textId="77777777">
            <w:pPr>
              <w:tabs>
                <w:tab w:val="left" w:pos="6930"/>
              </w:tabs>
            </w:pPr>
            <w:r w:rsidRPr="005D59C1">
              <w:t xml:space="preserve">Amend ACC for Capital Fund Finance </w:t>
            </w:r>
          </w:p>
        </w:tc>
        <w:tc>
          <w:tcPr>
            <w:tcW w:w="1061" w:type="dxa"/>
            <w:vAlign w:val="center"/>
            <w:hideMark/>
          </w:tcPr>
          <w:p w:rsidR="008F3C6F" w:rsidRPr="005D59C1" w:rsidP="00C2619F" w14:paraId="6F014452" w14:textId="77777777">
            <w:pPr>
              <w:tabs>
                <w:tab w:val="left" w:pos="6930"/>
              </w:tabs>
              <w:jc w:val="center"/>
            </w:pPr>
            <w:r>
              <w:t>10</w:t>
            </w:r>
          </w:p>
        </w:tc>
        <w:tc>
          <w:tcPr>
            <w:tcW w:w="1313" w:type="dxa"/>
            <w:vAlign w:val="center"/>
            <w:hideMark/>
          </w:tcPr>
          <w:p w:rsidR="008F3C6F" w:rsidRPr="005D59C1" w:rsidP="00C2619F" w14:paraId="1EA6EE42" w14:textId="77777777">
            <w:pPr>
              <w:tabs>
                <w:tab w:val="left" w:pos="6930"/>
              </w:tabs>
              <w:jc w:val="center"/>
            </w:pPr>
            <w:r w:rsidRPr="005D59C1">
              <w:t>10.8</w:t>
            </w:r>
          </w:p>
        </w:tc>
        <w:tc>
          <w:tcPr>
            <w:tcW w:w="900" w:type="dxa"/>
            <w:vAlign w:val="center"/>
            <w:hideMark/>
          </w:tcPr>
          <w:p w:rsidR="008F3C6F" w:rsidRPr="005D59C1" w:rsidP="00C2619F" w14:paraId="050F262F" w14:textId="77777777">
            <w:pPr>
              <w:tabs>
                <w:tab w:val="left" w:pos="6930"/>
              </w:tabs>
              <w:jc w:val="center"/>
            </w:pPr>
            <w:r>
              <w:t>108</w:t>
            </w:r>
          </w:p>
        </w:tc>
        <w:tc>
          <w:tcPr>
            <w:tcW w:w="1194" w:type="dxa"/>
            <w:vAlign w:val="center"/>
            <w:hideMark/>
          </w:tcPr>
          <w:p w:rsidR="008F3C6F" w:rsidRPr="005D59C1" w:rsidP="00C2619F" w14:paraId="31388223" w14:textId="77777777">
            <w:pPr>
              <w:tabs>
                <w:tab w:val="left" w:pos="6930"/>
              </w:tabs>
              <w:jc w:val="center"/>
            </w:pPr>
            <w:r w:rsidRPr="005D59C1">
              <w:t>$</w:t>
            </w:r>
            <w:r>
              <w:t>44.56</w:t>
            </w:r>
          </w:p>
        </w:tc>
        <w:tc>
          <w:tcPr>
            <w:tcW w:w="1596" w:type="dxa"/>
            <w:vAlign w:val="center"/>
            <w:hideMark/>
          </w:tcPr>
          <w:p w:rsidR="008F3C6F" w:rsidRPr="00BF7396" w:rsidP="00C2619F" w14:paraId="5FE540DF" w14:textId="77777777">
            <w:pPr>
              <w:tabs>
                <w:tab w:val="left" w:pos="6930"/>
              </w:tabs>
              <w:jc w:val="center"/>
              <w:rPr>
                <w:highlight w:val="yellow"/>
              </w:rPr>
            </w:pPr>
            <w:r>
              <w:t xml:space="preserve"> </w:t>
            </w:r>
            <w:r w:rsidRPr="00F45C10">
              <w:t>$4,812</w:t>
            </w:r>
          </w:p>
        </w:tc>
      </w:tr>
      <w:tr w14:paraId="2E7C43EA" w14:textId="77777777" w:rsidTr="00C2619F">
        <w:tblPrEx>
          <w:tblW w:w="0" w:type="auto"/>
          <w:tblLayout w:type="fixed"/>
          <w:tblLook w:val="04A0"/>
        </w:tblPrEx>
        <w:trPr>
          <w:trHeight w:val="615"/>
        </w:trPr>
        <w:tc>
          <w:tcPr>
            <w:tcW w:w="436" w:type="dxa"/>
            <w:vAlign w:val="center"/>
            <w:hideMark/>
          </w:tcPr>
          <w:p w:rsidR="008F3C6F" w:rsidRPr="005D59C1" w:rsidP="00C2619F" w14:paraId="23DD962C" w14:textId="77777777">
            <w:pPr>
              <w:tabs>
                <w:tab w:val="left" w:pos="6930"/>
              </w:tabs>
              <w:jc w:val="center"/>
            </w:pPr>
            <w:r>
              <w:t>2</w:t>
            </w:r>
          </w:p>
        </w:tc>
        <w:tc>
          <w:tcPr>
            <w:tcW w:w="4025" w:type="dxa"/>
            <w:vAlign w:val="center"/>
          </w:tcPr>
          <w:p w:rsidR="008F3C6F" w:rsidRPr="005D59C1" w:rsidP="00C2619F" w14:paraId="06D6D899" w14:textId="77777777">
            <w:pPr>
              <w:tabs>
                <w:tab w:val="left" w:pos="6930"/>
              </w:tabs>
            </w:pPr>
            <w:r w:rsidRPr="005D59C1">
              <w:t xml:space="preserve">Amend ACC for </w:t>
            </w:r>
            <w:r>
              <w:t xml:space="preserve">Annual </w:t>
            </w:r>
            <w:r w:rsidRPr="005D59C1">
              <w:t>Capital</w:t>
            </w:r>
            <w:r>
              <w:t xml:space="preserve"> Fund Formula</w:t>
            </w:r>
            <w:r w:rsidRPr="005D59C1">
              <w:t xml:space="preserve"> Grant</w:t>
            </w:r>
            <w:r>
              <w:t xml:space="preserve"> </w:t>
            </w:r>
            <w:r w:rsidRPr="005D59C1">
              <w:t>via form HUD 52840-A</w:t>
            </w:r>
          </w:p>
        </w:tc>
        <w:tc>
          <w:tcPr>
            <w:tcW w:w="1061" w:type="dxa"/>
            <w:vAlign w:val="center"/>
          </w:tcPr>
          <w:p w:rsidR="008F3C6F" w:rsidRPr="005D59C1" w:rsidP="00C2619F" w14:paraId="7B402B69" w14:textId="77777777">
            <w:pPr>
              <w:tabs>
                <w:tab w:val="left" w:pos="6930"/>
              </w:tabs>
              <w:jc w:val="center"/>
            </w:pPr>
            <w:r>
              <w:t>2,770</w:t>
            </w:r>
          </w:p>
        </w:tc>
        <w:tc>
          <w:tcPr>
            <w:tcW w:w="1313" w:type="dxa"/>
            <w:vAlign w:val="center"/>
          </w:tcPr>
          <w:p w:rsidR="008F3C6F" w:rsidRPr="005D59C1" w:rsidP="00C2619F" w14:paraId="67CE666F" w14:textId="77777777">
            <w:pPr>
              <w:tabs>
                <w:tab w:val="left" w:pos="6930"/>
              </w:tabs>
              <w:jc w:val="center"/>
            </w:pPr>
            <w:r w:rsidRPr="005D59C1">
              <w:t>3.9</w:t>
            </w:r>
          </w:p>
        </w:tc>
        <w:tc>
          <w:tcPr>
            <w:tcW w:w="900" w:type="dxa"/>
            <w:vAlign w:val="center"/>
          </w:tcPr>
          <w:p w:rsidR="008F3C6F" w:rsidRPr="005D59C1" w:rsidP="00C2619F" w14:paraId="743CA3F0" w14:textId="77777777">
            <w:pPr>
              <w:tabs>
                <w:tab w:val="left" w:pos="6930"/>
              </w:tabs>
              <w:jc w:val="center"/>
            </w:pPr>
            <w:r>
              <w:t>10,803</w:t>
            </w:r>
          </w:p>
        </w:tc>
        <w:tc>
          <w:tcPr>
            <w:tcW w:w="1194" w:type="dxa"/>
            <w:vAlign w:val="center"/>
          </w:tcPr>
          <w:p w:rsidR="008F3C6F" w:rsidRPr="005D59C1" w:rsidP="00C2619F" w14:paraId="556A1271" w14:textId="77777777">
            <w:pPr>
              <w:tabs>
                <w:tab w:val="left" w:pos="6930"/>
              </w:tabs>
              <w:jc w:val="center"/>
            </w:pPr>
            <w:r w:rsidRPr="005D59C1">
              <w:t>$</w:t>
            </w:r>
            <w:r>
              <w:t>44.56</w:t>
            </w:r>
          </w:p>
        </w:tc>
        <w:tc>
          <w:tcPr>
            <w:tcW w:w="1596" w:type="dxa"/>
            <w:vAlign w:val="center"/>
          </w:tcPr>
          <w:p w:rsidR="008F3C6F" w:rsidRPr="00F12939" w:rsidP="00C2619F" w14:paraId="61525463" w14:textId="77777777">
            <w:pPr>
              <w:tabs>
                <w:tab w:val="left" w:pos="6930"/>
              </w:tabs>
              <w:jc w:val="center"/>
            </w:pPr>
            <w:r w:rsidRPr="00F12939">
              <w:t>$481,382</w:t>
            </w:r>
          </w:p>
        </w:tc>
      </w:tr>
      <w:tr w14:paraId="60802783" w14:textId="77777777" w:rsidTr="00C2619F">
        <w:tblPrEx>
          <w:tblW w:w="0" w:type="auto"/>
          <w:tblLayout w:type="fixed"/>
          <w:tblLook w:val="04A0"/>
        </w:tblPrEx>
        <w:trPr>
          <w:trHeight w:val="315"/>
        </w:trPr>
        <w:tc>
          <w:tcPr>
            <w:tcW w:w="436" w:type="dxa"/>
            <w:vAlign w:val="center"/>
            <w:hideMark/>
          </w:tcPr>
          <w:p w:rsidR="008F3C6F" w:rsidRPr="005D59C1" w:rsidP="00C2619F" w14:paraId="70463BB3" w14:textId="77777777">
            <w:pPr>
              <w:tabs>
                <w:tab w:val="left" w:pos="6930"/>
              </w:tabs>
              <w:jc w:val="center"/>
            </w:pPr>
            <w:r>
              <w:t>3</w:t>
            </w:r>
          </w:p>
        </w:tc>
        <w:tc>
          <w:tcPr>
            <w:tcW w:w="4025" w:type="dxa"/>
            <w:vAlign w:val="center"/>
          </w:tcPr>
          <w:p w:rsidR="008F3C6F" w:rsidRPr="005D59C1" w:rsidP="00C2619F" w14:paraId="516D3E1C" w14:textId="77777777">
            <w:pPr>
              <w:tabs>
                <w:tab w:val="left" w:pos="6930"/>
              </w:tabs>
            </w:pPr>
            <w:r w:rsidRPr="005D59C1">
              <w:t>Amend ACC for Emergency Capital Fund Grant</w:t>
            </w:r>
          </w:p>
        </w:tc>
        <w:tc>
          <w:tcPr>
            <w:tcW w:w="1061" w:type="dxa"/>
            <w:vAlign w:val="center"/>
          </w:tcPr>
          <w:p w:rsidR="008F3C6F" w:rsidRPr="005D59C1" w:rsidP="00C2619F" w14:paraId="66F48A37" w14:textId="77777777">
            <w:pPr>
              <w:tabs>
                <w:tab w:val="left" w:pos="6930"/>
              </w:tabs>
              <w:jc w:val="center"/>
            </w:pPr>
            <w:r w:rsidRPr="005D59C1">
              <w:t>38</w:t>
            </w:r>
          </w:p>
        </w:tc>
        <w:tc>
          <w:tcPr>
            <w:tcW w:w="1313" w:type="dxa"/>
            <w:vAlign w:val="center"/>
          </w:tcPr>
          <w:p w:rsidR="008F3C6F" w:rsidRPr="005D59C1" w:rsidP="00C2619F" w14:paraId="4E675C36" w14:textId="77777777">
            <w:pPr>
              <w:tabs>
                <w:tab w:val="left" w:pos="6930"/>
              </w:tabs>
              <w:jc w:val="center"/>
            </w:pPr>
            <w:r w:rsidRPr="005D59C1">
              <w:t>2.6</w:t>
            </w:r>
          </w:p>
        </w:tc>
        <w:tc>
          <w:tcPr>
            <w:tcW w:w="900" w:type="dxa"/>
            <w:vAlign w:val="center"/>
          </w:tcPr>
          <w:p w:rsidR="008F3C6F" w:rsidRPr="005D59C1" w:rsidP="00C2619F" w14:paraId="6E496399" w14:textId="77777777">
            <w:pPr>
              <w:tabs>
                <w:tab w:val="left" w:pos="6930"/>
              </w:tabs>
              <w:jc w:val="center"/>
            </w:pPr>
            <w:r w:rsidRPr="005D59C1">
              <w:t>99</w:t>
            </w:r>
          </w:p>
        </w:tc>
        <w:tc>
          <w:tcPr>
            <w:tcW w:w="1194" w:type="dxa"/>
            <w:vAlign w:val="center"/>
          </w:tcPr>
          <w:p w:rsidR="008F3C6F" w:rsidRPr="005D59C1" w:rsidP="00C2619F" w14:paraId="107ED893" w14:textId="77777777">
            <w:pPr>
              <w:tabs>
                <w:tab w:val="left" w:pos="6930"/>
              </w:tabs>
              <w:jc w:val="center"/>
            </w:pPr>
            <w:r w:rsidRPr="005D59C1">
              <w:t>$</w:t>
            </w:r>
            <w:r>
              <w:t>44.56</w:t>
            </w:r>
          </w:p>
        </w:tc>
        <w:tc>
          <w:tcPr>
            <w:tcW w:w="1596" w:type="dxa"/>
            <w:vAlign w:val="center"/>
          </w:tcPr>
          <w:p w:rsidR="008F3C6F" w:rsidRPr="00F12939" w:rsidP="00C2619F" w14:paraId="6D4739C5" w14:textId="77777777">
            <w:pPr>
              <w:tabs>
                <w:tab w:val="left" w:pos="6930"/>
              </w:tabs>
              <w:jc w:val="center"/>
            </w:pPr>
            <w:r w:rsidRPr="00F12939">
              <w:t>$3,905</w:t>
            </w:r>
          </w:p>
        </w:tc>
      </w:tr>
      <w:tr w14:paraId="3A9F9A20" w14:textId="77777777" w:rsidTr="00C2619F">
        <w:tblPrEx>
          <w:tblW w:w="0" w:type="auto"/>
          <w:tblLayout w:type="fixed"/>
          <w:tblLook w:val="04A0"/>
        </w:tblPrEx>
        <w:trPr>
          <w:trHeight w:val="302"/>
        </w:trPr>
        <w:tc>
          <w:tcPr>
            <w:tcW w:w="436" w:type="dxa"/>
            <w:vAlign w:val="center"/>
            <w:hideMark/>
          </w:tcPr>
          <w:p w:rsidR="008F3C6F" w:rsidRPr="005D59C1" w:rsidP="00C2619F" w14:paraId="2F78AAA0" w14:textId="77777777">
            <w:pPr>
              <w:tabs>
                <w:tab w:val="left" w:pos="6930"/>
              </w:tabs>
              <w:jc w:val="center"/>
            </w:pPr>
            <w:r>
              <w:t>4</w:t>
            </w:r>
          </w:p>
        </w:tc>
        <w:tc>
          <w:tcPr>
            <w:tcW w:w="4025" w:type="dxa"/>
            <w:vAlign w:val="center"/>
          </w:tcPr>
          <w:p w:rsidR="008F3C6F" w:rsidRPr="005D59C1" w:rsidP="00C2619F" w14:paraId="43369464" w14:textId="77777777">
            <w:pPr>
              <w:tabs>
                <w:tab w:val="left" w:pos="6930"/>
              </w:tabs>
            </w:pPr>
            <w:r w:rsidRPr="005D59C1">
              <w:t>Amend ACC Capital Fund for Safety and Security</w:t>
            </w:r>
          </w:p>
        </w:tc>
        <w:tc>
          <w:tcPr>
            <w:tcW w:w="1061" w:type="dxa"/>
            <w:vAlign w:val="center"/>
          </w:tcPr>
          <w:p w:rsidR="008F3C6F" w:rsidRPr="005D59C1" w:rsidP="00C2619F" w14:paraId="1FE7991F" w14:textId="77777777">
            <w:pPr>
              <w:tabs>
                <w:tab w:val="left" w:pos="6930"/>
              </w:tabs>
              <w:jc w:val="center"/>
            </w:pPr>
            <w:r w:rsidRPr="005D59C1">
              <w:t>75</w:t>
            </w:r>
          </w:p>
        </w:tc>
        <w:tc>
          <w:tcPr>
            <w:tcW w:w="1313" w:type="dxa"/>
            <w:vAlign w:val="center"/>
          </w:tcPr>
          <w:p w:rsidR="008F3C6F" w:rsidRPr="005D59C1" w:rsidP="00C2619F" w14:paraId="12E9F71B" w14:textId="77777777">
            <w:pPr>
              <w:tabs>
                <w:tab w:val="left" w:pos="6930"/>
              </w:tabs>
              <w:jc w:val="center"/>
            </w:pPr>
            <w:r w:rsidRPr="005D59C1">
              <w:t>1.3</w:t>
            </w:r>
          </w:p>
        </w:tc>
        <w:tc>
          <w:tcPr>
            <w:tcW w:w="900" w:type="dxa"/>
            <w:vAlign w:val="center"/>
          </w:tcPr>
          <w:p w:rsidR="008F3C6F" w:rsidRPr="005D59C1" w:rsidP="00C2619F" w14:paraId="34B98D2B" w14:textId="77777777">
            <w:pPr>
              <w:tabs>
                <w:tab w:val="left" w:pos="6930"/>
              </w:tabs>
              <w:jc w:val="center"/>
            </w:pPr>
            <w:r w:rsidRPr="005D59C1">
              <w:t>98</w:t>
            </w:r>
          </w:p>
        </w:tc>
        <w:tc>
          <w:tcPr>
            <w:tcW w:w="1194" w:type="dxa"/>
            <w:vAlign w:val="center"/>
          </w:tcPr>
          <w:p w:rsidR="008F3C6F" w:rsidRPr="005D59C1" w:rsidP="00C2619F" w14:paraId="4D69739A" w14:textId="77777777">
            <w:pPr>
              <w:tabs>
                <w:tab w:val="left" w:pos="6930"/>
              </w:tabs>
              <w:jc w:val="center"/>
            </w:pPr>
            <w:r w:rsidRPr="005D59C1">
              <w:t>$</w:t>
            </w:r>
            <w:r>
              <w:t>44.56</w:t>
            </w:r>
          </w:p>
        </w:tc>
        <w:tc>
          <w:tcPr>
            <w:tcW w:w="1596" w:type="dxa"/>
            <w:vAlign w:val="center"/>
          </w:tcPr>
          <w:p w:rsidR="008F3C6F" w:rsidRPr="00F12939" w:rsidP="00C2619F" w14:paraId="6184B1A3" w14:textId="77777777">
            <w:pPr>
              <w:tabs>
                <w:tab w:val="left" w:pos="6930"/>
              </w:tabs>
              <w:jc w:val="center"/>
            </w:pPr>
            <w:r w:rsidRPr="00F12939">
              <w:t>$3,865</w:t>
            </w:r>
          </w:p>
        </w:tc>
      </w:tr>
      <w:tr w14:paraId="519B2698" w14:textId="77777777" w:rsidTr="00C2619F">
        <w:tblPrEx>
          <w:tblW w:w="0" w:type="auto"/>
          <w:tblLayout w:type="fixed"/>
          <w:tblLook w:val="04A0"/>
        </w:tblPrEx>
        <w:trPr>
          <w:trHeight w:val="347"/>
        </w:trPr>
        <w:tc>
          <w:tcPr>
            <w:tcW w:w="436" w:type="dxa"/>
            <w:vAlign w:val="center"/>
            <w:hideMark/>
          </w:tcPr>
          <w:p w:rsidR="008F3C6F" w:rsidRPr="005D59C1" w:rsidP="00C2619F" w14:paraId="17E88449" w14:textId="77777777">
            <w:pPr>
              <w:tabs>
                <w:tab w:val="left" w:pos="6930"/>
              </w:tabs>
              <w:jc w:val="center"/>
            </w:pPr>
            <w:r>
              <w:t>5</w:t>
            </w:r>
          </w:p>
        </w:tc>
        <w:tc>
          <w:tcPr>
            <w:tcW w:w="4025" w:type="dxa"/>
            <w:vAlign w:val="center"/>
          </w:tcPr>
          <w:p w:rsidR="008F3C6F" w:rsidRPr="005D59C1" w:rsidP="00C2619F" w14:paraId="4E27A302" w14:textId="77777777">
            <w:pPr>
              <w:tabs>
                <w:tab w:val="left" w:pos="6930"/>
              </w:tabs>
            </w:pPr>
            <w:r w:rsidRPr="005D59C1">
              <w:t xml:space="preserve">Amend ACC to Recapture </w:t>
            </w:r>
            <w:r>
              <w:t xml:space="preserve">Annual </w:t>
            </w:r>
            <w:r w:rsidRPr="005D59C1">
              <w:t xml:space="preserve">Capital Fund </w:t>
            </w:r>
            <w:r>
              <w:t xml:space="preserve">Formula </w:t>
            </w:r>
            <w:r w:rsidRPr="005D59C1">
              <w:t>Grant</w:t>
            </w:r>
            <w:r>
              <w:t xml:space="preserve"> </w:t>
            </w:r>
            <w:r w:rsidRPr="005D59C1">
              <w:t>via form HUD 52840-A</w:t>
            </w:r>
          </w:p>
        </w:tc>
        <w:tc>
          <w:tcPr>
            <w:tcW w:w="1061" w:type="dxa"/>
            <w:vAlign w:val="center"/>
          </w:tcPr>
          <w:p w:rsidR="008F3C6F" w:rsidRPr="005D59C1" w:rsidP="00C2619F" w14:paraId="61A5704C" w14:textId="77777777">
            <w:pPr>
              <w:tabs>
                <w:tab w:val="left" w:pos="6930"/>
              </w:tabs>
              <w:jc w:val="center"/>
            </w:pPr>
            <w:r w:rsidRPr="005D59C1">
              <w:t>123</w:t>
            </w:r>
          </w:p>
        </w:tc>
        <w:tc>
          <w:tcPr>
            <w:tcW w:w="1313" w:type="dxa"/>
            <w:vAlign w:val="center"/>
          </w:tcPr>
          <w:p w:rsidR="008F3C6F" w:rsidRPr="005D59C1" w:rsidP="00C2619F" w14:paraId="22D1F505" w14:textId="77777777">
            <w:pPr>
              <w:tabs>
                <w:tab w:val="left" w:pos="6930"/>
              </w:tabs>
              <w:jc w:val="center"/>
            </w:pPr>
            <w:r w:rsidRPr="005D59C1">
              <w:t>5.2</w:t>
            </w:r>
          </w:p>
        </w:tc>
        <w:tc>
          <w:tcPr>
            <w:tcW w:w="900" w:type="dxa"/>
            <w:vAlign w:val="center"/>
          </w:tcPr>
          <w:p w:rsidR="008F3C6F" w:rsidRPr="005D59C1" w:rsidP="00C2619F" w14:paraId="6BB17963" w14:textId="77777777">
            <w:pPr>
              <w:tabs>
                <w:tab w:val="left" w:pos="6930"/>
              </w:tabs>
              <w:jc w:val="center"/>
            </w:pPr>
            <w:r w:rsidRPr="005D59C1">
              <w:t>640</w:t>
            </w:r>
          </w:p>
        </w:tc>
        <w:tc>
          <w:tcPr>
            <w:tcW w:w="1194" w:type="dxa"/>
            <w:vAlign w:val="center"/>
          </w:tcPr>
          <w:p w:rsidR="008F3C6F" w:rsidRPr="005D59C1" w:rsidP="00C2619F" w14:paraId="128AAA20" w14:textId="77777777">
            <w:pPr>
              <w:tabs>
                <w:tab w:val="left" w:pos="6930"/>
              </w:tabs>
              <w:jc w:val="center"/>
            </w:pPr>
            <w:r w:rsidRPr="005D59C1">
              <w:t>$</w:t>
            </w:r>
            <w:r>
              <w:t>44.56</w:t>
            </w:r>
          </w:p>
        </w:tc>
        <w:tc>
          <w:tcPr>
            <w:tcW w:w="1596" w:type="dxa"/>
            <w:vAlign w:val="center"/>
          </w:tcPr>
          <w:p w:rsidR="008F3C6F" w:rsidRPr="00F12939" w:rsidP="00C2619F" w14:paraId="6CAD5B79" w14:textId="77777777">
            <w:pPr>
              <w:tabs>
                <w:tab w:val="left" w:pos="6930"/>
              </w:tabs>
              <w:jc w:val="center"/>
            </w:pPr>
            <w:r w:rsidRPr="00F12939">
              <w:t>$25,242</w:t>
            </w:r>
          </w:p>
        </w:tc>
      </w:tr>
      <w:tr w14:paraId="6B550F8F" w14:textId="77777777" w:rsidTr="00C2619F">
        <w:tblPrEx>
          <w:tblW w:w="0" w:type="auto"/>
          <w:tblLayout w:type="fixed"/>
          <w:tblLook w:val="04A0"/>
        </w:tblPrEx>
        <w:trPr>
          <w:trHeight w:val="315"/>
        </w:trPr>
        <w:tc>
          <w:tcPr>
            <w:tcW w:w="436" w:type="dxa"/>
            <w:vAlign w:val="center"/>
            <w:hideMark/>
          </w:tcPr>
          <w:p w:rsidR="008F3C6F" w:rsidRPr="005D59C1" w:rsidP="00C2619F" w14:paraId="482475F3" w14:textId="77777777">
            <w:pPr>
              <w:tabs>
                <w:tab w:val="left" w:pos="6930"/>
              </w:tabs>
              <w:jc w:val="center"/>
            </w:pPr>
            <w:r>
              <w:t>6</w:t>
            </w:r>
          </w:p>
        </w:tc>
        <w:tc>
          <w:tcPr>
            <w:tcW w:w="4025" w:type="dxa"/>
            <w:vAlign w:val="center"/>
          </w:tcPr>
          <w:p w:rsidR="008F3C6F" w:rsidRPr="005D59C1" w:rsidP="00C2619F" w14:paraId="39CDD839" w14:textId="77777777">
            <w:pPr>
              <w:tabs>
                <w:tab w:val="left" w:pos="6930"/>
              </w:tabs>
            </w:pPr>
            <w:r w:rsidRPr="005D59C1">
              <w:t>Amend ACC for Energy Performance Contract</w:t>
            </w:r>
          </w:p>
        </w:tc>
        <w:tc>
          <w:tcPr>
            <w:tcW w:w="1061" w:type="dxa"/>
            <w:vAlign w:val="center"/>
          </w:tcPr>
          <w:p w:rsidR="008F3C6F" w:rsidRPr="005D59C1" w:rsidP="00C2619F" w14:paraId="28ECE098" w14:textId="77777777">
            <w:pPr>
              <w:tabs>
                <w:tab w:val="left" w:pos="6930"/>
              </w:tabs>
              <w:jc w:val="center"/>
            </w:pPr>
            <w:r w:rsidRPr="005D59C1">
              <w:t>38</w:t>
            </w:r>
          </w:p>
        </w:tc>
        <w:tc>
          <w:tcPr>
            <w:tcW w:w="1313" w:type="dxa"/>
            <w:vAlign w:val="center"/>
          </w:tcPr>
          <w:p w:rsidR="008F3C6F" w:rsidRPr="005D59C1" w:rsidP="00C2619F" w14:paraId="2270F18D" w14:textId="77777777">
            <w:pPr>
              <w:tabs>
                <w:tab w:val="left" w:pos="6930"/>
              </w:tabs>
              <w:jc w:val="center"/>
            </w:pPr>
            <w:r w:rsidRPr="005D59C1">
              <w:t>5.1</w:t>
            </w:r>
          </w:p>
        </w:tc>
        <w:tc>
          <w:tcPr>
            <w:tcW w:w="900" w:type="dxa"/>
            <w:vAlign w:val="center"/>
          </w:tcPr>
          <w:p w:rsidR="008F3C6F" w:rsidRPr="005D59C1" w:rsidP="00C2619F" w14:paraId="61EF68E4" w14:textId="77777777">
            <w:pPr>
              <w:tabs>
                <w:tab w:val="left" w:pos="6930"/>
              </w:tabs>
              <w:jc w:val="center"/>
            </w:pPr>
            <w:r w:rsidRPr="005D59C1">
              <w:t>194</w:t>
            </w:r>
          </w:p>
        </w:tc>
        <w:tc>
          <w:tcPr>
            <w:tcW w:w="1194" w:type="dxa"/>
            <w:vAlign w:val="center"/>
          </w:tcPr>
          <w:p w:rsidR="008F3C6F" w:rsidRPr="005D59C1" w:rsidP="00C2619F" w14:paraId="3897D549" w14:textId="77777777">
            <w:pPr>
              <w:tabs>
                <w:tab w:val="left" w:pos="6930"/>
              </w:tabs>
              <w:jc w:val="center"/>
            </w:pPr>
            <w:r w:rsidRPr="005D59C1">
              <w:t>$</w:t>
            </w:r>
            <w:r>
              <w:t>44.56</w:t>
            </w:r>
          </w:p>
        </w:tc>
        <w:tc>
          <w:tcPr>
            <w:tcW w:w="1596" w:type="dxa"/>
            <w:vAlign w:val="center"/>
          </w:tcPr>
          <w:p w:rsidR="008F3C6F" w:rsidRPr="00F12939" w:rsidP="00C2619F" w14:paraId="33DE1EEC" w14:textId="77777777">
            <w:pPr>
              <w:tabs>
                <w:tab w:val="left" w:pos="6930"/>
              </w:tabs>
              <w:jc w:val="center"/>
            </w:pPr>
            <w:r w:rsidRPr="00F12939">
              <w:t>$7,651</w:t>
            </w:r>
          </w:p>
        </w:tc>
      </w:tr>
      <w:bookmarkEnd w:id="0"/>
      <w:tr w14:paraId="03DA49FD" w14:textId="77777777" w:rsidTr="00C2619F">
        <w:tblPrEx>
          <w:tblW w:w="0" w:type="auto"/>
          <w:tblLayout w:type="fixed"/>
          <w:tblLook w:val="04A0"/>
        </w:tblPrEx>
        <w:trPr>
          <w:trHeight w:val="315"/>
        </w:trPr>
        <w:tc>
          <w:tcPr>
            <w:tcW w:w="436" w:type="dxa"/>
            <w:vAlign w:val="center"/>
            <w:hideMark/>
          </w:tcPr>
          <w:p w:rsidR="008F3C6F" w:rsidRPr="005D59C1" w:rsidP="00C2619F" w14:paraId="3942DA42" w14:textId="77777777">
            <w:pPr>
              <w:tabs>
                <w:tab w:val="left" w:pos="6930"/>
              </w:tabs>
              <w:jc w:val="center"/>
            </w:pPr>
          </w:p>
        </w:tc>
        <w:tc>
          <w:tcPr>
            <w:tcW w:w="4025" w:type="dxa"/>
            <w:vAlign w:val="center"/>
            <w:hideMark/>
          </w:tcPr>
          <w:p w:rsidR="008F3C6F" w:rsidRPr="005D59C1" w:rsidP="00C2619F" w14:paraId="54BBF2D0" w14:textId="77777777">
            <w:pPr>
              <w:tabs>
                <w:tab w:val="left" w:pos="6930"/>
              </w:tabs>
              <w:jc w:val="center"/>
              <w:rPr>
                <w:b/>
                <w:bCs/>
              </w:rPr>
            </w:pPr>
            <w:r w:rsidRPr="005D59C1">
              <w:rPr>
                <w:b/>
                <w:bCs/>
              </w:rPr>
              <w:t>Totals</w:t>
            </w:r>
          </w:p>
        </w:tc>
        <w:tc>
          <w:tcPr>
            <w:tcW w:w="1061" w:type="dxa"/>
            <w:vAlign w:val="center"/>
            <w:hideMark/>
          </w:tcPr>
          <w:p w:rsidR="008F3C6F" w:rsidRPr="005D59C1" w:rsidP="00C2619F" w14:paraId="495EF16D" w14:textId="77777777">
            <w:pPr>
              <w:tabs>
                <w:tab w:val="left" w:pos="6930"/>
              </w:tabs>
              <w:jc w:val="center"/>
              <w:rPr>
                <w:b/>
                <w:bCs/>
              </w:rPr>
            </w:pPr>
            <w:r>
              <w:rPr>
                <w:b/>
                <w:bCs/>
              </w:rPr>
              <w:t>3,054</w:t>
            </w:r>
          </w:p>
        </w:tc>
        <w:tc>
          <w:tcPr>
            <w:tcW w:w="1313" w:type="dxa"/>
            <w:vAlign w:val="center"/>
            <w:hideMark/>
          </w:tcPr>
          <w:p w:rsidR="008F3C6F" w:rsidRPr="005D59C1" w:rsidP="00C2619F" w14:paraId="5A60B099" w14:textId="77777777">
            <w:pPr>
              <w:tabs>
                <w:tab w:val="left" w:pos="6930"/>
              </w:tabs>
              <w:jc w:val="center"/>
              <w:rPr>
                <w:b/>
                <w:bCs/>
              </w:rPr>
            </w:pPr>
          </w:p>
        </w:tc>
        <w:tc>
          <w:tcPr>
            <w:tcW w:w="900" w:type="dxa"/>
            <w:vAlign w:val="center"/>
            <w:hideMark/>
          </w:tcPr>
          <w:p w:rsidR="008F3C6F" w:rsidRPr="005D59C1" w:rsidP="00C2619F" w14:paraId="4A63BACB" w14:textId="77777777">
            <w:pPr>
              <w:tabs>
                <w:tab w:val="left" w:pos="6930"/>
              </w:tabs>
              <w:jc w:val="center"/>
              <w:rPr>
                <w:b/>
                <w:bCs/>
              </w:rPr>
            </w:pPr>
            <w:r w:rsidRPr="002F745C">
              <w:rPr>
                <w:b/>
                <w:bCs/>
              </w:rPr>
              <w:t>11,9</w:t>
            </w:r>
            <w:r>
              <w:rPr>
                <w:b/>
                <w:bCs/>
              </w:rPr>
              <w:t>41</w:t>
            </w:r>
          </w:p>
        </w:tc>
        <w:tc>
          <w:tcPr>
            <w:tcW w:w="1194" w:type="dxa"/>
            <w:vAlign w:val="center"/>
            <w:hideMark/>
          </w:tcPr>
          <w:p w:rsidR="008F3C6F" w:rsidRPr="005D59C1" w:rsidP="00C2619F" w14:paraId="6F01D616" w14:textId="77777777">
            <w:pPr>
              <w:tabs>
                <w:tab w:val="left" w:pos="6930"/>
              </w:tabs>
              <w:jc w:val="center"/>
              <w:rPr>
                <w:b/>
                <w:bCs/>
              </w:rPr>
            </w:pPr>
          </w:p>
        </w:tc>
        <w:tc>
          <w:tcPr>
            <w:tcW w:w="1596" w:type="dxa"/>
            <w:vAlign w:val="center"/>
            <w:hideMark/>
          </w:tcPr>
          <w:p w:rsidR="008F3C6F" w:rsidRPr="005D59C1" w:rsidP="00C2619F" w14:paraId="347EE9C0" w14:textId="77777777">
            <w:pPr>
              <w:tabs>
                <w:tab w:val="left" w:pos="6930"/>
              </w:tabs>
              <w:jc w:val="center"/>
              <w:rPr>
                <w:b/>
                <w:bCs/>
              </w:rPr>
            </w:pPr>
            <w:r w:rsidRPr="002F745C">
              <w:rPr>
                <w:b/>
                <w:bCs/>
              </w:rPr>
              <w:t>$</w:t>
            </w:r>
            <w:r w:rsidRPr="00123764">
              <w:rPr>
                <w:b/>
                <w:bCs/>
              </w:rPr>
              <w:t>532</w:t>
            </w:r>
            <w:r>
              <w:rPr>
                <w:b/>
                <w:bCs/>
              </w:rPr>
              <w:t>,</w:t>
            </w:r>
            <w:r w:rsidRPr="00123764">
              <w:rPr>
                <w:b/>
                <w:bCs/>
              </w:rPr>
              <w:t>208</w:t>
            </w:r>
          </w:p>
        </w:tc>
      </w:tr>
    </w:tbl>
    <w:p w:rsidR="008F3C6F" w:rsidP="008F3C6F" w14:paraId="68551D37" w14:textId="77777777">
      <w:pPr>
        <w:keepLines/>
        <w:tabs>
          <w:tab w:val="left" w:pos="360"/>
          <w:tab w:val="left" w:pos="720"/>
          <w:tab w:val="center" w:pos="1680"/>
          <w:tab w:val="center" w:pos="3120"/>
          <w:tab w:val="center" w:pos="4560"/>
          <w:tab w:val="center" w:pos="6000"/>
          <w:tab w:val="center" w:pos="7440"/>
          <w:tab w:val="center" w:pos="8880"/>
        </w:tabs>
        <w:ind w:left="360"/>
        <w:rPr>
          <w:sz w:val="18"/>
        </w:rPr>
      </w:pPr>
    </w:p>
    <w:p w:rsidR="008F3C6F" w:rsidP="008F3C6F" w14:paraId="244EAA90" w14:textId="77777777">
      <w:pPr>
        <w:tabs>
          <w:tab w:val="left" w:pos="360"/>
        </w:tabs>
        <w:ind w:left="360" w:hanging="360"/>
        <w:rPr>
          <w:sz w:val="18"/>
        </w:rPr>
      </w:pPr>
    </w:p>
    <w:p w:rsidR="008F3C6F" w:rsidP="008F3C6F" w14:paraId="78F21925" w14:textId="77777777">
      <w:pPr>
        <w:tabs>
          <w:tab w:val="left" w:pos="360"/>
        </w:tabs>
        <w:ind w:left="360" w:hanging="360"/>
        <w:rPr>
          <w:sz w:val="18"/>
        </w:rPr>
      </w:pPr>
      <w:r>
        <w:rPr>
          <w:sz w:val="18"/>
        </w:rPr>
        <w:t>13.</w:t>
      </w:r>
      <w:r>
        <w:rPr>
          <w:sz w:val="18"/>
        </w:rPr>
        <w:tab/>
      </w:r>
      <w:r w:rsidRPr="00F87CFD">
        <w:rPr>
          <w:b/>
          <w:bCs/>
          <w:sz w:val="18"/>
        </w:rPr>
        <w:t>Provide an estimate of the total annual cost burden to respondents or recordkeepers resulting from the collection of information (do not include the cost of any hour burden shown in Items 12 and 14).</w:t>
      </w:r>
      <w:r>
        <w:rPr>
          <w:sz w:val="18"/>
        </w:rPr>
        <w:t xml:space="preserve"> </w:t>
      </w:r>
    </w:p>
    <w:p w:rsidR="008F3C6F" w:rsidP="008F3C6F" w14:paraId="7ABBA18A" w14:textId="77777777">
      <w:pPr>
        <w:numPr>
          <w:ilvl w:val="0"/>
          <w:numId w:val="2"/>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F3C6F" w:rsidP="008F3C6F" w14:paraId="0B312A24" w14:textId="77777777">
      <w:pPr>
        <w:numPr>
          <w:ilvl w:val="0"/>
          <w:numId w:val="2"/>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F3C6F" w:rsidP="008F3C6F" w14:paraId="782A560E" w14:textId="77777777">
      <w:pPr>
        <w:keepLines/>
        <w:numPr>
          <w:ilvl w:val="0"/>
          <w:numId w:val="2"/>
        </w:numPr>
        <w:tabs>
          <w:tab w:val="left" w:pos="360"/>
        </w:tabs>
        <w:spacing w:after="80"/>
        <w:ind w:left="480"/>
        <w:rPr>
          <w:sz w:val="18"/>
        </w:rPr>
      </w:pPr>
      <w:r>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3C6F" w:rsidP="008F3C6F" w14:paraId="0B345305" w14:textId="77777777">
      <w:pPr>
        <w:keepLines/>
        <w:tabs>
          <w:tab w:val="left" w:pos="360"/>
          <w:tab w:val="left" w:pos="720"/>
        </w:tabs>
        <w:ind w:left="360"/>
        <w:rPr>
          <w:sz w:val="22"/>
        </w:rPr>
      </w:pPr>
    </w:p>
    <w:p w:rsidR="008F3C6F" w:rsidP="008F3C6F" w14:paraId="7161AB13" w14:textId="77777777">
      <w:pPr>
        <w:keepLines/>
        <w:tabs>
          <w:tab w:val="left" w:pos="360"/>
          <w:tab w:val="left" w:pos="720"/>
        </w:tabs>
        <w:ind w:left="360"/>
        <w:rPr>
          <w:sz w:val="18"/>
        </w:rPr>
      </w:pPr>
      <w:r>
        <w:rPr>
          <w:sz w:val="22"/>
        </w:rPr>
        <w:t>There are no additional costs to respondents.</w:t>
      </w:r>
    </w:p>
    <w:p w:rsidR="008F3C6F" w:rsidP="008F3C6F" w14:paraId="4AECE3F3" w14:textId="77777777">
      <w:pPr>
        <w:tabs>
          <w:tab w:val="left" w:pos="360"/>
        </w:tabs>
        <w:ind w:left="360" w:hanging="360"/>
        <w:rPr>
          <w:sz w:val="18"/>
        </w:rPr>
      </w:pPr>
    </w:p>
    <w:p w:rsidR="008F3C6F" w:rsidP="008F3C6F" w14:paraId="7CF1B86A" w14:textId="77777777">
      <w:pPr>
        <w:keepLines/>
        <w:tabs>
          <w:tab w:val="left" w:pos="360"/>
        </w:tabs>
        <w:spacing w:after="80"/>
        <w:ind w:left="360" w:hanging="360"/>
        <w:rPr>
          <w:sz w:val="18"/>
        </w:rPr>
      </w:pPr>
      <w:r>
        <w:rPr>
          <w:sz w:val="18"/>
        </w:rPr>
        <w:t>14.</w:t>
      </w:r>
      <w:r>
        <w:rPr>
          <w:sz w:val="18"/>
        </w:rPr>
        <w:tab/>
      </w:r>
      <w:r w:rsidRPr="00F87CFD">
        <w:rPr>
          <w:b/>
          <w:bCs/>
          <w:sz w:val="18"/>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F3C6F" w:rsidP="008F3C6F" w14:paraId="603CC439" w14:textId="77777777">
      <w:pPr>
        <w:keepLines/>
        <w:tabs>
          <w:tab w:val="left" w:pos="360"/>
          <w:tab w:val="left" w:pos="720"/>
        </w:tabs>
        <w:ind w:left="360"/>
        <w:rPr>
          <w:sz w:val="18"/>
        </w:rPr>
      </w:pPr>
      <w:bookmarkStart w:id="1" w:name="_Hlk495478110"/>
      <w:r w:rsidRPr="00486DF9">
        <w:t xml:space="preserve">The </w:t>
      </w:r>
      <w:r w:rsidRPr="00486DF9">
        <w:rPr>
          <w:sz w:val="22"/>
        </w:rPr>
        <w:t xml:space="preserve">estimated annualized cost to the Federal Government for ensuring execution of </w:t>
      </w:r>
      <w:r>
        <w:rPr>
          <w:sz w:val="22"/>
        </w:rPr>
        <w:t xml:space="preserve">amendments to </w:t>
      </w:r>
      <w:r w:rsidRPr="00486DF9">
        <w:rPr>
          <w:sz w:val="22"/>
        </w:rPr>
        <w:t>the ACC, and those actions in Lines 1-</w:t>
      </w:r>
      <w:r>
        <w:rPr>
          <w:sz w:val="22"/>
        </w:rPr>
        <w:t xml:space="preserve">8, </w:t>
      </w:r>
      <w:r w:rsidRPr="00486DF9">
        <w:rPr>
          <w:sz w:val="22"/>
        </w:rPr>
        <w:t>in the table above, including any required review, is based on an average annual salary of field staff of $</w:t>
      </w:r>
      <w:r w:rsidRPr="00B80AD9">
        <w:rPr>
          <w:sz w:val="22"/>
        </w:rPr>
        <w:t>92</w:t>
      </w:r>
      <w:r>
        <w:rPr>
          <w:sz w:val="22"/>
        </w:rPr>
        <w:t>,</w:t>
      </w:r>
      <w:r w:rsidRPr="00B80AD9">
        <w:rPr>
          <w:sz w:val="22"/>
        </w:rPr>
        <w:t>692</w:t>
      </w:r>
      <w:r>
        <w:rPr>
          <w:sz w:val="22"/>
        </w:rPr>
        <w:t xml:space="preserve"> </w:t>
      </w:r>
      <w:r w:rsidRPr="00486DF9">
        <w:rPr>
          <w:sz w:val="22"/>
        </w:rPr>
        <w:t>or $</w:t>
      </w:r>
      <w:r w:rsidRPr="00B80AD9">
        <w:rPr>
          <w:sz w:val="22"/>
        </w:rPr>
        <w:t xml:space="preserve">44.56 </w:t>
      </w:r>
      <w:r w:rsidRPr="00486DF9">
        <w:rPr>
          <w:sz w:val="22"/>
        </w:rPr>
        <w:t>per hour, which is the 20</w:t>
      </w:r>
      <w:r>
        <w:rPr>
          <w:sz w:val="22"/>
        </w:rPr>
        <w:t>23</w:t>
      </w:r>
      <w:r w:rsidRPr="00486DF9">
        <w:rPr>
          <w:color w:val="FF0000"/>
          <w:sz w:val="22"/>
        </w:rPr>
        <w:t xml:space="preserve"> </w:t>
      </w:r>
      <w:r w:rsidRPr="00486DF9">
        <w:rPr>
          <w:sz w:val="22"/>
        </w:rPr>
        <w:t>General Pay Scale salary for a GS 1</w:t>
      </w:r>
      <w:r>
        <w:rPr>
          <w:sz w:val="22"/>
        </w:rPr>
        <w:t>3</w:t>
      </w:r>
      <w:r w:rsidRPr="00486DF9">
        <w:rPr>
          <w:sz w:val="22"/>
        </w:rPr>
        <w:t xml:space="preserve"> Step </w:t>
      </w:r>
      <w:r>
        <w:rPr>
          <w:sz w:val="22"/>
        </w:rPr>
        <w:t>4</w:t>
      </w:r>
      <w:r w:rsidRPr="00486DF9">
        <w:rPr>
          <w:sz w:val="22"/>
        </w:rPr>
        <w:t>.  At $</w:t>
      </w:r>
      <w:r>
        <w:rPr>
          <w:sz w:val="22"/>
        </w:rPr>
        <w:t>44.56</w:t>
      </w:r>
      <w:r w:rsidRPr="00486DF9">
        <w:rPr>
          <w:sz w:val="22"/>
        </w:rPr>
        <w:t xml:space="preserve"> per hour for an estimated </w:t>
      </w:r>
      <w:r>
        <w:rPr>
          <w:sz w:val="22"/>
        </w:rPr>
        <w:t>11,526</w:t>
      </w:r>
      <w:r w:rsidRPr="00EA3DAC">
        <w:rPr>
          <w:sz w:val="22"/>
        </w:rPr>
        <w:t xml:space="preserve"> hours per</w:t>
      </w:r>
      <w:r w:rsidRPr="00486DF9">
        <w:rPr>
          <w:sz w:val="22"/>
        </w:rPr>
        <w:t xml:space="preserve"> year, the annual cost is $</w:t>
      </w:r>
      <w:r w:rsidRPr="007B48D1">
        <w:rPr>
          <w:sz w:val="22"/>
        </w:rPr>
        <w:t>513</w:t>
      </w:r>
      <w:r>
        <w:rPr>
          <w:sz w:val="22"/>
        </w:rPr>
        <w:t>,</w:t>
      </w:r>
      <w:r w:rsidRPr="007B48D1">
        <w:rPr>
          <w:sz w:val="22"/>
        </w:rPr>
        <w:t>59</w:t>
      </w:r>
      <w:r>
        <w:rPr>
          <w:sz w:val="22"/>
        </w:rPr>
        <w:t>9</w:t>
      </w:r>
      <w:r w:rsidRPr="00FD4827">
        <w:rPr>
          <w:sz w:val="22"/>
        </w:rPr>
        <w:t>.</w:t>
      </w:r>
      <w:bookmarkEnd w:id="1"/>
      <w:r w:rsidRPr="00486DF9">
        <w:rPr>
          <w:sz w:val="22"/>
        </w:rPr>
        <w:t xml:space="preserve">  </w:t>
      </w:r>
    </w:p>
    <w:p w:rsidR="008F3C6F" w:rsidP="008F3C6F" w14:paraId="1640B984" w14:textId="77777777">
      <w:pPr>
        <w:tabs>
          <w:tab w:val="left" w:pos="360"/>
        </w:tabs>
        <w:ind w:left="360" w:hanging="360"/>
        <w:rPr>
          <w:sz w:val="18"/>
        </w:rPr>
      </w:pPr>
    </w:p>
    <w:p w:rsidR="008F3C6F" w:rsidRPr="00F87CFD" w:rsidP="008F3C6F" w14:paraId="4C19CBA1" w14:textId="77777777">
      <w:pPr>
        <w:keepLines/>
        <w:tabs>
          <w:tab w:val="left" w:pos="360"/>
        </w:tabs>
        <w:spacing w:after="80"/>
        <w:ind w:left="360" w:hanging="360"/>
        <w:rPr>
          <w:b/>
          <w:bCs/>
          <w:sz w:val="18"/>
        </w:rPr>
      </w:pPr>
      <w:r>
        <w:rPr>
          <w:sz w:val="18"/>
        </w:rPr>
        <w:t>15.</w:t>
      </w:r>
      <w:r>
        <w:rPr>
          <w:sz w:val="18"/>
        </w:rPr>
        <w:tab/>
      </w:r>
      <w:r w:rsidRPr="00F87CFD">
        <w:rPr>
          <w:b/>
          <w:bCs/>
          <w:sz w:val="18"/>
        </w:rPr>
        <w:t>Explain the reasons for any program changes or adjustments reported in Items 13 and 14 of the OMB Form 83-I.</w:t>
      </w:r>
    </w:p>
    <w:p w:rsidR="008F3C6F" w:rsidP="008F3C6F" w14:paraId="14A5AEB1" w14:textId="77777777">
      <w:pPr>
        <w:keepLines/>
        <w:tabs>
          <w:tab w:val="left" w:pos="360"/>
          <w:tab w:val="left" w:pos="720"/>
        </w:tabs>
        <w:ind w:left="360"/>
        <w:rPr>
          <w:sz w:val="18"/>
        </w:rPr>
      </w:pPr>
      <w:r w:rsidRPr="00415F25">
        <w:rPr>
          <w:sz w:val="22"/>
          <w:szCs w:val="22"/>
        </w:rPr>
        <w:t>This collection</w:t>
      </w:r>
      <w:r>
        <w:rPr>
          <w:sz w:val="22"/>
          <w:szCs w:val="22"/>
        </w:rPr>
        <w:t xml:space="preserve"> moves the </w:t>
      </w:r>
      <w:r w:rsidRPr="00B17275">
        <w:rPr>
          <w:sz w:val="22"/>
          <w:szCs w:val="22"/>
        </w:rPr>
        <w:t>form</w:t>
      </w:r>
      <w:r>
        <w:rPr>
          <w:sz w:val="22"/>
          <w:szCs w:val="22"/>
        </w:rPr>
        <w:t xml:space="preserve"> HUD-52840A</w:t>
      </w:r>
      <w:r w:rsidRPr="00B17275">
        <w:rPr>
          <w:sz w:val="22"/>
          <w:szCs w:val="22"/>
        </w:rPr>
        <w:t xml:space="preserve"> </w:t>
      </w:r>
      <w:r>
        <w:rPr>
          <w:sz w:val="22"/>
          <w:szCs w:val="22"/>
        </w:rPr>
        <w:t xml:space="preserve">Capital Fund Amendment to the ACC </w:t>
      </w:r>
      <w:r w:rsidRPr="00B17275">
        <w:rPr>
          <w:sz w:val="22"/>
          <w:szCs w:val="22"/>
        </w:rPr>
        <w:t xml:space="preserve">and </w:t>
      </w:r>
      <w:r>
        <w:rPr>
          <w:sz w:val="22"/>
          <w:szCs w:val="22"/>
        </w:rPr>
        <w:t>other</w:t>
      </w:r>
      <w:r w:rsidRPr="00B17275">
        <w:rPr>
          <w:sz w:val="22"/>
          <w:szCs w:val="22"/>
        </w:rPr>
        <w:t xml:space="preserve"> </w:t>
      </w:r>
      <w:r>
        <w:rPr>
          <w:sz w:val="22"/>
          <w:szCs w:val="22"/>
        </w:rPr>
        <w:t xml:space="preserve">amendments to the </w:t>
      </w:r>
      <w:r w:rsidRPr="00B17275">
        <w:rPr>
          <w:sz w:val="22"/>
          <w:szCs w:val="22"/>
        </w:rPr>
        <w:t>Annual Contributions Contract (ACC)</w:t>
      </w:r>
      <w:r>
        <w:rPr>
          <w:sz w:val="22"/>
          <w:szCs w:val="22"/>
        </w:rPr>
        <w:t>,</w:t>
      </w:r>
      <w:r w:rsidRPr="00B17275">
        <w:rPr>
          <w:sz w:val="22"/>
          <w:szCs w:val="22"/>
        </w:rPr>
        <w:t xml:space="preserve"> </w:t>
      </w:r>
      <w:bookmarkStart w:id="2" w:name="_Hlk130377079"/>
      <w:r w:rsidRPr="00A534E1">
        <w:rPr>
          <w:sz w:val="22"/>
          <w:szCs w:val="22"/>
        </w:rPr>
        <w:t>Capital Fund Finance</w:t>
      </w:r>
      <w:r>
        <w:rPr>
          <w:sz w:val="22"/>
          <w:szCs w:val="22"/>
        </w:rPr>
        <w:t>, Capital Fund</w:t>
      </w:r>
      <w:r w:rsidRPr="00A534E1">
        <w:rPr>
          <w:sz w:val="22"/>
          <w:szCs w:val="22"/>
        </w:rPr>
        <w:t xml:space="preserve"> Emergency </w:t>
      </w:r>
      <w:r>
        <w:rPr>
          <w:sz w:val="22"/>
          <w:szCs w:val="22"/>
        </w:rPr>
        <w:t xml:space="preserve">grant, </w:t>
      </w:r>
      <w:r w:rsidRPr="00A534E1">
        <w:rPr>
          <w:sz w:val="22"/>
          <w:szCs w:val="22"/>
        </w:rPr>
        <w:t>Capital Fund for Safety and Security</w:t>
      </w:r>
      <w:r>
        <w:rPr>
          <w:sz w:val="22"/>
          <w:szCs w:val="22"/>
        </w:rPr>
        <w:t xml:space="preserve"> grant, and </w:t>
      </w:r>
      <w:r w:rsidRPr="00A534E1">
        <w:rPr>
          <w:sz w:val="22"/>
          <w:szCs w:val="22"/>
        </w:rPr>
        <w:t>Energy Performance Contract</w:t>
      </w:r>
      <w:r>
        <w:rPr>
          <w:sz w:val="22"/>
          <w:szCs w:val="22"/>
        </w:rPr>
        <w:t xml:space="preserve">, </w:t>
      </w:r>
      <w:bookmarkEnd w:id="2"/>
      <w:r>
        <w:rPr>
          <w:sz w:val="22"/>
          <w:szCs w:val="22"/>
        </w:rPr>
        <w:t>f</w:t>
      </w:r>
      <w:r w:rsidRPr="00B17275">
        <w:rPr>
          <w:sz w:val="22"/>
          <w:szCs w:val="22"/>
        </w:rPr>
        <w:t>rom OMB Collection 2577-0075 into a new collection.  The reason for the move is to keep similar types of information in collections.</w:t>
      </w:r>
      <w:r>
        <w:rPr>
          <w:sz w:val="22"/>
          <w:szCs w:val="22"/>
        </w:rPr>
        <w:t xml:space="preserve">  </w:t>
      </w:r>
      <w:r w:rsidRPr="004D2AB8">
        <w:rPr>
          <w:sz w:val="22"/>
          <w:szCs w:val="22"/>
        </w:rPr>
        <w:t>The HUD-52190</w:t>
      </w:r>
      <w:r w:rsidRPr="004D2AB8">
        <w:rPr>
          <w:sz w:val="22"/>
          <w:szCs w:val="22"/>
        </w:rPr>
        <w:tab/>
        <w:t xml:space="preserve"> Declaration of Trust/Restrictive Covenants and the Mixed Finance Amendment to the ACC were moved to </w:t>
      </w:r>
      <w:r>
        <w:rPr>
          <w:sz w:val="22"/>
          <w:szCs w:val="22"/>
        </w:rPr>
        <w:t xml:space="preserve">OMB </w:t>
      </w:r>
      <w:r w:rsidRPr="004D2AB8">
        <w:rPr>
          <w:sz w:val="22"/>
          <w:szCs w:val="22"/>
        </w:rPr>
        <w:t>2577-0275 - Public/Private Partnerships for the Mixed-Finance Development of Public Housing Units</w:t>
      </w:r>
      <w:r>
        <w:rPr>
          <w:sz w:val="22"/>
          <w:szCs w:val="22"/>
        </w:rPr>
        <w:t xml:space="preserve">.  </w:t>
      </w:r>
      <w:r w:rsidRPr="003C5FB6">
        <w:rPr>
          <w:sz w:val="22"/>
          <w:szCs w:val="22"/>
        </w:rPr>
        <w:t>All other information regarding inventory removals was retained in OMB 2577-0075 which is being renewed.</w:t>
      </w:r>
    </w:p>
    <w:p w:rsidR="008F3C6F" w:rsidP="008F3C6F" w14:paraId="332B6F8E" w14:textId="77777777">
      <w:pPr>
        <w:tabs>
          <w:tab w:val="left" w:pos="360"/>
        </w:tabs>
        <w:ind w:left="360" w:hanging="360"/>
        <w:rPr>
          <w:sz w:val="18"/>
        </w:rPr>
      </w:pPr>
    </w:p>
    <w:p w:rsidR="008F3C6F" w:rsidP="008F3C6F" w14:paraId="2463575B" w14:textId="77777777">
      <w:pPr>
        <w:keepLines/>
        <w:tabs>
          <w:tab w:val="left" w:pos="360"/>
        </w:tabs>
        <w:spacing w:after="80"/>
        <w:ind w:left="360" w:hanging="360"/>
        <w:rPr>
          <w:sz w:val="18"/>
        </w:rPr>
      </w:pPr>
      <w:r>
        <w:rPr>
          <w:sz w:val="18"/>
        </w:rPr>
        <w:t>16.</w:t>
      </w:r>
      <w:r>
        <w:rPr>
          <w:sz w:val="18"/>
        </w:rPr>
        <w:tab/>
      </w:r>
      <w:r w:rsidRPr="00F87CFD">
        <w:rPr>
          <w:b/>
          <w:bCs/>
          <w:sz w:val="18"/>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F3C6F" w:rsidP="008F3C6F" w14:paraId="121AFD73" w14:textId="77777777">
      <w:pPr>
        <w:keepLines/>
        <w:tabs>
          <w:tab w:val="left" w:pos="360"/>
          <w:tab w:val="left" w:pos="720"/>
        </w:tabs>
        <w:ind w:left="360"/>
        <w:rPr>
          <w:sz w:val="18"/>
        </w:rPr>
      </w:pPr>
      <w:r>
        <w:rPr>
          <w:sz w:val="22"/>
        </w:rPr>
        <w:t>The results of this information collection will not be published.</w:t>
      </w:r>
    </w:p>
    <w:p w:rsidR="008F3C6F" w:rsidP="008F3C6F" w14:paraId="3079F1E1" w14:textId="77777777">
      <w:pPr>
        <w:tabs>
          <w:tab w:val="left" w:pos="360"/>
        </w:tabs>
        <w:ind w:left="360" w:hanging="360"/>
        <w:rPr>
          <w:sz w:val="18"/>
        </w:rPr>
      </w:pPr>
    </w:p>
    <w:p w:rsidR="008F3C6F" w:rsidRPr="00F87CFD" w:rsidP="008F3C6F" w14:paraId="51411B0E" w14:textId="77777777">
      <w:pPr>
        <w:keepLines/>
        <w:tabs>
          <w:tab w:val="left" w:pos="360"/>
        </w:tabs>
        <w:spacing w:after="80"/>
        <w:ind w:left="360" w:hanging="360"/>
        <w:rPr>
          <w:b/>
          <w:bCs/>
          <w:sz w:val="18"/>
        </w:rPr>
      </w:pPr>
      <w:r>
        <w:rPr>
          <w:sz w:val="18"/>
        </w:rPr>
        <w:t>17.</w:t>
      </w:r>
      <w:r>
        <w:rPr>
          <w:sz w:val="18"/>
        </w:rPr>
        <w:tab/>
      </w:r>
      <w:r w:rsidRPr="00F87CFD">
        <w:rPr>
          <w:b/>
          <w:bCs/>
          <w:sz w:val="18"/>
        </w:rPr>
        <w:t>If seeking approval to not display the expiration date for OMB approval of the information collection, explain the reasons that display would be inappropriate.</w:t>
      </w:r>
    </w:p>
    <w:p w:rsidR="008F3C6F" w:rsidP="008F3C6F" w14:paraId="49B7CB84" w14:textId="77777777">
      <w:pPr>
        <w:keepLines/>
        <w:tabs>
          <w:tab w:val="left" w:pos="360"/>
          <w:tab w:val="left" w:pos="720"/>
        </w:tabs>
        <w:ind w:left="360"/>
        <w:rPr>
          <w:sz w:val="22"/>
        </w:rPr>
      </w:pPr>
    </w:p>
    <w:p w:rsidR="008F3C6F" w:rsidP="008F3C6F" w14:paraId="2B076238" w14:textId="77777777">
      <w:pPr>
        <w:keepLines/>
        <w:tabs>
          <w:tab w:val="left" w:pos="360"/>
          <w:tab w:val="left" w:pos="720"/>
        </w:tabs>
        <w:ind w:left="360"/>
        <w:rPr>
          <w:sz w:val="18"/>
        </w:rPr>
      </w:pPr>
      <w:r>
        <w:rPr>
          <w:sz w:val="22"/>
        </w:rPr>
        <w:t>HUD is not seeking approval to avoid displaying the OMB expiration date. The results of this information collection will not be published.</w:t>
      </w:r>
    </w:p>
    <w:p w:rsidR="008F3C6F" w:rsidP="008F3C6F" w14:paraId="554FBAF6" w14:textId="77777777">
      <w:pPr>
        <w:tabs>
          <w:tab w:val="left" w:pos="360"/>
        </w:tabs>
        <w:ind w:left="360" w:hanging="360"/>
        <w:rPr>
          <w:sz w:val="18"/>
        </w:rPr>
      </w:pPr>
    </w:p>
    <w:p w:rsidR="008F3C6F" w:rsidRPr="00F87CFD" w:rsidP="008F3C6F" w14:paraId="6EC4472E" w14:textId="77777777">
      <w:pPr>
        <w:keepLines/>
        <w:tabs>
          <w:tab w:val="left" w:pos="360"/>
        </w:tabs>
        <w:spacing w:after="80"/>
        <w:ind w:left="360" w:hanging="360"/>
        <w:rPr>
          <w:rFonts w:ascii="Courier" w:hAnsi="Courier"/>
          <w:b/>
          <w:bCs/>
        </w:rPr>
      </w:pPr>
      <w:r>
        <w:rPr>
          <w:sz w:val="18"/>
        </w:rPr>
        <w:t>18.</w:t>
      </w:r>
      <w:r>
        <w:rPr>
          <w:sz w:val="18"/>
        </w:rPr>
        <w:tab/>
      </w:r>
      <w:r w:rsidRPr="00F87CFD">
        <w:rPr>
          <w:b/>
          <w:bCs/>
          <w:sz w:val="18"/>
        </w:rPr>
        <w:t>Explain each exception to the certification statement identified in item 19.</w:t>
      </w:r>
    </w:p>
    <w:p w:rsidR="008F3C6F" w:rsidP="008F3C6F" w14:paraId="7AEBAB6A" w14:textId="77777777">
      <w:pPr>
        <w:keepLines/>
        <w:tabs>
          <w:tab w:val="left" w:pos="360"/>
          <w:tab w:val="left" w:pos="720"/>
        </w:tabs>
        <w:ind w:left="360"/>
      </w:pPr>
      <w:r>
        <w:rPr>
          <w:sz w:val="22"/>
        </w:rPr>
        <w:t>There is no exception to “Certification of Paperwork Reduction Act Submission.”</w:t>
      </w:r>
    </w:p>
    <w:p w:rsidR="008F3C6F" w:rsidP="008F3C6F" w14:paraId="3E1BFD84" w14:textId="77777777">
      <w:pPr>
        <w:tabs>
          <w:tab w:val="left" w:pos="360"/>
          <w:tab w:val="left" w:pos="720"/>
        </w:tabs>
      </w:pPr>
    </w:p>
    <w:p w:rsidR="008F3C6F" w:rsidP="008F3C6F" w14:paraId="52D97C1B"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r>
        <w:rPr>
          <w:rFonts w:ascii="Helvetica" w:hAnsi="Helvetica"/>
          <w:b/>
          <w:sz w:val="18"/>
        </w:rPr>
        <w:t xml:space="preserve">B. </w:t>
      </w:r>
      <w:r>
        <w:rPr>
          <w:rFonts w:ascii="Helvetica" w:hAnsi="Helvetica"/>
          <w:b/>
          <w:sz w:val="18"/>
        </w:rPr>
        <w:tab/>
        <w:t>Collections of Information Employing Statistical Methods</w:t>
      </w:r>
    </w:p>
    <w:p w:rsidR="008F3C6F" w:rsidP="008F3C6F" w14:paraId="7C7AF8C3"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8F3C6F" w:rsidP="008F3C6F" w14:paraId="14A652B2" w14:textId="77777777">
      <w:pPr>
        <w:keepLines/>
        <w:tabs>
          <w:tab w:val="left" w:pos="360"/>
          <w:tab w:val="left" w:pos="720"/>
        </w:tabs>
        <w:ind w:left="360"/>
        <w:rPr>
          <w:sz w:val="22"/>
        </w:rPr>
      </w:pPr>
    </w:p>
    <w:p w:rsidR="008F3C6F" w:rsidP="008F3C6F" w14:paraId="4BBF21E6" w14:textId="77777777">
      <w:pPr>
        <w:keepLines/>
        <w:tabs>
          <w:tab w:val="left" w:pos="360"/>
          <w:tab w:val="left" w:pos="720"/>
        </w:tabs>
        <w:ind w:left="360"/>
        <w:rPr>
          <w:sz w:val="18"/>
        </w:rPr>
      </w:pPr>
      <w:r>
        <w:rPr>
          <w:sz w:val="22"/>
        </w:rPr>
        <w:t>N/A</w:t>
      </w:r>
    </w:p>
    <w:p w:rsidR="008F3C6F" w:rsidP="008F3C6F" w14:paraId="7E8446F9" w14:textId="77777777">
      <w:pPr>
        <w:tabs>
          <w:tab w:val="left" w:pos="240"/>
        </w:tabs>
        <w:rPr>
          <w:rFonts w:ascii="Helvetica" w:hAnsi="Helvetica"/>
          <w:sz w:val="16"/>
        </w:rPr>
      </w:pPr>
    </w:p>
    <w:p w:rsidR="008F3C6F" w:rsidP="008F3C6F" w14:paraId="33A3B72B" w14:textId="77777777">
      <w:pPr>
        <w:pBdr>
          <w:top w:val="single" w:sz="4" w:space="1" w:color="auto"/>
        </w:pBdr>
        <w:tabs>
          <w:tab w:val="left" w:pos="240"/>
        </w:tabs>
        <w:rPr>
          <w:rFonts w:ascii="Helvetica" w:hAnsi="Helvetica"/>
          <w:sz w:val="16"/>
        </w:rPr>
        <w:sectPr>
          <w:footerReference w:type="default" r:id="rId4"/>
          <w:pgSz w:w="12240" w:h="15840"/>
          <w:pgMar w:top="480" w:right="720" w:bottom="480" w:left="600" w:header="480" w:footer="480" w:gutter="0"/>
          <w:cols w:space="480" w:equalWidth="0">
            <w:col w:w="10800"/>
          </w:cols>
        </w:sectPr>
      </w:pPr>
    </w:p>
    <w:p w:rsidR="008F3C6F" w:rsidP="008F3C6F" w14:paraId="2AB6B813" w14:textId="77777777">
      <w:pPr>
        <w:pBdr>
          <w:top w:val="single" w:sz="4" w:space="1" w:color="auto"/>
        </w:pBdr>
        <w:tabs>
          <w:tab w:val="left" w:pos="240"/>
        </w:tabs>
        <w:rPr>
          <w:rFonts w:ascii="Helvetica" w:hAnsi="Helvetica"/>
          <w:sz w:val="16"/>
        </w:rPr>
      </w:pPr>
    </w:p>
    <w:p w:rsidR="008F3C6F" w:rsidP="008F3C6F" w14:paraId="3EC087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rPr>
      </w:pPr>
    </w:p>
    <w:p w:rsidR="00B7718B" w14:paraId="426012B5" w14:textId="77777777"/>
    <w:sectPr w:rsidSect="00B8157F">
      <w:headerReference w:type="default" r:id="rId5"/>
      <w:footerReference w:type="default" r:id="rId6"/>
      <w:footerReference w:type="first" r:id="rId7"/>
      <w:pgSz w:w="12240" w:h="15840"/>
      <w:pgMar w:top="480" w:right="720" w:bottom="480" w:left="600" w:header="480" w:footer="480" w:gutter="0"/>
      <w:cols w:space="480" w:equalWidth="0">
        <w:col w:w="10800"/>
      </w:cols>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6C51" w14:paraId="7B161283" w14:textId="7777777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FB8" w14:paraId="2CAA2C1D"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left w:val="single" w:sz="6" w:space="0" w:color="auto"/>
      </w:tblBorders>
      <w:tblLayout w:type="fixed"/>
      <w:tblLook w:val="0000"/>
    </w:tblPr>
    <w:tblGrid>
      <w:gridCol w:w="8388"/>
      <w:gridCol w:w="2748"/>
    </w:tblGrid>
    <w:tr w14:paraId="2C69A637" w14:textId="77777777">
      <w:tblPrEx>
        <w:tblW w:w="0" w:type="auto"/>
        <w:tblBorders>
          <w:top w:val="single" w:sz="6" w:space="0" w:color="auto"/>
          <w:left w:val="single" w:sz="6" w:space="0" w:color="auto"/>
        </w:tblBorders>
        <w:tblLayout w:type="fixed"/>
        <w:tblLook w:val="0000"/>
      </w:tblPrEx>
      <w:tc>
        <w:tcPr>
          <w:tcW w:w="8388" w:type="dxa"/>
          <w:tcBorders>
            <w:top w:val="single" w:sz="6" w:space="0" w:color="auto"/>
            <w:left w:val="nil"/>
            <w:right w:val="single" w:sz="6" w:space="0" w:color="auto"/>
          </w:tcBorders>
        </w:tcPr>
        <w:p w:rsidR="00353FB8" w14:paraId="05CACB75" w14:textId="77777777">
          <w:pPr>
            <w:pStyle w:val="Footer"/>
            <w:rPr>
              <w:rFonts w:ascii="Helvetica" w:hAnsi="Helvetica"/>
              <w:sz w:val="16"/>
            </w:rPr>
          </w:pPr>
          <w:r>
            <w:rPr>
              <w:rFonts w:ascii="Helvetica" w:hAnsi="Helvetica"/>
              <w:sz w:val="16"/>
            </w:rPr>
            <w:t>Signature of Senior Officer or Designee:</w:t>
          </w:r>
        </w:p>
        <w:p w:rsidR="00353FB8" w14:paraId="4FEBF103" w14:textId="77777777">
          <w:pPr>
            <w:pStyle w:val="Footer"/>
            <w:rPr>
              <w:rFonts w:ascii="Helvetica" w:hAnsi="Helvetica"/>
              <w:sz w:val="16"/>
            </w:rPr>
          </w:pPr>
        </w:p>
        <w:p w:rsidR="00353FB8" w14:paraId="2989F20F" w14:textId="77777777">
          <w:pPr>
            <w:pStyle w:val="Footer"/>
            <w:rPr>
              <w:rFonts w:ascii="Helvetica" w:hAnsi="Helvetica"/>
              <w:sz w:val="16"/>
            </w:rPr>
          </w:pPr>
        </w:p>
        <w:p w:rsidR="00353FB8" w14:paraId="2C17E77E" w14:textId="77777777">
          <w:pPr>
            <w:pStyle w:val="Footer"/>
            <w:rPr>
              <w:rFonts w:ascii="Helvetica" w:hAnsi="Helvetica"/>
              <w:sz w:val="16"/>
            </w:rPr>
          </w:pPr>
          <w:r>
            <w:rPr>
              <w:rFonts w:ascii="Helvetica" w:hAnsi="Helvetica"/>
              <w:sz w:val="16"/>
            </w:rPr>
            <w:t>X</w:t>
          </w:r>
        </w:p>
        <w:p w:rsidR="00353FB8" w14:paraId="2C188F89" w14:textId="77777777">
          <w:pPr>
            <w:pStyle w:val="Footer"/>
            <w:rPr>
              <w:rFonts w:ascii="Helvetica" w:hAnsi="Helvetica"/>
              <w:sz w:val="16"/>
            </w:rPr>
          </w:pPr>
          <w:r>
            <w:rPr>
              <w:rFonts w:ascii="Helvetica" w:hAnsi="Helvetica"/>
              <w:sz w:val="16"/>
            </w:rPr>
            <w:t>Colette Pollard, Departmental Records Management Officer,</w:t>
          </w:r>
        </w:p>
        <w:p w:rsidR="00353FB8" w14:paraId="45474E8A" w14:textId="7777777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353FB8" w14:paraId="5B9CE0D1" w14:textId="77777777">
          <w:pPr>
            <w:pStyle w:val="Footer"/>
            <w:rPr>
              <w:rFonts w:ascii="Helvetica" w:hAnsi="Helvetica"/>
              <w:sz w:val="16"/>
            </w:rPr>
          </w:pPr>
          <w:r>
            <w:rPr>
              <w:rFonts w:ascii="Helvetica" w:hAnsi="Helvetica"/>
              <w:sz w:val="16"/>
            </w:rPr>
            <w:t xml:space="preserve">Date: </w:t>
          </w:r>
        </w:p>
      </w:tc>
    </w:tr>
  </w:tbl>
  <w:p w:rsidR="00353FB8" w14:paraId="6C1A6238"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FB8" w14:paraId="2A8448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num w:numId="1" w16cid:durableId="406075401">
    <w:abstractNumId w:val="1"/>
  </w:num>
  <w:num w:numId="2" w16cid:durableId="175331199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6F"/>
    <w:rsid w:val="00123764"/>
    <w:rsid w:val="001B761B"/>
    <w:rsid w:val="002F745C"/>
    <w:rsid w:val="00353FB8"/>
    <w:rsid w:val="003C5FB6"/>
    <w:rsid w:val="003D6C51"/>
    <w:rsid w:val="00415F25"/>
    <w:rsid w:val="00486DF9"/>
    <w:rsid w:val="004D2AB8"/>
    <w:rsid w:val="005D27D0"/>
    <w:rsid w:val="005D59C1"/>
    <w:rsid w:val="007B48D1"/>
    <w:rsid w:val="008F3C6F"/>
    <w:rsid w:val="00906EFC"/>
    <w:rsid w:val="009C797A"/>
    <w:rsid w:val="00A534E1"/>
    <w:rsid w:val="00AD6BC8"/>
    <w:rsid w:val="00B17275"/>
    <w:rsid w:val="00B7718B"/>
    <w:rsid w:val="00B80AD9"/>
    <w:rsid w:val="00BE305E"/>
    <w:rsid w:val="00BF7396"/>
    <w:rsid w:val="00C2619F"/>
    <w:rsid w:val="00EA3DAC"/>
    <w:rsid w:val="00F12939"/>
    <w:rsid w:val="00F45C10"/>
    <w:rsid w:val="00F87CFD"/>
    <w:rsid w:val="00FD48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ADC307"/>
  <w15:chartTrackingRefBased/>
  <w15:docId w15:val="{44692F8C-2EAC-48D3-B508-53A1A04B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C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3C6F"/>
    <w:pPr>
      <w:tabs>
        <w:tab w:val="center" w:pos="4320"/>
        <w:tab w:val="right" w:pos="8640"/>
      </w:tabs>
    </w:pPr>
  </w:style>
  <w:style w:type="character" w:customStyle="1" w:styleId="HeaderChar">
    <w:name w:val="Header Char"/>
    <w:basedOn w:val="DefaultParagraphFont"/>
    <w:link w:val="Header"/>
    <w:rsid w:val="008F3C6F"/>
    <w:rPr>
      <w:rFonts w:ascii="Times New Roman" w:eastAsia="Times New Roman" w:hAnsi="Times New Roman" w:cs="Times New Roman"/>
      <w:sz w:val="20"/>
      <w:szCs w:val="20"/>
    </w:rPr>
  </w:style>
  <w:style w:type="paragraph" w:styleId="Footer">
    <w:name w:val="footer"/>
    <w:basedOn w:val="Normal"/>
    <w:link w:val="FooterChar"/>
    <w:rsid w:val="008F3C6F"/>
    <w:pPr>
      <w:tabs>
        <w:tab w:val="center" w:pos="4320"/>
        <w:tab w:val="right" w:pos="8640"/>
      </w:tabs>
    </w:pPr>
  </w:style>
  <w:style w:type="character" w:customStyle="1" w:styleId="FooterChar">
    <w:name w:val="Footer Char"/>
    <w:basedOn w:val="DefaultParagraphFont"/>
    <w:link w:val="Footer"/>
    <w:rsid w:val="008F3C6F"/>
    <w:rPr>
      <w:rFonts w:ascii="Times New Roman" w:eastAsia="Times New Roman" w:hAnsi="Times New Roman" w:cs="Times New Roman"/>
      <w:sz w:val="20"/>
      <w:szCs w:val="20"/>
    </w:rPr>
  </w:style>
  <w:style w:type="table" w:styleId="TableGrid">
    <w:name w:val="Table Grid"/>
    <w:basedOn w:val="TableNormal"/>
    <w:rsid w:val="008F3C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2506</Words>
  <Characters>13459</Characters>
  <Application>Microsoft Office Word</Application>
  <DocSecurity>0</DocSecurity>
  <Lines>791</Lines>
  <Paragraphs>483</Paragraphs>
  <ScaleCrop>false</ScaleCrop>
  <Company>U.S. Department of Housing and Urban Development</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2</cp:revision>
  <dcterms:created xsi:type="dcterms:W3CDTF">2023-05-22T12:25:00Z</dcterms:created>
  <dcterms:modified xsi:type="dcterms:W3CDTF">2023-07-12T12:21:00Z</dcterms:modified>
</cp:coreProperties>
</file>