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3012" w:rsidP="00113012" w14:paraId="40044B12" w14:textId="759A9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300C28" w:rsidRPr="00A2216C" w:rsidP="00113012" w14:paraId="47B55025" w14:textId="6135F1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Cs/>
          <w:sz w:val="28"/>
        </w:rPr>
      </w:pPr>
      <w:r w:rsidRPr="00751946">
        <w:rPr>
          <w:rFonts w:ascii="Helvetica" w:hAnsi="Helvetica"/>
          <w:bCs/>
          <w:sz w:val="28"/>
        </w:rPr>
        <w:t xml:space="preserve">OMB # </w:t>
      </w:r>
      <w:r w:rsidRPr="00751946" w:rsidR="00751946">
        <w:rPr>
          <w:rFonts w:ascii="Helvetica" w:hAnsi="Helvetica"/>
          <w:bCs/>
          <w:sz w:val="28"/>
          <w:u w:val="single"/>
        </w:rPr>
        <w:t>2577-0259</w:t>
      </w:r>
      <w:r w:rsidRPr="00751946">
        <w:rPr>
          <w:rFonts w:ascii="Helvetica" w:hAnsi="Helvetica"/>
          <w:bCs/>
          <w:sz w:val="28"/>
        </w:rPr>
        <w:t xml:space="preserve"> </w:t>
      </w:r>
      <w:r w:rsidRPr="00751946" w:rsidR="00A2216C">
        <w:rPr>
          <w:rFonts w:ascii="Helvetica" w:hAnsi="Helvetica"/>
          <w:bCs/>
          <w:sz w:val="28"/>
        </w:rPr>
        <w:t>Title of Collection</w:t>
      </w:r>
      <w:r w:rsidRPr="00751946" w:rsidR="00751946">
        <w:rPr>
          <w:rFonts w:ascii="Helvetica" w:hAnsi="Helvetica"/>
          <w:bCs/>
          <w:sz w:val="28"/>
        </w:rPr>
        <w:t xml:space="preserve"> </w:t>
      </w:r>
      <w:r w:rsidRPr="00751946" w:rsidR="00751946">
        <w:rPr>
          <w:rFonts w:ascii="Helvetica" w:hAnsi="Helvetica"/>
          <w:bCs/>
          <w:sz w:val="28"/>
          <w:u w:val="single"/>
        </w:rPr>
        <w:t>Family Unification Program</w:t>
      </w:r>
    </w:p>
    <w:p w:rsidR="00A2216C" w:rsidP="00113012" w14:paraId="1A5E52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113012" w:rsidP="00113012" w14:paraId="7FC0D2B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113012" w:rsidP="00113012" w14:paraId="2360CD3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113012" w:rsidP="00113012" w14:paraId="53AE62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113012" w:rsidRPr="004A293F" w:rsidP="004A293F" w14:paraId="63FEB05D" w14:textId="3011CF95">
      <w:pPr>
        <w:pStyle w:val="ListParagraph"/>
        <w:keepLines/>
        <w:numPr>
          <w:ilvl w:val="0"/>
          <w:numId w:val="4"/>
        </w:numPr>
        <w:tabs>
          <w:tab w:val="left" w:pos="360"/>
        </w:tabs>
        <w:spacing w:after="80"/>
        <w:ind w:left="360"/>
        <w:rPr>
          <w:color w:val="000000"/>
          <w:sz w:val="22"/>
        </w:rPr>
      </w:pPr>
      <w:r w:rsidRPr="004A293F">
        <w:rPr>
          <w:color w:val="000000"/>
          <w:sz w:val="22"/>
        </w:rPr>
        <w:t>Why is this information necessary?  Identify any legal or administrative requirements that necessitate the collection.  Attach a copy of the appropriate section of each statute and regulation mandating/authorizing the collection of information.</w:t>
      </w:r>
    </w:p>
    <w:p w:rsidR="004A293F" w:rsidRPr="00F938AE" w:rsidP="004A293F" w14:paraId="13E01F9D" w14:textId="1CD466F7">
      <w:pPr>
        <w:pStyle w:val="NoSpacing"/>
        <w:spacing w:after="120"/>
        <w:ind w:left="360"/>
        <w:contextualSpacing/>
        <w:rPr>
          <w:rStyle w:val="cf01"/>
          <w:rFonts w:ascii="Times New Roman" w:hAnsi="Times New Roman" w:cs="Times New Roman"/>
          <w:b/>
          <w:bCs/>
          <w:color w:val="auto"/>
          <w:sz w:val="24"/>
          <w:szCs w:val="24"/>
        </w:rPr>
      </w:pPr>
      <w:r w:rsidRPr="00F938AE">
        <w:rPr>
          <w:rStyle w:val="cf01"/>
          <w:rFonts w:ascii="Times New Roman" w:hAnsi="Times New Roman" w:cs="Times New Roman"/>
          <w:b/>
          <w:bCs/>
          <w:color w:val="auto"/>
          <w:sz w:val="24"/>
          <w:szCs w:val="24"/>
        </w:rPr>
        <w:t>The reinsta</w:t>
      </w:r>
      <w:r w:rsidRPr="00F938AE">
        <w:rPr>
          <w:rStyle w:val="cf01"/>
          <w:rFonts w:ascii="Times New Roman" w:hAnsi="Times New Roman" w:cs="Times New Roman"/>
          <w:b/>
          <w:bCs/>
          <w:color w:val="auto"/>
          <w:sz w:val="24"/>
          <w:szCs w:val="24"/>
        </w:rPr>
        <w:t xml:space="preserve">tement of this previously approved collection without change for which approval has expired is required </w:t>
      </w:r>
      <w:r w:rsidRPr="00F938AE">
        <w:rPr>
          <w:rStyle w:val="cf01"/>
          <w:rFonts w:ascii="Times New Roman" w:hAnsi="Times New Roman" w:cs="Times New Roman"/>
          <w:b/>
          <w:bCs/>
          <w:color w:val="auto"/>
          <w:sz w:val="24"/>
          <w:szCs w:val="24"/>
        </w:rPr>
        <w:t>in order to</w:t>
      </w:r>
      <w:r w:rsidRPr="00F938AE">
        <w:rPr>
          <w:rStyle w:val="cf01"/>
          <w:rFonts w:ascii="Times New Roman" w:hAnsi="Times New Roman" w:cs="Times New Roman"/>
          <w:b/>
          <w:bCs/>
          <w:color w:val="auto"/>
          <w:sz w:val="24"/>
          <w:szCs w:val="24"/>
        </w:rPr>
        <w:t xml:space="preserve"> withdraw this PRA. </w:t>
      </w:r>
      <w:r w:rsidRPr="00F938AE" w:rsidR="6968E43A">
        <w:rPr>
          <w:rStyle w:val="cf01"/>
          <w:rFonts w:ascii="Times New Roman" w:hAnsi="Times New Roman" w:cs="Times New Roman"/>
          <w:b/>
          <w:bCs/>
          <w:color w:val="auto"/>
          <w:sz w:val="24"/>
          <w:szCs w:val="24"/>
        </w:rPr>
        <w:t xml:space="preserve"> </w:t>
      </w:r>
      <w:r w:rsidRPr="00F938AE">
        <w:rPr>
          <w:rStyle w:val="cf01"/>
          <w:rFonts w:ascii="Times New Roman" w:hAnsi="Times New Roman" w:cs="Times New Roman"/>
          <w:b/>
          <w:bCs/>
          <w:color w:val="auto"/>
          <w:sz w:val="24"/>
          <w:szCs w:val="24"/>
        </w:rPr>
        <w:t xml:space="preserve">The information collection required for the Family Unification Program is now covered under another PRA OMB #: </w:t>
      </w:r>
      <w:r w:rsidRPr="00F938AE">
        <w:rPr>
          <w:rStyle w:val="cf01"/>
          <w:rFonts w:ascii="Times New Roman" w:hAnsi="Times New Roman" w:cs="Times New Roman"/>
          <w:b/>
          <w:bCs/>
          <w:color w:val="auto"/>
          <w:sz w:val="24"/>
          <w:szCs w:val="24"/>
        </w:rPr>
        <w:t>2577-0169.</w:t>
      </w:r>
      <w:r w:rsidRPr="00F938AE" w:rsidR="00AF3956">
        <w:rPr>
          <w:rStyle w:val="cf01"/>
          <w:rFonts w:ascii="Times New Roman" w:hAnsi="Times New Roman" w:cs="Times New Roman"/>
          <w:b/>
          <w:bCs/>
          <w:color w:val="auto"/>
          <w:sz w:val="24"/>
          <w:szCs w:val="24"/>
        </w:rPr>
        <w:t xml:space="preserve"> </w:t>
      </w:r>
      <w:r w:rsidRPr="00F938AE" w:rsidR="1F9C5B7C">
        <w:rPr>
          <w:rStyle w:val="cf01"/>
          <w:rFonts w:ascii="Times New Roman" w:hAnsi="Times New Roman" w:cs="Times New Roman"/>
          <w:b/>
          <w:bCs/>
          <w:color w:val="auto"/>
          <w:sz w:val="24"/>
          <w:szCs w:val="24"/>
        </w:rPr>
        <w:t xml:space="preserve"> </w:t>
      </w:r>
      <w:r w:rsidRPr="00F938AE" w:rsidR="00AF3956">
        <w:rPr>
          <w:rStyle w:val="cf01"/>
          <w:rFonts w:ascii="Times New Roman" w:hAnsi="Times New Roman" w:cs="Times New Roman"/>
          <w:b/>
          <w:bCs/>
          <w:color w:val="auto"/>
          <w:sz w:val="24"/>
          <w:szCs w:val="24"/>
        </w:rPr>
        <w:t>The information that follows is copied directly from the prior 83i Supporting Statement when OMB # 2577-0259 went through PIH and Departmental clearance in 2015.</w:t>
      </w:r>
    </w:p>
    <w:p w:rsidR="004A293F" w:rsidRPr="00F938AE" w:rsidP="004A293F" w14:paraId="0B2297DE" w14:textId="77777777">
      <w:pPr>
        <w:pStyle w:val="NoSpacing"/>
        <w:spacing w:after="120"/>
        <w:ind w:left="360"/>
        <w:contextualSpacing/>
        <w:rPr>
          <w:rStyle w:val="cf01"/>
          <w:b/>
          <w:bCs/>
        </w:rPr>
      </w:pPr>
    </w:p>
    <w:p w:rsidR="004A293F" w:rsidRPr="00F938AE" w:rsidP="004A293F" w14:paraId="19CE37F6" w14:textId="18298010">
      <w:pPr>
        <w:pStyle w:val="NoSpacing"/>
        <w:spacing w:after="120"/>
        <w:ind w:left="360"/>
        <w:contextualSpacing/>
        <w:rPr>
          <w:rFonts w:ascii="Times New Roman" w:hAnsi="Times New Roman"/>
          <w:b/>
          <w:bCs/>
          <w:sz w:val="24"/>
          <w:szCs w:val="24"/>
        </w:rPr>
      </w:pPr>
      <w:r w:rsidRPr="00F938AE">
        <w:rPr>
          <w:rFonts w:ascii="Times New Roman" w:hAnsi="Times New Roman"/>
          <w:b/>
          <w:bCs/>
          <w:sz w:val="24"/>
          <w:szCs w:val="24"/>
        </w:rPr>
        <w:t>Congress periodically appropriates funds to the Department of Housing and Urban D</w:t>
      </w:r>
      <w:r w:rsidRPr="00F938AE">
        <w:rPr>
          <w:rFonts w:ascii="Times New Roman" w:hAnsi="Times New Roman"/>
          <w:b/>
          <w:bCs/>
          <w:sz w:val="24"/>
          <w:szCs w:val="24"/>
        </w:rPr>
        <w:t>evelopment to competitively fund new vouchers to be used to promote the unification of families for whom the lack of adequate housing is a primary factor in the imminent placement of a family's child, or children, in out-of-home care; or the delay in the d</w:t>
      </w:r>
      <w:r w:rsidRPr="00F938AE">
        <w:rPr>
          <w:rFonts w:ascii="Times New Roman" w:hAnsi="Times New Roman"/>
          <w:b/>
          <w:bCs/>
          <w:sz w:val="24"/>
          <w:szCs w:val="24"/>
        </w:rPr>
        <w:t>ischarge of the child, or children, to the family from out-of-home care.  Youths at least 18 years old and not more than 21 years old (have not reached their 22nd birthday) who left foster care at age 16 or older and who do not have adequate housing are al</w:t>
      </w:r>
      <w:r w:rsidRPr="00F938AE">
        <w:rPr>
          <w:rFonts w:ascii="Times New Roman" w:hAnsi="Times New Roman"/>
          <w:b/>
          <w:bCs/>
          <w:sz w:val="24"/>
          <w:szCs w:val="24"/>
        </w:rPr>
        <w:t xml:space="preserve">so eligible to receive housing assistance under FUP.  This PRA covers applications for these funds, including the selection criteria for awarding FUP vouchers and specific requirements that will apply to selected applicants.  </w:t>
      </w:r>
    </w:p>
    <w:p w:rsidR="004A293F" w:rsidRPr="004A293F" w:rsidP="004A293F" w14:paraId="2C60690B" w14:textId="677A91BE">
      <w:pPr>
        <w:pStyle w:val="ListParagraph"/>
        <w:keepLines/>
        <w:tabs>
          <w:tab w:val="left" w:pos="360"/>
        </w:tabs>
        <w:spacing w:after="80"/>
        <w:ind w:left="360"/>
        <w:rPr>
          <w:color w:val="000000"/>
          <w:sz w:val="24"/>
          <w:szCs w:val="24"/>
        </w:rPr>
      </w:pPr>
      <w:r w:rsidRPr="00F938AE">
        <w:rPr>
          <w:b/>
          <w:bCs/>
          <w:sz w:val="24"/>
          <w:szCs w:val="24"/>
        </w:rPr>
        <w:t xml:space="preserve">The Family </w:t>
      </w:r>
      <w:r w:rsidRPr="00F938AE">
        <w:rPr>
          <w:b/>
          <w:bCs/>
          <w:sz w:val="24"/>
          <w:szCs w:val="24"/>
        </w:rPr>
        <w:t>Unification Program will employ a comprehensive approach to assisting at-risk families centered on providing adequate housing and supportive services in partnership between Public Housing Agencies (PHAs) and Public Child Welfare Agencies (PCWAs).  The prog</w:t>
      </w:r>
      <w:r w:rsidRPr="00F938AE">
        <w:rPr>
          <w:b/>
          <w:bCs/>
          <w:sz w:val="24"/>
          <w:szCs w:val="24"/>
        </w:rPr>
        <w:t>ram aims to unify families for whom the lack of adequate housing threatens to place children in out-of-home care or delays the discharge of children to the family from out-of-home care by providing Housing Choice Vouchers to allow families to obtain adequa</w:t>
      </w:r>
      <w:r w:rsidRPr="00F938AE">
        <w:rPr>
          <w:b/>
          <w:bCs/>
          <w:sz w:val="24"/>
          <w:szCs w:val="24"/>
        </w:rPr>
        <w:t>te housing in the neighborhoods of their choice</w:t>
      </w:r>
      <w:r w:rsidRPr="004A293F">
        <w:rPr>
          <w:sz w:val="24"/>
          <w:szCs w:val="24"/>
        </w:rPr>
        <w:t xml:space="preserve">.    </w:t>
      </w:r>
    </w:p>
    <w:p w:rsidR="004A293F" w:rsidRPr="004A293F" w:rsidP="004A293F" w14:paraId="69D87BF1" w14:textId="77777777">
      <w:pPr>
        <w:pStyle w:val="ListParagraph"/>
        <w:keepLines/>
        <w:tabs>
          <w:tab w:val="left" w:pos="360"/>
        </w:tabs>
        <w:spacing w:after="80"/>
        <w:ind w:left="360"/>
        <w:rPr>
          <w:sz w:val="24"/>
          <w:szCs w:val="24"/>
        </w:rPr>
      </w:pPr>
    </w:p>
    <w:p w:rsidR="004A293F" w:rsidRPr="004A293F" w:rsidP="004A293F" w14:paraId="5E81AE8A" w14:textId="5BABD331">
      <w:pPr>
        <w:pStyle w:val="ListParagraph"/>
        <w:keepLines/>
        <w:tabs>
          <w:tab w:val="left" w:pos="360"/>
        </w:tabs>
        <w:spacing w:after="80"/>
        <w:ind w:left="360"/>
        <w:rPr>
          <w:color w:val="000000"/>
          <w:sz w:val="24"/>
          <w:szCs w:val="24"/>
        </w:rPr>
      </w:pPr>
      <w:r w:rsidRPr="00F938AE">
        <w:rPr>
          <w:b/>
          <w:bCs/>
          <w:sz w:val="24"/>
          <w:szCs w:val="24"/>
        </w:rPr>
        <w:t>Eligible applicants interested in obtaining FUP funds will be required to submit applications to HUD, as explained in the FUP NOFA.  The information collection covers the information needed from applica</w:t>
      </w:r>
      <w:r w:rsidRPr="00F938AE">
        <w:rPr>
          <w:b/>
          <w:bCs/>
          <w:sz w:val="24"/>
          <w:szCs w:val="24"/>
        </w:rPr>
        <w:t xml:space="preserve">nts to determine which applicants should be funded and program reporting and recordkeeping requirements.  The information provided demonstrates the </w:t>
      </w:r>
      <w:r w:rsidRPr="00F938AE">
        <w:rPr>
          <w:b/>
          <w:bCs/>
          <w:sz w:val="24"/>
          <w:szCs w:val="24"/>
        </w:rPr>
        <w:t>applicant</w:t>
      </w:r>
      <w:r w:rsidRPr="00F938AE">
        <w:rPr>
          <w:b/>
          <w:bCs/>
          <w:sz w:val="24"/>
          <w:szCs w:val="24"/>
        </w:rPr>
        <w:t xml:space="preserve"> plans to implement the program </w:t>
      </w:r>
      <w:r w:rsidRPr="00F938AE" w:rsidR="3E94E72C">
        <w:rPr>
          <w:b/>
          <w:bCs/>
          <w:sz w:val="24"/>
          <w:szCs w:val="24"/>
        </w:rPr>
        <w:t>requirements and</w:t>
      </w:r>
      <w:r w:rsidRPr="00F938AE">
        <w:rPr>
          <w:b/>
          <w:bCs/>
          <w:sz w:val="24"/>
          <w:szCs w:val="24"/>
        </w:rPr>
        <w:t xml:space="preserve"> includes related applicant history.  The applicati</w:t>
      </w:r>
      <w:r w:rsidRPr="00F938AE">
        <w:rPr>
          <w:b/>
          <w:bCs/>
          <w:sz w:val="24"/>
          <w:szCs w:val="24"/>
        </w:rPr>
        <w:t>on will include such information as an MOU between the PHA and PCWA, narrative statements related to the program rating criteria, and other statements ensuring that the applicants meet HUD requirements.  The information will be used by HUD staff to evaluat</w:t>
      </w:r>
      <w:r w:rsidRPr="00F938AE">
        <w:rPr>
          <w:b/>
          <w:bCs/>
          <w:sz w:val="24"/>
          <w:szCs w:val="24"/>
        </w:rPr>
        <w:t xml:space="preserve">e threshold requirements, </w:t>
      </w:r>
      <w:r w:rsidRPr="00F938AE">
        <w:rPr>
          <w:b/>
          <w:bCs/>
          <w:sz w:val="24"/>
          <w:szCs w:val="24"/>
        </w:rPr>
        <w:t>rate</w:t>
      </w:r>
      <w:r w:rsidRPr="00F938AE">
        <w:rPr>
          <w:b/>
          <w:bCs/>
          <w:sz w:val="24"/>
          <w:szCs w:val="24"/>
        </w:rPr>
        <w:t xml:space="preserve"> and rank FUP voucher applications, and measure performance</w:t>
      </w:r>
      <w:r w:rsidRPr="7246A32F">
        <w:rPr>
          <w:sz w:val="24"/>
          <w:szCs w:val="24"/>
        </w:rPr>
        <w:t xml:space="preserve">.  </w:t>
      </w:r>
    </w:p>
    <w:p w:rsidR="00113012" w:rsidP="00113012" w14:paraId="3CC0D20D" w14:textId="77777777">
      <w:pPr>
        <w:tabs>
          <w:tab w:val="left" w:pos="360"/>
        </w:tabs>
        <w:rPr>
          <w:color w:val="000000"/>
          <w:sz w:val="18"/>
        </w:rPr>
      </w:pPr>
    </w:p>
    <w:p w:rsidR="00113012" w:rsidP="00113012" w14:paraId="4C4716A3" w14:textId="5B669682">
      <w:pPr>
        <w:keepLines/>
        <w:tabs>
          <w:tab w:val="left" w:pos="360"/>
        </w:tabs>
        <w:spacing w:after="80"/>
        <w:ind w:left="360" w:hanging="360"/>
        <w:rPr>
          <w:color w:val="000000"/>
          <w:sz w:val="22"/>
        </w:rPr>
      </w:pPr>
      <w:r>
        <w:rPr>
          <w:color w:val="000000"/>
          <w:sz w:val="18"/>
        </w:rPr>
        <w:t>2.</w:t>
      </w:r>
      <w:r>
        <w:rPr>
          <w:color w:val="000000"/>
          <w:sz w:val="18"/>
        </w:rPr>
        <w:tab/>
      </w:r>
      <w:r>
        <w:rPr>
          <w:color w:val="000000"/>
          <w:sz w:val="22"/>
        </w:rPr>
        <w:t xml:space="preserve">How is the information collected and how is the information to be used?  </w:t>
      </w:r>
    </w:p>
    <w:p w:rsidR="004A293F" w:rsidRPr="004A293F" w:rsidP="7246A32F" w14:paraId="09A8DFF5" w14:textId="3522D1DC">
      <w:pPr>
        <w:keepLines/>
        <w:tabs>
          <w:tab w:val="left" w:pos="360"/>
        </w:tabs>
        <w:spacing w:after="80"/>
        <w:ind w:left="360" w:hanging="360"/>
        <w:rPr>
          <w:color w:val="000000"/>
          <w:sz w:val="18"/>
          <w:szCs w:val="18"/>
        </w:rPr>
      </w:pPr>
      <w:r>
        <w:rPr>
          <w:b/>
          <w:bCs/>
        </w:rPr>
        <w:tab/>
      </w:r>
      <w:r w:rsidRPr="00C17748">
        <w:rPr>
          <w:b/>
          <w:bCs/>
          <w:sz w:val="24"/>
          <w:szCs w:val="24"/>
        </w:rPr>
        <w:t>This is a reinstatement to discontinue the collection</w:t>
      </w:r>
      <w:r>
        <w:rPr>
          <w:b/>
          <w:bCs/>
        </w:rPr>
        <w:t xml:space="preserve">. </w:t>
      </w:r>
      <w:r w:rsidRPr="004A293F">
        <w:rPr>
          <w:sz w:val="24"/>
          <w:szCs w:val="24"/>
        </w:rPr>
        <w:t xml:space="preserve">After the award of FUP vouchers, PHAs </w:t>
      </w:r>
      <w:r>
        <w:rPr>
          <w:sz w:val="24"/>
          <w:szCs w:val="24"/>
        </w:rPr>
        <w:t>we</w:t>
      </w:r>
      <w:r w:rsidRPr="004A293F">
        <w:rPr>
          <w:sz w:val="24"/>
          <w:szCs w:val="24"/>
        </w:rPr>
        <w:t xml:space="preserve">re expected comply with reporting requirements for the HCV program, covered in </w:t>
      </w:r>
      <w:r>
        <w:rPr>
          <w:sz w:val="24"/>
          <w:szCs w:val="24"/>
        </w:rPr>
        <w:t>OMB #:</w:t>
      </w:r>
      <w:r w:rsidRPr="004A293F">
        <w:rPr>
          <w:sz w:val="24"/>
          <w:szCs w:val="24"/>
        </w:rPr>
        <w:t xml:space="preserve"> 2577-0169</w:t>
      </w:r>
      <w:r>
        <w:rPr>
          <w:sz w:val="24"/>
          <w:szCs w:val="24"/>
        </w:rPr>
        <w:t>.</w:t>
      </w:r>
      <w:r w:rsidRPr="004A293F">
        <w:rPr>
          <w:sz w:val="24"/>
          <w:szCs w:val="24"/>
        </w:rPr>
        <w:t xml:space="preserve"> </w:t>
      </w:r>
      <w:r w:rsidRPr="004A293F" w:rsidR="7897A03C">
        <w:rPr>
          <w:sz w:val="24"/>
          <w:szCs w:val="24"/>
        </w:rPr>
        <w:t xml:space="preserve"> </w:t>
      </w:r>
      <w:r w:rsidRPr="004A293F">
        <w:rPr>
          <w:rStyle w:val="cf01"/>
          <w:rFonts w:ascii="Times New Roman" w:hAnsi="Times New Roman" w:cs="Times New Roman"/>
          <w:color w:val="auto"/>
          <w:sz w:val="24"/>
          <w:szCs w:val="24"/>
        </w:rPr>
        <w:t>The information collection required for the Family Unification Program is now covered under another PRA OMB #: 2577-01</w:t>
      </w:r>
      <w:r w:rsidRPr="004A293F">
        <w:rPr>
          <w:rStyle w:val="cf01"/>
          <w:rFonts w:ascii="Times New Roman" w:hAnsi="Times New Roman" w:cs="Times New Roman"/>
          <w:color w:val="auto"/>
          <w:sz w:val="24"/>
          <w:szCs w:val="24"/>
        </w:rPr>
        <w:t>69.</w:t>
      </w:r>
      <w:r>
        <w:rPr>
          <w:rStyle w:val="cf01"/>
          <w:rFonts w:ascii="Times New Roman" w:hAnsi="Times New Roman" w:cs="Times New Roman"/>
          <w:color w:val="auto"/>
          <w:sz w:val="24"/>
          <w:szCs w:val="24"/>
        </w:rPr>
        <w:t xml:space="preserve"> </w:t>
      </w:r>
      <w:r w:rsidRPr="004A293F">
        <w:rPr>
          <w:sz w:val="24"/>
          <w:szCs w:val="24"/>
        </w:rPr>
        <w:t xml:space="preserve">PHAs are also expected to inform HUD, not more than annually, if their baseline of FUP vouchers has changed.  </w:t>
      </w:r>
    </w:p>
    <w:p w:rsidR="003D488E" w:rsidP="00113012" w14:paraId="340485F6" w14:textId="77777777">
      <w:pPr>
        <w:tabs>
          <w:tab w:val="left" w:pos="360"/>
        </w:tabs>
        <w:rPr>
          <w:color w:val="000000"/>
          <w:sz w:val="18"/>
        </w:rPr>
      </w:pPr>
    </w:p>
    <w:p w:rsidR="003D488E" w:rsidP="00113012" w14:paraId="7FC22491" w14:textId="77777777">
      <w:pPr>
        <w:tabs>
          <w:tab w:val="left" w:pos="360"/>
        </w:tabs>
        <w:rPr>
          <w:color w:val="000000"/>
          <w:sz w:val="18"/>
        </w:rPr>
      </w:pPr>
    </w:p>
    <w:p w:rsidR="003D488E" w:rsidP="00113012" w14:paraId="1BA45F5B" w14:textId="77777777">
      <w:pPr>
        <w:tabs>
          <w:tab w:val="left" w:pos="360"/>
        </w:tabs>
        <w:rPr>
          <w:color w:val="000000"/>
          <w:sz w:val="18"/>
        </w:rPr>
      </w:pPr>
    </w:p>
    <w:p w:rsidR="003D488E" w:rsidP="00113012" w14:paraId="4EA7ABE9" w14:textId="77777777">
      <w:pPr>
        <w:tabs>
          <w:tab w:val="left" w:pos="360"/>
        </w:tabs>
        <w:rPr>
          <w:color w:val="000000"/>
          <w:sz w:val="18"/>
        </w:rPr>
      </w:pPr>
    </w:p>
    <w:p w:rsidR="003D488E" w:rsidP="00113012" w14:paraId="3439296A" w14:textId="77777777">
      <w:pPr>
        <w:tabs>
          <w:tab w:val="left" w:pos="360"/>
        </w:tabs>
        <w:rPr>
          <w:color w:val="000000"/>
          <w:sz w:val="18"/>
        </w:rPr>
      </w:pPr>
    </w:p>
    <w:p w:rsidR="003D488E" w:rsidP="00113012" w14:paraId="044DBCDC" w14:textId="77777777">
      <w:pPr>
        <w:tabs>
          <w:tab w:val="left" w:pos="360"/>
        </w:tabs>
        <w:rPr>
          <w:color w:val="000000"/>
          <w:sz w:val="18"/>
        </w:rPr>
      </w:pPr>
    </w:p>
    <w:p w:rsidR="003D488E" w:rsidP="00113012" w14:paraId="4C2EA71D" w14:textId="77777777">
      <w:pPr>
        <w:tabs>
          <w:tab w:val="left" w:pos="360"/>
        </w:tabs>
        <w:rPr>
          <w:color w:val="000000"/>
          <w:sz w:val="18"/>
        </w:rPr>
      </w:pPr>
    </w:p>
    <w:p w:rsidR="00113012" w:rsidP="00113012" w14:paraId="4903FDD4" w14:textId="0952855F">
      <w:pPr>
        <w:keepLines/>
        <w:tabs>
          <w:tab w:val="left" w:pos="360"/>
        </w:tabs>
        <w:spacing w:after="80"/>
        <w:ind w:left="360" w:hanging="360"/>
        <w:rPr>
          <w:color w:val="000000"/>
          <w:sz w:val="22"/>
        </w:rPr>
      </w:pPr>
      <w:r>
        <w:rPr>
          <w:color w:val="000000"/>
          <w:sz w:val="18"/>
        </w:rPr>
        <w:t>3.</w:t>
      </w:r>
      <w:r>
        <w:rPr>
          <w:color w:val="000000"/>
          <w:sz w:val="18"/>
        </w:rPr>
        <w:tab/>
      </w:r>
      <w:r>
        <w:rPr>
          <w:color w:val="000000"/>
          <w:sz w:val="22"/>
        </w:rPr>
        <w:t>Describe whether, and to what extent, the collection of information is automated (item 13b1 of OMB form 83-i).  If it’s not automat</w:t>
      </w:r>
      <w:r>
        <w:rPr>
          <w:color w:val="000000"/>
          <w:sz w:val="22"/>
        </w:rPr>
        <w:t>ed, explain why not.  Also describe any other efforts to reduce burden.</w:t>
      </w:r>
    </w:p>
    <w:p w:rsidR="003D488E" w:rsidP="00113012" w14:paraId="540E8E24" w14:textId="77777777">
      <w:pPr>
        <w:keepLines/>
        <w:tabs>
          <w:tab w:val="left" w:pos="360"/>
        </w:tabs>
        <w:spacing w:after="80"/>
        <w:ind w:left="360" w:hanging="360"/>
        <w:rPr>
          <w:color w:val="000000"/>
          <w:sz w:val="22"/>
        </w:rPr>
      </w:pPr>
    </w:p>
    <w:p w:rsidR="004A293F" w:rsidRPr="00F938AE" w:rsidP="00113012" w14:paraId="3DD34FAD" w14:textId="6A15A4F7">
      <w:pPr>
        <w:keepLines/>
        <w:tabs>
          <w:tab w:val="left" w:pos="360"/>
        </w:tabs>
        <w:spacing w:after="80"/>
        <w:ind w:left="360" w:hanging="360"/>
        <w:rPr>
          <w:b/>
          <w:bCs/>
          <w:color w:val="000000"/>
          <w:sz w:val="28"/>
          <w:szCs w:val="24"/>
        </w:rPr>
      </w:pPr>
      <w:r>
        <w:tab/>
      </w:r>
      <w:r w:rsidRPr="00F938AE">
        <w:rPr>
          <w:b/>
          <w:bCs/>
          <w:sz w:val="24"/>
          <w:szCs w:val="24"/>
        </w:rPr>
        <w:t xml:space="preserve">This information collection is automated </w:t>
      </w:r>
      <w:r w:rsidRPr="00F938AE">
        <w:rPr>
          <w:b/>
          <w:bCs/>
          <w:sz w:val="24"/>
          <w:szCs w:val="24"/>
        </w:rPr>
        <w:t>in order to</w:t>
      </w:r>
      <w:r w:rsidRPr="00F938AE">
        <w:rPr>
          <w:b/>
          <w:bCs/>
          <w:sz w:val="24"/>
          <w:szCs w:val="24"/>
        </w:rPr>
        <w:t xml:space="preserve"> improve data quality and to reduce the public reporting burden.  Since FY 2005, the Department has required applications prepared</w:t>
      </w:r>
      <w:r w:rsidRPr="00F938AE">
        <w:rPr>
          <w:b/>
          <w:bCs/>
          <w:sz w:val="24"/>
          <w:szCs w:val="24"/>
        </w:rPr>
        <w:t xml:space="preserve"> in response to NOFAs to be submitted electronically via Grants.gov.  Submission of baseline adjustments may be done via electronic mail.</w:t>
      </w:r>
    </w:p>
    <w:p w:rsidR="00113012" w:rsidP="00113012" w14:paraId="392D7C9E" w14:textId="77777777">
      <w:pPr>
        <w:tabs>
          <w:tab w:val="left" w:pos="360"/>
        </w:tabs>
        <w:ind w:left="360" w:hanging="360"/>
        <w:rPr>
          <w:color w:val="000000"/>
          <w:sz w:val="18"/>
        </w:rPr>
      </w:pPr>
    </w:p>
    <w:p w:rsidR="00113012" w:rsidP="00113012" w14:paraId="211281A2" w14:textId="77777777">
      <w:pPr>
        <w:keepLines/>
        <w:tabs>
          <w:tab w:val="left" w:pos="360"/>
        </w:tabs>
        <w:spacing w:after="80"/>
        <w:ind w:left="360" w:hanging="360"/>
        <w:rPr>
          <w:color w:val="000000"/>
          <w:sz w:val="22"/>
        </w:rPr>
      </w:pPr>
      <w:r>
        <w:rPr>
          <w:color w:val="000000"/>
          <w:sz w:val="18"/>
        </w:rPr>
        <w:t>4.</w:t>
      </w:r>
      <w:r>
        <w:rPr>
          <w:color w:val="000000"/>
          <w:sz w:val="18"/>
        </w:rPr>
        <w:tab/>
      </w:r>
      <w:r>
        <w:rPr>
          <w:color w:val="000000"/>
          <w:sz w:val="22"/>
        </w:rPr>
        <w:t>Is this information collected elsewhere?  If so, why cannot any similar information already available be used or m</w:t>
      </w:r>
      <w:r>
        <w:rPr>
          <w:color w:val="000000"/>
          <w:sz w:val="22"/>
        </w:rPr>
        <w:t>odified.</w:t>
      </w:r>
    </w:p>
    <w:p w:rsidR="00113012" w:rsidRPr="00F938AE" w:rsidP="00113012" w14:paraId="5E03DB39" w14:textId="65B607FD">
      <w:pPr>
        <w:tabs>
          <w:tab w:val="left" w:pos="360"/>
        </w:tabs>
        <w:ind w:left="360" w:hanging="360"/>
        <w:rPr>
          <w:b/>
          <w:bCs/>
          <w:sz w:val="24"/>
          <w:szCs w:val="24"/>
        </w:rPr>
      </w:pPr>
      <w:r>
        <w:rPr>
          <w:sz w:val="24"/>
          <w:szCs w:val="24"/>
        </w:rPr>
        <w:tab/>
      </w:r>
      <w:r w:rsidRPr="00F938AE">
        <w:rPr>
          <w:b/>
          <w:bCs/>
          <w:sz w:val="24"/>
          <w:szCs w:val="24"/>
        </w:rPr>
        <w:t>There is no duplication of effort.  Information collected is unique to each type of collection and does not duplicate any similar information or method.</w:t>
      </w:r>
    </w:p>
    <w:p w:rsidR="004A293F" w:rsidRPr="004A293F" w:rsidP="00113012" w14:paraId="135D54AC" w14:textId="77777777">
      <w:pPr>
        <w:tabs>
          <w:tab w:val="left" w:pos="360"/>
        </w:tabs>
        <w:ind w:left="360" w:hanging="360"/>
        <w:rPr>
          <w:color w:val="000000"/>
          <w:sz w:val="24"/>
          <w:szCs w:val="24"/>
        </w:rPr>
      </w:pPr>
    </w:p>
    <w:p w:rsidR="00113012" w:rsidRPr="00D60FF7" w:rsidP="00113012" w14:paraId="54FDFC76" w14:textId="4E088D67">
      <w:pPr>
        <w:keepLines/>
        <w:tabs>
          <w:tab w:val="left" w:pos="360"/>
        </w:tabs>
        <w:spacing w:after="80"/>
        <w:ind w:left="360" w:hanging="360"/>
        <w:rPr>
          <w:color w:val="000000"/>
          <w:sz w:val="22"/>
          <w:szCs w:val="22"/>
        </w:rPr>
      </w:pPr>
      <w:r>
        <w:rPr>
          <w:color w:val="000000"/>
          <w:sz w:val="18"/>
        </w:rPr>
        <w:t>5.</w:t>
      </w:r>
      <w:r>
        <w:rPr>
          <w:color w:val="000000"/>
          <w:sz w:val="18"/>
        </w:rPr>
        <w:tab/>
      </w:r>
      <w:r>
        <w:rPr>
          <w:color w:val="000000"/>
          <w:sz w:val="22"/>
        </w:rPr>
        <w:t xml:space="preserve">Does the collection of information impact small businesses or other small entities (item 5 of OMB form 83-i)?  </w:t>
      </w:r>
      <w:r w:rsidRPr="00D60FF7">
        <w:rPr>
          <w:color w:val="000000"/>
          <w:sz w:val="22"/>
          <w:szCs w:val="22"/>
        </w:rPr>
        <w:t>Describe any methods used to minimize burden.</w:t>
      </w:r>
    </w:p>
    <w:p w:rsidR="004A293F" w:rsidRPr="00F938AE" w:rsidP="00113012" w14:paraId="3925852E" w14:textId="6F730A9A">
      <w:pPr>
        <w:keepLines/>
        <w:tabs>
          <w:tab w:val="left" w:pos="360"/>
        </w:tabs>
        <w:spacing w:after="80"/>
        <w:ind w:left="360" w:hanging="360"/>
        <w:rPr>
          <w:b/>
          <w:bCs/>
          <w:color w:val="000000"/>
          <w:sz w:val="22"/>
          <w:szCs w:val="22"/>
        </w:rPr>
      </w:pPr>
      <w:r w:rsidRPr="00D60FF7">
        <w:rPr>
          <w:sz w:val="22"/>
          <w:szCs w:val="22"/>
        </w:rPr>
        <w:tab/>
      </w:r>
      <w:r w:rsidRPr="00F938AE">
        <w:rPr>
          <w:b/>
          <w:bCs/>
          <w:sz w:val="22"/>
          <w:szCs w:val="22"/>
        </w:rPr>
        <w:t>These</w:t>
      </w:r>
      <w:r w:rsidRPr="00F938AE">
        <w:rPr>
          <w:b/>
          <w:bCs/>
          <w:sz w:val="22"/>
          <w:szCs w:val="22"/>
        </w:rPr>
        <w:t xml:space="preserve"> information collections have no significant impact on small businesses or other entities.</w:t>
      </w:r>
    </w:p>
    <w:p w:rsidR="00113012" w:rsidRPr="00D60FF7" w:rsidP="00113012" w14:paraId="2ECB2425" w14:textId="77777777">
      <w:pPr>
        <w:tabs>
          <w:tab w:val="left" w:pos="360"/>
        </w:tabs>
        <w:ind w:left="360" w:hanging="360"/>
        <w:rPr>
          <w:color w:val="000000"/>
          <w:sz w:val="22"/>
          <w:szCs w:val="22"/>
        </w:rPr>
      </w:pPr>
    </w:p>
    <w:p w:rsidR="00113012" w:rsidRPr="00D60FF7" w:rsidP="00113012" w14:paraId="42365AC9" w14:textId="77777777">
      <w:pPr>
        <w:keepLines/>
        <w:tabs>
          <w:tab w:val="left" w:pos="360"/>
        </w:tabs>
        <w:spacing w:after="80"/>
        <w:ind w:left="360" w:hanging="360"/>
        <w:rPr>
          <w:color w:val="000000"/>
          <w:sz w:val="22"/>
          <w:szCs w:val="22"/>
        </w:rPr>
      </w:pPr>
      <w:r w:rsidRPr="00D60FF7">
        <w:rPr>
          <w:color w:val="000000"/>
          <w:sz w:val="22"/>
          <w:szCs w:val="22"/>
        </w:rPr>
        <w:t>6</w:t>
      </w:r>
      <w:r w:rsidRPr="00D60FF7">
        <w:rPr>
          <w:color w:val="000000"/>
          <w:sz w:val="22"/>
          <w:szCs w:val="22"/>
        </w:rPr>
        <w:t>.</w:t>
      </w:r>
      <w:r w:rsidRPr="00D60FF7">
        <w:rPr>
          <w:color w:val="000000"/>
          <w:sz w:val="22"/>
          <w:szCs w:val="22"/>
        </w:rPr>
        <w:tab/>
        <w:t>Describe the consequence to Federal program or policy activities if the collection is not conducted or is conducted less frequently, as well as any technical or legal obstacles to reducing burden.</w:t>
      </w:r>
    </w:p>
    <w:p w:rsidR="00D60FF7" w:rsidRPr="00F938AE" w:rsidP="00D60FF7" w14:paraId="57A5967B" w14:textId="77777777">
      <w:pPr>
        <w:pStyle w:val="pf0"/>
        <w:ind w:left="360"/>
        <w:rPr>
          <w:rStyle w:val="cf01"/>
          <w:rFonts w:ascii="Times New Roman" w:hAnsi="Times New Roman" w:cs="Times New Roman"/>
          <w:b/>
          <w:bCs/>
          <w:color w:val="auto"/>
          <w:sz w:val="22"/>
          <w:szCs w:val="22"/>
        </w:rPr>
      </w:pPr>
      <w:r w:rsidRPr="00F938AE">
        <w:rPr>
          <w:b/>
          <w:bCs/>
          <w:sz w:val="22"/>
          <w:szCs w:val="22"/>
        </w:rPr>
        <w:t>T</w:t>
      </w:r>
      <w:r w:rsidRPr="00F938AE">
        <w:rPr>
          <w:rStyle w:val="cf01"/>
          <w:rFonts w:ascii="Times New Roman" w:hAnsi="Times New Roman" w:cs="Times New Roman"/>
          <w:b/>
          <w:bCs/>
          <w:color w:val="auto"/>
          <w:sz w:val="22"/>
          <w:szCs w:val="22"/>
        </w:rPr>
        <w:t>he reinstatement of this previously approved collection,</w:t>
      </w:r>
      <w:r w:rsidRPr="00F938AE">
        <w:rPr>
          <w:rStyle w:val="cf01"/>
          <w:rFonts w:ascii="Times New Roman" w:hAnsi="Times New Roman" w:cs="Times New Roman"/>
          <w:b/>
          <w:bCs/>
          <w:color w:val="auto"/>
          <w:sz w:val="22"/>
          <w:szCs w:val="22"/>
        </w:rPr>
        <w:t xml:space="preserve"> without change, for which approval has expired is required </w:t>
      </w:r>
      <w:r w:rsidRPr="00F938AE">
        <w:rPr>
          <w:rStyle w:val="cf01"/>
          <w:rFonts w:ascii="Times New Roman" w:hAnsi="Times New Roman" w:cs="Times New Roman"/>
          <w:b/>
          <w:bCs/>
          <w:color w:val="auto"/>
          <w:sz w:val="22"/>
          <w:szCs w:val="22"/>
        </w:rPr>
        <w:t>in order to</w:t>
      </w:r>
      <w:r w:rsidRPr="00F938AE">
        <w:rPr>
          <w:rStyle w:val="cf01"/>
          <w:rFonts w:ascii="Times New Roman" w:hAnsi="Times New Roman" w:cs="Times New Roman"/>
          <w:b/>
          <w:bCs/>
          <w:color w:val="auto"/>
          <w:sz w:val="22"/>
          <w:szCs w:val="22"/>
        </w:rPr>
        <w:t xml:space="preserve"> withdraw this PRA.</w:t>
      </w:r>
      <w:r w:rsidRPr="00F938AE" w:rsidR="1DE759C5">
        <w:rPr>
          <w:rStyle w:val="cf01"/>
          <w:rFonts w:ascii="Times New Roman" w:hAnsi="Times New Roman" w:cs="Times New Roman"/>
          <w:b/>
          <w:bCs/>
          <w:color w:val="auto"/>
          <w:sz w:val="22"/>
          <w:szCs w:val="22"/>
        </w:rPr>
        <w:t xml:space="preserve"> </w:t>
      </w:r>
      <w:r w:rsidRPr="00F938AE">
        <w:rPr>
          <w:rStyle w:val="cf01"/>
          <w:rFonts w:ascii="Times New Roman" w:hAnsi="Times New Roman" w:cs="Times New Roman"/>
          <w:b/>
          <w:bCs/>
          <w:color w:val="auto"/>
          <w:sz w:val="22"/>
          <w:szCs w:val="22"/>
        </w:rPr>
        <w:t xml:space="preserve"> The information collection required for the Family Unification Program is now covered under another PRA OMB #: 2577-0169.</w:t>
      </w:r>
    </w:p>
    <w:p w:rsidR="00F938AE" w:rsidP="00F938AE" w14:paraId="137C6C7A" w14:textId="77777777">
      <w:pPr>
        <w:pStyle w:val="pf0"/>
        <w:spacing w:before="0" w:beforeAutospacing="0" w:after="0" w:afterAutospacing="0"/>
        <w:ind w:left="86"/>
        <w:rPr>
          <w:rFonts w:eastAsia="Calibri"/>
          <w:sz w:val="22"/>
          <w:szCs w:val="22"/>
        </w:rPr>
      </w:pPr>
      <w:r w:rsidRPr="00D60FF7">
        <w:rPr>
          <w:rStyle w:val="cf01"/>
          <w:rFonts w:ascii="Times New Roman" w:hAnsi="Times New Roman" w:cs="Times New Roman"/>
          <w:color w:val="auto"/>
          <w:sz w:val="22"/>
          <w:szCs w:val="22"/>
        </w:rPr>
        <w:t xml:space="preserve">7. </w:t>
      </w:r>
      <w:r w:rsidRPr="00D60FF7">
        <w:rPr>
          <w:rFonts w:eastAsia="Calibri"/>
          <w:sz w:val="22"/>
          <w:szCs w:val="22"/>
        </w:rPr>
        <w:t xml:space="preserve">Explain any </w:t>
      </w:r>
      <w:r w:rsidRPr="00D60FF7">
        <w:rPr>
          <w:rFonts w:eastAsia="Calibri"/>
          <w:sz w:val="22"/>
          <w:szCs w:val="22"/>
        </w:rPr>
        <w:t xml:space="preserve">special circumstances that </w:t>
      </w:r>
      <w:r w:rsidRPr="00D60FF7">
        <w:rPr>
          <w:rFonts w:eastAsia="Calibri"/>
          <w:sz w:val="22"/>
          <w:szCs w:val="22"/>
        </w:rPr>
        <w:t>would cause an information to be collected in a manner:</w:t>
      </w:r>
      <w:r w:rsidR="00120A0E">
        <w:rPr>
          <w:rFonts w:eastAsia="Calibri"/>
          <w:sz w:val="22"/>
          <w:szCs w:val="22"/>
        </w:rPr>
        <w:t xml:space="preserve"> </w:t>
      </w:r>
    </w:p>
    <w:p w:rsidR="00F938AE" w:rsidRPr="00F938AE" w:rsidP="00F938AE" w14:paraId="7659C984" w14:textId="77777777">
      <w:pPr>
        <w:pStyle w:val="ListParagraph"/>
        <w:numPr>
          <w:ilvl w:val="0"/>
          <w:numId w:val="7"/>
        </w:numPr>
        <w:tabs>
          <w:tab w:val="left" w:pos="600"/>
        </w:tabs>
        <w:rPr>
          <w:sz w:val="18"/>
        </w:rPr>
      </w:pPr>
      <w:r w:rsidRPr="00F938AE">
        <w:rPr>
          <w:sz w:val="18"/>
        </w:rPr>
        <w:t xml:space="preserve">requiring respondents to report information to the agency more than </w:t>
      </w:r>
      <w:r w:rsidRPr="00F938AE">
        <w:rPr>
          <w:sz w:val="18"/>
        </w:rPr>
        <w:t>quarterly;</w:t>
      </w:r>
      <w:r w:rsidRPr="00F938AE">
        <w:rPr>
          <w:sz w:val="18"/>
        </w:rPr>
        <w:t xml:space="preserve"> </w:t>
      </w:r>
    </w:p>
    <w:p w:rsidR="00F938AE" w:rsidRPr="00F938AE" w:rsidP="00F938AE" w14:paraId="6D94B5C6" w14:textId="77777777">
      <w:pPr>
        <w:pStyle w:val="ListParagraph"/>
        <w:numPr>
          <w:ilvl w:val="0"/>
          <w:numId w:val="7"/>
        </w:numPr>
        <w:tabs>
          <w:tab w:val="left" w:pos="600"/>
        </w:tabs>
        <w:rPr>
          <w:sz w:val="18"/>
        </w:rPr>
      </w:pPr>
      <w:r w:rsidRPr="00F938AE">
        <w:rPr>
          <w:sz w:val="18"/>
        </w:rPr>
        <w:t xml:space="preserve">requiring respondents to prepare a written response to a collection of information in fewer than 30 days after receipt of </w:t>
      </w:r>
      <w:r w:rsidRPr="00F938AE">
        <w:rPr>
          <w:sz w:val="18"/>
        </w:rPr>
        <w:t>it;</w:t>
      </w:r>
      <w:r w:rsidRPr="00F938AE">
        <w:rPr>
          <w:sz w:val="18"/>
        </w:rPr>
        <w:t xml:space="preserve"> </w:t>
      </w:r>
    </w:p>
    <w:p w:rsidR="00F938AE" w:rsidRPr="00F938AE" w:rsidP="00F938AE" w14:paraId="7D0E71A0" w14:textId="77777777">
      <w:pPr>
        <w:pStyle w:val="ListParagraph"/>
        <w:numPr>
          <w:ilvl w:val="0"/>
          <w:numId w:val="7"/>
        </w:numPr>
        <w:tabs>
          <w:tab w:val="left" w:pos="600"/>
        </w:tabs>
        <w:rPr>
          <w:sz w:val="18"/>
        </w:rPr>
      </w:pPr>
      <w:r w:rsidRPr="00F938AE">
        <w:rPr>
          <w:sz w:val="18"/>
        </w:rPr>
        <w:t xml:space="preserve">requiring respondents to submit more than an original and two copies of any </w:t>
      </w:r>
      <w:r w:rsidRPr="00F938AE">
        <w:rPr>
          <w:sz w:val="18"/>
        </w:rPr>
        <w:t>document;</w:t>
      </w:r>
      <w:r w:rsidRPr="00F938AE">
        <w:rPr>
          <w:sz w:val="18"/>
        </w:rPr>
        <w:t xml:space="preserve"> </w:t>
      </w:r>
    </w:p>
    <w:p w:rsidR="00F938AE" w:rsidRPr="00F938AE" w:rsidP="00F938AE" w14:paraId="2E29FB57" w14:textId="77777777">
      <w:pPr>
        <w:pStyle w:val="ListParagraph"/>
        <w:numPr>
          <w:ilvl w:val="0"/>
          <w:numId w:val="7"/>
        </w:numPr>
        <w:tabs>
          <w:tab w:val="left" w:pos="600"/>
        </w:tabs>
        <w:rPr>
          <w:sz w:val="18"/>
        </w:rPr>
      </w:pPr>
      <w:r w:rsidRPr="00F938AE">
        <w:rPr>
          <w:sz w:val="18"/>
        </w:rPr>
        <w:t xml:space="preserve">requiring respondents to retain records other than health, medical, government contract, grant-in-aid, or tax records for more than three </w:t>
      </w:r>
      <w:r w:rsidRPr="00F938AE">
        <w:rPr>
          <w:sz w:val="18"/>
        </w:rPr>
        <w:t>years;</w:t>
      </w:r>
      <w:r w:rsidRPr="00F938AE">
        <w:rPr>
          <w:sz w:val="18"/>
        </w:rPr>
        <w:t xml:space="preserve"> </w:t>
      </w:r>
    </w:p>
    <w:p w:rsidR="00F938AE" w:rsidRPr="00F938AE" w:rsidP="00F938AE" w14:paraId="1B9C07F5" w14:textId="155D2F8A">
      <w:pPr>
        <w:pStyle w:val="ListParagraph"/>
        <w:numPr>
          <w:ilvl w:val="0"/>
          <w:numId w:val="7"/>
        </w:numPr>
        <w:tabs>
          <w:tab w:val="left" w:pos="600"/>
        </w:tabs>
        <w:rPr>
          <w:sz w:val="18"/>
        </w:rPr>
      </w:pPr>
      <w:r w:rsidRPr="00F938AE">
        <w:rPr>
          <w:sz w:val="18"/>
        </w:rPr>
        <w:t xml:space="preserve">in connection with a statistical survey, that is not designed to produce valid and reliable results than can be generalized to the universe </w:t>
      </w:r>
      <w:r w:rsidRPr="00F938AE">
        <w:rPr>
          <w:sz w:val="18"/>
        </w:rPr>
        <w:t>study;</w:t>
      </w:r>
      <w:r w:rsidRPr="00F938AE">
        <w:rPr>
          <w:sz w:val="18"/>
        </w:rPr>
        <w:t xml:space="preserve"> </w:t>
      </w:r>
    </w:p>
    <w:p w:rsidR="00F938AE" w:rsidRPr="00F938AE" w:rsidP="00F938AE" w14:paraId="4BEA0331" w14:textId="77777777">
      <w:pPr>
        <w:pStyle w:val="ListParagraph"/>
        <w:numPr>
          <w:ilvl w:val="0"/>
          <w:numId w:val="7"/>
        </w:numPr>
        <w:tabs>
          <w:tab w:val="left" w:pos="600"/>
        </w:tabs>
        <w:rPr>
          <w:sz w:val="18"/>
        </w:rPr>
      </w:pPr>
      <w:r w:rsidRPr="00F938AE">
        <w:rPr>
          <w:sz w:val="18"/>
        </w:rPr>
        <w:t xml:space="preserve">requiring the use of a statistical data classification that has not been reviewed and approved by </w:t>
      </w:r>
      <w:r w:rsidRPr="00F938AE">
        <w:rPr>
          <w:sz w:val="18"/>
        </w:rPr>
        <w:t>OMB;</w:t>
      </w:r>
      <w:r w:rsidRPr="00F938AE">
        <w:rPr>
          <w:sz w:val="18"/>
        </w:rPr>
        <w:t xml:space="preserve"> </w:t>
      </w:r>
    </w:p>
    <w:p w:rsidR="00F938AE" w:rsidP="00F938AE" w14:paraId="6B8949B0" w14:textId="5E3C24F5">
      <w:pPr>
        <w:pStyle w:val="ListParagraph"/>
        <w:numPr>
          <w:ilvl w:val="0"/>
          <w:numId w:val="7"/>
        </w:numPr>
        <w:tabs>
          <w:tab w:val="left" w:pos="600"/>
        </w:tabs>
        <w:ind w:left="504" w:firstLine="0"/>
        <w:rPr>
          <w:sz w:val="18"/>
        </w:rPr>
      </w:pPr>
      <w:r w:rsidRPr="00F938AE">
        <w:rPr>
          <w:sz w:val="18"/>
        </w:rPr>
        <w:t>that includes a pledge of confidentiality that is not supported by authority established in statute or regulation, that is not supported</w:t>
      </w:r>
      <w:r>
        <w:rPr>
          <w:sz w:val="18"/>
        </w:rPr>
        <w:t xml:space="preserve"> by </w:t>
      </w:r>
      <w:r w:rsidRPr="00F938AE">
        <w:rPr>
          <w:sz w:val="18"/>
        </w:rPr>
        <w:t xml:space="preserve">disclosure and data security policies that are consistent with the pledge, or which unnecessarily impedes sharing of data with other agencies for compatible confidential use; or </w:t>
      </w:r>
    </w:p>
    <w:p w:rsidR="00F938AE" w:rsidRPr="00F938AE" w:rsidP="00F938AE" w14:paraId="0CDCCB71" w14:textId="371B3C6B">
      <w:pPr>
        <w:pStyle w:val="ListParagraph"/>
        <w:keepLines/>
        <w:numPr>
          <w:ilvl w:val="0"/>
          <w:numId w:val="7"/>
        </w:numPr>
        <w:tabs>
          <w:tab w:val="left" w:pos="600"/>
        </w:tabs>
        <w:ind w:left="504" w:firstLine="0"/>
        <w:rPr>
          <w:sz w:val="18"/>
        </w:rPr>
      </w:pPr>
      <w:r w:rsidRPr="00F938AE">
        <w:rPr>
          <w:sz w:val="18"/>
        </w:rPr>
        <w:t>requiring respondents to submit proprietary trade secret, or other confidential information unless the agency can demonstrate that it has</w:t>
      </w:r>
      <w:r>
        <w:rPr>
          <w:sz w:val="18"/>
        </w:rPr>
        <w:t xml:space="preserve"> </w:t>
      </w:r>
      <w:r w:rsidRPr="00F938AE">
        <w:rPr>
          <w:sz w:val="18"/>
        </w:rPr>
        <w:t>instituted procedures to protect the information's confidentiality to the extent permitted by law.</w:t>
      </w:r>
    </w:p>
    <w:p w:rsidR="00F938AE" w:rsidP="00D60FF7" w14:paraId="00CFD524" w14:textId="77777777">
      <w:pPr>
        <w:pStyle w:val="BodyTextIndent2"/>
        <w:tabs>
          <w:tab w:val="clear" w:pos="0"/>
          <w:tab w:val="left" w:pos="360"/>
        </w:tabs>
        <w:spacing w:after="120" w:line="240" w:lineRule="auto"/>
        <w:rPr>
          <w:b/>
          <w:bCs/>
          <w:sz w:val="22"/>
          <w:szCs w:val="22"/>
        </w:rPr>
      </w:pPr>
    </w:p>
    <w:p w:rsidR="00D60FF7" w:rsidRPr="00F938AE" w:rsidP="00D60FF7" w14:paraId="41A4FA91" w14:textId="720339DD">
      <w:pPr>
        <w:pStyle w:val="BodyTextIndent2"/>
        <w:tabs>
          <w:tab w:val="clear" w:pos="0"/>
          <w:tab w:val="left" w:pos="360"/>
        </w:tabs>
        <w:spacing w:after="120" w:line="240" w:lineRule="auto"/>
        <w:rPr>
          <w:b/>
          <w:bCs/>
          <w:sz w:val="22"/>
          <w:szCs w:val="22"/>
        </w:rPr>
      </w:pPr>
      <w:r w:rsidRPr="00F938AE">
        <w:rPr>
          <w:b/>
          <w:bCs/>
          <w:sz w:val="22"/>
          <w:szCs w:val="22"/>
        </w:rPr>
        <w:t xml:space="preserve">There are no special circumstances that would cause these information collections to be conducted inappropriately. </w:t>
      </w:r>
    </w:p>
    <w:p w:rsidR="00F938AE" w:rsidP="00F938AE" w14:paraId="160F8002" w14:textId="677EB765">
      <w:pPr>
        <w:tabs>
          <w:tab w:val="left" w:pos="360"/>
        </w:tabs>
        <w:ind w:left="86"/>
        <w:rPr>
          <w:sz w:val="18"/>
        </w:rPr>
      </w:pPr>
      <w:r>
        <w:rPr>
          <w:sz w:val="18"/>
        </w:rPr>
        <w:t xml:space="preserve">8. </w:t>
      </w:r>
      <w:r>
        <w:rPr>
          <w:sz w:val="18"/>
        </w:rPr>
        <w:t xml:space="preserve">If applicable, provide a copy and identify the date and page number of </w:t>
      </w:r>
      <w:r>
        <w:rPr>
          <w:sz w:val="18"/>
        </w:rPr>
        <w:t>publication</w:t>
      </w:r>
      <w:r>
        <w:rPr>
          <w:sz w:val="18"/>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938AE" w:rsidRPr="00F938AE" w:rsidP="00F938AE" w14:paraId="6BAE9089" w14:textId="77777777">
      <w:pPr>
        <w:pStyle w:val="ListParagraph"/>
        <w:numPr>
          <w:ilvl w:val="0"/>
          <w:numId w:val="8"/>
        </w:numPr>
        <w:tabs>
          <w:tab w:val="left" w:pos="360"/>
        </w:tabs>
        <w:ind w:left="86" w:firstLine="0"/>
        <w:rPr>
          <w:sz w:val="18"/>
        </w:rPr>
      </w:pPr>
      <w:r w:rsidRPr="00F938AE">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F938AE" w:rsidRPr="00F938AE" w:rsidP="00F938AE" w14:paraId="22EBC05F" w14:textId="77777777">
      <w:pPr>
        <w:pStyle w:val="ListParagraph"/>
        <w:keepLines/>
        <w:numPr>
          <w:ilvl w:val="0"/>
          <w:numId w:val="8"/>
        </w:numPr>
        <w:tabs>
          <w:tab w:val="left" w:pos="360"/>
        </w:tabs>
        <w:spacing w:after="80"/>
        <w:ind w:left="86" w:firstLine="0"/>
        <w:rPr>
          <w:sz w:val="18"/>
        </w:rPr>
      </w:pPr>
      <w:r w:rsidRPr="00F938AE">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4A293F" w:rsidRPr="00F938AE" w:rsidP="00F938AE" w14:paraId="42762DBE" w14:textId="354E6D94">
      <w:pPr>
        <w:pStyle w:val="BodyTextIndent2"/>
        <w:tabs>
          <w:tab w:val="clear" w:pos="0"/>
          <w:tab w:val="left" w:pos="360"/>
        </w:tabs>
        <w:spacing w:after="120" w:line="240" w:lineRule="auto"/>
        <w:rPr>
          <w:b/>
          <w:sz w:val="22"/>
          <w:szCs w:val="22"/>
        </w:rPr>
      </w:pPr>
      <w:r w:rsidRPr="00F938AE">
        <w:rPr>
          <w:b/>
          <w:color w:val="000000"/>
          <w:sz w:val="22"/>
          <w:szCs w:val="22"/>
        </w:rPr>
        <w:t xml:space="preserve">This information collection was announced in the Federal Register, Volume </w:t>
      </w:r>
      <w:r w:rsidRPr="00F938AE">
        <w:rPr>
          <w:b/>
          <w:color w:val="000000"/>
          <w:sz w:val="22"/>
          <w:szCs w:val="22"/>
        </w:rPr>
        <w:t>88</w:t>
      </w:r>
      <w:r w:rsidRPr="00F938AE">
        <w:rPr>
          <w:b/>
          <w:color w:val="000000"/>
          <w:sz w:val="22"/>
          <w:szCs w:val="22"/>
        </w:rPr>
        <w:t xml:space="preserve">; No. </w:t>
      </w:r>
      <w:r w:rsidRPr="00F938AE">
        <w:rPr>
          <w:b/>
          <w:color w:val="000000"/>
          <w:sz w:val="22"/>
          <w:szCs w:val="22"/>
        </w:rPr>
        <w:t>103</w:t>
      </w:r>
      <w:r w:rsidRPr="00F938AE">
        <w:rPr>
          <w:b/>
          <w:color w:val="000000"/>
          <w:sz w:val="22"/>
          <w:szCs w:val="22"/>
        </w:rPr>
        <w:t xml:space="preserve">, Page </w:t>
      </w:r>
      <w:r w:rsidRPr="00F938AE">
        <w:rPr>
          <w:b/>
          <w:color w:val="000000"/>
          <w:sz w:val="22"/>
          <w:szCs w:val="22"/>
        </w:rPr>
        <w:t>34512</w:t>
      </w:r>
      <w:r w:rsidRPr="00F938AE">
        <w:rPr>
          <w:b/>
          <w:color w:val="000000"/>
          <w:sz w:val="22"/>
          <w:szCs w:val="22"/>
        </w:rPr>
        <w:t xml:space="preserve">, on </w:t>
      </w:r>
      <w:r w:rsidRPr="00F938AE">
        <w:rPr>
          <w:b/>
          <w:color w:val="000000"/>
          <w:sz w:val="22"/>
          <w:szCs w:val="22"/>
        </w:rPr>
        <w:t>May 30, 2023</w:t>
      </w:r>
      <w:r w:rsidRPr="00F938AE">
        <w:rPr>
          <w:b/>
          <w:color w:val="000000"/>
          <w:sz w:val="22"/>
          <w:szCs w:val="22"/>
        </w:rPr>
        <w:t xml:space="preserve">.  The public was given until </w:t>
      </w:r>
      <w:r w:rsidRPr="00F938AE">
        <w:rPr>
          <w:b/>
          <w:color w:val="000000"/>
          <w:sz w:val="22"/>
          <w:szCs w:val="22"/>
        </w:rPr>
        <w:t>July 31</w:t>
      </w:r>
      <w:r w:rsidRPr="00F938AE">
        <w:rPr>
          <w:b/>
          <w:color w:val="000000"/>
          <w:sz w:val="22"/>
          <w:szCs w:val="22"/>
        </w:rPr>
        <w:t>, 202</w:t>
      </w:r>
      <w:r w:rsidRPr="00F938AE">
        <w:rPr>
          <w:b/>
          <w:color w:val="000000"/>
          <w:sz w:val="22"/>
          <w:szCs w:val="22"/>
        </w:rPr>
        <w:t>3</w:t>
      </w:r>
      <w:r w:rsidRPr="00F938AE">
        <w:rPr>
          <w:b/>
          <w:color w:val="000000"/>
          <w:sz w:val="22"/>
          <w:szCs w:val="22"/>
        </w:rPr>
        <w:t>, to submit comments on the proposed information collection. HUD received no comments on this Proposed Information Collection.</w:t>
      </w:r>
    </w:p>
    <w:p w:rsidR="00113012" w:rsidRPr="00D60FF7" w:rsidP="00113012" w14:paraId="1D455BC4" w14:textId="77777777">
      <w:pPr>
        <w:keepLines/>
        <w:tabs>
          <w:tab w:val="left" w:pos="360"/>
        </w:tabs>
        <w:spacing w:after="80"/>
        <w:ind w:left="360" w:hanging="360"/>
        <w:rPr>
          <w:color w:val="000000"/>
          <w:sz w:val="22"/>
          <w:szCs w:val="22"/>
        </w:rPr>
      </w:pPr>
      <w:r w:rsidRPr="00D60FF7">
        <w:rPr>
          <w:color w:val="000000"/>
          <w:sz w:val="22"/>
          <w:szCs w:val="22"/>
        </w:rPr>
        <w:t>9.</w:t>
      </w:r>
      <w:r w:rsidRPr="00D60FF7">
        <w:rPr>
          <w:color w:val="000000"/>
          <w:sz w:val="22"/>
          <w:szCs w:val="22"/>
        </w:rPr>
        <w:tab/>
        <w:t>Explain any payments or gifts to respondents,</w:t>
      </w:r>
      <w:r w:rsidRPr="00D60FF7">
        <w:rPr>
          <w:color w:val="000000"/>
          <w:sz w:val="22"/>
          <w:szCs w:val="22"/>
        </w:rPr>
        <w:t xml:space="preserve"> other than remuneration of contractors or grantees.</w:t>
      </w:r>
    </w:p>
    <w:p w:rsidR="00113012" w:rsidRPr="00F938AE" w:rsidP="00113012" w14:paraId="08DE2248" w14:textId="6AFEF08D">
      <w:pPr>
        <w:tabs>
          <w:tab w:val="left" w:pos="360"/>
        </w:tabs>
        <w:ind w:left="360" w:hanging="360"/>
        <w:rPr>
          <w:b/>
          <w:bCs/>
          <w:sz w:val="22"/>
          <w:szCs w:val="22"/>
        </w:rPr>
      </w:pPr>
      <w:r w:rsidRPr="00D60FF7">
        <w:rPr>
          <w:sz w:val="22"/>
          <w:szCs w:val="22"/>
        </w:rPr>
        <w:tab/>
      </w:r>
      <w:r w:rsidRPr="00F938AE">
        <w:rPr>
          <w:b/>
          <w:bCs/>
          <w:sz w:val="22"/>
          <w:szCs w:val="22"/>
        </w:rPr>
        <w:t>No payments or gifts are provided to respondents for any of these information collections.</w:t>
      </w:r>
    </w:p>
    <w:p w:rsidR="008B5DB5" w:rsidRPr="00D60FF7" w:rsidP="00113012" w14:paraId="515F3DCB" w14:textId="77777777">
      <w:pPr>
        <w:tabs>
          <w:tab w:val="left" w:pos="360"/>
        </w:tabs>
        <w:ind w:left="360" w:hanging="360"/>
        <w:rPr>
          <w:color w:val="000000"/>
          <w:sz w:val="22"/>
          <w:szCs w:val="22"/>
        </w:rPr>
      </w:pPr>
    </w:p>
    <w:p w:rsidR="00113012" w:rsidRPr="00D60FF7" w:rsidP="00113012" w14:paraId="4CD5E0D9" w14:textId="28BD1C42">
      <w:pPr>
        <w:keepLines/>
        <w:tabs>
          <w:tab w:val="left" w:pos="360"/>
        </w:tabs>
        <w:spacing w:after="80"/>
        <w:ind w:left="360" w:hanging="360"/>
        <w:rPr>
          <w:color w:val="000000"/>
          <w:sz w:val="22"/>
          <w:szCs w:val="22"/>
        </w:rPr>
      </w:pPr>
      <w:r w:rsidRPr="00D60FF7">
        <w:rPr>
          <w:color w:val="000000"/>
          <w:sz w:val="22"/>
          <w:szCs w:val="22"/>
        </w:rPr>
        <w:t>10.</w:t>
      </w:r>
      <w:r w:rsidRPr="00D60FF7">
        <w:rPr>
          <w:color w:val="000000"/>
          <w:sz w:val="22"/>
          <w:szCs w:val="22"/>
        </w:rPr>
        <w:tab/>
        <w:t xml:space="preserve">Describe any assurance of confidentiality provided to respondents and the basis for assurance in statute, </w:t>
      </w:r>
      <w:r w:rsidRPr="00D60FF7">
        <w:rPr>
          <w:color w:val="000000"/>
          <w:sz w:val="22"/>
          <w:szCs w:val="22"/>
        </w:rPr>
        <w:t>regulation or agency policy.</w:t>
      </w:r>
    </w:p>
    <w:p w:rsidR="008B5DB5" w:rsidRPr="00F938AE" w:rsidP="00113012" w14:paraId="79F1CA31" w14:textId="6FB61ED6">
      <w:pPr>
        <w:keepLines/>
        <w:tabs>
          <w:tab w:val="left" w:pos="360"/>
        </w:tabs>
        <w:spacing w:after="80"/>
        <w:ind w:left="360" w:hanging="360"/>
        <w:rPr>
          <w:b/>
          <w:bCs/>
          <w:color w:val="000000"/>
          <w:sz w:val="22"/>
          <w:szCs w:val="22"/>
        </w:rPr>
      </w:pPr>
      <w:r w:rsidRPr="00D60FF7">
        <w:rPr>
          <w:sz w:val="22"/>
          <w:szCs w:val="22"/>
        </w:rPr>
        <w:tab/>
      </w:r>
      <w:r w:rsidRPr="00F938AE">
        <w:rPr>
          <w:b/>
          <w:bCs/>
          <w:sz w:val="22"/>
          <w:szCs w:val="22"/>
        </w:rPr>
        <w:t xml:space="preserve">Assurance of confidentiality is neither provided nor needed for any of these information collections.  </w:t>
      </w:r>
    </w:p>
    <w:p w:rsidR="00113012" w:rsidRPr="00D60FF7" w:rsidP="00113012" w14:paraId="441FC39E" w14:textId="77777777">
      <w:pPr>
        <w:tabs>
          <w:tab w:val="left" w:pos="360"/>
        </w:tabs>
        <w:ind w:left="360" w:hanging="360"/>
        <w:rPr>
          <w:color w:val="000000"/>
          <w:sz w:val="22"/>
          <w:szCs w:val="22"/>
        </w:rPr>
      </w:pPr>
    </w:p>
    <w:p w:rsidR="00113012" w:rsidRPr="00D60FF7" w:rsidP="00113012" w14:paraId="11A055A0" w14:textId="77777777">
      <w:pPr>
        <w:keepLines/>
        <w:tabs>
          <w:tab w:val="left" w:pos="360"/>
          <w:tab w:val="left" w:pos="720"/>
        </w:tabs>
        <w:ind w:left="360" w:hanging="360"/>
        <w:rPr>
          <w:color w:val="000000"/>
          <w:sz w:val="22"/>
          <w:szCs w:val="22"/>
        </w:rPr>
      </w:pPr>
      <w:r w:rsidRPr="00D60FF7">
        <w:rPr>
          <w:color w:val="000000"/>
          <w:sz w:val="22"/>
          <w:szCs w:val="22"/>
        </w:rPr>
        <w:t>11.</w:t>
      </w:r>
      <w:r w:rsidRPr="00D60FF7">
        <w:rPr>
          <w:color w:val="000000"/>
          <w:sz w:val="22"/>
          <w:szCs w:val="22"/>
        </w:rPr>
        <w:tab/>
      </w:r>
      <w:r w:rsidRPr="00D60FF7">
        <w:rPr>
          <w:bCs/>
          <w:color w:val="000000"/>
          <w:sz w:val="22"/>
          <w:szCs w:val="22"/>
        </w:rPr>
        <w:t>J</w:t>
      </w:r>
      <w:r w:rsidRPr="00D60FF7">
        <w:rPr>
          <w:color w:val="000000"/>
          <w:sz w:val="22"/>
          <w:szCs w:val="22"/>
        </w:rPr>
        <w:t>ustify any questions of a sensitive nature, such as sexual, religious beliefs, and other matters that are commonly c</w:t>
      </w:r>
      <w:r w:rsidRPr="00D60FF7">
        <w:rPr>
          <w:color w:val="000000"/>
          <w:sz w:val="22"/>
          <w:szCs w:val="22"/>
        </w:rPr>
        <w:t>onsidered private</w:t>
      </w:r>
    </w:p>
    <w:p w:rsidR="00113012" w:rsidRPr="00F938AE" w:rsidP="00113012" w14:paraId="4F018AB4" w14:textId="667D47D3">
      <w:pPr>
        <w:keepLines/>
        <w:tabs>
          <w:tab w:val="left" w:pos="360"/>
        </w:tabs>
        <w:ind w:left="360" w:hanging="360"/>
        <w:rPr>
          <w:b/>
          <w:bCs/>
          <w:sz w:val="22"/>
          <w:szCs w:val="22"/>
        </w:rPr>
      </w:pPr>
      <w:r w:rsidRPr="00D60FF7">
        <w:rPr>
          <w:sz w:val="22"/>
          <w:szCs w:val="22"/>
        </w:rPr>
        <w:tab/>
      </w:r>
      <w:r w:rsidRPr="00F938AE">
        <w:rPr>
          <w:b/>
          <w:bCs/>
          <w:sz w:val="22"/>
          <w:szCs w:val="22"/>
        </w:rPr>
        <w:t>No sensitive questions are being asked for any of these information collections.</w:t>
      </w:r>
    </w:p>
    <w:p w:rsidR="008B5DB5" w:rsidRPr="00D60FF7" w:rsidP="00113012" w14:paraId="6F396894" w14:textId="77777777">
      <w:pPr>
        <w:keepLines/>
        <w:tabs>
          <w:tab w:val="left" w:pos="360"/>
        </w:tabs>
        <w:ind w:left="360" w:hanging="360"/>
        <w:rPr>
          <w:color w:val="000000"/>
          <w:sz w:val="22"/>
          <w:szCs w:val="22"/>
        </w:rPr>
      </w:pPr>
    </w:p>
    <w:p w:rsidR="00113012" w:rsidRPr="00D60FF7" w:rsidP="00113012" w14:paraId="09330259" w14:textId="77777777">
      <w:pPr>
        <w:keepLines/>
        <w:tabs>
          <w:tab w:val="left" w:pos="360"/>
          <w:tab w:val="left" w:pos="720"/>
        </w:tabs>
        <w:ind w:left="360" w:hanging="360"/>
        <w:rPr>
          <w:color w:val="000000"/>
          <w:sz w:val="22"/>
          <w:szCs w:val="22"/>
        </w:rPr>
      </w:pPr>
      <w:r w:rsidRPr="00D60FF7">
        <w:rPr>
          <w:color w:val="000000"/>
          <w:sz w:val="22"/>
          <w:szCs w:val="22"/>
        </w:rPr>
        <w:t>12.</w:t>
      </w:r>
      <w:r w:rsidRPr="00D60FF7">
        <w:rPr>
          <w:color w:val="000000"/>
          <w:sz w:val="22"/>
          <w:szCs w:val="22"/>
        </w:rPr>
        <w:tab/>
      </w:r>
      <w:r w:rsidRPr="00D60FF7">
        <w:rPr>
          <w:bCs/>
          <w:color w:val="000000"/>
          <w:sz w:val="22"/>
          <w:szCs w:val="22"/>
        </w:rPr>
        <w:t>E</w:t>
      </w:r>
      <w:r w:rsidRPr="00D60FF7">
        <w:rPr>
          <w:color w:val="000000"/>
          <w:sz w:val="22"/>
          <w:szCs w:val="22"/>
        </w:rPr>
        <w:t xml:space="preserve">stimate public burden: number of respondents, frequency of response, annual hour burden.  Read the complete instructions on the form 83i.  </w:t>
      </w:r>
      <w:r w:rsidRPr="00D60FF7">
        <w:rPr>
          <w:color w:val="000000"/>
          <w:sz w:val="22"/>
          <w:szCs w:val="22"/>
        </w:rPr>
        <w:t xml:space="preserve">Explain how the burden was estimated.  Generally, estimates should not include burden hours for customary and usual business practices.  Provide a table to describe the elements of the burden. Break out each form used.  </w:t>
      </w:r>
    </w:p>
    <w:p w:rsidR="008B5DB5" w:rsidRPr="00F938AE" w:rsidP="7246A32F" w14:paraId="7E2C3895" w14:textId="022A7A8D">
      <w:pPr>
        <w:pStyle w:val="BodyTextIndent2"/>
        <w:keepNext/>
        <w:keepLines/>
        <w:tabs>
          <w:tab w:val="left" w:pos="360"/>
        </w:tabs>
        <w:spacing w:after="120" w:line="240" w:lineRule="auto"/>
        <w:ind w:left="504"/>
        <w:rPr>
          <w:b/>
          <w:bCs/>
        </w:rPr>
      </w:pPr>
      <w:r w:rsidRPr="00F938AE">
        <w:rPr>
          <w:b/>
          <w:bCs/>
        </w:rPr>
        <w:t>The chart below outlines the burden</w:t>
      </w:r>
      <w:r w:rsidRPr="00F938AE">
        <w:rPr>
          <w:b/>
          <w:bCs/>
        </w:rPr>
        <w:t xml:space="preserve"> hours associated with the various aspects of the Family Unification Program NOFA </w:t>
      </w:r>
      <w:r w:rsidRPr="00F938AE" w:rsidR="7D39CC5D">
        <w:rPr>
          <w:b/>
          <w:bCs/>
        </w:rPr>
        <w:t>and</w:t>
      </w:r>
      <w:r w:rsidRPr="00F938AE">
        <w:rPr>
          <w:b/>
          <w:bCs/>
        </w:rPr>
        <w:t xml:space="preserve"> includes the post-award submission of the Logic Model approved under another OMB approval to capture information associated with implementation of Area Wide Housing Oppor</w:t>
      </w:r>
      <w:r w:rsidRPr="00F938AE">
        <w:rPr>
          <w:b/>
          <w:bCs/>
        </w:rPr>
        <w:t>tunities sub-categories associated with HUD policy priorities.</w:t>
      </w:r>
    </w:p>
    <w:p w:rsidR="008B5DB5" w:rsidRPr="00F938AE" w:rsidP="008B5DB5" w14:paraId="01839CC0" w14:textId="7786F255">
      <w:pPr>
        <w:pStyle w:val="BodyTextIndent2"/>
        <w:tabs>
          <w:tab w:val="left" w:pos="360"/>
        </w:tabs>
        <w:spacing w:after="120" w:line="240" w:lineRule="auto"/>
        <w:ind w:left="504"/>
        <w:rPr>
          <w:b/>
          <w:bCs/>
        </w:rPr>
      </w:pPr>
      <w:r w:rsidRPr="00F938AE">
        <w:rPr>
          <w:b/>
          <w:bCs/>
        </w:rPr>
        <w:t xml:space="preserve">Costs to the respondents to complete these information collections for the application process are indicated below.  </w:t>
      </w:r>
    </w:p>
    <w:p w:rsidR="008B5DB5" w:rsidRPr="00F938AE" w:rsidP="008B5DB5" w14:paraId="31212587" w14:textId="0BA3E081">
      <w:pPr>
        <w:pStyle w:val="BodyTextIndent2"/>
        <w:tabs>
          <w:tab w:val="left" w:pos="360"/>
        </w:tabs>
        <w:spacing w:after="120" w:line="240" w:lineRule="auto"/>
        <w:ind w:left="504"/>
        <w:rPr>
          <w:b/>
          <w:bCs/>
        </w:rPr>
      </w:pPr>
      <w:r w:rsidRPr="00F938AE">
        <w:rPr>
          <w:b/>
          <w:bCs/>
        </w:rPr>
        <w:t xml:space="preserve">Burden hours per application response are estimated at 18.02 hours and per </w:t>
      </w:r>
      <w:r w:rsidRPr="00F938AE">
        <w:rPr>
          <w:b/>
          <w:bCs/>
        </w:rPr>
        <w:t>post-award reporting and recordkeeping at 10.5 hours.  Burden hours are estimated for 265 applicant respondents submitting NOFA applications and 42 applicants receiving funding and maintaining records and reporting on program implementation for a total bur</w:t>
      </w:r>
      <w:r w:rsidRPr="00F938AE">
        <w:rPr>
          <w:b/>
          <w:bCs/>
        </w:rPr>
        <w:t xml:space="preserve">den of </w:t>
      </w:r>
      <w:r w:rsidRPr="00F938AE">
        <w:rPr>
          <w:rFonts w:cs="Arial"/>
          <w:b/>
          <w:bCs/>
        </w:rPr>
        <w:t>6,101.95</w:t>
      </w:r>
      <w:r w:rsidRPr="00F938AE">
        <w:rPr>
          <w:b/>
          <w:bCs/>
        </w:rPr>
        <w:t xml:space="preserve">.  Forms such as the SF 424 are not duplicative information.  These forms, while authorized under different OMB Control Numbers, are submitted as part of the FUP application process and used </w:t>
      </w:r>
      <w:r w:rsidRPr="00F938AE">
        <w:rPr>
          <w:b/>
          <w:bCs/>
        </w:rPr>
        <w:t>specific</w:t>
      </w:r>
      <w:r w:rsidRPr="00F938AE">
        <w:rPr>
          <w:b/>
          <w:bCs/>
        </w:rPr>
        <w:t xml:space="preserve"> to the applications’ content. </w:t>
      </w:r>
    </w:p>
    <w:tbl>
      <w:tblPr>
        <w:tblW w:w="4991" w:type="pct"/>
        <w:tblLayout w:type="fixed"/>
        <w:tblLook w:val="04A0"/>
      </w:tblPr>
      <w:tblGrid>
        <w:gridCol w:w="2670"/>
        <w:gridCol w:w="1207"/>
        <w:gridCol w:w="1217"/>
        <w:gridCol w:w="1014"/>
        <w:gridCol w:w="910"/>
        <w:gridCol w:w="1118"/>
        <w:gridCol w:w="1014"/>
        <w:gridCol w:w="1621"/>
      </w:tblGrid>
      <w:tr w14:paraId="70FE711C" w14:textId="77777777" w:rsidTr="00452D16">
        <w:tblPrEx>
          <w:tblW w:w="4991" w:type="pct"/>
          <w:tblLayout w:type="fixed"/>
          <w:tblLook w:val="04A0"/>
        </w:tblPrEx>
        <w:trPr>
          <w:cantSplit/>
          <w:trHeight w:val="144"/>
          <w:tblHeader/>
        </w:trPr>
        <w:tc>
          <w:tcPr>
            <w:tcW w:w="2670" w:type="dxa"/>
            <w:tcBorders>
              <w:top w:val="single" w:sz="4" w:space="0" w:color="auto"/>
              <w:left w:val="single" w:sz="4" w:space="0" w:color="auto"/>
              <w:bottom w:val="single" w:sz="4" w:space="0" w:color="auto"/>
              <w:right w:val="single" w:sz="4" w:space="0" w:color="auto"/>
            </w:tcBorders>
            <w:shd w:val="clear" w:color="000000" w:fill="FFFFFF"/>
            <w:hideMark/>
          </w:tcPr>
          <w:p w:rsidR="008B5DB5" w:rsidRPr="000D0ED9" w:rsidP="007C439D" w14:paraId="09EDEC80" w14:textId="77777777">
            <w:pPr>
              <w:keepNext/>
              <w:spacing w:before="40" w:after="40"/>
              <w:rPr>
                <w:rFonts w:cs="Arial"/>
                <w:b/>
              </w:rPr>
            </w:pPr>
            <w:r w:rsidRPr="000D0ED9">
              <w:rPr>
                <w:b/>
              </w:rPr>
              <w:br w:type="page"/>
            </w:r>
            <w:r w:rsidRPr="000D0ED9">
              <w:rPr>
                <w:rFonts w:cs="Arial"/>
                <w:b/>
              </w:rPr>
              <w:t>Descripti</w:t>
            </w:r>
            <w:r w:rsidRPr="000D0ED9">
              <w:rPr>
                <w:rFonts w:cs="Arial"/>
                <w:b/>
              </w:rPr>
              <w:t>on of Information Collection</w:t>
            </w:r>
          </w:p>
        </w:tc>
        <w:tc>
          <w:tcPr>
            <w:tcW w:w="1207" w:type="dxa"/>
            <w:tcBorders>
              <w:top w:val="single" w:sz="4" w:space="0" w:color="auto"/>
              <w:left w:val="nil"/>
              <w:bottom w:val="single" w:sz="4" w:space="0" w:color="auto"/>
              <w:right w:val="single" w:sz="4" w:space="0" w:color="auto"/>
            </w:tcBorders>
            <w:shd w:val="clear" w:color="000000" w:fill="FFFFFF"/>
            <w:hideMark/>
          </w:tcPr>
          <w:p w:rsidR="008B5DB5" w:rsidRPr="000D0ED9" w:rsidP="007C439D" w14:paraId="07969151" w14:textId="77777777">
            <w:pPr>
              <w:tabs>
                <w:tab w:val="left" w:pos="983"/>
              </w:tabs>
              <w:spacing w:before="40" w:after="40"/>
              <w:jc w:val="center"/>
              <w:rPr>
                <w:rFonts w:cs="Arial"/>
                <w:b/>
                <w:szCs w:val="18"/>
              </w:rPr>
            </w:pPr>
            <w:r w:rsidRPr="000D0ED9">
              <w:rPr>
                <w:rFonts w:cs="Arial"/>
                <w:b/>
                <w:szCs w:val="18"/>
              </w:rPr>
              <w:t>Number of Respondents</w:t>
            </w:r>
          </w:p>
        </w:tc>
        <w:tc>
          <w:tcPr>
            <w:tcW w:w="1217" w:type="dxa"/>
            <w:tcBorders>
              <w:top w:val="single" w:sz="4" w:space="0" w:color="auto"/>
              <w:left w:val="nil"/>
              <w:bottom w:val="single" w:sz="4" w:space="0" w:color="auto"/>
              <w:right w:val="single" w:sz="4" w:space="0" w:color="auto"/>
            </w:tcBorders>
            <w:shd w:val="clear" w:color="000000" w:fill="FFFFFF"/>
          </w:tcPr>
          <w:p w:rsidR="008B5DB5" w:rsidRPr="000D0ED9" w:rsidP="007C439D" w14:paraId="36518759" w14:textId="77777777">
            <w:pPr>
              <w:spacing w:before="40" w:after="40"/>
              <w:jc w:val="center"/>
              <w:rPr>
                <w:rFonts w:cs="Arial"/>
                <w:b/>
                <w:szCs w:val="18"/>
              </w:rPr>
            </w:pPr>
            <w:r w:rsidRPr="000D0ED9">
              <w:rPr>
                <w:rFonts w:cs="Arial"/>
                <w:b/>
                <w:szCs w:val="18"/>
              </w:rPr>
              <w:t>Frequency of Response</w:t>
            </w:r>
          </w:p>
        </w:tc>
        <w:tc>
          <w:tcPr>
            <w:tcW w:w="1014" w:type="dxa"/>
            <w:tcBorders>
              <w:top w:val="single" w:sz="4" w:space="0" w:color="auto"/>
              <w:left w:val="single" w:sz="4" w:space="0" w:color="auto"/>
              <w:bottom w:val="single" w:sz="4" w:space="0" w:color="auto"/>
              <w:right w:val="single" w:sz="4" w:space="0" w:color="auto"/>
            </w:tcBorders>
            <w:shd w:val="clear" w:color="000000" w:fill="FFFFFF"/>
            <w:hideMark/>
          </w:tcPr>
          <w:p w:rsidR="008B5DB5" w:rsidRPr="000D0ED9" w:rsidP="007C439D" w14:paraId="70C240A3" w14:textId="77777777">
            <w:pPr>
              <w:spacing w:before="40" w:after="40"/>
              <w:jc w:val="center"/>
              <w:rPr>
                <w:rFonts w:cs="Arial"/>
                <w:b/>
              </w:rPr>
            </w:pPr>
            <w:r w:rsidRPr="000D0ED9">
              <w:rPr>
                <w:rFonts w:cs="Arial"/>
                <w:b/>
                <w:szCs w:val="18"/>
              </w:rPr>
              <w:t>Responses per Annum</w:t>
            </w:r>
          </w:p>
        </w:tc>
        <w:tc>
          <w:tcPr>
            <w:tcW w:w="910" w:type="dxa"/>
            <w:tcBorders>
              <w:top w:val="single" w:sz="4" w:space="0" w:color="auto"/>
              <w:left w:val="nil"/>
              <w:bottom w:val="single" w:sz="4" w:space="0" w:color="auto"/>
              <w:right w:val="single" w:sz="4" w:space="0" w:color="auto"/>
            </w:tcBorders>
            <w:shd w:val="clear" w:color="000000" w:fill="FFFFFF"/>
          </w:tcPr>
          <w:p w:rsidR="008B5DB5" w:rsidRPr="000D0ED9" w:rsidP="007C439D" w14:paraId="6736AF37" w14:textId="77777777">
            <w:pPr>
              <w:spacing w:before="40" w:after="40"/>
              <w:jc w:val="center"/>
              <w:rPr>
                <w:rFonts w:cs="Arial"/>
                <w:b/>
                <w:szCs w:val="18"/>
              </w:rPr>
            </w:pPr>
            <w:r w:rsidRPr="000D0ED9">
              <w:rPr>
                <w:b/>
              </w:rPr>
              <w:t>Burden Hour Per Response</w:t>
            </w:r>
          </w:p>
        </w:tc>
        <w:tc>
          <w:tcPr>
            <w:tcW w:w="1118" w:type="dxa"/>
            <w:tcBorders>
              <w:top w:val="single" w:sz="4" w:space="0" w:color="auto"/>
              <w:left w:val="single" w:sz="4" w:space="0" w:color="auto"/>
              <w:bottom w:val="single" w:sz="4" w:space="0" w:color="auto"/>
              <w:right w:val="single" w:sz="4" w:space="0" w:color="auto"/>
            </w:tcBorders>
            <w:shd w:val="clear" w:color="000000" w:fill="FFFFFF"/>
            <w:hideMark/>
          </w:tcPr>
          <w:p w:rsidR="008B5DB5" w:rsidRPr="000D0ED9" w:rsidP="007C439D" w14:paraId="37ECB084" w14:textId="77777777">
            <w:pPr>
              <w:spacing w:before="40" w:after="40"/>
              <w:jc w:val="center"/>
              <w:rPr>
                <w:rFonts w:cs="Arial"/>
                <w:b/>
              </w:rPr>
            </w:pPr>
            <w:r w:rsidRPr="000D0ED9">
              <w:rPr>
                <w:rFonts w:cs="Arial"/>
                <w:b/>
                <w:szCs w:val="18"/>
              </w:rPr>
              <w:t>Annual Burden Hours</w:t>
            </w:r>
          </w:p>
        </w:tc>
        <w:tc>
          <w:tcPr>
            <w:tcW w:w="1014" w:type="dxa"/>
            <w:tcBorders>
              <w:top w:val="single" w:sz="4" w:space="0" w:color="auto"/>
              <w:left w:val="nil"/>
              <w:bottom w:val="single" w:sz="4" w:space="0" w:color="auto"/>
              <w:right w:val="single" w:sz="4" w:space="0" w:color="auto"/>
            </w:tcBorders>
            <w:shd w:val="clear" w:color="000000" w:fill="FFFFFF"/>
            <w:hideMark/>
          </w:tcPr>
          <w:p w:rsidR="008B5DB5" w:rsidRPr="000D0ED9" w:rsidP="007C439D" w14:paraId="0E3C8223" w14:textId="77777777">
            <w:pPr>
              <w:spacing w:before="40" w:after="40"/>
              <w:jc w:val="center"/>
              <w:rPr>
                <w:rFonts w:cs="Arial"/>
                <w:b/>
              </w:rPr>
            </w:pPr>
            <w:r w:rsidRPr="000D0ED9">
              <w:rPr>
                <w:rFonts w:cs="Arial"/>
                <w:b/>
                <w:szCs w:val="18"/>
              </w:rPr>
              <w:t>Hourly Cost per Response</w:t>
            </w:r>
          </w:p>
        </w:tc>
        <w:tc>
          <w:tcPr>
            <w:tcW w:w="1621" w:type="dxa"/>
            <w:tcBorders>
              <w:top w:val="single" w:sz="4" w:space="0" w:color="auto"/>
              <w:left w:val="nil"/>
              <w:bottom w:val="single" w:sz="4" w:space="0" w:color="auto"/>
              <w:right w:val="single" w:sz="4" w:space="0" w:color="auto"/>
            </w:tcBorders>
            <w:shd w:val="clear" w:color="000000" w:fill="FFFFFF"/>
            <w:hideMark/>
          </w:tcPr>
          <w:p w:rsidR="008B5DB5" w:rsidRPr="000D0ED9" w:rsidP="007C439D" w14:paraId="42592572" w14:textId="77777777">
            <w:pPr>
              <w:spacing w:before="40" w:after="40"/>
              <w:jc w:val="center"/>
              <w:rPr>
                <w:rFonts w:cs="Arial"/>
                <w:b/>
              </w:rPr>
            </w:pPr>
            <w:r w:rsidRPr="000D0ED9">
              <w:rPr>
                <w:rFonts w:cs="Arial"/>
                <w:b/>
                <w:szCs w:val="18"/>
              </w:rPr>
              <w:t>Annual Cost</w:t>
            </w:r>
          </w:p>
        </w:tc>
      </w:tr>
      <w:tr w14:paraId="1F820558"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P="007C439D" w14:paraId="6C46322F" w14:textId="77777777">
            <w:pPr>
              <w:keepNext/>
              <w:spacing w:before="40" w:after="40"/>
              <w:rPr>
                <w:rFonts w:cs="Arial"/>
              </w:rPr>
            </w:pPr>
            <w:r w:rsidRPr="004C4D5F">
              <w:rPr>
                <w:rFonts w:cs="Arial"/>
              </w:rPr>
              <w:t>SF424</w:t>
            </w:r>
            <w:r>
              <w:rPr>
                <w:rFonts w:cs="Arial"/>
              </w:rPr>
              <w:t xml:space="preserve"> (0348-0043)</w:t>
            </w:r>
          </w:p>
          <w:p w:rsidR="008B5DB5" w:rsidRPr="004C4D5F" w:rsidP="007C439D" w14:paraId="5C002E62" w14:textId="77777777">
            <w:pPr>
              <w:keepNext/>
              <w:spacing w:before="40" w:after="40"/>
              <w:rPr>
                <w:rFonts w:cs="Arial"/>
              </w:rPr>
            </w:pPr>
            <w:r>
              <w:rPr>
                <w:rFonts w:cs="Arial"/>
              </w:rPr>
              <w:t>Application for Federal Assistance</w:t>
            </w:r>
          </w:p>
        </w:tc>
        <w:tc>
          <w:tcPr>
            <w:tcW w:w="1207" w:type="dxa"/>
            <w:tcBorders>
              <w:top w:val="nil"/>
              <w:left w:val="nil"/>
              <w:bottom w:val="single" w:sz="4" w:space="0" w:color="auto"/>
              <w:right w:val="single" w:sz="4" w:space="0" w:color="auto"/>
            </w:tcBorders>
            <w:shd w:val="clear" w:color="000000" w:fill="FFFFFF"/>
            <w:tcMar>
              <w:left w:w="0" w:type="dxa"/>
              <w:right w:w="0" w:type="dxa"/>
            </w:tcMar>
            <w:hideMark/>
          </w:tcPr>
          <w:p w:rsidR="008B5DB5" w:rsidRPr="004C4D5F" w:rsidP="007C439D" w14:paraId="0E004271" w14:textId="77777777">
            <w:pPr>
              <w:tabs>
                <w:tab w:val="left" w:pos="983"/>
              </w:tabs>
              <w:spacing w:before="40" w:after="40"/>
              <w:ind w:right="-25"/>
              <w:jc w:val="center"/>
              <w:rPr>
                <w:rFonts w:cs="Arial"/>
              </w:rPr>
            </w:pPr>
            <w:r>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RPr="004C4D5F" w:rsidP="007C439D" w14:paraId="3B019E8D" w14:textId="77777777">
            <w:pPr>
              <w:spacing w:before="40" w:after="40"/>
              <w:jc w:val="center"/>
              <w:rPr>
                <w:rFonts w:cs="Arial"/>
              </w:rPr>
            </w:pPr>
            <w:r>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4C4D5F" w:rsidP="007C439D" w14:paraId="482C5539" w14:textId="77777777">
            <w:pPr>
              <w:spacing w:before="40" w:after="40"/>
              <w:jc w:val="center"/>
              <w:rPr>
                <w:rFonts w:cs="Arial"/>
              </w:rPr>
            </w:pPr>
            <w:r w:rsidRPr="004C4D5F">
              <w:rPr>
                <w:rFonts w:cs="Arial"/>
              </w:rPr>
              <w:t>1</w:t>
            </w:r>
          </w:p>
        </w:tc>
        <w:tc>
          <w:tcPr>
            <w:tcW w:w="910" w:type="dxa"/>
            <w:tcBorders>
              <w:top w:val="nil"/>
              <w:left w:val="nil"/>
              <w:bottom w:val="single" w:sz="4" w:space="0" w:color="auto"/>
              <w:right w:val="single" w:sz="4" w:space="0" w:color="auto"/>
            </w:tcBorders>
            <w:shd w:val="clear" w:color="000000" w:fill="FFFFFF"/>
          </w:tcPr>
          <w:p w:rsidR="008B5DB5" w:rsidRPr="004C4D5F" w:rsidP="007C439D" w14:paraId="67CE48EA" w14:textId="77777777">
            <w:pPr>
              <w:tabs>
                <w:tab w:val="left" w:pos="252"/>
                <w:tab w:val="left" w:pos="897"/>
              </w:tabs>
              <w:spacing w:before="40" w:after="40"/>
              <w:ind w:left="-212" w:right="-108"/>
              <w:jc w:val="center"/>
              <w:rPr>
                <w:rFonts w:cs="Arial"/>
              </w:rPr>
            </w:pPr>
            <w:r w:rsidRPr="004C4D5F">
              <w:rPr>
                <w:rFonts w:cs="Arial"/>
              </w:rPr>
              <w:t>0.75</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4C4D5F" w:rsidP="007C439D" w14:paraId="6FD037B5" w14:textId="77777777">
            <w:pPr>
              <w:spacing w:before="40" w:after="40"/>
              <w:ind w:right="-101"/>
              <w:jc w:val="center"/>
              <w:rPr>
                <w:rFonts w:cs="Arial"/>
              </w:rPr>
            </w:pPr>
            <w:r>
              <w:rPr>
                <w:rFonts w:cs="Arial"/>
              </w:rPr>
              <w:t>198.75</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21F620E1"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7A58109B" w14:textId="77777777">
            <w:pPr>
              <w:jc w:val="center"/>
              <w:rPr>
                <w:rFonts w:ascii="Calibri" w:hAnsi="Calibri" w:cs="Calibri"/>
                <w:color w:val="000000"/>
              </w:rPr>
            </w:pPr>
            <w:r>
              <w:rPr>
                <w:rFonts w:ascii="Calibri" w:hAnsi="Calibri" w:cs="Arial"/>
                <w:color w:val="000000"/>
              </w:rPr>
              <w:t>$6,962.21</w:t>
            </w:r>
          </w:p>
        </w:tc>
      </w:tr>
      <w:tr w14:paraId="59352F80"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P="007C439D" w14:paraId="5A13BE55" w14:textId="77777777">
            <w:pPr>
              <w:keepNext/>
              <w:spacing w:before="40" w:after="40"/>
              <w:rPr>
                <w:rFonts w:cs="Arial"/>
              </w:rPr>
            </w:pPr>
            <w:r w:rsidRPr="004C4D5F">
              <w:rPr>
                <w:rFonts w:cs="Arial"/>
              </w:rPr>
              <w:t>SF</w:t>
            </w:r>
            <w:r w:rsidRPr="004C4D5F">
              <w:rPr>
                <w:rFonts w:cs="Arial"/>
              </w:rPr>
              <w:t xml:space="preserve"> LLL</w:t>
            </w:r>
            <w:r>
              <w:rPr>
                <w:rFonts w:cs="Arial"/>
              </w:rPr>
              <w:t xml:space="preserve"> (0348-0046)</w:t>
            </w:r>
          </w:p>
          <w:p w:rsidR="008B5DB5" w:rsidRPr="004C4D5F" w:rsidP="007C439D" w14:paraId="4279BA04" w14:textId="77777777">
            <w:pPr>
              <w:keepNext/>
              <w:spacing w:before="40" w:after="40"/>
              <w:rPr>
                <w:rFonts w:cs="Arial"/>
              </w:rPr>
            </w:pPr>
            <w:r>
              <w:rPr>
                <w:rFonts w:cs="Arial"/>
              </w:rPr>
              <w:t>Lobbying Form</w:t>
            </w:r>
          </w:p>
        </w:tc>
        <w:tc>
          <w:tcPr>
            <w:tcW w:w="1207" w:type="dxa"/>
            <w:tcBorders>
              <w:top w:val="nil"/>
              <w:left w:val="nil"/>
              <w:bottom w:val="single" w:sz="4" w:space="0" w:color="auto"/>
              <w:right w:val="single" w:sz="4" w:space="0" w:color="auto"/>
            </w:tcBorders>
            <w:shd w:val="clear" w:color="000000" w:fill="FFFFFF"/>
            <w:hideMark/>
          </w:tcPr>
          <w:p w:rsidR="008B5DB5" w:rsidRPr="004C4D5F" w:rsidP="007C439D" w14:paraId="52E1FDF3" w14:textId="77777777">
            <w:pPr>
              <w:tabs>
                <w:tab w:val="left" w:pos="983"/>
              </w:tabs>
              <w:spacing w:before="40" w:after="40"/>
              <w:ind w:right="-25"/>
              <w:jc w:val="center"/>
              <w:rPr>
                <w:rFonts w:cs="Arial"/>
              </w:rPr>
            </w:pPr>
            <w:r>
              <w:rPr>
                <w:rFonts w:cs="Arial"/>
              </w:rPr>
              <w:t>10</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42D82C98"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4C4D5F" w:rsidP="007C439D" w14:paraId="7A338A79" w14:textId="77777777">
            <w:pPr>
              <w:spacing w:before="40" w:after="40"/>
              <w:jc w:val="center"/>
              <w:rPr>
                <w:rFonts w:cs="Arial"/>
              </w:rPr>
            </w:pPr>
            <w:r w:rsidRPr="004C4D5F">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4C4D5F" w:rsidP="007C439D" w14:paraId="26543A32" w14:textId="77777777">
            <w:pPr>
              <w:tabs>
                <w:tab w:val="left" w:pos="897"/>
              </w:tabs>
              <w:spacing w:before="40" w:after="40"/>
              <w:ind w:left="-212" w:right="-108"/>
              <w:jc w:val="center"/>
              <w:rPr>
                <w:rFonts w:cs="Arial"/>
              </w:rPr>
            </w:pPr>
            <w:r w:rsidRPr="004C4D5F">
              <w:rPr>
                <w:rFonts w:cs="Arial"/>
              </w:rPr>
              <w:t>0.17</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4C4D5F" w:rsidP="007C439D" w14:paraId="08495BEC" w14:textId="77777777">
            <w:pPr>
              <w:spacing w:before="40" w:after="40"/>
              <w:ind w:right="-101"/>
              <w:jc w:val="center"/>
              <w:rPr>
                <w:rFonts w:cs="Arial"/>
              </w:rPr>
            </w:pPr>
            <w:r>
              <w:rPr>
                <w:rFonts w:cs="Arial"/>
              </w:rPr>
              <w:t>1.7</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0158125A"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2AC4C137" w14:textId="77777777">
            <w:pPr>
              <w:jc w:val="center"/>
              <w:rPr>
                <w:rFonts w:ascii="Calibri" w:hAnsi="Calibri" w:cs="Calibri"/>
                <w:color w:val="000000"/>
              </w:rPr>
            </w:pPr>
            <w:r>
              <w:rPr>
                <w:rFonts w:ascii="Calibri" w:hAnsi="Calibri" w:cs="Arial"/>
                <w:color w:val="000000"/>
              </w:rPr>
              <w:t>$59.55</w:t>
            </w:r>
          </w:p>
        </w:tc>
      </w:tr>
      <w:tr w14:paraId="7B9542B9"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P="007C439D" w14:paraId="686C22A4" w14:textId="77777777">
            <w:pPr>
              <w:keepNext/>
              <w:spacing w:before="40" w:after="40"/>
              <w:rPr>
                <w:rFonts w:cs="Arial"/>
              </w:rPr>
            </w:pPr>
            <w:r>
              <w:rPr>
                <w:rFonts w:cs="Arial"/>
              </w:rPr>
              <w:t>HUD-96011 (2535-0118)</w:t>
            </w:r>
          </w:p>
          <w:p w:rsidR="008B5DB5" w:rsidP="007C439D" w14:paraId="1779EDB5" w14:textId="77777777">
            <w:pPr>
              <w:keepNext/>
              <w:spacing w:before="40" w:after="40"/>
              <w:rPr>
                <w:rFonts w:cs="Arial"/>
              </w:rPr>
            </w:pPr>
            <w:r>
              <w:rPr>
                <w:rFonts w:cs="Arial"/>
              </w:rPr>
              <w:t>3</w:t>
            </w:r>
            <w:r w:rsidRPr="00A50CEC">
              <w:rPr>
                <w:rFonts w:cs="Arial"/>
                <w:vertAlign w:val="superscript"/>
              </w:rPr>
              <w:t>rd</w:t>
            </w:r>
            <w:r>
              <w:rPr>
                <w:rFonts w:cs="Arial"/>
              </w:rPr>
              <w:t xml:space="preserve"> Party Documentation</w:t>
            </w:r>
          </w:p>
          <w:p w:rsidR="008B5DB5" w:rsidRPr="004C4D5F" w:rsidP="007C439D" w14:paraId="3BA10375" w14:textId="77777777">
            <w:pPr>
              <w:keepNext/>
              <w:spacing w:before="40" w:after="40"/>
              <w:rPr>
                <w:rFonts w:cs="Arial"/>
              </w:rPr>
            </w:pPr>
            <w:r>
              <w:rPr>
                <w:rFonts w:cs="Arial"/>
              </w:rPr>
              <w:t>Facsimile Transmittal</w:t>
            </w:r>
          </w:p>
        </w:tc>
        <w:tc>
          <w:tcPr>
            <w:tcW w:w="1207" w:type="dxa"/>
            <w:tcBorders>
              <w:top w:val="nil"/>
              <w:left w:val="nil"/>
              <w:bottom w:val="single" w:sz="4" w:space="0" w:color="auto"/>
              <w:right w:val="single" w:sz="4" w:space="0" w:color="auto"/>
            </w:tcBorders>
            <w:shd w:val="clear" w:color="000000" w:fill="FFFFFF"/>
            <w:hideMark/>
          </w:tcPr>
          <w:p w:rsidR="008B5DB5" w:rsidP="007C439D" w14:paraId="2B0E7D04" w14:textId="77777777">
            <w:pPr>
              <w:tabs>
                <w:tab w:val="left" w:pos="983"/>
              </w:tabs>
              <w:spacing w:before="40" w:after="40"/>
              <w:ind w:right="-25"/>
              <w:jc w:val="center"/>
              <w:rPr>
                <w:rFonts w:cs="Arial"/>
              </w:rPr>
            </w:pPr>
            <w:r>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65DED04D"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4C4D5F" w:rsidP="007C439D" w14:paraId="2FEA0F9D" w14:textId="77777777">
            <w:pPr>
              <w:spacing w:before="40" w:after="40"/>
              <w:jc w:val="center"/>
              <w:rPr>
                <w:rFonts w:cs="Arial"/>
              </w:rPr>
            </w:pPr>
            <w:r>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4C4D5F" w:rsidP="007C439D" w14:paraId="4165B441" w14:textId="77777777">
            <w:pPr>
              <w:tabs>
                <w:tab w:val="left" w:pos="897"/>
              </w:tabs>
              <w:spacing w:before="40" w:after="40"/>
              <w:ind w:left="-212" w:right="-108"/>
              <w:jc w:val="center"/>
              <w:rPr>
                <w:rFonts w:cs="Arial"/>
              </w:rPr>
            </w:pPr>
            <w:r>
              <w:rPr>
                <w:rFonts w:cs="Arial"/>
              </w:rPr>
              <w:t>0.1</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P="007C439D" w14:paraId="75C1009F" w14:textId="77777777">
            <w:pPr>
              <w:spacing w:before="40" w:after="40"/>
              <w:ind w:right="-101"/>
              <w:jc w:val="center"/>
              <w:rPr>
                <w:rFonts w:cs="Arial"/>
              </w:rPr>
            </w:pPr>
            <w:r>
              <w:rPr>
                <w:rFonts w:cs="Arial"/>
              </w:rPr>
              <w:t>26.5</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0841B9E5"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5C85297B" w14:textId="77777777">
            <w:pPr>
              <w:jc w:val="center"/>
              <w:rPr>
                <w:rFonts w:ascii="Calibri" w:hAnsi="Calibri" w:cs="Calibri"/>
                <w:color w:val="000000"/>
              </w:rPr>
            </w:pPr>
            <w:r>
              <w:rPr>
                <w:rFonts w:ascii="Calibri" w:hAnsi="Calibri" w:cs="Arial"/>
                <w:color w:val="000000"/>
              </w:rPr>
              <w:t>$928.30</w:t>
            </w:r>
          </w:p>
        </w:tc>
      </w:tr>
      <w:tr w14:paraId="7749D692"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RPr="004C4D5F" w:rsidP="007C439D" w14:paraId="282DBAC1" w14:textId="77777777">
            <w:pPr>
              <w:keepNext/>
              <w:spacing w:before="40" w:after="40"/>
              <w:rPr>
                <w:rFonts w:cs="Arial"/>
              </w:rPr>
            </w:pPr>
            <w:r>
              <w:rPr>
                <w:rFonts w:cs="Arial"/>
              </w:rPr>
              <w:t>HUD -2993 Acknowledgement of Application Receipt (2577-0259)</w:t>
            </w:r>
          </w:p>
        </w:tc>
        <w:tc>
          <w:tcPr>
            <w:tcW w:w="1207" w:type="dxa"/>
            <w:tcBorders>
              <w:top w:val="nil"/>
              <w:left w:val="nil"/>
              <w:bottom w:val="single" w:sz="4" w:space="0" w:color="auto"/>
              <w:right w:val="single" w:sz="4" w:space="0" w:color="auto"/>
            </w:tcBorders>
            <w:shd w:val="clear" w:color="000000" w:fill="FFFFFF"/>
            <w:hideMark/>
          </w:tcPr>
          <w:p w:rsidR="008B5DB5" w:rsidRPr="004C4D5F" w:rsidP="007C439D" w14:paraId="7D624837" w14:textId="77777777">
            <w:pPr>
              <w:tabs>
                <w:tab w:val="left" w:pos="983"/>
              </w:tabs>
              <w:spacing w:before="40" w:after="40"/>
              <w:ind w:right="-25"/>
              <w:jc w:val="center"/>
              <w:rPr>
                <w:rFonts w:cs="Arial"/>
              </w:rPr>
            </w:pPr>
            <w:r>
              <w:rPr>
                <w:rFonts w:cs="Arial"/>
              </w:rPr>
              <w:t>13</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3E795879"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4C4D5F" w:rsidP="007C439D" w14:paraId="5043E269" w14:textId="77777777">
            <w:pPr>
              <w:spacing w:before="40" w:after="40"/>
              <w:jc w:val="center"/>
              <w:rPr>
                <w:rFonts w:cs="Arial"/>
              </w:rPr>
            </w:pPr>
            <w:r>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4C4D5F" w:rsidP="007C439D" w14:paraId="5751C8C9" w14:textId="77777777">
            <w:pPr>
              <w:spacing w:before="40" w:after="40"/>
              <w:ind w:left="-212" w:right="-108"/>
              <w:jc w:val="center"/>
              <w:rPr>
                <w:rFonts w:cs="Arial"/>
              </w:rPr>
            </w:pPr>
            <w:r>
              <w:rPr>
                <w:rFonts w:cs="Arial"/>
              </w:rPr>
              <w:t>0</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4C4D5F" w:rsidP="007C439D" w14:paraId="77909D69" w14:textId="77777777">
            <w:pPr>
              <w:spacing w:before="40" w:after="40"/>
              <w:ind w:right="-101"/>
              <w:jc w:val="center"/>
              <w:rPr>
                <w:rFonts w:cs="Arial"/>
              </w:rPr>
            </w:pPr>
            <w:r>
              <w:rPr>
                <w:rFonts w:cs="Arial"/>
              </w:rPr>
              <w:t>0</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01F3AF8C"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7CA23EA2" w14:textId="77777777">
            <w:pPr>
              <w:jc w:val="center"/>
              <w:rPr>
                <w:rFonts w:ascii="Calibri" w:hAnsi="Calibri" w:cs="Calibri"/>
                <w:color w:val="000000"/>
              </w:rPr>
            </w:pPr>
            <w:r>
              <w:rPr>
                <w:rFonts w:ascii="Calibri" w:hAnsi="Calibri" w:cs="Arial"/>
                <w:color w:val="000000"/>
              </w:rPr>
              <w:t>$0.00</w:t>
            </w:r>
          </w:p>
        </w:tc>
      </w:tr>
      <w:tr w14:paraId="4924BF95"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P="007C439D" w14:paraId="66B98A69" w14:textId="77777777">
            <w:pPr>
              <w:keepNext/>
              <w:spacing w:before="40" w:after="40"/>
              <w:rPr>
                <w:rFonts w:cs="Arial"/>
              </w:rPr>
            </w:pPr>
            <w:r>
              <w:rPr>
                <w:rFonts w:cs="Arial"/>
              </w:rPr>
              <w:t>Logic Model-HUD-96010</w:t>
            </w:r>
          </w:p>
          <w:p w:rsidR="008B5DB5" w:rsidRPr="00901610" w:rsidP="007C439D" w14:paraId="76FFC338" w14:textId="77777777">
            <w:pPr>
              <w:keepNext/>
              <w:spacing w:before="40" w:after="40"/>
              <w:rPr>
                <w:rFonts w:cs="Arial"/>
              </w:rPr>
            </w:pPr>
            <w:r>
              <w:rPr>
                <w:rFonts w:cs="Arial"/>
              </w:rPr>
              <w:t>(2535-0114)</w:t>
            </w:r>
          </w:p>
        </w:tc>
        <w:tc>
          <w:tcPr>
            <w:tcW w:w="1207" w:type="dxa"/>
            <w:tcBorders>
              <w:top w:val="nil"/>
              <w:left w:val="nil"/>
              <w:bottom w:val="single" w:sz="4" w:space="0" w:color="auto"/>
              <w:right w:val="single" w:sz="4" w:space="0" w:color="auto"/>
            </w:tcBorders>
            <w:shd w:val="clear" w:color="000000" w:fill="FFFFFF"/>
            <w:hideMark/>
          </w:tcPr>
          <w:p w:rsidR="008B5DB5" w:rsidRPr="00901610" w:rsidP="007C439D" w14:paraId="4CF13CD2" w14:textId="77777777">
            <w:pPr>
              <w:tabs>
                <w:tab w:val="left" w:pos="983"/>
              </w:tabs>
              <w:spacing w:before="40" w:after="40"/>
              <w:ind w:right="-25"/>
              <w:jc w:val="center"/>
              <w:rPr>
                <w:rFonts w:cs="Arial"/>
              </w:rPr>
            </w:pPr>
            <w:r>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5DB71955"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901610" w:rsidP="007C439D" w14:paraId="5453B1F0" w14:textId="77777777">
            <w:pPr>
              <w:spacing w:before="40" w:after="40"/>
              <w:jc w:val="center"/>
              <w:rPr>
                <w:rFonts w:cs="Arial"/>
              </w:rPr>
            </w:pPr>
            <w:r>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901610" w:rsidP="007C439D" w14:paraId="29DE18C9" w14:textId="77777777">
            <w:pPr>
              <w:spacing w:before="40" w:after="40"/>
              <w:ind w:left="-212" w:right="-108"/>
              <w:jc w:val="center"/>
              <w:rPr>
                <w:rFonts w:cs="Arial"/>
              </w:rPr>
            </w:pPr>
            <w:r>
              <w:rPr>
                <w:rFonts w:cs="Arial"/>
              </w:rPr>
              <w:t>0</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901610" w:rsidP="007C439D" w14:paraId="48698D44" w14:textId="77777777">
            <w:pPr>
              <w:spacing w:before="40" w:after="40"/>
              <w:ind w:right="-101"/>
              <w:jc w:val="center"/>
              <w:rPr>
                <w:rFonts w:cs="Arial"/>
              </w:rPr>
            </w:pPr>
            <w:r>
              <w:rPr>
                <w:rFonts w:cs="Arial"/>
              </w:rPr>
              <w:t>0</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145D5707"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5BE05B8B" w14:textId="77777777">
            <w:pPr>
              <w:jc w:val="center"/>
              <w:rPr>
                <w:rFonts w:ascii="Calibri" w:hAnsi="Calibri" w:cs="Calibri"/>
                <w:color w:val="000000"/>
              </w:rPr>
            </w:pPr>
            <w:r>
              <w:rPr>
                <w:rFonts w:ascii="Calibri" w:hAnsi="Calibri" w:cs="Arial"/>
                <w:color w:val="000000"/>
              </w:rPr>
              <w:t>$0.00</w:t>
            </w:r>
          </w:p>
        </w:tc>
      </w:tr>
      <w:tr w14:paraId="3911852C"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P="007C439D" w14:paraId="21D69A09" w14:textId="77777777">
            <w:pPr>
              <w:keepNext/>
              <w:spacing w:before="40" w:after="40"/>
              <w:rPr>
                <w:rFonts w:cs="Arial"/>
              </w:rPr>
            </w:pPr>
            <w:r>
              <w:rPr>
                <w:rFonts w:cs="Arial"/>
              </w:rPr>
              <w:t>PCWA Statement of Need (maximum of 5 pages)</w:t>
            </w:r>
          </w:p>
        </w:tc>
        <w:tc>
          <w:tcPr>
            <w:tcW w:w="1207" w:type="dxa"/>
            <w:tcBorders>
              <w:top w:val="nil"/>
              <w:left w:val="nil"/>
              <w:bottom w:val="single" w:sz="4" w:space="0" w:color="auto"/>
              <w:right w:val="single" w:sz="4" w:space="0" w:color="auto"/>
            </w:tcBorders>
            <w:shd w:val="clear" w:color="000000" w:fill="FFFFFF"/>
            <w:hideMark/>
          </w:tcPr>
          <w:p w:rsidR="008B5DB5" w:rsidRPr="00C51B64" w:rsidP="007C439D" w14:paraId="40E01C1E" w14:textId="77777777">
            <w:pPr>
              <w:tabs>
                <w:tab w:val="left" w:pos="983"/>
              </w:tabs>
              <w:spacing w:before="40" w:after="40"/>
              <w:ind w:right="-25"/>
              <w:jc w:val="center"/>
              <w:rPr>
                <w:rFonts w:cs="Arial"/>
              </w:rPr>
            </w:pPr>
            <w:r w:rsidRPr="00C51B64">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70A3845C"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4C19B8FA" w14:textId="77777777">
            <w:pPr>
              <w:spacing w:before="40" w:after="40"/>
              <w:jc w:val="center"/>
              <w:rPr>
                <w:rFonts w:cs="Arial"/>
              </w:rPr>
            </w:pPr>
            <w:r w:rsidRPr="00C51B64">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C51B64" w:rsidP="007C439D" w14:paraId="11DA3CE5" w14:textId="77777777">
            <w:pPr>
              <w:spacing w:before="40" w:after="40"/>
              <w:ind w:left="-212" w:right="-108"/>
              <w:jc w:val="center"/>
              <w:rPr>
                <w:rFonts w:cs="Arial"/>
              </w:rPr>
            </w:pPr>
            <w:r>
              <w:rPr>
                <w:rFonts w:cs="Arial"/>
              </w:rPr>
              <w:t>2</w:t>
            </w:r>
            <w:r w:rsidRPr="00C51B64">
              <w:rPr>
                <w:rFonts w:cs="Arial"/>
              </w:rPr>
              <w:t>.25</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7C5ECA25" w14:textId="77777777">
            <w:pPr>
              <w:spacing w:before="40" w:after="40"/>
              <w:ind w:right="-101"/>
              <w:jc w:val="center"/>
              <w:rPr>
                <w:rFonts w:cs="Arial"/>
              </w:rPr>
            </w:pPr>
            <w:r>
              <w:rPr>
                <w:rFonts w:cs="Arial"/>
              </w:rPr>
              <w:t>596.25</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5B7DED0B"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08FBA5BA" w14:textId="77777777">
            <w:pPr>
              <w:jc w:val="center"/>
              <w:rPr>
                <w:rFonts w:ascii="Calibri" w:hAnsi="Calibri" w:cs="Calibri"/>
                <w:color w:val="000000"/>
              </w:rPr>
            </w:pPr>
            <w:r>
              <w:rPr>
                <w:rFonts w:ascii="Calibri" w:hAnsi="Calibri" w:cs="Arial"/>
                <w:color w:val="000000"/>
              </w:rPr>
              <w:t>$20,886.64</w:t>
            </w:r>
          </w:p>
        </w:tc>
      </w:tr>
      <w:tr w14:paraId="6D77E9AA"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RPr="00901610" w:rsidP="007C439D" w14:paraId="702EB017" w14:textId="77777777">
            <w:pPr>
              <w:keepNext/>
              <w:spacing w:before="40" w:after="40"/>
              <w:rPr>
                <w:rFonts w:cs="Arial"/>
              </w:rPr>
            </w:pPr>
            <w:r>
              <w:rPr>
                <w:rFonts w:cs="Arial"/>
              </w:rPr>
              <w:t>Memorandum of Understanding between PHA and PCWA</w:t>
            </w:r>
          </w:p>
        </w:tc>
        <w:tc>
          <w:tcPr>
            <w:tcW w:w="1207" w:type="dxa"/>
            <w:tcBorders>
              <w:top w:val="nil"/>
              <w:left w:val="nil"/>
              <w:bottom w:val="single" w:sz="4" w:space="0" w:color="auto"/>
              <w:right w:val="single" w:sz="4" w:space="0" w:color="auto"/>
            </w:tcBorders>
            <w:shd w:val="clear" w:color="000000" w:fill="FFFFFF"/>
            <w:hideMark/>
          </w:tcPr>
          <w:p w:rsidR="008B5DB5" w:rsidRPr="00C51B64" w:rsidP="007C439D" w14:paraId="4A264AA8" w14:textId="77777777">
            <w:pPr>
              <w:tabs>
                <w:tab w:val="left" w:pos="983"/>
              </w:tabs>
              <w:spacing w:before="40" w:after="40"/>
              <w:ind w:right="-25"/>
              <w:jc w:val="center"/>
              <w:rPr>
                <w:rFonts w:cs="Arial"/>
              </w:rPr>
            </w:pPr>
            <w:r w:rsidRPr="00C51B64">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3A0AE2E0"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4EAE8F07" w14:textId="77777777">
            <w:pPr>
              <w:spacing w:before="40" w:after="40"/>
              <w:jc w:val="center"/>
              <w:rPr>
                <w:rFonts w:cs="Arial"/>
              </w:rPr>
            </w:pPr>
            <w:r w:rsidRPr="00C51B64">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C51B64" w:rsidP="007C439D" w14:paraId="19B1EFB7" w14:textId="77777777">
            <w:pPr>
              <w:spacing w:before="40" w:after="40"/>
              <w:ind w:left="-212" w:right="-108"/>
              <w:jc w:val="center"/>
              <w:rPr>
                <w:rFonts w:cs="Arial"/>
              </w:rPr>
            </w:pPr>
            <w:r>
              <w:rPr>
                <w:rFonts w:cs="Arial"/>
              </w:rPr>
              <w:t>6</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5A45EFBC" w14:textId="77777777">
            <w:pPr>
              <w:spacing w:before="40" w:after="40"/>
              <w:ind w:right="-101"/>
              <w:jc w:val="center"/>
              <w:rPr>
                <w:rFonts w:cs="Arial"/>
              </w:rPr>
            </w:pPr>
            <w:r>
              <w:rPr>
                <w:rFonts w:cs="Arial"/>
              </w:rPr>
              <w:t>1590</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480AD83D"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631666F0" w14:textId="77777777">
            <w:pPr>
              <w:jc w:val="center"/>
              <w:rPr>
                <w:rFonts w:ascii="Calibri" w:hAnsi="Calibri" w:cs="Calibri"/>
                <w:color w:val="000000"/>
              </w:rPr>
            </w:pPr>
            <w:r>
              <w:rPr>
                <w:rFonts w:ascii="Calibri" w:hAnsi="Calibri" w:cs="Arial"/>
                <w:color w:val="000000"/>
              </w:rPr>
              <w:t>$55,697.70</w:t>
            </w:r>
          </w:p>
        </w:tc>
      </w:tr>
      <w:tr w14:paraId="32EFF4D2"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RPr="00901610" w:rsidP="007C439D" w14:paraId="2C4C0EDA" w14:textId="77777777">
            <w:pPr>
              <w:keepNext/>
              <w:spacing w:before="40" w:after="40"/>
              <w:rPr>
                <w:rFonts w:cs="Arial"/>
              </w:rPr>
            </w:pPr>
            <w:r w:rsidRPr="00901610">
              <w:rPr>
                <w:rFonts w:cs="Arial"/>
              </w:rPr>
              <w:t xml:space="preserve">Rating Criteria 1: </w:t>
            </w:r>
            <w:r>
              <w:rPr>
                <w:rFonts w:cs="Arial"/>
              </w:rPr>
              <w:t>Area-Wide Housing Opportunities. Narratives</w:t>
            </w:r>
            <w:r w:rsidRPr="00901610">
              <w:rPr>
                <w:rFonts w:cs="Arial"/>
              </w:rPr>
              <w:t xml:space="preserve"> (up to </w:t>
            </w:r>
            <w:r>
              <w:rPr>
                <w:rFonts w:cs="Arial"/>
              </w:rPr>
              <w:t>20</w:t>
            </w:r>
            <w:r w:rsidRPr="00901610">
              <w:rPr>
                <w:rFonts w:cs="Arial"/>
              </w:rPr>
              <w:t xml:space="preserve"> pages)</w:t>
            </w:r>
            <w:r>
              <w:rPr>
                <w:rFonts w:cs="Arial"/>
              </w:rPr>
              <w:t>. Logic Model (HUD-96010)</w:t>
            </w:r>
          </w:p>
        </w:tc>
        <w:tc>
          <w:tcPr>
            <w:tcW w:w="1207" w:type="dxa"/>
            <w:tcBorders>
              <w:top w:val="nil"/>
              <w:left w:val="nil"/>
              <w:bottom w:val="single" w:sz="4" w:space="0" w:color="auto"/>
              <w:right w:val="single" w:sz="4" w:space="0" w:color="auto"/>
            </w:tcBorders>
            <w:shd w:val="clear" w:color="000000" w:fill="FFFFFF"/>
            <w:hideMark/>
          </w:tcPr>
          <w:p w:rsidR="008B5DB5" w:rsidRPr="00C51B64" w:rsidP="007C439D" w14:paraId="7CE290D7" w14:textId="77777777">
            <w:pPr>
              <w:tabs>
                <w:tab w:val="left" w:pos="983"/>
              </w:tabs>
              <w:spacing w:before="40" w:after="40"/>
              <w:ind w:right="-25"/>
              <w:jc w:val="center"/>
              <w:rPr>
                <w:rFonts w:cs="Arial"/>
              </w:rPr>
            </w:pPr>
            <w:r w:rsidRPr="00C51B64">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1ADB8B88"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7384AAF5" w14:textId="77777777">
            <w:pPr>
              <w:spacing w:before="40" w:after="40"/>
              <w:jc w:val="center"/>
              <w:rPr>
                <w:rFonts w:cs="Arial"/>
              </w:rPr>
            </w:pPr>
            <w:r w:rsidRPr="00C51B64">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C51B64" w:rsidP="007C439D" w14:paraId="439F6EF1" w14:textId="77777777">
            <w:pPr>
              <w:spacing w:before="40" w:after="40"/>
              <w:ind w:left="-212" w:right="-108"/>
              <w:jc w:val="center"/>
              <w:rPr>
                <w:rFonts w:cs="Arial"/>
              </w:rPr>
            </w:pPr>
            <w:r>
              <w:rPr>
                <w:rFonts w:cs="Arial"/>
              </w:rPr>
              <w:t>3</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566FE9CB" w14:textId="77777777">
            <w:pPr>
              <w:spacing w:before="40" w:after="40"/>
              <w:ind w:right="-101"/>
              <w:jc w:val="center"/>
              <w:rPr>
                <w:rFonts w:cs="Arial"/>
              </w:rPr>
            </w:pPr>
            <w:r>
              <w:rPr>
                <w:rFonts w:cs="Arial"/>
              </w:rPr>
              <w:t>795</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1E68ED36"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3A60E9A3" w14:textId="77777777">
            <w:pPr>
              <w:jc w:val="center"/>
              <w:rPr>
                <w:rFonts w:ascii="Calibri" w:hAnsi="Calibri" w:cs="Calibri"/>
                <w:color w:val="000000"/>
              </w:rPr>
            </w:pPr>
            <w:r>
              <w:rPr>
                <w:rFonts w:ascii="Calibri" w:hAnsi="Calibri" w:cs="Arial"/>
                <w:color w:val="000000"/>
              </w:rPr>
              <w:t>$27,848.85</w:t>
            </w:r>
          </w:p>
        </w:tc>
      </w:tr>
      <w:tr w14:paraId="31FB5B23"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RPr="00901610" w:rsidP="007C439D" w14:paraId="3A8FF7A1" w14:textId="77777777">
            <w:pPr>
              <w:keepNext/>
              <w:spacing w:before="40" w:after="40"/>
              <w:rPr>
                <w:rFonts w:cs="Arial"/>
              </w:rPr>
            </w:pPr>
            <w:r w:rsidRPr="00901610">
              <w:rPr>
                <w:rFonts w:cs="Arial"/>
              </w:rPr>
              <w:t xml:space="preserve">Rating Criteria 2: </w:t>
            </w:r>
            <w:r>
              <w:rPr>
                <w:rFonts w:cs="Arial"/>
              </w:rPr>
              <w:t>PCWA Commitments. Narratives</w:t>
            </w:r>
            <w:r w:rsidRPr="00901610">
              <w:rPr>
                <w:rFonts w:cs="Arial"/>
              </w:rPr>
              <w:t xml:space="preserve"> (up to </w:t>
            </w:r>
            <w:r>
              <w:rPr>
                <w:rFonts w:cs="Arial"/>
              </w:rPr>
              <w:t>10</w:t>
            </w:r>
            <w:r w:rsidRPr="00901610">
              <w:rPr>
                <w:rFonts w:cs="Arial"/>
              </w:rPr>
              <w:t xml:space="preserve"> pages)</w:t>
            </w:r>
            <w:r>
              <w:rPr>
                <w:rFonts w:cs="Arial"/>
              </w:rPr>
              <w:t>. Other Documentation</w:t>
            </w:r>
          </w:p>
        </w:tc>
        <w:tc>
          <w:tcPr>
            <w:tcW w:w="1207" w:type="dxa"/>
            <w:tcBorders>
              <w:top w:val="nil"/>
              <w:left w:val="nil"/>
              <w:bottom w:val="single" w:sz="4" w:space="0" w:color="auto"/>
              <w:right w:val="single" w:sz="4" w:space="0" w:color="auto"/>
            </w:tcBorders>
            <w:shd w:val="clear" w:color="000000" w:fill="FFFFFF"/>
            <w:hideMark/>
          </w:tcPr>
          <w:p w:rsidR="008B5DB5" w:rsidRPr="00C51B64" w:rsidP="007C439D" w14:paraId="401B9F13" w14:textId="77777777">
            <w:pPr>
              <w:tabs>
                <w:tab w:val="left" w:pos="983"/>
              </w:tabs>
              <w:spacing w:before="40" w:after="40"/>
              <w:ind w:right="-25"/>
              <w:jc w:val="center"/>
              <w:rPr>
                <w:rFonts w:cs="Arial"/>
              </w:rPr>
            </w:pPr>
            <w:r w:rsidRPr="00C51B64">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7EB26F98"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1E70164D" w14:textId="77777777">
            <w:pPr>
              <w:spacing w:before="40" w:after="40"/>
              <w:jc w:val="center"/>
              <w:rPr>
                <w:rFonts w:cs="Arial"/>
              </w:rPr>
            </w:pPr>
            <w:r w:rsidRPr="00C51B64">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C51B64" w:rsidP="007C439D" w14:paraId="4D145A05" w14:textId="77777777">
            <w:pPr>
              <w:spacing w:before="40" w:after="40"/>
              <w:ind w:left="-212" w:right="-108"/>
              <w:jc w:val="center"/>
              <w:rPr>
                <w:rFonts w:cs="Arial"/>
              </w:rPr>
            </w:pPr>
            <w:r w:rsidRPr="00C51B64">
              <w:rPr>
                <w:rFonts w:cs="Arial"/>
              </w:rPr>
              <w:t>1.25</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20CE47B0" w14:textId="77777777">
            <w:pPr>
              <w:spacing w:before="40" w:after="40"/>
              <w:ind w:right="-101"/>
              <w:jc w:val="center"/>
              <w:rPr>
                <w:rFonts w:cs="Arial"/>
              </w:rPr>
            </w:pPr>
            <w:r w:rsidRPr="00C51B64">
              <w:rPr>
                <w:rFonts w:cs="Arial"/>
              </w:rPr>
              <w:t>331.25</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24A0E48F"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4B6D0F93" w14:textId="77777777">
            <w:pPr>
              <w:jc w:val="center"/>
              <w:rPr>
                <w:rFonts w:ascii="Calibri" w:hAnsi="Calibri" w:cs="Calibri"/>
                <w:color w:val="000000"/>
              </w:rPr>
            </w:pPr>
            <w:r>
              <w:rPr>
                <w:rFonts w:ascii="Calibri" w:hAnsi="Calibri" w:cs="Arial"/>
                <w:color w:val="000000"/>
              </w:rPr>
              <w:t>$11,603.69</w:t>
            </w:r>
          </w:p>
        </w:tc>
      </w:tr>
      <w:tr w14:paraId="518CB33E"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P="007C439D" w14:paraId="12E4144D" w14:textId="77777777">
            <w:pPr>
              <w:keepNext/>
              <w:spacing w:before="40" w:after="40"/>
              <w:rPr>
                <w:rFonts w:cs="Arial"/>
              </w:rPr>
            </w:pPr>
            <w:r w:rsidRPr="00901610">
              <w:rPr>
                <w:rFonts w:cs="Arial"/>
              </w:rPr>
              <w:t xml:space="preserve">Rating Criteria 3: </w:t>
            </w:r>
            <w:r>
              <w:rPr>
                <w:rFonts w:cs="Arial"/>
              </w:rPr>
              <w:t>Self-Sufficiency Programs. Narrative: (up to 6 pages)</w:t>
            </w:r>
          </w:p>
          <w:p w:rsidR="008B5DB5" w:rsidP="007C439D" w14:paraId="52EB857E" w14:textId="77777777">
            <w:pPr>
              <w:keepNext/>
              <w:spacing w:before="40" w:after="40"/>
              <w:rPr>
                <w:rFonts w:cs="Arial"/>
              </w:rPr>
            </w:pPr>
            <w:r>
              <w:rPr>
                <w:rFonts w:cs="Arial"/>
              </w:rPr>
              <w:t>Documentation:  Excerpt from Administrative Plan or policies manual for FSS program operations</w:t>
            </w:r>
          </w:p>
          <w:p w:rsidR="008B5DB5" w:rsidRPr="00901610" w:rsidP="007C439D" w14:paraId="306D2378" w14:textId="77777777">
            <w:pPr>
              <w:keepNext/>
              <w:spacing w:before="40" w:after="40"/>
              <w:rPr>
                <w:rFonts w:cs="Arial"/>
              </w:rPr>
            </w:pPr>
            <w:r>
              <w:rPr>
                <w:rFonts w:cs="Arial"/>
              </w:rPr>
              <w:t>Certification:  FUP recipients enrolled in FSS</w:t>
            </w:r>
          </w:p>
        </w:tc>
        <w:tc>
          <w:tcPr>
            <w:tcW w:w="1207" w:type="dxa"/>
            <w:tcBorders>
              <w:top w:val="nil"/>
              <w:left w:val="nil"/>
              <w:bottom w:val="single" w:sz="4" w:space="0" w:color="auto"/>
              <w:right w:val="single" w:sz="4" w:space="0" w:color="auto"/>
            </w:tcBorders>
            <w:shd w:val="clear" w:color="000000" w:fill="FFFFFF"/>
            <w:hideMark/>
          </w:tcPr>
          <w:p w:rsidR="008B5DB5" w:rsidRPr="00C51B64" w:rsidP="007C439D" w14:paraId="65F66D43" w14:textId="77777777">
            <w:pPr>
              <w:tabs>
                <w:tab w:val="left" w:pos="983"/>
              </w:tabs>
              <w:spacing w:before="40" w:after="40"/>
              <w:ind w:right="-25"/>
              <w:jc w:val="center"/>
              <w:rPr>
                <w:rFonts w:cs="Arial"/>
              </w:rPr>
            </w:pPr>
            <w:r w:rsidRPr="00C51B64">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39CA85CC"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297BB083" w14:textId="77777777">
            <w:pPr>
              <w:spacing w:before="40" w:after="40"/>
              <w:jc w:val="center"/>
              <w:rPr>
                <w:rFonts w:cs="Arial"/>
              </w:rPr>
            </w:pPr>
            <w:r w:rsidRPr="00C51B64">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C51B64" w:rsidP="007C439D" w14:paraId="092F5D6C" w14:textId="77777777">
            <w:pPr>
              <w:spacing w:before="40" w:after="40"/>
              <w:ind w:left="-212" w:right="-108"/>
              <w:jc w:val="center"/>
              <w:rPr>
                <w:rFonts w:cs="Arial"/>
              </w:rPr>
            </w:pPr>
            <w:r>
              <w:rPr>
                <w:rFonts w:cs="Arial"/>
              </w:rPr>
              <w:t>0</w:t>
            </w:r>
            <w:r w:rsidRPr="00C51B64">
              <w:rPr>
                <w:rFonts w:cs="Arial"/>
              </w:rPr>
              <w:t>.5</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791FA4D0" w14:textId="77777777">
            <w:pPr>
              <w:spacing w:before="40" w:after="40"/>
              <w:ind w:right="-101"/>
              <w:jc w:val="center"/>
              <w:rPr>
                <w:rFonts w:cs="Arial"/>
              </w:rPr>
            </w:pPr>
            <w:r w:rsidRPr="00C51B64">
              <w:rPr>
                <w:rFonts w:cs="Arial"/>
              </w:rPr>
              <w:t>132.5</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4E02C2B0"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5AF3AEFB" w14:textId="77777777">
            <w:pPr>
              <w:jc w:val="center"/>
              <w:rPr>
                <w:rFonts w:ascii="Calibri" w:hAnsi="Calibri" w:cs="Calibri"/>
                <w:color w:val="000000"/>
              </w:rPr>
            </w:pPr>
            <w:r>
              <w:rPr>
                <w:rFonts w:ascii="Calibri" w:hAnsi="Calibri" w:cs="Arial"/>
                <w:color w:val="000000"/>
              </w:rPr>
              <w:t>$4,641.48</w:t>
            </w:r>
          </w:p>
        </w:tc>
      </w:tr>
      <w:tr w14:paraId="163B481B"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P="007C439D" w14:paraId="1DC5261F" w14:textId="77777777">
            <w:pPr>
              <w:keepNext/>
              <w:spacing w:before="40" w:after="40"/>
              <w:rPr>
                <w:rFonts w:cs="Arial"/>
              </w:rPr>
            </w:pPr>
            <w:r w:rsidRPr="00901610">
              <w:rPr>
                <w:rFonts w:cs="Arial"/>
              </w:rPr>
              <w:t xml:space="preserve">Rating Criteria 4: </w:t>
            </w:r>
            <w:r>
              <w:rPr>
                <w:rFonts w:cs="Arial"/>
              </w:rPr>
              <w:t>Local C</w:t>
            </w:r>
            <w:r w:rsidRPr="00901610">
              <w:rPr>
                <w:rFonts w:cs="Arial"/>
              </w:rPr>
              <w:t xml:space="preserve">oordination </w:t>
            </w:r>
          </w:p>
          <w:p w:rsidR="008B5DB5" w:rsidRPr="00901610" w:rsidP="007C439D" w14:paraId="2F542983" w14:textId="77777777">
            <w:pPr>
              <w:keepNext/>
              <w:spacing w:before="40" w:after="40"/>
              <w:rPr>
                <w:rFonts w:cs="Arial"/>
              </w:rPr>
            </w:pPr>
            <w:r>
              <w:rPr>
                <w:rFonts w:cs="Arial"/>
              </w:rPr>
              <w:t>Letter of Support</w:t>
            </w:r>
          </w:p>
        </w:tc>
        <w:tc>
          <w:tcPr>
            <w:tcW w:w="1207" w:type="dxa"/>
            <w:tcBorders>
              <w:top w:val="nil"/>
              <w:left w:val="nil"/>
              <w:bottom w:val="single" w:sz="4" w:space="0" w:color="auto"/>
              <w:right w:val="single" w:sz="4" w:space="0" w:color="auto"/>
            </w:tcBorders>
            <w:shd w:val="clear" w:color="000000" w:fill="FFFFFF"/>
            <w:hideMark/>
          </w:tcPr>
          <w:p w:rsidR="008B5DB5" w:rsidRPr="00C51B64" w:rsidP="007C439D" w14:paraId="4AC94D8C" w14:textId="77777777">
            <w:pPr>
              <w:tabs>
                <w:tab w:val="left" w:pos="983"/>
              </w:tabs>
              <w:spacing w:before="40" w:after="40"/>
              <w:ind w:right="-25"/>
              <w:jc w:val="center"/>
              <w:rPr>
                <w:rFonts w:cs="Arial"/>
              </w:rPr>
            </w:pPr>
            <w:r w:rsidRPr="00C51B64">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27B0CE3A"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44E43CCB" w14:textId="77777777">
            <w:pPr>
              <w:spacing w:before="40" w:after="40"/>
              <w:jc w:val="center"/>
              <w:rPr>
                <w:rFonts w:cs="Arial"/>
              </w:rPr>
            </w:pPr>
            <w:r w:rsidRPr="00C51B64">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C51B64" w:rsidP="007C439D" w14:paraId="02FD1AA8" w14:textId="77777777">
            <w:pPr>
              <w:spacing w:before="40" w:after="40"/>
              <w:ind w:left="-212" w:right="-108"/>
              <w:jc w:val="center"/>
              <w:rPr>
                <w:rFonts w:cs="Arial"/>
              </w:rPr>
            </w:pPr>
            <w:r w:rsidRPr="00C51B64">
              <w:rPr>
                <w:rFonts w:cs="Arial"/>
              </w:rPr>
              <w:t>1</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42F44984" w14:textId="77777777">
            <w:pPr>
              <w:spacing w:before="40" w:after="40"/>
              <w:ind w:right="-101"/>
              <w:jc w:val="center"/>
              <w:rPr>
                <w:rFonts w:cs="Arial"/>
              </w:rPr>
            </w:pPr>
            <w:r w:rsidRPr="00C51B64">
              <w:rPr>
                <w:rFonts w:cs="Arial"/>
              </w:rPr>
              <w:t>265</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30B5266C"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308FC312" w14:textId="77777777">
            <w:pPr>
              <w:jc w:val="center"/>
              <w:rPr>
                <w:rFonts w:ascii="Calibri" w:hAnsi="Calibri" w:cs="Calibri"/>
                <w:color w:val="000000"/>
              </w:rPr>
            </w:pPr>
            <w:r>
              <w:rPr>
                <w:rFonts w:ascii="Calibri" w:hAnsi="Calibri" w:cs="Arial"/>
                <w:color w:val="000000"/>
              </w:rPr>
              <w:t>$9,282.95</w:t>
            </w:r>
          </w:p>
        </w:tc>
      </w:tr>
      <w:tr w14:paraId="34E4C659"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RPr="00901610" w:rsidP="007C439D" w14:paraId="7B4A00FB" w14:textId="77777777">
            <w:pPr>
              <w:keepNext/>
              <w:spacing w:before="40" w:after="40"/>
              <w:rPr>
                <w:rFonts w:cs="Arial"/>
              </w:rPr>
            </w:pPr>
            <w:r w:rsidRPr="00901610">
              <w:rPr>
                <w:rFonts w:cs="Arial"/>
              </w:rPr>
              <w:t>PCWA Contractor Documentation</w:t>
            </w:r>
          </w:p>
        </w:tc>
        <w:tc>
          <w:tcPr>
            <w:tcW w:w="1207" w:type="dxa"/>
            <w:tcBorders>
              <w:top w:val="nil"/>
              <w:left w:val="nil"/>
              <w:bottom w:val="single" w:sz="4" w:space="0" w:color="auto"/>
              <w:right w:val="single" w:sz="4" w:space="0" w:color="auto"/>
            </w:tcBorders>
            <w:shd w:val="clear" w:color="000000" w:fill="FFFFFF"/>
            <w:hideMark/>
          </w:tcPr>
          <w:p w:rsidR="008B5DB5" w:rsidRPr="00C51B64" w:rsidP="007C439D" w14:paraId="6114A0D5" w14:textId="77777777">
            <w:pPr>
              <w:tabs>
                <w:tab w:val="left" w:pos="983"/>
              </w:tabs>
              <w:spacing w:before="40" w:after="40"/>
              <w:ind w:right="-25"/>
              <w:jc w:val="center"/>
              <w:rPr>
                <w:rFonts w:cs="Arial"/>
              </w:rPr>
            </w:pPr>
            <w:r w:rsidRPr="00C51B64">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6F6AEAC3"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73BD1D71" w14:textId="77777777">
            <w:pPr>
              <w:spacing w:before="40" w:after="40"/>
              <w:jc w:val="center"/>
              <w:rPr>
                <w:rFonts w:cs="Arial"/>
              </w:rPr>
            </w:pPr>
            <w:r w:rsidRPr="00C51B64">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C51B64" w:rsidP="007C439D" w14:paraId="391F79C1" w14:textId="77777777">
            <w:pPr>
              <w:spacing w:before="40" w:after="40"/>
              <w:ind w:left="-212" w:right="-108"/>
              <w:jc w:val="center"/>
              <w:rPr>
                <w:rFonts w:cs="Arial"/>
              </w:rPr>
            </w:pPr>
            <w:r w:rsidRPr="00C51B64">
              <w:rPr>
                <w:rFonts w:cs="Arial"/>
              </w:rPr>
              <w:t>1</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078EA4C7" w14:textId="77777777">
            <w:pPr>
              <w:spacing w:before="40" w:after="40"/>
              <w:ind w:right="-101"/>
              <w:jc w:val="center"/>
              <w:rPr>
                <w:rFonts w:cs="Arial"/>
              </w:rPr>
            </w:pPr>
            <w:r w:rsidRPr="00C51B64">
              <w:rPr>
                <w:rFonts w:cs="Arial"/>
              </w:rPr>
              <w:t>265</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06541A99"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638D0AD0" w14:textId="77777777">
            <w:pPr>
              <w:jc w:val="center"/>
              <w:rPr>
                <w:rFonts w:ascii="Calibri" w:hAnsi="Calibri" w:cs="Calibri"/>
                <w:color w:val="000000"/>
              </w:rPr>
            </w:pPr>
            <w:r>
              <w:rPr>
                <w:rFonts w:ascii="Calibri" w:hAnsi="Calibri" w:cs="Arial"/>
                <w:color w:val="000000"/>
              </w:rPr>
              <w:t>$9,282.95</w:t>
            </w:r>
          </w:p>
        </w:tc>
      </w:tr>
      <w:tr w14:paraId="031BC71D"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RPr="004C4D5F" w:rsidP="007C439D" w14:paraId="479A16AE" w14:textId="77777777">
            <w:pPr>
              <w:keepNext/>
              <w:spacing w:before="40" w:after="40"/>
              <w:rPr>
                <w:rFonts w:cs="Arial"/>
              </w:rPr>
            </w:pPr>
            <w:r>
              <w:rPr>
                <w:rFonts w:cs="Arial"/>
              </w:rPr>
              <w:t>HUD2990, Certification of Consistency with the RC/EZ/EC-IIs Strategic Plan</w:t>
            </w:r>
          </w:p>
        </w:tc>
        <w:tc>
          <w:tcPr>
            <w:tcW w:w="1207" w:type="dxa"/>
            <w:tcBorders>
              <w:top w:val="nil"/>
              <w:left w:val="nil"/>
              <w:bottom w:val="single" w:sz="4" w:space="0" w:color="auto"/>
              <w:right w:val="single" w:sz="4" w:space="0" w:color="auto"/>
            </w:tcBorders>
            <w:shd w:val="clear" w:color="000000" w:fill="FFFFFF"/>
            <w:hideMark/>
          </w:tcPr>
          <w:p w:rsidR="008B5DB5" w:rsidRPr="00C51B64" w:rsidP="007C439D" w14:paraId="7D64DC96" w14:textId="77777777">
            <w:pPr>
              <w:tabs>
                <w:tab w:val="left" w:pos="983"/>
              </w:tabs>
              <w:spacing w:before="40" w:after="40"/>
              <w:ind w:right="-25"/>
              <w:jc w:val="center"/>
              <w:rPr>
                <w:rFonts w:cs="Arial"/>
              </w:rPr>
            </w:pPr>
            <w:r>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216F5C5B"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4836DE42" w14:textId="77777777">
            <w:pPr>
              <w:spacing w:before="40" w:after="40"/>
              <w:jc w:val="center"/>
              <w:rPr>
                <w:rFonts w:cs="Arial"/>
              </w:rPr>
            </w:pPr>
            <w:r>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C51B64" w:rsidP="007C439D" w14:paraId="7BF96396" w14:textId="77777777">
            <w:pPr>
              <w:spacing w:before="40" w:after="40"/>
              <w:ind w:left="-212" w:right="-108"/>
              <w:jc w:val="center"/>
              <w:rPr>
                <w:rFonts w:cs="Arial"/>
              </w:rPr>
            </w:pPr>
            <w:r>
              <w:rPr>
                <w:rFonts w:cs="Arial"/>
              </w:rPr>
              <w:t>0</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296E7AFD" w14:textId="77777777">
            <w:pPr>
              <w:spacing w:before="40" w:after="40"/>
              <w:ind w:right="-101"/>
              <w:jc w:val="center"/>
              <w:rPr>
                <w:rFonts w:cs="Arial"/>
              </w:rPr>
            </w:pPr>
            <w:r>
              <w:rPr>
                <w:rFonts w:cs="Arial"/>
              </w:rPr>
              <w:t>0</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0E70FB61"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1F6865F2" w14:textId="77777777">
            <w:pPr>
              <w:jc w:val="center"/>
              <w:rPr>
                <w:rFonts w:ascii="Calibri" w:hAnsi="Calibri" w:cs="Calibri"/>
                <w:color w:val="000000"/>
              </w:rPr>
            </w:pPr>
            <w:r>
              <w:rPr>
                <w:rFonts w:ascii="Calibri" w:hAnsi="Calibri" w:cs="Arial"/>
                <w:color w:val="000000"/>
              </w:rPr>
              <w:t>$0.00</w:t>
            </w:r>
          </w:p>
        </w:tc>
      </w:tr>
      <w:tr w14:paraId="71CED7D6"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RPr="004C4D5F" w:rsidP="007C439D" w14:paraId="5BB260FA" w14:textId="77777777">
            <w:pPr>
              <w:keepNext/>
              <w:spacing w:before="40" w:after="40"/>
            </w:pPr>
            <w:r>
              <w:t>Funding Application HUD-52515 (2577-0169). Includes leasing schedule</w:t>
            </w:r>
          </w:p>
        </w:tc>
        <w:tc>
          <w:tcPr>
            <w:tcW w:w="1207" w:type="dxa"/>
            <w:tcBorders>
              <w:top w:val="nil"/>
              <w:left w:val="nil"/>
              <w:bottom w:val="single" w:sz="4" w:space="0" w:color="auto"/>
              <w:right w:val="single" w:sz="4" w:space="0" w:color="auto"/>
            </w:tcBorders>
            <w:shd w:val="clear" w:color="000000" w:fill="FFFFFF"/>
            <w:hideMark/>
          </w:tcPr>
          <w:p w:rsidR="008B5DB5" w:rsidRPr="00C51B64" w:rsidP="007C439D" w14:paraId="653F2E90" w14:textId="77777777">
            <w:pPr>
              <w:tabs>
                <w:tab w:val="left" w:pos="983"/>
              </w:tabs>
              <w:spacing w:before="40" w:after="40"/>
              <w:ind w:right="-25"/>
              <w:jc w:val="center"/>
              <w:rPr>
                <w:rFonts w:cs="Arial"/>
              </w:rPr>
            </w:pPr>
            <w:r w:rsidRPr="00C51B64">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43EA2FB1"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0A3469ED" w14:textId="77777777">
            <w:pPr>
              <w:spacing w:before="40" w:after="40"/>
              <w:jc w:val="center"/>
              <w:rPr>
                <w:rFonts w:cs="Arial"/>
              </w:rPr>
            </w:pPr>
            <w:r w:rsidRPr="00C51B64">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C51B64" w:rsidP="007C439D" w14:paraId="17D06DA9" w14:textId="77777777">
            <w:pPr>
              <w:spacing w:before="40" w:after="40"/>
              <w:ind w:left="-212" w:right="-108"/>
              <w:jc w:val="center"/>
              <w:rPr>
                <w:rFonts w:cs="Arial"/>
              </w:rPr>
            </w:pPr>
            <w:r>
              <w:rPr>
                <w:rFonts w:cs="Arial"/>
              </w:rPr>
              <w:t>1</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320BA797" w14:textId="77777777">
            <w:pPr>
              <w:spacing w:before="40" w:after="40"/>
              <w:ind w:right="-101"/>
              <w:jc w:val="center"/>
              <w:rPr>
                <w:rFonts w:cs="Arial"/>
              </w:rPr>
            </w:pPr>
            <w:r>
              <w:rPr>
                <w:rFonts w:cs="Arial"/>
              </w:rPr>
              <w:t>265</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0429125E"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36B250B4" w14:textId="77777777">
            <w:pPr>
              <w:jc w:val="center"/>
              <w:rPr>
                <w:rFonts w:ascii="Calibri" w:hAnsi="Calibri" w:cs="Calibri"/>
                <w:color w:val="000000"/>
              </w:rPr>
            </w:pPr>
            <w:r>
              <w:rPr>
                <w:rFonts w:ascii="Calibri" w:hAnsi="Calibri" w:cs="Arial"/>
                <w:color w:val="000000"/>
              </w:rPr>
              <w:t>$9,282.95</w:t>
            </w:r>
          </w:p>
        </w:tc>
      </w:tr>
      <w:tr w14:paraId="357B01CF"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RPr="004C4D5F" w:rsidP="007C439D" w14:paraId="273B33C4" w14:textId="77777777">
            <w:pPr>
              <w:keepNext/>
              <w:spacing w:before="40" w:after="40"/>
            </w:pPr>
            <w:r>
              <w:t xml:space="preserve">Affirmatively Furthering Fair Housing </w:t>
            </w:r>
            <w:r>
              <w:t>Statement (addendum)</w:t>
            </w:r>
          </w:p>
        </w:tc>
        <w:tc>
          <w:tcPr>
            <w:tcW w:w="1207" w:type="dxa"/>
            <w:tcBorders>
              <w:top w:val="nil"/>
              <w:left w:val="nil"/>
              <w:bottom w:val="single" w:sz="4" w:space="0" w:color="auto"/>
              <w:right w:val="single" w:sz="4" w:space="0" w:color="auto"/>
            </w:tcBorders>
            <w:shd w:val="clear" w:color="000000" w:fill="FFFFFF"/>
            <w:hideMark/>
          </w:tcPr>
          <w:p w:rsidR="008B5DB5" w:rsidRPr="00C51B64" w:rsidP="007C439D" w14:paraId="253DA5F8" w14:textId="77777777">
            <w:pPr>
              <w:tabs>
                <w:tab w:val="left" w:pos="983"/>
              </w:tabs>
              <w:spacing w:before="40" w:after="40"/>
              <w:ind w:right="-25"/>
              <w:jc w:val="center"/>
              <w:rPr>
                <w:rFonts w:cs="Arial"/>
              </w:rPr>
            </w:pPr>
            <w:r w:rsidRPr="00C51B64">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4914E4AC"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4195828F" w14:textId="77777777">
            <w:pPr>
              <w:spacing w:before="40" w:after="40"/>
              <w:jc w:val="center"/>
              <w:rPr>
                <w:rFonts w:cs="Arial"/>
              </w:rPr>
            </w:pPr>
            <w:r w:rsidRPr="00C51B64">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C51B64" w:rsidP="007C439D" w14:paraId="1FBE8D41" w14:textId="77777777">
            <w:pPr>
              <w:spacing w:before="40" w:after="40"/>
              <w:ind w:left="-212" w:right="-108"/>
              <w:jc w:val="center"/>
              <w:rPr>
                <w:rFonts w:cs="Arial"/>
              </w:rPr>
            </w:pPr>
            <w:r w:rsidRPr="00C51B64">
              <w:rPr>
                <w:rFonts w:cs="Arial"/>
              </w:rPr>
              <w:t>1</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C51B64" w:rsidP="007C439D" w14:paraId="6C3DC044" w14:textId="77777777">
            <w:pPr>
              <w:spacing w:before="40" w:after="40"/>
              <w:ind w:right="-101"/>
              <w:jc w:val="center"/>
              <w:rPr>
                <w:rFonts w:cs="Arial"/>
              </w:rPr>
            </w:pPr>
            <w:r w:rsidRPr="00C51B64">
              <w:rPr>
                <w:rFonts w:cs="Arial"/>
              </w:rPr>
              <w:t>265</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1805DFC0"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346583B8" w14:textId="77777777">
            <w:pPr>
              <w:jc w:val="center"/>
              <w:rPr>
                <w:rFonts w:ascii="Calibri" w:hAnsi="Calibri" w:cs="Calibri"/>
                <w:color w:val="000000"/>
              </w:rPr>
            </w:pPr>
            <w:r>
              <w:rPr>
                <w:rFonts w:ascii="Calibri" w:hAnsi="Calibri" w:cs="Arial"/>
                <w:color w:val="000000"/>
              </w:rPr>
              <w:t>$9,282.95</w:t>
            </w:r>
          </w:p>
        </w:tc>
      </w:tr>
      <w:tr w14:paraId="37AD113E"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P="007C439D" w14:paraId="4B01457B" w14:textId="77777777">
            <w:pPr>
              <w:keepNext/>
              <w:spacing w:before="40" w:after="40"/>
            </w:pPr>
            <w:r>
              <w:t>HUD2880, Applicant/Recipient Disclosure/Update Report (</w:t>
            </w:r>
            <w:r>
              <w:rPr>
                <w:rFonts w:ascii="Arial" w:hAnsi="Arial" w:cs="Arial"/>
                <w:sz w:val="18"/>
              </w:rPr>
              <w:t>2510-0011)</w:t>
            </w:r>
          </w:p>
        </w:tc>
        <w:tc>
          <w:tcPr>
            <w:tcW w:w="1207" w:type="dxa"/>
            <w:tcBorders>
              <w:top w:val="nil"/>
              <w:left w:val="nil"/>
              <w:bottom w:val="single" w:sz="4" w:space="0" w:color="auto"/>
              <w:right w:val="single" w:sz="4" w:space="0" w:color="auto"/>
            </w:tcBorders>
            <w:shd w:val="clear" w:color="000000" w:fill="FFFFFF"/>
            <w:hideMark/>
          </w:tcPr>
          <w:p w:rsidR="008B5DB5" w:rsidP="007C439D" w14:paraId="0AD34D03" w14:textId="77777777">
            <w:pPr>
              <w:tabs>
                <w:tab w:val="left" w:pos="983"/>
              </w:tabs>
              <w:spacing w:before="40" w:after="40"/>
              <w:ind w:right="-25"/>
              <w:jc w:val="center"/>
              <w:rPr>
                <w:rFonts w:cs="Arial"/>
              </w:rPr>
            </w:pPr>
            <w:r>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673E30F2"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P="007C439D" w14:paraId="57E8B158" w14:textId="77777777">
            <w:pPr>
              <w:spacing w:before="40" w:after="40"/>
              <w:jc w:val="center"/>
              <w:rPr>
                <w:rFonts w:cs="Arial"/>
              </w:rPr>
            </w:pPr>
            <w:r>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P="007C439D" w14:paraId="14E8595C" w14:textId="77777777">
            <w:pPr>
              <w:spacing w:before="40" w:after="40"/>
              <w:ind w:left="-212" w:right="-108"/>
              <w:jc w:val="center"/>
              <w:rPr>
                <w:rFonts w:cs="Arial"/>
              </w:rPr>
            </w:pPr>
            <w:r>
              <w:rPr>
                <w:rFonts w:cs="Arial"/>
              </w:rPr>
              <w:t>0</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P="007C439D" w14:paraId="30B8D07A" w14:textId="77777777">
            <w:pPr>
              <w:spacing w:before="40" w:after="40"/>
              <w:ind w:right="-101"/>
              <w:jc w:val="center"/>
              <w:rPr>
                <w:rFonts w:cs="Arial"/>
              </w:rPr>
            </w:pPr>
            <w:r>
              <w:rPr>
                <w:rFonts w:cs="Arial"/>
              </w:rPr>
              <w:t>0</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3D2298AF"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73484C89" w14:textId="77777777">
            <w:pPr>
              <w:jc w:val="center"/>
              <w:rPr>
                <w:rFonts w:ascii="Calibri" w:hAnsi="Calibri" w:cs="Calibri"/>
                <w:color w:val="000000"/>
              </w:rPr>
            </w:pPr>
            <w:r>
              <w:rPr>
                <w:rFonts w:ascii="Calibri" w:hAnsi="Calibri" w:cs="Arial"/>
                <w:color w:val="000000"/>
              </w:rPr>
              <w:t>$0.00</w:t>
            </w:r>
          </w:p>
        </w:tc>
      </w:tr>
      <w:tr w14:paraId="3631D413"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P="007C439D" w14:paraId="057B398A" w14:textId="77777777">
            <w:pPr>
              <w:keepNext/>
              <w:spacing w:before="40" w:after="40"/>
            </w:pPr>
            <w:r>
              <w:t>HUD2991, Certification of Consistency with the Consolidated Plan</w:t>
            </w:r>
          </w:p>
        </w:tc>
        <w:tc>
          <w:tcPr>
            <w:tcW w:w="1207" w:type="dxa"/>
            <w:tcBorders>
              <w:top w:val="nil"/>
              <w:left w:val="nil"/>
              <w:bottom w:val="single" w:sz="4" w:space="0" w:color="auto"/>
              <w:right w:val="single" w:sz="4" w:space="0" w:color="auto"/>
            </w:tcBorders>
            <w:shd w:val="clear" w:color="000000" w:fill="FFFFFF"/>
            <w:hideMark/>
          </w:tcPr>
          <w:p w:rsidR="008B5DB5" w:rsidP="007C439D" w14:paraId="635B1795" w14:textId="77777777">
            <w:pPr>
              <w:tabs>
                <w:tab w:val="left" w:pos="983"/>
              </w:tabs>
              <w:spacing w:before="40" w:after="40"/>
              <w:ind w:right="-25"/>
              <w:jc w:val="center"/>
              <w:rPr>
                <w:rFonts w:cs="Arial"/>
              </w:rPr>
            </w:pPr>
            <w:r>
              <w:rPr>
                <w:rFonts w:cs="Arial"/>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P="007C439D" w14:paraId="38A48EAA" w14:textId="77777777">
            <w:pPr>
              <w:jc w:val="center"/>
            </w:pPr>
            <w:r w:rsidRPr="00BC0F29">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P="007C439D" w14:paraId="1C01D9F0" w14:textId="77777777">
            <w:pPr>
              <w:spacing w:before="40" w:after="40"/>
              <w:jc w:val="center"/>
              <w:rPr>
                <w:rFonts w:cs="Arial"/>
              </w:rPr>
            </w:pPr>
            <w:r>
              <w:rPr>
                <w:rFonts w:cs="Arial"/>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P="007C439D" w14:paraId="0E129F49" w14:textId="77777777">
            <w:pPr>
              <w:spacing w:before="40" w:after="40"/>
              <w:ind w:left="-212" w:right="-108"/>
              <w:jc w:val="center"/>
              <w:rPr>
                <w:rFonts w:cs="Arial"/>
              </w:rPr>
            </w:pPr>
            <w:r>
              <w:rPr>
                <w:rFonts w:cs="Arial"/>
              </w:rPr>
              <w:t>0</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P="007C439D" w14:paraId="7B7577DA" w14:textId="77777777">
            <w:pPr>
              <w:spacing w:before="40" w:after="40"/>
              <w:ind w:right="-101"/>
              <w:jc w:val="center"/>
              <w:rPr>
                <w:rFonts w:cs="Arial"/>
              </w:rPr>
            </w:pPr>
            <w:r>
              <w:rPr>
                <w:rFonts w:cs="Arial"/>
              </w:rPr>
              <w:t>0</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6483D935"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3130BF90" w14:textId="77777777">
            <w:pPr>
              <w:jc w:val="center"/>
              <w:rPr>
                <w:rFonts w:ascii="Calibri" w:hAnsi="Calibri" w:cs="Calibri"/>
                <w:color w:val="000000"/>
              </w:rPr>
            </w:pPr>
            <w:r>
              <w:rPr>
                <w:rFonts w:ascii="Calibri" w:hAnsi="Calibri" w:cs="Arial"/>
                <w:color w:val="000000"/>
              </w:rPr>
              <w:t>$0.00</w:t>
            </w:r>
          </w:p>
        </w:tc>
      </w:tr>
      <w:tr w14:paraId="57DDF1D5" w14:textId="77777777" w:rsidTr="00452D16">
        <w:tblPrEx>
          <w:tblW w:w="4991" w:type="pct"/>
          <w:tblLayout w:type="fixed"/>
          <w:tblLook w:val="04A0"/>
        </w:tblPrEx>
        <w:trPr>
          <w:cantSplit/>
          <w:trHeight w:val="144"/>
        </w:trPr>
        <w:tc>
          <w:tcPr>
            <w:tcW w:w="2670" w:type="dxa"/>
            <w:tcBorders>
              <w:top w:val="single" w:sz="4" w:space="0" w:color="auto"/>
              <w:left w:val="single" w:sz="4" w:space="0" w:color="auto"/>
              <w:bottom w:val="single" w:sz="4" w:space="0" w:color="auto"/>
              <w:right w:val="single" w:sz="4" w:space="0" w:color="auto"/>
            </w:tcBorders>
            <w:shd w:val="pct10" w:color="000000" w:fill="FFFFFF"/>
            <w:hideMark/>
          </w:tcPr>
          <w:p w:rsidR="008B5DB5" w:rsidP="007C439D" w14:paraId="30A1B1CC" w14:textId="77777777">
            <w:pPr>
              <w:keepNext/>
              <w:spacing w:before="40" w:after="40"/>
            </w:pPr>
            <w:r w:rsidRPr="004C4D5F">
              <w:rPr>
                <w:rFonts w:cs="Arial"/>
              </w:rPr>
              <w:t>Subtotal</w:t>
            </w:r>
            <w:r>
              <w:rPr>
                <w:rFonts w:cs="Arial"/>
              </w:rPr>
              <w:t xml:space="preserve"> (Application)</w:t>
            </w:r>
          </w:p>
        </w:tc>
        <w:tc>
          <w:tcPr>
            <w:tcW w:w="1207" w:type="dxa"/>
            <w:tcBorders>
              <w:top w:val="single" w:sz="4" w:space="0" w:color="auto"/>
              <w:left w:val="nil"/>
              <w:bottom w:val="single" w:sz="4" w:space="0" w:color="auto"/>
              <w:right w:val="single" w:sz="4" w:space="0" w:color="auto"/>
            </w:tcBorders>
            <w:shd w:val="pct10" w:color="000000" w:fill="FFFFFF"/>
            <w:hideMark/>
          </w:tcPr>
          <w:p w:rsidR="008B5DB5" w:rsidP="007C439D" w14:paraId="462EB13B" w14:textId="77777777">
            <w:pPr>
              <w:tabs>
                <w:tab w:val="left" w:pos="983"/>
              </w:tabs>
              <w:spacing w:before="40" w:after="40"/>
              <w:ind w:right="-25"/>
              <w:jc w:val="center"/>
              <w:rPr>
                <w:rFonts w:cs="Arial"/>
              </w:rPr>
            </w:pPr>
            <w:r>
              <w:rPr>
                <w:rFonts w:cs="Arial"/>
              </w:rPr>
              <w:t>265</w:t>
            </w:r>
          </w:p>
        </w:tc>
        <w:tc>
          <w:tcPr>
            <w:tcW w:w="1217" w:type="dxa"/>
            <w:tcBorders>
              <w:top w:val="single" w:sz="4" w:space="0" w:color="auto"/>
              <w:left w:val="nil"/>
              <w:bottom w:val="single" w:sz="4" w:space="0" w:color="auto"/>
              <w:right w:val="single" w:sz="4" w:space="0" w:color="auto"/>
            </w:tcBorders>
            <w:shd w:val="pct10" w:color="000000" w:fill="FFFFFF"/>
          </w:tcPr>
          <w:p w:rsidR="008B5DB5" w:rsidP="007C439D" w14:paraId="08520146" w14:textId="77777777">
            <w:pPr>
              <w:jc w:val="center"/>
            </w:pPr>
            <w:r>
              <w:t>Annual</w:t>
            </w:r>
          </w:p>
        </w:tc>
        <w:tc>
          <w:tcPr>
            <w:tcW w:w="1014" w:type="dxa"/>
            <w:tcBorders>
              <w:top w:val="single" w:sz="4" w:space="0" w:color="auto"/>
              <w:left w:val="single" w:sz="4" w:space="0" w:color="auto"/>
              <w:bottom w:val="single" w:sz="4" w:space="0" w:color="auto"/>
              <w:right w:val="single" w:sz="4" w:space="0" w:color="auto"/>
            </w:tcBorders>
            <w:shd w:val="pct10" w:color="000000" w:fill="FFFFFF"/>
            <w:hideMark/>
          </w:tcPr>
          <w:p w:rsidR="008B5DB5" w:rsidP="007C439D" w14:paraId="4D078FEE" w14:textId="77777777">
            <w:pPr>
              <w:spacing w:before="40" w:after="40"/>
              <w:jc w:val="center"/>
              <w:rPr>
                <w:rFonts w:cs="Arial"/>
              </w:rPr>
            </w:pPr>
            <w:r>
              <w:rPr>
                <w:rFonts w:cs="Arial"/>
              </w:rPr>
              <w:t>1</w:t>
            </w:r>
          </w:p>
        </w:tc>
        <w:tc>
          <w:tcPr>
            <w:tcW w:w="910" w:type="dxa"/>
            <w:tcBorders>
              <w:top w:val="single" w:sz="4" w:space="0" w:color="auto"/>
              <w:left w:val="nil"/>
              <w:bottom w:val="single" w:sz="4" w:space="0" w:color="auto"/>
              <w:right w:val="single" w:sz="4" w:space="0" w:color="auto"/>
            </w:tcBorders>
            <w:shd w:val="pct10" w:color="000000" w:fill="FFFFFF"/>
          </w:tcPr>
          <w:p w:rsidR="008B5DB5" w:rsidP="007C439D" w14:paraId="36296B76" w14:textId="77777777">
            <w:pPr>
              <w:spacing w:before="40" w:after="40"/>
              <w:ind w:left="-212" w:right="-108"/>
              <w:jc w:val="center"/>
              <w:rPr>
                <w:rFonts w:cs="Arial"/>
              </w:rPr>
            </w:pPr>
            <w:r>
              <w:rPr>
                <w:rFonts w:cs="Arial"/>
              </w:rPr>
              <w:t>18.02</w:t>
            </w:r>
          </w:p>
        </w:tc>
        <w:tc>
          <w:tcPr>
            <w:tcW w:w="1118" w:type="dxa"/>
            <w:tcBorders>
              <w:top w:val="single" w:sz="4" w:space="0" w:color="auto"/>
              <w:left w:val="single" w:sz="4" w:space="0" w:color="auto"/>
              <w:bottom w:val="single" w:sz="4" w:space="0" w:color="auto"/>
              <w:right w:val="single" w:sz="4" w:space="0" w:color="auto"/>
            </w:tcBorders>
            <w:shd w:val="pct10" w:color="000000" w:fill="FFFFFF"/>
            <w:hideMark/>
          </w:tcPr>
          <w:p w:rsidR="008B5DB5" w:rsidRPr="00095C3F" w:rsidP="007C439D" w14:paraId="6E0C6B13" w14:textId="77777777">
            <w:pPr>
              <w:ind w:right="-101"/>
              <w:jc w:val="center"/>
              <w:rPr>
                <w:color w:val="000000"/>
              </w:rPr>
            </w:pPr>
            <w:r w:rsidRPr="00095C3F">
              <w:rPr>
                <w:color w:val="000000"/>
              </w:rPr>
              <w:t>4731.95</w:t>
            </w:r>
          </w:p>
          <w:p w:rsidR="008B5DB5" w:rsidP="007C439D" w14:paraId="6D74B69B" w14:textId="77777777">
            <w:pPr>
              <w:spacing w:before="40" w:after="40"/>
              <w:ind w:right="-101"/>
              <w:jc w:val="center"/>
              <w:rPr>
                <w:rFonts w:cs="Arial"/>
              </w:rPr>
            </w:pPr>
          </w:p>
        </w:tc>
        <w:tc>
          <w:tcPr>
            <w:tcW w:w="1014" w:type="dxa"/>
            <w:tcBorders>
              <w:top w:val="single" w:sz="4" w:space="0" w:color="auto"/>
              <w:left w:val="nil"/>
              <w:bottom w:val="single" w:sz="4" w:space="0" w:color="auto"/>
              <w:right w:val="single" w:sz="4" w:space="0" w:color="auto"/>
            </w:tcBorders>
            <w:shd w:val="pct10" w:color="000000" w:fill="FFFFFF"/>
          </w:tcPr>
          <w:p w:rsidR="008B5DB5" w:rsidRPr="004C4D5F" w:rsidP="007C439D" w14:paraId="318E3825" w14:textId="77777777">
            <w:pPr>
              <w:tabs>
                <w:tab w:val="left" w:pos="252"/>
                <w:tab w:val="left" w:pos="897"/>
              </w:tabs>
              <w:spacing w:before="40" w:after="40"/>
              <w:ind w:left="-212" w:right="-107"/>
              <w:jc w:val="center"/>
              <w:rPr>
                <w:rFonts w:cs="Arial"/>
              </w:rPr>
            </w:pPr>
            <w:r>
              <w:rPr>
                <w:rFonts w:cs="Arial"/>
              </w:rPr>
              <w:t>$35.03</w:t>
            </w:r>
          </w:p>
        </w:tc>
        <w:tc>
          <w:tcPr>
            <w:tcW w:w="1621" w:type="dxa"/>
            <w:tcBorders>
              <w:top w:val="single" w:sz="4" w:space="0" w:color="auto"/>
              <w:left w:val="nil"/>
              <w:bottom w:val="single" w:sz="4" w:space="0" w:color="auto"/>
              <w:right w:val="single" w:sz="4" w:space="0" w:color="auto"/>
            </w:tcBorders>
            <w:shd w:val="pct10" w:color="000000" w:fill="FFFFFF"/>
          </w:tcPr>
          <w:p w:rsidR="008B5DB5" w:rsidP="007C439D" w14:paraId="380CA335" w14:textId="77777777">
            <w:pPr>
              <w:jc w:val="center"/>
              <w:rPr>
                <w:rFonts w:ascii="Calibri" w:hAnsi="Calibri" w:cs="Calibri"/>
                <w:color w:val="000000"/>
              </w:rPr>
            </w:pPr>
            <w:r>
              <w:rPr>
                <w:rFonts w:ascii="Calibri" w:hAnsi="Calibri" w:cs="Arial"/>
                <w:color w:val="000000"/>
              </w:rPr>
              <w:t>$165,760.21</w:t>
            </w:r>
          </w:p>
        </w:tc>
      </w:tr>
      <w:tr w14:paraId="4E687C6C" w14:textId="77777777" w:rsidTr="00452D16">
        <w:tblPrEx>
          <w:tblW w:w="4991" w:type="pct"/>
          <w:tblLayout w:type="fixed"/>
          <w:tblLook w:val="04A0"/>
        </w:tblPrEx>
        <w:trPr>
          <w:cantSplit/>
          <w:trHeight w:val="144"/>
        </w:trPr>
        <w:tc>
          <w:tcPr>
            <w:tcW w:w="2670" w:type="dxa"/>
            <w:tcBorders>
              <w:top w:val="single" w:sz="4" w:space="0" w:color="auto"/>
              <w:left w:val="single" w:sz="4" w:space="0" w:color="auto"/>
              <w:bottom w:val="single" w:sz="4" w:space="0" w:color="auto"/>
              <w:right w:val="single" w:sz="4" w:space="0" w:color="auto"/>
            </w:tcBorders>
            <w:shd w:val="clear" w:color="000000" w:fill="auto"/>
            <w:hideMark/>
          </w:tcPr>
          <w:p w:rsidR="008B5DB5" w:rsidRPr="004C4D5F" w:rsidP="007C439D" w14:paraId="78936074" w14:textId="77777777">
            <w:pPr>
              <w:keepNext/>
              <w:spacing w:before="40" w:after="40"/>
            </w:pPr>
            <w:r>
              <w:t>Family Report</w:t>
            </w:r>
          </w:p>
          <w:p w:rsidR="008B5DB5" w:rsidP="007C439D" w14:paraId="48E82772" w14:textId="77777777">
            <w:pPr>
              <w:keepNext/>
              <w:spacing w:before="40" w:after="40"/>
            </w:pPr>
            <w:r w:rsidRPr="004C4D5F">
              <w:t>HUD-</w:t>
            </w:r>
            <w:r>
              <w:t>50058 (2577-0083)</w:t>
            </w:r>
          </w:p>
        </w:tc>
        <w:tc>
          <w:tcPr>
            <w:tcW w:w="1207" w:type="dxa"/>
            <w:tcBorders>
              <w:top w:val="single" w:sz="4" w:space="0" w:color="auto"/>
              <w:left w:val="nil"/>
              <w:bottom w:val="single" w:sz="4" w:space="0" w:color="auto"/>
              <w:right w:val="single" w:sz="4" w:space="0" w:color="auto"/>
            </w:tcBorders>
            <w:shd w:val="clear" w:color="000000" w:fill="auto"/>
            <w:hideMark/>
          </w:tcPr>
          <w:p w:rsidR="008B5DB5" w:rsidP="007C439D" w14:paraId="0D3E0A12" w14:textId="77777777">
            <w:pPr>
              <w:tabs>
                <w:tab w:val="left" w:pos="983"/>
              </w:tabs>
              <w:spacing w:before="40" w:after="40"/>
              <w:ind w:right="-25"/>
              <w:jc w:val="center"/>
              <w:rPr>
                <w:rFonts w:cs="Arial"/>
              </w:rPr>
            </w:pPr>
            <w:r>
              <w:rPr>
                <w:rFonts w:cs="Arial"/>
              </w:rPr>
              <w:t>242</w:t>
            </w:r>
          </w:p>
        </w:tc>
        <w:tc>
          <w:tcPr>
            <w:tcW w:w="1217" w:type="dxa"/>
            <w:tcBorders>
              <w:top w:val="single" w:sz="4" w:space="0" w:color="auto"/>
              <w:left w:val="nil"/>
              <w:bottom w:val="single" w:sz="4" w:space="0" w:color="auto"/>
              <w:right w:val="single" w:sz="4" w:space="0" w:color="auto"/>
            </w:tcBorders>
            <w:shd w:val="clear" w:color="000000" w:fill="auto"/>
          </w:tcPr>
          <w:p w:rsidR="008B5DB5" w:rsidP="007C439D" w14:paraId="20151D39" w14:textId="77777777">
            <w:pPr>
              <w:jc w:val="center"/>
            </w:pPr>
            <w:r w:rsidRPr="00BC0F29">
              <w:rPr>
                <w:rFonts w:cs="Arial"/>
              </w:rPr>
              <w:t>Annual</w:t>
            </w:r>
          </w:p>
        </w:tc>
        <w:tc>
          <w:tcPr>
            <w:tcW w:w="1014" w:type="dxa"/>
            <w:tcBorders>
              <w:top w:val="single" w:sz="4" w:space="0" w:color="auto"/>
              <w:left w:val="single" w:sz="4" w:space="0" w:color="auto"/>
              <w:bottom w:val="single" w:sz="4" w:space="0" w:color="auto"/>
              <w:right w:val="single" w:sz="4" w:space="0" w:color="auto"/>
            </w:tcBorders>
            <w:shd w:val="clear" w:color="000000" w:fill="auto"/>
            <w:hideMark/>
          </w:tcPr>
          <w:p w:rsidR="008B5DB5" w:rsidP="007C439D" w14:paraId="650ECE86" w14:textId="77777777">
            <w:pPr>
              <w:spacing w:before="40" w:after="40"/>
              <w:jc w:val="center"/>
              <w:rPr>
                <w:rFonts w:cs="Arial"/>
              </w:rPr>
            </w:pPr>
            <w:r>
              <w:rPr>
                <w:rFonts w:cs="Arial"/>
              </w:rPr>
              <w:t>75</w:t>
            </w:r>
          </w:p>
        </w:tc>
        <w:tc>
          <w:tcPr>
            <w:tcW w:w="910" w:type="dxa"/>
            <w:tcBorders>
              <w:top w:val="single" w:sz="4" w:space="0" w:color="auto"/>
              <w:left w:val="nil"/>
              <w:bottom w:val="single" w:sz="4" w:space="0" w:color="auto"/>
              <w:right w:val="single" w:sz="4" w:space="0" w:color="auto"/>
            </w:tcBorders>
            <w:shd w:val="clear" w:color="000000" w:fill="auto"/>
          </w:tcPr>
          <w:p w:rsidR="008B5DB5" w:rsidP="007C439D" w14:paraId="0415DB13" w14:textId="77777777">
            <w:pPr>
              <w:spacing w:before="40" w:after="40"/>
              <w:ind w:left="-212" w:right="-108"/>
              <w:jc w:val="center"/>
              <w:rPr>
                <w:rFonts w:cs="Arial"/>
              </w:rPr>
            </w:pPr>
            <w:r>
              <w:rPr>
                <w:rFonts w:cs="Arial"/>
              </w:rPr>
              <w:t>.02</w:t>
            </w:r>
          </w:p>
        </w:tc>
        <w:tc>
          <w:tcPr>
            <w:tcW w:w="1118" w:type="dxa"/>
            <w:tcBorders>
              <w:top w:val="single" w:sz="4" w:space="0" w:color="auto"/>
              <w:left w:val="single" w:sz="4" w:space="0" w:color="auto"/>
              <w:bottom w:val="single" w:sz="4" w:space="0" w:color="auto"/>
              <w:right w:val="single" w:sz="4" w:space="0" w:color="auto"/>
            </w:tcBorders>
            <w:shd w:val="clear" w:color="000000" w:fill="auto"/>
            <w:hideMark/>
          </w:tcPr>
          <w:p w:rsidR="008B5DB5" w:rsidP="007C439D" w14:paraId="55822D0F" w14:textId="77777777">
            <w:pPr>
              <w:spacing w:before="40" w:after="40"/>
              <w:ind w:right="-101"/>
              <w:jc w:val="center"/>
              <w:rPr>
                <w:rFonts w:cs="Arial"/>
              </w:rPr>
            </w:pPr>
            <w:r>
              <w:rPr>
                <w:rFonts w:cs="Arial"/>
              </w:rPr>
              <w:t>363</w:t>
            </w:r>
          </w:p>
        </w:tc>
        <w:tc>
          <w:tcPr>
            <w:tcW w:w="1014" w:type="dxa"/>
            <w:tcBorders>
              <w:top w:val="single" w:sz="4" w:space="0" w:color="auto"/>
              <w:left w:val="nil"/>
              <w:bottom w:val="single" w:sz="4" w:space="0" w:color="auto"/>
              <w:right w:val="single" w:sz="4" w:space="0" w:color="auto"/>
            </w:tcBorders>
            <w:shd w:val="clear" w:color="000000" w:fill="auto"/>
          </w:tcPr>
          <w:p w:rsidR="008B5DB5" w:rsidRPr="004C4D5F" w:rsidP="007C439D" w14:paraId="7E078B63" w14:textId="77777777">
            <w:pPr>
              <w:tabs>
                <w:tab w:val="left" w:pos="252"/>
                <w:tab w:val="left" w:pos="897"/>
              </w:tabs>
              <w:spacing w:before="40" w:after="40"/>
              <w:ind w:left="-212" w:right="-107"/>
              <w:jc w:val="center"/>
              <w:rPr>
                <w:rFonts w:cs="Arial"/>
              </w:rPr>
            </w:pPr>
            <w:r>
              <w:rPr>
                <w:rFonts w:cs="Arial"/>
              </w:rPr>
              <w:t>$35.03</w:t>
            </w:r>
          </w:p>
        </w:tc>
        <w:tc>
          <w:tcPr>
            <w:tcW w:w="1621" w:type="dxa"/>
            <w:tcBorders>
              <w:top w:val="single" w:sz="4" w:space="0" w:color="auto"/>
              <w:left w:val="nil"/>
              <w:bottom w:val="single" w:sz="4" w:space="0" w:color="auto"/>
              <w:right w:val="single" w:sz="4" w:space="0" w:color="auto"/>
            </w:tcBorders>
            <w:shd w:val="clear" w:color="000000" w:fill="auto"/>
          </w:tcPr>
          <w:p w:rsidR="008B5DB5" w:rsidP="007C439D" w14:paraId="027B473C" w14:textId="77777777">
            <w:pPr>
              <w:jc w:val="center"/>
              <w:rPr>
                <w:rFonts w:ascii="Calibri" w:hAnsi="Calibri" w:cs="Calibri"/>
                <w:color w:val="000000"/>
              </w:rPr>
            </w:pPr>
            <w:r>
              <w:rPr>
                <w:rFonts w:ascii="Calibri" w:hAnsi="Calibri" w:cs="Arial"/>
                <w:color w:val="000000"/>
              </w:rPr>
              <w:t>$12,715.89</w:t>
            </w:r>
          </w:p>
        </w:tc>
      </w:tr>
      <w:tr w14:paraId="249F3800" w14:textId="77777777" w:rsidTr="00452D16">
        <w:tblPrEx>
          <w:tblW w:w="4991" w:type="pct"/>
          <w:tblLayout w:type="fixed"/>
          <w:tblLook w:val="04A0"/>
        </w:tblPrEx>
        <w:trPr>
          <w:cantSplit/>
          <w:trHeight w:val="144"/>
        </w:trPr>
        <w:tc>
          <w:tcPr>
            <w:tcW w:w="2670" w:type="dxa"/>
            <w:tcBorders>
              <w:top w:val="single" w:sz="4" w:space="0" w:color="auto"/>
              <w:left w:val="single" w:sz="4" w:space="0" w:color="auto"/>
              <w:bottom w:val="single" w:sz="4" w:space="0" w:color="auto"/>
              <w:right w:val="single" w:sz="4" w:space="0" w:color="auto"/>
            </w:tcBorders>
            <w:shd w:val="clear" w:color="000000" w:fill="auto"/>
            <w:hideMark/>
          </w:tcPr>
          <w:p w:rsidR="008B5DB5" w:rsidRPr="004C4D5F" w:rsidP="007C439D" w14:paraId="197A1AD9" w14:textId="77777777">
            <w:pPr>
              <w:keepNext/>
              <w:spacing w:before="40" w:after="40"/>
              <w:rPr>
                <w:rFonts w:cs="Arial"/>
              </w:rPr>
            </w:pPr>
            <w:r>
              <w:t>Baseline adjustment</w:t>
            </w:r>
          </w:p>
        </w:tc>
        <w:tc>
          <w:tcPr>
            <w:tcW w:w="1207" w:type="dxa"/>
            <w:tcBorders>
              <w:top w:val="single" w:sz="4" w:space="0" w:color="auto"/>
              <w:left w:val="nil"/>
              <w:bottom w:val="single" w:sz="4" w:space="0" w:color="auto"/>
              <w:right w:val="single" w:sz="4" w:space="0" w:color="auto"/>
            </w:tcBorders>
            <w:shd w:val="clear" w:color="000000" w:fill="auto"/>
            <w:hideMark/>
          </w:tcPr>
          <w:p w:rsidR="008B5DB5" w:rsidRPr="00C51B64" w:rsidP="007C439D" w14:paraId="7C64B89E" w14:textId="77777777">
            <w:pPr>
              <w:tabs>
                <w:tab w:val="left" w:pos="983"/>
              </w:tabs>
              <w:spacing w:before="40" w:after="40"/>
              <w:ind w:right="-25"/>
              <w:jc w:val="center"/>
              <w:rPr>
                <w:rFonts w:cs="Arial"/>
              </w:rPr>
            </w:pPr>
            <w:r>
              <w:rPr>
                <w:rFonts w:cs="Arial"/>
              </w:rPr>
              <w:t>10</w:t>
            </w:r>
          </w:p>
        </w:tc>
        <w:tc>
          <w:tcPr>
            <w:tcW w:w="1217" w:type="dxa"/>
            <w:tcBorders>
              <w:top w:val="single" w:sz="4" w:space="0" w:color="auto"/>
              <w:left w:val="nil"/>
              <w:bottom w:val="single" w:sz="4" w:space="0" w:color="auto"/>
              <w:right w:val="single" w:sz="4" w:space="0" w:color="auto"/>
            </w:tcBorders>
            <w:shd w:val="clear" w:color="000000" w:fill="auto"/>
          </w:tcPr>
          <w:p w:rsidR="008B5DB5" w:rsidP="007C439D" w14:paraId="3F0B71AC" w14:textId="77777777">
            <w:pPr>
              <w:jc w:val="center"/>
            </w:pPr>
            <w:r w:rsidRPr="00BC0F29">
              <w:rPr>
                <w:rFonts w:cs="Arial"/>
              </w:rPr>
              <w:t>Annual</w:t>
            </w:r>
          </w:p>
        </w:tc>
        <w:tc>
          <w:tcPr>
            <w:tcW w:w="1014" w:type="dxa"/>
            <w:tcBorders>
              <w:top w:val="single" w:sz="4" w:space="0" w:color="auto"/>
              <w:left w:val="single" w:sz="4" w:space="0" w:color="auto"/>
              <w:bottom w:val="single" w:sz="4" w:space="0" w:color="auto"/>
              <w:right w:val="single" w:sz="4" w:space="0" w:color="auto"/>
            </w:tcBorders>
            <w:shd w:val="clear" w:color="000000" w:fill="auto"/>
            <w:hideMark/>
          </w:tcPr>
          <w:p w:rsidR="008B5DB5" w:rsidRPr="00C51B64" w:rsidP="007C439D" w14:paraId="35149918" w14:textId="77777777">
            <w:pPr>
              <w:spacing w:before="40" w:after="40"/>
              <w:jc w:val="center"/>
              <w:rPr>
                <w:rFonts w:cs="Arial"/>
              </w:rPr>
            </w:pPr>
            <w:r>
              <w:rPr>
                <w:rFonts w:cs="Arial"/>
              </w:rPr>
              <w:t>1</w:t>
            </w:r>
          </w:p>
        </w:tc>
        <w:tc>
          <w:tcPr>
            <w:tcW w:w="910" w:type="dxa"/>
            <w:tcBorders>
              <w:top w:val="single" w:sz="4" w:space="0" w:color="auto"/>
              <w:left w:val="nil"/>
              <w:bottom w:val="single" w:sz="4" w:space="0" w:color="auto"/>
              <w:right w:val="single" w:sz="4" w:space="0" w:color="auto"/>
            </w:tcBorders>
            <w:shd w:val="clear" w:color="000000" w:fill="auto"/>
          </w:tcPr>
          <w:p w:rsidR="008B5DB5" w:rsidRPr="00C51B64" w:rsidP="007C439D" w14:paraId="7241FDBD" w14:textId="77777777">
            <w:pPr>
              <w:spacing w:before="40" w:after="40"/>
              <w:ind w:left="-212" w:right="-108"/>
              <w:jc w:val="center"/>
              <w:rPr>
                <w:rFonts w:cs="Arial"/>
              </w:rPr>
            </w:pPr>
            <w:r>
              <w:rPr>
                <w:rFonts w:cs="Arial"/>
              </w:rPr>
              <w:t>.5</w:t>
            </w:r>
          </w:p>
        </w:tc>
        <w:tc>
          <w:tcPr>
            <w:tcW w:w="1118" w:type="dxa"/>
            <w:tcBorders>
              <w:top w:val="single" w:sz="4" w:space="0" w:color="auto"/>
              <w:left w:val="single" w:sz="4" w:space="0" w:color="auto"/>
              <w:bottom w:val="single" w:sz="4" w:space="0" w:color="auto"/>
              <w:right w:val="single" w:sz="4" w:space="0" w:color="auto"/>
            </w:tcBorders>
            <w:shd w:val="clear" w:color="000000" w:fill="auto"/>
            <w:hideMark/>
          </w:tcPr>
          <w:p w:rsidR="008B5DB5" w:rsidRPr="00C51B64" w:rsidP="007C439D" w14:paraId="68B03B90" w14:textId="77777777">
            <w:pPr>
              <w:spacing w:before="40" w:after="40"/>
              <w:ind w:right="-101"/>
              <w:jc w:val="center"/>
              <w:rPr>
                <w:rFonts w:cs="Arial"/>
              </w:rPr>
            </w:pPr>
            <w:r>
              <w:rPr>
                <w:rFonts w:cs="Arial"/>
              </w:rPr>
              <w:t>5</w:t>
            </w:r>
          </w:p>
        </w:tc>
        <w:tc>
          <w:tcPr>
            <w:tcW w:w="1014" w:type="dxa"/>
            <w:tcBorders>
              <w:top w:val="single" w:sz="4" w:space="0" w:color="auto"/>
              <w:left w:val="nil"/>
              <w:bottom w:val="single" w:sz="4" w:space="0" w:color="auto"/>
              <w:right w:val="single" w:sz="4" w:space="0" w:color="auto"/>
            </w:tcBorders>
            <w:shd w:val="clear" w:color="000000" w:fill="auto"/>
          </w:tcPr>
          <w:p w:rsidR="008B5DB5" w:rsidRPr="004C4D5F" w:rsidP="007C439D" w14:paraId="4BE9DF8C" w14:textId="77777777">
            <w:pPr>
              <w:tabs>
                <w:tab w:val="left" w:pos="252"/>
                <w:tab w:val="left" w:pos="897"/>
              </w:tabs>
              <w:spacing w:before="40" w:after="40"/>
              <w:ind w:left="-212" w:right="-107"/>
              <w:jc w:val="center"/>
              <w:rPr>
                <w:rFonts w:cs="Arial"/>
              </w:rPr>
            </w:pPr>
            <w:r>
              <w:rPr>
                <w:rFonts w:cs="Arial"/>
              </w:rPr>
              <w:t>$35.03</w:t>
            </w:r>
          </w:p>
        </w:tc>
        <w:tc>
          <w:tcPr>
            <w:tcW w:w="1621" w:type="dxa"/>
            <w:tcBorders>
              <w:top w:val="single" w:sz="4" w:space="0" w:color="auto"/>
              <w:left w:val="nil"/>
              <w:bottom w:val="single" w:sz="4" w:space="0" w:color="auto"/>
              <w:right w:val="single" w:sz="4" w:space="0" w:color="auto"/>
            </w:tcBorders>
            <w:shd w:val="clear" w:color="000000" w:fill="auto"/>
          </w:tcPr>
          <w:p w:rsidR="008B5DB5" w:rsidP="007C439D" w14:paraId="6631EEB3" w14:textId="77777777">
            <w:pPr>
              <w:jc w:val="center"/>
              <w:rPr>
                <w:rFonts w:ascii="Calibri" w:hAnsi="Calibri" w:cs="Calibri"/>
                <w:color w:val="000000"/>
              </w:rPr>
            </w:pPr>
            <w:r>
              <w:rPr>
                <w:rFonts w:ascii="Calibri" w:hAnsi="Calibri" w:cs="Arial"/>
                <w:color w:val="000000"/>
              </w:rPr>
              <w:t>$175.15</w:t>
            </w:r>
          </w:p>
        </w:tc>
      </w:tr>
      <w:tr w14:paraId="0EF5D309" w14:textId="77777777" w:rsidTr="00452D16">
        <w:tblPrEx>
          <w:tblW w:w="4991" w:type="pct"/>
          <w:tblLayout w:type="fixed"/>
          <w:tblLook w:val="04A0"/>
        </w:tblPrEx>
        <w:trPr>
          <w:cantSplit/>
          <w:trHeight w:val="144"/>
        </w:trPr>
        <w:tc>
          <w:tcPr>
            <w:tcW w:w="2670" w:type="dxa"/>
            <w:tcBorders>
              <w:top w:val="single" w:sz="4" w:space="0" w:color="auto"/>
              <w:left w:val="single" w:sz="4" w:space="0" w:color="auto"/>
              <w:bottom w:val="single" w:sz="4" w:space="0" w:color="auto"/>
              <w:right w:val="single" w:sz="4" w:space="0" w:color="auto"/>
            </w:tcBorders>
            <w:shd w:val="clear" w:color="000000" w:fill="auto"/>
            <w:hideMark/>
          </w:tcPr>
          <w:p w:rsidR="008B5DB5" w:rsidP="007C439D" w14:paraId="0B340BDB" w14:textId="77777777">
            <w:pPr>
              <w:keepNext/>
              <w:spacing w:before="40" w:after="40"/>
            </w:pPr>
            <w:r>
              <w:t>Program and Accounting Recordkeeping</w:t>
            </w:r>
          </w:p>
        </w:tc>
        <w:tc>
          <w:tcPr>
            <w:tcW w:w="1207" w:type="dxa"/>
            <w:tcBorders>
              <w:top w:val="single" w:sz="4" w:space="0" w:color="auto"/>
              <w:left w:val="nil"/>
              <w:bottom w:val="single" w:sz="4" w:space="0" w:color="auto"/>
              <w:right w:val="single" w:sz="4" w:space="0" w:color="auto"/>
            </w:tcBorders>
            <w:shd w:val="clear" w:color="000000" w:fill="auto"/>
            <w:hideMark/>
          </w:tcPr>
          <w:p w:rsidR="008B5DB5" w:rsidP="007C439D" w14:paraId="66B77858" w14:textId="77777777">
            <w:pPr>
              <w:tabs>
                <w:tab w:val="left" w:pos="983"/>
              </w:tabs>
              <w:spacing w:before="40" w:after="40"/>
              <w:ind w:right="-25"/>
              <w:jc w:val="center"/>
              <w:rPr>
                <w:rFonts w:cs="Arial"/>
              </w:rPr>
            </w:pPr>
            <w:r>
              <w:rPr>
                <w:rFonts w:cs="Arial"/>
              </w:rPr>
              <w:t>242</w:t>
            </w:r>
          </w:p>
        </w:tc>
        <w:tc>
          <w:tcPr>
            <w:tcW w:w="1217" w:type="dxa"/>
            <w:tcBorders>
              <w:top w:val="single" w:sz="4" w:space="0" w:color="auto"/>
              <w:left w:val="nil"/>
              <w:bottom w:val="single" w:sz="4" w:space="0" w:color="auto"/>
              <w:right w:val="single" w:sz="4" w:space="0" w:color="auto"/>
            </w:tcBorders>
            <w:shd w:val="clear" w:color="000000" w:fill="auto"/>
          </w:tcPr>
          <w:p w:rsidR="008B5DB5" w:rsidP="007C439D" w14:paraId="2790B31E" w14:textId="77777777">
            <w:pPr>
              <w:jc w:val="center"/>
            </w:pPr>
            <w:r w:rsidRPr="00BC0F29">
              <w:rPr>
                <w:rFonts w:cs="Arial"/>
              </w:rPr>
              <w:t>Annual</w:t>
            </w:r>
          </w:p>
        </w:tc>
        <w:tc>
          <w:tcPr>
            <w:tcW w:w="1014" w:type="dxa"/>
            <w:tcBorders>
              <w:top w:val="single" w:sz="4" w:space="0" w:color="auto"/>
              <w:left w:val="single" w:sz="4" w:space="0" w:color="auto"/>
              <w:bottom w:val="single" w:sz="4" w:space="0" w:color="auto"/>
              <w:right w:val="single" w:sz="4" w:space="0" w:color="auto"/>
            </w:tcBorders>
            <w:shd w:val="clear" w:color="000000" w:fill="auto"/>
            <w:hideMark/>
          </w:tcPr>
          <w:p w:rsidR="008B5DB5" w:rsidP="007C439D" w14:paraId="753455FE" w14:textId="77777777">
            <w:pPr>
              <w:spacing w:before="40" w:after="40"/>
              <w:jc w:val="center"/>
              <w:rPr>
                <w:rFonts w:cs="Arial"/>
              </w:rPr>
            </w:pPr>
            <w:r>
              <w:rPr>
                <w:rFonts w:cs="Arial"/>
              </w:rPr>
              <w:t>1</w:t>
            </w:r>
          </w:p>
        </w:tc>
        <w:tc>
          <w:tcPr>
            <w:tcW w:w="910" w:type="dxa"/>
            <w:tcBorders>
              <w:top w:val="single" w:sz="4" w:space="0" w:color="auto"/>
              <w:left w:val="nil"/>
              <w:bottom w:val="single" w:sz="4" w:space="0" w:color="auto"/>
              <w:right w:val="single" w:sz="4" w:space="0" w:color="auto"/>
            </w:tcBorders>
            <w:shd w:val="clear" w:color="000000" w:fill="auto"/>
          </w:tcPr>
          <w:p w:rsidR="008B5DB5" w:rsidP="007C439D" w14:paraId="73D3F824" w14:textId="77777777">
            <w:pPr>
              <w:spacing w:before="40" w:after="40"/>
              <w:ind w:left="-212" w:right="-108"/>
              <w:jc w:val="center"/>
              <w:rPr>
                <w:rFonts w:cs="Arial"/>
              </w:rPr>
            </w:pPr>
            <w:r>
              <w:rPr>
                <w:rFonts w:cs="Arial"/>
              </w:rPr>
              <w:t>5</w:t>
            </w:r>
          </w:p>
        </w:tc>
        <w:tc>
          <w:tcPr>
            <w:tcW w:w="1118" w:type="dxa"/>
            <w:tcBorders>
              <w:top w:val="single" w:sz="4" w:space="0" w:color="auto"/>
              <w:left w:val="single" w:sz="4" w:space="0" w:color="auto"/>
              <w:bottom w:val="single" w:sz="4" w:space="0" w:color="auto"/>
              <w:right w:val="single" w:sz="4" w:space="0" w:color="auto"/>
            </w:tcBorders>
            <w:shd w:val="clear" w:color="000000" w:fill="auto"/>
            <w:hideMark/>
          </w:tcPr>
          <w:p w:rsidR="008B5DB5" w:rsidP="007C439D" w14:paraId="25E37B7C" w14:textId="77777777">
            <w:pPr>
              <w:spacing w:before="40" w:after="40"/>
              <w:ind w:right="-101"/>
              <w:jc w:val="center"/>
              <w:rPr>
                <w:rFonts w:cs="Arial"/>
              </w:rPr>
            </w:pPr>
            <w:r>
              <w:rPr>
                <w:rFonts w:cs="Arial"/>
              </w:rPr>
              <w:t>1210</w:t>
            </w:r>
          </w:p>
        </w:tc>
        <w:tc>
          <w:tcPr>
            <w:tcW w:w="1014" w:type="dxa"/>
            <w:tcBorders>
              <w:top w:val="single" w:sz="4" w:space="0" w:color="auto"/>
              <w:left w:val="nil"/>
              <w:bottom w:val="single" w:sz="4" w:space="0" w:color="auto"/>
              <w:right w:val="single" w:sz="4" w:space="0" w:color="auto"/>
            </w:tcBorders>
            <w:shd w:val="clear" w:color="000000" w:fill="auto"/>
          </w:tcPr>
          <w:p w:rsidR="008B5DB5" w:rsidRPr="004C4D5F" w:rsidP="007C439D" w14:paraId="23050802" w14:textId="77777777">
            <w:pPr>
              <w:tabs>
                <w:tab w:val="left" w:pos="252"/>
                <w:tab w:val="left" w:pos="897"/>
              </w:tabs>
              <w:spacing w:before="40" w:after="40"/>
              <w:ind w:left="-212" w:right="-107"/>
              <w:jc w:val="center"/>
              <w:rPr>
                <w:rFonts w:cs="Arial"/>
              </w:rPr>
            </w:pPr>
            <w:r>
              <w:rPr>
                <w:rFonts w:cs="Arial"/>
              </w:rPr>
              <w:t>$35.03</w:t>
            </w:r>
          </w:p>
        </w:tc>
        <w:tc>
          <w:tcPr>
            <w:tcW w:w="1621" w:type="dxa"/>
            <w:tcBorders>
              <w:top w:val="single" w:sz="4" w:space="0" w:color="auto"/>
              <w:left w:val="nil"/>
              <w:bottom w:val="single" w:sz="4" w:space="0" w:color="auto"/>
              <w:right w:val="single" w:sz="4" w:space="0" w:color="auto"/>
            </w:tcBorders>
            <w:shd w:val="clear" w:color="000000" w:fill="auto"/>
          </w:tcPr>
          <w:p w:rsidR="008B5DB5" w:rsidP="007C439D" w14:paraId="131104E7" w14:textId="77777777">
            <w:pPr>
              <w:jc w:val="center"/>
              <w:rPr>
                <w:rFonts w:ascii="Calibri" w:hAnsi="Calibri" w:cs="Calibri"/>
                <w:color w:val="000000"/>
              </w:rPr>
            </w:pPr>
            <w:r>
              <w:rPr>
                <w:rFonts w:ascii="Calibri" w:hAnsi="Calibri" w:cs="Arial"/>
                <w:color w:val="000000"/>
              </w:rPr>
              <w:t>$</w:t>
            </w:r>
            <w:r w:rsidRPr="00AD09C4">
              <w:rPr>
                <w:rFonts w:ascii="Calibri" w:hAnsi="Calibri" w:cs="Arial"/>
                <w:color w:val="000000"/>
              </w:rPr>
              <w:t>42</w:t>
            </w:r>
            <w:r>
              <w:rPr>
                <w:rFonts w:ascii="Calibri" w:hAnsi="Calibri" w:cs="Arial"/>
                <w:color w:val="000000"/>
              </w:rPr>
              <w:t>,</w:t>
            </w:r>
            <w:r w:rsidRPr="00AD09C4">
              <w:rPr>
                <w:rFonts w:ascii="Calibri" w:hAnsi="Calibri" w:cs="Arial"/>
                <w:color w:val="000000"/>
              </w:rPr>
              <w:t>386.3</w:t>
            </w:r>
            <w:r>
              <w:rPr>
                <w:rFonts w:ascii="Calibri" w:hAnsi="Calibri" w:cs="Arial"/>
                <w:color w:val="000000"/>
              </w:rPr>
              <w:t>0</w:t>
            </w:r>
          </w:p>
        </w:tc>
      </w:tr>
      <w:tr w14:paraId="59F47768"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auto" w:fill="D9D9D9"/>
            <w:hideMark/>
          </w:tcPr>
          <w:p w:rsidR="008B5DB5" w:rsidP="007C439D" w14:paraId="07ADADD4" w14:textId="77777777">
            <w:pPr>
              <w:keepNext/>
              <w:spacing w:before="40" w:after="40"/>
            </w:pPr>
            <w:r w:rsidRPr="00C3239F">
              <w:t>Subtotal (Reporting/</w:t>
            </w:r>
            <w:r>
              <w:t xml:space="preserve"> </w:t>
            </w:r>
            <w:r w:rsidRPr="00C3239F">
              <w:t>Recordkeeping)</w:t>
            </w:r>
          </w:p>
        </w:tc>
        <w:tc>
          <w:tcPr>
            <w:tcW w:w="1207" w:type="dxa"/>
            <w:tcBorders>
              <w:top w:val="nil"/>
              <w:left w:val="nil"/>
              <w:bottom w:val="single" w:sz="4" w:space="0" w:color="auto"/>
              <w:right w:val="single" w:sz="4" w:space="0" w:color="auto"/>
            </w:tcBorders>
            <w:shd w:val="clear" w:color="auto" w:fill="D9D9D9"/>
            <w:hideMark/>
          </w:tcPr>
          <w:p w:rsidR="008B5DB5" w:rsidP="007C439D" w14:paraId="2CF26247" w14:textId="77777777">
            <w:pPr>
              <w:tabs>
                <w:tab w:val="left" w:pos="983"/>
              </w:tabs>
              <w:spacing w:before="40" w:after="40"/>
              <w:ind w:right="-25"/>
              <w:jc w:val="center"/>
              <w:rPr>
                <w:rFonts w:cs="Arial"/>
              </w:rPr>
            </w:pPr>
          </w:p>
        </w:tc>
        <w:tc>
          <w:tcPr>
            <w:tcW w:w="1217" w:type="dxa"/>
            <w:tcBorders>
              <w:top w:val="single" w:sz="4" w:space="0" w:color="auto"/>
              <w:left w:val="nil"/>
              <w:bottom w:val="single" w:sz="4" w:space="0" w:color="auto"/>
              <w:right w:val="single" w:sz="4" w:space="0" w:color="auto"/>
            </w:tcBorders>
            <w:shd w:val="clear" w:color="auto" w:fill="D9D9D9"/>
          </w:tcPr>
          <w:p w:rsidR="008B5DB5" w:rsidP="007C439D" w14:paraId="69B10379" w14:textId="77777777">
            <w:pPr>
              <w:jc w:val="center"/>
            </w:pPr>
          </w:p>
        </w:tc>
        <w:tc>
          <w:tcPr>
            <w:tcW w:w="1014" w:type="dxa"/>
            <w:tcBorders>
              <w:top w:val="nil"/>
              <w:left w:val="single" w:sz="4" w:space="0" w:color="auto"/>
              <w:bottom w:val="single" w:sz="4" w:space="0" w:color="auto"/>
              <w:right w:val="single" w:sz="4" w:space="0" w:color="auto"/>
            </w:tcBorders>
            <w:shd w:val="clear" w:color="auto" w:fill="D9D9D9"/>
            <w:hideMark/>
          </w:tcPr>
          <w:p w:rsidR="008B5DB5" w:rsidP="007C439D" w14:paraId="46DF3650" w14:textId="77777777">
            <w:pPr>
              <w:spacing w:before="40" w:after="40"/>
              <w:jc w:val="center"/>
              <w:rPr>
                <w:rFonts w:cs="Arial"/>
              </w:rPr>
            </w:pPr>
          </w:p>
        </w:tc>
        <w:tc>
          <w:tcPr>
            <w:tcW w:w="910" w:type="dxa"/>
            <w:tcBorders>
              <w:top w:val="single" w:sz="4" w:space="0" w:color="auto"/>
              <w:left w:val="nil"/>
              <w:bottom w:val="single" w:sz="4" w:space="0" w:color="auto"/>
              <w:right w:val="single" w:sz="4" w:space="0" w:color="auto"/>
            </w:tcBorders>
            <w:shd w:val="clear" w:color="auto" w:fill="D9D9D9"/>
          </w:tcPr>
          <w:p w:rsidR="008B5DB5" w:rsidP="007C439D" w14:paraId="7C33707A" w14:textId="77777777">
            <w:pPr>
              <w:spacing w:before="40" w:after="40"/>
              <w:ind w:left="-212" w:right="-108"/>
              <w:jc w:val="center"/>
              <w:rPr>
                <w:rFonts w:cs="Arial"/>
              </w:rPr>
            </w:pPr>
            <w:r>
              <w:rPr>
                <w:rFonts w:cs="Arial"/>
              </w:rPr>
              <w:t>10.5</w:t>
            </w:r>
          </w:p>
        </w:tc>
        <w:tc>
          <w:tcPr>
            <w:tcW w:w="1118" w:type="dxa"/>
            <w:tcBorders>
              <w:top w:val="nil"/>
              <w:left w:val="single" w:sz="4" w:space="0" w:color="auto"/>
              <w:bottom w:val="single" w:sz="4" w:space="0" w:color="auto"/>
              <w:right w:val="single" w:sz="4" w:space="0" w:color="auto"/>
            </w:tcBorders>
            <w:shd w:val="clear" w:color="auto" w:fill="D9D9D9"/>
            <w:hideMark/>
          </w:tcPr>
          <w:p w:rsidR="008B5DB5" w:rsidP="007C439D" w14:paraId="5C6EFB38" w14:textId="77777777">
            <w:pPr>
              <w:spacing w:before="40" w:after="40"/>
              <w:ind w:right="-101"/>
              <w:jc w:val="center"/>
              <w:rPr>
                <w:rFonts w:cs="Arial"/>
              </w:rPr>
            </w:pPr>
            <w:r>
              <w:rPr>
                <w:rFonts w:cs="Arial"/>
              </w:rPr>
              <w:t>1,456.5</w:t>
            </w:r>
            <w:r>
              <w:rPr>
                <w:rFonts w:cs="Arial"/>
              </w:rPr>
              <w:fldChar w:fldCharType="begin"/>
            </w:r>
            <w:r>
              <w:rPr>
                <w:rFonts w:cs="Arial"/>
              </w:rPr>
              <w:instrText xml:space="preserve"> =SUM(ABOVE) </w:instrText>
            </w:r>
            <w:r>
              <w:rPr>
                <w:rFonts w:cs="Arial"/>
              </w:rPr>
              <w:fldChar w:fldCharType="separate"/>
            </w:r>
            <w:r>
              <w:rPr>
                <w:rFonts w:cs="Arial"/>
              </w:rPr>
              <w:fldChar w:fldCharType="end"/>
            </w:r>
          </w:p>
        </w:tc>
        <w:tc>
          <w:tcPr>
            <w:tcW w:w="1014" w:type="dxa"/>
            <w:tcBorders>
              <w:top w:val="nil"/>
              <w:left w:val="nil"/>
              <w:bottom w:val="single" w:sz="4" w:space="0" w:color="auto"/>
              <w:right w:val="single" w:sz="4" w:space="0" w:color="auto"/>
            </w:tcBorders>
            <w:shd w:val="clear" w:color="auto" w:fill="D9D9D9"/>
          </w:tcPr>
          <w:p w:rsidR="008B5DB5" w:rsidRPr="004C4D5F" w:rsidP="007C439D" w14:paraId="28A879C6"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auto" w:fill="D9D9D9"/>
          </w:tcPr>
          <w:p w:rsidR="008B5DB5" w:rsidP="007C439D" w14:paraId="62546004" w14:textId="77777777">
            <w:pPr>
              <w:jc w:val="center"/>
              <w:rPr>
                <w:rFonts w:ascii="Calibri" w:hAnsi="Calibri" w:cs="Calibri"/>
                <w:color w:val="000000"/>
              </w:rPr>
            </w:pPr>
            <w:r>
              <w:rPr>
                <w:rFonts w:ascii="Calibri" w:hAnsi="Calibri" w:cs="Calibri"/>
                <w:color w:val="000000"/>
              </w:rPr>
              <w:t>$</w:t>
            </w:r>
            <w:r w:rsidRPr="00A74763">
              <w:rPr>
                <w:rFonts w:ascii="Calibri" w:hAnsi="Calibri" w:cs="Calibri"/>
                <w:color w:val="000000"/>
              </w:rPr>
              <w:t>55</w:t>
            </w:r>
            <w:r>
              <w:rPr>
                <w:rFonts w:ascii="Calibri" w:hAnsi="Calibri" w:cs="Calibri"/>
                <w:color w:val="000000"/>
              </w:rPr>
              <w:t>,</w:t>
            </w:r>
            <w:r w:rsidRPr="00A74763">
              <w:rPr>
                <w:rFonts w:ascii="Calibri" w:hAnsi="Calibri" w:cs="Calibri"/>
                <w:color w:val="000000"/>
              </w:rPr>
              <w:t>277.34</w:t>
            </w:r>
          </w:p>
        </w:tc>
      </w:tr>
      <w:tr w14:paraId="6F2F8571" w14:textId="77777777" w:rsidTr="00452D16">
        <w:tblPrEx>
          <w:tblW w:w="4991" w:type="pct"/>
          <w:tblLayout w:type="fixed"/>
          <w:tblLook w:val="04A0"/>
        </w:tblPrEx>
        <w:trPr>
          <w:cantSplit/>
          <w:trHeight w:val="144"/>
        </w:trPr>
        <w:tc>
          <w:tcPr>
            <w:tcW w:w="2670" w:type="dxa"/>
            <w:tcBorders>
              <w:top w:val="nil"/>
              <w:left w:val="single" w:sz="4" w:space="0" w:color="auto"/>
              <w:bottom w:val="single" w:sz="4" w:space="0" w:color="auto"/>
              <w:right w:val="single" w:sz="4" w:space="0" w:color="auto"/>
            </w:tcBorders>
            <w:shd w:val="clear" w:color="000000" w:fill="FFFFFF"/>
            <w:hideMark/>
          </w:tcPr>
          <w:p w:rsidR="008B5DB5" w:rsidRPr="00C3239F" w:rsidP="007C439D" w14:paraId="1295B796" w14:textId="77777777">
            <w:pPr>
              <w:keepNext/>
              <w:spacing w:before="40" w:after="40"/>
            </w:pPr>
            <w:r w:rsidRPr="004C4D5F">
              <w:rPr>
                <w:rFonts w:cs="Arial"/>
              </w:rPr>
              <w:t>Total</w:t>
            </w:r>
          </w:p>
        </w:tc>
        <w:tc>
          <w:tcPr>
            <w:tcW w:w="1207" w:type="dxa"/>
            <w:tcBorders>
              <w:top w:val="nil"/>
              <w:left w:val="nil"/>
              <w:bottom w:val="single" w:sz="4" w:space="0" w:color="auto"/>
              <w:right w:val="single" w:sz="4" w:space="0" w:color="auto"/>
            </w:tcBorders>
            <w:shd w:val="clear" w:color="000000" w:fill="FFFFFF"/>
            <w:hideMark/>
          </w:tcPr>
          <w:p w:rsidR="008B5DB5" w:rsidRPr="00C3239F" w:rsidP="007C439D" w14:paraId="14B0B110" w14:textId="77777777">
            <w:pPr>
              <w:tabs>
                <w:tab w:val="left" w:pos="983"/>
              </w:tabs>
              <w:spacing w:before="40" w:after="40"/>
              <w:ind w:right="-25"/>
              <w:jc w:val="center"/>
              <w:rPr>
                <w:rFonts w:cs="Arial"/>
              </w:rPr>
            </w:pPr>
            <w:r>
              <w:rPr>
                <w:rFonts w:cs="Arial"/>
                <w:b/>
                <w:bCs/>
              </w:rPr>
              <w:t>265</w:t>
            </w:r>
          </w:p>
        </w:tc>
        <w:tc>
          <w:tcPr>
            <w:tcW w:w="1217" w:type="dxa"/>
            <w:tcBorders>
              <w:top w:val="single" w:sz="4" w:space="0" w:color="auto"/>
              <w:left w:val="nil"/>
              <w:bottom w:val="single" w:sz="4" w:space="0" w:color="auto"/>
              <w:right w:val="single" w:sz="4" w:space="0" w:color="auto"/>
            </w:tcBorders>
            <w:shd w:val="clear" w:color="000000" w:fill="FFFFFF"/>
          </w:tcPr>
          <w:p w:rsidR="008B5DB5" w:rsidRPr="00C3239F" w:rsidP="007C439D" w14:paraId="598575CC" w14:textId="77777777">
            <w:pPr>
              <w:spacing w:before="40" w:after="40"/>
              <w:jc w:val="center"/>
              <w:rPr>
                <w:rFonts w:cs="Arial"/>
              </w:rPr>
            </w:pPr>
            <w:r>
              <w:rPr>
                <w:rFonts w:cs="Arial"/>
              </w:rPr>
              <w:t>Annual</w:t>
            </w:r>
          </w:p>
        </w:tc>
        <w:tc>
          <w:tcPr>
            <w:tcW w:w="1014" w:type="dxa"/>
            <w:tcBorders>
              <w:top w:val="nil"/>
              <w:left w:val="single" w:sz="4" w:space="0" w:color="auto"/>
              <w:bottom w:val="single" w:sz="4" w:space="0" w:color="auto"/>
              <w:right w:val="single" w:sz="4" w:space="0" w:color="auto"/>
            </w:tcBorders>
            <w:shd w:val="clear" w:color="000000" w:fill="FFFFFF"/>
            <w:hideMark/>
          </w:tcPr>
          <w:p w:rsidR="008B5DB5" w:rsidRPr="00C3239F" w:rsidP="007C439D" w14:paraId="7004FBC8" w14:textId="77777777">
            <w:pPr>
              <w:spacing w:before="40" w:after="40"/>
              <w:jc w:val="center"/>
              <w:rPr>
                <w:rFonts w:cs="Arial"/>
              </w:rPr>
            </w:pPr>
            <w:r>
              <w:rPr>
                <w:rFonts w:cs="Arial"/>
                <w:b/>
                <w:bCs/>
              </w:rPr>
              <w:t>1</w:t>
            </w:r>
          </w:p>
        </w:tc>
        <w:tc>
          <w:tcPr>
            <w:tcW w:w="910" w:type="dxa"/>
            <w:tcBorders>
              <w:top w:val="single" w:sz="4" w:space="0" w:color="auto"/>
              <w:left w:val="nil"/>
              <w:bottom w:val="single" w:sz="4" w:space="0" w:color="auto"/>
              <w:right w:val="single" w:sz="4" w:space="0" w:color="auto"/>
            </w:tcBorders>
            <w:shd w:val="clear" w:color="000000" w:fill="FFFFFF"/>
          </w:tcPr>
          <w:p w:rsidR="008B5DB5" w:rsidRPr="00C3239F" w:rsidP="007C439D" w14:paraId="0A3C1E59" w14:textId="77777777">
            <w:pPr>
              <w:spacing w:before="40" w:after="40"/>
              <w:ind w:left="-212" w:right="-108"/>
              <w:jc w:val="center"/>
              <w:rPr>
                <w:rFonts w:cs="Arial"/>
              </w:rPr>
            </w:pPr>
            <w:r w:rsidRPr="003A0F96">
              <w:rPr>
                <w:rFonts w:cs="Arial"/>
                <w:bCs/>
              </w:rPr>
              <w:fldChar w:fldCharType="begin"/>
            </w:r>
            <w:r w:rsidRPr="003A0F96">
              <w:rPr>
                <w:rFonts w:cs="Arial"/>
                <w:bCs/>
              </w:rPr>
              <w:instrText xml:space="preserve"> =SUM(ABOVE) </w:instrText>
            </w:r>
            <w:r>
              <w:rPr>
                <w:rFonts w:cs="Arial"/>
                <w:bCs/>
              </w:rPr>
              <w:fldChar w:fldCharType="separate"/>
            </w:r>
            <w:r w:rsidRPr="003A0F96">
              <w:rPr>
                <w:rFonts w:cs="Arial"/>
                <w:bCs/>
              </w:rPr>
              <w:fldChar w:fldCharType="end"/>
            </w:r>
            <w:r>
              <w:rPr>
                <w:rFonts w:cs="Arial"/>
              </w:rPr>
              <w:t>28.52</w:t>
            </w:r>
          </w:p>
        </w:tc>
        <w:tc>
          <w:tcPr>
            <w:tcW w:w="1118" w:type="dxa"/>
            <w:tcBorders>
              <w:top w:val="nil"/>
              <w:left w:val="single" w:sz="4" w:space="0" w:color="auto"/>
              <w:bottom w:val="single" w:sz="4" w:space="0" w:color="auto"/>
              <w:right w:val="single" w:sz="4" w:space="0" w:color="auto"/>
            </w:tcBorders>
            <w:shd w:val="clear" w:color="000000" w:fill="FFFFFF"/>
            <w:hideMark/>
          </w:tcPr>
          <w:p w:rsidR="008B5DB5" w:rsidRPr="00C3239F" w:rsidP="007C439D" w14:paraId="3F64E505" w14:textId="77777777">
            <w:pPr>
              <w:spacing w:before="40" w:after="40"/>
              <w:ind w:right="-101"/>
              <w:jc w:val="center"/>
              <w:rPr>
                <w:rFonts w:cs="Arial"/>
              </w:rPr>
            </w:pPr>
            <w:r w:rsidRPr="00AD09C4">
              <w:rPr>
                <w:rFonts w:cs="Arial"/>
              </w:rPr>
              <w:t>6,188.45</w:t>
            </w:r>
          </w:p>
        </w:tc>
        <w:tc>
          <w:tcPr>
            <w:tcW w:w="1014" w:type="dxa"/>
            <w:tcBorders>
              <w:top w:val="nil"/>
              <w:left w:val="nil"/>
              <w:bottom w:val="single" w:sz="4" w:space="0" w:color="auto"/>
              <w:right w:val="single" w:sz="4" w:space="0" w:color="auto"/>
            </w:tcBorders>
            <w:shd w:val="clear" w:color="000000" w:fill="FFFFFF"/>
          </w:tcPr>
          <w:p w:rsidR="008B5DB5" w:rsidRPr="004C4D5F" w:rsidP="007C439D" w14:paraId="1CB2BC7F" w14:textId="77777777">
            <w:pPr>
              <w:tabs>
                <w:tab w:val="left" w:pos="252"/>
                <w:tab w:val="left" w:pos="897"/>
              </w:tabs>
              <w:spacing w:before="40" w:after="40"/>
              <w:ind w:left="-212" w:right="-107"/>
              <w:jc w:val="center"/>
              <w:rPr>
                <w:rFonts w:cs="Arial"/>
              </w:rPr>
            </w:pPr>
            <w:r>
              <w:rPr>
                <w:rFonts w:cs="Arial"/>
              </w:rPr>
              <w:t>$35.03</w:t>
            </w:r>
          </w:p>
        </w:tc>
        <w:tc>
          <w:tcPr>
            <w:tcW w:w="1621" w:type="dxa"/>
            <w:tcBorders>
              <w:top w:val="nil"/>
              <w:left w:val="nil"/>
              <w:bottom w:val="single" w:sz="4" w:space="0" w:color="auto"/>
              <w:right w:val="single" w:sz="4" w:space="0" w:color="auto"/>
            </w:tcBorders>
            <w:shd w:val="clear" w:color="000000" w:fill="FFFFFF"/>
          </w:tcPr>
          <w:p w:rsidR="008B5DB5" w:rsidP="007C439D" w14:paraId="0FF61926" w14:textId="77777777">
            <w:pPr>
              <w:jc w:val="center"/>
              <w:rPr>
                <w:rFonts w:ascii="Calibri" w:hAnsi="Calibri" w:cs="Calibri"/>
                <w:color w:val="000000"/>
              </w:rPr>
            </w:pPr>
            <w:r>
              <w:rPr>
                <w:rFonts w:ascii="Calibri" w:hAnsi="Calibri" w:cs="Arial"/>
                <w:bCs/>
                <w:color w:val="000000"/>
              </w:rPr>
              <w:t>$</w:t>
            </w:r>
            <w:r w:rsidRPr="00A74763">
              <w:rPr>
                <w:rFonts w:ascii="Calibri" w:hAnsi="Calibri" w:cs="Arial"/>
                <w:bCs/>
                <w:color w:val="000000"/>
              </w:rPr>
              <w:t>221</w:t>
            </w:r>
            <w:r>
              <w:rPr>
                <w:rFonts w:ascii="Calibri" w:hAnsi="Calibri" w:cs="Arial"/>
                <w:bCs/>
                <w:color w:val="000000"/>
              </w:rPr>
              <w:t>,</w:t>
            </w:r>
            <w:r w:rsidRPr="00A74763">
              <w:rPr>
                <w:rFonts w:ascii="Calibri" w:hAnsi="Calibri" w:cs="Arial"/>
                <w:bCs/>
                <w:color w:val="000000"/>
              </w:rPr>
              <w:t>037.55</w:t>
            </w:r>
          </w:p>
        </w:tc>
      </w:tr>
    </w:tbl>
    <w:p w:rsidR="00113012" w:rsidP="00113012" w14:paraId="786C7A70" w14:textId="77777777">
      <w:pPr>
        <w:tabs>
          <w:tab w:val="left" w:pos="360"/>
        </w:tabs>
        <w:ind w:left="360" w:hanging="360"/>
        <w:rPr>
          <w:color w:val="000000"/>
          <w:sz w:val="18"/>
        </w:rPr>
      </w:pPr>
    </w:p>
    <w:p w:rsidR="008B5DB5" w:rsidRPr="00F938AE" w:rsidP="008B5DB5" w14:paraId="45DB2089" w14:textId="259EF7CB">
      <w:pPr>
        <w:tabs>
          <w:tab w:val="left" w:pos="2040"/>
          <w:tab w:val="left" w:pos="3360"/>
          <w:tab w:val="left" w:pos="4680"/>
          <w:tab w:val="left" w:pos="6120"/>
          <w:tab w:val="left" w:pos="7800"/>
        </w:tabs>
        <w:ind w:left="360" w:right="120"/>
        <w:rPr>
          <w:b/>
          <w:bCs/>
          <w:sz w:val="24"/>
          <w:szCs w:val="24"/>
        </w:rPr>
      </w:pPr>
      <w:r w:rsidRPr="00F938AE">
        <w:rPr>
          <w:b/>
          <w:bCs/>
          <w:sz w:val="24"/>
          <w:szCs w:val="24"/>
        </w:rPr>
        <w:t>The estimate of the total annual cost burden to respondents/recordkeepers resulting from the collection of this information is: 6,188.45 burden hours x $35.03 = $221,037.55</w:t>
      </w:r>
      <w:r w:rsidRPr="00F938AE">
        <w:rPr>
          <w:b/>
          <w:bCs/>
          <w:sz w:val="24"/>
          <w:szCs w:val="24"/>
        </w:rPr>
        <w:t>;</w:t>
      </w:r>
      <w:r w:rsidRPr="00F938AE" w:rsidR="7D9D622B">
        <w:rPr>
          <w:b/>
          <w:bCs/>
          <w:sz w:val="24"/>
          <w:szCs w:val="24"/>
        </w:rPr>
        <w:t xml:space="preserve"> </w:t>
      </w:r>
      <w:r w:rsidRPr="00F938AE">
        <w:rPr>
          <w:b/>
          <w:bCs/>
          <w:sz w:val="24"/>
          <w:szCs w:val="24"/>
        </w:rPr>
        <w:t xml:space="preserve"> assuming</w:t>
      </w:r>
      <w:r w:rsidRPr="00F938AE">
        <w:rPr>
          <w:b/>
          <w:bCs/>
          <w:sz w:val="24"/>
          <w:szCs w:val="24"/>
        </w:rPr>
        <w:t xml:space="preserve"> a Manager’s hourly rate at the GS-13/Step 1 level.</w:t>
      </w:r>
    </w:p>
    <w:p w:rsidR="00113012" w:rsidP="00113012" w14:paraId="4D579327" w14:textId="77777777">
      <w:pPr>
        <w:tabs>
          <w:tab w:val="left" w:pos="360"/>
        </w:tabs>
        <w:ind w:left="360" w:hanging="360"/>
        <w:rPr>
          <w:color w:val="000000"/>
          <w:sz w:val="18"/>
        </w:rPr>
      </w:pPr>
    </w:p>
    <w:p w:rsidR="00113012" w:rsidP="00113012" w14:paraId="33B51D5B" w14:textId="70F45FA2">
      <w:pPr>
        <w:tabs>
          <w:tab w:val="left" w:pos="360"/>
        </w:tabs>
        <w:ind w:left="360" w:hanging="360"/>
        <w:rPr>
          <w:color w:val="000000"/>
          <w:sz w:val="22"/>
        </w:rPr>
      </w:pPr>
      <w:r>
        <w:rPr>
          <w:color w:val="000000"/>
          <w:sz w:val="18"/>
        </w:rPr>
        <w:t>13.</w:t>
      </w:r>
      <w:r>
        <w:rPr>
          <w:color w:val="000000"/>
          <w:sz w:val="18"/>
        </w:rPr>
        <w:tab/>
      </w:r>
      <w:r>
        <w:rPr>
          <w:color w:val="000000"/>
          <w:sz w:val="22"/>
        </w:rPr>
        <w:t xml:space="preserve">Estimate of the </w:t>
      </w:r>
      <w:r>
        <w:rPr>
          <w:color w:val="000000"/>
          <w:sz w:val="22"/>
        </w:rPr>
        <w:t xml:space="preserve">annual cost to respondents or recordkeepers (do not include the cost of hour burden shown in Items 12 and 14).  Read the complete instructions on the form 83i.  </w:t>
      </w:r>
    </w:p>
    <w:p w:rsidR="008B5DB5" w:rsidP="00113012" w14:paraId="6A05B3DF" w14:textId="2168D7E6">
      <w:pPr>
        <w:tabs>
          <w:tab w:val="left" w:pos="360"/>
        </w:tabs>
        <w:ind w:left="360" w:hanging="360"/>
        <w:rPr>
          <w:sz w:val="24"/>
          <w:szCs w:val="24"/>
        </w:rPr>
      </w:pPr>
      <w:r>
        <w:rPr>
          <w:sz w:val="24"/>
          <w:szCs w:val="24"/>
        </w:rPr>
        <w:tab/>
      </w:r>
      <w:r w:rsidRPr="008B5DB5">
        <w:rPr>
          <w:sz w:val="24"/>
          <w:szCs w:val="24"/>
        </w:rPr>
        <w:t xml:space="preserve">There are no start-up or additional costs to the respondents other than those reported in Item 12 above in the Burden Cost Column.  </w:t>
      </w:r>
    </w:p>
    <w:p w:rsidR="00113012" w:rsidRPr="008B5DB5" w:rsidP="00113012" w14:paraId="4633EBE6" w14:textId="77777777">
      <w:pPr>
        <w:tabs>
          <w:tab w:val="left" w:pos="360"/>
        </w:tabs>
        <w:ind w:left="360" w:hanging="360"/>
        <w:rPr>
          <w:color w:val="000000"/>
          <w:sz w:val="22"/>
          <w:szCs w:val="24"/>
        </w:rPr>
      </w:pPr>
    </w:p>
    <w:p w:rsidR="00113012" w:rsidP="00113012" w14:paraId="50EDA71A" w14:textId="400EDA00">
      <w:pPr>
        <w:keepLines/>
        <w:tabs>
          <w:tab w:val="left" w:pos="360"/>
        </w:tabs>
        <w:spacing w:after="80"/>
        <w:ind w:left="360" w:hanging="360"/>
        <w:rPr>
          <w:color w:val="000000"/>
          <w:sz w:val="22"/>
        </w:rPr>
      </w:pPr>
      <w:r>
        <w:rPr>
          <w:color w:val="000000"/>
          <w:sz w:val="18"/>
        </w:rPr>
        <w:t>14.</w:t>
      </w:r>
      <w:r>
        <w:rPr>
          <w:color w:val="000000"/>
          <w:sz w:val="18"/>
        </w:rPr>
        <w:tab/>
        <w:t>E</w:t>
      </w:r>
      <w:r>
        <w:rPr>
          <w:color w:val="000000"/>
          <w:sz w:val="22"/>
        </w:rPr>
        <w:t xml:space="preserve">stimate annualized costs to the Federal government.  </w:t>
      </w:r>
    </w:p>
    <w:tbl>
      <w:tblPr>
        <w:tblStyle w:val="TableGrid"/>
        <w:tblW w:w="0" w:type="auto"/>
        <w:tblInd w:w="360" w:type="dxa"/>
        <w:tblLook w:val="04A0"/>
      </w:tblPr>
      <w:tblGrid>
        <w:gridCol w:w="1565"/>
        <w:gridCol w:w="1658"/>
        <w:gridCol w:w="1635"/>
        <w:gridCol w:w="1280"/>
        <w:gridCol w:w="1620"/>
        <w:gridCol w:w="1938"/>
      </w:tblGrid>
      <w:tr w14:paraId="0C19C025" w14:textId="77777777" w:rsidTr="007C439D">
        <w:tblPrEx>
          <w:tblW w:w="0" w:type="auto"/>
          <w:tblInd w:w="360" w:type="dxa"/>
          <w:tblLook w:val="04A0"/>
        </w:tblPrEx>
        <w:tc>
          <w:tcPr>
            <w:tcW w:w="1565" w:type="dxa"/>
          </w:tcPr>
          <w:p w:rsidR="008B5DB5" w:rsidRPr="006F101B" w:rsidP="007C439D" w14:paraId="161346DF" w14:textId="77777777">
            <w:pPr>
              <w:rPr>
                <w:sz w:val="22"/>
                <w:szCs w:val="22"/>
              </w:rPr>
            </w:pPr>
          </w:p>
        </w:tc>
        <w:tc>
          <w:tcPr>
            <w:tcW w:w="1658" w:type="dxa"/>
          </w:tcPr>
          <w:p w:rsidR="008B5DB5" w:rsidRPr="006F101B" w:rsidP="007C439D" w14:paraId="7C92A2BD" w14:textId="77777777">
            <w:pPr>
              <w:rPr>
                <w:sz w:val="22"/>
                <w:szCs w:val="22"/>
              </w:rPr>
            </w:pPr>
            <w:r w:rsidRPr="006F101B">
              <w:rPr>
                <w:sz w:val="22"/>
                <w:szCs w:val="22"/>
              </w:rPr>
              <w:t>No. of Respondents</w:t>
            </w:r>
          </w:p>
        </w:tc>
        <w:tc>
          <w:tcPr>
            <w:tcW w:w="1635" w:type="dxa"/>
          </w:tcPr>
          <w:p w:rsidR="008B5DB5" w:rsidRPr="006F101B" w:rsidP="007C439D" w14:paraId="207A22AD" w14:textId="77777777">
            <w:pPr>
              <w:rPr>
                <w:sz w:val="22"/>
                <w:szCs w:val="22"/>
              </w:rPr>
            </w:pPr>
            <w:r w:rsidRPr="006F101B">
              <w:rPr>
                <w:sz w:val="22"/>
                <w:szCs w:val="22"/>
              </w:rPr>
              <w:t>Hrs. per Response</w:t>
            </w:r>
          </w:p>
        </w:tc>
        <w:tc>
          <w:tcPr>
            <w:tcW w:w="1280" w:type="dxa"/>
          </w:tcPr>
          <w:p w:rsidR="008B5DB5" w:rsidRPr="006F101B" w:rsidP="007C439D" w14:paraId="0890FDA0" w14:textId="77777777">
            <w:pPr>
              <w:rPr>
                <w:sz w:val="22"/>
                <w:szCs w:val="22"/>
              </w:rPr>
            </w:pPr>
            <w:r w:rsidRPr="006F101B">
              <w:rPr>
                <w:sz w:val="22"/>
                <w:szCs w:val="22"/>
              </w:rPr>
              <w:t>Annual Hours</w:t>
            </w:r>
          </w:p>
        </w:tc>
        <w:tc>
          <w:tcPr>
            <w:tcW w:w="1620" w:type="dxa"/>
          </w:tcPr>
          <w:p w:rsidR="008B5DB5" w:rsidRPr="006F101B" w:rsidP="007C439D" w14:paraId="3D5E8E22" w14:textId="77777777">
            <w:pPr>
              <w:rPr>
                <w:sz w:val="22"/>
                <w:szCs w:val="22"/>
              </w:rPr>
            </w:pPr>
            <w:r w:rsidRPr="006F101B">
              <w:rPr>
                <w:sz w:val="22"/>
                <w:szCs w:val="22"/>
              </w:rPr>
              <w:t>Cost Per Hou</w:t>
            </w:r>
            <w:r w:rsidRPr="006F101B">
              <w:rPr>
                <w:sz w:val="22"/>
                <w:szCs w:val="22"/>
              </w:rPr>
              <w:t>r</w:t>
            </w:r>
          </w:p>
        </w:tc>
        <w:tc>
          <w:tcPr>
            <w:tcW w:w="1938" w:type="dxa"/>
          </w:tcPr>
          <w:p w:rsidR="008B5DB5" w:rsidRPr="006F101B" w:rsidP="007C439D" w14:paraId="6F7F923A" w14:textId="77777777">
            <w:pPr>
              <w:rPr>
                <w:sz w:val="22"/>
                <w:szCs w:val="22"/>
              </w:rPr>
            </w:pPr>
            <w:r w:rsidRPr="006F101B">
              <w:rPr>
                <w:sz w:val="22"/>
                <w:szCs w:val="22"/>
              </w:rPr>
              <w:t>Annual Cost to Federal Gov’t</w:t>
            </w:r>
          </w:p>
        </w:tc>
      </w:tr>
      <w:tr w14:paraId="341E5C5B" w14:textId="77777777" w:rsidTr="007C439D">
        <w:tblPrEx>
          <w:tblW w:w="0" w:type="auto"/>
          <w:tblInd w:w="360" w:type="dxa"/>
          <w:tblLook w:val="04A0"/>
        </w:tblPrEx>
        <w:tc>
          <w:tcPr>
            <w:tcW w:w="1565" w:type="dxa"/>
          </w:tcPr>
          <w:p w:rsidR="008B5DB5" w:rsidRPr="006F101B" w:rsidP="007C439D" w14:paraId="52ED15B2" w14:textId="77777777">
            <w:pPr>
              <w:rPr>
                <w:sz w:val="22"/>
                <w:szCs w:val="22"/>
              </w:rPr>
            </w:pPr>
          </w:p>
        </w:tc>
        <w:tc>
          <w:tcPr>
            <w:tcW w:w="1658" w:type="dxa"/>
          </w:tcPr>
          <w:p w:rsidR="008B5DB5" w:rsidRPr="006F101B" w:rsidP="007C439D" w14:paraId="6C6627BA" w14:textId="77777777">
            <w:pPr>
              <w:rPr>
                <w:sz w:val="22"/>
                <w:szCs w:val="22"/>
              </w:rPr>
            </w:pPr>
          </w:p>
        </w:tc>
        <w:tc>
          <w:tcPr>
            <w:tcW w:w="1635" w:type="dxa"/>
          </w:tcPr>
          <w:p w:rsidR="008B5DB5" w:rsidRPr="006F101B" w:rsidP="007C439D" w14:paraId="260EF126" w14:textId="77777777">
            <w:pPr>
              <w:rPr>
                <w:sz w:val="22"/>
                <w:szCs w:val="22"/>
              </w:rPr>
            </w:pPr>
          </w:p>
        </w:tc>
        <w:tc>
          <w:tcPr>
            <w:tcW w:w="1280" w:type="dxa"/>
          </w:tcPr>
          <w:p w:rsidR="008B5DB5" w:rsidRPr="006F101B" w:rsidP="007C439D" w14:paraId="26460BE8" w14:textId="77777777">
            <w:pPr>
              <w:rPr>
                <w:sz w:val="22"/>
                <w:szCs w:val="22"/>
              </w:rPr>
            </w:pPr>
          </w:p>
        </w:tc>
        <w:tc>
          <w:tcPr>
            <w:tcW w:w="1620" w:type="dxa"/>
          </w:tcPr>
          <w:p w:rsidR="008B5DB5" w:rsidRPr="006F101B" w:rsidP="007C439D" w14:paraId="68439999" w14:textId="77777777">
            <w:pPr>
              <w:rPr>
                <w:sz w:val="22"/>
                <w:szCs w:val="22"/>
              </w:rPr>
            </w:pPr>
          </w:p>
        </w:tc>
        <w:tc>
          <w:tcPr>
            <w:tcW w:w="1938" w:type="dxa"/>
          </w:tcPr>
          <w:p w:rsidR="008B5DB5" w:rsidRPr="006F101B" w:rsidP="007C439D" w14:paraId="04686604" w14:textId="77777777">
            <w:pPr>
              <w:rPr>
                <w:sz w:val="22"/>
                <w:szCs w:val="22"/>
              </w:rPr>
            </w:pPr>
          </w:p>
        </w:tc>
      </w:tr>
      <w:tr w14:paraId="25A6EA78" w14:textId="77777777" w:rsidTr="007C439D">
        <w:tblPrEx>
          <w:tblW w:w="0" w:type="auto"/>
          <w:tblInd w:w="360" w:type="dxa"/>
          <w:tblLook w:val="04A0"/>
        </w:tblPrEx>
        <w:tc>
          <w:tcPr>
            <w:tcW w:w="1565" w:type="dxa"/>
          </w:tcPr>
          <w:p w:rsidR="008B5DB5" w:rsidRPr="006F101B" w:rsidP="007C439D" w14:paraId="0BC9CBAE" w14:textId="77777777">
            <w:pPr>
              <w:rPr>
                <w:sz w:val="22"/>
                <w:szCs w:val="22"/>
              </w:rPr>
            </w:pPr>
            <w:r w:rsidRPr="006F101B">
              <w:rPr>
                <w:sz w:val="22"/>
                <w:szCs w:val="22"/>
              </w:rPr>
              <w:t>Receipt and processing of NOFA applications</w:t>
            </w:r>
          </w:p>
        </w:tc>
        <w:tc>
          <w:tcPr>
            <w:tcW w:w="1658" w:type="dxa"/>
          </w:tcPr>
          <w:p w:rsidR="008B5DB5" w:rsidRPr="006F101B" w:rsidP="007C439D" w14:paraId="579783AA" w14:textId="77777777">
            <w:pPr>
              <w:rPr>
                <w:sz w:val="22"/>
                <w:szCs w:val="22"/>
              </w:rPr>
            </w:pPr>
            <w:r w:rsidRPr="006F101B">
              <w:rPr>
                <w:sz w:val="22"/>
                <w:szCs w:val="22"/>
              </w:rPr>
              <w:t>265</w:t>
            </w:r>
          </w:p>
        </w:tc>
        <w:tc>
          <w:tcPr>
            <w:tcW w:w="1635" w:type="dxa"/>
          </w:tcPr>
          <w:p w:rsidR="008B5DB5" w:rsidRPr="006F101B" w:rsidP="007C439D" w14:paraId="6AA2E619" w14:textId="77777777">
            <w:pPr>
              <w:rPr>
                <w:sz w:val="22"/>
                <w:szCs w:val="22"/>
              </w:rPr>
            </w:pPr>
            <w:r w:rsidRPr="006F101B">
              <w:rPr>
                <w:sz w:val="22"/>
                <w:szCs w:val="22"/>
              </w:rPr>
              <w:t>16</w:t>
            </w:r>
          </w:p>
        </w:tc>
        <w:tc>
          <w:tcPr>
            <w:tcW w:w="1280" w:type="dxa"/>
          </w:tcPr>
          <w:p w:rsidR="008B5DB5" w:rsidRPr="006F101B" w:rsidP="007C439D" w14:paraId="06624904" w14:textId="77777777">
            <w:pPr>
              <w:rPr>
                <w:sz w:val="22"/>
                <w:szCs w:val="22"/>
              </w:rPr>
            </w:pPr>
            <w:r w:rsidRPr="006F101B">
              <w:rPr>
                <w:sz w:val="22"/>
                <w:szCs w:val="22"/>
              </w:rPr>
              <w:t>4240</w:t>
            </w:r>
          </w:p>
        </w:tc>
        <w:tc>
          <w:tcPr>
            <w:tcW w:w="1620" w:type="dxa"/>
          </w:tcPr>
          <w:p w:rsidR="008B5DB5" w:rsidRPr="006F101B" w:rsidP="007C439D" w14:paraId="0397E291" w14:textId="77777777">
            <w:pPr>
              <w:rPr>
                <w:sz w:val="22"/>
                <w:szCs w:val="22"/>
              </w:rPr>
            </w:pPr>
            <w:r>
              <w:rPr>
                <w:sz w:val="22"/>
                <w:szCs w:val="22"/>
              </w:rPr>
              <w:t>$34.34</w:t>
            </w:r>
            <w:r w:rsidRPr="006F101B">
              <w:rPr>
                <w:sz w:val="22"/>
                <w:szCs w:val="22"/>
              </w:rPr>
              <w:t>*</w:t>
            </w:r>
          </w:p>
        </w:tc>
        <w:tc>
          <w:tcPr>
            <w:tcW w:w="1938" w:type="dxa"/>
          </w:tcPr>
          <w:p w:rsidR="008B5DB5" w:rsidRPr="006F101B" w:rsidP="007C439D" w14:paraId="74DB8C6B" w14:textId="77777777">
            <w:pPr>
              <w:rPr>
                <w:sz w:val="22"/>
                <w:szCs w:val="22"/>
              </w:rPr>
            </w:pPr>
            <w:r w:rsidRPr="006F101B">
              <w:rPr>
                <w:sz w:val="22"/>
                <w:szCs w:val="22"/>
              </w:rPr>
              <w:t>$1</w:t>
            </w:r>
            <w:r>
              <w:rPr>
                <w:sz w:val="22"/>
                <w:szCs w:val="22"/>
              </w:rPr>
              <w:t>45,601.6</w:t>
            </w:r>
          </w:p>
        </w:tc>
      </w:tr>
      <w:tr w14:paraId="1D4F3796" w14:textId="77777777" w:rsidTr="007C439D">
        <w:tblPrEx>
          <w:tblW w:w="0" w:type="auto"/>
          <w:tblInd w:w="360" w:type="dxa"/>
          <w:tblLook w:val="04A0"/>
        </w:tblPrEx>
        <w:tc>
          <w:tcPr>
            <w:tcW w:w="1565" w:type="dxa"/>
          </w:tcPr>
          <w:p w:rsidR="008B5DB5" w:rsidRPr="006F101B" w:rsidP="007C439D" w14:paraId="0F7DD257" w14:textId="77777777">
            <w:pPr>
              <w:rPr>
                <w:sz w:val="22"/>
                <w:szCs w:val="22"/>
              </w:rPr>
            </w:pPr>
            <w:r w:rsidRPr="006F101B">
              <w:rPr>
                <w:sz w:val="22"/>
                <w:szCs w:val="22"/>
              </w:rPr>
              <w:t>Reviewing reports</w:t>
            </w:r>
          </w:p>
        </w:tc>
        <w:tc>
          <w:tcPr>
            <w:tcW w:w="1658" w:type="dxa"/>
          </w:tcPr>
          <w:p w:rsidR="008B5DB5" w:rsidRPr="006F101B" w:rsidP="007C439D" w14:paraId="68FB17CA" w14:textId="77777777">
            <w:pPr>
              <w:rPr>
                <w:sz w:val="22"/>
                <w:szCs w:val="22"/>
              </w:rPr>
            </w:pPr>
            <w:r w:rsidRPr="006F101B">
              <w:rPr>
                <w:sz w:val="22"/>
                <w:szCs w:val="22"/>
              </w:rPr>
              <w:t>42</w:t>
            </w:r>
          </w:p>
        </w:tc>
        <w:tc>
          <w:tcPr>
            <w:tcW w:w="1635" w:type="dxa"/>
          </w:tcPr>
          <w:p w:rsidR="008B5DB5" w:rsidRPr="006F101B" w:rsidP="007C439D" w14:paraId="03CC8577" w14:textId="77777777">
            <w:pPr>
              <w:rPr>
                <w:sz w:val="22"/>
                <w:szCs w:val="22"/>
              </w:rPr>
            </w:pPr>
            <w:r>
              <w:rPr>
                <w:sz w:val="22"/>
                <w:szCs w:val="22"/>
              </w:rPr>
              <w:t>8</w:t>
            </w:r>
          </w:p>
        </w:tc>
        <w:tc>
          <w:tcPr>
            <w:tcW w:w="1280" w:type="dxa"/>
          </w:tcPr>
          <w:p w:rsidR="008B5DB5" w:rsidRPr="006F101B" w:rsidP="007C439D" w14:paraId="5828DAFB" w14:textId="77777777">
            <w:pPr>
              <w:rPr>
                <w:sz w:val="22"/>
                <w:szCs w:val="22"/>
              </w:rPr>
            </w:pPr>
            <w:r>
              <w:rPr>
                <w:sz w:val="22"/>
                <w:szCs w:val="22"/>
              </w:rPr>
              <w:t>336</w:t>
            </w:r>
          </w:p>
        </w:tc>
        <w:tc>
          <w:tcPr>
            <w:tcW w:w="1620" w:type="dxa"/>
          </w:tcPr>
          <w:p w:rsidR="008B5DB5" w:rsidRPr="006F101B" w:rsidP="007C439D" w14:paraId="3265A43A" w14:textId="77777777">
            <w:pPr>
              <w:rPr>
                <w:sz w:val="22"/>
                <w:szCs w:val="22"/>
              </w:rPr>
            </w:pPr>
            <w:r>
              <w:rPr>
                <w:sz w:val="22"/>
                <w:szCs w:val="22"/>
              </w:rPr>
              <w:t>$34</w:t>
            </w:r>
            <w:r w:rsidRPr="006F101B">
              <w:rPr>
                <w:sz w:val="22"/>
                <w:szCs w:val="22"/>
              </w:rPr>
              <w:t>.</w:t>
            </w:r>
            <w:r>
              <w:rPr>
                <w:sz w:val="22"/>
                <w:szCs w:val="22"/>
              </w:rPr>
              <w:t>34</w:t>
            </w:r>
          </w:p>
        </w:tc>
        <w:tc>
          <w:tcPr>
            <w:tcW w:w="1938" w:type="dxa"/>
          </w:tcPr>
          <w:p w:rsidR="008B5DB5" w:rsidRPr="006F101B" w:rsidP="007C439D" w14:paraId="005A2522" w14:textId="77777777">
            <w:pPr>
              <w:rPr>
                <w:sz w:val="22"/>
                <w:szCs w:val="22"/>
              </w:rPr>
            </w:pPr>
            <w:r w:rsidRPr="006F101B">
              <w:rPr>
                <w:sz w:val="22"/>
                <w:szCs w:val="22"/>
              </w:rPr>
              <w:t>$</w:t>
            </w:r>
            <w:r>
              <w:rPr>
                <w:sz w:val="22"/>
                <w:szCs w:val="22"/>
              </w:rPr>
              <w:t>11,538.24</w:t>
            </w:r>
          </w:p>
        </w:tc>
      </w:tr>
      <w:tr w14:paraId="4E22AA77" w14:textId="77777777" w:rsidTr="007C439D">
        <w:tblPrEx>
          <w:tblW w:w="0" w:type="auto"/>
          <w:tblInd w:w="360" w:type="dxa"/>
          <w:tblLook w:val="04A0"/>
        </w:tblPrEx>
        <w:tc>
          <w:tcPr>
            <w:tcW w:w="1565" w:type="dxa"/>
          </w:tcPr>
          <w:p w:rsidR="008B5DB5" w:rsidRPr="006F101B" w:rsidP="007C439D" w14:paraId="03142BBF" w14:textId="77777777">
            <w:pPr>
              <w:rPr>
                <w:sz w:val="22"/>
                <w:szCs w:val="22"/>
              </w:rPr>
            </w:pPr>
            <w:r>
              <w:rPr>
                <w:sz w:val="22"/>
                <w:szCs w:val="22"/>
              </w:rPr>
              <w:t>Reviewing baselines</w:t>
            </w:r>
          </w:p>
        </w:tc>
        <w:tc>
          <w:tcPr>
            <w:tcW w:w="1658" w:type="dxa"/>
          </w:tcPr>
          <w:p w:rsidR="008B5DB5" w:rsidRPr="006F101B" w:rsidP="007C439D" w14:paraId="37DEED5E" w14:textId="77777777">
            <w:pPr>
              <w:rPr>
                <w:sz w:val="22"/>
                <w:szCs w:val="22"/>
              </w:rPr>
            </w:pPr>
            <w:r>
              <w:rPr>
                <w:sz w:val="22"/>
                <w:szCs w:val="22"/>
              </w:rPr>
              <w:t>173</w:t>
            </w:r>
          </w:p>
        </w:tc>
        <w:tc>
          <w:tcPr>
            <w:tcW w:w="1635" w:type="dxa"/>
          </w:tcPr>
          <w:p w:rsidR="008B5DB5" w:rsidP="007C439D" w14:paraId="7E4504B7" w14:textId="77777777">
            <w:pPr>
              <w:rPr>
                <w:sz w:val="22"/>
                <w:szCs w:val="22"/>
              </w:rPr>
            </w:pPr>
            <w:r>
              <w:rPr>
                <w:sz w:val="22"/>
                <w:szCs w:val="22"/>
              </w:rPr>
              <w:t>1</w:t>
            </w:r>
          </w:p>
        </w:tc>
        <w:tc>
          <w:tcPr>
            <w:tcW w:w="1280" w:type="dxa"/>
          </w:tcPr>
          <w:p w:rsidR="008B5DB5" w:rsidP="007C439D" w14:paraId="38D2E1F5" w14:textId="77777777">
            <w:pPr>
              <w:rPr>
                <w:sz w:val="22"/>
                <w:szCs w:val="22"/>
              </w:rPr>
            </w:pPr>
            <w:r>
              <w:rPr>
                <w:sz w:val="22"/>
                <w:szCs w:val="22"/>
              </w:rPr>
              <w:t>173</w:t>
            </w:r>
          </w:p>
        </w:tc>
        <w:tc>
          <w:tcPr>
            <w:tcW w:w="1620" w:type="dxa"/>
          </w:tcPr>
          <w:p w:rsidR="008B5DB5" w:rsidP="007C439D" w14:paraId="0D33490D" w14:textId="77777777">
            <w:pPr>
              <w:rPr>
                <w:sz w:val="22"/>
                <w:szCs w:val="22"/>
              </w:rPr>
            </w:pPr>
            <w:r>
              <w:rPr>
                <w:sz w:val="22"/>
                <w:szCs w:val="22"/>
              </w:rPr>
              <w:t>$34.34</w:t>
            </w:r>
          </w:p>
        </w:tc>
        <w:tc>
          <w:tcPr>
            <w:tcW w:w="1938" w:type="dxa"/>
          </w:tcPr>
          <w:p w:rsidR="008B5DB5" w:rsidRPr="006F101B" w:rsidP="007C439D" w14:paraId="0386316C" w14:textId="77777777">
            <w:pPr>
              <w:rPr>
                <w:sz w:val="22"/>
                <w:szCs w:val="22"/>
              </w:rPr>
            </w:pPr>
            <w:r>
              <w:rPr>
                <w:sz w:val="22"/>
                <w:szCs w:val="22"/>
              </w:rPr>
              <w:t>$</w:t>
            </w:r>
            <w:r w:rsidRPr="00500358">
              <w:rPr>
                <w:sz w:val="22"/>
                <w:szCs w:val="22"/>
              </w:rPr>
              <w:t>5940.82</w:t>
            </w:r>
          </w:p>
        </w:tc>
      </w:tr>
      <w:tr w14:paraId="71B878B7" w14:textId="77777777" w:rsidTr="007C439D">
        <w:tblPrEx>
          <w:tblW w:w="0" w:type="auto"/>
          <w:tblInd w:w="360" w:type="dxa"/>
          <w:tblLook w:val="04A0"/>
        </w:tblPrEx>
        <w:tc>
          <w:tcPr>
            <w:tcW w:w="1565" w:type="dxa"/>
          </w:tcPr>
          <w:p w:rsidR="008B5DB5" w:rsidRPr="006F101B" w:rsidP="007C439D" w14:paraId="22F273D8" w14:textId="77777777">
            <w:pPr>
              <w:rPr>
                <w:sz w:val="22"/>
                <w:szCs w:val="22"/>
              </w:rPr>
            </w:pPr>
            <w:r w:rsidRPr="006F101B">
              <w:rPr>
                <w:sz w:val="22"/>
                <w:szCs w:val="22"/>
              </w:rPr>
              <w:t>Reviewing records</w:t>
            </w:r>
          </w:p>
        </w:tc>
        <w:tc>
          <w:tcPr>
            <w:tcW w:w="1658" w:type="dxa"/>
          </w:tcPr>
          <w:p w:rsidR="008B5DB5" w:rsidRPr="006F101B" w:rsidP="007C439D" w14:paraId="4A52EC6D" w14:textId="77777777">
            <w:pPr>
              <w:rPr>
                <w:sz w:val="22"/>
                <w:szCs w:val="22"/>
              </w:rPr>
            </w:pPr>
            <w:r w:rsidRPr="006F101B">
              <w:rPr>
                <w:sz w:val="22"/>
                <w:szCs w:val="22"/>
              </w:rPr>
              <w:t>42</w:t>
            </w:r>
          </w:p>
        </w:tc>
        <w:tc>
          <w:tcPr>
            <w:tcW w:w="1635" w:type="dxa"/>
          </w:tcPr>
          <w:p w:rsidR="008B5DB5" w:rsidRPr="006F101B" w:rsidP="007C439D" w14:paraId="6A44EBF5" w14:textId="77777777">
            <w:pPr>
              <w:rPr>
                <w:sz w:val="22"/>
                <w:szCs w:val="22"/>
              </w:rPr>
            </w:pPr>
            <w:r>
              <w:rPr>
                <w:sz w:val="22"/>
                <w:szCs w:val="22"/>
              </w:rPr>
              <w:t>4</w:t>
            </w:r>
          </w:p>
        </w:tc>
        <w:tc>
          <w:tcPr>
            <w:tcW w:w="1280" w:type="dxa"/>
          </w:tcPr>
          <w:p w:rsidR="008B5DB5" w:rsidRPr="006F101B" w:rsidP="007C439D" w14:paraId="711D1874" w14:textId="77777777">
            <w:pPr>
              <w:rPr>
                <w:sz w:val="22"/>
                <w:szCs w:val="22"/>
              </w:rPr>
            </w:pPr>
            <w:r>
              <w:rPr>
                <w:sz w:val="22"/>
                <w:szCs w:val="22"/>
              </w:rPr>
              <w:t>168</w:t>
            </w:r>
          </w:p>
        </w:tc>
        <w:tc>
          <w:tcPr>
            <w:tcW w:w="1620" w:type="dxa"/>
          </w:tcPr>
          <w:p w:rsidR="008B5DB5" w:rsidRPr="006F101B" w:rsidP="007C439D" w14:paraId="043FFD0D" w14:textId="77777777">
            <w:pPr>
              <w:rPr>
                <w:sz w:val="22"/>
                <w:szCs w:val="22"/>
              </w:rPr>
            </w:pPr>
            <w:r>
              <w:rPr>
                <w:sz w:val="22"/>
                <w:szCs w:val="22"/>
              </w:rPr>
              <w:t>$34</w:t>
            </w:r>
            <w:r w:rsidRPr="006F101B">
              <w:rPr>
                <w:sz w:val="22"/>
                <w:szCs w:val="22"/>
              </w:rPr>
              <w:t>.</w:t>
            </w:r>
            <w:r>
              <w:rPr>
                <w:sz w:val="22"/>
                <w:szCs w:val="22"/>
              </w:rPr>
              <w:t>34</w:t>
            </w:r>
          </w:p>
        </w:tc>
        <w:tc>
          <w:tcPr>
            <w:tcW w:w="1938" w:type="dxa"/>
          </w:tcPr>
          <w:p w:rsidR="008B5DB5" w:rsidRPr="006F101B" w:rsidP="007C439D" w14:paraId="25DB8635" w14:textId="77777777">
            <w:pPr>
              <w:rPr>
                <w:sz w:val="22"/>
                <w:szCs w:val="22"/>
              </w:rPr>
            </w:pPr>
            <w:r w:rsidRPr="006F101B">
              <w:rPr>
                <w:sz w:val="22"/>
                <w:szCs w:val="22"/>
              </w:rPr>
              <w:t>$</w:t>
            </w:r>
            <w:r>
              <w:rPr>
                <w:sz w:val="22"/>
                <w:szCs w:val="22"/>
              </w:rPr>
              <w:t>5,769.12</w:t>
            </w:r>
          </w:p>
        </w:tc>
      </w:tr>
      <w:tr w14:paraId="6CCA0856" w14:textId="77777777" w:rsidTr="007C439D">
        <w:tblPrEx>
          <w:tblW w:w="0" w:type="auto"/>
          <w:tblInd w:w="360" w:type="dxa"/>
          <w:tblLook w:val="04A0"/>
        </w:tblPrEx>
        <w:tc>
          <w:tcPr>
            <w:tcW w:w="1565" w:type="dxa"/>
          </w:tcPr>
          <w:p w:rsidR="008B5DB5" w:rsidRPr="006F101B" w:rsidP="007C439D" w14:paraId="4CFC0009" w14:textId="77777777">
            <w:pPr>
              <w:rPr>
                <w:sz w:val="22"/>
                <w:szCs w:val="22"/>
              </w:rPr>
            </w:pPr>
            <w:r w:rsidRPr="006F101B">
              <w:rPr>
                <w:sz w:val="22"/>
                <w:szCs w:val="22"/>
              </w:rPr>
              <w:t>Total Cost</w:t>
            </w:r>
          </w:p>
        </w:tc>
        <w:tc>
          <w:tcPr>
            <w:tcW w:w="6193" w:type="dxa"/>
            <w:gridSpan w:val="4"/>
          </w:tcPr>
          <w:p w:rsidR="008B5DB5" w:rsidRPr="006F101B" w:rsidP="007C439D" w14:paraId="7A9A4756" w14:textId="77777777">
            <w:pPr>
              <w:rPr>
                <w:sz w:val="22"/>
                <w:szCs w:val="22"/>
              </w:rPr>
            </w:pPr>
          </w:p>
        </w:tc>
        <w:tc>
          <w:tcPr>
            <w:tcW w:w="1938" w:type="dxa"/>
          </w:tcPr>
          <w:p w:rsidR="008B5DB5" w:rsidRPr="00F01F56" w:rsidP="007C439D" w14:paraId="0BAFA7EE" w14:textId="77777777">
            <w:pPr>
              <w:rPr>
                <w:sz w:val="22"/>
                <w:szCs w:val="22"/>
              </w:rPr>
            </w:pPr>
            <w:r w:rsidRPr="00F01F56">
              <w:rPr>
                <w:sz w:val="22"/>
                <w:szCs w:val="22"/>
              </w:rPr>
              <w:t>$16</w:t>
            </w:r>
            <w:r>
              <w:rPr>
                <w:sz w:val="22"/>
                <w:szCs w:val="22"/>
              </w:rPr>
              <w:t>,</w:t>
            </w:r>
            <w:r w:rsidRPr="00F01F56">
              <w:rPr>
                <w:sz w:val="22"/>
                <w:szCs w:val="22"/>
              </w:rPr>
              <w:t>8849.78</w:t>
            </w:r>
          </w:p>
        </w:tc>
      </w:tr>
    </w:tbl>
    <w:p w:rsidR="008B5DB5" w:rsidRPr="00474550" w:rsidP="008B5DB5" w14:paraId="75CB3662" w14:textId="77777777">
      <w:pPr>
        <w:pStyle w:val="BodyTextIndent2"/>
        <w:tabs>
          <w:tab w:val="left" w:pos="360"/>
        </w:tabs>
        <w:spacing w:after="120" w:line="240" w:lineRule="auto"/>
        <w:ind w:hanging="336"/>
      </w:pPr>
      <w:r>
        <w:rPr>
          <w:color w:val="000000"/>
          <w:sz w:val="22"/>
        </w:rPr>
        <w:tab/>
      </w:r>
      <w:r>
        <w:t>*Represents GS-13/Step 1 Program Analyst or Housing Program Specialist hourly rate.</w:t>
      </w:r>
    </w:p>
    <w:p w:rsidR="00113012" w:rsidP="00113012" w14:paraId="48307466" w14:textId="77777777">
      <w:pPr>
        <w:tabs>
          <w:tab w:val="left" w:pos="360"/>
        </w:tabs>
        <w:ind w:left="360" w:hanging="360"/>
        <w:rPr>
          <w:color w:val="000000"/>
          <w:sz w:val="18"/>
        </w:rPr>
      </w:pPr>
    </w:p>
    <w:p w:rsidR="00113012" w:rsidP="00113012" w14:paraId="05EE52BC" w14:textId="77777777">
      <w:pPr>
        <w:keepLines/>
        <w:tabs>
          <w:tab w:val="left" w:pos="360"/>
        </w:tabs>
        <w:spacing w:after="80"/>
        <w:ind w:left="360" w:hanging="360"/>
        <w:rPr>
          <w:color w:val="000000"/>
          <w:sz w:val="22"/>
        </w:rPr>
      </w:pPr>
      <w:r>
        <w:rPr>
          <w:color w:val="000000"/>
          <w:sz w:val="18"/>
        </w:rPr>
        <w:t>15.</w:t>
      </w:r>
      <w:r>
        <w:rPr>
          <w:color w:val="000000"/>
          <w:sz w:val="18"/>
        </w:rPr>
        <w:tab/>
      </w:r>
      <w:r w:rsidRPr="00070EFE">
        <w:rPr>
          <w:bCs/>
          <w:color w:val="000000"/>
          <w:sz w:val="22"/>
        </w:rPr>
        <w:t>E</w:t>
      </w:r>
      <w:r>
        <w:rPr>
          <w:color w:val="000000"/>
          <w:sz w:val="22"/>
        </w:rPr>
        <w:t>xplain any program changes or adjustments reported in items 13 and 14 of the OMB Form 83i.</w:t>
      </w:r>
    </w:p>
    <w:p w:rsidR="00113012" w:rsidRPr="00F938AE" w:rsidP="00113012" w14:paraId="22E8BC6F" w14:textId="1490315A">
      <w:pPr>
        <w:tabs>
          <w:tab w:val="left" w:pos="360"/>
        </w:tabs>
        <w:ind w:left="360" w:hanging="360"/>
        <w:rPr>
          <w:b/>
          <w:bCs/>
        </w:rPr>
      </w:pPr>
      <w:r>
        <w:tab/>
      </w:r>
      <w:r w:rsidRPr="00F938AE">
        <w:rPr>
          <w:b/>
          <w:bCs/>
          <w:sz w:val="24"/>
          <w:szCs w:val="24"/>
        </w:rPr>
        <w:t xml:space="preserve">This is a reinstatement </w:t>
      </w:r>
      <w:r w:rsidRPr="00F938AE">
        <w:rPr>
          <w:b/>
          <w:bCs/>
          <w:sz w:val="24"/>
          <w:szCs w:val="24"/>
        </w:rPr>
        <w:t xml:space="preserve">without change </w:t>
      </w:r>
      <w:r w:rsidRPr="00F938AE">
        <w:rPr>
          <w:b/>
          <w:bCs/>
          <w:sz w:val="24"/>
          <w:szCs w:val="24"/>
        </w:rPr>
        <w:t>of an expired PRA for the sole purpose of withdrawing the PRA. The</w:t>
      </w:r>
      <w:r w:rsidRPr="00F938AE">
        <w:rPr>
          <w:b/>
          <w:bCs/>
          <w:sz w:val="24"/>
          <w:szCs w:val="24"/>
        </w:rPr>
        <w:t>re are no changes on Form 83i.</w:t>
      </w:r>
      <w:r w:rsidRPr="00F938AE">
        <w:rPr>
          <w:b/>
          <w:bCs/>
          <w:sz w:val="24"/>
          <w:szCs w:val="24"/>
        </w:rPr>
        <w:t xml:space="preserve"> </w:t>
      </w:r>
    </w:p>
    <w:p w:rsidR="008B5DB5" w:rsidRPr="00F938AE" w:rsidP="00113012" w14:paraId="06742775" w14:textId="77777777">
      <w:pPr>
        <w:tabs>
          <w:tab w:val="left" w:pos="360"/>
        </w:tabs>
        <w:ind w:left="360" w:hanging="360"/>
        <w:rPr>
          <w:b/>
          <w:bCs/>
          <w:color w:val="000000"/>
          <w:sz w:val="18"/>
        </w:rPr>
      </w:pPr>
    </w:p>
    <w:p w:rsidR="00113012" w:rsidP="00113012" w14:paraId="5591A266" w14:textId="75003574">
      <w:pPr>
        <w:keepLines/>
        <w:tabs>
          <w:tab w:val="left" w:pos="360"/>
        </w:tabs>
        <w:ind w:left="360" w:hanging="360"/>
        <w:rPr>
          <w:color w:val="000000"/>
          <w:sz w:val="22"/>
        </w:rPr>
      </w:pPr>
      <w:r>
        <w:rPr>
          <w:color w:val="000000"/>
          <w:sz w:val="18"/>
        </w:rPr>
        <w:t>16.</w:t>
      </w:r>
      <w:r>
        <w:rPr>
          <w:color w:val="000000"/>
          <w:sz w:val="18"/>
        </w:rPr>
        <w:tab/>
      </w:r>
      <w:r w:rsidRPr="00070EFE">
        <w:rPr>
          <w:bCs/>
          <w:color w:val="000000"/>
          <w:sz w:val="22"/>
        </w:rPr>
        <w:t>I</w:t>
      </w:r>
      <w:r>
        <w:rPr>
          <w:color w:val="000000"/>
          <w:sz w:val="22"/>
        </w:rPr>
        <w:t xml:space="preserve">f the information </w:t>
      </w:r>
      <w:r>
        <w:rPr>
          <w:color w:val="000000"/>
          <w:sz w:val="22"/>
        </w:rPr>
        <w:t>will be</w:t>
      </w:r>
      <w:r>
        <w:rPr>
          <w:color w:val="000000"/>
          <w:sz w:val="22"/>
        </w:rPr>
        <w:t xml:space="preserve"> published, outline plans for tabulation and publication.  </w:t>
      </w:r>
    </w:p>
    <w:p w:rsidR="008B5DB5" w:rsidRPr="00F938AE" w:rsidP="008B5DB5" w14:paraId="7DB968F1" w14:textId="311A58E5">
      <w:pPr>
        <w:pStyle w:val="BodyTextIndent2"/>
        <w:tabs>
          <w:tab w:val="clear" w:pos="0"/>
          <w:tab w:val="left" w:pos="360"/>
        </w:tabs>
        <w:spacing w:after="120" w:line="240" w:lineRule="auto"/>
        <w:ind w:hanging="360"/>
        <w:rPr>
          <w:b/>
          <w:bCs/>
        </w:rPr>
      </w:pPr>
      <w:r>
        <w:tab/>
      </w:r>
      <w:r w:rsidRPr="00F938AE">
        <w:rPr>
          <w:b/>
          <w:bCs/>
        </w:rPr>
        <w:t xml:space="preserve">Information collection results will not be published. </w:t>
      </w:r>
    </w:p>
    <w:p w:rsidR="00113012" w:rsidP="00113012" w14:paraId="34C73EF5" w14:textId="627E4ECA">
      <w:pPr>
        <w:keepLines/>
        <w:tabs>
          <w:tab w:val="left" w:pos="360"/>
        </w:tabs>
        <w:ind w:left="360" w:hanging="360"/>
        <w:rPr>
          <w:color w:val="000000"/>
          <w:sz w:val="22"/>
        </w:rPr>
      </w:pPr>
      <w:r>
        <w:rPr>
          <w:color w:val="000000"/>
          <w:sz w:val="18"/>
        </w:rPr>
        <w:t>17.</w:t>
      </w:r>
      <w:r>
        <w:rPr>
          <w:color w:val="000000"/>
          <w:sz w:val="18"/>
        </w:rPr>
        <w:tab/>
        <w:t>E</w:t>
      </w:r>
      <w:r>
        <w:rPr>
          <w:color w:val="000000"/>
          <w:sz w:val="22"/>
        </w:rPr>
        <w:t xml:space="preserve">xplain any request to not display the expiration date. </w:t>
      </w:r>
    </w:p>
    <w:p w:rsidR="008B5DB5" w:rsidRPr="008B5DB5" w:rsidP="008B5DB5" w14:paraId="22A18E66" w14:textId="5738A7AB">
      <w:pPr>
        <w:pStyle w:val="BodyTextIndent2"/>
        <w:tabs>
          <w:tab w:val="clear" w:pos="0"/>
          <w:tab w:val="left" w:pos="360"/>
        </w:tabs>
        <w:spacing w:after="120" w:line="240" w:lineRule="auto"/>
        <w:ind w:hanging="360"/>
      </w:pPr>
      <w:r>
        <w:tab/>
      </w:r>
      <w:r w:rsidRPr="00F938AE">
        <w:rPr>
          <w:b/>
          <w:bCs/>
        </w:rPr>
        <w:t>The OMB approval number and date will appear on the HUD-prescribed forms</w:t>
      </w:r>
      <w:r>
        <w:t>.</w:t>
      </w:r>
    </w:p>
    <w:p w:rsidR="00113012" w:rsidP="00113012" w14:paraId="5AC70E3A" w14:textId="77777777">
      <w:pPr>
        <w:tabs>
          <w:tab w:val="left" w:pos="360"/>
        </w:tabs>
        <w:ind w:left="360" w:hanging="360"/>
        <w:rPr>
          <w:color w:val="000000"/>
          <w:sz w:val="18"/>
        </w:rPr>
      </w:pPr>
    </w:p>
    <w:p w:rsidR="00113012" w:rsidP="00113012" w14:paraId="21799D04" w14:textId="045331C7">
      <w:pPr>
        <w:keepLines/>
        <w:tabs>
          <w:tab w:val="left" w:pos="360"/>
        </w:tabs>
        <w:spacing w:after="80"/>
        <w:ind w:left="360" w:hanging="360"/>
        <w:rPr>
          <w:color w:val="000000"/>
          <w:sz w:val="22"/>
        </w:rPr>
      </w:pPr>
      <w:r>
        <w:rPr>
          <w:color w:val="000000"/>
          <w:sz w:val="18"/>
        </w:rPr>
        <w:t>18.</w:t>
      </w:r>
      <w:r>
        <w:rPr>
          <w:color w:val="000000"/>
          <w:sz w:val="18"/>
        </w:rPr>
        <w:tab/>
      </w:r>
      <w:r>
        <w:rPr>
          <w:color w:val="000000"/>
          <w:sz w:val="22"/>
        </w:rPr>
        <w:t>Explain each exception to the certification statement identified in item 19.</w:t>
      </w:r>
    </w:p>
    <w:p w:rsidR="008B5DB5" w:rsidRPr="00F938AE" w:rsidP="008B5DB5" w14:paraId="06A95D0A" w14:textId="59B4B160">
      <w:pPr>
        <w:pStyle w:val="BodyTextIndent2"/>
        <w:tabs>
          <w:tab w:val="clear" w:pos="0"/>
          <w:tab w:val="left" w:pos="360"/>
        </w:tabs>
        <w:spacing w:after="120" w:line="240" w:lineRule="auto"/>
        <w:ind w:hanging="360"/>
        <w:rPr>
          <w:b/>
          <w:bCs/>
        </w:rPr>
      </w:pPr>
      <w:r>
        <w:tab/>
      </w:r>
      <w:r w:rsidRPr="00F938AE">
        <w:rPr>
          <w:b/>
          <w:bCs/>
        </w:rPr>
        <w:t>There are no exceptions to the certification statement identified in item 19.</w:t>
      </w:r>
    </w:p>
    <w:p w:rsidR="00113012" w:rsidP="00113012" w14:paraId="5189630A" w14:textId="77777777">
      <w:pPr>
        <w:tabs>
          <w:tab w:val="left" w:pos="360"/>
          <w:tab w:val="left" w:pos="720"/>
        </w:tabs>
        <w:rPr>
          <w:color w:val="000000"/>
        </w:rPr>
      </w:pPr>
    </w:p>
    <w:p w:rsidR="00113012" w:rsidP="00113012" w14:paraId="1EA96681"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113012" w:rsidP="00113012" w14:paraId="63CE1D9B"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008B5DB5" w:rsidRPr="009621A7" w:rsidP="008B5DB5" w14:paraId="09B38F1F" w14:textId="77777777">
      <w:pPr>
        <w:pStyle w:val="BodyTextIndent2"/>
        <w:tabs>
          <w:tab w:val="clear" w:pos="0"/>
          <w:tab w:val="left" w:pos="360"/>
        </w:tabs>
        <w:spacing w:after="120" w:line="240" w:lineRule="auto"/>
        <w:ind w:hanging="360"/>
      </w:pPr>
      <w:r w:rsidRPr="00E1376F">
        <w:rPr>
          <w:szCs w:val="24"/>
        </w:rPr>
        <w:t>There are no collections of informati</w:t>
      </w:r>
      <w:r w:rsidRPr="00E1376F">
        <w:rPr>
          <w:szCs w:val="24"/>
        </w:rPr>
        <w:t>on that employ statistical methods.</w:t>
      </w:r>
    </w:p>
    <w:p w:rsidR="00113012" w:rsidP="00113012" w14:paraId="7FB97193" w14:textId="77777777">
      <w:pPr>
        <w:tabs>
          <w:tab w:val="left" w:pos="240"/>
        </w:tabs>
        <w:rPr>
          <w:rFonts w:ascii="Helvetica" w:hAnsi="Helvetica"/>
          <w:color w:val="000000"/>
          <w:sz w:val="16"/>
        </w:rPr>
      </w:pPr>
    </w:p>
    <w:p w:rsidR="00F66FE9" w14:paraId="5B39F4E6" w14:textId="77777777"/>
    <w:sectPr w:rsidSect="00DF0E4A">
      <w:headerReference w:type="first" r:id="rId7"/>
      <w:footerReference w:type="first" r:id="rId8"/>
      <w:pgSz w:w="12240" w:h="15840"/>
      <w:pgMar w:top="480" w:right="720" w:bottom="480" w:left="54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25C5" w:rsidP="003D488E" w14:paraId="0FC433E6" w14:textId="33C3BE8A">
    <w:pPr>
      <w:pStyle w:val="Footer"/>
      <w:pBdr>
        <w:top w:val="single" w:sz="6" w:space="1" w:color="auto"/>
      </w:pBdr>
      <w:tabs>
        <w:tab w:val="clear" w:pos="4320"/>
        <w:tab w:val="clear" w:pos="8640"/>
        <w:tab w:val="right" w:pos="10920"/>
      </w:tabs>
      <w:rPr>
        <w:rFonts w:ascii="Helvetica" w:hAnsi="Helvetica"/>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2205F3D9" w14:textId="77777777" w:rsidTr="7246A32F">
      <w:tblPrEx>
        <w:tblW w:w="0" w:type="auto"/>
        <w:tblLayout w:type="fixed"/>
        <w:tblLook w:val="06A0"/>
      </w:tblPrEx>
      <w:trPr>
        <w:trHeight w:val="300"/>
      </w:trPr>
      <w:tc>
        <w:tcPr>
          <w:tcW w:w="3660" w:type="dxa"/>
        </w:tcPr>
        <w:p w:rsidR="7246A32F" w:rsidP="7246A32F" w14:paraId="2EE26D59" w14:textId="712332FB">
          <w:pPr>
            <w:pStyle w:val="Header"/>
            <w:ind w:left="-115"/>
          </w:pPr>
        </w:p>
      </w:tc>
      <w:tc>
        <w:tcPr>
          <w:tcW w:w="3660" w:type="dxa"/>
        </w:tcPr>
        <w:p w:rsidR="7246A32F" w:rsidP="7246A32F" w14:paraId="62C3A4E3" w14:textId="7E373BFD">
          <w:pPr>
            <w:pStyle w:val="Header"/>
            <w:jc w:val="center"/>
          </w:pPr>
        </w:p>
      </w:tc>
      <w:tc>
        <w:tcPr>
          <w:tcW w:w="3660" w:type="dxa"/>
        </w:tcPr>
        <w:p w:rsidR="7246A32F" w:rsidP="7246A32F" w14:paraId="4095624E" w14:textId="0B4379A8">
          <w:pPr>
            <w:pStyle w:val="Header"/>
            <w:ind w:right="-115"/>
            <w:jc w:val="right"/>
          </w:pPr>
        </w:p>
      </w:tc>
    </w:tr>
  </w:tbl>
  <w:p w:rsidR="7246A32F" w:rsidP="7246A32F" w14:paraId="30CE5A03" w14:textId="6E8C3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1C2F2A"/>
    <w:multiLevelType w:val="hybridMultilevel"/>
    <w:tmpl w:val="53E4D79A"/>
    <w:lvl w:ilvl="0">
      <w:start w:val="7"/>
      <w:numFmt w:val="decimal"/>
      <w:lvlText w:val="%1."/>
      <w:lvlJc w:val="left"/>
      <w:pPr>
        <w:ind w:left="1530" w:hanging="360"/>
      </w:pPr>
      <w:rPr>
        <w:rFonts w:hint="default"/>
        <w:b/>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
    <w:nsid w:val="27D7226C"/>
    <w:multiLevelType w:val="hybridMultilevel"/>
    <w:tmpl w:val="A15CEDB2"/>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3">
    <w:nsid w:val="286F71B0"/>
    <w:multiLevelType w:val="hybridMultilevel"/>
    <w:tmpl w:val="B574C606"/>
    <w:lvl w:ilvl="0">
      <w:start w:val="1"/>
      <w:numFmt w:val="bullet"/>
      <w:lvlText w:val=""/>
      <w:lvlJc w:val="left"/>
      <w:pPr>
        <w:ind w:left="870" w:hanging="360"/>
      </w:pPr>
      <w:rPr>
        <w:rFonts w:ascii="Symbol" w:hAnsi="Symbol" w:hint="default"/>
      </w:rPr>
    </w:lvl>
    <w:lvl w:ilvl="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4">
    <w:nsid w:val="432D56A4"/>
    <w:multiLevelType w:val="hybridMultilevel"/>
    <w:tmpl w:val="46827864"/>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5">
    <w:nsid w:val="61E31B8D"/>
    <w:multiLevelType w:val="hybridMultilevel"/>
    <w:tmpl w:val="E304BCE8"/>
    <w:lvl w:ilvl="0">
      <w:start w:val="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FC29F0"/>
    <w:multiLevelType w:val="hybridMultilevel"/>
    <w:tmpl w:val="CA7203A8"/>
    <w:lvl w:ilvl="0">
      <w:start w:val="1"/>
      <w:numFmt w:val="decimal"/>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8EB1CA8"/>
    <w:multiLevelType w:val="hybridMultilevel"/>
    <w:tmpl w:val="6A1085E0"/>
    <w:lvl w:ilvl="0">
      <w:start w:val="8"/>
      <w:numFmt w:val="decimal"/>
      <w:lvlText w:val="%1."/>
      <w:lvlJc w:val="left"/>
      <w:pPr>
        <w:ind w:left="1530" w:hanging="360"/>
      </w:pPr>
      <w:rPr>
        <w:rFonts w:hint="default"/>
        <w:color w:val="000000"/>
        <w:sz w:val="22"/>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num w:numId="1" w16cid:durableId="1408724197">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16cid:durableId="722600936">
    <w:abstractNumId w:val="4"/>
  </w:num>
  <w:num w:numId="3" w16cid:durableId="391850208">
    <w:abstractNumId w:val="1"/>
  </w:num>
  <w:num w:numId="4" w16cid:durableId="829949024">
    <w:abstractNumId w:val="6"/>
  </w:num>
  <w:num w:numId="5" w16cid:durableId="61997867">
    <w:abstractNumId w:val="5"/>
  </w:num>
  <w:num w:numId="6" w16cid:durableId="1709794895">
    <w:abstractNumId w:val="7"/>
  </w:num>
  <w:num w:numId="7" w16cid:durableId="2036343363">
    <w:abstractNumId w:val="3"/>
  </w:num>
  <w:num w:numId="8" w16cid:durableId="1947736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12"/>
    <w:rsid w:val="00070EFE"/>
    <w:rsid w:val="00095C3F"/>
    <w:rsid w:val="000D0ED9"/>
    <w:rsid w:val="000E71E4"/>
    <w:rsid w:val="00113012"/>
    <w:rsid w:val="00120A0E"/>
    <w:rsid w:val="002122AE"/>
    <w:rsid w:val="00300C28"/>
    <w:rsid w:val="00373EED"/>
    <w:rsid w:val="003A0F96"/>
    <w:rsid w:val="003D488E"/>
    <w:rsid w:val="00452D16"/>
    <w:rsid w:val="00474550"/>
    <w:rsid w:val="00486CC8"/>
    <w:rsid w:val="004A293F"/>
    <w:rsid w:val="004A7D7C"/>
    <w:rsid w:val="004C4D5F"/>
    <w:rsid w:val="00500358"/>
    <w:rsid w:val="00581708"/>
    <w:rsid w:val="006F101B"/>
    <w:rsid w:val="00751946"/>
    <w:rsid w:val="007C439D"/>
    <w:rsid w:val="00817540"/>
    <w:rsid w:val="008B5DB5"/>
    <w:rsid w:val="00901610"/>
    <w:rsid w:val="009621A7"/>
    <w:rsid w:val="00A2216C"/>
    <w:rsid w:val="00A325C5"/>
    <w:rsid w:val="00A50CEC"/>
    <w:rsid w:val="00A74763"/>
    <w:rsid w:val="00AD09C4"/>
    <w:rsid w:val="00AF3956"/>
    <w:rsid w:val="00B710C2"/>
    <w:rsid w:val="00BC0F29"/>
    <w:rsid w:val="00BE2B02"/>
    <w:rsid w:val="00C17748"/>
    <w:rsid w:val="00C3239F"/>
    <w:rsid w:val="00C34541"/>
    <w:rsid w:val="00C51B64"/>
    <w:rsid w:val="00CB7B5B"/>
    <w:rsid w:val="00CD6E4D"/>
    <w:rsid w:val="00D60FF7"/>
    <w:rsid w:val="00DF0E4A"/>
    <w:rsid w:val="00E1376F"/>
    <w:rsid w:val="00E459BE"/>
    <w:rsid w:val="00E47DC3"/>
    <w:rsid w:val="00F01F56"/>
    <w:rsid w:val="00F66FE9"/>
    <w:rsid w:val="00F7656D"/>
    <w:rsid w:val="00F938AE"/>
    <w:rsid w:val="1DE759C5"/>
    <w:rsid w:val="1F9C5B7C"/>
    <w:rsid w:val="227093CD"/>
    <w:rsid w:val="3E94E72C"/>
    <w:rsid w:val="6968E43A"/>
    <w:rsid w:val="6F0F026D"/>
    <w:rsid w:val="70AAD2CE"/>
    <w:rsid w:val="7246A32F"/>
    <w:rsid w:val="7897A03C"/>
    <w:rsid w:val="7D39CC5D"/>
    <w:rsid w:val="7D9D62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0B3FF7"/>
  <w15:chartTrackingRefBased/>
  <w15:docId w15:val="{3868CFDF-4BC9-4266-AE98-FC476267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01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13012"/>
    <w:pPr>
      <w:tabs>
        <w:tab w:val="center" w:pos="4320"/>
        <w:tab w:val="right" w:pos="8640"/>
      </w:tabs>
    </w:pPr>
  </w:style>
  <w:style w:type="character" w:customStyle="1" w:styleId="HeaderChar">
    <w:name w:val="Header Char"/>
    <w:basedOn w:val="DefaultParagraphFont"/>
    <w:link w:val="Header"/>
    <w:semiHidden/>
    <w:rsid w:val="00113012"/>
    <w:rPr>
      <w:rFonts w:ascii="Times New Roman" w:eastAsia="Times New Roman" w:hAnsi="Times New Roman" w:cs="Times New Roman"/>
      <w:kern w:val="0"/>
      <w:sz w:val="20"/>
      <w:szCs w:val="20"/>
      <w14:ligatures w14:val="none"/>
    </w:rPr>
  </w:style>
  <w:style w:type="paragraph" w:styleId="Footer">
    <w:name w:val="footer"/>
    <w:basedOn w:val="Normal"/>
    <w:link w:val="FooterChar"/>
    <w:semiHidden/>
    <w:rsid w:val="00113012"/>
    <w:pPr>
      <w:tabs>
        <w:tab w:val="center" w:pos="4320"/>
        <w:tab w:val="right" w:pos="8640"/>
      </w:tabs>
    </w:pPr>
  </w:style>
  <w:style w:type="character" w:customStyle="1" w:styleId="FooterChar">
    <w:name w:val="Footer Char"/>
    <w:basedOn w:val="DefaultParagraphFont"/>
    <w:link w:val="Footer"/>
    <w:semiHidden/>
    <w:rsid w:val="00113012"/>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uiPriority w:val="99"/>
    <w:rsid w:val="008B5DB5"/>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uiPriority w:val="99"/>
    <w:rsid w:val="008B5DB5"/>
    <w:rPr>
      <w:rFonts w:ascii="Times New Roman" w:eastAsia="Times New Roman" w:hAnsi="Times New Roman" w:cs="Times New Roman"/>
      <w:kern w:val="0"/>
      <w:sz w:val="24"/>
      <w:szCs w:val="20"/>
      <w14:ligatures w14:val="none"/>
    </w:rPr>
  </w:style>
  <w:style w:type="table" w:styleId="TableGrid">
    <w:name w:val="Table Grid"/>
    <w:basedOn w:val="TableNormal"/>
    <w:rsid w:val="008B5DB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A293F"/>
    <w:rPr>
      <w:sz w:val="16"/>
      <w:szCs w:val="16"/>
    </w:rPr>
  </w:style>
  <w:style w:type="paragraph" w:styleId="CommentText">
    <w:name w:val="annotation text"/>
    <w:basedOn w:val="Normal"/>
    <w:link w:val="CommentTextChar"/>
    <w:uiPriority w:val="99"/>
    <w:unhideWhenUsed/>
    <w:rsid w:val="004A293F"/>
  </w:style>
  <w:style w:type="character" w:customStyle="1" w:styleId="CommentTextChar">
    <w:name w:val="Comment Text Char"/>
    <w:basedOn w:val="DefaultParagraphFont"/>
    <w:link w:val="CommentText"/>
    <w:uiPriority w:val="99"/>
    <w:rsid w:val="004A293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293F"/>
    <w:rPr>
      <w:b/>
      <w:bCs/>
    </w:rPr>
  </w:style>
  <w:style w:type="character" w:customStyle="1" w:styleId="CommentSubjectChar">
    <w:name w:val="Comment Subject Char"/>
    <w:basedOn w:val="CommentTextChar"/>
    <w:link w:val="CommentSubject"/>
    <w:uiPriority w:val="99"/>
    <w:semiHidden/>
    <w:rsid w:val="004A293F"/>
    <w:rPr>
      <w:rFonts w:ascii="Times New Roman" w:eastAsia="Times New Roman" w:hAnsi="Times New Roman" w:cs="Times New Roman"/>
      <w:b/>
      <w:bCs/>
      <w:kern w:val="0"/>
      <w:sz w:val="20"/>
      <w:szCs w:val="20"/>
      <w14:ligatures w14:val="none"/>
    </w:rPr>
  </w:style>
  <w:style w:type="paragraph" w:customStyle="1" w:styleId="pf0">
    <w:name w:val="pf0"/>
    <w:basedOn w:val="Normal"/>
    <w:rsid w:val="004A293F"/>
    <w:pPr>
      <w:overflowPunct/>
      <w:autoSpaceDE/>
      <w:autoSpaceDN/>
      <w:adjustRightInd/>
      <w:spacing w:before="100" w:beforeAutospacing="1" w:after="100" w:afterAutospacing="1"/>
      <w:ind w:left="120"/>
      <w:textAlignment w:val="auto"/>
    </w:pPr>
    <w:rPr>
      <w:sz w:val="24"/>
      <w:szCs w:val="24"/>
    </w:rPr>
  </w:style>
  <w:style w:type="character" w:customStyle="1" w:styleId="cf01">
    <w:name w:val="cf01"/>
    <w:basedOn w:val="DefaultParagraphFont"/>
    <w:rsid w:val="004A293F"/>
    <w:rPr>
      <w:rFonts w:ascii="Segoe UI" w:hAnsi="Segoe UI" w:cs="Segoe UI" w:hint="default"/>
      <w:color w:val="0000FF"/>
      <w:sz w:val="18"/>
      <w:szCs w:val="18"/>
    </w:rPr>
  </w:style>
  <w:style w:type="paragraph" w:styleId="ListParagraph">
    <w:name w:val="List Paragraph"/>
    <w:basedOn w:val="Normal"/>
    <w:uiPriority w:val="34"/>
    <w:qFormat/>
    <w:rsid w:val="004A293F"/>
    <w:pPr>
      <w:ind w:left="720"/>
      <w:contextualSpacing/>
    </w:pPr>
  </w:style>
  <w:style w:type="paragraph" w:styleId="NoSpacing">
    <w:name w:val="No Spacing"/>
    <w:uiPriority w:val="1"/>
    <w:qFormat/>
    <w:rsid w:val="004A293F"/>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82A0FE59A0447AD6676A1CCAADD79" ma:contentTypeVersion="13" ma:contentTypeDescription="Create a new document." ma:contentTypeScope="" ma:versionID="b807bbc15350d0dcf1840b44c5dcb559">
  <xsd:schema xmlns:xsd="http://www.w3.org/2001/XMLSchema" xmlns:xs="http://www.w3.org/2001/XMLSchema" xmlns:p="http://schemas.microsoft.com/office/2006/metadata/properties" xmlns:ns2="27cf4c60-cc0a-4fc5-8188-8aa7a2c655d7" xmlns:ns3="e2f7169e-dc72-48e7-bd3f-61694e93a714" targetNamespace="http://schemas.microsoft.com/office/2006/metadata/properties" ma:root="true" ma:fieldsID="01b406b9964a1696c2b9ebb4a787a4df" ns2:_="" ns3:_="">
    <xsd:import namespace="27cf4c60-cc0a-4fc5-8188-8aa7a2c655d7"/>
    <xsd:import namespace="e2f7169e-dc72-48e7-bd3f-61694e93a7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f4c60-cc0a-4fc5-8188-8aa7a2c65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7169e-dc72-48e7-bd3f-61694e93a7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8df172-f3a4-489b-86f8-037ef515fe06}" ma:internalName="TaxCatchAll" ma:showField="CatchAllData" ma:web="e2f7169e-dc72-48e7-bd3f-61694e93a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f7169e-dc72-48e7-bd3f-61694e93a714" xsi:nil="true"/>
    <lcf76f155ced4ddcb4097134ff3c332f xmlns="27cf4c60-cc0a-4fc5-8188-8aa7a2c655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34F250-A3D7-41BA-B161-261DECD00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f4c60-cc0a-4fc5-8188-8aa7a2c655d7"/>
    <ds:schemaRef ds:uri="e2f7169e-dc72-48e7-bd3f-61694e93a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2EF05-06E9-4F60-9C18-7B14D2485F16}">
  <ds:schemaRefs>
    <ds:schemaRef ds:uri="http://schemas.microsoft.com/sharepoint/v3/contenttype/forms"/>
  </ds:schemaRefs>
</ds:datastoreItem>
</file>

<file path=customXml/itemProps3.xml><?xml version="1.0" encoding="utf-8"?>
<ds:datastoreItem xmlns:ds="http://schemas.openxmlformats.org/officeDocument/2006/customXml" ds:itemID="{B5B5A0D8-BEC1-4F90-A0C0-4B19181804CE}">
  <ds:schemaRefs>
    <ds:schemaRef ds:uri="http://schemas.microsoft.com/office/2006/metadata/properties"/>
    <ds:schemaRef ds:uri="http://schemas.microsoft.com/office/infopath/2007/PartnerControls"/>
    <ds:schemaRef ds:uri="e2f7169e-dc72-48e7-bd3f-61694e93a714"/>
    <ds:schemaRef ds:uri="27cf4c60-cc0a-4fc5-8188-8aa7a2c655d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2128</Words>
  <Characters>12134</Characters>
  <Application>Microsoft Office Word</Application>
  <DocSecurity>0</DocSecurity>
  <Lines>101</Lines>
  <Paragraphs>28</Paragraphs>
  <ScaleCrop>false</ScaleCrop>
  <Company>U.S. Department of Housing and Urban Development</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Mahoney, Erica D</dc:creator>
  <cp:lastModifiedBy>Thornton, Leea J</cp:lastModifiedBy>
  <cp:revision>2</cp:revision>
  <dcterms:created xsi:type="dcterms:W3CDTF">2023-10-17T11:58:00Z</dcterms:created>
  <dcterms:modified xsi:type="dcterms:W3CDTF">2023-10-17T11:58:00Z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0x0101004FE82A0FE59A0447AD6676A1CCAADD79</vt:lpwstr>
  </property>
  <property fmtid="{D5CDD505-2E9C-101B-9397-08002B2CF9AE}" pid="3" name="MediaServiceImageTags">
    <vt:lpwstr/>
  </property>
</Properties>
</file>