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43B3" w:rsidP="00E243B3" w14:paraId="559A8EDA" w14:textId="77777777">
      <w:pPr>
        <w:ind w:left="360"/>
        <w:rPr>
          <w:b/>
        </w:rPr>
      </w:pPr>
    </w:p>
    <w:p w:rsidR="00E243B3" w:rsidRPr="00256358" w:rsidP="00256358" w14:paraId="25672500" w14:textId="77777777">
      <w:pPr>
        <w:jc w:val="center"/>
        <w:rPr>
          <w:b/>
        </w:rPr>
      </w:pPr>
      <w:r>
        <w:rPr>
          <w:b/>
        </w:rPr>
        <w:t>SUPPORTING STATEMENT</w:t>
      </w:r>
    </w:p>
    <w:p w:rsidR="00256358" w:rsidP="00E243B3" w14:paraId="010348BF" w14:textId="77777777"/>
    <w:p w:rsidR="00BA2D3D" w:rsidRPr="00BA2D3D" w:rsidP="00E243B3" w14:paraId="760A6F65" w14:textId="77777777">
      <w:pPr>
        <w:rPr>
          <w:b/>
        </w:rPr>
      </w:pPr>
      <w:r w:rsidRPr="00BA2D3D">
        <w:rPr>
          <w:b/>
        </w:rPr>
        <w:t>A.</w:t>
      </w:r>
      <w:r w:rsidRPr="00BA2D3D">
        <w:rPr>
          <w:b/>
        </w:rPr>
        <w:tab/>
        <w:t>Justification:</w:t>
      </w:r>
    </w:p>
    <w:p w:rsidR="00256358" w:rsidP="00E243B3" w14:paraId="096075C0" w14:textId="77777777"/>
    <w:p w:rsidR="00A162F5" w:rsidP="00E243B3" w14:paraId="5491EFBC" w14:textId="77777777">
      <w:r>
        <w:t xml:space="preserve">1.  </w:t>
      </w:r>
      <w:r w:rsidR="001A3047">
        <w:t xml:space="preserve">Cable </w:t>
      </w:r>
      <w:r w:rsidR="00E243B3">
        <w:t xml:space="preserve">operators file FCC Form 1205 </w:t>
      </w:r>
      <w:r w:rsidR="001A3047">
        <w:t xml:space="preserve">to calculate costs associated with regulated equipment and installation for the basic service tier and the maximum permitted charges for such equipment and installations </w:t>
      </w:r>
      <w:r w:rsidR="00E243B3">
        <w:t xml:space="preserve">and to comply with </w:t>
      </w:r>
      <w:r w:rsidR="00572DF8">
        <w:t xml:space="preserve">47 CFR </w:t>
      </w:r>
      <w:r w:rsidR="00E243B3">
        <w:t>Section 76.923(m).  FCC Form 1205 filings are reviewed by local franchising authorities</w:t>
      </w:r>
      <w:r w:rsidR="00E91AE8">
        <w:t xml:space="preserve"> (LFAs)</w:t>
      </w:r>
      <w:r w:rsidR="00E243B3">
        <w:t xml:space="preserve"> (or the Commission where it is certified to regulate basic tier services on behalf of local franchising authorities).  Section 76.9</w:t>
      </w:r>
      <w:r w:rsidR="00B04994">
        <w:t>2</w:t>
      </w:r>
      <w:r w:rsidR="00E243B3">
        <w:t>3(m) states that cable operators shall main</w:t>
      </w:r>
      <w:r>
        <w:t>ta</w:t>
      </w:r>
      <w:r w:rsidR="00E243B3">
        <w:t>in</w:t>
      </w:r>
      <w:r>
        <w:t xml:space="preserve"> adequate documentation to demonstrate t</w:t>
      </w:r>
      <w:r w:rsidR="00B16408">
        <w:t>h</w:t>
      </w:r>
      <w:r>
        <w:t>at charges for the sale and lease of equipment and for installations have been developed in accordance with the Commission’s rules.</w:t>
      </w:r>
    </w:p>
    <w:p w:rsidR="00A162F5" w:rsidP="00E243B3" w14:paraId="7DA6E6D8" w14:textId="77777777">
      <w:r>
        <w:t xml:space="preserve">  </w:t>
      </w:r>
    </w:p>
    <w:p w:rsidR="00A162F5" w:rsidRPr="00DA3736" w:rsidP="00E243B3" w14:paraId="06F2EDB9" w14:textId="77777777">
      <w:r>
        <w:t xml:space="preserve">The sunset of cable programming service tier (CPST) rate regulation that became effective March 31, 1999 pursuant to the Telecommunications Act of 1996 generally eliminates the requirement for regulated cable systems to </w:t>
      </w:r>
      <w:r w:rsidRPr="00DA3736">
        <w:t xml:space="preserve">file </w:t>
      </w:r>
      <w:r w:rsidRPr="00DA3736" w:rsidR="005C45B2">
        <w:t xml:space="preserve">FCC </w:t>
      </w:r>
      <w:r w:rsidRPr="00DA3736">
        <w:t xml:space="preserve">Form 1205 with the Commission.  However, </w:t>
      </w:r>
      <w:r w:rsidRPr="00DA3736" w:rsidR="00E4559A">
        <w:t>LFAs</w:t>
      </w:r>
      <w:r w:rsidRPr="00DA3736">
        <w:t xml:space="preserve"> continue to maintain jurisdiction over basic service tier (BST) rate regulation in their respective franchise areas.  Therefore,</w:t>
      </w:r>
      <w:r w:rsidRPr="00DA3736" w:rsidR="005C45B2">
        <w:t xml:space="preserve"> FCC</w:t>
      </w:r>
      <w:r w:rsidRPr="00DA3736">
        <w:t xml:space="preserve"> Form 1205 continues to be filed with </w:t>
      </w:r>
      <w:r w:rsidRPr="00DA3736" w:rsidR="00785A71">
        <w:t>LFAs</w:t>
      </w:r>
      <w:r w:rsidRPr="00DA3736">
        <w:t xml:space="preserve"> that are certified to regulate BST rates.  Also, </w:t>
      </w:r>
      <w:r w:rsidRPr="00DA3736" w:rsidR="001C0E93">
        <w:t xml:space="preserve">since </w:t>
      </w:r>
      <w:r w:rsidRPr="00DA3736">
        <w:t>the sunset of CPST rate regulation does not impact existing recordkeeping or disclosure requirements</w:t>
      </w:r>
      <w:r w:rsidRPr="00DA3736" w:rsidR="001C0E93">
        <w:t xml:space="preserve">, </w:t>
      </w:r>
      <w:r w:rsidRPr="00DA3736">
        <w:t xml:space="preserve">the </w:t>
      </w:r>
      <w:r w:rsidRPr="004A79BD">
        <w:t>Section 96.92</w:t>
      </w:r>
      <w:r w:rsidRPr="004A79BD" w:rsidR="00B16408">
        <w:t>3</w:t>
      </w:r>
      <w:r w:rsidRPr="004A79BD">
        <w:t>(m)</w:t>
      </w:r>
      <w:r w:rsidRPr="00DA3736">
        <w:t xml:space="preserve"> recordkeeping requirement that is also accounted for in this collection remains intact.</w:t>
      </w:r>
    </w:p>
    <w:p w:rsidR="00A162F5" w:rsidRPr="00DA3736" w:rsidP="00E243B3" w14:paraId="3096926C" w14:textId="77777777"/>
    <w:p w:rsidR="005C45B2" w:rsidP="00E243B3" w14:paraId="1B7C0643" w14:textId="77777777">
      <w:r w:rsidRPr="00DA3736">
        <w:t>The Commission is requesting an extension of this information collection in order to receive the full three</w:t>
      </w:r>
      <w:r w:rsidR="002B2871">
        <w:t>-</w:t>
      </w:r>
      <w:r w:rsidRPr="00DA3736">
        <w:t>year OMB approval/clearance.</w:t>
      </w:r>
    </w:p>
    <w:p w:rsidR="005C45B2" w:rsidP="00E243B3" w14:paraId="000907B1" w14:textId="77777777"/>
    <w:p w:rsidR="00C31317" w14:paraId="7578D27C" w14:textId="77777777">
      <w:r>
        <w:t>T</w:t>
      </w:r>
      <w:r>
        <w:t>his information collection does not affect individuals or households; thus, there are no impacts under the Privacy Act.</w:t>
      </w:r>
    </w:p>
    <w:p w:rsidR="00C31317" w14:paraId="372FE04D" w14:textId="77777777">
      <w:pPr>
        <w:tabs>
          <w:tab w:val="left" w:pos="-720"/>
        </w:tabs>
        <w:suppressAutoHyphens/>
        <w:rPr>
          <w:spacing w:val="-3"/>
        </w:rPr>
      </w:pPr>
    </w:p>
    <w:p w:rsidR="00D75600" w:rsidP="00E243B3" w14:paraId="42BCB7D3" w14:textId="77777777">
      <w:r>
        <w:t>Statutory authority for this collection of information is contained in Section 301(j) of the Telecommunications Act of 1996 and 623(a)(7) of the Communications Act of 1934, as amended.</w:t>
      </w:r>
      <w:r w:rsidR="00A162F5">
        <w:t xml:space="preserve"> </w:t>
      </w:r>
      <w:r w:rsidR="00E243B3">
        <w:t xml:space="preserve">   </w:t>
      </w:r>
    </w:p>
    <w:p w:rsidR="00D75600" w:rsidP="00E243B3" w14:paraId="5CE4E8ED" w14:textId="77777777"/>
    <w:p w:rsidR="00B432BB" w:rsidP="00B432BB" w14:paraId="54C8ACAE" w14:textId="77777777">
      <w:r>
        <w:t xml:space="preserve">2.  </w:t>
      </w:r>
      <w:r w:rsidR="00DA3736">
        <w:t xml:space="preserve"> </w:t>
      </w:r>
      <w:r w:rsidRPr="00D75600" w:rsidR="00D75600">
        <w:t xml:space="preserve">Information derived from FCC Form 1205 filings is used to facilitate the review of equipment and installation rates.  This information </w:t>
      </w:r>
      <w:r w:rsidR="00D75600">
        <w:t>i</w:t>
      </w:r>
      <w:r w:rsidRPr="00D75600" w:rsidR="00D75600">
        <w:t xml:space="preserve">s reviewed by </w:t>
      </w:r>
      <w:r w:rsidR="00C31317">
        <w:t xml:space="preserve">LFAs for </w:t>
      </w:r>
      <w:r w:rsidRPr="00D75600" w:rsidR="00D75600">
        <w:t xml:space="preserve">each cable system.  </w:t>
      </w:r>
      <w:r w:rsidR="00080119">
        <w:t xml:space="preserve">Cable operators must keep records, as required by </w:t>
      </w:r>
      <w:r w:rsidRPr="00D75600" w:rsidR="00D75600">
        <w:t>Section 76.923</w:t>
      </w:r>
      <w:r w:rsidR="00080119">
        <w:t xml:space="preserve">, </w:t>
      </w:r>
      <w:r w:rsidRPr="00D75600" w:rsidR="00D75600">
        <w:t>to demonstrate th</w:t>
      </w:r>
      <w:r w:rsidR="00D75600">
        <w:t>at</w:t>
      </w:r>
      <w:r w:rsidRPr="00D75600" w:rsidR="00D75600">
        <w:t xml:space="preserve"> charges for the sale and lease of equipment and for installation have been developed in</w:t>
      </w:r>
      <w:r w:rsidR="00D75600">
        <w:t xml:space="preserve"> </w:t>
      </w:r>
      <w:r w:rsidRPr="00D75600" w:rsidR="00D75600">
        <w:t>accordance with the Commission’s rules</w:t>
      </w:r>
      <w:r w:rsidR="00D75600">
        <w:t>.</w:t>
      </w:r>
      <w:r w:rsidRPr="00D75600" w:rsidR="00D75600">
        <w:t xml:space="preserve"> </w:t>
      </w:r>
      <w:r>
        <w:t xml:space="preserve">   </w:t>
      </w:r>
    </w:p>
    <w:p w:rsidR="00256358" w:rsidP="00B432BB" w14:paraId="31956E39" w14:textId="77777777">
      <w:pPr>
        <w:rPr>
          <w:b/>
        </w:rPr>
      </w:pPr>
    </w:p>
    <w:p w:rsidR="00B432BB" w:rsidP="00B432BB" w14:paraId="4CB24078" w14:textId="77777777">
      <w:pPr>
        <w:rPr>
          <w:b/>
        </w:rPr>
      </w:pPr>
      <w:r w:rsidRPr="00256358">
        <w:t>3.</w:t>
      </w:r>
      <w:r>
        <w:rPr>
          <w:b/>
        </w:rPr>
        <w:t xml:space="preserve">  </w:t>
      </w:r>
      <w:r w:rsidR="00DA3736">
        <w:rPr>
          <w:b/>
        </w:rPr>
        <w:t xml:space="preserve"> </w:t>
      </w:r>
      <w:r w:rsidR="00BA2D3D">
        <w:t xml:space="preserve">Electronic versions of FCC Form 1205 are available to filers on the Commission’s Internet web site.  We believe that virtually all cable operators use this method to </w:t>
      </w:r>
      <w:r w:rsidRPr="00DA3736" w:rsidR="00BA2D3D">
        <w:t xml:space="preserve">obtain </w:t>
      </w:r>
      <w:r w:rsidRPr="00DA3736" w:rsidR="005C45B2">
        <w:t xml:space="preserve">FCC </w:t>
      </w:r>
      <w:r w:rsidRPr="00DA3736" w:rsidR="00BA2D3D">
        <w:t xml:space="preserve">Form 1205.  However, the Commission also allows cable operators to call or write and request paper copies of </w:t>
      </w:r>
      <w:r w:rsidRPr="00DA3736" w:rsidR="005C45B2">
        <w:t xml:space="preserve">FCC </w:t>
      </w:r>
      <w:r w:rsidRPr="00DA3736" w:rsidR="00BA2D3D">
        <w:t>Form 1205.  As to the method of filing, the cable operators file the</w:t>
      </w:r>
      <w:r w:rsidR="00BA2D3D">
        <w:t xml:space="preserve"> form in the manner required by their respective LFA.</w:t>
      </w:r>
    </w:p>
    <w:p w:rsidR="00657F3D" w:rsidP="00657F3D" w14:paraId="6D602B89" w14:textId="77777777">
      <w:pPr>
        <w:rPr>
          <w:b/>
        </w:rPr>
      </w:pPr>
    </w:p>
    <w:p w:rsidR="00B432BB" w:rsidRPr="00657F3D" w:rsidP="00657F3D" w14:paraId="1D730ED9" w14:textId="77777777">
      <w:r>
        <w:t xml:space="preserve">4.  </w:t>
      </w:r>
      <w:r w:rsidR="00657F3D">
        <w:t>The Commission does not impose similar information collection requirements on cable system operators.</w:t>
      </w:r>
    </w:p>
    <w:p w:rsidR="00657F3D" w:rsidP="00657F3D" w14:paraId="620D59D8" w14:textId="77777777">
      <w:pPr>
        <w:rPr>
          <w:b/>
        </w:rPr>
      </w:pPr>
    </w:p>
    <w:p w:rsidR="00657F3D" w:rsidP="00E243B3" w14:paraId="353CAA75" w14:textId="77777777">
      <w:r>
        <w:t xml:space="preserve">5.  </w:t>
      </w:r>
      <w:r w:rsidR="00DA3736">
        <w:t xml:space="preserve"> </w:t>
      </w:r>
      <w:r>
        <w:t>This collection does not have a significant impact on small businesses or other entities.</w:t>
      </w:r>
    </w:p>
    <w:p w:rsidR="00657F3D" w:rsidP="00E243B3" w14:paraId="73640F0F" w14:textId="77777777"/>
    <w:p w:rsidR="00657F3D" w:rsidRPr="00657F3D" w:rsidP="00E243B3" w14:paraId="60A2BA5E" w14:textId="77777777">
      <w:r>
        <w:t xml:space="preserve">6.  </w:t>
      </w:r>
      <w:r w:rsidR="00DA3736">
        <w:t xml:space="preserve"> </w:t>
      </w:r>
      <w:r w:rsidR="00433DEB">
        <w:t>If the</w:t>
      </w:r>
      <w:r>
        <w:t xml:space="preserve"> Commission were not permitted to implement the FCC Form 1205 filing requirement or the Section 76.923(m) recordkeeping requirement, </w:t>
      </w:r>
      <w:r w:rsidR="00911B2F">
        <w:t>the Commission would not be in compliance with the Cable Consumer Protection and Competition Act of 1992 or the Telecommunications Act of 1996.</w:t>
      </w:r>
    </w:p>
    <w:p w:rsidR="00657F3D" w:rsidRPr="00657F3D" w:rsidP="00E243B3" w14:paraId="5DD4952B" w14:textId="77777777">
      <w:pPr>
        <w:rPr>
          <w:b/>
        </w:rPr>
      </w:pPr>
    </w:p>
    <w:p w:rsidR="00BE5445" w:rsidRPr="00BE5445" w:rsidP="00BE5445" w14:paraId="3F6B777A" w14:textId="77777777">
      <w:r>
        <w:t xml:space="preserve">7.  </w:t>
      </w:r>
      <w:r w:rsidR="00DA3736">
        <w:t xml:space="preserve"> </w:t>
      </w:r>
      <w:r>
        <w:t>There are no special circumstances associated with this collection.</w:t>
      </w:r>
    </w:p>
    <w:p w:rsidR="00BE5445" w:rsidRPr="00720A36" w:rsidP="00BE5445" w14:paraId="18D34988" w14:textId="77777777">
      <w:pPr>
        <w:rPr>
          <w:b/>
          <w:szCs w:val="24"/>
        </w:rPr>
      </w:pPr>
    </w:p>
    <w:p w:rsidR="00C31317" w:rsidRPr="00720A36" w14:paraId="7CB8A172" w14:textId="3419D099">
      <w:pPr>
        <w:suppressAutoHyphens/>
        <w:rPr>
          <w:szCs w:val="24"/>
        </w:rPr>
      </w:pPr>
      <w:r w:rsidRPr="00720A36">
        <w:rPr>
          <w:szCs w:val="24"/>
        </w:rPr>
        <w:t xml:space="preserve">8.  </w:t>
      </w:r>
      <w:r w:rsidRPr="00720A36" w:rsidR="00DA3736">
        <w:rPr>
          <w:szCs w:val="24"/>
        </w:rPr>
        <w:t xml:space="preserve"> </w:t>
      </w:r>
      <w:r w:rsidRPr="00720A36" w:rsidR="00720A36">
        <w:rPr>
          <w:spacing w:val="-3"/>
          <w:szCs w:val="24"/>
        </w:rPr>
        <w:t xml:space="preserve">The </w:t>
      </w:r>
      <w:r w:rsidR="00C64C18">
        <w:rPr>
          <w:spacing w:val="-3"/>
          <w:szCs w:val="24"/>
        </w:rPr>
        <w:t>Commission published a Notice (8</w:t>
      </w:r>
      <w:r w:rsidR="00AB0F89">
        <w:rPr>
          <w:spacing w:val="-3"/>
          <w:szCs w:val="24"/>
        </w:rPr>
        <w:t>8</w:t>
      </w:r>
      <w:r w:rsidRPr="00720A36" w:rsidR="00720A36">
        <w:rPr>
          <w:spacing w:val="-3"/>
          <w:szCs w:val="24"/>
        </w:rPr>
        <w:t xml:space="preserve"> FR</w:t>
      </w:r>
      <w:r w:rsidR="00AB0F89">
        <w:rPr>
          <w:spacing w:val="-3"/>
          <w:szCs w:val="24"/>
        </w:rPr>
        <w:t xml:space="preserve"> 17574</w:t>
      </w:r>
      <w:r w:rsidRPr="00720A36" w:rsidR="00720A36">
        <w:rPr>
          <w:spacing w:val="-3"/>
          <w:szCs w:val="24"/>
        </w:rPr>
        <w:t xml:space="preserve">) in the </w:t>
      </w:r>
      <w:r w:rsidRPr="00720A36" w:rsidR="00720A36">
        <w:rPr>
          <w:i/>
          <w:spacing w:val="-3"/>
          <w:szCs w:val="24"/>
        </w:rPr>
        <w:t>Federal Register</w:t>
      </w:r>
      <w:r w:rsidRPr="00720A36" w:rsidR="00720A36">
        <w:rPr>
          <w:spacing w:val="-3"/>
          <w:szCs w:val="24"/>
        </w:rPr>
        <w:t xml:space="preserve"> on</w:t>
      </w:r>
      <w:r w:rsidR="00AB0F89">
        <w:rPr>
          <w:spacing w:val="-3"/>
          <w:szCs w:val="24"/>
        </w:rPr>
        <w:t xml:space="preserve"> March 23</w:t>
      </w:r>
      <w:r w:rsidR="00C64C18">
        <w:rPr>
          <w:spacing w:val="-3"/>
          <w:szCs w:val="24"/>
        </w:rPr>
        <w:t>, 20</w:t>
      </w:r>
      <w:r w:rsidR="002B2871">
        <w:rPr>
          <w:spacing w:val="-3"/>
          <w:szCs w:val="24"/>
        </w:rPr>
        <w:t>2</w:t>
      </w:r>
      <w:r w:rsidR="007471F1">
        <w:rPr>
          <w:spacing w:val="-3"/>
          <w:szCs w:val="24"/>
        </w:rPr>
        <w:t>3</w:t>
      </w:r>
      <w:r w:rsidR="001B563B">
        <w:rPr>
          <w:spacing w:val="-3"/>
          <w:szCs w:val="24"/>
        </w:rPr>
        <w:t xml:space="preserve"> </w:t>
      </w:r>
      <w:r w:rsidR="009C449D">
        <w:rPr>
          <w:spacing w:val="-3"/>
          <w:szCs w:val="24"/>
        </w:rPr>
        <w:t>seeking comments from the public on the information collection requirements contained in this supporting statement</w:t>
      </w:r>
      <w:r w:rsidRPr="00720A36" w:rsidR="00720A36">
        <w:rPr>
          <w:spacing w:val="-3"/>
          <w:szCs w:val="24"/>
        </w:rPr>
        <w:t xml:space="preserve">.  No comments were </w:t>
      </w:r>
      <w:r w:rsidR="009C449D">
        <w:rPr>
          <w:spacing w:val="-3"/>
          <w:szCs w:val="24"/>
        </w:rPr>
        <w:t>received from the public.</w:t>
      </w:r>
      <w:r w:rsidRPr="00720A36" w:rsidR="00720A36">
        <w:rPr>
          <w:spacing w:val="-3"/>
          <w:szCs w:val="24"/>
        </w:rPr>
        <w:t xml:space="preserve">  </w:t>
      </w:r>
    </w:p>
    <w:p w:rsidR="00BE5445" w:rsidRPr="00720A36" w:rsidP="00BE5445" w14:paraId="521697B6" w14:textId="77777777">
      <w:pPr>
        <w:rPr>
          <w:b/>
          <w:szCs w:val="24"/>
        </w:rPr>
      </w:pPr>
    </w:p>
    <w:p w:rsidR="00BE5445" w:rsidRPr="007802A3" w:rsidP="00BE5445" w14:paraId="47C7005A" w14:textId="77777777">
      <w:r>
        <w:t xml:space="preserve">9.  </w:t>
      </w:r>
      <w:r w:rsidR="00DA3736">
        <w:t xml:space="preserve"> </w:t>
      </w:r>
      <w:r w:rsidR="007802A3">
        <w:t>There are no payments or gifts given to respondents.</w:t>
      </w:r>
    </w:p>
    <w:p w:rsidR="00BE5445" w:rsidRPr="007802A3" w:rsidP="00BE5445" w14:paraId="3865515D" w14:textId="77777777">
      <w:pPr>
        <w:rPr>
          <w:b/>
        </w:rPr>
      </w:pPr>
    </w:p>
    <w:p w:rsidR="00BE5445" w:rsidRPr="00CD328F" w:rsidP="00BE5445" w14:paraId="21EF405E" w14:textId="77777777">
      <w:r>
        <w:t xml:space="preserve">10.  </w:t>
      </w:r>
      <w:r w:rsidR="00CD328F">
        <w:t>There is no need for confidentiality</w:t>
      </w:r>
      <w:r w:rsidR="004A79BD">
        <w:t xml:space="preserve"> with this collection of information</w:t>
      </w:r>
      <w:r w:rsidR="00CD328F">
        <w:t>.</w:t>
      </w:r>
    </w:p>
    <w:p w:rsidR="00BE5445" w:rsidRPr="007802A3" w:rsidP="00BE5445" w14:paraId="728518FB" w14:textId="77777777">
      <w:pPr>
        <w:rPr>
          <w:b/>
        </w:rPr>
      </w:pPr>
    </w:p>
    <w:p w:rsidR="00BE5445" w:rsidRPr="00DA3736" w:rsidP="00BE5445" w14:paraId="771C5648" w14:textId="77777777">
      <w:r>
        <w:t xml:space="preserve">11. </w:t>
      </w:r>
      <w:r w:rsidR="00DA3736">
        <w:t xml:space="preserve"> </w:t>
      </w:r>
      <w:r w:rsidR="00CD328F">
        <w:t xml:space="preserve">This </w:t>
      </w:r>
      <w:r w:rsidRPr="00DA3736" w:rsidR="005C45B2">
        <w:t xml:space="preserve">information </w:t>
      </w:r>
      <w:r w:rsidRPr="00DA3736" w:rsidR="00CD328F">
        <w:t xml:space="preserve">collection does not address any private matters of a sensitive </w:t>
      </w:r>
      <w:r w:rsidRPr="00DA3736" w:rsidR="006C36C4">
        <w:t>nature</w:t>
      </w:r>
      <w:r w:rsidRPr="00DA3736" w:rsidR="00CD328F">
        <w:t>.</w:t>
      </w:r>
    </w:p>
    <w:p w:rsidR="00BE5445" w:rsidRPr="00DA3736" w:rsidP="00BE5445" w14:paraId="1527072A" w14:textId="77777777">
      <w:pPr>
        <w:rPr>
          <w:b/>
        </w:rPr>
      </w:pPr>
    </w:p>
    <w:p w:rsidR="0079179F" w:rsidRPr="00DA3736" w:rsidP="0079179F" w14:paraId="154A853E" w14:textId="77777777">
      <w:pPr>
        <w:suppressAutoHyphens/>
        <w:rPr>
          <w:szCs w:val="24"/>
        </w:rPr>
      </w:pPr>
      <w:r w:rsidRPr="00DA3736">
        <w:t xml:space="preserve">12.  </w:t>
      </w:r>
      <w:r w:rsidR="00DA3736">
        <w:t xml:space="preserve"> </w:t>
      </w:r>
      <w:r w:rsidRPr="00DA3736">
        <w:rPr>
          <w:szCs w:val="24"/>
        </w:rPr>
        <w:t>We report the following public burden:</w:t>
      </w:r>
    </w:p>
    <w:p w:rsidR="0079179F" w:rsidRPr="00DA3736" w:rsidP="0079179F" w14:paraId="66E64ABA" w14:textId="77777777">
      <w:pPr>
        <w:suppressAutoHyphens/>
        <w:rPr>
          <w:sz w:val="22"/>
          <w:szCs w:val="22"/>
        </w:rPr>
      </w:pPr>
    </w:p>
    <w:p w:rsidR="0079179F" w:rsidRPr="00DA3736" w:rsidP="00BE5445" w14:paraId="2BCDAC0C" w14:textId="77777777"/>
    <w:tbl>
      <w:tblPr>
        <w:tblW w:w="9827" w:type="dxa"/>
        <w:tblInd w:w="91" w:type="dxa"/>
        <w:tblLayout w:type="fixed"/>
        <w:tblLook w:val="0000"/>
      </w:tblPr>
      <w:tblGrid>
        <w:gridCol w:w="1637"/>
        <w:gridCol w:w="1440"/>
        <w:gridCol w:w="1530"/>
        <w:gridCol w:w="1710"/>
        <w:gridCol w:w="1080"/>
        <w:gridCol w:w="900"/>
        <w:gridCol w:w="1530"/>
      </w:tblGrid>
      <w:tr w14:paraId="6DB6D126" w14:textId="77777777">
        <w:tblPrEx>
          <w:tblW w:w="9827" w:type="dxa"/>
          <w:tblInd w:w="91" w:type="dxa"/>
          <w:tblLayout w:type="fixed"/>
          <w:tblLook w:val="0000"/>
        </w:tblPrEx>
        <w:trPr>
          <w:trHeight w:val="1020"/>
        </w:trPr>
        <w:tc>
          <w:tcPr>
            <w:tcW w:w="1637" w:type="dxa"/>
            <w:tcBorders>
              <w:top w:val="nil"/>
              <w:left w:val="nil"/>
              <w:bottom w:val="nil"/>
              <w:right w:val="nil"/>
            </w:tcBorders>
            <w:shd w:val="clear" w:color="auto" w:fill="auto"/>
          </w:tcPr>
          <w:p w:rsidR="005C45B2" w:rsidRPr="00DA3736" w:rsidP="0079179F" w14:paraId="0C4E001C" w14:textId="77777777">
            <w:pPr>
              <w:rPr>
                <w:rFonts w:ascii="Arial" w:hAnsi="Arial" w:cs="Arial"/>
                <w:b/>
                <w:sz w:val="18"/>
                <w:szCs w:val="18"/>
              </w:rPr>
            </w:pPr>
          </w:p>
          <w:p w:rsidR="005C45B2" w:rsidRPr="00DA3736" w:rsidP="0079179F" w14:paraId="2766EB0B" w14:textId="77777777">
            <w:pPr>
              <w:rPr>
                <w:rFonts w:ascii="Arial" w:hAnsi="Arial" w:cs="Arial"/>
                <w:b/>
                <w:sz w:val="22"/>
                <w:szCs w:val="22"/>
              </w:rPr>
            </w:pPr>
          </w:p>
          <w:p w:rsidR="003810B7" w:rsidRPr="00DA3736" w:rsidP="0079179F" w14:paraId="3253D9AB" w14:textId="77777777">
            <w:pPr>
              <w:rPr>
                <w:rFonts w:ascii="Arial" w:hAnsi="Arial" w:cs="Arial"/>
                <w:b/>
                <w:sz w:val="22"/>
                <w:szCs w:val="22"/>
              </w:rPr>
            </w:pPr>
          </w:p>
          <w:p w:rsidR="003810B7" w:rsidRPr="00DA3736" w:rsidP="0079179F" w14:paraId="55D23256" w14:textId="77777777">
            <w:pPr>
              <w:rPr>
                <w:rFonts w:ascii="Arial" w:hAnsi="Arial" w:cs="Arial"/>
                <w:b/>
                <w:sz w:val="22"/>
                <w:szCs w:val="22"/>
              </w:rPr>
            </w:pPr>
          </w:p>
          <w:p w:rsidR="0079179F" w:rsidRPr="00DA3736" w:rsidP="0079179F" w14:paraId="7BE1F670" w14:textId="77777777">
            <w:pPr>
              <w:rPr>
                <w:rFonts w:ascii="Arial" w:hAnsi="Arial" w:cs="Arial"/>
                <w:b/>
                <w:sz w:val="22"/>
                <w:szCs w:val="22"/>
              </w:rPr>
            </w:pPr>
            <w:r w:rsidRPr="00DA3736">
              <w:rPr>
                <w:rFonts w:ascii="Arial" w:hAnsi="Arial" w:cs="Arial"/>
                <w:b/>
                <w:sz w:val="22"/>
                <w:szCs w:val="22"/>
              </w:rPr>
              <w:t>N</w:t>
            </w:r>
            <w:r w:rsidRPr="00DA3736" w:rsidR="005C45B2">
              <w:rPr>
                <w:rFonts w:ascii="Arial" w:hAnsi="Arial" w:cs="Arial"/>
                <w:b/>
                <w:sz w:val="22"/>
                <w:szCs w:val="22"/>
              </w:rPr>
              <w:t>umber</w:t>
            </w:r>
            <w:r w:rsidRPr="00DA3736">
              <w:rPr>
                <w:rFonts w:ascii="Arial" w:hAnsi="Arial" w:cs="Arial"/>
                <w:b/>
                <w:sz w:val="22"/>
                <w:szCs w:val="22"/>
              </w:rPr>
              <w:t xml:space="preserve"> of </w:t>
            </w:r>
            <w:r w:rsidRPr="00DA3736">
              <w:rPr>
                <w:rFonts w:ascii="Arial" w:hAnsi="Arial" w:cs="Arial"/>
                <w:b/>
                <w:sz w:val="22"/>
                <w:szCs w:val="22"/>
                <w:u w:val="single"/>
              </w:rPr>
              <w:t>Respondents</w:t>
            </w:r>
            <w:r w:rsidRPr="00DA3736" w:rsidR="003A3431">
              <w:rPr>
                <w:rFonts w:ascii="Arial" w:hAnsi="Arial" w:cs="Arial"/>
                <w:b/>
                <w:sz w:val="22"/>
                <w:szCs w:val="22"/>
              </w:rPr>
              <w:t xml:space="preserve"> </w:t>
            </w:r>
          </w:p>
        </w:tc>
        <w:tc>
          <w:tcPr>
            <w:tcW w:w="1440" w:type="dxa"/>
            <w:tcBorders>
              <w:top w:val="nil"/>
              <w:left w:val="nil"/>
              <w:bottom w:val="nil"/>
              <w:right w:val="nil"/>
            </w:tcBorders>
            <w:shd w:val="clear" w:color="auto" w:fill="auto"/>
          </w:tcPr>
          <w:p w:rsidR="005C45B2" w:rsidRPr="00DA3736" w:rsidP="0079179F" w14:paraId="26B827CA" w14:textId="77777777">
            <w:pPr>
              <w:rPr>
                <w:rFonts w:ascii="Arial" w:hAnsi="Arial" w:cs="Arial"/>
                <w:b/>
                <w:sz w:val="22"/>
                <w:szCs w:val="22"/>
              </w:rPr>
            </w:pPr>
          </w:p>
          <w:p w:rsidR="003810B7" w:rsidRPr="00DA3736" w:rsidP="0079179F" w14:paraId="01DB4907" w14:textId="77777777">
            <w:pPr>
              <w:rPr>
                <w:rFonts w:ascii="Arial" w:hAnsi="Arial" w:cs="Arial"/>
                <w:b/>
                <w:sz w:val="22"/>
                <w:szCs w:val="22"/>
              </w:rPr>
            </w:pPr>
          </w:p>
          <w:p w:rsidR="003810B7" w:rsidRPr="00DA3736" w:rsidP="0079179F" w14:paraId="548D4072" w14:textId="77777777">
            <w:pPr>
              <w:rPr>
                <w:rFonts w:ascii="Arial" w:hAnsi="Arial" w:cs="Arial"/>
                <w:b/>
                <w:sz w:val="22"/>
                <w:szCs w:val="22"/>
              </w:rPr>
            </w:pPr>
          </w:p>
          <w:p w:rsidR="005C45B2" w:rsidRPr="00DA3736" w:rsidP="0079179F" w14:paraId="49EE4A61" w14:textId="77777777">
            <w:pPr>
              <w:rPr>
                <w:rFonts w:ascii="Arial" w:hAnsi="Arial" w:cs="Arial"/>
                <w:b/>
                <w:sz w:val="22"/>
                <w:szCs w:val="22"/>
              </w:rPr>
            </w:pPr>
            <w:r w:rsidRPr="00DA3736">
              <w:rPr>
                <w:rFonts w:ascii="Arial" w:hAnsi="Arial" w:cs="Arial"/>
                <w:b/>
                <w:sz w:val="22"/>
                <w:szCs w:val="22"/>
              </w:rPr>
              <w:t>N</w:t>
            </w:r>
            <w:r w:rsidRPr="00DA3736">
              <w:rPr>
                <w:rFonts w:ascii="Arial" w:hAnsi="Arial" w:cs="Arial"/>
                <w:b/>
                <w:sz w:val="22"/>
                <w:szCs w:val="22"/>
              </w:rPr>
              <w:t>umber</w:t>
            </w:r>
            <w:r w:rsidRPr="00DA3736">
              <w:rPr>
                <w:rFonts w:ascii="Arial" w:hAnsi="Arial" w:cs="Arial"/>
                <w:b/>
                <w:sz w:val="22"/>
                <w:szCs w:val="22"/>
              </w:rPr>
              <w:t xml:space="preserve"> of Filings</w:t>
            </w:r>
            <w:r w:rsidRPr="00DA3736">
              <w:rPr>
                <w:rFonts w:ascii="Arial" w:hAnsi="Arial" w:cs="Arial"/>
                <w:b/>
                <w:sz w:val="22"/>
                <w:szCs w:val="22"/>
              </w:rPr>
              <w:t>/</w:t>
            </w:r>
          </w:p>
          <w:p w:rsidR="0079179F" w:rsidRPr="00DA3736" w:rsidP="0079179F" w14:paraId="55A84A79" w14:textId="77777777">
            <w:pPr>
              <w:rPr>
                <w:rFonts w:ascii="Arial" w:hAnsi="Arial" w:cs="Arial"/>
                <w:b/>
                <w:sz w:val="18"/>
                <w:szCs w:val="18"/>
              </w:rPr>
            </w:pPr>
            <w:r w:rsidRPr="00DA3736">
              <w:rPr>
                <w:rFonts w:ascii="Arial" w:hAnsi="Arial" w:cs="Arial"/>
                <w:b/>
                <w:sz w:val="22"/>
                <w:szCs w:val="22"/>
                <w:u w:val="single"/>
              </w:rPr>
              <w:t>Responses</w:t>
            </w:r>
          </w:p>
        </w:tc>
        <w:tc>
          <w:tcPr>
            <w:tcW w:w="1530" w:type="dxa"/>
            <w:tcBorders>
              <w:top w:val="nil"/>
              <w:left w:val="nil"/>
              <w:bottom w:val="nil"/>
              <w:right w:val="nil"/>
            </w:tcBorders>
            <w:shd w:val="clear" w:color="auto" w:fill="auto"/>
          </w:tcPr>
          <w:p w:rsidR="003810B7" w:rsidRPr="00DA3736" w:rsidP="003810B7" w14:paraId="343DD8A1" w14:textId="77777777">
            <w:pPr>
              <w:jc w:val="center"/>
              <w:rPr>
                <w:rFonts w:ascii="Arial" w:hAnsi="Arial" w:cs="Arial"/>
                <w:b/>
                <w:sz w:val="18"/>
                <w:szCs w:val="18"/>
              </w:rPr>
            </w:pPr>
          </w:p>
          <w:p w:rsidR="0079179F" w:rsidRPr="00DA3736" w:rsidP="003810B7" w14:paraId="43AC55B4" w14:textId="77777777">
            <w:pPr>
              <w:jc w:val="center"/>
              <w:rPr>
                <w:rFonts w:ascii="Arial" w:hAnsi="Arial" w:cs="Arial"/>
                <w:b/>
                <w:sz w:val="22"/>
                <w:szCs w:val="22"/>
              </w:rPr>
            </w:pPr>
            <w:r w:rsidRPr="00DA3736">
              <w:rPr>
                <w:rFonts w:ascii="Arial" w:hAnsi="Arial" w:cs="Arial"/>
                <w:b/>
                <w:sz w:val="22"/>
                <w:szCs w:val="22"/>
              </w:rPr>
              <w:t>Total Number</w:t>
            </w:r>
            <w:r w:rsidRPr="00DA3736">
              <w:rPr>
                <w:rFonts w:ascii="Arial" w:hAnsi="Arial" w:cs="Arial"/>
                <w:b/>
                <w:sz w:val="22"/>
                <w:szCs w:val="22"/>
              </w:rPr>
              <w:t xml:space="preserve"> of Responses/ Record</w:t>
            </w:r>
            <w:r w:rsidRPr="00DA3736">
              <w:rPr>
                <w:rFonts w:ascii="Arial" w:hAnsi="Arial" w:cs="Arial"/>
                <w:b/>
                <w:sz w:val="22"/>
                <w:szCs w:val="22"/>
              </w:rPr>
              <w:t>s</w:t>
            </w:r>
            <w:r w:rsidRPr="00DA3736">
              <w:rPr>
                <w:rFonts w:ascii="Arial" w:hAnsi="Arial" w:cs="Arial"/>
                <w:b/>
                <w:sz w:val="22"/>
                <w:szCs w:val="22"/>
                <w:u w:val="single"/>
              </w:rPr>
              <w:t xml:space="preserve"> K</w:t>
            </w:r>
            <w:r w:rsidRPr="00DA3736">
              <w:rPr>
                <w:rFonts w:ascii="Arial" w:hAnsi="Arial" w:cs="Arial"/>
                <w:b/>
                <w:sz w:val="22"/>
                <w:szCs w:val="22"/>
                <w:u w:val="single"/>
              </w:rPr>
              <w:t>ep</w:t>
            </w:r>
            <w:r w:rsidRPr="00DA3736">
              <w:rPr>
                <w:rFonts w:ascii="Arial" w:hAnsi="Arial" w:cs="Arial"/>
                <w:b/>
                <w:sz w:val="22"/>
                <w:szCs w:val="22"/>
                <w:u w:val="single"/>
              </w:rPr>
              <w:t>t</w:t>
            </w:r>
          </w:p>
        </w:tc>
        <w:tc>
          <w:tcPr>
            <w:tcW w:w="1710" w:type="dxa"/>
            <w:tcBorders>
              <w:top w:val="nil"/>
              <w:left w:val="nil"/>
              <w:bottom w:val="nil"/>
              <w:right w:val="nil"/>
            </w:tcBorders>
            <w:shd w:val="clear" w:color="auto" w:fill="auto"/>
          </w:tcPr>
          <w:p w:rsidR="003810B7" w:rsidRPr="00DA3736" w:rsidP="0079179F" w14:paraId="4560C397" w14:textId="77777777">
            <w:pPr>
              <w:rPr>
                <w:rFonts w:ascii="Arial" w:hAnsi="Arial" w:cs="Arial"/>
                <w:b/>
                <w:sz w:val="22"/>
                <w:szCs w:val="22"/>
              </w:rPr>
            </w:pPr>
          </w:p>
          <w:p w:rsidR="003810B7" w:rsidRPr="00DA3736" w:rsidP="0079179F" w14:paraId="2C3C5298" w14:textId="77777777">
            <w:pPr>
              <w:rPr>
                <w:rFonts w:ascii="Arial" w:hAnsi="Arial" w:cs="Arial"/>
                <w:b/>
                <w:sz w:val="22"/>
                <w:szCs w:val="22"/>
              </w:rPr>
            </w:pPr>
          </w:p>
          <w:p w:rsidR="003810B7" w:rsidRPr="00DA3736" w:rsidP="0079179F" w14:paraId="213969C9" w14:textId="77777777">
            <w:pPr>
              <w:rPr>
                <w:rFonts w:ascii="Arial" w:hAnsi="Arial" w:cs="Arial"/>
                <w:b/>
                <w:sz w:val="22"/>
                <w:szCs w:val="22"/>
              </w:rPr>
            </w:pPr>
          </w:p>
          <w:p w:rsidR="003810B7" w:rsidRPr="00DA3736" w:rsidP="0079179F" w14:paraId="329C1252" w14:textId="77777777">
            <w:pPr>
              <w:rPr>
                <w:rFonts w:ascii="Arial" w:hAnsi="Arial" w:cs="Arial"/>
                <w:b/>
                <w:sz w:val="22"/>
                <w:szCs w:val="22"/>
              </w:rPr>
            </w:pPr>
          </w:p>
          <w:p w:rsidR="0079179F" w:rsidRPr="00DA3736" w:rsidP="0079179F" w14:paraId="2877A683" w14:textId="77777777">
            <w:pPr>
              <w:rPr>
                <w:rFonts w:ascii="Arial" w:hAnsi="Arial" w:cs="Arial"/>
                <w:b/>
                <w:sz w:val="22"/>
                <w:szCs w:val="22"/>
              </w:rPr>
            </w:pPr>
            <w:r w:rsidRPr="00DA3736">
              <w:rPr>
                <w:rFonts w:ascii="Arial" w:hAnsi="Arial" w:cs="Arial"/>
                <w:b/>
                <w:sz w:val="22"/>
                <w:szCs w:val="22"/>
              </w:rPr>
              <w:t xml:space="preserve">Respondent's </w:t>
            </w:r>
            <w:r w:rsidRPr="00DA3736">
              <w:rPr>
                <w:rFonts w:ascii="Arial" w:hAnsi="Arial" w:cs="Arial"/>
                <w:b/>
                <w:sz w:val="22"/>
                <w:szCs w:val="22"/>
                <w:u w:val="single"/>
              </w:rPr>
              <w:t>Burden Hours</w:t>
            </w:r>
          </w:p>
        </w:tc>
        <w:tc>
          <w:tcPr>
            <w:tcW w:w="1080" w:type="dxa"/>
            <w:tcBorders>
              <w:top w:val="nil"/>
              <w:left w:val="nil"/>
              <w:bottom w:val="nil"/>
              <w:right w:val="nil"/>
            </w:tcBorders>
            <w:shd w:val="clear" w:color="auto" w:fill="auto"/>
          </w:tcPr>
          <w:p w:rsidR="003810B7" w:rsidRPr="00DA3736" w:rsidP="0079179F" w14:paraId="113BB773" w14:textId="77777777">
            <w:pPr>
              <w:rPr>
                <w:rFonts w:ascii="Arial" w:hAnsi="Arial" w:cs="Arial"/>
                <w:b/>
                <w:sz w:val="22"/>
                <w:szCs w:val="22"/>
              </w:rPr>
            </w:pPr>
          </w:p>
          <w:p w:rsidR="003810B7" w:rsidRPr="00DA3736" w:rsidP="0079179F" w14:paraId="3AF971AC" w14:textId="77777777">
            <w:pPr>
              <w:rPr>
                <w:rFonts w:ascii="Arial" w:hAnsi="Arial" w:cs="Arial"/>
                <w:b/>
                <w:sz w:val="22"/>
                <w:szCs w:val="22"/>
              </w:rPr>
            </w:pPr>
          </w:p>
          <w:p w:rsidR="0079179F" w:rsidRPr="00DA3736" w:rsidP="0079179F" w14:paraId="0E8AA47C" w14:textId="77777777">
            <w:pPr>
              <w:rPr>
                <w:rFonts w:ascii="Arial" w:hAnsi="Arial" w:cs="Arial"/>
                <w:b/>
                <w:sz w:val="22"/>
                <w:szCs w:val="22"/>
              </w:rPr>
            </w:pPr>
            <w:r w:rsidRPr="00DA3736">
              <w:rPr>
                <w:rFonts w:ascii="Arial" w:hAnsi="Arial" w:cs="Arial"/>
                <w:b/>
                <w:sz w:val="22"/>
                <w:szCs w:val="22"/>
              </w:rPr>
              <w:t xml:space="preserve">Total </w:t>
            </w:r>
            <w:r w:rsidRPr="00DA3736">
              <w:rPr>
                <w:rFonts w:ascii="Arial" w:hAnsi="Arial" w:cs="Arial"/>
                <w:b/>
                <w:sz w:val="22"/>
                <w:szCs w:val="22"/>
              </w:rPr>
              <w:t xml:space="preserve">Annual Burden </w:t>
            </w:r>
            <w:r w:rsidRPr="00DA3736">
              <w:rPr>
                <w:rFonts w:ascii="Arial" w:hAnsi="Arial" w:cs="Arial"/>
                <w:b/>
                <w:sz w:val="22"/>
                <w:szCs w:val="22"/>
                <w:u w:val="single"/>
              </w:rPr>
              <w:t>Hours</w:t>
            </w:r>
          </w:p>
        </w:tc>
        <w:tc>
          <w:tcPr>
            <w:tcW w:w="900" w:type="dxa"/>
            <w:tcBorders>
              <w:top w:val="nil"/>
              <w:left w:val="nil"/>
              <w:bottom w:val="nil"/>
              <w:right w:val="nil"/>
            </w:tcBorders>
            <w:shd w:val="clear" w:color="auto" w:fill="auto"/>
          </w:tcPr>
          <w:p w:rsidR="003810B7" w:rsidRPr="00DA3736" w:rsidP="0079179F" w14:paraId="77D4EA15" w14:textId="77777777">
            <w:pPr>
              <w:rPr>
                <w:rFonts w:ascii="Arial" w:hAnsi="Arial" w:cs="Arial"/>
                <w:b/>
                <w:sz w:val="18"/>
                <w:szCs w:val="18"/>
              </w:rPr>
            </w:pPr>
          </w:p>
          <w:p w:rsidR="003810B7" w:rsidRPr="00DA3736" w:rsidP="0079179F" w14:paraId="3E251AF2" w14:textId="77777777">
            <w:pPr>
              <w:rPr>
                <w:rFonts w:ascii="Arial" w:hAnsi="Arial" w:cs="Arial"/>
                <w:b/>
                <w:sz w:val="18"/>
                <w:szCs w:val="18"/>
              </w:rPr>
            </w:pPr>
          </w:p>
          <w:p w:rsidR="003810B7" w:rsidRPr="00DA3736" w:rsidP="0079179F" w14:paraId="30877E5F" w14:textId="77777777">
            <w:pPr>
              <w:rPr>
                <w:rFonts w:ascii="Arial" w:hAnsi="Arial" w:cs="Arial"/>
                <w:b/>
                <w:sz w:val="18"/>
                <w:szCs w:val="18"/>
              </w:rPr>
            </w:pPr>
          </w:p>
          <w:p w:rsidR="005C45B2" w:rsidRPr="00DA3736" w:rsidP="0079179F" w14:paraId="5907CECA" w14:textId="77777777">
            <w:pPr>
              <w:rPr>
                <w:rFonts w:ascii="Arial" w:hAnsi="Arial" w:cs="Arial"/>
                <w:b/>
                <w:sz w:val="22"/>
                <w:szCs w:val="22"/>
              </w:rPr>
            </w:pPr>
            <w:r w:rsidRPr="00DA3736">
              <w:rPr>
                <w:rFonts w:ascii="Arial" w:hAnsi="Arial" w:cs="Arial"/>
                <w:b/>
                <w:sz w:val="22"/>
                <w:szCs w:val="22"/>
              </w:rPr>
              <w:t>Hrly</w:t>
            </w:r>
            <w:r w:rsidRPr="00DA3736">
              <w:rPr>
                <w:rFonts w:ascii="Arial" w:hAnsi="Arial" w:cs="Arial"/>
                <w:b/>
                <w:sz w:val="22"/>
                <w:szCs w:val="22"/>
              </w:rPr>
              <w:t>. In-</w:t>
            </w:r>
          </w:p>
          <w:p w:rsidR="0079179F" w:rsidRPr="00DA3736" w:rsidP="0079179F" w14:paraId="1B94F1C7" w14:textId="77777777">
            <w:pPr>
              <w:rPr>
                <w:rFonts w:ascii="Arial" w:hAnsi="Arial" w:cs="Arial"/>
                <w:b/>
                <w:sz w:val="18"/>
                <w:szCs w:val="18"/>
              </w:rPr>
            </w:pPr>
            <w:r w:rsidRPr="00DA3736">
              <w:rPr>
                <w:rFonts w:ascii="Arial" w:hAnsi="Arial" w:cs="Arial"/>
                <w:b/>
                <w:sz w:val="22"/>
                <w:szCs w:val="22"/>
              </w:rPr>
              <w:t>House</w:t>
            </w:r>
            <w:r w:rsidRPr="00DA3736">
              <w:rPr>
                <w:rFonts w:ascii="Arial" w:hAnsi="Arial" w:cs="Arial"/>
                <w:b/>
                <w:sz w:val="22"/>
                <w:szCs w:val="22"/>
              </w:rPr>
              <w:t xml:space="preserve"> </w:t>
            </w:r>
            <w:r w:rsidRPr="00DA3736">
              <w:rPr>
                <w:rFonts w:ascii="Arial" w:hAnsi="Arial" w:cs="Arial"/>
                <w:b/>
                <w:sz w:val="22"/>
                <w:szCs w:val="22"/>
                <w:u w:val="single"/>
              </w:rPr>
              <w:t>Cost</w:t>
            </w:r>
          </w:p>
        </w:tc>
        <w:tc>
          <w:tcPr>
            <w:tcW w:w="1530" w:type="dxa"/>
            <w:tcBorders>
              <w:top w:val="nil"/>
              <w:left w:val="nil"/>
              <w:bottom w:val="nil"/>
              <w:right w:val="nil"/>
            </w:tcBorders>
            <w:shd w:val="clear" w:color="auto" w:fill="auto"/>
          </w:tcPr>
          <w:p w:rsidR="003810B7" w:rsidRPr="00DA3736" w:rsidP="0079179F" w14:paraId="3C0C2354" w14:textId="77777777">
            <w:pPr>
              <w:rPr>
                <w:rFonts w:ascii="Arial" w:hAnsi="Arial" w:cs="Arial"/>
                <w:b/>
                <w:sz w:val="22"/>
                <w:szCs w:val="22"/>
              </w:rPr>
            </w:pPr>
          </w:p>
          <w:p w:rsidR="003810B7" w:rsidRPr="00DA3736" w:rsidP="0079179F" w14:paraId="38B424A8" w14:textId="77777777">
            <w:pPr>
              <w:rPr>
                <w:rFonts w:ascii="Arial" w:hAnsi="Arial" w:cs="Arial"/>
                <w:b/>
                <w:sz w:val="22"/>
                <w:szCs w:val="22"/>
              </w:rPr>
            </w:pPr>
          </w:p>
          <w:p w:rsidR="003810B7" w:rsidRPr="00DA3736" w:rsidP="0079179F" w14:paraId="71EF2462" w14:textId="77777777">
            <w:pPr>
              <w:rPr>
                <w:rFonts w:ascii="Arial" w:hAnsi="Arial" w:cs="Arial"/>
                <w:b/>
                <w:sz w:val="22"/>
                <w:szCs w:val="22"/>
              </w:rPr>
            </w:pPr>
          </w:p>
          <w:p w:rsidR="0079179F" w:rsidRPr="003810B7" w:rsidP="0079179F" w14:paraId="7E53BE41" w14:textId="77777777">
            <w:pPr>
              <w:rPr>
                <w:rFonts w:ascii="Arial" w:hAnsi="Arial" w:cs="Arial"/>
                <w:b/>
                <w:sz w:val="22"/>
                <w:szCs w:val="22"/>
                <w:u w:val="single"/>
              </w:rPr>
            </w:pPr>
            <w:r w:rsidRPr="00DA3736">
              <w:rPr>
                <w:rFonts w:ascii="Arial" w:hAnsi="Arial" w:cs="Arial"/>
                <w:b/>
                <w:sz w:val="22"/>
                <w:szCs w:val="22"/>
              </w:rPr>
              <w:t xml:space="preserve">Total </w:t>
            </w:r>
            <w:r w:rsidRPr="00DA3736">
              <w:rPr>
                <w:rFonts w:ascii="Arial" w:hAnsi="Arial" w:cs="Arial"/>
                <w:b/>
                <w:sz w:val="22"/>
                <w:szCs w:val="22"/>
              </w:rPr>
              <w:t xml:space="preserve">Annual </w:t>
            </w:r>
            <w:r w:rsidRPr="00DA3736">
              <w:rPr>
                <w:rFonts w:ascii="Arial" w:hAnsi="Arial" w:cs="Arial"/>
                <w:b/>
                <w:sz w:val="22"/>
                <w:szCs w:val="22"/>
              </w:rPr>
              <w:t>In-</w:t>
            </w:r>
            <w:r w:rsidRPr="00DA3736">
              <w:rPr>
                <w:rFonts w:ascii="Arial" w:hAnsi="Arial" w:cs="Arial"/>
                <w:b/>
                <w:sz w:val="22"/>
                <w:szCs w:val="22"/>
                <w:u w:val="single"/>
              </w:rPr>
              <w:t xml:space="preserve">House </w:t>
            </w:r>
            <w:r w:rsidRPr="00DA3736">
              <w:rPr>
                <w:rFonts w:ascii="Arial" w:hAnsi="Arial" w:cs="Arial"/>
                <w:b/>
                <w:sz w:val="22"/>
                <w:szCs w:val="22"/>
                <w:u w:val="single"/>
              </w:rPr>
              <w:t>Cost</w:t>
            </w:r>
          </w:p>
        </w:tc>
      </w:tr>
      <w:tr w14:paraId="3C9977F5" w14:textId="77777777">
        <w:tblPrEx>
          <w:tblW w:w="9827" w:type="dxa"/>
          <w:tblInd w:w="91" w:type="dxa"/>
          <w:tblLayout w:type="fixed"/>
          <w:tblLook w:val="0000"/>
        </w:tblPrEx>
        <w:trPr>
          <w:trHeight w:val="369"/>
        </w:trPr>
        <w:tc>
          <w:tcPr>
            <w:tcW w:w="1637" w:type="dxa"/>
            <w:tcBorders>
              <w:top w:val="nil"/>
              <w:left w:val="nil"/>
              <w:bottom w:val="nil"/>
              <w:right w:val="nil"/>
            </w:tcBorders>
            <w:shd w:val="clear" w:color="auto" w:fill="auto"/>
            <w:noWrap/>
            <w:vAlign w:val="bottom"/>
          </w:tcPr>
          <w:p w:rsidR="0079179F" w:rsidRPr="0079179F" w:rsidP="005C45B2" w14:paraId="1982A3A8" w14:textId="779D869F">
            <w:pPr>
              <w:jc w:val="center"/>
              <w:rPr>
                <w:rFonts w:ascii="Arial" w:hAnsi="Arial" w:cs="Arial"/>
                <w:sz w:val="20"/>
              </w:rPr>
            </w:pPr>
            <w:r>
              <w:rPr>
                <w:rFonts w:ascii="Arial" w:hAnsi="Arial" w:cs="Arial"/>
                <w:sz w:val="20"/>
              </w:rPr>
              <w:t xml:space="preserve">   </w:t>
            </w:r>
            <w:r w:rsidRPr="0079179F">
              <w:rPr>
                <w:rFonts w:ascii="Arial" w:hAnsi="Arial" w:cs="Arial"/>
                <w:sz w:val="20"/>
              </w:rPr>
              <w:t>150</w:t>
            </w:r>
          </w:p>
        </w:tc>
        <w:tc>
          <w:tcPr>
            <w:tcW w:w="1440" w:type="dxa"/>
            <w:tcBorders>
              <w:top w:val="nil"/>
              <w:left w:val="nil"/>
              <w:bottom w:val="nil"/>
              <w:right w:val="nil"/>
            </w:tcBorders>
            <w:shd w:val="clear" w:color="auto" w:fill="auto"/>
            <w:noWrap/>
            <w:vAlign w:val="bottom"/>
          </w:tcPr>
          <w:p w:rsidR="0079179F" w:rsidRPr="0079179F" w:rsidP="003810B7" w14:paraId="43CD1975" w14:textId="77777777">
            <w:pPr>
              <w:jc w:val="center"/>
              <w:rPr>
                <w:rFonts w:ascii="Arial" w:hAnsi="Arial" w:cs="Arial"/>
                <w:sz w:val="20"/>
              </w:rPr>
            </w:pPr>
            <w:r w:rsidRPr="0079179F">
              <w:rPr>
                <w:rFonts w:ascii="Arial" w:hAnsi="Arial" w:cs="Arial"/>
                <w:sz w:val="20"/>
              </w:rPr>
              <w:t>1</w:t>
            </w:r>
          </w:p>
        </w:tc>
        <w:tc>
          <w:tcPr>
            <w:tcW w:w="1530" w:type="dxa"/>
            <w:tcBorders>
              <w:top w:val="nil"/>
              <w:left w:val="nil"/>
              <w:bottom w:val="nil"/>
              <w:right w:val="nil"/>
            </w:tcBorders>
            <w:shd w:val="clear" w:color="auto" w:fill="auto"/>
            <w:noWrap/>
            <w:vAlign w:val="bottom"/>
          </w:tcPr>
          <w:p w:rsidR="0079179F" w:rsidRPr="0079179F" w:rsidP="003810B7" w14:paraId="2E56648A" w14:textId="1ACBDF17">
            <w:pPr>
              <w:jc w:val="center"/>
              <w:rPr>
                <w:rFonts w:ascii="Arial" w:hAnsi="Arial" w:cs="Arial"/>
                <w:sz w:val="20"/>
              </w:rPr>
            </w:pPr>
            <w:r>
              <w:rPr>
                <w:rFonts w:ascii="Arial" w:hAnsi="Arial" w:cs="Arial"/>
                <w:sz w:val="20"/>
              </w:rPr>
              <w:t xml:space="preserve">   </w:t>
            </w:r>
            <w:r w:rsidRPr="0079179F">
              <w:rPr>
                <w:rFonts w:ascii="Arial" w:hAnsi="Arial" w:cs="Arial"/>
                <w:sz w:val="20"/>
              </w:rPr>
              <w:t>150</w:t>
            </w:r>
            <w:r>
              <w:rPr>
                <w:rStyle w:val="FootnoteReference"/>
                <w:rFonts w:ascii="Arial" w:hAnsi="Arial" w:cs="Arial"/>
                <w:sz w:val="20"/>
              </w:rPr>
              <w:footnoteReference w:id="2"/>
            </w:r>
          </w:p>
        </w:tc>
        <w:tc>
          <w:tcPr>
            <w:tcW w:w="1710" w:type="dxa"/>
            <w:tcBorders>
              <w:top w:val="nil"/>
              <w:left w:val="nil"/>
              <w:bottom w:val="nil"/>
              <w:right w:val="nil"/>
            </w:tcBorders>
            <w:shd w:val="clear" w:color="auto" w:fill="auto"/>
            <w:noWrap/>
            <w:vAlign w:val="bottom"/>
          </w:tcPr>
          <w:p w:rsidR="0079179F" w:rsidRPr="0079179F" w:rsidP="008E35CF" w14:paraId="435BBD1A" w14:textId="77777777">
            <w:pPr>
              <w:jc w:val="center"/>
              <w:rPr>
                <w:rFonts w:ascii="Arial" w:hAnsi="Arial" w:cs="Arial"/>
                <w:sz w:val="20"/>
              </w:rPr>
            </w:pPr>
            <w:r w:rsidRPr="0079179F">
              <w:rPr>
                <w:rFonts w:ascii="Arial" w:hAnsi="Arial" w:cs="Arial"/>
                <w:sz w:val="20"/>
              </w:rPr>
              <w:t>12</w:t>
            </w:r>
          </w:p>
        </w:tc>
        <w:tc>
          <w:tcPr>
            <w:tcW w:w="1080" w:type="dxa"/>
            <w:tcBorders>
              <w:top w:val="nil"/>
              <w:left w:val="nil"/>
              <w:bottom w:val="nil"/>
              <w:right w:val="nil"/>
            </w:tcBorders>
            <w:shd w:val="clear" w:color="auto" w:fill="auto"/>
            <w:noWrap/>
            <w:vAlign w:val="bottom"/>
          </w:tcPr>
          <w:p w:rsidR="0079179F" w:rsidRPr="0079179F" w:rsidP="008E35CF" w14:paraId="3172666A" w14:textId="20E8CEFB">
            <w:pPr>
              <w:jc w:val="center"/>
              <w:rPr>
                <w:rFonts w:ascii="Arial" w:hAnsi="Arial" w:cs="Arial"/>
                <w:sz w:val="20"/>
              </w:rPr>
            </w:pPr>
            <w:r w:rsidRPr="0079179F">
              <w:rPr>
                <w:rFonts w:ascii="Arial" w:hAnsi="Arial" w:cs="Arial"/>
                <w:sz w:val="20"/>
              </w:rPr>
              <w:t>1</w:t>
            </w:r>
            <w:r w:rsidR="00E917BC">
              <w:rPr>
                <w:rFonts w:ascii="Arial" w:hAnsi="Arial" w:cs="Arial"/>
                <w:sz w:val="20"/>
              </w:rPr>
              <w:t>,</w:t>
            </w:r>
            <w:r w:rsidRPr="0079179F">
              <w:rPr>
                <w:rFonts w:ascii="Arial" w:hAnsi="Arial" w:cs="Arial"/>
                <w:sz w:val="20"/>
              </w:rPr>
              <w:t>800</w:t>
            </w:r>
          </w:p>
        </w:tc>
        <w:tc>
          <w:tcPr>
            <w:tcW w:w="900" w:type="dxa"/>
            <w:tcBorders>
              <w:top w:val="nil"/>
              <w:left w:val="nil"/>
              <w:bottom w:val="nil"/>
              <w:right w:val="nil"/>
            </w:tcBorders>
            <w:shd w:val="clear" w:color="auto" w:fill="auto"/>
            <w:noWrap/>
            <w:vAlign w:val="bottom"/>
          </w:tcPr>
          <w:p w:rsidR="0079179F" w:rsidRPr="0079179F" w:rsidP="008E35CF" w14:paraId="0CCFAD6E" w14:textId="77777777">
            <w:pPr>
              <w:jc w:val="center"/>
              <w:rPr>
                <w:rFonts w:ascii="Arial" w:hAnsi="Arial" w:cs="Arial"/>
                <w:sz w:val="20"/>
              </w:rPr>
            </w:pPr>
            <w:r w:rsidRPr="0079179F">
              <w:rPr>
                <w:rFonts w:ascii="Arial" w:hAnsi="Arial" w:cs="Arial"/>
                <w:sz w:val="20"/>
              </w:rPr>
              <w:t>$</w:t>
            </w:r>
            <w:r w:rsidR="004A79BD">
              <w:rPr>
                <w:rFonts w:ascii="Arial" w:hAnsi="Arial" w:cs="Arial"/>
                <w:sz w:val="20"/>
              </w:rPr>
              <w:t>48.08</w:t>
            </w:r>
          </w:p>
        </w:tc>
        <w:tc>
          <w:tcPr>
            <w:tcW w:w="1530" w:type="dxa"/>
            <w:tcBorders>
              <w:top w:val="nil"/>
              <w:left w:val="nil"/>
              <w:bottom w:val="nil"/>
              <w:right w:val="nil"/>
            </w:tcBorders>
            <w:shd w:val="clear" w:color="auto" w:fill="auto"/>
            <w:noWrap/>
            <w:vAlign w:val="bottom"/>
          </w:tcPr>
          <w:p w:rsidR="0079179F" w:rsidRPr="0079179F" w:rsidP="008E35CF" w14:paraId="163CFBED" w14:textId="7C2E96EC">
            <w:pPr>
              <w:rPr>
                <w:rFonts w:ascii="Arial" w:hAnsi="Arial" w:cs="Arial"/>
                <w:sz w:val="20"/>
              </w:rPr>
            </w:pPr>
            <w:r w:rsidRPr="0079179F">
              <w:rPr>
                <w:rFonts w:ascii="Arial" w:hAnsi="Arial" w:cs="Arial"/>
                <w:sz w:val="20"/>
              </w:rPr>
              <w:t>$</w:t>
            </w:r>
            <w:r w:rsidR="008E35CF">
              <w:rPr>
                <w:rFonts w:ascii="Arial" w:hAnsi="Arial" w:cs="Arial"/>
                <w:sz w:val="20"/>
              </w:rPr>
              <w:t xml:space="preserve">   </w:t>
            </w:r>
            <w:r w:rsidR="00E917BC">
              <w:rPr>
                <w:rFonts w:ascii="Arial" w:hAnsi="Arial" w:cs="Arial"/>
                <w:sz w:val="20"/>
              </w:rPr>
              <w:t xml:space="preserve">  </w:t>
            </w:r>
            <w:r w:rsidR="004A79BD">
              <w:rPr>
                <w:rFonts w:ascii="Arial" w:hAnsi="Arial" w:cs="Arial"/>
                <w:sz w:val="20"/>
              </w:rPr>
              <w:t>86</w:t>
            </w:r>
            <w:r w:rsidR="00E917BC">
              <w:rPr>
                <w:rFonts w:ascii="Arial" w:hAnsi="Arial" w:cs="Arial"/>
                <w:sz w:val="20"/>
              </w:rPr>
              <w:t>,</w:t>
            </w:r>
            <w:r w:rsidR="004A79BD">
              <w:rPr>
                <w:rFonts w:ascii="Arial" w:hAnsi="Arial" w:cs="Arial"/>
                <w:sz w:val="20"/>
              </w:rPr>
              <w:t>544</w:t>
            </w:r>
            <w:r w:rsidRPr="0079179F">
              <w:rPr>
                <w:rFonts w:ascii="Arial" w:hAnsi="Arial" w:cs="Arial"/>
                <w:sz w:val="20"/>
              </w:rPr>
              <w:t>.00</w:t>
            </w:r>
          </w:p>
        </w:tc>
      </w:tr>
      <w:tr w14:paraId="7BF77EFD" w14:textId="77777777">
        <w:tblPrEx>
          <w:tblW w:w="9827" w:type="dxa"/>
          <w:tblInd w:w="91" w:type="dxa"/>
          <w:tblLayout w:type="fixed"/>
          <w:tblLook w:val="0000"/>
        </w:tblPrEx>
        <w:trPr>
          <w:trHeight w:val="288"/>
        </w:trPr>
        <w:tc>
          <w:tcPr>
            <w:tcW w:w="1637" w:type="dxa"/>
            <w:tcBorders>
              <w:top w:val="nil"/>
              <w:left w:val="nil"/>
              <w:bottom w:val="nil"/>
              <w:right w:val="nil"/>
            </w:tcBorders>
            <w:shd w:val="clear" w:color="auto" w:fill="auto"/>
            <w:noWrap/>
            <w:vAlign w:val="bottom"/>
          </w:tcPr>
          <w:p w:rsidR="0079179F" w:rsidRPr="0079179F" w:rsidP="005C45B2" w14:paraId="669BC912" w14:textId="77777777">
            <w:pPr>
              <w:jc w:val="center"/>
              <w:rPr>
                <w:rFonts w:ascii="Arial" w:hAnsi="Arial" w:cs="Arial"/>
                <w:sz w:val="20"/>
              </w:rPr>
            </w:pPr>
            <w:r>
              <w:rPr>
                <w:rFonts w:ascii="Arial" w:hAnsi="Arial" w:cs="Arial"/>
                <w:sz w:val="20"/>
              </w:rPr>
              <w:t xml:space="preserve">   </w:t>
            </w:r>
            <w:r w:rsidRPr="0079179F">
              <w:rPr>
                <w:rFonts w:ascii="Arial" w:hAnsi="Arial" w:cs="Arial"/>
                <w:sz w:val="20"/>
              </w:rPr>
              <w:t>500</w:t>
            </w:r>
          </w:p>
        </w:tc>
        <w:tc>
          <w:tcPr>
            <w:tcW w:w="1440" w:type="dxa"/>
            <w:tcBorders>
              <w:top w:val="nil"/>
              <w:left w:val="nil"/>
              <w:bottom w:val="nil"/>
              <w:right w:val="nil"/>
            </w:tcBorders>
            <w:shd w:val="clear" w:color="auto" w:fill="auto"/>
            <w:noWrap/>
            <w:vAlign w:val="bottom"/>
          </w:tcPr>
          <w:p w:rsidR="0079179F" w:rsidRPr="0079179F" w:rsidP="003810B7" w14:paraId="017D93EE" w14:textId="77777777">
            <w:pPr>
              <w:jc w:val="center"/>
              <w:rPr>
                <w:rFonts w:ascii="Arial" w:hAnsi="Arial" w:cs="Arial"/>
                <w:sz w:val="20"/>
              </w:rPr>
            </w:pPr>
            <w:r w:rsidRPr="0079179F">
              <w:rPr>
                <w:rFonts w:ascii="Arial" w:hAnsi="Arial" w:cs="Arial"/>
                <w:sz w:val="20"/>
              </w:rPr>
              <w:t>1</w:t>
            </w:r>
          </w:p>
        </w:tc>
        <w:tc>
          <w:tcPr>
            <w:tcW w:w="1530" w:type="dxa"/>
            <w:tcBorders>
              <w:top w:val="nil"/>
              <w:left w:val="nil"/>
              <w:bottom w:val="nil"/>
              <w:right w:val="nil"/>
            </w:tcBorders>
            <w:shd w:val="clear" w:color="auto" w:fill="auto"/>
            <w:noWrap/>
            <w:vAlign w:val="bottom"/>
          </w:tcPr>
          <w:p w:rsidR="0079179F" w:rsidRPr="0079179F" w:rsidP="003810B7" w14:paraId="49A0C383" w14:textId="77777777">
            <w:pPr>
              <w:jc w:val="center"/>
              <w:rPr>
                <w:rFonts w:ascii="Arial" w:hAnsi="Arial" w:cs="Arial"/>
                <w:sz w:val="20"/>
              </w:rPr>
            </w:pPr>
            <w:r>
              <w:rPr>
                <w:rFonts w:ascii="Arial" w:hAnsi="Arial" w:cs="Arial"/>
                <w:sz w:val="20"/>
              </w:rPr>
              <w:t xml:space="preserve">   </w:t>
            </w:r>
            <w:r w:rsidRPr="0079179F">
              <w:rPr>
                <w:rFonts w:ascii="Arial" w:hAnsi="Arial" w:cs="Arial"/>
                <w:sz w:val="20"/>
              </w:rPr>
              <w:t>500</w:t>
            </w:r>
            <w:r>
              <w:rPr>
                <w:rStyle w:val="FootnoteReference"/>
                <w:rFonts w:ascii="Arial" w:hAnsi="Arial" w:cs="Arial"/>
                <w:sz w:val="20"/>
              </w:rPr>
              <w:footnoteReference w:id="3"/>
            </w:r>
          </w:p>
        </w:tc>
        <w:tc>
          <w:tcPr>
            <w:tcW w:w="1710" w:type="dxa"/>
            <w:tcBorders>
              <w:top w:val="nil"/>
              <w:left w:val="nil"/>
              <w:bottom w:val="nil"/>
              <w:right w:val="nil"/>
            </w:tcBorders>
            <w:shd w:val="clear" w:color="auto" w:fill="auto"/>
            <w:noWrap/>
            <w:vAlign w:val="bottom"/>
          </w:tcPr>
          <w:p w:rsidR="0079179F" w:rsidRPr="0079179F" w:rsidP="008E35CF" w14:paraId="37795F52" w14:textId="77777777">
            <w:pPr>
              <w:jc w:val="center"/>
              <w:rPr>
                <w:rFonts w:ascii="Arial" w:hAnsi="Arial" w:cs="Arial"/>
                <w:sz w:val="20"/>
              </w:rPr>
            </w:pPr>
            <w:r w:rsidRPr="0079179F">
              <w:rPr>
                <w:rFonts w:ascii="Arial" w:hAnsi="Arial" w:cs="Arial"/>
                <w:sz w:val="20"/>
              </w:rPr>
              <w:t>4</w:t>
            </w:r>
          </w:p>
        </w:tc>
        <w:tc>
          <w:tcPr>
            <w:tcW w:w="1080" w:type="dxa"/>
            <w:tcBorders>
              <w:top w:val="nil"/>
              <w:left w:val="nil"/>
              <w:bottom w:val="nil"/>
              <w:right w:val="nil"/>
            </w:tcBorders>
            <w:shd w:val="clear" w:color="auto" w:fill="auto"/>
            <w:noWrap/>
            <w:vAlign w:val="bottom"/>
          </w:tcPr>
          <w:p w:rsidR="0079179F" w:rsidRPr="0079179F" w:rsidP="008E35CF" w14:paraId="464A8CDA" w14:textId="77777777">
            <w:pPr>
              <w:jc w:val="center"/>
              <w:rPr>
                <w:rFonts w:ascii="Arial" w:hAnsi="Arial" w:cs="Arial"/>
                <w:sz w:val="20"/>
              </w:rPr>
            </w:pPr>
            <w:r>
              <w:rPr>
                <w:rFonts w:ascii="Arial" w:hAnsi="Arial" w:cs="Arial"/>
                <w:sz w:val="20"/>
              </w:rPr>
              <w:t xml:space="preserve">  </w:t>
            </w:r>
            <w:r w:rsidRPr="0079179F">
              <w:rPr>
                <w:rFonts w:ascii="Arial" w:hAnsi="Arial" w:cs="Arial"/>
                <w:sz w:val="20"/>
              </w:rPr>
              <w:t>2</w:t>
            </w:r>
            <w:r>
              <w:rPr>
                <w:rFonts w:ascii="Arial" w:hAnsi="Arial" w:cs="Arial"/>
                <w:sz w:val="20"/>
              </w:rPr>
              <w:t>,</w:t>
            </w:r>
            <w:r w:rsidRPr="0079179F">
              <w:rPr>
                <w:rFonts w:ascii="Arial" w:hAnsi="Arial" w:cs="Arial"/>
                <w:sz w:val="20"/>
              </w:rPr>
              <w:t>000</w:t>
            </w:r>
          </w:p>
        </w:tc>
        <w:tc>
          <w:tcPr>
            <w:tcW w:w="900" w:type="dxa"/>
            <w:tcBorders>
              <w:top w:val="nil"/>
              <w:left w:val="nil"/>
              <w:bottom w:val="nil"/>
              <w:right w:val="nil"/>
            </w:tcBorders>
            <w:shd w:val="clear" w:color="auto" w:fill="auto"/>
            <w:noWrap/>
            <w:vAlign w:val="bottom"/>
          </w:tcPr>
          <w:p w:rsidR="0079179F" w:rsidRPr="0079179F" w:rsidP="008E35CF" w14:paraId="350A6CA6" w14:textId="77777777">
            <w:pPr>
              <w:jc w:val="center"/>
              <w:rPr>
                <w:rFonts w:ascii="Arial" w:hAnsi="Arial" w:cs="Arial"/>
                <w:sz w:val="20"/>
              </w:rPr>
            </w:pPr>
            <w:r>
              <w:rPr>
                <w:rFonts w:ascii="Arial" w:hAnsi="Arial" w:cs="Arial"/>
                <w:sz w:val="20"/>
              </w:rPr>
              <w:t>$48.08</w:t>
            </w:r>
          </w:p>
        </w:tc>
        <w:tc>
          <w:tcPr>
            <w:tcW w:w="1530" w:type="dxa"/>
            <w:tcBorders>
              <w:top w:val="nil"/>
              <w:left w:val="nil"/>
              <w:bottom w:val="nil"/>
              <w:right w:val="nil"/>
            </w:tcBorders>
            <w:shd w:val="clear" w:color="auto" w:fill="auto"/>
            <w:noWrap/>
            <w:vAlign w:val="bottom"/>
          </w:tcPr>
          <w:p w:rsidR="0079179F" w:rsidRPr="0079179F" w:rsidP="008E35CF" w14:paraId="6BF6F3E5" w14:textId="77777777">
            <w:pPr>
              <w:rPr>
                <w:rFonts w:ascii="Arial" w:hAnsi="Arial" w:cs="Arial"/>
                <w:sz w:val="20"/>
              </w:rPr>
            </w:pPr>
            <w:r w:rsidRPr="0079179F">
              <w:rPr>
                <w:rFonts w:ascii="Arial" w:hAnsi="Arial" w:cs="Arial"/>
                <w:sz w:val="20"/>
              </w:rPr>
              <w:t>$</w:t>
            </w:r>
            <w:r w:rsidR="008E35CF">
              <w:rPr>
                <w:rFonts w:ascii="Arial" w:hAnsi="Arial" w:cs="Arial"/>
                <w:sz w:val="20"/>
              </w:rPr>
              <w:t xml:space="preserve">     </w:t>
            </w:r>
            <w:r w:rsidR="004A79BD">
              <w:rPr>
                <w:rFonts w:ascii="Arial" w:hAnsi="Arial" w:cs="Arial"/>
                <w:sz w:val="20"/>
              </w:rPr>
              <w:t>96,160</w:t>
            </w:r>
            <w:r w:rsidRPr="0079179F">
              <w:rPr>
                <w:rFonts w:ascii="Arial" w:hAnsi="Arial" w:cs="Arial"/>
                <w:sz w:val="20"/>
              </w:rPr>
              <w:t>.00</w:t>
            </w:r>
          </w:p>
        </w:tc>
      </w:tr>
      <w:tr w14:paraId="3B8446A3" w14:textId="77777777">
        <w:tblPrEx>
          <w:tblW w:w="9827" w:type="dxa"/>
          <w:tblInd w:w="91" w:type="dxa"/>
          <w:tblLayout w:type="fixed"/>
          <w:tblLook w:val="0000"/>
        </w:tblPrEx>
        <w:trPr>
          <w:trHeight w:val="255"/>
        </w:trPr>
        <w:tc>
          <w:tcPr>
            <w:tcW w:w="1637" w:type="dxa"/>
            <w:tcBorders>
              <w:top w:val="nil"/>
              <w:left w:val="nil"/>
              <w:bottom w:val="nil"/>
              <w:right w:val="nil"/>
            </w:tcBorders>
            <w:shd w:val="clear" w:color="auto" w:fill="auto"/>
            <w:noWrap/>
            <w:vAlign w:val="bottom"/>
          </w:tcPr>
          <w:p w:rsidR="0079179F" w:rsidRPr="008E35CF" w:rsidP="005C45B2" w14:paraId="60CFB834" w14:textId="77777777">
            <w:pPr>
              <w:jc w:val="center"/>
              <w:rPr>
                <w:rFonts w:ascii="Arial" w:hAnsi="Arial" w:cs="Arial"/>
                <w:sz w:val="20"/>
                <w:u w:val="single"/>
              </w:rPr>
            </w:pPr>
            <w:r w:rsidRPr="008E35CF">
              <w:rPr>
                <w:rFonts w:ascii="Arial" w:hAnsi="Arial" w:cs="Arial"/>
                <w:sz w:val="20"/>
                <w:u w:val="single"/>
              </w:rPr>
              <w:t>2</w:t>
            </w:r>
            <w:r w:rsidRPr="008E35CF" w:rsidR="005C45B2">
              <w:rPr>
                <w:rFonts w:ascii="Arial" w:hAnsi="Arial" w:cs="Arial"/>
                <w:sz w:val="20"/>
                <w:u w:val="single"/>
              </w:rPr>
              <w:t>,</w:t>
            </w:r>
            <w:r w:rsidRPr="008E35CF">
              <w:rPr>
                <w:rFonts w:ascii="Arial" w:hAnsi="Arial" w:cs="Arial"/>
                <w:sz w:val="20"/>
                <w:u w:val="single"/>
              </w:rPr>
              <w:t>000</w:t>
            </w:r>
          </w:p>
        </w:tc>
        <w:tc>
          <w:tcPr>
            <w:tcW w:w="1440" w:type="dxa"/>
            <w:tcBorders>
              <w:top w:val="nil"/>
              <w:left w:val="nil"/>
              <w:bottom w:val="nil"/>
              <w:right w:val="nil"/>
            </w:tcBorders>
            <w:shd w:val="clear" w:color="auto" w:fill="auto"/>
            <w:noWrap/>
            <w:vAlign w:val="bottom"/>
          </w:tcPr>
          <w:p w:rsidR="0079179F" w:rsidRPr="0079179F" w:rsidP="003810B7" w14:paraId="1BDA8C51" w14:textId="77777777">
            <w:pPr>
              <w:jc w:val="center"/>
              <w:rPr>
                <w:rFonts w:ascii="Arial" w:hAnsi="Arial" w:cs="Arial"/>
                <w:sz w:val="20"/>
              </w:rPr>
            </w:pPr>
            <w:r w:rsidRPr="0079179F">
              <w:rPr>
                <w:rFonts w:ascii="Arial" w:hAnsi="Arial" w:cs="Arial"/>
                <w:sz w:val="20"/>
              </w:rPr>
              <w:t>1</w:t>
            </w:r>
          </w:p>
        </w:tc>
        <w:tc>
          <w:tcPr>
            <w:tcW w:w="1530" w:type="dxa"/>
            <w:tcBorders>
              <w:top w:val="nil"/>
              <w:left w:val="nil"/>
              <w:bottom w:val="nil"/>
              <w:right w:val="nil"/>
            </w:tcBorders>
            <w:shd w:val="clear" w:color="auto" w:fill="auto"/>
            <w:noWrap/>
            <w:vAlign w:val="bottom"/>
          </w:tcPr>
          <w:p w:rsidR="0079179F" w:rsidRPr="0079179F" w:rsidP="003810B7" w14:paraId="2A45C8B5" w14:textId="77777777">
            <w:pPr>
              <w:jc w:val="center"/>
              <w:rPr>
                <w:rFonts w:ascii="Arial" w:hAnsi="Arial" w:cs="Arial"/>
                <w:sz w:val="20"/>
              </w:rPr>
            </w:pPr>
            <w:r w:rsidRPr="0079179F">
              <w:rPr>
                <w:rFonts w:ascii="Arial" w:hAnsi="Arial" w:cs="Arial"/>
                <w:sz w:val="20"/>
              </w:rPr>
              <w:t>2</w:t>
            </w:r>
            <w:r w:rsidR="003810B7">
              <w:rPr>
                <w:rFonts w:ascii="Arial" w:hAnsi="Arial" w:cs="Arial"/>
                <w:sz w:val="20"/>
              </w:rPr>
              <w:t>,</w:t>
            </w:r>
            <w:r w:rsidRPr="0079179F">
              <w:rPr>
                <w:rFonts w:ascii="Arial" w:hAnsi="Arial" w:cs="Arial"/>
                <w:sz w:val="20"/>
              </w:rPr>
              <w:t>000</w:t>
            </w:r>
            <w:r>
              <w:rPr>
                <w:rStyle w:val="FootnoteReference"/>
                <w:rFonts w:ascii="Arial" w:hAnsi="Arial" w:cs="Arial"/>
                <w:sz w:val="20"/>
              </w:rPr>
              <w:footnoteReference w:id="4"/>
            </w:r>
          </w:p>
        </w:tc>
        <w:tc>
          <w:tcPr>
            <w:tcW w:w="1710" w:type="dxa"/>
            <w:tcBorders>
              <w:top w:val="nil"/>
              <w:left w:val="nil"/>
              <w:bottom w:val="nil"/>
              <w:right w:val="nil"/>
            </w:tcBorders>
            <w:shd w:val="clear" w:color="auto" w:fill="auto"/>
            <w:noWrap/>
            <w:vAlign w:val="bottom"/>
          </w:tcPr>
          <w:p w:rsidR="0079179F" w:rsidRPr="0079179F" w:rsidP="008E35CF" w14:paraId="523193F5" w14:textId="77777777">
            <w:pPr>
              <w:jc w:val="center"/>
              <w:rPr>
                <w:rFonts w:ascii="Arial" w:hAnsi="Arial" w:cs="Arial"/>
                <w:sz w:val="20"/>
              </w:rPr>
            </w:pPr>
            <w:r w:rsidRPr="0079179F">
              <w:rPr>
                <w:rFonts w:ascii="Arial" w:hAnsi="Arial" w:cs="Arial"/>
                <w:sz w:val="20"/>
              </w:rPr>
              <w:t>12</w:t>
            </w:r>
          </w:p>
        </w:tc>
        <w:tc>
          <w:tcPr>
            <w:tcW w:w="1080" w:type="dxa"/>
            <w:tcBorders>
              <w:top w:val="nil"/>
              <w:left w:val="nil"/>
              <w:bottom w:val="nil"/>
              <w:right w:val="nil"/>
            </w:tcBorders>
            <w:shd w:val="clear" w:color="auto" w:fill="auto"/>
            <w:noWrap/>
            <w:vAlign w:val="bottom"/>
          </w:tcPr>
          <w:p w:rsidR="0079179F" w:rsidRPr="0079179F" w:rsidP="008E35CF" w14:paraId="5305ED6D" w14:textId="77777777">
            <w:pPr>
              <w:jc w:val="center"/>
              <w:rPr>
                <w:rFonts w:ascii="Arial" w:hAnsi="Arial" w:cs="Arial"/>
                <w:sz w:val="20"/>
              </w:rPr>
            </w:pPr>
            <w:r w:rsidRPr="0079179F">
              <w:rPr>
                <w:rFonts w:ascii="Arial" w:hAnsi="Arial" w:cs="Arial"/>
                <w:sz w:val="20"/>
              </w:rPr>
              <w:t>24</w:t>
            </w:r>
            <w:r w:rsidR="008E35CF">
              <w:rPr>
                <w:rFonts w:ascii="Arial" w:hAnsi="Arial" w:cs="Arial"/>
                <w:sz w:val="20"/>
              </w:rPr>
              <w:t>,</w:t>
            </w:r>
            <w:r w:rsidRPr="0079179F">
              <w:rPr>
                <w:rFonts w:ascii="Arial" w:hAnsi="Arial" w:cs="Arial"/>
                <w:sz w:val="20"/>
              </w:rPr>
              <w:t>000</w:t>
            </w:r>
          </w:p>
        </w:tc>
        <w:tc>
          <w:tcPr>
            <w:tcW w:w="900" w:type="dxa"/>
            <w:tcBorders>
              <w:top w:val="nil"/>
              <w:left w:val="nil"/>
              <w:bottom w:val="nil"/>
              <w:right w:val="nil"/>
            </w:tcBorders>
            <w:shd w:val="clear" w:color="auto" w:fill="auto"/>
            <w:noWrap/>
            <w:vAlign w:val="bottom"/>
          </w:tcPr>
          <w:p w:rsidR="0079179F" w:rsidRPr="0079179F" w:rsidP="008E35CF" w14:paraId="25725D1E" w14:textId="77777777">
            <w:pPr>
              <w:jc w:val="center"/>
              <w:rPr>
                <w:rFonts w:ascii="Arial" w:hAnsi="Arial" w:cs="Arial"/>
                <w:sz w:val="20"/>
              </w:rPr>
            </w:pPr>
            <w:r>
              <w:rPr>
                <w:rFonts w:ascii="Arial" w:hAnsi="Arial" w:cs="Arial"/>
                <w:sz w:val="20"/>
              </w:rPr>
              <w:t>$48.08</w:t>
            </w:r>
          </w:p>
        </w:tc>
        <w:tc>
          <w:tcPr>
            <w:tcW w:w="1530" w:type="dxa"/>
            <w:tcBorders>
              <w:top w:val="nil"/>
              <w:left w:val="nil"/>
              <w:bottom w:val="nil"/>
              <w:right w:val="nil"/>
            </w:tcBorders>
            <w:shd w:val="clear" w:color="auto" w:fill="auto"/>
            <w:noWrap/>
            <w:vAlign w:val="bottom"/>
          </w:tcPr>
          <w:p w:rsidR="0079179F" w:rsidRPr="0079179F" w:rsidP="008E35CF" w14:paraId="2F6B1EAB" w14:textId="77777777">
            <w:pPr>
              <w:rPr>
                <w:rFonts w:ascii="Arial" w:hAnsi="Arial" w:cs="Arial"/>
                <w:sz w:val="20"/>
              </w:rPr>
            </w:pPr>
            <w:r w:rsidRPr="0079179F">
              <w:rPr>
                <w:rFonts w:ascii="Arial" w:hAnsi="Arial" w:cs="Arial"/>
                <w:sz w:val="20"/>
              </w:rPr>
              <w:t>$</w:t>
            </w:r>
            <w:r w:rsidR="004A79BD">
              <w:rPr>
                <w:rFonts w:ascii="Arial" w:hAnsi="Arial" w:cs="Arial"/>
                <w:sz w:val="20"/>
              </w:rPr>
              <w:t>1,153,920.00</w:t>
            </w:r>
          </w:p>
        </w:tc>
      </w:tr>
      <w:tr w14:paraId="0921469F" w14:textId="77777777">
        <w:tblPrEx>
          <w:tblW w:w="9827" w:type="dxa"/>
          <w:tblInd w:w="91" w:type="dxa"/>
          <w:tblLayout w:type="fixed"/>
          <w:tblLook w:val="0000"/>
        </w:tblPrEx>
        <w:trPr>
          <w:trHeight w:val="255"/>
        </w:trPr>
        <w:tc>
          <w:tcPr>
            <w:tcW w:w="1637" w:type="dxa"/>
            <w:tcBorders>
              <w:top w:val="nil"/>
              <w:left w:val="nil"/>
              <w:bottom w:val="nil"/>
              <w:right w:val="nil"/>
            </w:tcBorders>
            <w:shd w:val="clear" w:color="auto" w:fill="auto"/>
            <w:noWrap/>
            <w:vAlign w:val="bottom"/>
          </w:tcPr>
          <w:p w:rsidR="0079179F" w:rsidRPr="0079179F" w:rsidP="0079179F" w14:paraId="5C969DC0" w14:textId="77777777">
            <w:pPr>
              <w:rPr>
                <w:rFonts w:ascii="Arial" w:hAnsi="Arial" w:cs="Arial"/>
                <w:sz w:val="20"/>
              </w:rPr>
            </w:pPr>
          </w:p>
        </w:tc>
        <w:tc>
          <w:tcPr>
            <w:tcW w:w="1440" w:type="dxa"/>
            <w:tcBorders>
              <w:top w:val="nil"/>
              <w:left w:val="nil"/>
              <w:bottom w:val="nil"/>
              <w:right w:val="nil"/>
            </w:tcBorders>
            <w:shd w:val="clear" w:color="auto" w:fill="auto"/>
            <w:noWrap/>
            <w:vAlign w:val="bottom"/>
          </w:tcPr>
          <w:p w:rsidR="0079179F" w:rsidRPr="0079179F" w:rsidP="0079179F" w14:paraId="192EB3FB" w14:textId="77777777">
            <w:pPr>
              <w:rPr>
                <w:rFonts w:ascii="Arial" w:hAnsi="Arial" w:cs="Arial"/>
                <w:sz w:val="20"/>
              </w:rPr>
            </w:pPr>
          </w:p>
        </w:tc>
        <w:tc>
          <w:tcPr>
            <w:tcW w:w="1530" w:type="dxa"/>
            <w:tcBorders>
              <w:top w:val="nil"/>
              <w:left w:val="nil"/>
              <w:bottom w:val="nil"/>
              <w:right w:val="nil"/>
            </w:tcBorders>
            <w:shd w:val="clear" w:color="auto" w:fill="auto"/>
            <w:noWrap/>
            <w:vAlign w:val="bottom"/>
          </w:tcPr>
          <w:p w:rsidR="0079179F" w:rsidRPr="008E35CF" w:rsidP="003810B7" w14:paraId="2FBB66DF" w14:textId="77777777">
            <w:pPr>
              <w:jc w:val="center"/>
              <w:rPr>
                <w:rFonts w:ascii="Arial" w:hAnsi="Arial" w:cs="Arial"/>
                <w:sz w:val="20"/>
                <w:u w:val="single"/>
              </w:rPr>
            </w:pPr>
            <w:r w:rsidRPr="008E35CF">
              <w:rPr>
                <w:rFonts w:ascii="Arial" w:hAnsi="Arial" w:cs="Arial"/>
                <w:sz w:val="20"/>
                <w:u w:val="single"/>
              </w:rPr>
              <w:t>2</w:t>
            </w:r>
            <w:r w:rsidRPr="008E35CF" w:rsidR="003810B7">
              <w:rPr>
                <w:rFonts w:ascii="Arial" w:hAnsi="Arial" w:cs="Arial"/>
                <w:sz w:val="20"/>
                <w:u w:val="single"/>
              </w:rPr>
              <w:t>,</w:t>
            </w:r>
            <w:r w:rsidRPr="008E35CF">
              <w:rPr>
                <w:rFonts w:ascii="Arial" w:hAnsi="Arial" w:cs="Arial"/>
                <w:sz w:val="20"/>
                <w:u w:val="single"/>
              </w:rPr>
              <w:t>000</w:t>
            </w:r>
            <w:r>
              <w:rPr>
                <w:rStyle w:val="FootnoteReference"/>
                <w:rFonts w:ascii="Arial" w:hAnsi="Arial" w:cs="Arial"/>
                <w:sz w:val="20"/>
                <w:u w:val="single"/>
              </w:rPr>
              <w:footnoteReference w:id="5"/>
            </w:r>
          </w:p>
        </w:tc>
        <w:tc>
          <w:tcPr>
            <w:tcW w:w="1710" w:type="dxa"/>
            <w:tcBorders>
              <w:top w:val="nil"/>
              <w:left w:val="nil"/>
              <w:bottom w:val="nil"/>
              <w:right w:val="nil"/>
            </w:tcBorders>
            <w:shd w:val="clear" w:color="auto" w:fill="auto"/>
            <w:noWrap/>
            <w:vAlign w:val="bottom"/>
          </w:tcPr>
          <w:p w:rsidR="0079179F" w:rsidRPr="0079179F" w:rsidP="008E35CF" w14:paraId="436645D0" w14:textId="77777777">
            <w:pPr>
              <w:jc w:val="center"/>
              <w:rPr>
                <w:rFonts w:ascii="Arial" w:hAnsi="Arial" w:cs="Arial"/>
                <w:sz w:val="20"/>
              </w:rPr>
            </w:pPr>
            <w:r w:rsidRPr="0079179F">
              <w:rPr>
                <w:rFonts w:ascii="Arial" w:hAnsi="Arial" w:cs="Arial"/>
                <w:sz w:val="20"/>
              </w:rPr>
              <w:t>4</w:t>
            </w:r>
          </w:p>
        </w:tc>
        <w:tc>
          <w:tcPr>
            <w:tcW w:w="1080" w:type="dxa"/>
            <w:tcBorders>
              <w:top w:val="nil"/>
              <w:left w:val="nil"/>
              <w:bottom w:val="nil"/>
              <w:right w:val="nil"/>
            </w:tcBorders>
            <w:shd w:val="clear" w:color="auto" w:fill="auto"/>
            <w:noWrap/>
            <w:vAlign w:val="bottom"/>
          </w:tcPr>
          <w:p w:rsidR="0079179F" w:rsidRPr="008E35CF" w:rsidP="008E35CF" w14:paraId="45911D5F" w14:textId="77777777">
            <w:pPr>
              <w:jc w:val="center"/>
              <w:rPr>
                <w:rFonts w:ascii="Arial" w:hAnsi="Arial" w:cs="Arial"/>
                <w:sz w:val="20"/>
                <w:u w:val="single"/>
              </w:rPr>
            </w:pPr>
            <w:r>
              <w:rPr>
                <w:rFonts w:ascii="Arial" w:hAnsi="Arial" w:cs="Arial"/>
                <w:sz w:val="20"/>
                <w:u w:val="single"/>
              </w:rPr>
              <w:t xml:space="preserve">  </w:t>
            </w:r>
            <w:r w:rsidRPr="008E35CF">
              <w:rPr>
                <w:rFonts w:ascii="Arial" w:hAnsi="Arial" w:cs="Arial"/>
                <w:sz w:val="20"/>
                <w:u w:val="single"/>
              </w:rPr>
              <w:t>8</w:t>
            </w:r>
            <w:r w:rsidRPr="008E35CF">
              <w:rPr>
                <w:rFonts w:ascii="Arial" w:hAnsi="Arial" w:cs="Arial"/>
                <w:sz w:val="20"/>
                <w:u w:val="single"/>
              </w:rPr>
              <w:t>,</w:t>
            </w:r>
            <w:r w:rsidRPr="008E35CF">
              <w:rPr>
                <w:rFonts w:ascii="Arial" w:hAnsi="Arial" w:cs="Arial"/>
                <w:sz w:val="20"/>
                <w:u w:val="single"/>
              </w:rPr>
              <w:t>000</w:t>
            </w:r>
          </w:p>
        </w:tc>
        <w:tc>
          <w:tcPr>
            <w:tcW w:w="900" w:type="dxa"/>
            <w:tcBorders>
              <w:top w:val="nil"/>
              <w:left w:val="nil"/>
              <w:bottom w:val="nil"/>
              <w:right w:val="nil"/>
            </w:tcBorders>
            <w:shd w:val="clear" w:color="auto" w:fill="auto"/>
            <w:noWrap/>
            <w:vAlign w:val="bottom"/>
          </w:tcPr>
          <w:p w:rsidR="0079179F" w:rsidRPr="0079179F" w:rsidP="008E35CF" w14:paraId="6B20930F" w14:textId="77777777">
            <w:pPr>
              <w:jc w:val="center"/>
              <w:rPr>
                <w:rFonts w:ascii="Arial" w:hAnsi="Arial" w:cs="Arial"/>
                <w:sz w:val="20"/>
              </w:rPr>
            </w:pPr>
            <w:r>
              <w:rPr>
                <w:rFonts w:ascii="Arial" w:hAnsi="Arial" w:cs="Arial"/>
                <w:sz w:val="20"/>
              </w:rPr>
              <w:t>$48.08</w:t>
            </w:r>
          </w:p>
        </w:tc>
        <w:tc>
          <w:tcPr>
            <w:tcW w:w="1530" w:type="dxa"/>
            <w:tcBorders>
              <w:top w:val="nil"/>
              <w:left w:val="nil"/>
              <w:bottom w:val="nil"/>
              <w:right w:val="nil"/>
            </w:tcBorders>
            <w:shd w:val="clear" w:color="auto" w:fill="auto"/>
            <w:noWrap/>
            <w:vAlign w:val="bottom"/>
          </w:tcPr>
          <w:p w:rsidR="0079179F" w:rsidRPr="008E35CF" w:rsidP="008E35CF" w14:paraId="5BB6A693" w14:textId="77777777">
            <w:pPr>
              <w:rPr>
                <w:rFonts w:ascii="Arial" w:hAnsi="Arial" w:cs="Arial"/>
                <w:sz w:val="20"/>
                <w:u w:val="single"/>
              </w:rPr>
            </w:pPr>
            <w:r w:rsidRPr="008E35CF">
              <w:rPr>
                <w:rFonts w:ascii="Arial" w:hAnsi="Arial" w:cs="Arial"/>
                <w:sz w:val="20"/>
                <w:u w:val="single"/>
              </w:rPr>
              <w:t>$</w:t>
            </w:r>
            <w:r w:rsidR="008E35CF">
              <w:rPr>
                <w:rFonts w:ascii="Arial" w:hAnsi="Arial" w:cs="Arial"/>
                <w:sz w:val="20"/>
                <w:u w:val="single"/>
              </w:rPr>
              <w:t xml:space="preserve">   </w:t>
            </w:r>
            <w:r w:rsidR="004A79BD">
              <w:rPr>
                <w:rFonts w:ascii="Arial" w:hAnsi="Arial" w:cs="Arial"/>
                <w:sz w:val="20"/>
                <w:u w:val="single"/>
              </w:rPr>
              <w:t>384,640</w:t>
            </w:r>
            <w:r w:rsidRPr="008E35CF">
              <w:rPr>
                <w:rFonts w:ascii="Arial" w:hAnsi="Arial" w:cs="Arial"/>
                <w:sz w:val="20"/>
                <w:u w:val="single"/>
              </w:rPr>
              <w:t>.00</w:t>
            </w:r>
          </w:p>
        </w:tc>
      </w:tr>
      <w:tr w14:paraId="6FF97C4C" w14:textId="77777777">
        <w:tblPrEx>
          <w:tblW w:w="9827" w:type="dxa"/>
          <w:tblInd w:w="91" w:type="dxa"/>
          <w:tblLayout w:type="fixed"/>
          <w:tblLook w:val="0000"/>
        </w:tblPrEx>
        <w:trPr>
          <w:trHeight w:val="255"/>
        </w:trPr>
        <w:tc>
          <w:tcPr>
            <w:tcW w:w="1637" w:type="dxa"/>
            <w:tcBorders>
              <w:top w:val="nil"/>
              <w:left w:val="nil"/>
              <w:bottom w:val="nil"/>
              <w:right w:val="nil"/>
            </w:tcBorders>
            <w:shd w:val="clear" w:color="auto" w:fill="auto"/>
            <w:noWrap/>
            <w:vAlign w:val="bottom"/>
          </w:tcPr>
          <w:p w:rsidR="009C449D" w:rsidP="008E35CF" w14:paraId="5C9F06D8" w14:textId="77777777">
            <w:pPr>
              <w:jc w:val="center"/>
              <w:rPr>
                <w:rFonts w:ascii="Arial" w:hAnsi="Arial" w:cs="Arial"/>
                <w:b/>
                <w:sz w:val="20"/>
              </w:rPr>
            </w:pPr>
            <w:r>
              <w:rPr>
                <w:rFonts w:ascii="Arial" w:hAnsi="Arial" w:cs="Arial"/>
                <w:b/>
                <w:sz w:val="20"/>
              </w:rPr>
              <w:t xml:space="preserve">  </w:t>
            </w:r>
          </w:p>
          <w:p w:rsidR="0079179F" w:rsidP="008E35CF" w14:paraId="5BD67870" w14:textId="15388B88">
            <w:pPr>
              <w:jc w:val="center"/>
              <w:rPr>
                <w:rFonts w:ascii="Arial" w:hAnsi="Arial" w:cs="Arial"/>
                <w:b/>
                <w:sz w:val="20"/>
              </w:rPr>
            </w:pPr>
            <w:r>
              <w:rPr>
                <w:rFonts w:ascii="Arial" w:hAnsi="Arial" w:cs="Arial"/>
                <w:b/>
                <w:sz w:val="20"/>
              </w:rPr>
              <w:t>2,650</w:t>
            </w:r>
          </w:p>
          <w:p w:rsidR="004A79BD" w:rsidP="008E35CF" w14:paraId="4DD75713" w14:textId="77777777">
            <w:pPr>
              <w:jc w:val="center"/>
              <w:rPr>
                <w:rFonts w:ascii="Arial" w:hAnsi="Arial" w:cs="Arial"/>
                <w:b/>
                <w:sz w:val="20"/>
              </w:rPr>
            </w:pPr>
            <w:r>
              <w:rPr>
                <w:rFonts w:ascii="Arial" w:hAnsi="Arial" w:cs="Arial"/>
                <w:b/>
                <w:sz w:val="20"/>
              </w:rPr>
              <w:t>(operators</w:t>
            </w:r>
            <w:r>
              <w:rPr>
                <w:rFonts w:ascii="Arial" w:hAnsi="Arial" w:cs="Arial"/>
                <w:b/>
                <w:sz w:val="20"/>
              </w:rPr>
              <w:t>/</w:t>
            </w:r>
          </w:p>
          <w:p w:rsidR="00881DBF" w:rsidRPr="003A3431" w:rsidP="008E35CF" w14:paraId="59344D71" w14:textId="77777777">
            <w:pPr>
              <w:jc w:val="center"/>
              <w:rPr>
                <w:rFonts w:ascii="Arial" w:hAnsi="Arial" w:cs="Arial"/>
                <w:b/>
                <w:sz w:val="20"/>
              </w:rPr>
            </w:pPr>
            <w:r>
              <w:rPr>
                <w:rFonts w:ascii="Arial" w:hAnsi="Arial" w:cs="Arial"/>
                <w:b/>
                <w:sz w:val="20"/>
              </w:rPr>
              <w:t>LFAs</w:t>
            </w:r>
            <w:r>
              <w:rPr>
                <w:rFonts w:ascii="Arial" w:hAnsi="Arial" w:cs="Arial"/>
                <w:b/>
                <w:sz w:val="20"/>
              </w:rPr>
              <w:t>)</w:t>
            </w:r>
          </w:p>
        </w:tc>
        <w:tc>
          <w:tcPr>
            <w:tcW w:w="1440" w:type="dxa"/>
            <w:tcBorders>
              <w:top w:val="nil"/>
              <w:left w:val="nil"/>
              <w:bottom w:val="nil"/>
              <w:right w:val="nil"/>
            </w:tcBorders>
            <w:shd w:val="clear" w:color="auto" w:fill="auto"/>
            <w:noWrap/>
            <w:vAlign w:val="bottom"/>
          </w:tcPr>
          <w:p w:rsidR="0079179F" w:rsidRPr="003A3431" w:rsidP="0079179F" w14:paraId="468BC436" w14:textId="77777777">
            <w:pPr>
              <w:rPr>
                <w:rFonts w:ascii="Arial" w:hAnsi="Arial" w:cs="Arial"/>
                <w:b/>
                <w:sz w:val="20"/>
              </w:rPr>
            </w:pPr>
          </w:p>
        </w:tc>
        <w:tc>
          <w:tcPr>
            <w:tcW w:w="1530" w:type="dxa"/>
            <w:tcBorders>
              <w:top w:val="nil"/>
              <w:left w:val="nil"/>
              <w:bottom w:val="nil"/>
              <w:right w:val="nil"/>
            </w:tcBorders>
            <w:shd w:val="clear" w:color="auto" w:fill="auto"/>
            <w:noWrap/>
            <w:vAlign w:val="bottom"/>
          </w:tcPr>
          <w:p w:rsidR="0079179F" w:rsidRPr="003A3431" w:rsidP="008E35CF" w14:paraId="7AF3357D" w14:textId="0AAE197A">
            <w:pPr>
              <w:jc w:val="center"/>
              <w:rPr>
                <w:rFonts w:ascii="Arial" w:hAnsi="Arial" w:cs="Arial"/>
                <w:b/>
                <w:sz w:val="20"/>
              </w:rPr>
            </w:pPr>
            <w:r>
              <w:rPr>
                <w:rFonts w:ascii="Arial" w:hAnsi="Arial" w:cs="Arial"/>
                <w:b/>
                <w:sz w:val="20"/>
              </w:rPr>
              <w:t>4,65</w:t>
            </w:r>
            <w:r w:rsidRPr="003A3431">
              <w:rPr>
                <w:rFonts w:ascii="Arial" w:hAnsi="Arial" w:cs="Arial"/>
                <w:b/>
                <w:sz w:val="20"/>
              </w:rPr>
              <w:t>0</w:t>
            </w:r>
            <w:r w:rsidR="00881DBF">
              <w:rPr>
                <w:rFonts w:ascii="Arial" w:hAnsi="Arial" w:cs="Arial"/>
                <w:b/>
                <w:sz w:val="20"/>
              </w:rPr>
              <w:t xml:space="preserve"> (responses)</w:t>
            </w:r>
          </w:p>
        </w:tc>
        <w:tc>
          <w:tcPr>
            <w:tcW w:w="1710" w:type="dxa"/>
            <w:tcBorders>
              <w:top w:val="nil"/>
              <w:left w:val="nil"/>
              <w:bottom w:val="nil"/>
              <w:right w:val="nil"/>
            </w:tcBorders>
            <w:shd w:val="clear" w:color="auto" w:fill="auto"/>
            <w:noWrap/>
            <w:vAlign w:val="bottom"/>
          </w:tcPr>
          <w:p w:rsidR="0079179F" w:rsidRPr="003A3431" w:rsidP="0079179F" w14:paraId="5F57EF80" w14:textId="77777777">
            <w:pPr>
              <w:rPr>
                <w:rFonts w:ascii="Arial" w:hAnsi="Arial" w:cs="Arial"/>
                <w:b/>
                <w:sz w:val="20"/>
              </w:rPr>
            </w:pPr>
          </w:p>
        </w:tc>
        <w:tc>
          <w:tcPr>
            <w:tcW w:w="1080" w:type="dxa"/>
            <w:tcBorders>
              <w:top w:val="nil"/>
              <w:left w:val="nil"/>
              <w:bottom w:val="nil"/>
              <w:right w:val="nil"/>
            </w:tcBorders>
            <w:shd w:val="clear" w:color="auto" w:fill="auto"/>
            <w:noWrap/>
            <w:vAlign w:val="bottom"/>
          </w:tcPr>
          <w:p w:rsidR="0079179F" w:rsidRPr="003A3431" w:rsidP="008E35CF" w14:paraId="4B8BDB57" w14:textId="1FD6CAF6">
            <w:pPr>
              <w:jc w:val="center"/>
              <w:rPr>
                <w:rFonts w:ascii="Arial" w:hAnsi="Arial" w:cs="Arial"/>
                <w:b/>
                <w:sz w:val="20"/>
              </w:rPr>
            </w:pPr>
            <w:r>
              <w:rPr>
                <w:rFonts w:ascii="Arial" w:hAnsi="Arial" w:cs="Arial"/>
                <w:b/>
                <w:sz w:val="20"/>
              </w:rPr>
              <w:t xml:space="preserve"> </w:t>
            </w:r>
            <w:r w:rsidR="00E917BC">
              <w:rPr>
                <w:rFonts w:ascii="Arial" w:hAnsi="Arial" w:cs="Arial"/>
                <w:b/>
                <w:sz w:val="20"/>
              </w:rPr>
              <w:t>35,800</w:t>
            </w:r>
            <w:r w:rsidR="00881DBF">
              <w:rPr>
                <w:rFonts w:ascii="Arial" w:hAnsi="Arial" w:cs="Arial"/>
                <w:b/>
                <w:sz w:val="20"/>
              </w:rPr>
              <w:t xml:space="preserve"> hours</w:t>
            </w:r>
          </w:p>
        </w:tc>
        <w:tc>
          <w:tcPr>
            <w:tcW w:w="900" w:type="dxa"/>
            <w:tcBorders>
              <w:top w:val="nil"/>
              <w:left w:val="nil"/>
              <w:bottom w:val="nil"/>
              <w:right w:val="nil"/>
            </w:tcBorders>
            <w:shd w:val="clear" w:color="auto" w:fill="auto"/>
            <w:noWrap/>
            <w:vAlign w:val="bottom"/>
          </w:tcPr>
          <w:p w:rsidR="0079179F" w:rsidRPr="003A3431" w:rsidP="0079179F" w14:paraId="4F6A6A47" w14:textId="77777777">
            <w:pPr>
              <w:rPr>
                <w:rFonts w:ascii="Arial" w:hAnsi="Arial" w:cs="Arial"/>
                <w:b/>
                <w:sz w:val="20"/>
              </w:rPr>
            </w:pPr>
          </w:p>
        </w:tc>
        <w:tc>
          <w:tcPr>
            <w:tcW w:w="1530" w:type="dxa"/>
            <w:tcBorders>
              <w:top w:val="nil"/>
              <w:left w:val="nil"/>
              <w:bottom w:val="nil"/>
              <w:right w:val="nil"/>
            </w:tcBorders>
            <w:shd w:val="clear" w:color="auto" w:fill="auto"/>
            <w:noWrap/>
            <w:vAlign w:val="bottom"/>
          </w:tcPr>
          <w:p w:rsidR="0079179F" w:rsidRPr="003A3431" w:rsidP="008E35CF" w14:paraId="407BFF2F" w14:textId="735172CA">
            <w:pPr>
              <w:jc w:val="center"/>
              <w:rPr>
                <w:rFonts w:ascii="Arial" w:hAnsi="Arial" w:cs="Arial"/>
                <w:b/>
                <w:sz w:val="20"/>
              </w:rPr>
            </w:pPr>
            <w:r w:rsidRPr="003A3431">
              <w:rPr>
                <w:rFonts w:ascii="Arial" w:hAnsi="Arial" w:cs="Arial"/>
                <w:b/>
                <w:sz w:val="20"/>
              </w:rPr>
              <w:t>$</w:t>
            </w:r>
            <w:r w:rsidR="00E917BC">
              <w:rPr>
                <w:rFonts w:ascii="Arial" w:hAnsi="Arial" w:cs="Arial"/>
                <w:b/>
                <w:sz w:val="20"/>
              </w:rPr>
              <w:t>1,721,264</w:t>
            </w:r>
            <w:r w:rsidRPr="003A3431">
              <w:rPr>
                <w:rFonts w:ascii="Arial" w:hAnsi="Arial" w:cs="Arial"/>
                <w:b/>
                <w:sz w:val="20"/>
              </w:rPr>
              <w:t>.00</w:t>
            </w:r>
            <w:r w:rsidR="00881DBF">
              <w:rPr>
                <w:rFonts w:ascii="Arial" w:hAnsi="Arial" w:cs="Arial"/>
                <w:b/>
                <w:sz w:val="20"/>
              </w:rPr>
              <w:t xml:space="preserve"> </w:t>
            </w:r>
          </w:p>
        </w:tc>
      </w:tr>
    </w:tbl>
    <w:p w:rsidR="0079179F" w:rsidP="00BE5445" w14:paraId="512261B9" w14:textId="77777777"/>
    <w:p w:rsidR="0079179F" w:rsidP="00BE5445" w14:paraId="2F0BE8A0" w14:textId="77777777"/>
    <w:p w:rsidR="00E009B7" w:rsidP="00E009B7" w14:paraId="76E8039C" w14:textId="77777777"/>
    <w:p w:rsidR="00A16AE0" w:rsidRPr="001765B4" w:rsidP="00A16AE0" w14:paraId="3DDF6E6F" w14:textId="605830C8">
      <w:pPr>
        <w:rPr>
          <w:b/>
        </w:rPr>
      </w:pPr>
      <w:r w:rsidRPr="001765B4">
        <w:rPr>
          <w:b/>
        </w:rPr>
        <w:t xml:space="preserve">Total </w:t>
      </w:r>
      <w:bookmarkStart w:id="0" w:name="OLE_LINK1"/>
      <w:r w:rsidRPr="001765B4" w:rsidR="00756B87">
        <w:rPr>
          <w:b/>
        </w:rPr>
        <w:t>A</w:t>
      </w:r>
      <w:r w:rsidRPr="001765B4">
        <w:rPr>
          <w:b/>
        </w:rPr>
        <w:t xml:space="preserve">nnual </w:t>
      </w:r>
      <w:r w:rsidRPr="001765B4" w:rsidR="00756B87">
        <w:rPr>
          <w:b/>
        </w:rPr>
        <w:t>N</w:t>
      </w:r>
      <w:r w:rsidRPr="001765B4">
        <w:rPr>
          <w:b/>
        </w:rPr>
        <w:t xml:space="preserve">umber of </w:t>
      </w:r>
      <w:r w:rsidRPr="001765B4" w:rsidR="00756B87">
        <w:rPr>
          <w:b/>
        </w:rPr>
        <w:t>R</w:t>
      </w:r>
      <w:bookmarkEnd w:id="0"/>
      <w:r w:rsidRPr="001765B4">
        <w:rPr>
          <w:b/>
        </w:rPr>
        <w:t>espondents:</w:t>
      </w:r>
      <w:r w:rsidRPr="001765B4">
        <w:rPr>
          <w:b/>
        </w:rPr>
        <w:t xml:space="preserve"> </w:t>
      </w:r>
      <w:r w:rsidR="00E917BC">
        <w:rPr>
          <w:b/>
        </w:rPr>
        <w:t>2,650</w:t>
      </w:r>
      <w:r w:rsidR="007F1539">
        <w:rPr>
          <w:b/>
        </w:rPr>
        <w:t xml:space="preserve"> Cable Operators</w:t>
      </w:r>
      <w:r w:rsidR="004A79BD">
        <w:rPr>
          <w:b/>
        </w:rPr>
        <w:t xml:space="preserve"> and LFAs</w:t>
      </w:r>
      <w:r w:rsidRPr="001765B4">
        <w:rPr>
          <w:b/>
        </w:rPr>
        <w:t xml:space="preserve"> </w:t>
      </w:r>
    </w:p>
    <w:p w:rsidR="00756B87" w:rsidP="00A16AE0" w14:paraId="3F9C6E6B" w14:textId="77777777">
      <w:pPr>
        <w:rPr>
          <w:b/>
        </w:rPr>
      </w:pPr>
    </w:p>
    <w:p w:rsidR="007F1539" w:rsidRPr="001765B4" w:rsidP="00A16AE0" w14:paraId="6F44CD65" w14:textId="77777777">
      <w:pPr>
        <w:rPr>
          <w:b/>
        </w:rPr>
      </w:pPr>
    </w:p>
    <w:p w:rsidR="00A16AE0" w:rsidRPr="001765B4" w:rsidP="00A16AE0" w14:paraId="3D888351" w14:textId="29EFF160">
      <w:pPr>
        <w:rPr>
          <w:b/>
        </w:rPr>
      </w:pPr>
      <w:r w:rsidRPr="001765B4">
        <w:rPr>
          <w:b/>
        </w:rPr>
        <w:t xml:space="preserve">Total </w:t>
      </w:r>
      <w:r w:rsidRPr="001765B4" w:rsidR="00756B87">
        <w:rPr>
          <w:b/>
        </w:rPr>
        <w:t>Annual Number of R</w:t>
      </w:r>
      <w:r w:rsidRPr="001765B4">
        <w:rPr>
          <w:b/>
        </w:rPr>
        <w:t>esponses:</w:t>
      </w:r>
      <w:r w:rsidRPr="001765B4" w:rsidR="00C708B2">
        <w:rPr>
          <w:b/>
        </w:rPr>
        <w:t xml:space="preserve"> </w:t>
      </w:r>
      <w:r w:rsidR="00E917BC">
        <w:rPr>
          <w:b/>
        </w:rPr>
        <w:t>4,650</w:t>
      </w:r>
      <w:r w:rsidR="007F1539">
        <w:rPr>
          <w:b/>
        </w:rPr>
        <w:t xml:space="preserve"> FCC Form 1205 </w:t>
      </w:r>
    </w:p>
    <w:p w:rsidR="00A16AE0" w:rsidP="00A16AE0" w14:paraId="39229C5C" w14:textId="77777777">
      <w:pPr>
        <w:rPr>
          <w:b/>
        </w:rPr>
      </w:pPr>
    </w:p>
    <w:p w:rsidR="007F1539" w:rsidRPr="001765B4" w:rsidP="00A16AE0" w14:paraId="7FD53867" w14:textId="77777777">
      <w:pPr>
        <w:rPr>
          <w:b/>
        </w:rPr>
      </w:pPr>
    </w:p>
    <w:p w:rsidR="00A16AE0" w:rsidRPr="001765B4" w:rsidP="00A16AE0" w14:paraId="31E1D675" w14:textId="7B062AD9">
      <w:pPr>
        <w:rPr>
          <w:b/>
        </w:rPr>
      </w:pPr>
      <w:r w:rsidRPr="001765B4">
        <w:rPr>
          <w:b/>
        </w:rPr>
        <w:t>Total</w:t>
      </w:r>
      <w:r w:rsidR="007F1539">
        <w:rPr>
          <w:b/>
        </w:rPr>
        <w:t xml:space="preserve"> A</w:t>
      </w:r>
      <w:r w:rsidRPr="001765B4">
        <w:rPr>
          <w:b/>
        </w:rPr>
        <w:t xml:space="preserve">nnual </w:t>
      </w:r>
      <w:r w:rsidR="007F1539">
        <w:rPr>
          <w:b/>
        </w:rPr>
        <w:t>B</w:t>
      </w:r>
      <w:r w:rsidRPr="001765B4">
        <w:rPr>
          <w:b/>
        </w:rPr>
        <w:t>urden</w:t>
      </w:r>
      <w:r w:rsidR="007F1539">
        <w:rPr>
          <w:b/>
        </w:rPr>
        <w:t xml:space="preserve"> Hours</w:t>
      </w:r>
      <w:r w:rsidRPr="001765B4">
        <w:rPr>
          <w:b/>
        </w:rPr>
        <w:t>:</w:t>
      </w:r>
      <w:r w:rsidRPr="001765B4" w:rsidR="00756B87">
        <w:rPr>
          <w:b/>
        </w:rPr>
        <w:t xml:space="preserve"> </w:t>
      </w:r>
      <w:r w:rsidRPr="001765B4">
        <w:rPr>
          <w:b/>
        </w:rPr>
        <w:t xml:space="preserve"> </w:t>
      </w:r>
      <w:r w:rsidR="00E917BC">
        <w:rPr>
          <w:b/>
        </w:rPr>
        <w:t xml:space="preserve">35,800 </w:t>
      </w:r>
      <w:r w:rsidRPr="001765B4">
        <w:rPr>
          <w:b/>
        </w:rPr>
        <w:t>hours</w:t>
      </w:r>
    </w:p>
    <w:p w:rsidR="00FF72A8" w:rsidRPr="001765B4" w:rsidP="00BE5445" w14:paraId="3FED16E7" w14:textId="77777777">
      <w:pPr>
        <w:rPr>
          <w:b/>
        </w:rPr>
      </w:pPr>
    </w:p>
    <w:p w:rsidR="007F1539" w:rsidP="00BE5445" w14:paraId="059471F1" w14:textId="77777777">
      <w:pPr>
        <w:rPr>
          <w:b/>
        </w:rPr>
      </w:pPr>
    </w:p>
    <w:p w:rsidR="00F4100F" w:rsidRPr="001765B4" w:rsidP="00BE5445" w14:paraId="2AE3CBBF" w14:textId="4E3E693D">
      <w:pPr>
        <w:rPr>
          <w:b/>
        </w:rPr>
      </w:pPr>
      <w:r w:rsidRPr="001765B4">
        <w:rPr>
          <w:b/>
        </w:rPr>
        <w:t xml:space="preserve">Total Annual “In-house” Cost: </w:t>
      </w:r>
      <w:r w:rsidRPr="001765B4">
        <w:rPr>
          <w:b/>
        </w:rPr>
        <w:t xml:space="preserve"> $</w:t>
      </w:r>
      <w:r w:rsidR="00E917BC">
        <w:rPr>
          <w:b/>
        </w:rPr>
        <w:t>1,721,264</w:t>
      </w:r>
      <w:r w:rsidRPr="001765B4">
        <w:rPr>
          <w:b/>
        </w:rPr>
        <w:t xml:space="preserve">  </w:t>
      </w:r>
    </w:p>
    <w:p w:rsidR="00F4100F" w:rsidP="00F4100F" w14:paraId="000C23C6" w14:textId="77777777">
      <w:pPr>
        <w:rPr>
          <w:b/>
        </w:rPr>
      </w:pPr>
    </w:p>
    <w:p w:rsidR="005C636F" w:rsidP="00BE5445" w14:paraId="6CC51E0C" w14:textId="77777777">
      <w:r>
        <w:t xml:space="preserve">13.  </w:t>
      </w:r>
      <w:r w:rsidRPr="00854E18" w:rsidR="00854E18">
        <w:rPr>
          <w:b/>
        </w:rPr>
        <w:t>Annual Cost Burden:</w:t>
      </w:r>
      <w:r w:rsidR="00854E18">
        <w:rPr>
          <w:b/>
        </w:rPr>
        <w:t xml:space="preserve"> </w:t>
      </w:r>
      <w:r w:rsidR="001B387F">
        <w:t>We estimate that cable operators</w:t>
      </w:r>
      <w:r w:rsidR="00555F13">
        <w:t xml:space="preserve"> (500)</w:t>
      </w:r>
      <w:r w:rsidR="001B387F">
        <w:t xml:space="preserve"> that choose to outsource their FCC Form 1205 filing obligations will pay outside assistance at an average rate of $</w:t>
      </w:r>
      <w:r w:rsidR="009C449D">
        <w:t>30</w:t>
      </w:r>
      <w:r w:rsidR="001B387F">
        <w:t>0 per hour</w:t>
      </w:r>
      <w:r w:rsidR="00555F13">
        <w:t xml:space="preserve"> with each filing requiring</w:t>
      </w:r>
      <w:r w:rsidR="001B387F">
        <w:t xml:space="preserve"> 12 hours</w:t>
      </w:r>
      <w:r w:rsidR="00555F13">
        <w:t xml:space="preserve"> of work.</w:t>
      </w:r>
    </w:p>
    <w:p w:rsidR="005C636F" w:rsidP="00BE5445" w14:paraId="611E9843" w14:textId="77777777"/>
    <w:p w:rsidR="00BE5445" w:rsidP="00A04894" w14:paraId="6DC42B29" w14:textId="77777777">
      <w:pPr>
        <w:ind w:left="720"/>
        <w:rPr>
          <w:b/>
        </w:rPr>
      </w:pPr>
      <w:r w:rsidRPr="00A13E7A">
        <w:t>a. Total</w:t>
      </w:r>
      <w:r w:rsidRPr="00A13E7A" w:rsidR="006E3328">
        <w:t xml:space="preserve"> capital and start-up costs:</w:t>
      </w:r>
      <w:r w:rsidR="006E3328">
        <w:rPr>
          <w:b/>
        </w:rPr>
        <w:t xml:space="preserve">  </w:t>
      </w:r>
      <w:r w:rsidR="007F1539">
        <w:rPr>
          <w:b/>
        </w:rPr>
        <w:t>None</w:t>
      </w:r>
    </w:p>
    <w:p w:rsidR="007F1539" w:rsidP="00A04894" w14:paraId="19B8C885" w14:textId="77777777">
      <w:pPr>
        <w:ind w:left="720"/>
      </w:pPr>
    </w:p>
    <w:p w:rsidR="007F1539" w:rsidP="00A04894" w14:paraId="60F15D46" w14:textId="77777777">
      <w:pPr>
        <w:ind w:left="720"/>
        <w:rPr>
          <w:b/>
        </w:rPr>
      </w:pPr>
      <w:r w:rsidRPr="00A13E7A">
        <w:t>b. Total</w:t>
      </w:r>
      <w:r w:rsidRPr="00A13E7A" w:rsidR="006E3328">
        <w:t xml:space="preserve"> operation and maintenance costs:</w:t>
      </w:r>
      <w:r w:rsidR="006E3328">
        <w:rPr>
          <w:b/>
        </w:rPr>
        <w:t xml:space="preserve">  </w:t>
      </w:r>
    </w:p>
    <w:p w:rsidR="006E3328" w:rsidRPr="00DA3736" w:rsidP="00A04894" w14:paraId="269420CC" w14:textId="77777777">
      <w:pPr>
        <w:ind w:left="720"/>
        <w:rPr>
          <w:b/>
        </w:rPr>
      </w:pPr>
      <w:r w:rsidRPr="00DA3736">
        <w:t xml:space="preserve">500 </w:t>
      </w:r>
      <w:r w:rsidRPr="00DA3736" w:rsidR="007F1539">
        <w:t xml:space="preserve">FCC Form 1205 </w:t>
      </w:r>
      <w:r w:rsidRPr="00DA3736">
        <w:t>filings x $</w:t>
      </w:r>
      <w:r w:rsidR="009C449D">
        <w:t>300</w:t>
      </w:r>
      <w:r w:rsidRPr="00DA3736">
        <w:t>/hour x 12 hours per filing</w:t>
      </w:r>
      <w:r w:rsidRPr="00DA3736" w:rsidR="007F1539">
        <w:t xml:space="preserve"> = </w:t>
      </w:r>
      <w:r w:rsidRPr="00DA3736" w:rsidR="007F1539">
        <w:rPr>
          <w:b/>
        </w:rPr>
        <w:t>$</w:t>
      </w:r>
      <w:r w:rsidR="009C449D">
        <w:rPr>
          <w:b/>
        </w:rPr>
        <w:t>1,800,000</w:t>
      </w:r>
    </w:p>
    <w:p w:rsidR="007F1539" w:rsidRPr="00DA3736" w:rsidP="00A04894" w14:paraId="1BBAE7D6" w14:textId="77777777">
      <w:pPr>
        <w:ind w:left="720"/>
      </w:pPr>
    </w:p>
    <w:p w:rsidR="006E3328" w:rsidRPr="00DA3736" w:rsidP="00A04894" w14:paraId="6C5CB948" w14:textId="77777777">
      <w:pPr>
        <w:ind w:left="720"/>
        <w:rPr>
          <w:b/>
        </w:rPr>
      </w:pPr>
      <w:r w:rsidRPr="00DA3736">
        <w:t>c. Total</w:t>
      </w:r>
      <w:r w:rsidRPr="00DA3736">
        <w:t xml:space="preserve"> </w:t>
      </w:r>
      <w:r w:rsidRPr="00DA3736" w:rsidR="007F1539">
        <w:t xml:space="preserve">Annual </w:t>
      </w:r>
      <w:r w:rsidRPr="00DA3736">
        <w:t>Costs:</w:t>
      </w:r>
      <w:r w:rsidR="009C449D">
        <w:rPr>
          <w:b/>
        </w:rPr>
        <w:t xml:space="preserve">  $1,800,000</w:t>
      </w:r>
    </w:p>
    <w:p w:rsidR="006E3328" w:rsidRPr="00DA3736" w:rsidP="00BE5445" w14:paraId="3C3CF65E" w14:textId="77777777">
      <w:pPr>
        <w:rPr>
          <w:b/>
        </w:rPr>
      </w:pPr>
    </w:p>
    <w:p w:rsidR="00555F13" w:rsidRPr="00DA3736" w:rsidP="00BE5445" w14:paraId="09C44DB1" w14:textId="77777777">
      <w:pPr>
        <w:rPr>
          <w:b/>
        </w:rPr>
      </w:pPr>
      <w:r w:rsidRPr="00DA3736">
        <w:t>14.</w:t>
      </w:r>
      <w:r w:rsidRPr="00DA3736" w:rsidR="007F1539">
        <w:t xml:space="preserve">  </w:t>
      </w:r>
      <w:r w:rsidRPr="00DA3736" w:rsidR="001765B4">
        <w:t>There is no cost to the Federal Government.</w:t>
      </w:r>
    </w:p>
    <w:p w:rsidR="00555F13" w:rsidRPr="00720A36" w:rsidP="00BE5445" w14:paraId="4AE53519" w14:textId="77777777">
      <w:pPr>
        <w:rPr>
          <w:szCs w:val="24"/>
        </w:rPr>
      </w:pPr>
    </w:p>
    <w:p w:rsidR="00E917BC" w:rsidRPr="00E917BC" w:rsidP="00E917BC" w14:paraId="1690D9EA" w14:textId="630C0193">
      <w:pPr>
        <w:rPr>
          <w:szCs w:val="24"/>
        </w:rPr>
      </w:pPr>
      <w:r w:rsidRPr="00720A36">
        <w:rPr>
          <w:szCs w:val="24"/>
        </w:rPr>
        <w:t>15.</w:t>
      </w:r>
      <w:r w:rsidRPr="00720A36" w:rsidR="007F1539">
        <w:rPr>
          <w:szCs w:val="24"/>
        </w:rPr>
        <w:t xml:space="preserve">  </w:t>
      </w:r>
      <w:r w:rsidRPr="00720A36" w:rsidR="00720A36">
        <w:rPr>
          <w:szCs w:val="24"/>
        </w:rPr>
        <w:t>There are no program changes</w:t>
      </w:r>
      <w:r w:rsidR="00D54941">
        <w:rPr>
          <w:szCs w:val="24"/>
        </w:rPr>
        <w:t xml:space="preserve"> </w:t>
      </w:r>
      <w:r w:rsidR="004A79BD">
        <w:rPr>
          <w:szCs w:val="24"/>
        </w:rPr>
        <w:t>to this information collection</w:t>
      </w:r>
      <w:r w:rsidRPr="00720A36" w:rsidR="00720A36">
        <w:rPr>
          <w:szCs w:val="24"/>
        </w:rPr>
        <w:t>.</w:t>
      </w:r>
      <w:r w:rsidR="009C449D">
        <w:rPr>
          <w:szCs w:val="24"/>
        </w:rPr>
        <w:t xml:space="preserve"> </w:t>
      </w:r>
      <w:r w:rsidRPr="00E917BC">
        <w:rPr>
          <w:szCs w:val="24"/>
        </w:rPr>
        <w:t xml:space="preserve">  </w:t>
      </w:r>
      <w:r w:rsidR="00883050">
        <w:rPr>
          <w:szCs w:val="24"/>
        </w:rPr>
        <w:t xml:space="preserve">There are adjustments to this collection which are due to a </w:t>
      </w:r>
      <w:r w:rsidRPr="00E917BC">
        <w:rPr>
          <w:szCs w:val="24"/>
        </w:rPr>
        <w:t>reduction in the number of communities certified to regulate rates</w:t>
      </w:r>
      <w:r w:rsidR="00883050">
        <w:rPr>
          <w:szCs w:val="24"/>
        </w:rPr>
        <w:t>; therefore, the number of respondents have decreased by -1,350, the number of responses have reduced by -1,350 and the annual burden hours have reduced by -16,200</w:t>
      </w:r>
      <w:r w:rsidRPr="00E917BC">
        <w:rPr>
          <w:szCs w:val="24"/>
        </w:rPr>
        <w:t xml:space="preserve">.  </w:t>
      </w:r>
    </w:p>
    <w:p w:rsidR="00D54941" w:rsidRPr="00720A36" w:rsidP="00BE5445" w14:paraId="7A4628BA" w14:textId="77777777">
      <w:pPr>
        <w:rPr>
          <w:szCs w:val="24"/>
        </w:rPr>
      </w:pPr>
    </w:p>
    <w:p w:rsidR="00BE5445" w:rsidRPr="00720A36" w:rsidP="00BE5445" w14:paraId="709567C5" w14:textId="77777777">
      <w:pPr>
        <w:rPr>
          <w:szCs w:val="24"/>
        </w:rPr>
      </w:pPr>
      <w:r w:rsidRPr="00720A36">
        <w:rPr>
          <w:szCs w:val="24"/>
        </w:rPr>
        <w:t>16.</w:t>
      </w:r>
      <w:r w:rsidRPr="00720A36" w:rsidR="007F1539">
        <w:rPr>
          <w:szCs w:val="24"/>
        </w:rPr>
        <w:t xml:space="preserve">  </w:t>
      </w:r>
      <w:r w:rsidRPr="00720A36" w:rsidR="005638C9">
        <w:rPr>
          <w:szCs w:val="24"/>
        </w:rPr>
        <w:t>The information is not published for statistical use.</w:t>
      </w:r>
    </w:p>
    <w:p w:rsidR="00BE5445" w:rsidRPr="00720A36" w:rsidP="00BE5445" w14:paraId="2EBAE8AE" w14:textId="77777777">
      <w:pPr>
        <w:rPr>
          <w:szCs w:val="24"/>
        </w:rPr>
      </w:pPr>
    </w:p>
    <w:p w:rsidR="00BE5445" w:rsidRPr="00720A36" w:rsidP="00BE5445" w14:paraId="537D1548" w14:textId="77777777">
      <w:pPr>
        <w:rPr>
          <w:szCs w:val="24"/>
        </w:rPr>
      </w:pPr>
      <w:r w:rsidRPr="00720A36">
        <w:rPr>
          <w:szCs w:val="24"/>
        </w:rPr>
        <w:t>17.</w:t>
      </w:r>
      <w:r w:rsidRPr="00720A36" w:rsidR="007F1539">
        <w:rPr>
          <w:szCs w:val="24"/>
        </w:rPr>
        <w:t xml:space="preserve">  </w:t>
      </w:r>
      <w:r w:rsidRPr="00720A36" w:rsidR="00DE27AC">
        <w:rPr>
          <w:szCs w:val="24"/>
        </w:rPr>
        <w:t>We request an extension of the waiver allowing us not to publish the expiration date on the form.  This will obviate the need for the Commission to update this electronic form upon extension of OMB clearance.  OMB approval of the expiration date of the information collection will be displayed at 47 CFR Section 0.408.</w:t>
      </w:r>
      <w:r w:rsidRPr="00720A36" w:rsidR="00952FD7">
        <w:rPr>
          <w:szCs w:val="24"/>
        </w:rPr>
        <w:t xml:space="preserve">  </w:t>
      </w:r>
    </w:p>
    <w:p w:rsidR="00BE5445" w:rsidRPr="00720A36" w:rsidP="00BE5445" w14:paraId="00A63C3C" w14:textId="77777777">
      <w:pPr>
        <w:rPr>
          <w:szCs w:val="24"/>
        </w:rPr>
      </w:pPr>
    </w:p>
    <w:p w:rsidR="00720A36" w:rsidRPr="00720A36" w:rsidP="00720A36" w14:paraId="04616B72" w14:textId="77777777">
      <w:pPr>
        <w:suppressAutoHyphens/>
        <w:rPr>
          <w:szCs w:val="24"/>
        </w:rPr>
      </w:pPr>
      <w:r w:rsidRPr="00720A36">
        <w:rPr>
          <w:szCs w:val="24"/>
        </w:rPr>
        <w:t>18.</w:t>
      </w:r>
      <w:r w:rsidRPr="00720A36" w:rsidR="007F1539">
        <w:rPr>
          <w:szCs w:val="24"/>
        </w:rPr>
        <w:t xml:space="preserve"> </w:t>
      </w:r>
      <w:r w:rsidRPr="00720A36">
        <w:rPr>
          <w:szCs w:val="24"/>
        </w:rPr>
        <w:t>There are no exceptions to the Certification Statement</w:t>
      </w:r>
      <w:r w:rsidR="009C449D">
        <w:rPr>
          <w:szCs w:val="24"/>
        </w:rPr>
        <w:t>.</w:t>
      </w:r>
    </w:p>
    <w:p w:rsidR="00BE5445" w:rsidRPr="00720A36" w:rsidP="00BE5445" w14:paraId="286396E2" w14:textId="77777777">
      <w:pPr>
        <w:rPr>
          <w:b/>
          <w:szCs w:val="24"/>
        </w:rPr>
      </w:pPr>
    </w:p>
    <w:p w:rsidR="00BE5445" w:rsidRPr="001B6593" w:rsidP="00BE5445" w14:paraId="0FA0305B" w14:textId="77777777">
      <w:pPr>
        <w:rPr>
          <w:b/>
        </w:rPr>
      </w:pPr>
      <w:r w:rsidRPr="001B6593">
        <w:rPr>
          <w:b/>
        </w:rPr>
        <w:t>B.</w:t>
      </w:r>
      <w:r w:rsidR="001B6593">
        <w:rPr>
          <w:b/>
        </w:rPr>
        <w:tab/>
      </w:r>
      <w:r w:rsidRPr="001B6593">
        <w:rPr>
          <w:b/>
        </w:rPr>
        <w:t>Collections of Information Employing Statistical Methods</w:t>
      </w:r>
      <w:r w:rsidR="001B6593">
        <w:rPr>
          <w:b/>
        </w:rPr>
        <w:t>:</w:t>
      </w:r>
    </w:p>
    <w:p w:rsidR="008E2412" w:rsidP="00BE5445" w14:paraId="0F6BDBDB" w14:textId="77777777"/>
    <w:p w:rsidR="00BE5445" w:rsidRPr="00952FD7" w:rsidP="00BE5445" w14:paraId="37DE12A6" w14:textId="77777777">
      <w:r>
        <w:t>No statistical methods are employed.</w:t>
      </w:r>
    </w:p>
    <w:p w:rsidR="00BE5445" w:rsidP="00BE5445" w14:paraId="5D7E4155" w14:textId="77777777">
      <w:pPr>
        <w:rPr>
          <w:b/>
        </w:rPr>
      </w:pPr>
    </w:p>
    <w:p w:rsidR="00BE5445" w:rsidP="00BE5445" w14:paraId="4F9D45ED" w14:textId="77777777">
      <w:pPr>
        <w:rPr>
          <w:b/>
        </w:rPr>
      </w:pPr>
    </w:p>
    <w:sectPr w:rsidSect="007833FE">
      <w:headerReference w:type="even" r:id="rId5"/>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A36" w:rsidP="00591263" w14:paraId="6392429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A36" w:rsidP="00591263" w14:paraId="7D114EE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A36" w:rsidRPr="00591263" w:rsidP="00591263" w14:paraId="5BDE1DE3" w14:textId="77777777">
    <w:pPr>
      <w:pStyle w:val="Footer"/>
      <w:framePr w:wrap="around" w:vAnchor="text" w:hAnchor="margin" w:xAlign="center" w:y="1"/>
      <w:rPr>
        <w:rStyle w:val="PageNumber"/>
        <w:sz w:val="20"/>
      </w:rPr>
    </w:pPr>
    <w:r w:rsidRPr="00591263">
      <w:rPr>
        <w:rStyle w:val="PageNumber"/>
        <w:sz w:val="20"/>
      </w:rPr>
      <w:fldChar w:fldCharType="begin"/>
    </w:r>
    <w:r w:rsidRPr="00591263">
      <w:rPr>
        <w:rStyle w:val="PageNumber"/>
        <w:sz w:val="20"/>
      </w:rPr>
      <w:instrText xml:space="preserve">PAGE  </w:instrText>
    </w:r>
    <w:r w:rsidRPr="00591263">
      <w:rPr>
        <w:rStyle w:val="PageNumber"/>
        <w:sz w:val="20"/>
      </w:rPr>
      <w:fldChar w:fldCharType="separate"/>
    </w:r>
    <w:r w:rsidR="00B03B53">
      <w:rPr>
        <w:rStyle w:val="PageNumber"/>
        <w:noProof/>
        <w:sz w:val="20"/>
      </w:rPr>
      <w:t>2</w:t>
    </w:r>
    <w:r w:rsidRPr="00591263">
      <w:rPr>
        <w:rStyle w:val="PageNumber"/>
        <w:sz w:val="20"/>
      </w:rPr>
      <w:fldChar w:fldCharType="end"/>
    </w:r>
  </w:p>
  <w:p w:rsidR="00720A36" w:rsidP="00591263" w14:paraId="732D6C9F" w14:textId="7777777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3D2E" w14:paraId="5F906C16" w14:textId="77777777">
      <w:r>
        <w:separator/>
      </w:r>
    </w:p>
  </w:footnote>
  <w:footnote w:type="continuationSeparator" w:id="1">
    <w:p w:rsidR="00EE3D2E" w14:paraId="16BF1F78" w14:textId="77777777">
      <w:r>
        <w:continuationSeparator/>
      </w:r>
    </w:p>
  </w:footnote>
  <w:footnote w:id="2">
    <w:p w:rsidR="00720A36" w14:paraId="463C4E64" w14:textId="48A9D219">
      <w:pPr>
        <w:pStyle w:val="FootnoteText"/>
      </w:pPr>
      <w:r>
        <w:rPr>
          <w:rStyle w:val="FootnoteReference"/>
        </w:rPr>
        <w:footnoteRef/>
      </w:r>
      <w:r>
        <w:t xml:space="preserve"> These 150 applications are completed by cable operators who complete applications without outside assistance/contractors.</w:t>
      </w:r>
    </w:p>
  </w:footnote>
  <w:footnote w:id="3">
    <w:p w:rsidR="00720A36" w14:paraId="12982C78" w14:textId="77777777">
      <w:pPr>
        <w:pStyle w:val="FootnoteText"/>
      </w:pPr>
      <w:r>
        <w:rPr>
          <w:rStyle w:val="FootnoteReference"/>
        </w:rPr>
        <w:footnoteRef/>
      </w:r>
      <w:r>
        <w:t xml:space="preserve"> These 500 applications represent filings that require cable operators (respondents) to coordinate information with outside accounting and legal contractors which in turn will allow the contractors to prepare the applications/filings for the cable operators.</w:t>
      </w:r>
    </w:p>
  </w:footnote>
  <w:footnote w:id="4">
    <w:p w:rsidR="00720A36" w14:paraId="72EEBEC6" w14:textId="77777777">
      <w:pPr>
        <w:pStyle w:val="FootnoteText"/>
      </w:pPr>
      <w:r>
        <w:rPr>
          <w:rStyle w:val="FootnoteReference"/>
        </w:rPr>
        <w:footnoteRef/>
      </w:r>
      <w:r>
        <w:t xml:space="preserve"> These 2,000 applications represent filings reviewed by the LFA.</w:t>
      </w:r>
    </w:p>
  </w:footnote>
  <w:footnote w:id="5">
    <w:p w:rsidR="00720A36" w14:paraId="4C19A133" w14:textId="77777777">
      <w:pPr>
        <w:pStyle w:val="FootnoteText"/>
      </w:pPr>
      <w:r>
        <w:rPr>
          <w:rStyle w:val="FootnoteReference"/>
        </w:rPr>
        <w:footnoteRef/>
      </w:r>
      <w:r>
        <w:t xml:space="preserve"> We estimate that approximately 2,000 cable operators’ accounting systems are impacted by the Section 76.923 requirements and that the average annual recordkeeping burden on these entities is 4 hours per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A36" w:rsidP="00591263" w14:paraId="6923CCFD"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A36" w14:paraId="1D7BEF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A36" w:rsidRPr="004236B5" w:rsidP="004236B5" w14:paraId="0491418F" w14:textId="62FD4A80">
    <w:pPr>
      <w:rPr>
        <w:b/>
      </w:rPr>
    </w:pPr>
    <w:r>
      <w:rPr>
        <w:b/>
      </w:rPr>
      <w:t xml:space="preserve">OMB Control Number:  </w:t>
    </w:r>
    <w:r w:rsidRPr="004236B5">
      <w:rPr>
        <w:b/>
      </w:rPr>
      <w:t>3060-0703</w:t>
    </w:r>
    <w:r w:rsidRPr="004236B5">
      <w:rPr>
        <w:b/>
      </w:rPr>
      <w:tab/>
    </w:r>
    <w:r w:rsidRPr="004236B5">
      <w:rPr>
        <w:b/>
      </w:rPr>
      <w:tab/>
    </w:r>
    <w:r w:rsidRPr="004236B5">
      <w:rPr>
        <w:b/>
      </w:rPr>
      <w:tab/>
    </w:r>
    <w:r w:rsidRPr="004236B5">
      <w:rPr>
        <w:b/>
      </w:rPr>
      <w:tab/>
    </w:r>
    <w:r>
      <w:rPr>
        <w:b/>
      </w:rPr>
      <w:tab/>
    </w:r>
    <w:r>
      <w:rPr>
        <w:b/>
      </w:rPr>
      <w:tab/>
    </w:r>
    <w:r w:rsidR="00C64C18">
      <w:rPr>
        <w:b/>
      </w:rPr>
      <w:t xml:space="preserve">          </w:t>
    </w:r>
    <w:r w:rsidR="007471F1">
      <w:rPr>
        <w:b/>
      </w:rPr>
      <w:t>Ma</w:t>
    </w:r>
    <w:r w:rsidR="00883050">
      <w:rPr>
        <w:b/>
      </w:rPr>
      <w:t>y</w:t>
    </w:r>
    <w:r w:rsidR="007471F1">
      <w:rPr>
        <w:b/>
      </w:rPr>
      <w:t xml:space="preserve"> 2023</w:t>
    </w:r>
  </w:p>
  <w:p w:rsidR="00720A36" w:rsidRPr="005C45B2" w:rsidP="004236B5" w14:paraId="538CB522" w14:textId="77777777">
    <w:pPr>
      <w:rPr>
        <w:b/>
      </w:rPr>
    </w:pPr>
    <w:r>
      <w:rPr>
        <w:b/>
      </w:rPr>
      <w:t xml:space="preserve">Title: </w:t>
    </w:r>
    <w:r w:rsidRPr="005C45B2">
      <w:rPr>
        <w:b/>
      </w:rPr>
      <w:t xml:space="preserve">Determining Costs of Regulated Cable Equipment and Installation, </w:t>
    </w:r>
    <w:r>
      <w:rPr>
        <w:b/>
      </w:rPr>
      <w:t xml:space="preserve">FCC </w:t>
    </w:r>
    <w:r w:rsidRPr="005C45B2">
      <w:rPr>
        <w:b/>
      </w:rPr>
      <w:t>Form 1205</w:t>
    </w:r>
  </w:p>
  <w:p w:rsidR="00720A36" w14:paraId="580DBD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845B7"/>
    <w:multiLevelType w:val="hybridMultilevel"/>
    <w:tmpl w:val="DC5437B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F0A211F"/>
    <w:multiLevelType w:val="hybridMultilevel"/>
    <w:tmpl w:val="92822F0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DCE269D"/>
    <w:multiLevelType w:val="hybridMultilevel"/>
    <w:tmpl w:val="70CCB908"/>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80E3310"/>
    <w:multiLevelType w:val="hybridMultilevel"/>
    <w:tmpl w:val="3DA081B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E31435"/>
    <w:multiLevelType w:val="hybridMultilevel"/>
    <w:tmpl w:val="557E2DC2"/>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7FB0FBB"/>
    <w:multiLevelType w:val="hybridMultilevel"/>
    <w:tmpl w:val="8DFC9D24"/>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1F826AD"/>
    <w:multiLevelType w:val="hybridMultilevel"/>
    <w:tmpl w:val="8D00B18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03B53C3"/>
    <w:multiLevelType w:val="hybridMultilevel"/>
    <w:tmpl w:val="2BA23BBA"/>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0DC7D2F"/>
    <w:multiLevelType w:val="hybridMultilevel"/>
    <w:tmpl w:val="9FA86A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5021DC6"/>
    <w:multiLevelType w:val="hybridMultilevel"/>
    <w:tmpl w:val="D898C5F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75967785">
    <w:abstractNumId w:val="6"/>
  </w:num>
  <w:num w:numId="2" w16cid:durableId="1954440746">
    <w:abstractNumId w:val="8"/>
  </w:num>
  <w:num w:numId="3" w16cid:durableId="819922201">
    <w:abstractNumId w:val="1"/>
  </w:num>
  <w:num w:numId="4" w16cid:durableId="450514796">
    <w:abstractNumId w:val="3"/>
  </w:num>
  <w:num w:numId="5" w16cid:durableId="1091586914">
    <w:abstractNumId w:val="9"/>
  </w:num>
  <w:num w:numId="6" w16cid:durableId="1685354837">
    <w:abstractNumId w:val="0"/>
  </w:num>
  <w:num w:numId="7" w16cid:durableId="1932926840">
    <w:abstractNumId w:val="2"/>
  </w:num>
  <w:num w:numId="8" w16cid:durableId="1327441155">
    <w:abstractNumId w:val="7"/>
  </w:num>
  <w:num w:numId="9" w16cid:durableId="491727227">
    <w:abstractNumId w:val="4"/>
  </w:num>
  <w:num w:numId="10" w16cid:durableId="830147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9"/>
    <w:rsid w:val="00011225"/>
    <w:rsid w:val="00023C8B"/>
    <w:rsid w:val="000257AA"/>
    <w:rsid w:val="000374F9"/>
    <w:rsid w:val="00041598"/>
    <w:rsid w:val="000502CF"/>
    <w:rsid w:val="000728BD"/>
    <w:rsid w:val="00080119"/>
    <w:rsid w:val="00087BBB"/>
    <w:rsid w:val="000E7B90"/>
    <w:rsid w:val="000F76A9"/>
    <w:rsid w:val="00100A6A"/>
    <w:rsid w:val="0012260E"/>
    <w:rsid w:val="00156687"/>
    <w:rsid w:val="00162795"/>
    <w:rsid w:val="00173A46"/>
    <w:rsid w:val="001765B4"/>
    <w:rsid w:val="001812B1"/>
    <w:rsid w:val="00191C1D"/>
    <w:rsid w:val="001A3047"/>
    <w:rsid w:val="001A6277"/>
    <w:rsid w:val="001B139A"/>
    <w:rsid w:val="001B387F"/>
    <w:rsid w:val="001B502E"/>
    <w:rsid w:val="001B563B"/>
    <w:rsid w:val="001B6593"/>
    <w:rsid w:val="001C0E93"/>
    <w:rsid w:val="002009A6"/>
    <w:rsid w:val="00202B51"/>
    <w:rsid w:val="00222A27"/>
    <w:rsid w:val="002240B7"/>
    <w:rsid w:val="00243C94"/>
    <w:rsid w:val="00256358"/>
    <w:rsid w:val="0029170A"/>
    <w:rsid w:val="0029637B"/>
    <w:rsid w:val="002A40A6"/>
    <w:rsid w:val="002B2871"/>
    <w:rsid w:val="002C13A0"/>
    <w:rsid w:val="002D6C0C"/>
    <w:rsid w:val="0031724D"/>
    <w:rsid w:val="0033201A"/>
    <w:rsid w:val="00335C06"/>
    <w:rsid w:val="00353955"/>
    <w:rsid w:val="003810B7"/>
    <w:rsid w:val="003A3431"/>
    <w:rsid w:val="003A3845"/>
    <w:rsid w:val="003A4288"/>
    <w:rsid w:val="003A6228"/>
    <w:rsid w:val="003B262D"/>
    <w:rsid w:val="003E52D9"/>
    <w:rsid w:val="003F158B"/>
    <w:rsid w:val="00400BB5"/>
    <w:rsid w:val="004027B0"/>
    <w:rsid w:val="00413843"/>
    <w:rsid w:val="004236B5"/>
    <w:rsid w:val="00433DEB"/>
    <w:rsid w:val="004416A8"/>
    <w:rsid w:val="004446C5"/>
    <w:rsid w:val="00464315"/>
    <w:rsid w:val="004937E2"/>
    <w:rsid w:val="004944E7"/>
    <w:rsid w:val="004A755D"/>
    <w:rsid w:val="004A79BD"/>
    <w:rsid w:val="004B6211"/>
    <w:rsid w:val="00533155"/>
    <w:rsid w:val="005402CC"/>
    <w:rsid w:val="00555F13"/>
    <w:rsid w:val="005638C9"/>
    <w:rsid w:val="00572DF8"/>
    <w:rsid w:val="0058502A"/>
    <w:rsid w:val="0059046D"/>
    <w:rsid w:val="00591263"/>
    <w:rsid w:val="005B24E6"/>
    <w:rsid w:val="005C45B2"/>
    <w:rsid w:val="005C636F"/>
    <w:rsid w:val="005C6986"/>
    <w:rsid w:val="005D6C9A"/>
    <w:rsid w:val="005E10A7"/>
    <w:rsid w:val="006160E1"/>
    <w:rsid w:val="00643CF7"/>
    <w:rsid w:val="00647A5E"/>
    <w:rsid w:val="0065410B"/>
    <w:rsid w:val="00657F3D"/>
    <w:rsid w:val="00672487"/>
    <w:rsid w:val="006822AE"/>
    <w:rsid w:val="00686C1B"/>
    <w:rsid w:val="00693823"/>
    <w:rsid w:val="006A1D43"/>
    <w:rsid w:val="006B352E"/>
    <w:rsid w:val="006B79A4"/>
    <w:rsid w:val="006C36C4"/>
    <w:rsid w:val="006D4EFF"/>
    <w:rsid w:val="006E3328"/>
    <w:rsid w:val="00706D36"/>
    <w:rsid w:val="007164E0"/>
    <w:rsid w:val="0071664E"/>
    <w:rsid w:val="00720A36"/>
    <w:rsid w:val="007214D7"/>
    <w:rsid w:val="0072594D"/>
    <w:rsid w:val="0074059D"/>
    <w:rsid w:val="007471F1"/>
    <w:rsid w:val="00756B87"/>
    <w:rsid w:val="007672E1"/>
    <w:rsid w:val="007742E0"/>
    <w:rsid w:val="007802A3"/>
    <w:rsid w:val="007833FE"/>
    <w:rsid w:val="00785A71"/>
    <w:rsid w:val="007871CA"/>
    <w:rsid w:val="0079179F"/>
    <w:rsid w:val="0079385D"/>
    <w:rsid w:val="0079522B"/>
    <w:rsid w:val="007A7546"/>
    <w:rsid w:val="007C2827"/>
    <w:rsid w:val="007F1539"/>
    <w:rsid w:val="007F1DCE"/>
    <w:rsid w:val="007F5F44"/>
    <w:rsid w:val="00801848"/>
    <w:rsid w:val="0082052C"/>
    <w:rsid w:val="0084372D"/>
    <w:rsid w:val="00854E18"/>
    <w:rsid w:val="008755A1"/>
    <w:rsid w:val="00880FEB"/>
    <w:rsid w:val="00881DBF"/>
    <w:rsid w:val="00883050"/>
    <w:rsid w:val="008B57CF"/>
    <w:rsid w:val="008E2412"/>
    <w:rsid w:val="008E25C8"/>
    <w:rsid w:val="008E35CF"/>
    <w:rsid w:val="00911B2F"/>
    <w:rsid w:val="0092257C"/>
    <w:rsid w:val="00950C72"/>
    <w:rsid w:val="00952FD7"/>
    <w:rsid w:val="009566B6"/>
    <w:rsid w:val="00964BAD"/>
    <w:rsid w:val="009C019B"/>
    <w:rsid w:val="009C01CA"/>
    <w:rsid w:val="009C3DEB"/>
    <w:rsid w:val="009C449D"/>
    <w:rsid w:val="009C4DA5"/>
    <w:rsid w:val="009F7376"/>
    <w:rsid w:val="00A04894"/>
    <w:rsid w:val="00A13E7A"/>
    <w:rsid w:val="00A15E20"/>
    <w:rsid w:val="00A162F5"/>
    <w:rsid w:val="00A16AE0"/>
    <w:rsid w:val="00A20562"/>
    <w:rsid w:val="00A235E8"/>
    <w:rsid w:val="00A53C89"/>
    <w:rsid w:val="00A64544"/>
    <w:rsid w:val="00A650ED"/>
    <w:rsid w:val="00A72702"/>
    <w:rsid w:val="00A7496D"/>
    <w:rsid w:val="00A921FF"/>
    <w:rsid w:val="00A9491F"/>
    <w:rsid w:val="00AB0F89"/>
    <w:rsid w:val="00AB1FFB"/>
    <w:rsid w:val="00AB53A1"/>
    <w:rsid w:val="00AC1A38"/>
    <w:rsid w:val="00AF42E4"/>
    <w:rsid w:val="00B03B53"/>
    <w:rsid w:val="00B03FCA"/>
    <w:rsid w:val="00B04994"/>
    <w:rsid w:val="00B05AED"/>
    <w:rsid w:val="00B16408"/>
    <w:rsid w:val="00B342DF"/>
    <w:rsid w:val="00B432BB"/>
    <w:rsid w:val="00B74E49"/>
    <w:rsid w:val="00BA2D3D"/>
    <w:rsid w:val="00BB64C4"/>
    <w:rsid w:val="00BE445B"/>
    <w:rsid w:val="00BE5445"/>
    <w:rsid w:val="00BF1BE6"/>
    <w:rsid w:val="00C25F8C"/>
    <w:rsid w:val="00C31317"/>
    <w:rsid w:val="00C35376"/>
    <w:rsid w:val="00C50238"/>
    <w:rsid w:val="00C53E19"/>
    <w:rsid w:val="00C64C18"/>
    <w:rsid w:val="00C708B2"/>
    <w:rsid w:val="00C81C17"/>
    <w:rsid w:val="00C97B1A"/>
    <w:rsid w:val="00CC1421"/>
    <w:rsid w:val="00CD328F"/>
    <w:rsid w:val="00CF2FD6"/>
    <w:rsid w:val="00CF7AFC"/>
    <w:rsid w:val="00D00D36"/>
    <w:rsid w:val="00D054A8"/>
    <w:rsid w:val="00D14220"/>
    <w:rsid w:val="00D16368"/>
    <w:rsid w:val="00D20356"/>
    <w:rsid w:val="00D263AE"/>
    <w:rsid w:val="00D336BE"/>
    <w:rsid w:val="00D47643"/>
    <w:rsid w:val="00D54941"/>
    <w:rsid w:val="00D75600"/>
    <w:rsid w:val="00D9108F"/>
    <w:rsid w:val="00DA3736"/>
    <w:rsid w:val="00DD64A2"/>
    <w:rsid w:val="00DE1741"/>
    <w:rsid w:val="00DE27AC"/>
    <w:rsid w:val="00DF49BF"/>
    <w:rsid w:val="00E009B7"/>
    <w:rsid w:val="00E13EF7"/>
    <w:rsid w:val="00E2322C"/>
    <w:rsid w:val="00E243B3"/>
    <w:rsid w:val="00E4559A"/>
    <w:rsid w:val="00E75338"/>
    <w:rsid w:val="00E86D64"/>
    <w:rsid w:val="00E917BC"/>
    <w:rsid w:val="00E91AE8"/>
    <w:rsid w:val="00E924E2"/>
    <w:rsid w:val="00E94785"/>
    <w:rsid w:val="00EC2C3F"/>
    <w:rsid w:val="00EE3D2E"/>
    <w:rsid w:val="00F04D81"/>
    <w:rsid w:val="00F170B4"/>
    <w:rsid w:val="00F4100F"/>
    <w:rsid w:val="00F449DD"/>
    <w:rsid w:val="00F800C5"/>
    <w:rsid w:val="00F94BF7"/>
    <w:rsid w:val="00F95F6E"/>
    <w:rsid w:val="00FA07C3"/>
    <w:rsid w:val="00FA30CC"/>
    <w:rsid w:val="00FB48E0"/>
    <w:rsid w:val="00FD44A3"/>
    <w:rsid w:val="00FD66F7"/>
    <w:rsid w:val="00FF535C"/>
    <w:rsid w:val="00FF71E9"/>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C5E254"/>
  <w15:chartTrackingRefBased/>
  <w15:docId w15:val="{E9085E59-9250-462A-BA0A-96B04296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36B5"/>
    <w:pPr>
      <w:tabs>
        <w:tab w:val="center" w:pos="4320"/>
        <w:tab w:val="right" w:pos="8640"/>
      </w:tabs>
    </w:pPr>
  </w:style>
  <w:style w:type="paragraph" w:styleId="Footer">
    <w:name w:val="footer"/>
    <w:basedOn w:val="Normal"/>
    <w:rsid w:val="004236B5"/>
    <w:pPr>
      <w:tabs>
        <w:tab w:val="center" w:pos="4320"/>
        <w:tab w:val="right" w:pos="8640"/>
      </w:tabs>
    </w:pPr>
  </w:style>
  <w:style w:type="character" w:styleId="PageNumber">
    <w:name w:val="page number"/>
    <w:basedOn w:val="DefaultParagraphFont"/>
    <w:rsid w:val="00591263"/>
  </w:style>
  <w:style w:type="paragraph" w:styleId="BalloonText">
    <w:name w:val="Balloon Text"/>
    <w:basedOn w:val="Normal"/>
    <w:semiHidden/>
    <w:rsid w:val="000502CF"/>
    <w:rPr>
      <w:rFonts w:ascii="Tahoma" w:hAnsi="Tahoma" w:cs="Tahoma"/>
      <w:sz w:val="16"/>
      <w:szCs w:val="16"/>
    </w:rPr>
  </w:style>
  <w:style w:type="paragraph" w:styleId="FootnoteText">
    <w:name w:val="footnote text"/>
    <w:basedOn w:val="Normal"/>
    <w:semiHidden/>
    <w:rsid w:val="00BF1BE6"/>
    <w:rPr>
      <w:sz w:val="20"/>
    </w:rPr>
  </w:style>
  <w:style w:type="character" w:styleId="FootnoteReference">
    <w:name w:val="footnote reference"/>
    <w:semiHidden/>
    <w:rsid w:val="00BF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September 1999</vt:lpstr>
    </vt:vector>
  </TitlesOfParts>
  <Company>Federal Communications Commission</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September 1999</dc:title>
  <dc:creator>Claudette Johnson</dc:creator>
  <cp:lastModifiedBy>Cathy Williams</cp:lastModifiedBy>
  <cp:revision>2</cp:revision>
  <cp:lastPrinted>2006-02-09T14:26:00Z</cp:lastPrinted>
  <dcterms:created xsi:type="dcterms:W3CDTF">2023-05-31T18:56:00Z</dcterms:created>
  <dcterms:modified xsi:type="dcterms:W3CDTF">2023-05-31T18:56:00Z</dcterms:modified>
</cp:coreProperties>
</file>