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5BC1" w:rsidP="00CB1E34" w14:paraId="4F611AFD" w14:textId="03924971">
      <w:pPr>
        <w:spacing w:after="0" w:line="259" w:lineRule="auto"/>
        <w:ind w:left="0" w:firstLine="0"/>
        <w:jc w:val="center"/>
      </w:pPr>
      <w:r w:rsidRPr="65217A7F">
        <w:rPr>
          <w:b/>
          <w:bCs/>
        </w:rPr>
        <w:t>CONSUMER FINANCIAL PROTECTION BUREAU</w:t>
      </w:r>
      <w:r>
        <w:br/>
      </w:r>
      <w:r w:rsidRPr="65217A7F">
        <w:rPr>
          <w:b/>
          <w:bCs/>
        </w:rPr>
        <w:t>SUPPORTING STATEMENT</w:t>
      </w:r>
      <w:r>
        <w:br/>
      </w:r>
      <w:r w:rsidRPr="65217A7F" w:rsidR="002531D7">
        <w:rPr>
          <w:b/>
          <w:bCs/>
        </w:rPr>
        <w:t>EQUAL CREDIT OPPORTUNITY</w:t>
      </w:r>
      <w:r w:rsidRPr="65217A7F" w:rsidR="009346F0">
        <w:rPr>
          <w:b/>
          <w:bCs/>
        </w:rPr>
        <w:t xml:space="preserve"> ACT</w:t>
      </w:r>
    </w:p>
    <w:p w:rsidR="00EA5BC1" w:rsidP="00CB1E34" w14:paraId="7040A9CE" w14:textId="60146B34">
      <w:pPr>
        <w:spacing w:after="0" w:line="259" w:lineRule="auto"/>
        <w:jc w:val="center"/>
      </w:pPr>
      <w:r>
        <w:rPr>
          <w:b/>
        </w:rPr>
        <w:t>(REGULATION</w:t>
      </w:r>
      <w:r w:rsidR="002531D7">
        <w:rPr>
          <w:b/>
        </w:rPr>
        <w:t xml:space="preserve"> B</w:t>
      </w:r>
      <w:r>
        <w:rPr>
          <w:b/>
        </w:rPr>
        <w:t>)</w:t>
      </w:r>
    </w:p>
    <w:p w:rsidR="00EA5BC1" w:rsidP="00CB1E34" w14:paraId="7BBF3E44" w14:textId="5DA7E4D5">
      <w:pPr>
        <w:spacing w:after="0" w:line="259" w:lineRule="auto"/>
        <w:ind w:left="16" w:right="6"/>
        <w:jc w:val="center"/>
        <w:rPr>
          <w:b/>
        </w:rPr>
      </w:pPr>
      <w:r>
        <w:rPr>
          <w:b/>
        </w:rPr>
        <w:t>(OMB CONTROL NUMBER: 3170-001</w:t>
      </w:r>
      <w:r w:rsidR="002531D7">
        <w:rPr>
          <w:b/>
        </w:rPr>
        <w:t>3</w:t>
      </w:r>
      <w:r>
        <w:rPr>
          <w:b/>
        </w:rPr>
        <w:t>)</w:t>
      </w:r>
    </w:p>
    <w:p w:rsidR="00CB1E34" w:rsidP="00F918F7" w14:paraId="2AE73A99" w14:textId="77777777">
      <w:pPr>
        <w:spacing w:after="0" w:line="259" w:lineRule="auto"/>
        <w:ind w:left="16" w:right="6"/>
      </w:pPr>
    </w:p>
    <w:p w:rsidR="00AD3BBF" w:rsidRPr="00750D93" w:rsidP="00AD3BBF" w14:paraId="22E225D2" w14:textId="77777777">
      <w:pPr>
        <w:spacing w:after="240" w:line="240" w:lineRule="auto"/>
        <w:ind w:right="10"/>
        <w:rPr>
          <w:szCs w:val="24"/>
        </w:rPr>
      </w:pPr>
      <w:r w:rsidRPr="00750D93">
        <w:rPr>
          <w:b/>
          <w:bCs/>
          <w:szCs w:val="24"/>
          <w:u w:val="single"/>
        </w:rPr>
        <w:t>JUSTIFICATION</w:t>
      </w:r>
    </w:p>
    <w:p w:rsidR="009346F0" w:rsidP="000F3112" w14:paraId="1DF59BE7" w14:textId="2A4F489B">
      <w:pPr>
        <w:pStyle w:val="Heading1"/>
        <w:ind w:left="0" w:firstLine="0"/>
        <w:rPr>
          <w:u w:val="none"/>
        </w:rPr>
      </w:pPr>
      <w:r w:rsidRPr="000F3112">
        <w:t>1.</w:t>
      </w:r>
      <w:r w:rsidRPr="00DA4517">
        <w:rPr>
          <w:u w:val="none"/>
        </w:rPr>
        <w:t xml:space="preserve"> </w:t>
      </w:r>
      <w:r w:rsidRPr="00750D93" w:rsidR="00AD3BBF">
        <w:t>Circumstances Necessitating the Data Collection</w:t>
      </w:r>
    </w:p>
    <w:p w:rsidR="007D5B4B" w:rsidRPr="00BF6D43" w:rsidP="001761B2" w14:paraId="4084EE85" w14:textId="77777777">
      <w:pPr>
        <w:pStyle w:val="ListParagraph"/>
        <w:ind w:left="370" w:firstLine="0"/>
      </w:pPr>
    </w:p>
    <w:p w:rsidR="0003379C" w:rsidP="0003379C" w14:paraId="131209C8" w14:textId="6F32E07A">
      <w:pPr>
        <w:spacing w:after="240" w:line="240" w:lineRule="auto"/>
        <w:ind w:right="10"/>
        <w:rPr>
          <w:rFonts w:eastAsia="Calibri"/>
          <w:szCs w:val="24"/>
        </w:rPr>
      </w:pPr>
      <w:r w:rsidRPr="00750D93">
        <w:rPr>
          <w:rFonts w:eastAsia="Calibri"/>
          <w:szCs w:val="24"/>
        </w:rPr>
        <w:t xml:space="preserve">The Equal Credit Opportunity Act (ECOA), 15 U.S.C. 1691 </w:t>
      </w:r>
      <w:r w:rsidRPr="00750D93">
        <w:rPr>
          <w:rFonts w:eastAsia="Calibri"/>
          <w:i/>
          <w:szCs w:val="24"/>
        </w:rPr>
        <w:t>et seq.</w:t>
      </w:r>
      <w:r w:rsidRPr="00750D93">
        <w:rPr>
          <w:rFonts w:eastAsia="Calibri"/>
          <w:szCs w:val="24"/>
        </w:rPr>
        <w:t>, implemented by the Consumer Financial Protection</w:t>
      </w:r>
      <w:r w:rsidR="00EC7A17">
        <w:rPr>
          <w:rFonts w:eastAsia="Calibri"/>
          <w:szCs w:val="24"/>
        </w:rPr>
        <w:t xml:space="preserve"> Bureau</w:t>
      </w:r>
      <w:r w:rsidRPr="00750D93">
        <w:rPr>
          <w:rFonts w:eastAsia="Calibri"/>
          <w:szCs w:val="24"/>
        </w:rPr>
        <w:t>’s (CFPB) Regulation B, 12 CFR Part 1002, makes it unlawful to discriminate against any applicant, with respect to any aspect of a credit transaction,</w:t>
      </w:r>
      <w:r>
        <w:rPr>
          <w:rFonts w:eastAsia="Calibri"/>
          <w:szCs w:val="24"/>
        </w:rPr>
        <w:t xml:space="preserve"> </w:t>
      </w:r>
      <w:r w:rsidRPr="00750D93">
        <w:rPr>
          <w:rFonts w:eastAsia="Calibri"/>
          <w:szCs w:val="24"/>
        </w:rPr>
        <w:t>on the basis of</w:t>
      </w:r>
      <w:r w:rsidRPr="00750D93">
        <w:rPr>
          <w:rFonts w:eastAsia="Calibri"/>
          <w:szCs w:val="24"/>
        </w:rPr>
        <w:t xml:space="preserve"> sex</w:t>
      </w:r>
      <w:r w:rsidR="00304DEC">
        <w:rPr>
          <w:rFonts w:eastAsia="Calibri"/>
          <w:szCs w:val="24"/>
        </w:rPr>
        <w:t xml:space="preserve"> (including sexual orientation and gender identity)</w:t>
      </w:r>
      <w:r w:rsidRPr="00750D93">
        <w:rPr>
          <w:rFonts w:eastAsia="Calibri"/>
          <w:szCs w:val="24"/>
        </w:rPr>
        <w:t>, marital status, race, color, religion, national origin, age, or other prohibited bases under ECOA.</w:t>
      </w:r>
      <w:r w:rsidR="001A36A4">
        <w:rPr>
          <w:rFonts w:eastAsia="Calibri"/>
          <w:szCs w:val="24"/>
        </w:rPr>
        <w:t xml:space="preserve"> </w:t>
      </w:r>
      <w:r w:rsidRPr="00750D93">
        <w:rPr>
          <w:rFonts w:eastAsia="Calibri"/>
          <w:szCs w:val="24"/>
        </w:rPr>
        <w:t xml:space="preserve"> To aid in implementation of this prohibition, the statute and regulation subject creditors to various mandatory disclosure requirements, notification provisions informing applicants of action taken on their credit applications, credit history reporting, monitoring rules, and recordkeeping requirements. </w:t>
      </w:r>
      <w:r w:rsidR="001A36A4">
        <w:rPr>
          <w:rFonts w:eastAsia="Calibri"/>
          <w:szCs w:val="24"/>
        </w:rPr>
        <w:t xml:space="preserve"> </w:t>
      </w:r>
      <w:r w:rsidRPr="00750D93">
        <w:rPr>
          <w:rFonts w:eastAsia="Calibri"/>
          <w:szCs w:val="24"/>
        </w:rPr>
        <w:t xml:space="preserve">These requirements are triggered by specific events and creditors must provide disclosures within the time periods established by the statute and regulation. </w:t>
      </w:r>
      <w:r w:rsidR="001A36A4">
        <w:rPr>
          <w:rFonts w:eastAsia="Calibri"/>
          <w:szCs w:val="24"/>
        </w:rPr>
        <w:t xml:space="preserve"> </w:t>
      </w:r>
      <w:r w:rsidR="00114B94">
        <w:rPr>
          <w:rFonts w:eastAsia="Calibri"/>
          <w:szCs w:val="24"/>
        </w:rPr>
        <w:t>These provisions</w:t>
      </w:r>
      <w:r w:rsidR="00632EE0">
        <w:rPr>
          <w:rFonts w:eastAsia="Calibri"/>
          <w:szCs w:val="24"/>
        </w:rPr>
        <w:t xml:space="preserve"> </w:t>
      </w:r>
      <w:r w:rsidR="00114B94">
        <w:rPr>
          <w:rFonts w:eastAsia="Calibri"/>
          <w:szCs w:val="24"/>
        </w:rPr>
        <w:t xml:space="preserve">are contained in </w:t>
      </w:r>
      <w:r w:rsidR="001A36A4">
        <w:rPr>
          <w:rFonts w:eastAsia="Calibri"/>
          <w:szCs w:val="24"/>
        </w:rPr>
        <w:t>S</w:t>
      </w:r>
      <w:r w:rsidR="00114B94">
        <w:rPr>
          <w:rFonts w:eastAsia="Calibri"/>
          <w:szCs w:val="24"/>
        </w:rPr>
        <w:t>ubpart A</w:t>
      </w:r>
      <w:r w:rsidR="00632EE0">
        <w:rPr>
          <w:rFonts w:eastAsia="Calibri"/>
          <w:szCs w:val="24"/>
        </w:rPr>
        <w:t xml:space="preserve"> of Regulation B (</w:t>
      </w:r>
      <w:r w:rsidR="007967B2">
        <w:rPr>
          <w:rFonts w:eastAsia="Calibri"/>
          <w:szCs w:val="24"/>
        </w:rPr>
        <w:t>section</w:t>
      </w:r>
      <w:r w:rsidR="00CD0BBB">
        <w:rPr>
          <w:rFonts w:eastAsia="Calibri"/>
          <w:szCs w:val="24"/>
        </w:rPr>
        <w:t>s</w:t>
      </w:r>
      <w:r w:rsidR="00632EE0">
        <w:rPr>
          <w:rFonts w:eastAsia="Calibri"/>
          <w:szCs w:val="24"/>
        </w:rPr>
        <w:t> </w:t>
      </w:r>
      <w:r w:rsidRPr="00750D93" w:rsidR="00632EE0">
        <w:rPr>
          <w:rFonts w:eastAsia="Calibri"/>
          <w:szCs w:val="24"/>
        </w:rPr>
        <w:t>1002.</w:t>
      </w:r>
      <w:r w:rsidR="00632EE0">
        <w:rPr>
          <w:rFonts w:eastAsia="Calibri"/>
          <w:szCs w:val="24"/>
        </w:rPr>
        <w:t>1-1002.16)</w:t>
      </w:r>
      <w:r w:rsidR="00114B94">
        <w:rPr>
          <w:rFonts w:eastAsia="Calibri"/>
          <w:szCs w:val="24"/>
        </w:rPr>
        <w:t xml:space="preserve">.  </w:t>
      </w:r>
    </w:p>
    <w:p w:rsidR="004B2B8B" w:rsidRPr="00750D93" w:rsidP="004B2B8B" w14:paraId="7174F5D4" w14:textId="249823D0">
      <w:pPr>
        <w:spacing w:after="240" w:line="240" w:lineRule="auto"/>
        <w:ind w:right="10"/>
        <w:rPr>
          <w:rFonts w:eastAsia="Calibri"/>
          <w:szCs w:val="24"/>
        </w:rPr>
      </w:pPr>
      <w:r w:rsidRPr="00750D93">
        <w:rPr>
          <w:rFonts w:eastAsia="Calibri"/>
          <w:szCs w:val="24"/>
        </w:rPr>
        <w:t>In 2010, Congress passed the Dodd-Frank Act</w:t>
      </w:r>
      <w:r w:rsidR="001A36A4">
        <w:rPr>
          <w:rFonts w:eastAsia="Calibri"/>
          <w:szCs w:val="24"/>
        </w:rPr>
        <w:t xml:space="preserve"> (Dodd-Frank or the Act)</w:t>
      </w:r>
      <w:r w:rsidRPr="00750D93">
        <w:rPr>
          <w:rFonts w:eastAsia="Calibri"/>
          <w:szCs w:val="24"/>
        </w:rPr>
        <w:t xml:space="preserve">. </w:t>
      </w:r>
      <w:r w:rsidR="001A36A4">
        <w:rPr>
          <w:rFonts w:eastAsia="Calibri"/>
          <w:szCs w:val="24"/>
        </w:rPr>
        <w:t xml:space="preserve"> </w:t>
      </w:r>
      <w:r w:rsidRPr="00750D93">
        <w:rPr>
          <w:rFonts w:eastAsia="Calibri"/>
          <w:szCs w:val="24"/>
        </w:rPr>
        <w:t xml:space="preserve">Section 1071 of that Act amended ECOA to require that financial institutions collect and report to the </w:t>
      </w:r>
      <w:r w:rsidR="00EC7A17">
        <w:rPr>
          <w:rFonts w:eastAsia="Calibri"/>
          <w:szCs w:val="24"/>
        </w:rPr>
        <w:t xml:space="preserve">CFPB </w:t>
      </w:r>
      <w:r w:rsidRPr="00750D93">
        <w:rPr>
          <w:rFonts w:eastAsia="Calibri"/>
          <w:szCs w:val="24"/>
        </w:rPr>
        <w:t>certain data regarding applications for credit for women-owned, minority-owned, and small businesses.</w:t>
      </w:r>
      <w:r>
        <w:rPr>
          <w:rFonts w:eastAsia="Calibri"/>
          <w:szCs w:val="24"/>
        </w:rPr>
        <w:t xml:space="preserve"> </w:t>
      </w:r>
      <w:r w:rsidRPr="00750D93">
        <w:rPr>
          <w:rFonts w:eastAsia="Calibri"/>
          <w:szCs w:val="24"/>
        </w:rPr>
        <w:t xml:space="preserve">Section 1071’s statutory purposes are to (1) facilitate enforcement of fair lending laws, and (2) enable communities, governmental entities, and creditors to identify business and community development needs and opportunities of women-owned, minority-owned, and small businesses. </w:t>
      </w:r>
    </w:p>
    <w:p w:rsidR="00317B49" w:rsidRPr="00060D22" w:rsidP="001710AD" w14:paraId="6FE08611" w14:textId="2438EEBD">
      <w:pPr>
        <w:spacing w:after="240" w:line="240" w:lineRule="auto"/>
        <w:ind w:right="10"/>
        <w:rPr>
          <w:rFonts w:eastAsia="Calibri"/>
          <w:szCs w:val="24"/>
        </w:rPr>
      </w:pPr>
      <w:r w:rsidRPr="00750D93">
        <w:rPr>
          <w:rFonts w:eastAsia="Calibri"/>
          <w:szCs w:val="24"/>
        </w:rPr>
        <w:t xml:space="preserve">Section 1071 specifies a number of data points that financial institutions are required to collect and report, and also provides authority for the </w:t>
      </w:r>
      <w:r w:rsidR="00EC7A17">
        <w:rPr>
          <w:rFonts w:eastAsia="Calibri"/>
          <w:szCs w:val="24"/>
        </w:rPr>
        <w:t xml:space="preserve">CFPB </w:t>
      </w:r>
      <w:r w:rsidRPr="00750D93">
        <w:rPr>
          <w:rFonts w:eastAsia="Calibri"/>
          <w:szCs w:val="24"/>
        </w:rPr>
        <w:t xml:space="preserve">to require any additional data that the </w:t>
      </w:r>
      <w:r w:rsidR="00EC7A17">
        <w:rPr>
          <w:rFonts w:eastAsia="Calibri"/>
          <w:szCs w:val="24"/>
        </w:rPr>
        <w:t xml:space="preserve">CFPB </w:t>
      </w:r>
      <w:r w:rsidRPr="00750D93">
        <w:rPr>
          <w:rFonts w:eastAsia="Calibri"/>
          <w:szCs w:val="24"/>
        </w:rPr>
        <w:t xml:space="preserve">determines would aid in fulfilling section 1071’s statutory purposes. Section 1071 also contains </w:t>
      </w:r>
      <w:r w:rsidRPr="00750D93">
        <w:rPr>
          <w:rFonts w:eastAsia="Calibri"/>
          <w:szCs w:val="24"/>
        </w:rPr>
        <w:t>a number of</w:t>
      </w:r>
      <w:r w:rsidRPr="00750D93">
        <w:rPr>
          <w:rFonts w:eastAsia="Calibri"/>
          <w:szCs w:val="24"/>
        </w:rPr>
        <w:t xml:space="preserve"> other requirements, including those that address restricting the access of underwriters and other persons to certain data</w:t>
      </w:r>
      <w:r w:rsidR="001A36A4">
        <w:rPr>
          <w:rFonts w:eastAsia="Calibri"/>
          <w:szCs w:val="24"/>
        </w:rPr>
        <w:t>,</w:t>
      </w:r>
      <w:r w:rsidRPr="00750D93">
        <w:rPr>
          <w:rFonts w:eastAsia="Calibri"/>
          <w:szCs w:val="24"/>
        </w:rPr>
        <w:t xml:space="preserve"> recordkeeping</w:t>
      </w:r>
      <w:r w:rsidR="001A36A4">
        <w:rPr>
          <w:rFonts w:eastAsia="Calibri"/>
          <w:szCs w:val="24"/>
        </w:rPr>
        <w:t>,</w:t>
      </w:r>
      <w:r w:rsidRPr="00750D93">
        <w:rPr>
          <w:rFonts w:eastAsia="Calibri"/>
          <w:szCs w:val="24"/>
        </w:rPr>
        <w:t xml:space="preserve"> and publication of </w:t>
      </w:r>
      <w:r w:rsidR="00F66D8E">
        <w:rPr>
          <w:rFonts w:eastAsia="Calibri"/>
          <w:szCs w:val="24"/>
        </w:rPr>
        <w:t xml:space="preserve">small business lending </w:t>
      </w:r>
      <w:r w:rsidRPr="00750D93">
        <w:rPr>
          <w:rFonts w:eastAsia="Calibri"/>
          <w:szCs w:val="24"/>
        </w:rPr>
        <w:t xml:space="preserve">data. </w:t>
      </w:r>
      <w:r w:rsidR="001A36A4">
        <w:rPr>
          <w:rFonts w:eastAsia="Calibri"/>
          <w:szCs w:val="24"/>
        </w:rPr>
        <w:t>Additionally</w:t>
      </w:r>
      <w:r w:rsidRPr="00750D93">
        <w:rPr>
          <w:rFonts w:eastAsia="Calibri"/>
          <w:szCs w:val="24"/>
        </w:rPr>
        <w:t xml:space="preserve">, section 1071 permits the </w:t>
      </w:r>
      <w:r w:rsidR="00EC7A17">
        <w:rPr>
          <w:rFonts w:eastAsia="Calibri"/>
          <w:szCs w:val="24"/>
        </w:rPr>
        <w:t>CFPB</w:t>
      </w:r>
      <w:r w:rsidRPr="00750D93">
        <w:rPr>
          <w:rFonts w:eastAsia="Calibri"/>
          <w:szCs w:val="24"/>
        </w:rPr>
        <w:t xml:space="preserve"> to modify or delete data prior to publication if it determines that such a deletion or modification would advance a privacy interest.</w:t>
      </w:r>
      <w:r w:rsidR="00632EE0">
        <w:rPr>
          <w:rFonts w:eastAsia="Calibri"/>
          <w:szCs w:val="24"/>
        </w:rPr>
        <w:t xml:space="preserve"> </w:t>
      </w:r>
      <w:r w:rsidR="001A36A4">
        <w:rPr>
          <w:rFonts w:eastAsia="Calibri"/>
          <w:szCs w:val="24"/>
        </w:rPr>
        <w:t xml:space="preserve"> </w:t>
      </w:r>
      <w:r w:rsidR="00632EE0">
        <w:rPr>
          <w:rFonts w:eastAsia="Calibri"/>
          <w:szCs w:val="24"/>
        </w:rPr>
        <w:t>Section 1071 is implemented in</w:t>
      </w:r>
      <w:r w:rsidRPr="00750D93">
        <w:rPr>
          <w:rFonts w:eastAsia="Calibri"/>
          <w:szCs w:val="24"/>
        </w:rPr>
        <w:t xml:space="preserve"> subpart B </w:t>
      </w:r>
      <w:r w:rsidR="00632EE0">
        <w:rPr>
          <w:rFonts w:eastAsia="Calibri"/>
          <w:szCs w:val="24"/>
        </w:rPr>
        <w:t xml:space="preserve">of Regulation B </w:t>
      </w:r>
      <w:r w:rsidR="00673FB9">
        <w:rPr>
          <w:rFonts w:eastAsia="Calibri"/>
          <w:szCs w:val="24"/>
        </w:rPr>
        <w:t>(</w:t>
      </w:r>
      <w:r w:rsidR="001A36A4">
        <w:rPr>
          <w:rFonts w:eastAsia="Calibri"/>
          <w:szCs w:val="24"/>
        </w:rPr>
        <w:t>Sections</w:t>
      </w:r>
      <w:r w:rsidR="00673FB9">
        <w:rPr>
          <w:rFonts w:eastAsia="Calibri"/>
          <w:szCs w:val="24"/>
        </w:rPr>
        <w:t> </w:t>
      </w:r>
      <w:r w:rsidRPr="00750D93" w:rsidR="00673FB9">
        <w:rPr>
          <w:rFonts w:eastAsia="Calibri"/>
          <w:szCs w:val="24"/>
        </w:rPr>
        <w:t>1002.</w:t>
      </w:r>
      <w:r w:rsidR="00673FB9">
        <w:rPr>
          <w:rFonts w:eastAsia="Calibri"/>
          <w:szCs w:val="24"/>
        </w:rPr>
        <w:t>101-1002.114)</w:t>
      </w:r>
      <w:r w:rsidRPr="00750D93">
        <w:rPr>
          <w:rFonts w:eastAsia="Calibri"/>
          <w:szCs w:val="24"/>
        </w:rPr>
        <w:t>.</w:t>
      </w:r>
      <w:r>
        <w:rPr>
          <w:rFonts w:eastAsia="Calibri"/>
          <w:szCs w:val="24"/>
        </w:rPr>
        <w:t xml:space="preserve"> </w:t>
      </w:r>
    </w:p>
    <w:p w:rsidR="0003379C" w:rsidRPr="00750D93" w:rsidP="002A1F52" w14:paraId="360DEE23" w14:textId="62893BAF">
      <w:pPr>
        <w:keepNext/>
        <w:spacing w:after="240" w:line="240" w:lineRule="auto"/>
        <w:ind w:left="14" w:right="14" w:hanging="14"/>
        <w:rPr>
          <w:rFonts w:eastAsia="Calibri"/>
          <w:szCs w:val="24"/>
          <w:u w:val="single"/>
        </w:rPr>
      </w:pPr>
      <w:r w:rsidRPr="00750D93">
        <w:rPr>
          <w:rFonts w:eastAsia="Calibri"/>
          <w:szCs w:val="24"/>
          <w:u w:val="single"/>
        </w:rPr>
        <w:t>Recordkeeping</w:t>
      </w:r>
      <w:r w:rsidR="008F2784">
        <w:rPr>
          <w:rFonts w:eastAsia="Calibri"/>
          <w:szCs w:val="24"/>
          <w:u w:val="single"/>
        </w:rPr>
        <w:t xml:space="preserve"> and </w:t>
      </w:r>
      <w:r w:rsidR="00154719">
        <w:rPr>
          <w:rFonts w:eastAsia="Calibri"/>
          <w:szCs w:val="24"/>
          <w:u w:val="single"/>
        </w:rPr>
        <w:t>Reporting Requirements</w:t>
      </w:r>
    </w:p>
    <w:p w:rsidR="004B2B8B" w:rsidRPr="00DA4517" w:rsidP="002A1F52" w14:paraId="202BC89A" w14:textId="4E01669F">
      <w:pPr>
        <w:keepNext/>
        <w:spacing w:after="240" w:line="240" w:lineRule="auto"/>
        <w:ind w:left="14" w:right="14" w:hanging="14"/>
        <w:rPr>
          <w:rFonts w:eastAsia="Calibri"/>
          <w:szCs w:val="24"/>
          <w:u w:val="single"/>
        </w:rPr>
      </w:pPr>
      <w:r w:rsidRPr="00DA4517">
        <w:rPr>
          <w:rFonts w:eastAsia="Calibri"/>
          <w:szCs w:val="24"/>
          <w:u w:val="single"/>
        </w:rPr>
        <w:t>Subpart A</w:t>
      </w:r>
    </w:p>
    <w:p w:rsidR="0003379C" w:rsidRPr="00750D93" w:rsidP="0003379C" w14:paraId="4F757C32" w14:textId="6D28C1A6">
      <w:pPr>
        <w:spacing w:after="240" w:line="240" w:lineRule="auto"/>
        <w:ind w:right="10"/>
        <w:rPr>
          <w:rFonts w:eastAsia="Calibri"/>
          <w:szCs w:val="24"/>
        </w:rPr>
      </w:pPr>
      <w:r w:rsidRPr="00C66DFC">
        <w:rPr>
          <w:rFonts w:eastAsia="Calibri"/>
          <w:szCs w:val="24"/>
        </w:rPr>
        <w:t xml:space="preserve">Section 1002.12(b) of Regulation B requires creditors to retain records relating to consumer credit applications for 25 months from the date that the applicant is notified of the action taken on the application or, where notice is not required, for 25 months from the date of the application. When a creditor takes adverse action on an existing account, the creditor must retain records for 25 months after the applicant is notified of the action taken. </w:t>
      </w:r>
      <w:r w:rsidR="007967B2">
        <w:rPr>
          <w:rFonts w:eastAsia="Calibri"/>
          <w:szCs w:val="24"/>
        </w:rPr>
        <w:t xml:space="preserve"> </w:t>
      </w:r>
      <w:r w:rsidRPr="00C66DFC">
        <w:rPr>
          <w:rFonts w:eastAsia="Calibri"/>
          <w:szCs w:val="24"/>
        </w:rPr>
        <w:t xml:space="preserve">Records of business credit applications generally must be retained for 12 months, with certain exceptions. Regulation B also requires creditors who have been informed that they are the subject of an investigation regarding their compliance with ECOA to retain such records until the agency or a court informs them that retention is no longer necessary. </w:t>
      </w:r>
      <w:r w:rsidR="007967B2">
        <w:rPr>
          <w:rFonts w:eastAsia="Calibri"/>
          <w:szCs w:val="24"/>
        </w:rPr>
        <w:t xml:space="preserve"> </w:t>
      </w:r>
      <w:r w:rsidRPr="00C66DFC">
        <w:rPr>
          <w:rFonts w:eastAsia="Calibri"/>
          <w:szCs w:val="24"/>
        </w:rPr>
        <w:t xml:space="preserve">Regulation B also requires creditors to retain certain prescreened solicitation materials for 25 months after the date on which an offer of credit is made to potential customers (12 months for business credit, with certain exceptions). </w:t>
      </w:r>
      <w:r w:rsidR="007967B2">
        <w:rPr>
          <w:rFonts w:eastAsia="Calibri"/>
          <w:szCs w:val="24"/>
        </w:rPr>
        <w:t xml:space="preserve"> </w:t>
      </w:r>
      <w:r w:rsidRPr="00C66DFC">
        <w:rPr>
          <w:rFonts w:eastAsia="Calibri"/>
          <w:szCs w:val="24"/>
        </w:rPr>
        <w:t xml:space="preserve">Moreover, Regulation B requires creditors to retain all written or recorded information about a self-test (including corrective action), as defined in </w:t>
      </w:r>
      <w:r w:rsidR="007967B2">
        <w:rPr>
          <w:rFonts w:eastAsia="Calibri"/>
          <w:szCs w:val="24"/>
        </w:rPr>
        <w:t>Section</w:t>
      </w:r>
      <w:r>
        <w:rPr>
          <w:rFonts w:eastAsia="Calibri"/>
          <w:szCs w:val="24"/>
        </w:rPr>
        <w:t> </w:t>
      </w:r>
      <w:r w:rsidRPr="00C66DFC">
        <w:rPr>
          <w:rFonts w:eastAsia="Calibri"/>
          <w:szCs w:val="24"/>
        </w:rPr>
        <w:t>1002.15 of Regulation B, for 25 months after a self-test has been completed (and longer under some circumstances).</w:t>
      </w:r>
      <w:r w:rsidRPr="00750D93">
        <w:rPr>
          <w:rFonts w:eastAsia="Calibri"/>
          <w:szCs w:val="24"/>
        </w:rPr>
        <w:t xml:space="preserve"> </w:t>
      </w:r>
    </w:p>
    <w:p w:rsidR="0003379C" w:rsidP="0003379C" w14:paraId="692A6EF1" w14:textId="752F0122">
      <w:pPr>
        <w:spacing w:after="240" w:line="240" w:lineRule="auto"/>
        <w:ind w:right="10"/>
        <w:rPr>
          <w:rFonts w:eastAsia="Calibri"/>
          <w:szCs w:val="24"/>
        </w:rPr>
      </w:pPr>
      <w:r w:rsidRPr="00750D93">
        <w:rPr>
          <w:rFonts w:eastAsia="Calibri"/>
          <w:szCs w:val="24"/>
        </w:rPr>
        <w:t xml:space="preserve">Section 1002.13 of Regulation B requires that creditors who receive applications for certain mortgage credit requests, as part of the application process, obtain information about the applicant’s race/national origin, sex, marital status, and age. </w:t>
      </w:r>
      <w:r w:rsidR="007967B2">
        <w:rPr>
          <w:rFonts w:eastAsia="Calibri"/>
          <w:szCs w:val="24"/>
        </w:rPr>
        <w:t xml:space="preserve"> </w:t>
      </w:r>
      <w:r w:rsidRPr="00750D93">
        <w:rPr>
          <w:rFonts w:eastAsia="Calibri"/>
          <w:szCs w:val="24"/>
        </w:rPr>
        <w:t>The applicant is asked but not required to supply the information.</w:t>
      </w:r>
      <w:r w:rsidR="007967B2">
        <w:rPr>
          <w:rFonts w:eastAsia="Calibri"/>
          <w:szCs w:val="24"/>
        </w:rPr>
        <w:t xml:space="preserve"> </w:t>
      </w:r>
      <w:r w:rsidRPr="00750D93">
        <w:rPr>
          <w:rFonts w:eastAsia="Calibri"/>
          <w:szCs w:val="24"/>
        </w:rPr>
        <w:t xml:space="preserve"> If the applicant chooses not to provide the information or any part of it, the creditor must note that fact on the form and must note the applicant’s race/national origin and sex, to the extent that it is possible to determine these characteristics based on a visual observation or a surname. </w:t>
      </w:r>
      <w:r w:rsidR="007967B2">
        <w:rPr>
          <w:rFonts w:eastAsia="Calibri"/>
          <w:szCs w:val="24"/>
        </w:rPr>
        <w:t xml:space="preserve"> </w:t>
      </w:r>
      <w:r w:rsidRPr="00750D93">
        <w:rPr>
          <w:rFonts w:eastAsia="Calibri"/>
          <w:szCs w:val="24"/>
        </w:rPr>
        <w:t>The creditor is required to inform the applicant that the information is sought by the federal government to help monitor compliance with federal statutes that prohibit creditors from discriminating against applicants based on the above-noted factors.</w:t>
      </w:r>
    </w:p>
    <w:p w:rsidR="004B2B8B" w:rsidRPr="00E83F4C" w:rsidP="0003379C" w14:paraId="12BC66AD" w14:textId="12F7EF36">
      <w:pPr>
        <w:spacing w:after="240" w:line="240" w:lineRule="auto"/>
        <w:ind w:right="10"/>
        <w:rPr>
          <w:rFonts w:eastAsia="Calibri"/>
          <w:szCs w:val="24"/>
          <w:u w:val="single"/>
        </w:rPr>
      </w:pPr>
      <w:r w:rsidRPr="00E83F4C">
        <w:rPr>
          <w:rFonts w:eastAsia="Calibri"/>
          <w:szCs w:val="24"/>
          <w:u w:val="single"/>
        </w:rPr>
        <w:tab/>
      </w:r>
      <w:r w:rsidRPr="00E83F4C" w:rsidR="0025703F">
        <w:rPr>
          <w:rFonts w:eastAsia="Calibri"/>
          <w:szCs w:val="24"/>
          <w:u w:val="single"/>
        </w:rPr>
        <w:t>Subpart B</w:t>
      </w:r>
    </w:p>
    <w:p w:rsidR="0025703F" w:rsidP="0025703F" w14:paraId="4CDD225A" w14:textId="7B18982C">
      <w:pPr>
        <w:spacing w:after="240" w:line="240" w:lineRule="auto"/>
        <w:ind w:right="10"/>
        <w:rPr>
          <w:rFonts w:eastAsia="Calibri"/>
          <w:szCs w:val="24"/>
        </w:rPr>
      </w:pPr>
      <w:r>
        <w:rPr>
          <w:rFonts w:eastAsia="Calibri"/>
          <w:szCs w:val="24"/>
        </w:rPr>
        <w:t>S</w:t>
      </w:r>
      <w:r w:rsidRPr="00750D93">
        <w:rPr>
          <w:rFonts w:eastAsia="Calibri"/>
          <w:szCs w:val="24"/>
        </w:rPr>
        <w:t>ubpart B</w:t>
      </w:r>
      <w:r>
        <w:rPr>
          <w:rFonts w:eastAsia="Calibri"/>
          <w:szCs w:val="24"/>
        </w:rPr>
        <w:t xml:space="preserve"> of Regulation B</w:t>
      </w:r>
      <w:r w:rsidRPr="00750D93">
        <w:rPr>
          <w:rFonts w:eastAsia="Calibri"/>
          <w:szCs w:val="24"/>
        </w:rPr>
        <w:t xml:space="preserve"> </w:t>
      </w:r>
      <w:r>
        <w:rPr>
          <w:rFonts w:eastAsia="Calibri"/>
          <w:szCs w:val="24"/>
        </w:rPr>
        <w:t>contains</w:t>
      </w:r>
      <w:r w:rsidRPr="00750D93">
        <w:rPr>
          <w:rFonts w:eastAsia="Calibri"/>
          <w:szCs w:val="24"/>
        </w:rPr>
        <w:t xml:space="preserve"> recordkeeping requirements and collections of information</w:t>
      </w:r>
      <w:r>
        <w:rPr>
          <w:rFonts w:eastAsia="Calibri"/>
          <w:szCs w:val="24"/>
        </w:rPr>
        <w:t xml:space="preserve"> regarding certain applications for credit for small businesses</w:t>
      </w:r>
      <w:r w:rsidRPr="00750D93">
        <w:rPr>
          <w:rFonts w:eastAsia="Calibri"/>
          <w:szCs w:val="24"/>
        </w:rPr>
        <w:t>.</w:t>
      </w:r>
      <w:r>
        <w:rPr>
          <w:rFonts w:eastAsia="Calibri"/>
          <w:szCs w:val="24"/>
        </w:rPr>
        <w:t xml:space="preserve"> </w:t>
      </w:r>
    </w:p>
    <w:p w:rsidR="003C5CD9" w:rsidRPr="00750D93" w:rsidP="0025703F" w14:paraId="0A45F35C" w14:textId="440D3D84">
      <w:pPr>
        <w:spacing w:after="240" w:line="240" w:lineRule="auto"/>
        <w:ind w:right="10"/>
        <w:rPr>
          <w:rFonts w:eastAsia="Calibri"/>
          <w:szCs w:val="24"/>
        </w:rPr>
      </w:pPr>
      <w:r w:rsidRPr="00BB5942">
        <w:rPr>
          <w:szCs w:val="24"/>
        </w:rPr>
        <w:t xml:space="preserve">Section 1002.107 addresses several aspects of collecting data on covered applications from small businesses. </w:t>
      </w:r>
      <w:r w:rsidR="007967B2">
        <w:rPr>
          <w:szCs w:val="24"/>
        </w:rPr>
        <w:t xml:space="preserve"> </w:t>
      </w:r>
      <w:r w:rsidRPr="00BB5942">
        <w:rPr>
          <w:szCs w:val="24"/>
        </w:rPr>
        <w:t>Section 1002.107(a) requires</w:t>
      </w:r>
      <w:r w:rsidR="003E365D">
        <w:rPr>
          <w:szCs w:val="24"/>
        </w:rPr>
        <w:t xml:space="preserve"> covered</w:t>
      </w:r>
      <w:r w:rsidRPr="00BB5942">
        <w:rPr>
          <w:szCs w:val="24"/>
        </w:rPr>
        <w:t xml:space="preserve"> financial institutions to compile and maintain the data points enumerated in </w:t>
      </w:r>
      <w:r w:rsidR="007967B2">
        <w:rPr>
          <w:szCs w:val="24"/>
        </w:rPr>
        <w:t>section</w:t>
      </w:r>
      <w:r>
        <w:rPr>
          <w:szCs w:val="24"/>
        </w:rPr>
        <w:t> </w:t>
      </w:r>
      <w:r w:rsidRPr="00BB5942">
        <w:rPr>
          <w:szCs w:val="24"/>
        </w:rPr>
        <w:t>1002.107(a)(1) through (20).</w:t>
      </w:r>
      <w:r w:rsidR="007967B2">
        <w:rPr>
          <w:szCs w:val="24"/>
        </w:rPr>
        <w:t xml:space="preserve">  </w:t>
      </w:r>
      <w:r w:rsidRPr="00BB5942">
        <w:rPr>
          <w:szCs w:val="24"/>
        </w:rPr>
        <w:t xml:space="preserve">These data points must be collected and reported in accordance with the </w:t>
      </w:r>
      <w:r>
        <w:rPr>
          <w:szCs w:val="24"/>
        </w:rPr>
        <w:t>rule and</w:t>
      </w:r>
      <w:r w:rsidRPr="00BB5942">
        <w:rPr>
          <w:szCs w:val="24"/>
        </w:rPr>
        <w:t xml:space="preserve"> the </w:t>
      </w:r>
      <w:r w:rsidRPr="00D44F1D">
        <w:rPr>
          <w:rStyle w:val="Strong"/>
          <w:b w:val="0"/>
          <w:iCs/>
          <w:szCs w:val="24"/>
          <w:lang w:val="en"/>
        </w:rPr>
        <w:t>Filing Instructions Guide</w:t>
      </w:r>
      <w:r w:rsidRPr="00BB5942">
        <w:rPr>
          <w:rStyle w:val="Strong"/>
          <w:iCs/>
          <w:szCs w:val="24"/>
          <w:lang w:val="en"/>
        </w:rPr>
        <w:t xml:space="preserve"> </w:t>
      </w:r>
      <w:r w:rsidRPr="00BB5942">
        <w:rPr>
          <w:iCs/>
          <w:szCs w:val="24"/>
        </w:rPr>
        <w:t>that</w:t>
      </w:r>
      <w:r w:rsidRPr="00BB5942">
        <w:rPr>
          <w:szCs w:val="24"/>
        </w:rPr>
        <w:t xml:space="preserve"> the </w:t>
      </w:r>
      <w:r>
        <w:rPr>
          <w:szCs w:val="24"/>
        </w:rPr>
        <w:t>CFPB</w:t>
      </w:r>
      <w:r w:rsidRPr="00BB5942">
        <w:rPr>
          <w:szCs w:val="24"/>
        </w:rPr>
        <w:t xml:space="preserve"> will provide for the appropriate </w:t>
      </w:r>
      <w:r>
        <w:rPr>
          <w:szCs w:val="24"/>
        </w:rPr>
        <w:t xml:space="preserve">filing </w:t>
      </w:r>
      <w:r w:rsidRPr="00BB5942">
        <w:rPr>
          <w:szCs w:val="24"/>
        </w:rPr>
        <w:t xml:space="preserve">year. </w:t>
      </w:r>
      <w:r w:rsidR="007967B2">
        <w:rPr>
          <w:szCs w:val="24"/>
        </w:rPr>
        <w:t xml:space="preserve"> </w:t>
      </w:r>
      <w:r w:rsidRPr="00BB5942">
        <w:rPr>
          <w:szCs w:val="24"/>
        </w:rPr>
        <w:t>Certain of these data points are or could be collected from the applicant (or otherwise determined based on information from appropriate third-party sources</w:t>
      </w:r>
      <w:r w:rsidR="007967B2">
        <w:rPr>
          <w:szCs w:val="24"/>
        </w:rPr>
        <w:t>).  O</w:t>
      </w:r>
      <w:r w:rsidRPr="00BB5942">
        <w:rPr>
          <w:szCs w:val="24"/>
        </w:rPr>
        <w:t>ther data points are based on information within the financial institution’s control.</w:t>
      </w:r>
    </w:p>
    <w:p w:rsidR="0025703F" w:rsidP="0025703F" w14:paraId="5A7BA6CB" w14:textId="029F1ED9">
      <w:pPr>
        <w:spacing w:after="240" w:line="240" w:lineRule="auto"/>
        <w:ind w:right="10"/>
        <w:rPr>
          <w:rFonts w:eastAsia="Calibri"/>
          <w:szCs w:val="24"/>
        </w:rPr>
      </w:pPr>
      <w:r w:rsidRPr="009B09F2">
        <w:rPr>
          <w:rFonts w:eastAsia="Calibri"/>
          <w:szCs w:val="24"/>
        </w:rPr>
        <w:t xml:space="preserve">Section 1002.109 addresses several aspects of covered financial institutions’ obligations to report small business lending data to the CFPB. </w:t>
      </w:r>
      <w:r w:rsidR="007967B2">
        <w:rPr>
          <w:rFonts w:eastAsia="Calibri"/>
          <w:szCs w:val="24"/>
        </w:rPr>
        <w:t xml:space="preserve"> </w:t>
      </w:r>
      <w:r w:rsidRPr="009B09F2">
        <w:rPr>
          <w:rFonts w:eastAsia="Calibri"/>
          <w:szCs w:val="24"/>
        </w:rPr>
        <w:t xml:space="preserve">First, </w:t>
      </w:r>
      <w:r w:rsidR="007967B2">
        <w:rPr>
          <w:rFonts w:eastAsia="Calibri"/>
          <w:szCs w:val="24"/>
        </w:rPr>
        <w:t>section</w:t>
      </w:r>
      <w:r w:rsidRPr="009B09F2">
        <w:rPr>
          <w:rFonts w:eastAsia="Calibri"/>
          <w:szCs w:val="24"/>
        </w:rPr>
        <w:t xml:space="preserve"> 1002.109(a) provides that data must be collected on a calendar year basis</w:t>
      </w:r>
      <w:r w:rsidR="00F10B56">
        <w:rPr>
          <w:rFonts w:eastAsia="Calibri"/>
          <w:szCs w:val="24"/>
        </w:rPr>
        <w:t xml:space="preserve">, compiled in a small business lending application register in a format </w:t>
      </w:r>
      <w:r w:rsidR="006C585D">
        <w:rPr>
          <w:rFonts w:eastAsia="Calibri"/>
          <w:szCs w:val="24"/>
        </w:rPr>
        <w:t>prescribed by the CFPB,</w:t>
      </w:r>
      <w:r w:rsidRPr="009B09F2">
        <w:rPr>
          <w:rFonts w:eastAsia="Calibri"/>
          <w:szCs w:val="24"/>
        </w:rPr>
        <w:t xml:space="preserve"> and </w:t>
      </w:r>
      <w:r w:rsidR="006C585D">
        <w:rPr>
          <w:rFonts w:eastAsia="Calibri"/>
          <w:szCs w:val="24"/>
        </w:rPr>
        <w:t xml:space="preserve">submitted </w:t>
      </w:r>
      <w:r w:rsidRPr="009B09F2">
        <w:rPr>
          <w:rFonts w:eastAsia="Calibri"/>
          <w:szCs w:val="24"/>
        </w:rPr>
        <w:t xml:space="preserve">to the CFPB on or before June 1 of the following year. </w:t>
      </w:r>
      <w:r w:rsidR="007967B2">
        <w:rPr>
          <w:rFonts w:eastAsia="Calibri"/>
          <w:szCs w:val="24"/>
        </w:rPr>
        <w:t xml:space="preserve"> </w:t>
      </w:r>
      <w:r w:rsidRPr="009B09F2">
        <w:rPr>
          <w:rFonts w:eastAsia="Calibri"/>
          <w:szCs w:val="24"/>
        </w:rPr>
        <w:t xml:space="preserve">Section 1002.109(a) also addresses collection and reporting requirements of subsidiaries of financial institutions and reporting requirements of financial institutions where multiple financial institutions are involved in a </w:t>
      </w:r>
      <w:r w:rsidR="00255746">
        <w:rPr>
          <w:rFonts w:eastAsia="Calibri"/>
          <w:szCs w:val="24"/>
        </w:rPr>
        <w:t xml:space="preserve">single covered credit </w:t>
      </w:r>
      <w:r w:rsidRPr="009B09F2">
        <w:rPr>
          <w:rFonts w:eastAsia="Calibri"/>
          <w:szCs w:val="24"/>
        </w:rPr>
        <w:t xml:space="preserve">transaction. </w:t>
      </w:r>
      <w:r w:rsidR="007967B2">
        <w:rPr>
          <w:rFonts w:eastAsia="Calibri"/>
          <w:szCs w:val="24"/>
        </w:rPr>
        <w:t xml:space="preserve"> </w:t>
      </w:r>
      <w:r w:rsidRPr="009B09F2">
        <w:rPr>
          <w:rFonts w:eastAsia="Calibri"/>
          <w:szCs w:val="24"/>
        </w:rPr>
        <w:t xml:space="preserve">Second, </w:t>
      </w:r>
      <w:r w:rsidR="007967B2">
        <w:rPr>
          <w:rFonts w:eastAsia="Calibri"/>
          <w:szCs w:val="24"/>
        </w:rPr>
        <w:t>section</w:t>
      </w:r>
      <w:r w:rsidR="00255746">
        <w:rPr>
          <w:rFonts w:eastAsia="Calibri"/>
          <w:szCs w:val="24"/>
        </w:rPr>
        <w:t> </w:t>
      </w:r>
      <w:r w:rsidRPr="009B09F2">
        <w:rPr>
          <w:rFonts w:eastAsia="Calibri"/>
          <w:szCs w:val="24"/>
        </w:rPr>
        <w:t>1002.109(b)</w:t>
      </w:r>
      <w:r w:rsidR="00255746">
        <w:rPr>
          <w:rFonts w:eastAsia="Calibri"/>
          <w:szCs w:val="24"/>
        </w:rPr>
        <w:t xml:space="preserve"> lists</w:t>
      </w:r>
      <w:r w:rsidRPr="009B09F2">
        <w:rPr>
          <w:rFonts w:eastAsia="Calibri"/>
          <w:szCs w:val="24"/>
        </w:rPr>
        <w:t xml:space="preserve"> the information that financial institutions are required to provide about themselves when reporting data to the CFPB.</w:t>
      </w:r>
    </w:p>
    <w:p w:rsidR="00E97FF6" w:rsidP="0025703F" w14:paraId="28BB613F" w14:textId="3D88F5E6">
      <w:pPr>
        <w:spacing w:after="240" w:line="240" w:lineRule="auto"/>
        <w:ind w:right="10"/>
        <w:rPr>
          <w:szCs w:val="24"/>
        </w:rPr>
      </w:pPr>
      <w:r w:rsidRPr="00BB5942">
        <w:rPr>
          <w:szCs w:val="24"/>
        </w:rPr>
        <w:t xml:space="preserve">Section 1002.111 addresses several aspects of the recordkeeping requirements for </w:t>
      </w:r>
      <w:r>
        <w:rPr>
          <w:szCs w:val="24"/>
        </w:rPr>
        <w:t>small business lending</w:t>
      </w:r>
      <w:r w:rsidRPr="00BB5942">
        <w:rPr>
          <w:szCs w:val="24"/>
        </w:rPr>
        <w:t xml:space="preserve"> data. </w:t>
      </w:r>
      <w:r w:rsidR="007967B2">
        <w:rPr>
          <w:szCs w:val="24"/>
        </w:rPr>
        <w:t xml:space="preserve"> </w:t>
      </w:r>
      <w:r w:rsidRPr="00BB5942">
        <w:rPr>
          <w:szCs w:val="24"/>
        </w:rPr>
        <w:t xml:space="preserve">First, </w:t>
      </w:r>
      <w:r w:rsidR="007967B2">
        <w:rPr>
          <w:szCs w:val="24"/>
        </w:rPr>
        <w:t>Section</w:t>
      </w:r>
      <w:r>
        <w:rPr>
          <w:szCs w:val="24"/>
        </w:rPr>
        <w:t> </w:t>
      </w:r>
      <w:r w:rsidRPr="00BB5942">
        <w:rPr>
          <w:szCs w:val="24"/>
        </w:rPr>
        <w:t xml:space="preserve">1002.111(a) requires a covered financial institution to retain evidence of compliance with subpart B, which includes a copy of its small business lending application register, for at least three years after the register is required to be submitted to the </w:t>
      </w:r>
      <w:r>
        <w:rPr>
          <w:szCs w:val="24"/>
        </w:rPr>
        <w:t>CFPB</w:t>
      </w:r>
      <w:r w:rsidRPr="00BB5942">
        <w:rPr>
          <w:szCs w:val="24"/>
        </w:rPr>
        <w:t xml:space="preserve"> pursuant to</w:t>
      </w:r>
      <w:r w:rsidR="007967B2">
        <w:rPr>
          <w:szCs w:val="24"/>
        </w:rPr>
        <w:t xml:space="preserve"> Section</w:t>
      </w:r>
      <w:r>
        <w:rPr>
          <w:szCs w:val="24"/>
        </w:rPr>
        <w:t> </w:t>
      </w:r>
      <w:r w:rsidRPr="00BB5942">
        <w:rPr>
          <w:szCs w:val="24"/>
        </w:rPr>
        <w:t xml:space="preserve">1002.109. </w:t>
      </w:r>
      <w:r w:rsidR="007967B2">
        <w:rPr>
          <w:szCs w:val="24"/>
        </w:rPr>
        <w:t xml:space="preserve"> </w:t>
      </w:r>
      <w:r w:rsidRPr="00BB5942">
        <w:rPr>
          <w:szCs w:val="24"/>
        </w:rPr>
        <w:t xml:space="preserve">Second, </w:t>
      </w:r>
      <w:r w:rsidR="007967B2">
        <w:rPr>
          <w:szCs w:val="24"/>
        </w:rPr>
        <w:t>Section</w:t>
      </w:r>
      <w:r>
        <w:rPr>
          <w:szCs w:val="24"/>
        </w:rPr>
        <w:t> </w:t>
      </w:r>
      <w:r w:rsidRPr="00BB5942">
        <w:rPr>
          <w:szCs w:val="24"/>
        </w:rPr>
        <w:t xml:space="preserve">1002.111(b) requires a covered financial institution to maintain, separately from the rest of an application for credit and accompanying information, an applicant’s responses to a financial institution’s inquiries regarding the </w:t>
      </w:r>
      <w:r w:rsidRPr="00BB5942" w:rsidR="0029404A">
        <w:rPr>
          <w:szCs w:val="24"/>
        </w:rPr>
        <w:t xml:space="preserve">applicant-provided </w:t>
      </w:r>
      <w:r w:rsidRPr="00BB5942" w:rsidR="0029404A">
        <w:t>data points on the demographics of the applicant</w:t>
      </w:r>
      <w:r w:rsidR="0029404A">
        <w:t>’</w:t>
      </w:r>
      <w:r w:rsidRPr="00BB5942" w:rsidR="0029404A">
        <w:t>s ownership</w:t>
      </w:r>
      <w:r w:rsidR="00A94E12">
        <w:t xml:space="preserve">, </w:t>
      </w:r>
      <w:r w:rsidR="003D5944">
        <w:t>which addresses</w:t>
      </w:r>
      <w:r w:rsidR="00A94E12">
        <w:t xml:space="preserve"> (</w:t>
      </w:r>
      <w:r w:rsidR="00A94E12">
        <w:t>i</w:t>
      </w:r>
      <w:r w:rsidR="00A94E12">
        <w:t xml:space="preserve">) </w:t>
      </w:r>
      <w:r w:rsidR="0029404A">
        <w:t xml:space="preserve">pursuant to </w:t>
      </w:r>
      <w:r w:rsidR="007967B2">
        <w:rPr>
          <w:szCs w:val="24"/>
        </w:rPr>
        <w:t>Section</w:t>
      </w:r>
      <w:r w:rsidRPr="00BB5942" w:rsidR="0029404A">
        <w:rPr>
          <w:szCs w:val="24"/>
        </w:rPr>
        <w:t>1002.1</w:t>
      </w:r>
      <w:r w:rsidR="0029404A">
        <w:rPr>
          <w:szCs w:val="24"/>
        </w:rPr>
        <w:t>07</w:t>
      </w:r>
      <w:r w:rsidRPr="00BB5942" w:rsidR="0029404A">
        <w:rPr>
          <w:szCs w:val="24"/>
        </w:rPr>
        <w:t>(</w:t>
      </w:r>
      <w:r w:rsidR="0029404A">
        <w:rPr>
          <w:szCs w:val="24"/>
        </w:rPr>
        <w:t>a</w:t>
      </w:r>
      <w:r w:rsidRPr="00BB5942" w:rsidR="0029404A">
        <w:rPr>
          <w:szCs w:val="24"/>
        </w:rPr>
        <w:t>)</w:t>
      </w:r>
      <w:r w:rsidR="0029404A">
        <w:rPr>
          <w:szCs w:val="24"/>
        </w:rPr>
        <w:t>(18),</w:t>
      </w:r>
      <w:r w:rsidRPr="00BB5942" w:rsidR="0029404A">
        <w:rPr>
          <w:szCs w:val="24"/>
        </w:rPr>
        <w:t xml:space="preserve"> </w:t>
      </w:r>
      <w:r w:rsidRPr="00BB5942" w:rsidR="0029404A">
        <w:t>whether the applicant is a minority-owned business</w:t>
      </w:r>
      <w:r w:rsidR="00A94E12">
        <w:t>,</w:t>
      </w:r>
      <w:r w:rsidRPr="00BB5942" w:rsidR="0029404A">
        <w:t xml:space="preserve"> a women-owned business</w:t>
      </w:r>
      <w:r w:rsidR="00A94E12">
        <w:t xml:space="preserve"> and/or </w:t>
      </w:r>
      <w:r w:rsidRPr="00BB5942" w:rsidR="0029404A">
        <w:t>an LGBTQI+-owned business</w:t>
      </w:r>
      <w:r w:rsidR="00747CB0">
        <w:t>,</w:t>
      </w:r>
      <w:r w:rsidR="00A94E12">
        <w:t xml:space="preserve"> and (ii) </w:t>
      </w:r>
      <w:r w:rsidR="0029404A">
        <w:t xml:space="preserve">pursuant to </w:t>
      </w:r>
      <w:r w:rsidR="007967B2">
        <w:rPr>
          <w:szCs w:val="24"/>
        </w:rPr>
        <w:t>Section</w:t>
      </w:r>
      <w:r w:rsidR="0029404A">
        <w:rPr>
          <w:szCs w:val="24"/>
        </w:rPr>
        <w:t> </w:t>
      </w:r>
      <w:r w:rsidRPr="00BB5942" w:rsidR="0029404A">
        <w:rPr>
          <w:szCs w:val="24"/>
        </w:rPr>
        <w:t>1002.1</w:t>
      </w:r>
      <w:r w:rsidR="0029404A">
        <w:rPr>
          <w:szCs w:val="24"/>
        </w:rPr>
        <w:t>07</w:t>
      </w:r>
      <w:r w:rsidRPr="00BB5942" w:rsidR="0029404A">
        <w:rPr>
          <w:szCs w:val="24"/>
        </w:rPr>
        <w:t>(</w:t>
      </w:r>
      <w:r w:rsidR="0029404A">
        <w:rPr>
          <w:szCs w:val="24"/>
        </w:rPr>
        <w:t>a</w:t>
      </w:r>
      <w:r w:rsidRPr="00BB5942" w:rsidR="0029404A">
        <w:rPr>
          <w:szCs w:val="24"/>
        </w:rPr>
        <w:t>)</w:t>
      </w:r>
      <w:r w:rsidR="0029404A">
        <w:rPr>
          <w:szCs w:val="24"/>
        </w:rPr>
        <w:t xml:space="preserve">(19), </w:t>
      </w:r>
      <w:r w:rsidRPr="00BB5942" w:rsidR="0029404A">
        <w:t>the ethnicity, race, and sex of the applicant</w:t>
      </w:r>
      <w:r w:rsidR="0029404A">
        <w:t>’</w:t>
      </w:r>
      <w:r w:rsidRPr="00BB5942" w:rsidR="0029404A">
        <w:t>s principal owners</w:t>
      </w:r>
      <w:r w:rsidR="00A94E12">
        <w:t xml:space="preserve"> (collectively, </w:t>
      </w:r>
      <w:r w:rsidRPr="00BB5942" w:rsidR="0029404A">
        <w:t>an applicant</w:t>
      </w:r>
      <w:r w:rsidR="0029404A">
        <w:t>’</w:t>
      </w:r>
      <w:r w:rsidRPr="00BB5942" w:rsidR="0029404A">
        <w:t xml:space="preserve">s </w:t>
      </w:r>
      <w:r w:rsidR="0029404A">
        <w:t>“</w:t>
      </w:r>
      <w:r w:rsidRPr="00BB5942" w:rsidR="0029404A">
        <w:t>protected demographic information.”</w:t>
      </w:r>
      <w:r w:rsidR="00A94E12">
        <w:t>).</w:t>
      </w:r>
      <w:r w:rsidRPr="00BB5942" w:rsidR="0029404A">
        <w:t xml:space="preserve"> </w:t>
      </w:r>
      <w:r w:rsidR="0029404A">
        <w:t xml:space="preserve"> </w:t>
      </w:r>
    </w:p>
    <w:p w:rsidR="005F4ADC" w:rsidP="0025703F" w14:paraId="70705040" w14:textId="63FA07B0">
      <w:pPr>
        <w:spacing w:after="240" w:line="240" w:lineRule="auto"/>
        <w:ind w:right="10"/>
        <w:rPr>
          <w:rFonts w:eastAsia="Calibri"/>
          <w:szCs w:val="24"/>
        </w:rPr>
      </w:pPr>
      <w:r w:rsidRPr="00BB5942">
        <w:rPr>
          <w:szCs w:val="24"/>
        </w:rPr>
        <w:t xml:space="preserve">Finally, </w:t>
      </w:r>
      <w:r w:rsidR="007967B2">
        <w:rPr>
          <w:szCs w:val="24"/>
        </w:rPr>
        <w:t>Section</w:t>
      </w:r>
      <w:r>
        <w:rPr>
          <w:szCs w:val="24"/>
        </w:rPr>
        <w:t> </w:t>
      </w:r>
      <w:r w:rsidRPr="00BB5942">
        <w:rPr>
          <w:szCs w:val="24"/>
        </w:rPr>
        <w:t xml:space="preserve">1002.111(c) requires that, in reporting its small business lending application register, as well as the separately maintained protected demographic information pursuant to </w:t>
      </w:r>
      <w:r w:rsidR="007967B2">
        <w:rPr>
          <w:szCs w:val="24"/>
        </w:rPr>
        <w:t>Section</w:t>
      </w:r>
      <w:r>
        <w:rPr>
          <w:szCs w:val="24"/>
        </w:rPr>
        <w:t> </w:t>
      </w:r>
      <w:r w:rsidRPr="00BB5942">
        <w:rPr>
          <w:szCs w:val="24"/>
        </w:rPr>
        <w:t xml:space="preserve">1002.111(b), a financial institution may not include any personally identifiable information concerning any individual who is, or </w:t>
      </w:r>
      <w:r w:rsidRPr="00BB5942">
        <w:rPr>
          <w:szCs w:val="24"/>
        </w:rPr>
        <w:t>is connected with</w:t>
      </w:r>
      <w:r w:rsidRPr="00BB5942">
        <w:rPr>
          <w:szCs w:val="24"/>
        </w:rPr>
        <w:t>, an applicant.</w:t>
      </w:r>
    </w:p>
    <w:p w:rsidR="0003379C" w:rsidRPr="00750D93" w:rsidP="00011315" w14:paraId="1BEEF928" w14:textId="525DD215">
      <w:pPr>
        <w:keepNext/>
        <w:spacing w:after="240" w:line="240" w:lineRule="auto"/>
        <w:ind w:left="14" w:right="14" w:hanging="14"/>
        <w:rPr>
          <w:rFonts w:eastAsia="Calibri"/>
          <w:szCs w:val="24"/>
          <w:u w:val="single"/>
        </w:rPr>
      </w:pPr>
      <w:r w:rsidRPr="00750D93">
        <w:rPr>
          <w:rFonts w:eastAsia="Calibri"/>
          <w:szCs w:val="24"/>
          <w:u w:val="single"/>
        </w:rPr>
        <w:t>Disclosure</w:t>
      </w:r>
    </w:p>
    <w:p w:rsidR="00A10ACC" w:rsidRPr="00DA4517" w:rsidP="00011315" w14:paraId="41288E28" w14:textId="471A2690">
      <w:pPr>
        <w:keepNext/>
        <w:spacing w:after="240" w:line="240" w:lineRule="auto"/>
        <w:ind w:left="14" w:right="14" w:hanging="14"/>
        <w:rPr>
          <w:rFonts w:eastAsia="Calibri"/>
          <w:szCs w:val="24"/>
          <w:u w:val="single"/>
        </w:rPr>
      </w:pPr>
      <w:r w:rsidRPr="00DA4517">
        <w:rPr>
          <w:rFonts w:eastAsia="Calibri"/>
          <w:szCs w:val="24"/>
          <w:u w:val="single"/>
        </w:rPr>
        <w:t>Subpart A</w:t>
      </w:r>
    </w:p>
    <w:p w:rsidR="0003379C" w:rsidRPr="002D5F27" w:rsidP="0003379C" w14:paraId="39D932B2" w14:textId="6EBF6F95">
      <w:pPr>
        <w:spacing w:after="240" w:line="240" w:lineRule="auto"/>
        <w:ind w:right="10"/>
        <w:rPr>
          <w:rFonts w:eastAsia="Calibri"/>
          <w:szCs w:val="24"/>
        </w:rPr>
      </w:pPr>
      <w:r w:rsidRPr="002D5F27">
        <w:rPr>
          <w:rFonts w:eastAsia="Calibri"/>
          <w:szCs w:val="24"/>
        </w:rPr>
        <w:t>Section 1002.9 of Regulation B requires creditors to notify an applicant of action taken within specified time periods. A notification given to a consumer credit applicant when adverse action is taken must be in writing, whereas a business credit applicant may be notified of the action taken orally or in writing.</w:t>
      </w:r>
      <w:r>
        <w:rPr>
          <w:rFonts w:eastAsia="Calibri"/>
          <w:szCs w:val="24"/>
        </w:rPr>
        <w:t xml:space="preserve"> </w:t>
      </w:r>
      <w:r w:rsidRPr="002D5F27">
        <w:rPr>
          <w:rFonts w:eastAsia="Calibri"/>
          <w:szCs w:val="24"/>
        </w:rPr>
        <w:t xml:space="preserve">An adverse action notification must generally contain: a statement of the action taken; the name and address of the creditor; a statement describing the antidiscrimination provisions of ECOA; the name and address of the federal agency that administers compliance with ECOA and Regulation B as to the creditor; and either a statement of specific reasons for the action taken or a notice of the applicant’s right to obtain such a statement. </w:t>
      </w:r>
    </w:p>
    <w:p w:rsidR="0003379C" w:rsidRPr="00750D93" w:rsidP="0003379C" w14:paraId="5C7AB539" w14:textId="79A873F5">
      <w:pPr>
        <w:spacing w:after="240" w:line="240" w:lineRule="auto"/>
        <w:ind w:right="10"/>
      </w:pPr>
      <w:r w:rsidRPr="002D5F27">
        <w:rPr>
          <w:rFonts w:eastAsia="Calibri"/>
          <w:szCs w:val="24"/>
        </w:rPr>
        <w:t xml:space="preserve">In part, </w:t>
      </w:r>
      <w:r w:rsidR="007967B2">
        <w:rPr>
          <w:rFonts w:eastAsia="Calibri"/>
          <w:szCs w:val="24"/>
        </w:rPr>
        <w:t>section</w:t>
      </w:r>
      <w:r>
        <w:rPr>
          <w:rFonts w:eastAsia="Calibri"/>
          <w:szCs w:val="24"/>
        </w:rPr>
        <w:t> </w:t>
      </w:r>
      <w:r w:rsidRPr="002D5F27">
        <w:rPr>
          <w:rFonts w:eastAsia="Calibri"/>
          <w:szCs w:val="24"/>
        </w:rPr>
        <w:t xml:space="preserve">1002.10 of Regulation B requires creditors that furnish credit information to consumer reporting agencies to designate new accounts to reflect the participation of both </w:t>
      </w:r>
      <w:r w:rsidRPr="002D5F27">
        <w:rPr>
          <w:rFonts w:eastAsia="Calibri"/>
          <w:szCs w:val="24"/>
        </w:rPr>
        <w:t>spouses, if</w:t>
      </w:r>
      <w:r w:rsidRPr="002D5F27">
        <w:rPr>
          <w:rFonts w:eastAsia="Calibri"/>
          <w:szCs w:val="24"/>
        </w:rPr>
        <w:t xml:space="preserve"> the applicant’s spouse is permitted to use or is contractually liable on the account.</w:t>
      </w:r>
      <w:r w:rsidRPr="00750D93">
        <w:t xml:space="preserve"> </w:t>
      </w:r>
    </w:p>
    <w:p w:rsidR="0003379C" w:rsidRPr="00750D93" w:rsidP="0003379C" w14:paraId="6A872E63" w14:textId="77777777">
      <w:pPr>
        <w:spacing w:after="240" w:line="240" w:lineRule="auto"/>
        <w:ind w:right="10"/>
        <w:rPr>
          <w:rFonts w:eastAsia="Calibri"/>
          <w:szCs w:val="24"/>
        </w:rPr>
      </w:pPr>
      <w:r w:rsidRPr="00750D93">
        <w:rPr>
          <w:rFonts w:eastAsia="Calibri"/>
          <w:szCs w:val="24"/>
        </w:rPr>
        <w:t xml:space="preserve">Section 1002.13(c) of Regulation B requires the creditor to inform the applicant that ethnicity, race, sex, marital status, and age are being requested by the Federal government for the purpose of monitoring compliance. The creditor shall also inform the applicant that he or she has the option of not providing the information, and that if the applicant chooses to not provide it, the creditor is required to note it by visual observation or surname. </w:t>
      </w:r>
    </w:p>
    <w:p w:rsidR="0003379C" w:rsidRPr="002D5F27" w:rsidP="0003379C" w14:paraId="5F0B6E45" w14:textId="311F68A6">
      <w:pPr>
        <w:spacing w:after="240" w:line="240" w:lineRule="auto"/>
        <w:ind w:right="10"/>
        <w:rPr>
          <w:rFonts w:eastAsia="Calibri"/>
          <w:szCs w:val="24"/>
        </w:rPr>
      </w:pPr>
      <w:r w:rsidRPr="002D5F27">
        <w:rPr>
          <w:rFonts w:eastAsia="Calibri"/>
          <w:szCs w:val="24"/>
        </w:rPr>
        <w:t xml:space="preserve">In connection with a credit application that is to be secured by a first lien on the dwelling, </w:t>
      </w:r>
      <w:r w:rsidR="007967B2">
        <w:rPr>
          <w:rFonts w:eastAsia="Calibri"/>
          <w:szCs w:val="24"/>
        </w:rPr>
        <w:t>section</w:t>
      </w:r>
      <w:r>
        <w:rPr>
          <w:rFonts w:eastAsia="Calibri"/>
          <w:szCs w:val="24"/>
        </w:rPr>
        <w:t> </w:t>
      </w:r>
      <w:r w:rsidRPr="002D5F27">
        <w:rPr>
          <w:rFonts w:eastAsia="Calibri"/>
          <w:szCs w:val="24"/>
        </w:rPr>
        <w:t xml:space="preserve">1002.14 of Regulation B requires that creditors provide applicants a copy of the appraisal report or other written valuation prepared in connection with an application. The material must be furnished free of charge and promptly upon completion, or no later than three business days prior to consummation of the transaction (closed-end credit) or account opening (open-end credit), whichever is earlier. </w:t>
      </w:r>
    </w:p>
    <w:p w:rsidR="0003379C" w:rsidRPr="00750D93" w:rsidP="0003379C" w14:paraId="549232E5" w14:textId="318C1779">
      <w:pPr>
        <w:spacing w:after="240" w:line="240" w:lineRule="auto"/>
        <w:ind w:right="10"/>
        <w:rPr>
          <w:rFonts w:eastAsia="Calibri"/>
          <w:szCs w:val="24"/>
        </w:rPr>
      </w:pPr>
      <w:r w:rsidRPr="00750D93">
        <w:rPr>
          <w:rFonts w:eastAsia="Calibri"/>
          <w:szCs w:val="24"/>
        </w:rPr>
        <w:t xml:space="preserve">Under </w:t>
      </w:r>
      <w:r w:rsidR="007967B2">
        <w:rPr>
          <w:rFonts w:eastAsia="Calibri"/>
          <w:szCs w:val="24"/>
        </w:rPr>
        <w:t>section</w:t>
      </w:r>
      <w:r>
        <w:rPr>
          <w:rFonts w:eastAsia="Calibri"/>
          <w:szCs w:val="24"/>
        </w:rPr>
        <w:t> </w:t>
      </w:r>
      <w:r w:rsidRPr="00750D93">
        <w:rPr>
          <w:rFonts w:eastAsia="Calibri"/>
          <w:szCs w:val="24"/>
        </w:rPr>
        <w:t>1002.5(b) and 1002.15 of Regulation B, creditors that collect applicant characteristics for purposes of conducting a self-test under Regulation B must disclose, orally or in writing:</w:t>
      </w:r>
    </w:p>
    <w:p w:rsidR="0003379C" w:rsidRPr="00750D93" w:rsidP="00D34569" w14:paraId="07B74F44" w14:textId="77777777">
      <w:pPr>
        <w:spacing w:after="240" w:line="240" w:lineRule="auto"/>
        <w:ind w:right="10" w:firstLine="710"/>
        <w:rPr>
          <w:rFonts w:eastAsia="Calibri"/>
          <w:szCs w:val="24"/>
        </w:rPr>
      </w:pPr>
      <w:r w:rsidRPr="00750D93">
        <w:rPr>
          <w:rFonts w:eastAsia="Calibri"/>
          <w:szCs w:val="24"/>
        </w:rPr>
        <w:t>(i) The applicant will not be required to provide the information;</w:t>
      </w:r>
    </w:p>
    <w:p w:rsidR="0003379C" w:rsidRPr="00750D93" w:rsidP="00D34569" w14:paraId="1E688F8A" w14:textId="77777777">
      <w:pPr>
        <w:spacing w:after="240" w:line="240" w:lineRule="auto"/>
        <w:ind w:right="10" w:firstLine="710"/>
        <w:rPr>
          <w:rFonts w:eastAsia="Calibri"/>
          <w:szCs w:val="24"/>
        </w:rPr>
      </w:pPr>
      <w:r w:rsidRPr="00750D93">
        <w:rPr>
          <w:rFonts w:eastAsia="Calibri"/>
          <w:szCs w:val="24"/>
        </w:rPr>
        <w:t>(ii) The creditor is requesting the information to monitor its compliance with the Federal Equal Credit Opportunity Act;</w:t>
      </w:r>
    </w:p>
    <w:p w:rsidR="0003379C" w:rsidRPr="00750D93" w:rsidP="00D34569" w14:paraId="2C575E93" w14:textId="77777777">
      <w:pPr>
        <w:spacing w:after="240" w:line="240" w:lineRule="auto"/>
        <w:ind w:right="10" w:firstLine="710"/>
        <w:rPr>
          <w:rFonts w:eastAsia="Calibri"/>
          <w:szCs w:val="24"/>
        </w:rPr>
      </w:pPr>
      <w:r w:rsidRPr="00750D93">
        <w:rPr>
          <w:rFonts w:eastAsia="Calibri"/>
          <w:szCs w:val="24"/>
        </w:rPr>
        <w:t>(iii) Federal law prohibits the creditor from discriminating on the basis of this information, or on the basis of an applicant's decision not to furnish the information; and</w:t>
      </w:r>
    </w:p>
    <w:p w:rsidR="0003379C" w:rsidRPr="00750D93" w:rsidP="00D34569" w14:paraId="2ED40525" w14:textId="77777777">
      <w:pPr>
        <w:spacing w:after="240" w:line="240" w:lineRule="auto"/>
        <w:ind w:right="10" w:firstLine="710"/>
        <w:rPr>
          <w:rFonts w:eastAsia="Calibri"/>
          <w:szCs w:val="24"/>
        </w:rPr>
      </w:pPr>
      <w:r w:rsidRPr="00750D93">
        <w:rPr>
          <w:rFonts w:eastAsia="Calibri"/>
          <w:szCs w:val="24"/>
        </w:rPr>
        <w:t>(iv) If applicable, certain information will be collected based on visual observation or surname if not provided by the applicant or other person.</w:t>
      </w:r>
    </w:p>
    <w:p w:rsidR="00907D84" w:rsidP="0003379C" w14:paraId="405AC91E" w14:textId="6DA31125">
      <w:pPr>
        <w:spacing w:after="240" w:line="240" w:lineRule="auto"/>
        <w:ind w:right="10"/>
        <w:rPr>
          <w:rFonts w:eastAsia="Calibri"/>
          <w:szCs w:val="24"/>
        </w:rPr>
      </w:pPr>
      <w:r>
        <w:rPr>
          <w:rFonts w:eastAsia="Calibri"/>
          <w:szCs w:val="24"/>
          <w:u w:val="single"/>
        </w:rPr>
        <w:t>S</w:t>
      </w:r>
      <w:r w:rsidRPr="00750D93" w:rsidR="0003379C">
        <w:rPr>
          <w:rFonts w:eastAsia="Calibri"/>
          <w:szCs w:val="24"/>
          <w:u w:val="single"/>
        </w:rPr>
        <w:t>ubpart B</w:t>
      </w:r>
      <w:r w:rsidR="0003379C">
        <w:rPr>
          <w:rFonts w:eastAsia="Calibri"/>
          <w:szCs w:val="24"/>
        </w:rPr>
        <w:t xml:space="preserve"> </w:t>
      </w:r>
    </w:p>
    <w:p w:rsidR="0003379C" w:rsidRPr="00750D93" w:rsidP="0003379C" w14:paraId="16D62AD2" w14:textId="22F2BFA5">
      <w:pPr>
        <w:spacing w:after="240" w:line="240" w:lineRule="auto"/>
        <w:ind w:right="10"/>
        <w:rPr>
          <w:rFonts w:eastAsia="Calibri"/>
          <w:szCs w:val="24"/>
        </w:rPr>
      </w:pPr>
      <w:r>
        <w:rPr>
          <w:rFonts w:eastAsia="Calibri"/>
          <w:szCs w:val="24"/>
        </w:rPr>
        <w:t>S</w:t>
      </w:r>
      <w:r w:rsidRPr="00750D93">
        <w:rPr>
          <w:rFonts w:eastAsia="Calibri"/>
          <w:szCs w:val="24"/>
        </w:rPr>
        <w:t xml:space="preserve">ubpart B </w:t>
      </w:r>
      <w:r w:rsidR="00C8268B">
        <w:rPr>
          <w:rFonts w:eastAsia="Calibri"/>
          <w:szCs w:val="24"/>
        </w:rPr>
        <w:t xml:space="preserve">contains </w:t>
      </w:r>
      <w:r w:rsidRPr="00750D93">
        <w:rPr>
          <w:rFonts w:eastAsia="Calibri"/>
          <w:szCs w:val="24"/>
        </w:rPr>
        <w:t>disclosure requirement</w:t>
      </w:r>
      <w:r w:rsidR="00A723F5">
        <w:rPr>
          <w:rFonts w:eastAsia="Calibri"/>
          <w:szCs w:val="24"/>
        </w:rPr>
        <w:t>s</w:t>
      </w:r>
      <w:r w:rsidRPr="00750D93">
        <w:rPr>
          <w:rFonts w:eastAsia="Calibri"/>
          <w:szCs w:val="24"/>
        </w:rPr>
        <w:t xml:space="preserve"> </w:t>
      </w:r>
      <w:r w:rsidR="00C8268B">
        <w:rPr>
          <w:rFonts w:eastAsia="Calibri"/>
          <w:szCs w:val="24"/>
        </w:rPr>
        <w:t>for certain small business lending applications</w:t>
      </w:r>
      <w:r w:rsidRPr="00750D93">
        <w:rPr>
          <w:rFonts w:eastAsia="Calibri"/>
          <w:szCs w:val="24"/>
        </w:rPr>
        <w:t>.</w:t>
      </w:r>
    </w:p>
    <w:p w:rsidR="00031856" w:rsidRPr="00B84CD2" w:rsidP="000629D1" w14:paraId="131EFB2A" w14:textId="767C78DF">
      <w:r>
        <w:t xml:space="preserve">Section 1002.107 </w:t>
      </w:r>
      <w:r w:rsidR="006C3521">
        <w:t xml:space="preserve">identifies </w:t>
      </w:r>
      <w:r w:rsidR="000629D1">
        <w:t xml:space="preserve">the </w:t>
      </w:r>
      <w:r w:rsidRPr="00BB5942" w:rsidR="0022281D">
        <w:t>data points that must be collected and reported by covered financial institutions for covered applications from small businesses</w:t>
      </w:r>
      <w:r w:rsidR="000629D1">
        <w:t xml:space="preserve">.  </w:t>
      </w:r>
      <w:r w:rsidR="006D01C1">
        <w:t>W</w:t>
      </w:r>
      <w:r w:rsidRPr="00B84CD2" w:rsidR="00F064E2">
        <w:t xml:space="preserve">hen requesting </w:t>
      </w:r>
      <w:r w:rsidR="00A723F5">
        <w:t xml:space="preserve">an applicant’s </w:t>
      </w:r>
      <w:r w:rsidR="00C97EFF">
        <w:t>protected demographic information</w:t>
      </w:r>
      <w:r w:rsidR="00A723F5">
        <w:t>,</w:t>
      </w:r>
      <w:r w:rsidRPr="00B84CD2" w:rsidR="00F064E2">
        <w:t xml:space="preserve"> a financial institution must inform the applicant that </w:t>
      </w:r>
      <w:r w:rsidR="0047414F">
        <w:t xml:space="preserve">(i) </w:t>
      </w:r>
      <w:r w:rsidRPr="00B84CD2" w:rsidR="00F064E2">
        <w:t xml:space="preserve">the financial institution cannot discriminate on the basis of </w:t>
      </w:r>
      <w:r w:rsidR="00DE39BB">
        <w:t>this protected demographic information,</w:t>
      </w:r>
      <w:r w:rsidR="00367228">
        <w:t xml:space="preserve"> and </w:t>
      </w:r>
      <w:r w:rsidR="00DE39BB">
        <w:t xml:space="preserve">that </w:t>
      </w:r>
      <w:r w:rsidR="00367228">
        <w:t xml:space="preserve">(ii) </w:t>
      </w:r>
      <w:r w:rsidRPr="00B84CD2" w:rsidR="00F064E2">
        <w:t>Federal law requires it to ask for an applicant</w:t>
      </w:r>
      <w:r w:rsidR="00F064E2">
        <w:t>’</w:t>
      </w:r>
      <w:r w:rsidRPr="00B84CD2" w:rsidR="00F064E2">
        <w:t xml:space="preserve">s </w:t>
      </w:r>
      <w:r w:rsidR="00D514B3">
        <w:t xml:space="preserve">protected demographic information </w:t>
      </w:r>
      <w:r w:rsidRPr="00B84CD2" w:rsidR="00F064E2">
        <w:t>to help ensure that all small business applicants for credit are treated fairly and that communities</w:t>
      </w:r>
      <w:r w:rsidR="00F064E2">
        <w:t>’</w:t>
      </w:r>
      <w:r w:rsidRPr="00B84CD2" w:rsidR="00F064E2">
        <w:t xml:space="preserve"> small business credit needs are being fulfilled. </w:t>
      </w:r>
    </w:p>
    <w:p w:rsidR="009B12DA" w:rsidP="00544BB0" w14:paraId="0F52CB72" w14:textId="77777777"/>
    <w:p w:rsidR="00544BB0" w:rsidP="00544BB0" w14:paraId="7D265F9F" w14:textId="52548221">
      <w:r w:rsidRPr="00BB5942">
        <w:t xml:space="preserve">Section 1002.108 implements section 1071’s requirement that </w:t>
      </w:r>
      <w:r w:rsidR="00167BBF">
        <w:t>an applicant’s protected demographic information</w:t>
      </w:r>
      <w:r w:rsidRPr="00BB5942">
        <w:t xml:space="preserve"> collected pursuant to section 1071 be shielded from </w:t>
      </w:r>
      <w:r w:rsidR="00E60ACF">
        <w:t>employees and officers involved in making determinations regarding applications for credit,</w:t>
      </w:r>
      <w:r w:rsidRPr="00BB5942">
        <w:t xml:space="preserve"> if feasible; the </w:t>
      </w:r>
      <w:r>
        <w:t>CFPB</w:t>
      </w:r>
      <w:r w:rsidRPr="00BB5942">
        <w:t xml:space="preserve"> refers to this as the “firewall.” </w:t>
      </w:r>
      <w:r w:rsidR="00E60ACF">
        <w:t xml:space="preserve">However, if the financial institution determines that certain persons should have access to protected demographic </w:t>
      </w:r>
      <w:r w:rsidR="00167BBF">
        <w:t>information, access is permissible if</w:t>
      </w:r>
      <w:r w:rsidRPr="00BB5942">
        <w:t xml:space="preserve"> the financial institution provides a notice to the applicant regarding that access. The notice must be provided to each applicant whose information will be accessed or, alternatively, the financial institution may also provide the notice to all applicants, including those whose responses will not or might not be accessed. The </w:t>
      </w:r>
      <w:r>
        <w:t>CFPB</w:t>
      </w:r>
      <w:r w:rsidRPr="00BB5942">
        <w:t xml:space="preserve"> provides sample language that a financial institution can</w:t>
      </w:r>
      <w:r w:rsidR="00C8073C">
        <w:rPr>
          <w:szCs w:val="24"/>
        </w:rPr>
        <w:t>, but is not required to,</w:t>
      </w:r>
      <w:r w:rsidRPr="00BB5942" w:rsidR="00C8073C">
        <w:rPr>
          <w:szCs w:val="24"/>
        </w:rPr>
        <w:t xml:space="preserve"> </w:t>
      </w:r>
      <w:r w:rsidRPr="00BB5942">
        <w:t xml:space="preserve">use in </w:t>
      </w:r>
      <w:r w:rsidR="009C7CFE">
        <w:t xml:space="preserve">for </w:t>
      </w:r>
      <w:r w:rsidRPr="00BB5942">
        <w:t>this notice.</w:t>
      </w:r>
    </w:p>
    <w:p w:rsidR="0099643F" w:rsidRPr="00BB5942" w:rsidP="00544BB0" w14:paraId="1DAF0D8F" w14:textId="77777777"/>
    <w:p w:rsidR="00B160AF" w:rsidP="000F3112" w14:paraId="67C91AAF" w14:textId="2E772E1D">
      <w:pPr>
        <w:rPr>
          <w:szCs w:val="24"/>
        </w:rPr>
      </w:pPr>
      <w:r w:rsidRPr="00BB5942">
        <w:rPr>
          <w:szCs w:val="24"/>
        </w:rPr>
        <w:t xml:space="preserve">Section 1002.110(c) requires a covered financial institution to publish on its website a statement that its </w:t>
      </w:r>
      <w:r>
        <w:rPr>
          <w:szCs w:val="24"/>
        </w:rPr>
        <w:t>small business lending</w:t>
      </w:r>
      <w:r w:rsidRPr="00BB5942">
        <w:rPr>
          <w:szCs w:val="24"/>
        </w:rPr>
        <w:t xml:space="preserve"> data, as modified by the </w:t>
      </w:r>
      <w:r>
        <w:rPr>
          <w:szCs w:val="24"/>
        </w:rPr>
        <w:t>CFPB</w:t>
      </w:r>
      <w:r w:rsidRPr="00BB5942">
        <w:rPr>
          <w:szCs w:val="24"/>
        </w:rPr>
        <w:t xml:space="preserve">, are or will be available </w:t>
      </w:r>
      <w:r>
        <w:rPr>
          <w:szCs w:val="24"/>
        </w:rPr>
        <w:t>from</w:t>
      </w:r>
      <w:r w:rsidRPr="00BB5942">
        <w:rPr>
          <w:szCs w:val="24"/>
        </w:rPr>
        <w:t xml:space="preserve"> the </w:t>
      </w:r>
      <w:r>
        <w:rPr>
          <w:szCs w:val="24"/>
        </w:rPr>
        <w:t>CFPB</w:t>
      </w:r>
      <w:r w:rsidRPr="00BB5942">
        <w:rPr>
          <w:szCs w:val="24"/>
        </w:rPr>
        <w:t>. Section 1002.110(d) sets forth when a covered financial institution shall make this statement available and how long the financial institution shall maintain the statement on its website. These requirements satisfy financial institutions</w:t>
      </w:r>
      <w:r>
        <w:rPr>
          <w:szCs w:val="24"/>
        </w:rPr>
        <w:t>’</w:t>
      </w:r>
      <w:r w:rsidRPr="00BB5942">
        <w:rPr>
          <w:szCs w:val="24"/>
        </w:rPr>
        <w:t xml:space="preserve"> statutory obligation to make data available to the public upon request.</w:t>
      </w:r>
    </w:p>
    <w:p w:rsidR="0099643F" w:rsidP="000F3112" w14:paraId="34C9331D" w14:textId="77777777">
      <w:pPr>
        <w:rPr>
          <w:rFonts w:eastAsia="Calibri"/>
          <w:szCs w:val="24"/>
        </w:rPr>
      </w:pPr>
    </w:p>
    <w:p w:rsidR="009346F0" w:rsidRPr="00DA4517" w:rsidP="00DA4517" w14:paraId="731A97BF" w14:textId="17A15BED">
      <w:pPr>
        <w:pStyle w:val="Heading1"/>
        <w:rPr>
          <w:u w:val="none"/>
        </w:rPr>
      </w:pPr>
      <w:r w:rsidRPr="000F3112">
        <w:t>2.</w:t>
      </w:r>
      <w:r w:rsidRPr="00DA4517">
        <w:rPr>
          <w:u w:val="none"/>
        </w:rPr>
        <w:t xml:space="preserve">  </w:t>
      </w:r>
      <w:r w:rsidRPr="00750D93" w:rsidR="00CC03E1">
        <w:t>Use of</w:t>
      </w:r>
      <w:r w:rsidRPr="00750D93" w:rsidR="00CC03E1">
        <w:rPr>
          <w:spacing w:val="1"/>
        </w:rPr>
        <w:t xml:space="preserve"> </w:t>
      </w:r>
      <w:r w:rsidRPr="00750D93" w:rsidR="00CC03E1">
        <w:t>t</w:t>
      </w:r>
      <w:r w:rsidRPr="00750D93" w:rsidR="00CC03E1">
        <w:rPr>
          <w:spacing w:val="1"/>
        </w:rPr>
        <w:t>h</w:t>
      </w:r>
      <w:r w:rsidRPr="00750D93" w:rsidR="00CC03E1">
        <w:t>e I</w:t>
      </w:r>
      <w:r w:rsidRPr="00750D93" w:rsidR="00CC03E1">
        <w:rPr>
          <w:spacing w:val="1"/>
        </w:rPr>
        <w:t>nf</w:t>
      </w:r>
      <w:r w:rsidRPr="00750D93" w:rsidR="00CC03E1">
        <w:t>or</w:t>
      </w:r>
      <w:r w:rsidRPr="00750D93" w:rsidR="00CC03E1">
        <w:rPr>
          <w:spacing w:val="-3"/>
        </w:rPr>
        <w:t>m</w:t>
      </w:r>
      <w:r w:rsidRPr="00750D93" w:rsidR="00CC03E1">
        <w:t>ation</w:t>
      </w:r>
    </w:p>
    <w:p w:rsidR="00EA5BC1" w14:paraId="7BA0EDEF" w14:textId="77777777">
      <w:pPr>
        <w:spacing w:after="0" w:line="259" w:lineRule="auto"/>
        <w:ind w:left="0" w:firstLine="0"/>
      </w:pPr>
      <w:r>
        <w:t xml:space="preserve"> </w:t>
      </w:r>
    </w:p>
    <w:p w:rsidR="00DE6036" w:rsidP="00DE6036" w14:paraId="2CFC7D4E" w14:textId="624A8587">
      <w:pPr>
        <w:spacing w:after="240" w:line="240" w:lineRule="auto"/>
        <w:ind w:right="10"/>
        <w:rPr>
          <w:rFonts w:eastAsia="Calibri"/>
          <w:szCs w:val="24"/>
        </w:rPr>
      </w:pPr>
      <w:r w:rsidRPr="00750D93">
        <w:rPr>
          <w:rFonts w:eastAsia="Calibri"/>
          <w:szCs w:val="24"/>
          <w:u w:val="single"/>
        </w:rPr>
        <w:t>Subpart A</w:t>
      </w:r>
    </w:p>
    <w:p w:rsidR="00DE6036" w:rsidRPr="00750D93" w:rsidP="00DE6036" w14:paraId="00C8A73A" w14:textId="27A93970">
      <w:pPr>
        <w:spacing w:after="240" w:line="240" w:lineRule="auto"/>
        <w:ind w:right="10"/>
        <w:rPr>
          <w:rFonts w:eastAsia="Calibri"/>
          <w:szCs w:val="24"/>
        </w:rPr>
      </w:pPr>
      <w:r w:rsidRPr="00750D93">
        <w:rPr>
          <w:rFonts w:eastAsia="Calibri"/>
          <w:szCs w:val="24"/>
        </w:rPr>
        <w:t xml:space="preserve">The </w:t>
      </w:r>
      <w:r w:rsidR="00546FC1">
        <w:rPr>
          <w:szCs w:val="24"/>
        </w:rPr>
        <w:t>CFPB</w:t>
      </w:r>
      <w:r w:rsidRPr="00750D93">
        <w:rPr>
          <w:rFonts w:eastAsia="Calibri"/>
          <w:szCs w:val="24"/>
        </w:rPr>
        <w:t xml:space="preserve"> and other agencies use recordkeeping information to </w:t>
      </w:r>
      <w:r w:rsidR="00092097">
        <w:rPr>
          <w:rFonts w:eastAsia="Calibri"/>
          <w:szCs w:val="24"/>
        </w:rPr>
        <w:t>identity unlawful discouragement or discrimination</w:t>
      </w:r>
      <w:r w:rsidRPr="00750D93">
        <w:rPr>
          <w:rFonts w:eastAsia="Calibri"/>
          <w:szCs w:val="24"/>
        </w:rPr>
        <w:t xml:space="preserve"> </w:t>
      </w:r>
      <w:r w:rsidRPr="00750D93">
        <w:rPr>
          <w:rFonts w:eastAsia="Calibri"/>
          <w:szCs w:val="24"/>
        </w:rPr>
        <w:t>on the basis of</w:t>
      </w:r>
      <w:r w:rsidRPr="00750D93">
        <w:rPr>
          <w:rFonts w:eastAsia="Calibri"/>
          <w:szCs w:val="24"/>
        </w:rPr>
        <w:t xml:space="preserve"> race, sex, age, or other prohibited bases under ECOA. </w:t>
      </w:r>
      <w:r w:rsidR="00CD0BBB">
        <w:rPr>
          <w:rFonts w:eastAsia="Calibri"/>
          <w:szCs w:val="24"/>
        </w:rPr>
        <w:t xml:space="preserve"> </w:t>
      </w:r>
      <w:r w:rsidRPr="00750D93">
        <w:rPr>
          <w:rFonts w:eastAsia="Calibri"/>
          <w:szCs w:val="24"/>
        </w:rPr>
        <w:t>Voluntarily</w:t>
      </w:r>
      <w:r w:rsidR="00B74CA3">
        <w:rPr>
          <w:rFonts w:eastAsia="Calibri"/>
          <w:szCs w:val="24"/>
        </w:rPr>
        <w:t xml:space="preserve"> </w:t>
      </w:r>
      <w:r w:rsidRPr="00750D93">
        <w:rPr>
          <w:rFonts w:eastAsia="Calibri"/>
          <w:szCs w:val="24"/>
        </w:rPr>
        <w:t xml:space="preserve">collected self-test records (including for corrective action) are used by creditors to identify potential violations and reflect their efforts to correct the problem. </w:t>
      </w:r>
      <w:r w:rsidR="00CD0BBB">
        <w:rPr>
          <w:rFonts w:eastAsia="Calibri"/>
          <w:szCs w:val="24"/>
        </w:rPr>
        <w:t xml:space="preserve"> </w:t>
      </w:r>
      <w:r w:rsidRPr="00750D93">
        <w:rPr>
          <w:rFonts w:eastAsia="Calibri"/>
          <w:szCs w:val="24"/>
        </w:rPr>
        <w:t xml:space="preserve">Absent the Regulation B requirement that creditors retain monitoring information, the agencies’ ability to detect unlawful discrimination and enforce the ECOA would be significantly impaired. </w:t>
      </w:r>
    </w:p>
    <w:p w:rsidR="00426E23" w:rsidRPr="00750D93" w:rsidP="00DE6036" w14:paraId="70664E37" w14:textId="772D0191">
      <w:pPr>
        <w:spacing w:after="240" w:line="240" w:lineRule="auto"/>
        <w:ind w:right="10"/>
        <w:rPr>
          <w:rFonts w:eastAsia="Calibri"/>
          <w:szCs w:val="24"/>
        </w:rPr>
      </w:pPr>
      <w:r w:rsidRPr="00750D93">
        <w:rPr>
          <w:rFonts w:eastAsia="Calibri"/>
          <w:szCs w:val="24"/>
        </w:rPr>
        <w:t xml:space="preserve">The adverse action notice requirement apprises applicants of their rights under ECOA and of the basis for a creditor’s decision. </w:t>
      </w:r>
      <w:r w:rsidR="00CD0BBB">
        <w:rPr>
          <w:rFonts w:eastAsia="Calibri"/>
          <w:szCs w:val="24"/>
        </w:rPr>
        <w:t xml:space="preserve"> </w:t>
      </w:r>
      <w:r w:rsidRPr="00750D93">
        <w:rPr>
          <w:rFonts w:eastAsia="Calibri"/>
          <w:szCs w:val="24"/>
        </w:rPr>
        <w:t xml:space="preserve">Applicants use their copy of the appraisal to review (and possibly challenge) the accuracy and/or fairness of the information contained within, and to determine the role that the appraisal played in the credit decision. </w:t>
      </w:r>
      <w:r w:rsidR="00CD0BBB">
        <w:rPr>
          <w:rFonts w:eastAsia="Calibri"/>
          <w:szCs w:val="24"/>
        </w:rPr>
        <w:t xml:space="preserve"> </w:t>
      </w:r>
      <w:r w:rsidRPr="00750D93">
        <w:rPr>
          <w:rFonts w:eastAsia="Calibri"/>
          <w:szCs w:val="24"/>
        </w:rPr>
        <w:t xml:space="preserve">The self-testing disclosure explains to applicants why a creditor is collecting information and clarifies that applicants are not required to provide the information. </w:t>
      </w:r>
    </w:p>
    <w:p w:rsidR="00921E31" w:rsidP="00020D85" w14:paraId="5882B278" w14:textId="35B7AFB4">
      <w:pPr>
        <w:spacing w:after="240" w:line="240" w:lineRule="auto"/>
        <w:ind w:right="10"/>
        <w:rPr>
          <w:szCs w:val="24"/>
        </w:rPr>
      </w:pPr>
      <w:r>
        <w:rPr>
          <w:szCs w:val="24"/>
          <w:u w:val="single"/>
        </w:rPr>
        <w:t>S</w:t>
      </w:r>
      <w:r w:rsidRPr="00750D93" w:rsidR="00020D85">
        <w:rPr>
          <w:szCs w:val="24"/>
          <w:u w:val="single"/>
        </w:rPr>
        <w:t>ubpart B</w:t>
      </w:r>
      <w:r w:rsidR="00020D85">
        <w:rPr>
          <w:szCs w:val="24"/>
        </w:rPr>
        <w:t xml:space="preserve"> </w:t>
      </w:r>
    </w:p>
    <w:p w:rsidR="00020D85" w:rsidRPr="00750D93" w:rsidP="00020D85" w14:paraId="57EC90CA" w14:textId="5BBE61E6">
      <w:pPr>
        <w:spacing w:after="240" w:line="240" w:lineRule="auto"/>
        <w:ind w:right="10"/>
        <w:rPr>
          <w:szCs w:val="24"/>
        </w:rPr>
      </w:pPr>
      <w:r w:rsidRPr="00750D93">
        <w:rPr>
          <w:szCs w:val="24"/>
        </w:rPr>
        <w:t xml:space="preserve">Users of </w:t>
      </w:r>
      <w:r w:rsidRPr="00750D93">
        <w:rPr>
          <w:rFonts w:eastAsia="Calibri"/>
          <w:szCs w:val="24"/>
        </w:rPr>
        <w:t>the</w:t>
      </w:r>
      <w:r w:rsidRPr="00750D93">
        <w:rPr>
          <w:szCs w:val="24"/>
        </w:rPr>
        <w:t xml:space="preserve"> data</w:t>
      </w:r>
      <w:r w:rsidR="00E4692F">
        <w:rPr>
          <w:szCs w:val="24"/>
        </w:rPr>
        <w:t xml:space="preserve"> resulting</w:t>
      </w:r>
      <w:r w:rsidRPr="00750D93">
        <w:rPr>
          <w:szCs w:val="24"/>
        </w:rPr>
        <w:t xml:space="preserve"> from the information collection requirements of subpart B of Regulation B—including the </w:t>
      </w:r>
      <w:r w:rsidR="000B3BB6">
        <w:rPr>
          <w:szCs w:val="24"/>
        </w:rPr>
        <w:t>CFPB</w:t>
      </w:r>
      <w:r w:rsidRPr="00750D93">
        <w:rPr>
          <w:szCs w:val="24"/>
        </w:rPr>
        <w:t xml:space="preserve">, </w:t>
      </w:r>
      <w:r w:rsidR="00A456C6">
        <w:rPr>
          <w:szCs w:val="24"/>
        </w:rPr>
        <w:t xml:space="preserve">other </w:t>
      </w:r>
      <w:r w:rsidRPr="00750D93">
        <w:rPr>
          <w:szCs w:val="24"/>
        </w:rPr>
        <w:t>federal agencies charged with enforcing ECOA and other fair lending laws, applicants for credit, communities, governmental entities, and creditors—</w:t>
      </w:r>
      <w:r w:rsidR="00921E31">
        <w:rPr>
          <w:szCs w:val="24"/>
        </w:rPr>
        <w:t xml:space="preserve">will </w:t>
      </w:r>
      <w:r w:rsidRPr="00750D93">
        <w:rPr>
          <w:szCs w:val="24"/>
        </w:rPr>
        <w:t xml:space="preserve">use the data to advance section 1071’s statutory purposes, which are to (1) facilitate enforcement of fair lending laws, and (2) enable communities, governmental </w:t>
      </w:r>
      <w:r w:rsidRPr="00750D93">
        <w:rPr>
          <w:szCs w:val="24"/>
        </w:rPr>
        <w:t xml:space="preserve">entities, and creditors to identify </w:t>
      </w:r>
      <w:r w:rsidRPr="00750D93">
        <w:rPr>
          <w:rFonts w:eastAsia="Calibri"/>
          <w:szCs w:val="24"/>
        </w:rPr>
        <w:t>business</w:t>
      </w:r>
      <w:r w:rsidRPr="00750D93">
        <w:rPr>
          <w:szCs w:val="24"/>
        </w:rPr>
        <w:t xml:space="preserve"> and community development needs and opportunities of women-owned, minority-owned, and small businesses.</w:t>
      </w:r>
      <w:r>
        <w:rPr>
          <w:szCs w:val="24"/>
        </w:rPr>
        <w:t xml:space="preserve"> </w:t>
      </w:r>
      <w:r w:rsidR="00CD0BBB">
        <w:rPr>
          <w:szCs w:val="24"/>
        </w:rPr>
        <w:t xml:space="preserve"> </w:t>
      </w:r>
      <w:r w:rsidRPr="00750D93">
        <w:rPr>
          <w:szCs w:val="24"/>
        </w:rPr>
        <w:t xml:space="preserve">The provisions </w:t>
      </w:r>
      <w:r w:rsidR="00921E31">
        <w:rPr>
          <w:szCs w:val="24"/>
        </w:rPr>
        <w:t xml:space="preserve">of subpart B will </w:t>
      </w:r>
      <w:r w:rsidRPr="00750D93">
        <w:rPr>
          <w:szCs w:val="24"/>
        </w:rPr>
        <w:t>significantly enhance the ability of these individuals and entities to enforce fair lending laws and identify business and community development needs</w:t>
      </w:r>
      <w:r w:rsidR="00E4692F">
        <w:rPr>
          <w:szCs w:val="24"/>
        </w:rPr>
        <w:t xml:space="preserve"> and opportunities</w:t>
      </w:r>
      <w:r w:rsidRPr="00750D93">
        <w:rPr>
          <w:szCs w:val="24"/>
        </w:rPr>
        <w:t>.</w:t>
      </w:r>
      <w:r>
        <w:rPr>
          <w:szCs w:val="24"/>
        </w:rPr>
        <w:t xml:space="preserve"> </w:t>
      </w:r>
    </w:p>
    <w:p w:rsidR="00020D85" w:rsidRPr="00750D93" w:rsidP="00020D85" w14:paraId="297B7897" w14:textId="6E8ABE96">
      <w:pPr>
        <w:spacing w:after="240" w:line="240" w:lineRule="auto"/>
        <w:ind w:right="10"/>
        <w:rPr>
          <w:szCs w:val="24"/>
        </w:rPr>
      </w:pPr>
      <w:r w:rsidRPr="00750D93">
        <w:rPr>
          <w:szCs w:val="24"/>
        </w:rPr>
        <w:t xml:space="preserve">The </w:t>
      </w:r>
      <w:r w:rsidR="000B3BB6">
        <w:rPr>
          <w:szCs w:val="24"/>
        </w:rPr>
        <w:t>CFPB</w:t>
      </w:r>
      <w:r w:rsidRPr="00750D93">
        <w:rPr>
          <w:szCs w:val="24"/>
        </w:rPr>
        <w:t xml:space="preserve">, other federal agencies, applicants for credit, communities, governmental entities, and creditors </w:t>
      </w:r>
      <w:r w:rsidR="009A60F5">
        <w:rPr>
          <w:szCs w:val="24"/>
        </w:rPr>
        <w:t xml:space="preserve">will be able to </w:t>
      </w:r>
      <w:r w:rsidRPr="00750D93">
        <w:rPr>
          <w:szCs w:val="24"/>
        </w:rPr>
        <w:t xml:space="preserve">use </w:t>
      </w:r>
      <w:r w:rsidRPr="00750D93">
        <w:rPr>
          <w:rFonts w:eastAsia="Calibri"/>
          <w:szCs w:val="24"/>
        </w:rPr>
        <w:t>recordkeeping</w:t>
      </w:r>
      <w:r w:rsidRPr="00750D93">
        <w:rPr>
          <w:szCs w:val="24"/>
        </w:rPr>
        <w:t xml:space="preserve"> information to determine whether </w:t>
      </w:r>
      <w:r w:rsidR="008C7FA2">
        <w:rPr>
          <w:szCs w:val="24"/>
        </w:rPr>
        <w:t xml:space="preserve">covered </w:t>
      </w:r>
      <w:r w:rsidRPr="00750D93">
        <w:rPr>
          <w:szCs w:val="24"/>
        </w:rPr>
        <w:t xml:space="preserve">financial institutions have complied with the data collection </w:t>
      </w:r>
      <w:r w:rsidR="00E4692F">
        <w:rPr>
          <w:szCs w:val="24"/>
        </w:rPr>
        <w:t>requirements</w:t>
      </w:r>
      <w:r w:rsidRPr="00750D93" w:rsidR="00E4692F">
        <w:rPr>
          <w:szCs w:val="24"/>
        </w:rPr>
        <w:t xml:space="preserve"> </w:t>
      </w:r>
      <w:r w:rsidRPr="00750D93">
        <w:rPr>
          <w:szCs w:val="24"/>
        </w:rPr>
        <w:t xml:space="preserve">of subpart B. </w:t>
      </w:r>
      <w:r w:rsidR="00CD0BBB">
        <w:rPr>
          <w:szCs w:val="24"/>
        </w:rPr>
        <w:t xml:space="preserve"> </w:t>
      </w:r>
      <w:r w:rsidRPr="00750D93">
        <w:rPr>
          <w:szCs w:val="24"/>
        </w:rPr>
        <w:t xml:space="preserve">The recordkeeping requirements </w:t>
      </w:r>
      <w:r w:rsidR="009A60F5">
        <w:rPr>
          <w:szCs w:val="24"/>
        </w:rPr>
        <w:t xml:space="preserve">will </w:t>
      </w:r>
      <w:r w:rsidRPr="00750D93">
        <w:rPr>
          <w:szCs w:val="24"/>
        </w:rPr>
        <w:t xml:space="preserve">significantly enhance the ability of these individuals and entities to determine compliance with </w:t>
      </w:r>
      <w:r w:rsidRPr="00750D93">
        <w:rPr>
          <w:rFonts w:eastAsia="Calibri"/>
          <w:szCs w:val="24"/>
        </w:rPr>
        <w:t>subpart</w:t>
      </w:r>
      <w:r w:rsidRPr="00750D93">
        <w:rPr>
          <w:szCs w:val="24"/>
        </w:rPr>
        <w:t xml:space="preserve"> B.</w:t>
      </w:r>
    </w:p>
    <w:p w:rsidR="001E6EF5" w:rsidP="00020D85" w14:paraId="7F6F0385" w14:textId="2600C86E">
      <w:pPr>
        <w:spacing w:after="240" w:line="240" w:lineRule="auto"/>
        <w:ind w:right="10"/>
        <w:rPr>
          <w:rFonts w:eastAsia="Calibri"/>
          <w:szCs w:val="24"/>
        </w:rPr>
      </w:pPr>
      <w:r>
        <w:rPr>
          <w:rFonts w:eastAsia="Calibri"/>
          <w:szCs w:val="24"/>
        </w:rPr>
        <w:t xml:space="preserve">The notice requirements of </w:t>
      </w:r>
      <w:r w:rsidR="007967B2">
        <w:rPr>
          <w:rFonts w:eastAsia="Calibri"/>
          <w:szCs w:val="24"/>
        </w:rPr>
        <w:t>section</w:t>
      </w:r>
      <w:r>
        <w:rPr>
          <w:rFonts w:eastAsia="Calibri"/>
          <w:szCs w:val="24"/>
        </w:rPr>
        <w:t> </w:t>
      </w:r>
      <w:r w:rsidRPr="00750D93">
        <w:rPr>
          <w:rFonts w:eastAsia="Calibri"/>
          <w:szCs w:val="24"/>
        </w:rPr>
        <w:t>1002.10</w:t>
      </w:r>
      <w:r>
        <w:rPr>
          <w:rFonts w:eastAsia="Calibri"/>
          <w:szCs w:val="24"/>
        </w:rPr>
        <w:t>7</w:t>
      </w:r>
      <w:r w:rsidRPr="00750D93">
        <w:rPr>
          <w:rFonts w:eastAsia="Calibri"/>
          <w:szCs w:val="24"/>
        </w:rPr>
        <w:t>(</w:t>
      </w:r>
      <w:r>
        <w:rPr>
          <w:rFonts w:eastAsia="Calibri"/>
          <w:szCs w:val="24"/>
        </w:rPr>
        <w:t>a</w:t>
      </w:r>
      <w:r w:rsidRPr="00750D93">
        <w:rPr>
          <w:rFonts w:eastAsia="Calibri"/>
          <w:szCs w:val="24"/>
        </w:rPr>
        <w:t>)</w:t>
      </w:r>
      <w:r>
        <w:rPr>
          <w:rFonts w:eastAsia="Calibri"/>
          <w:szCs w:val="24"/>
        </w:rPr>
        <w:t xml:space="preserve">(18) and (19) will apprise applicants that </w:t>
      </w:r>
      <w:r w:rsidRPr="00B84CD2" w:rsidR="004A4D34">
        <w:t xml:space="preserve">the financial institution cannot discriminate </w:t>
      </w:r>
      <w:r w:rsidRPr="00B84CD2" w:rsidR="004A4D34">
        <w:t>on the basis of</w:t>
      </w:r>
      <w:r w:rsidRPr="00B84CD2" w:rsidR="004A4D34">
        <w:t xml:space="preserve"> </w:t>
      </w:r>
      <w:r w:rsidR="004A4D34">
        <w:t xml:space="preserve">protected demographic information provided by applicants, and that </w:t>
      </w:r>
      <w:r w:rsidRPr="00B84CD2" w:rsidR="004A4D34">
        <w:t>Federal law requires it to ask for an applicant</w:t>
      </w:r>
      <w:r w:rsidR="004A4D34">
        <w:t>’</w:t>
      </w:r>
      <w:r w:rsidRPr="00B84CD2" w:rsidR="004A4D34">
        <w:t xml:space="preserve">s </w:t>
      </w:r>
      <w:r w:rsidR="004A4D34">
        <w:t xml:space="preserve">protected demographic information </w:t>
      </w:r>
      <w:r w:rsidRPr="00B84CD2" w:rsidR="004A4D34">
        <w:t>to help ensure that all small business applicants for credit are treated fairly and that communities</w:t>
      </w:r>
      <w:r w:rsidR="004A4D34">
        <w:t>’</w:t>
      </w:r>
      <w:r w:rsidRPr="00B84CD2" w:rsidR="004A4D34">
        <w:t xml:space="preserve"> small business credit needs are being fulfilled.</w:t>
      </w:r>
    </w:p>
    <w:p w:rsidR="00ED6C83" w:rsidP="006142C9" w14:paraId="0500B57F" w14:textId="0715DB1D">
      <w:pPr>
        <w:spacing w:after="240" w:line="240" w:lineRule="auto"/>
        <w:ind w:right="10"/>
        <w:rPr>
          <w:rFonts w:eastAsia="Calibri"/>
          <w:szCs w:val="24"/>
        </w:rPr>
      </w:pPr>
      <w:r w:rsidRPr="00750D93">
        <w:rPr>
          <w:rFonts w:eastAsia="Calibri"/>
          <w:szCs w:val="24"/>
        </w:rPr>
        <w:t xml:space="preserve">The “firewall” notice requirements of </w:t>
      </w:r>
      <w:r w:rsidR="007967B2">
        <w:rPr>
          <w:rFonts w:eastAsia="Calibri"/>
          <w:szCs w:val="24"/>
        </w:rPr>
        <w:t>section</w:t>
      </w:r>
      <w:r>
        <w:rPr>
          <w:rFonts w:eastAsia="Calibri"/>
          <w:szCs w:val="24"/>
        </w:rPr>
        <w:t> </w:t>
      </w:r>
      <w:r w:rsidRPr="00750D93">
        <w:rPr>
          <w:rFonts w:eastAsia="Calibri"/>
          <w:szCs w:val="24"/>
        </w:rPr>
        <w:t xml:space="preserve">1002.108(c) and (d) </w:t>
      </w:r>
      <w:r w:rsidR="009A60F5">
        <w:rPr>
          <w:rFonts w:eastAsia="Calibri"/>
          <w:szCs w:val="24"/>
        </w:rPr>
        <w:t xml:space="preserve">will </w:t>
      </w:r>
      <w:r w:rsidRPr="00750D93">
        <w:rPr>
          <w:rFonts w:eastAsia="Calibri"/>
          <w:szCs w:val="24"/>
        </w:rPr>
        <w:t xml:space="preserve">apprise applicants that underwriters and certain other persons have access to the applicant’s protected demographic information. </w:t>
      </w:r>
    </w:p>
    <w:p w:rsidR="00426E23" w:rsidP="006142C9" w14:paraId="40B6C292" w14:textId="6C838F05">
      <w:pPr>
        <w:spacing w:after="240" w:line="240" w:lineRule="auto"/>
        <w:ind w:right="10"/>
      </w:pPr>
      <w:r>
        <w:rPr>
          <w:szCs w:val="24"/>
        </w:rPr>
        <w:t xml:space="preserve">The notice requirement of </w:t>
      </w:r>
      <w:r w:rsidR="007967B2">
        <w:rPr>
          <w:rFonts w:eastAsia="Calibri"/>
          <w:szCs w:val="24"/>
        </w:rPr>
        <w:t>section</w:t>
      </w:r>
      <w:r>
        <w:rPr>
          <w:rFonts w:eastAsia="Calibri"/>
          <w:szCs w:val="24"/>
        </w:rPr>
        <w:t> </w:t>
      </w:r>
      <w:r w:rsidRPr="00BB5942">
        <w:rPr>
          <w:szCs w:val="24"/>
        </w:rPr>
        <w:t xml:space="preserve">1002.110(c) </w:t>
      </w:r>
      <w:r>
        <w:rPr>
          <w:szCs w:val="24"/>
        </w:rPr>
        <w:t xml:space="preserve">and (d) will </w:t>
      </w:r>
      <w:r w:rsidR="00424981">
        <w:rPr>
          <w:szCs w:val="24"/>
        </w:rPr>
        <w:t xml:space="preserve">appraise a person that wishes to access the small business lending data of </w:t>
      </w:r>
      <w:r w:rsidRPr="00BB5942">
        <w:rPr>
          <w:szCs w:val="24"/>
        </w:rPr>
        <w:t>a covered financial institution</w:t>
      </w:r>
      <w:r w:rsidR="00424981">
        <w:rPr>
          <w:szCs w:val="24"/>
        </w:rPr>
        <w:t xml:space="preserve"> that the institution’s </w:t>
      </w:r>
      <w:r w:rsidRPr="00BB5942">
        <w:rPr>
          <w:szCs w:val="24"/>
        </w:rPr>
        <w:t xml:space="preserve">data, as modified by the </w:t>
      </w:r>
      <w:r>
        <w:rPr>
          <w:szCs w:val="24"/>
        </w:rPr>
        <w:t>CFPB</w:t>
      </w:r>
      <w:r w:rsidRPr="00BB5942">
        <w:rPr>
          <w:szCs w:val="24"/>
        </w:rPr>
        <w:t xml:space="preserve">, are or will be available </w:t>
      </w:r>
      <w:r>
        <w:rPr>
          <w:szCs w:val="24"/>
        </w:rPr>
        <w:t>from</w:t>
      </w:r>
      <w:r w:rsidRPr="00BB5942">
        <w:rPr>
          <w:szCs w:val="24"/>
        </w:rPr>
        <w:t xml:space="preserve"> the </w:t>
      </w:r>
      <w:r>
        <w:rPr>
          <w:szCs w:val="24"/>
        </w:rPr>
        <w:t>CFPB</w:t>
      </w:r>
      <w:r w:rsidRPr="00BB5942">
        <w:rPr>
          <w:szCs w:val="24"/>
        </w:rPr>
        <w:t xml:space="preserve">. </w:t>
      </w:r>
    </w:p>
    <w:p w:rsidR="009346F0" w:rsidRPr="00DA4517" w:rsidP="00DA4517" w14:paraId="0C620920" w14:textId="11A5E1B1">
      <w:pPr>
        <w:pStyle w:val="Heading1"/>
        <w:rPr>
          <w:u w:val="none"/>
        </w:rPr>
      </w:pPr>
      <w:r w:rsidRPr="006142C9">
        <w:t>3.</w:t>
      </w:r>
      <w:r w:rsidRPr="00DA4517">
        <w:rPr>
          <w:u w:val="none"/>
        </w:rPr>
        <w:t xml:space="preserve">  </w:t>
      </w:r>
      <w:r w:rsidRPr="00750D93" w:rsidR="00327584">
        <w:t>Use of</w:t>
      </w:r>
      <w:r w:rsidRPr="00750D93" w:rsidR="00327584">
        <w:rPr>
          <w:spacing w:val="1"/>
        </w:rPr>
        <w:t xml:space="preserve"> </w:t>
      </w:r>
      <w:r w:rsidRPr="00750D93" w:rsidR="00327584">
        <w:t>I</w:t>
      </w:r>
      <w:r w:rsidRPr="00750D93" w:rsidR="00327584">
        <w:rPr>
          <w:spacing w:val="1"/>
        </w:rPr>
        <w:t>nf</w:t>
      </w:r>
      <w:r w:rsidRPr="00750D93" w:rsidR="00327584">
        <w:t>or</w:t>
      </w:r>
      <w:r w:rsidRPr="00750D93" w:rsidR="00327584">
        <w:rPr>
          <w:spacing w:val="-3"/>
        </w:rPr>
        <w:t>m</w:t>
      </w:r>
      <w:r w:rsidRPr="00750D93" w:rsidR="00327584">
        <w:t>ation</w:t>
      </w:r>
      <w:r w:rsidRPr="00750D93" w:rsidR="00327584">
        <w:rPr>
          <w:spacing w:val="1"/>
        </w:rPr>
        <w:t xml:space="preserve"> </w:t>
      </w:r>
      <w:r w:rsidRPr="00750D93" w:rsidR="00327584">
        <w:t>Tec</w:t>
      </w:r>
      <w:r w:rsidRPr="00750D93" w:rsidR="00327584">
        <w:rPr>
          <w:spacing w:val="1"/>
        </w:rPr>
        <w:t>hn</w:t>
      </w:r>
      <w:r w:rsidRPr="00750D93" w:rsidR="00327584">
        <w:t>ology</w:t>
      </w:r>
    </w:p>
    <w:p w:rsidR="009346F0" w14:paraId="46BD21B6" w14:textId="77777777">
      <w:pPr>
        <w:ind w:left="-15" w:firstLine="720"/>
      </w:pPr>
    </w:p>
    <w:p w:rsidR="009A60F5" w:rsidP="00594B71" w14:paraId="18DCAF2C" w14:textId="50730BB6">
      <w:pPr>
        <w:spacing w:after="240" w:line="240" w:lineRule="auto"/>
        <w:ind w:right="10"/>
        <w:rPr>
          <w:rFonts w:eastAsia="Calibri"/>
          <w:szCs w:val="24"/>
        </w:rPr>
      </w:pPr>
      <w:r w:rsidRPr="00750D93">
        <w:rPr>
          <w:rFonts w:eastAsia="Calibri"/>
          <w:szCs w:val="24"/>
          <w:u w:val="single"/>
        </w:rPr>
        <w:t>Subpart A</w:t>
      </w:r>
      <w:r>
        <w:rPr>
          <w:rFonts w:eastAsia="Calibri"/>
          <w:szCs w:val="24"/>
        </w:rPr>
        <w:t xml:space="preserve"> </w:t>
      </w:r>
    </w:p>
    <w:p w:rsidR="00594B71" w:rsidRPr="00750D93" w:rsidP="00594B71" w14:paraId="4149B7C9" w14:textId="220D471F">
      <w:pPr>
        <w:spacing w:after="240" w:line="240" w:lineRule="auto"/>
        <w:ind w:right="10"/>
        <w:rPr>
          <w:rFonts w:eastAsia="Calibri"/>
          <w:szCs w:val="24"/>
        </w:rPr>
      </w:pPr>
      <w:r w:rsidRPr="00750D93">
        <w:rPr>
          <w:rFonts w:eastAsia="Calibri"/>
          <w:szCs w:val="24"/>
        </w:rPr>
        <w:t xml:space="preserve">The disclosures required by </w:t>
      </w:r>
      <w:r w:rsidR="003E1457">
        <w:rPr>
          <w:rFonts w:eastAsia="Calibri"/>
          <w:szCs w:val="24"/>
        </w:rPr>
        <w:t>subpart A of</w:t>
      </w:r>
      <w:r w:rsidRPr="00750D93" w:rsidR="003E1457">
        <w:rPr>
          <w:rFonts w:eastAsia="Calibri"/>
          <w:szCs w:val="24"/>
        </w:rPr>
        <w:t xml:space="preserve"> </w:t>
      </w:r>
      <w:r w:rsidRPr="00750D93">
        <w:rPr>
          <w:rFonts w:eastAsia="Calibri"/>
          <w:szCs w:val="24"/>
        </w:rPr>
        <w:t xml:space="preserve">Regulation B may be provided to the consumer in electronic form, subject to compliance with the consumer consent and other applicable provisions of the Electronic Signatures in Global and National Commerce Act (E-Sign Act), 15 U.S.C. 7001 </w:t>
      </w:r>
      <w:r w:rsidRPr="00750D93">
        <w:rPr>
          <w:rFonts w:eastAsia="Calibri"/>
          <w:i/>
          <w:szCs w:val="24"/>
        </w:rPr>
        <w:t>et seq</w:t>
      </w:r>
      <w:r w:rsidRPr="00750D93">
        <w:rPr>
          <w:rFonts w:eastAsia="Calibri"/>
          <w:szCs w:val="24"/>
        </w:rPr>
        <w:t xml:space="preserve">. Use of such electronic communications is consistent with the Government Paperwork Elimination Act (GPEA), Title XVII of Pub. L. 105-277, codified at 44 U.S.C. 3504 note. </w:t>
      </w:r>
      <w:r w:rsidR="00CD0BBB">
        <w:rPr>
          <w:rFonts w:eastAsia="Calibri"/>
          <w:szCs w:val="24"/>
        </w:rPr>
        <w:t xml:space="preserve"> </w:t>
      </w:r>
      <w:r w:rsidRPr="00750D93">
        <w:rPr>
          <w:rFonts w:eastAsia="Calibri"/>
          <w:szCs w:val="24"/>
        </w:rPr>
        <w:t>The E-Sign Act and GPEA serve to reduce businesses’ compliance burden related to federal requirements, including Regulation B, by enabling creditors to utilize more efficient electronic media for disclosures and compliance.</w:t>
      </w:r>
    </w:p>
    <w:p w:rsidR="00EA5BC1" w:rsidP="00594B71" w14:paraId="71AC12A1" w14:textId="1D1A7BCD">
      <w:pPr>
        <w:spacing w:after="240" w:line="240" w:lineRule="auto"/>
        <w:ind w:right="10"/>
      </w:pPr>
      <w:r w:rsidRPr="00750D93">
        <w:rPr>
          <w:rFonts w:eastAsia="Calibri"/>
          <w:szCs w:val="24"/>
        </w:rPr>
        <w:t xml:space="preserve">Regulation B also permits creditors to retain records on any method that reproduces records accurately, including digitally. </w:t>
      </w:r>
      <w:r w:rsidR="00CD0BBB">
        <w:rPr>
          <w:rFonts w:eastAsia="Calibri"/>
          <w:szCs w:val="24"/>
        </w:rPr>
        <w:t xml:space="preserve"> </w:t>
      </w:r>
      <w:r w:rsidRPr="00750D93">
        <w:rPr>
          <w:rFonts w:eastAsia="Calibri"/>
          <w:szCs w:val="24"/>
        </w:rPr>
        <w:t xml:space="preserve">Creditors need only retain enough information to reconstruct the required disclosure or other records. </w:t>
      </w:r>
      <w:r w:rsidR="00CD0BBB">
        <w:rPr>
          <w:rFonts w:eastAsia="Calibri"/>
          <w:szCs w:val="24"/>
        </w:rPr>
        <w:t xml:space="preserve"> </w:t>
      </w:r>
      <w:r w:rsidRPr="00750D93">
        <w:rPr>
          <w:rFonts w:eastAsia="Calibri"/>
          <w:szCs w:val="24"/>
        </w:rPr>
        <w:t xml:space="preserve">Most creditors use technology solutions to calculate the required information and generate the mandated disclosures, thereby limiting the burden on these entities. </w:t>
      </w:r>
      <w:r w:rsidR="009346F0">
        <w:t xml:space="preserve"> </w:t>
      </w:r>
    </w:p>
    <w:p w:rsidR="00E263C1" w:rsidP="008C6BE9" w14:paraId="1E87DC5D" w14:textId="7D675FC4">
      <w:pPr>
        <w:spacing w:after="240" w:line="240" w:lineRule="auto"/>
        <w:ind w:right="10"/>
        <w:rPr>
          <w:szCs w:val="24"/>
        </w:rPr>
      </w:pPr>
      <w:r>
        <w:rPr>
          <w:szCs w:val="24"/>
          <w:u w:val="single"/>
        </w:rPr>
        <w:t>S</w:t>
      </w:r>
      <w:r w:rsidRPr="00750D93" w:rsidR="008C6BE9">
        <w:rPr>
          <w:szCs w:val="24"/>
          <w:u w:val="single"/>
        </w:rPr>
        <w:t>ubpart B</w:t>
      </w:r>
      <w:r w:rsidR="008C6BE9">
        <w:rPr>
          <w:szCs w:val="24"/>
        </w:rPr>
        <w:t xml:space="preserve"> </w:t>
      </w:r>
    </w:p>
    <w:p w:rsidR="008C6BE9" w:rsidRPr="00750D93" w:rsidP="008C6BE9" w14:paraId="695B2B6D" w14:textId="673B71D4">
      <w:pPr>
        <w:spacing w:after="240" w:line="240" w:lineRule="auto"/>
        <w:ind w:right="10"/>
        <w:rPr>
          <w:szCs w:val="24"/>
        </w:rPr>
      </w:pPr>
      <w:r w:rsidRPr="00750D93">
        <w:rPr>
          <w:szCs w:val="24"/>
        </w:rPr>
        <w:t xml:space="preserve">The </w:t>
      </w:r>
      <w:r w:rsidR="00E263C1">
        <w:rPr>
          <w:szCs w:val="24"/>
        </w:rPr>
        <w:t xml:space="preserve">final </w:t>
      </w:r>
      <w:r w:rsidRPr="00750D93">
        <w:rPr>
          <w:szCs w:val="24"/>
        </w:rPr>
        <w:t>rule require</w:t>
      </w:r>
      <w:r w:rsidR="00E263C1">
        <w:rPr>
          <w:szCs w:val="24"/>
        </w:rPr>
        <w:t>s</w:t>
      </w:r>
      <w:r w:rsidRPr="00750D93">
        <w:rPr>
          <w:szCs w:val="24"/>
        </w:rPr>
        <w:t xml:space="preserve"> </w:t>
      </w:r>
      <w:r w:rsidR="008C7FA2">
        <w:rPr>
          <w:szCs w:val="24"/>
        </w:rPr>
        <w:t xml:space="preserve">covered </w:t>
      </w:r>
      <w:r w:rsidRPr="00750D93">
        <w:rPr>
          <w:szCs w:val="24"/>
        </w:rPr>
        <w:t xml:space="preserve">financial institutions to submit </w:t>
      </w:r>
      <w:r w:rsidR="00B402BC">
        <w:rPr>
          <w:szCs w:val="24"/>
        </w:rPr>
        <w:t xml:space="preserve">small business lending </w:t>
      </w:r>
      <w:r w:rsidRPr="00750D93">
        <w:rPr>
          <w:szCs w:val="24"/>
        </w:rPr>
        <w:t>data in electronic form.</w:t>
      </w:r>
      <w:r>
        <w:rPr>
          <w:szCs w:val="24"/>
        </w:rPr>
        <w:t xml:space="preserve"> </w:t>
      </w:r>
      <w:r w:rsidR="00CD0BBB">
        <w:rPr>
          <w:szCs w:val="24"/>
        </w:rPr>
        <w:t xml:space="preserve"> </w:t>
      </w:r>
      <w:r w:rsidRPr="00750D93">
        <w:rPr>
          <w:szCs w:val="24"/>
        </w:rPr>
        <w:t xml:space="preserve">The </w:t>
      </w:r>
      <w:r w:rsidR="000B3BB6">
        <w:rPr>
          <w:szCs w:val="24"/>
        </w:rPr>
        <w:t>CFPB</w:t>
      </w:r>
      <w:r w:rsidRPr="00750D93">
        <w:rPr>
          <w:szCs w:val="24"/>
        </w:rPr>
        <w:t xml:space="preserve"> </w:t>
      </w:r>
      <w:r w:rsidR="00946636">
        <w:rPr>
          <w:szCs w:val="24"/>
        </w:rPr>
        <w:t xml:space="preserve">is </w:t>
      </w:r>
      <w:r w:rsidRPr="00750D93">
        <w:rPr>
          <w:szCs w:val="24"/>
        </w:rPr>
        <w:t>develop</w:t>
      </w:r>
      <w:r w:rsidR="00946636">
        <w:rPr>
          <w:szCs w:val="24"/>
        </w:rPr>
        <w:t>ing</w:t>
      </w:r>
      <w:r w:rsidRPr="00750D93">
        <w:rPr>
          <w:szCs w:val="24"/>
        </w:rPr>
        <w:t xml:space="preserve"> a system to receive, process, and publish the data collected pursuant to </w:t>
      </w:r>
      <w:r w:rsidR="00C60A04">
        <w:rPr>
          <w:szCs w:val="24"/>
        </w:rPr>
        <w:t>subpart B</w:t>
      </w:r>
      <w:r w:rsidRPr="00750D93">
        <w:rPr>
          <w:szCs w:val="24"/>
        </w:rPr>
        <w:t>.</w:t>
      </w:r>
      <w:r w:rsidR="00CD0BBB">
        <w:rPr>
          <w:szCs w:val="24"/>
        </w:rPr>
        <w:t xml:space="preserve"> </w:t>
      </w:r>
      <w:r w:rsidRPr="00750D93">
        <w:rPr>
          <w:szCs w:val="24"/>
        </w:rPr>
        <w:t xml:space="preserve"> In doing so, the </w:t>
      </w:r>
      <w:r w:rsidR="000B3BB6">
        <w:rPr>
          <w:szCs w:val="24"/>
        </w:rPr>
        <w:t>CFPB</w:t>
      </w:r>
      <w:r w:rsidRPr="00750D93">
        <w:rPr>
          <w:szCs w:val="24"/>
        </w:rPr>
        <w:t xml:space="preserve"> will benefit from what it learned in its multiyear effort in developing the Home Mortgage Disclosure Act (HMDA) Platform, through which entities file data as required under the HMDA and Regulation C.</w:t>
      </w:r>
      <w:r w:rsidR="00CD0BBB">
        <w:rPr>
          <w:szCs w:val="24"/>
        </w:rPr>
        <w:t xml:space="preserve"> </w:t>
      </w:r>
      <w:r w:rsidRPr="00750D93">
        <w:rPr>
          <w:szCs w:val="24"/>
        </w:rPr>
        <w:t xml:space="preserve"> As it did in developing the HMDA Platform, the </w:t>
      </w:r>
      <w:r w:rsidR="000B3BB6">
        <w:rPr>
          <w:szCs w:val="24"/>
        </w:rPr>
        <w:t>CFPB</w:t>
      </w:r>
      <w:r w:rsidRPr="00750D93">
        <w:rPr>
          <w:szCs w:val="24"/>
        </w:rPr>
        <w:t xml:space="preserve">’s work in developing the </w:t>
      </w:r>
      <w:r w:rsidR="00452292">
        <w:rPr>
          <w:szCs w:val="24"/>
        </w:rPr>
        <w:t xml:space="preserve">small business loan </w:t>
      </w:r>
      <w:r w:rsidRPr="00750D93">
        <w:rPr>
          <w:szCs w:val="24"/>
        </w:rPr>
        <w:t xml:space="preserve">data submission system will focus on satisfying all legal requirements, promoting data accuracy, and reducing burden. </w:t>
      </w:r>
      <w:r w:rsidR="00CD0BBB">
        <w:rPr>
          <w:szCs w:val="24"/>
        </w:rPr>
        <w:t xml:space="preserve"> </w:t>
      </w:r>
      <w:r w:rsidRPr="00750D93">
        <w:rPr>
          <w:szCs w:val="24"/>
        </w:rPr>
        <w:t xml:space="preserve">Also as with HMDA, the </w:t>
      </w:r>
      <w:r w:rsidR="000B3BB6">
        <w:rPr>
          <w:szCs w:val="24"/>
        </w:rPr>
        <w:t>CFPB</w:t>
      </w:r>
      <w:r w:rsidRPr="00750D93">
        <w:rPr>
          <w:szCs w:val="24"/>
        </w:rPr>
        <w:t xml:space="preserve"> </w:t>
      </w:r>
      <w:r w:rsidR="003D2ACE">
        <w:rPr>
          <w:szCs w:val="24"/>
        </w:rPr>
        <w:t>has provided</w:t>
      </w:r>
      <w:r w:rsidRPr="00750D93">
        <w:rPr>
          <w:szCs w:val="24"/>
        </w:rPr>
        <w:t xml:space="preserve"> a Filing Instructions Guide and related materials for financial institutions.</w:t>
      </w:r>
    </w:p>
    <w:p w:rsidR="009346F0" w:rsidRPr="00DA4517" w:rsidP="00DA4517" w14:paraId="391821B9" w14:textId="163BBEFD">
      <w:pPr>
        <w:pStyle w:val="Heading1"/>
        <w:rPr>
          <w:u w:val="none"/>
        </w:rPr>
      </w:pPr>
      <w:r w:rsidRPr="006142C9">
        <w:t>4.</w:t>
      </w:r>
      <w:r w:rsidRPr="00DA4517">
        <w:rPr>
          <w:u w:val="none"/>
        </w:rPr>
        <w:t xml:space="preserve">  </w:t>
      </w:r>
      <w:r w:rsidRPr="00750D93" w:rsidR="00AB60B2">
        <w:t>E</w:t>
      </w:r>
      <w:r w:rsidRPr="00750D93" w:rsidR="00AB60B2">
        <w:rPr>
          <w:spacing w:val="1"/>
        </w:rPr>
        <w:t>ff</w:t>
      </w:r>
      <w:r w:rsidRPr="00750D93" w:rsidR="00AB60B2">
        <w:t>orts to I</w:t>
      </w:r>
      <w:r w:rsidRPr="00750D93" w:rsidR="00AB60B2">
        <w:rPr>
          <w:spacing w:val="1"/>
        </w:rPr>
        <w:t>d</w:t>
      </w:r>
      <w:r w:rsidRPr="00750D93" w:rsidR="00AB60B2">
        <w:t>e</w:t>
      </w:r>
      <w:r w:rsidRPr="00750D93" w:rsidR="00AB60B2">
        <w:rPr>
          <w:spacing w:val="1"/>
        </w:rPr>
        <w:t>n</w:t>
      </w:r>
      <w:r w:rsidRPr="00750D93" w:rsidR="00AB60B2">
        <w:t>ti</w:t>
      </w:r>
      <w:r w:rsidRPr="00750D93" w:rsidR="00AB60B2">
        <w:rPr>
          <w:spacing w:val="1"/>
        </w:rPr>
        <w:t>f</w:t>
      </w:r>
      <w:r w:rsidRPr="00750D93" w:rsidR="00AB60B2">
        <w:t>y Du</w:t>
      </w:r>
      <w:r w:rsidRPr="00750D93" w:rsidR="00AB60B2">
        <w:rPr>
          <w:spacing w:val="1"/>
        </w:rPr>
        <w:t>p</w:t>
      </w:r>
      <w:r w:rsidRPr="00750D93" w:rsidR="00AB60B2">
        <w:t>l</w:t>
      </w:r>
      <w:r w:rsidRPr="00750D93" w:rsidR="00AB60B2">
        <w:rPr>
          <w:spacing w:val="1"/>
        </w:rPr>
        <w:t>i</w:t>
      </w:r>
      <w:r w:rsidRPr="00750D93" w:rsidR="00AB60B2">
        <w:t>cation</w:t>
      </w:r>
    </w:p>
    <w:p w:rsidR="00572D4C" w:rsidP="007E2BBE" w14:paraId="26A54BFB" w14:textId="77777777">
      <w:pPr>
        <w:spacing w:after="0" w:line="259" w:lineRule="auto"/>
        <w:ind w:left="0" w:firstLine="0"/>
      </w:pPr>
    </w:p>
    <w:p w:rsidR="00CF4439" w:rsidP="00AF3C57" w14:paraId="14364E94" w14:textId="155A45DF">
      <w:pPr>
        <w:spacing w:after="240" w:line="240" w:lineRule="auto"/>
        <w:ind w:right="10"/>
        <w:rPr>
          <w:rFonts w:eastAsia="Calibri"/>
          <w:szCs w:val="24"/>
        </w:rPr>
      </w:pPr>
      <w:r w:rsidRPr="00750D93">
        <w:rPr>
          <w:rFonts w:eastAsia="Calibri"/>
          <w:szCs w:val="24"/>
          <w:u w:val="single"/>
        </w:rPr>
        <w:t>Subpart A</w:t>
      </w:r>
      <w:r>
        <w:rPr>
          <w:rFonts w:eastAsia="Calibri"/>
          <w:szCs w:val="24"/>
        </w:rPr>
        <w:t xml:space="preserve"> </w:t>
      </w:r>
    </w:p>
    <w:p w:rsidR="00AF3C57" w:rsidRPr="00750D93" w:rsidP="00AF3C57" w14:paraId="4B4E959F" w14:textId="726E2409">
      <w:pPr>
        <w:spacing w:after="240" w:line="240" w:lineRule="auto"/>
        <w:ind w:right="10"/>
        <w:rPr>
          <w:rFonts w:eastAsia="Calibri"/>
          <w:szCs w:val="24"/>
        </w:rPr>
      </w:pPr>
      <w:r w:rsidRPr="00750D93">
        <w:rPr>
          <w:szCs w:val="24"/>
        </w:rPr>
        <w:t xml:space="preserve">For the most part, the information </w:t>
      </w:r>
      <w:r w:rsidRPr="00750D93">
        <w:rPr>
          <w:rFonts w:eastAsia="Calibri"/>
          <w:szCs w:val="24"/>
        </w:rPr>
        <w:t>collections</w:t>
      </w:r>
      <w:r w:rsidRPr="00750D93">
        <w:rPr>
          <w:szCs w:val="24"/>
        </w:rPr>
        <w:t xml:space="preserve"> in </w:t>
      </w:r>
      <w:r w:rsidR="00123112">
        <w:rPr>
          <w:szCs w:val="24"/>
        </w:rPr>
        <w:t xml:space="preserve">subpart A of </w:t>
      </w:r>
      <w:r w:rsidRPr="00750D93">
        <w:rPr>
          <w:szCs w:val="24"/>
        </w:rPr>
        <w:t xml:space="preserve">Regulation B do not duplicate other regulations. There is some overlap with the Fair Credit Reporting Act (FCRA) for disclosure and </w:t>
      </w:r>
      <w:r w:rsidRPr="00750D93">
        <w:rPr>
          <w:rFonts w:eastAsia="Calibri"/>
          <w:szCs w:val="24"/>
        </w:rPr>
        <w:t xml:space="preserve">retention of certain information, but they focus on populations which are not necessarily the same, and Regulation B is necessary to avoid circumvention by creditors of ECOA. </w:t>
      </w:r>
      <w:r w:rsidR="00CD0BBB">
        <w:rPr>
          <w:rFonts w:eastAsia="Calibri"/>
          <w:szCs w:val="24"/>
        </w:rPr>
        <w:t xml:space="preserve"> </w:t>
      </w:r>
      <w:r w:rsidRPr="00750D93">
        <w:rPr>
          <w:rFonts w:eastAsia="Calibri"/>
          <w:szCs w:val="24"/>
        </w:rPr>
        <w:t xml:space="preserve">Additionally, there is some overlap with HMDA for collection of certain information, although in 2017 the </w:t>
      </w:r>
      <w:r w:rsidR="000B3BB6">
        <w:rPr>
          <w:szCs w:val="24"/>
        </w:rPr>
        <w:t>CFPB</w:t>
      </w:r>
      <w:r w:rsidRPr="00750D93">
        <w:rPr>
          <w:rFonts w:eastAsia="Calibri"/>
          <w:szCs w:val="24"/>
        </w:rPr>
        <w:t xml:space="preserve"> updated Regulation B to ensure consistency among regulations and facilitate compliance with Regulation B and Regulation C by financial institutions.</w:t>
      </w:r>
    </w:p>
    <w:p w:rsidR="00AF3C57" w:rsidP="00AF3C57" w14:paraId="20CEDDD0" w14:textId="12CDCCFC">
      <w:pPr>
        <w:spacing w:after="240" w:line="240" w:lineRule="auto"/>
        <w:ind w:right="10"/>
        <w:rPr>
          <w:rFonts w:eastAsia="Calibri"/>
          <w:szCs w:val="24"/>
        </w:rPr>
      </w:pPr>
      <w:r w:rsidRPr="00750D93">
        <w:rPr>
          <w:rFonts w:eastAsia="Calibri"/>
          <w:szCs w:val="24"/>
        </w:rPr>
        <w:t xml:space="preserve">The appraisals information collection does duplicate, in part, two other Federal requirements. Specifically, the information collection requirement duplicates in part the Truth in Lending Act requirement to provide free copies of written appraisals for higher-risk mortgages. </w:t>
      </w:r>
      <w:r w:rsidR="00CD0BBB">
        <w:rPr>
          <w:rFonts w:eastAsia="Calibri"/>
          <w:szCs w:val="24"/>
        </w:rPr>
        <w:t xml:space="preserve"> </w:t>
      </w:r>
      <w:r w:rsidRPr="00750D93">
        <w:rPr>
          <w:rFonts w:eastAsia="Calibri"/>
          <w:szCs w:val="24"/>
        </w:rPr>
        <w:t xml:space="preserve">See 15 U.S.C. 1639(h). In addition, the requirement also duplicates in part the National Credit Union Administration’s (NCUA) regulation requiring national credit unions to provide copies of appraisal reports to loan applicants upon request. </w:t>
      </w:r>
      <w:r w:rsidR="00CD0BBB">
        <w:rPr>
          <w:rFonts w:eastAsia="Calibri"/>
          <w:szCs w:val="24"/>
        </w:rPr>
        <w:t xml:space="preserve"> </w:t>
      </w:r>
      <w:r w:rsidRPr="00750D93">
        <w:rPr>
          <w:rFonts w:eastAsia="Calibri"/>
          <w:szCs w:val="24"/>
        </w:rPr>
        <w:t>See 12 CFR 701.31(c)(5). However, where Regulation B and a duplicative requirement apply, a creditor need only provide an applicant one copy of each appraisal and other written valuation to comply with all Truth in Lending Act, ECOA, and the NCUA requirements in order to minimize burden.</w:t>
      </w:r>
    </w:p>
    <w:p w:rsidR="00A71876" w:rsidP="00676FD6" w14:paraId="3FF719DA" w14:textId="37FA5683">
      <w:pPr>
        <w:spacing w:after="240" w:line="240" w:lineRule="auto"/>
        <w:ind w:right="10"/>
        <w:rPr>
          <w:szCs w:val="24"/>
        </w:rPr>
      </w:pPr>
      <w:r>
        <w:rPr>
          <w:szCs w:val="24"/>
          <w:u w:val="single"/>
        </w:rPr>
        <w:t>S</w:t>
      </w:r>
      <w:r w:rsidRPr="00750D93" w:rsidR="00676FD6">
        <w:rPr>
          <w:szCs w:val="24"/>
          <w:u w:val="single"/>
        </w:rPr>
        <w:t>ubpart B</w:t>
      </w:r>
      <w:r w:rsidR="00676FD6">
        <w:rPr>
          <w:szCs w:val="24"/>
        </w:rPr>
        <w:t xml:space="preserve"> </w:t>
      </w:r>
    </w:p>
    <w:p w:rsidR="00676FD6" w:rsidRPr="00750D93" w:rsidP="00676FD6" w14:paraId="609964E7" w14:textId="34CFE2FD">
      <w:pPr>
        <w:spacing w:after="240" w:line="240" w:lineRule="auto"/>
        <w:ind w:right="10"/>
        <w:rPr>
          <w:rFonts w:eastAsia="Calibri"/>
          <w:szCs w:val="24"/>
        </w:rPr>
      </w:pPr>
      <w:r w:rsidRPr="00750D93">
        <w:rPr>
          <w:rFonts w:eastAsia="Calibri"/>
          <w:szCs w:val="24"/>
        </w:rPr>
        <w:t xml:space="preserve">The information collections of subpart B overlap to some extent with several regulations. </w:t>
      </w:r>
      <w:r w:rsidR="00CD0BBB">
        <w:rPr>
          <w:rFonts w:eastAsia="Calibri"/>
          <w:szCs w:val="24"/>
        </w:rPr>
        <w:t xml:space="preserve"> </w:t>
      </w:r>
      <w:r w:rsidRPr="00750D93">
        <w:rPr>
          <w:rFonts w:eastAsia="Calibri"/>
          <w:szCs w:val="24"/>
        </w:rPr>
        <w:t xml:space="preserve">The primary sources of information on </w:t>
      </w:r>
      <w:r w:rsidR="00123112">
        <w:rPr>
          <w:rFonts w:eastAsia="Calibri"/>
          <w:szCs w:val="24"/>
        </w:rPr>
        <w:t xml:space="preserve">small business </w:t>
      </w:r>
      <w:r w:rsidRPr="00750D93">
        <w:rPr>
          <w:rFonts w:eastAsia="Calibri"/>
          <w:szCs w:val="24"/>
        </w:rPr>
        <w:t xml:space="preserve">lending by depository institutions are the Federal Financial Institutions Examination Council (FFIEC) and NCUA Consolidated Reports of Condition and Income (Call Reports), as well as reporting under the </w:t>
      </w:r>
      <w:r w:rsidR="00CB6E43">
        <w:rPr>
          <w:rFonts w:eastAsia="Calibri"/>
          <w:szCs w:val="24"/>
        </w:rPr>
        <w:t>Community Reinvestment Act (</w:t>
      </w:r>
      <w:r w:rsidRPr="00750D93">
        <w:rPr>
          <w:rFonts w:eastAsia="Calibri"/>
          <w:szCs w:val="24"/>
        </w:rPr>
        <w:t>CRA</w:t>
      </w:r>
      <w:r w:rsidR="00CB6E43">
        <w:rPr>
          <w:rFonts w:eastAsia="Calibri"/>
          <w:szCs w:val="24"/>
        </w:rPr>
        <w:t>)</w:t>
      </w:r>
      <w:r w:rsidRPr="00750D93">
        <w:rPr>
          <w:rFonts w:eastAsia="Calibri"/>
          <w:szCs w:val="24"/>
        </w:rPr>
        <w:t xml:space="preserve">. </w:t>
      </w:r>
      <w:r w:rsidR="00CD0BBB">
        <w:rPr>
          <w:rFonts w:eastAsia="Calibri"/>
          <w:szCs w:val="24"/>
        </w:rPr>
        <w:t xml:space="preserve"> </w:t>
      </w:r>
      <w:r w:rsidRPr="00750D93">
        <w:rPr>
          <w:rFonts w:eastAsia="Calibri"/>
          <w:szCs w:val="24"/>
        </w:rPr>
        <w:t>Under the FFIEC and CRA reporting regimes, small loans to businesses of any size are used in whole or in part as a proxy for loans to small businesses.</w:t>
      </w:r>
      <w:r w:rsidR="00CD0BBB">
        <w:rPr>
          <w:rFonts w:eastAsia="Calibri"/>
          <w:szCs w:val="24"/>
        </w:rPr>
        <w:t xml:space="preserve"> </w:t>
      </w:r>
      <w:r w:rsidRPr="00750D93">
        <w:rPr>
          <w:rFonts w:eastAsia="Calibri"/>
          <w:szCs w:val="24"/>
        </w:rPr>
        <w:t xml:space="preserve"> The FFIEC Call Report captures banks’ outstanding number and amount of small loans to businesses (that is, loans originated under $1 million to businesses of any size; small loans to farms are those originated </w:t>
      </w:r>
      <w:r w:rsidRPr="00750D93">
        <w:rPr>
          <w:rFonts w:eastAsia="Calibri"/>
          <w:szCs w:val="24"/>
        </w:rPr>
        <w:t>under $500,000).</w:t>
      </w:r>
      <w:r>
        <w:rPr>
          <w:rFonts w:eastAsia="Calibri"/>
          <w:szCs w:val="24"/>
        </w:rPr>
        <w:t xml:space="preserve"> </w:t>
      </w:r>
      <w:r w:rsidR="00CD0BBB">
        <w:rPr>
          <w:rFonts w:eastAsia="Calibri"/>
          <w:szCs w:val="24"/>
        </w:rPr>
        <w:t xml:space="preserve"> </w:t>
      </w:r>
      <w:r w:rsidRPr="00750D93">
        <w:rPr>
          <w:rFonts w:eastAsia="Calibri"/>
          <w:szCs w:val="24"/>
        </w:rPr>
        <w:t xml:space="preserve">The CRA </w:t>
      </w:r>
      <w:r w:rsidR="00123112">
        <w:rPr>
          <w:rFonts w:eastAsia="Calibri"/>
          <w:szCs w:val="24"/>
        </w:rPr>
        <w:t xml:space="preserve">currently </w:t>
      </w:r>
      <w:r w:rsidRPr="00750D93">
        <w:rPr>
          <w:rFonts w:eastAsia="Calibri"/>
          <w:szCs w:val="24"/>
        </w:rPr>
        <w:t xml:space="preserve">requires banks and savings associations with assets over a specified threshold to report loans in original amounts of $1 million or less to businesses; reporters are asked to indicate whether the borrower’s gross annual revenue is $1 million or </w:t>
      </w:r>
      <w:r w:rsidRPr="00750D93">
        <w:rPr>
          <w:rFonts w:eastAsia="Calibri"/>
          <w:szCs w:val="24"/>
        </w:rPr>
        <w:t>less, if</w:t>
      </w:r>
      <w:r w:rsidRPr="00750D93">
        <w:rPr>
          <w:rFonts w:eastAsia="Calibri"/>
          <w:szCs w:val="24"/>
        </w:rPr>
        <w:t xml:space="preserve"> they have that information.</w:t>
      </w:r>
      <w:r>
        <w:rPr>
          <w:rFonts w:eastAsia="Calibri"/>
          <w:szCs w:val="24"/>
        </w:rPr>
        <w:t xml:space="preserve"> </w:t>
      </w:r>
      <w:r w:rsidR="00CD0BBB">
        <w:rPr>
          <w:rFonts w:eastAsia="Calibri"/>
          <w:szCs w:val="24"/>
        </w:rPr>
        <w:t xml:space="preserve"> </w:t>
      </w:r>
      <w:r w:rsidRPr="00750D93">
        <w:rPr>
          <w:rFonts w:eastAsia="Calibri"/>
          <w:szCs w:val="24"/>
        </w:rPr>
        <w:t>The NCUA Call Report captures data on all loans over $50,000 to members for commercial purposes, regardless of any indicator about the business’s size.</w:t>
      </w:r>
      <w:r>
        <w:rPr>
          <w:rFonts w:eastAsia="Calibri"/>
          <w:szCs w:val="24"/>
        </w:rPr>
        <w:t xml:space="preserve"> </w:t>
      </w:r>
      <w:r w:rsidR="00CD0BBB">
        <w:rPr>
          <w:rFonts w:eastAsia="Calibri"/>
          <w:szCs w:val="24"/>
        </w:rPr>
        <w:t xml:space="preserve"> </w:t>
      </w:r>
      <w:r w:rsidRPr="00750D93" w:rsidR="00433AB7">
        <w:rPr>
          <w:rFonts w:eastAsia="Calibri"/>
          <w:szCs w:val="24"/>
        </w:rPr>
        <w:t xml:space="preserve">The </w:t>
      </w:r>
      <w:r w:rsidR="006F2275">
        <w:rPr>
          <w:rFonts w:eastAsia="Calibri"/>
          <w:szCs w:val="24"/>
        </w:rPr>
        <w:t xml:space="preserve">Farm Credit </w:t>
      </w:r>
      <w:r w:rsidR="00BF3119">
        <w:rPr>
          <w:rFonts w:eastAsia="Calibri"/>
          <w:szCs w:val="24"/>
        </w:rPr>
        <w:t xml:space="preserve">System </w:t>
      </w:r>
      <w:r w:rsidR="00E5120C">
        <w:rPr>
          <w:rFonts w:eastAsia="Calibri"/>
          <w:szCs w:val="24"/>
        </w:rPr>
        <w:t>call reports capture</w:t>
      </w:r>
      <w:r w:rsidR="0003314F">
        <w:rPr>
          <w:rFonts w:eastAsia="Calibri"/>
          <w:szCs w:val="24"/>
        </w:rPr>
        <w:t xml:space="preserve"> aggregated</w:t>
      </w:r>
      <w:r w:rsidR="00A01387">
        <w:rPr>
          <w:rFonts w:eastAsia="Calibri"/>
          <w:szCs w:val="24"/>
        </w:rPr>
        <w:t xml:space="preserve"> information</w:t>
      </w:r>
      <w:r w:rsidRPr="00E5120C" w:rsidR="00E5120C">
        <w:rPr>
          <w:rFonts w:eastAsia="Calibri"/>
          <w:szCs w:val="24"/>
        </w:rPr>
        <w:t xml:space="preserve"> about the financial operations of Farm Credit System institutions, including their lending activities</w:t>
      </w:r>
      <w:r w:rsidR="005941F4">
        <w:rPr>
          <w:rFonts w:eastAsia="Calibri"/>
          <w:szCs w:val="24"/>
        </w:rPr>
        <w:t xml:space="preserve"> </w:t>
      </w:r>
      <w:r w:rsidR="00EA0701">
        <w:rPr>
          <w:rFonts w:eastAsia="Calibri"/>
          <w:szCs w:val="24"/>
        </w:rPr>
        <w:t xml:space="preserve">to </w:t>
      </w:r>
      <w:r w:rsidR="00BF3119">
        <w:rPr>
          <w:rFonts w:eastAsia="Calibri"/>
          <w:szCs w:val="24"/>
        </w:rPr>
        <w:t>y</w:t>
      </w:r>
      <w:r w:rsidR="00BD5B0B">
        <w:rPr>
          <w:rFonts w:eastAsia="Calibri"/>
          <w:szCs w:val="24"/>
        </w:rPr>
        <w:t xml:space="preserve">oung, </w:t>
      </w:r>
      <w:r w:rsidR="00BF3119">
        <w:rPr>
          <w:rFonts w:eastAsia="Calibri"/>
          <w:szCs w:val="24"/>
        </w:rPr>
        <w:t>b</w:t>
      </w:r>
      <w:r w:rsidR="00BD5B0B">
        <w:rPr>
          <w:rFonts w:eastAsia="Calibri"/>
          <w:szCs w:val="24"/>
        </w:rPr>
        <w:t>eginning</w:t>
      </w:r>
      <w:r w:rsidR="00BD5B0B">
        <w:rPr>
          <w:rFonts w:eastAsia="Calibri"/>
          <w:szCs w:val="24"/>
        </w:rPr>
        <w:t xml:space="preserve"> </w:t>
      </w:r>
      <w:r w:rsidR="002F0521">
        <w:rPr>
          <w:rFonts w:eastAsia="Calibri"/>
          <w:szCs w:val="24"/>
        </w:rPr>
        <w:t xml:space="preserve">and </w:t>
      </w:r>
      <w:r w:rsidR="00BF3119">
        <w:rPr>
          <w:rFonts w:eastAsia="Calibri"/>
          <w:szCs w:val="24"/>
        </w:rPr>
        <w:t>s</w:t>
      </w:r>
      <w:r w:rsidR="00597655">
        <w:rPr>
          <w:rFonts w:eastAsia="Calibri"/>
          <w:szCs w:val="24"/>
        </w:rPr>
        <w:t>mall</w:t>
      </w:r>
      <w:r w:rsidR="00BF3119">
        <w:rPr>
          <w:rFonts w:eastAsia="Calibri"/>
          <w:szCs w:val="24"/>
        </w:rPr>
        <w:t xml:space="preserve"> farmers</w:t>
      </w:r>
      <w:r w:rsidRPr="00750D93" w:rsidR="00433AB7">
        <w:rPr>
          <w:rFonts w:eastAsia="Calibri"/>
          <w:szCs w:val="24"/>
        </w:rPr>
        <w:t>.</w:t>
      </w:r>
      <w:r w:rsidR="00433AB7">
        <w:rPr>
          <w:rFonts w:eastAsia="Calibri"/>
          <w:szCs w:val="24"/>
        </w:rPr>
        <w:t xml:space="preserve"> </w:t>
      </w:r>
      <w:r w:rsidR="00CD0BBB">
        <w:rPr>
          <w:rFonts w:eastAsia="Calibri"/>
          <w:szCs w:val="24"/>
        </w:rPr>
        <w:t xml:space="preserve"> </w:t>
      </w:r>
      <w:r w:rsidRPr="00750D93">
        <w:rPr>
          <w:rFonts w:eastAsia="Calibri"/>
          <w:szCs w:val="24"/>
        </w:rPr>
        <w:t xml:space="preserve">There are no similar sources of information about lending to small businesses by </w:t>
      </w:r>
      <w:r w:rsidR="001206B0">
        <w:rPr>
          <w:rFonts w:eastAsia="Calibri"/>
          <w:szCs w:val="24"/>
        </w:rPr>
        <w:t xml:space="preserve">other </w:t>
      </w:r>
      <w:r w:rsidRPr="00750D93">
        <w:rPr>
          <w:rFonts w:eastAsia="Calibri"/>
          <w:szCs w:val="24"/>
        </w:rPr>
        <w:t>non</w:t>
      </w:r>
      <w:r w:rsidR="00CD0BBB">
        <w:rPr>
          <w:rFonts w:eastAsia="Calibri"/>
          <w:szCs w:val="24"/>
        </w:rPr>
        <w:t>-</w:t>
      </w:r>
      <w:r w:rsidRPr="00750D93">
        <w:rPr>
          <w:rFonts w:eastAsia="Calibri"/>
          <w:szCs w:val="24"/>
        </w:rPr>
        <w:t>depository institutions.</w:t>
      </w:r>
      <w:r w:rsidR="00CD0BBB">
        <w:rPr>
          <w:rFonts w:eastAsia="Calibri"/>
          <w:szCs w:val="24"/>
        </w:rPr>
        <w:t xml:space="preserve"> </w:t>
      </w:r>
      <w:r w:rsidRPr="00750D93">
        <w:rPr>
          <w:rFonts w:eastAsia="Calibri"/>
          <w:szCs w:val="24"/>
        </w:rPr>
        <w:t xml:space="preserve"> The Small Business Administration also releases data concerning its loan programs, but these typically do not include demographic information, and this covers only a small portion of the overall small business financing market.</w:t>
      </w:r>
    </w:p>
    <w:p w:rsidR="00676FD6" w:rsidP="00676FD6" w14:paraId="77C0D6D8" w14:textId="5A8D6EFD">
      <w:pPr>
        <w:spacing w:after="240" w:line="240" w:lineRule="auto"/>
        <w:ind w:right="10"/>
        <w:rPr>
          <w:rFonts w:eastAsia="Calibri"/>
          <w:szCs w:val="24"/>
        </w:rPr>
      </w:pPr>
      <w:r w:rsidRPr="00750D93">
        <w:rPr>
          <w:rFonts w:eastAsia="Calibri"/>
          <w:szCs w:val="24"/>
        </w:rPr>
        <w:t>However, the information collections of subpart B to Regulation B differ in important respects from existing regulations.</w:t>
      </w:r>
      <w:r w:rsidR="00CD0BBB">
        <w:rPr>
          <w:rFonts w:eastAsia="Calibri"/>
          <w:szCs w:val="24"/>
        </w:rPr>
        <w:t xml:space="preserve"> </w:t>
      </w:r>
      <w:r>
        <w:rPr>
          <w:rFonts w:eastAsia="Calibri"/>
          <w:szCs w:val="24"/>
        </w:rPr>
        <w:t xml:space="preserve"> </w:t>
      </w:r>
      <w:r w:rsidRPr="00750D93">
        <w:rPr>
          <w:rFonts w:eastAsia="Calibri"/>
          <w:szCs w:val="24"/>
        </w:rPr>
        <w:t>First, subpart B collect</w:t>
      </w:r>
      <w:r w:rsidR="00DA1C1F">
        <w:rPr>
          <w:rFonts w:eastAsia="Calibri"/>
          <w:szCs w:val="24"/>
        </w:rPr>
        <w:t>s</w:t>
      </w:r>
      <w:r w:rsidRPr="00750D93">
        <w:rPr>
          <w:rFonts w:eastAsia="Calibri"/>
          <w:szCs w:val="24"/>
        </w:rPr>
        <w:t xml:space="preserve"> data from new categories of lenders, including smaller banks and non-depositories, not covered by current regulations.</w:t>
      </w:r>
      <w:r>
        <w:rPr>
          <w:rFonts w:eastAsia="Calibri"/>
          <w:szCs w:val="24"/>
        </w:rPr>
        <w:t xml:space="preserve"> </w:t>
      </w:r>
      <w:r w:rsidR="00CD0BBB">
        <w:rPr>
          <w:rFonts w:eastAsia="Calibri"/>
          <w:szCs w:val="24"/>
        </w:rPr>
        <w:t xml:space="preserve"> </w:t>
      </w:r>
      <w:r w:rsidRPr="00750D93">
        <w:rPr>
          <w:rFonts w:eastAsia="Calibri"/>
          <w:szCs w:val="24"/>
        </w:rPr>
        <w:t>Second, subpart B involve</w:t>
      </w:r>
      <w:r w:rsidR="004C0112">
        <w:rPr>
          <w:rFonts w:eastAsia="Calibri"/>
          <w:szCs w:val="24"/>
        </w:rPr>
        <w:t>s</w:t>
      </w:r>
      <w:r w:rsidRPr="00750D93">
        <w:rPr>
          <w:rFonts w:eastAsia="Calibri"/>
          <w:szCs w:val="24"/>
        </w:rPr>
        <w:t xml:space="preserve"> the publication of application-level and loan-level data; FFIEC and NCUA Call Reports and the CRA data are all available at a higher level of aggregation than loan-level, limiting fair lending and detailed geographic analyses since race, sex, and ethnicity as well as business location data are rarely disclosed.</w:t>
      </w:r>
      <w:r>
        <w:rPr>
          <w:rFonts w:eastAsia="Calibri"/>
          <w:szCs w:val="24"/>
        </w:rPr>
        <w:t xml:space="preserve"> </w:t>
      </w:r>
      <w:r w:rsidR="00CD0BBB">
        <w:rPr>
          <w:rFonts w:eastAsia="Calibri"/>
          <w:szCs w:val="24"/>
        </w:rPr>
        <w:t xml:space="preserve"> </w:t>
      </w:r>
      <w:r w:rsidRPr="00750D93">
        <w:rPr>
          <w:rFonts w:eastAsia="Calibri"/>
          <w:szCs w:val="24"/>
        </w:rPr>
        <w:t xml:space="preserve">Third, unlike subpart B, existing Federal regulations do not require the collection of certain data, such as information regarding applications. </w:t>
      </w:r>
      <w:r w:rsidR="00CD0BBB">
        <w:rPr>
          <w:rFonts w:eastAsia="Calibri"/>
          <w:szCs w:val="24"/>
        </w:rPr>
        <w:t xml:space="preserve"> </w:t>
      </w:r>
      <w:r w:rsidRPr="00750D93">
        <w:rPr>
          <w:rFonts w:eastAsia="Calibri"/>
          <w:szCs w:val="24"/>
        </w:rPr>
        <w:t xml:space="preserve">Further, existing Federal regulations are over and under inclusive in capturing data pertaining to small business lending. </w:t>
      </w:r>
      <w:r w:rsidR="00CD0BBB">
        <w:rPr>
          <w:rFonts w:eastAsia="Calibri"/>
          <w:szCs w:val="24"/>
        </w:rPr>
        <w:t xml:space="preserve"> </w:t>
      </w:r>
      <w:r w:rsidRPr="00750D93">
        <w:rPr>
          <w:rFonts w:eastAsia="Calibri"/>
          <w:szCs w:val="24"/>
        </w:rPr>
        <w:t xml:space="preserve">Finally, </w:t>
      </w:r>
      <w:r w:rsidR="00DA1C1F">
        <w:rPr>
          <w:rFonts w:eastAsia="Calibri"/>
          <w:szCs w:val="24"/>
        </w:rPr>
        <w:t xml:space="preserve">other </w:t>
      </w:r>
      <w:r w:rsidRPr="00750D93">
        <w:rPr>
          <w:rFonts w:eastAsia="Calibri"/>
          <w:szCs w:val="24"/>
        </w:rPr>
        <w:t xml:space="preserve">Federal regulations do not standardize small business lending data across agencies; as such, this data cannot be easily compared. </w:t>
      </w:r>
      <w:r w:rsidR="00CD0BBB">
        <w:rPr>
          <w:rFonts w:eastAsia="Calibri"/>
          <w:szCs w:val="24"/>
        </w:rPr>
        <w:t xml:space="preserve"> </w:t>
      </w:r>
      <w:r w:rsidRPr="00750D93">
        <w:rPr>
          <w:rFonts w:eastAsia="Calibri"/>
          <w:szCs w:val="24"/>
        </w:rPr>
        <w:t xml:space="preserve">For example, the FFIEC Call Report collects small loans to businesses as a proxy for small business lending, whereas the NCUA Call Report collects loans to members for commercial purposes above $50,000 but with no upper limit. </w:t>
      </w:r>
    </w:p>
    <w:p w:rsidR="003450ED" w:rsidRPr="00750D93" w:rsidP="006142C9" w14:paraId="0B0FC033" w14:textId="434D0246">
      <w:pPr>
        <w:spacing w:after="240" w:line="240" w:lineRule="auto"/>
        <w:ind w:left="0" w:right="10" w:firstLine="0"/>
        <w:rPr>
          <w:rFonts w:eastAsia="Calibri"/>
          <w:szCs w:val="24"/>
        </w:rPr>
      </w:pPr>
      <w:r w:rsidRPr="00BB5942">
        <w:rPr>
          <w:szCs w:val="24"/>
        </w:rPr>
        <w:t xml:space="preserve">The </w:t>
      </w:r>
      <w:r>
        <w:rPr>
          <w:szCs w:val="24"/>
        </w:rPr>
        <w:t xml:space="preserve">CFPB </w:t>
      </w:r>
      <w:r w:rsidR="002F3E6E">
        <w:rPr>
          <w:szCs w:val="24"/>
        </w:rPr>
        <w:t>has attempted</w:t>
      </w:r>
      <w:r w:rsidRPr="00BB5942">
        <w:rPr>
          <w:szCs w:val="24"/>
        </w:rPr>
        <w:t xml:space="preserve"> to minimize the challenges, complexity, and duplication of effort, as well as potential errors in the data. </w:t>
      </w:r>
      <w:r w:rsidR="00CD0BBB">
        <w:rPr>
          <w:szCs w:val="24"/>
        </w:rPr>
        <w:t xml:space="preserve"> </w:t>
      </w:r>
      <w:r w:rsidRPr="00BB5942">
        <w:rPr>
          <w:szCs w:val="24"/>
        </w:rPr>
        <w:t>In some instances, duplicate reporting will be eliminated—</w:t>
      </w:r>
      <w:r w:rsidR="002F3E6E">
        <w:rPr>
          <w:szCs w:val="24"/>
        </w:rPr>
        <w:t>subpart B does</w:t>
      </w:r>
      <w:r w:rsidRPr="00BB5942">
        <w:rPr>
          <w:szCs w:val="24"/>
        </w:rPr>
        <w:t xml:space="preserve"> not require the reporting of any HMDA-reportable applications, and proposed amendments to CRA regulations</w:t>
      </w:r>
      <w:r>
        <w:rPr>
          <w:rStyle w:val="FootnoteReference"/>
          <w:szCs w:val="24"/>
        </w:rPr>
        <w:footnoteReference w:id="3"/>
      </w:r>
      <w:r w:rsidRPr="00BB5942">
        <w:rPr>
          <w:szCs w:val="24"/>
        </w:rPr>
        <w:t xml:space="preserve"> would eliminate reporting on small business and small farm reporting to be replaced exclusively by data </w:t>
      </w:r>
      <w:r w:rsidR="002F3E6E">
        <w:rPr>
          <w:szCs w:val="24"/>
        </w:rPr>
        <w:t>collected and reported under subpart B</w:t>
      </w:r>
      <w:r>
        <w:rPr>
          <w:szCs w:val="24"/>
        </w:rPr>
        <w:t xml:space="preserve">.  </w:t>
      </w:r>
      <w:r w:rsidR="00CD0BBB">
        <w:rPr>
          <w:szCs w:val="24"/>
        </w:rPr>
        <w:t>Additionally</w:t>
      </w:r>
      <w:r w:rsidRPr="00BB5942">
        <w:rPr>
          <w:szCs w:val="24"/>
        </w:rPr>
        <w:t xml:space="preserve">, the </w:t>
      </w:r>
      <w:r w:rsidR="00AD1B3C">
        <w:rPr>
          <w:szCs w:val="24"/>
        </w:rPr>
        <w:t xml:space="preserve">CFPB </w:t>
      </w:r>
      <w:r w:rsidRPr="00BB5942">
        <w:rPr>
          <w:szCs w:val="24"/>
        </w:rPr>
        <w:t>attempted wherever possible (</w:t>
      </w:r>
      <w:r w:rsidRPr="00BB5942">
        <w:rPr>
          <w:i/>
          <w:iCs/>
          <w:szCs w:val="24"/>
        </w:rPr>
        <w:t>i.e.</w:t>
      </w:r>
      <w:r w:rsidRPr="00BB5942">
        <w:rPr>
          <w:szCs w:val="24"/>
        </w:rPr>
        <w:t xml:space="preserve">, consistent with its statutory authorities) to borrow concepts or structures from other rules, such as </w:t>
      </w:r>
      <w:r w:rsidR="002F3E6E">
        <w:rPr>
          <w:szCs w:val="24"/>
        </w:rPr>
        <w:t>the Financial Crimes Enforcement Network’s</w:t>
      </w:r>
      <w:r w:rsidRPr="00BB5942">
        <w:rPr>
          <w:szCs w:val="24"/>
        </w:rPr>
        <w:t xml:space="preserve"> </w:t>
      </w:r>
      <w:r>
        <w:rPr>
          <w:szCs w:val="24"/>
        </w:rPr>
        <w:t>customer due diligence rule</w:t>
      </w:r>
      <w:r w:rsidRPr="00BB5942">
        <w:rPr>
          <w:szCs w:val="24"/>
        </w:rPr>
        <w:t xml:space="preserve">. </w:t>
      </w:r>
      <w:r w:rsidR="00CD0BBB">
        <w:rPr>
          <w:szCs w:val="24"/>
        </w:rPr>
        <w:t xml:space="preserve"> </w:t>
      </w:r>
      <w:r w:rsidRPr="00BB5942">
        <w:rPr>
          <w:szCs w:val="24"/>
        </w:rPr>
        <w:t xml:space="preserve">The </w:t>
      </w:r>
      <w:r w:rsidR="00AD1B3C">
        <w:rPr>
          <w:szCs w:val="24"/>
        </w:rPr>
        <w:t xml:space="preserve">CFPB </w:t>
      </w:r>
      <w:r w:rsidRPr="00BB5942">
        <w:rPr>
          <w:szCs w:val="24"/>
        </w:rPr>
        <w:t xml:space="preserve">also intends to </w:t>
      </w:r>
      <w:r>
        <w:rPr>
          <w:szCs w:val="24"/>
        </w:rPr>
        <w:t xml:space="preserve">continue to </w:t>
      </w:r>
      <w:r w:rsidRPr="00BB5942">
        <w:rPr>
          <w:szCs w:val="24"/>
        </w:rPr>
        <w:t xml:space="preserve">coordinate with other agencies to further harmonize this final rule with other </w:t>
      </w:r>
      <w:r>
        <w:rPr>
          <w:szCs w:val="24"/>
        </w:rPr>
        <w:t xml:space="preserve">similar </w:t>
      </w:r>
      <w:r w:rsidRPr="00BB5942">
        <w:rPr>
          <w:szCs w:val="24"/>
        </w:rPr>
        <w:t>regulations.</w:t>
      </w:r>
    </w:p>
    <w:p w:rsidR="009346F0" w:rsidRPr="00DA4517" w:rsidP="002A1F52" w14:paraId="4590F458" w14:textId="49A3F149">
      <w:pPr>
        <w:pStyle w:val="Heading1"/>
        <w:ind w:hanging="14"/>
        <w:rPr>
          <w:u w:val="none"/>
        </w:rPr>
      </w:pPr>
      <w:r w:rsidRPr="006142C9">
        <w:t>5.</w:t>
      </w:r>
      <w:r w:rsidRPr="00DA4517">
        <w:rPr>
          <w:u w:val="none"/>
        </w:rPr>
        <w:t xml:space="preserve">  </w:t>
      </w:r>
      <w:r w:rsidRPr="00750D93" w:rsidR="004E7E68">
        <w:t>E</w:t>
      </w:r>
      <w:r w:rsidRPr="00750D93" w:rsidR="004E7E68">
        <w:rPr>
          <w:spacing w:val="1"/>
        </w:rPr>
        <w:t>ff</w:t>
      </w:r>
      <w:r w:rsidRPr="00750D93" w:rsidR="004E7E68">
        <w:t>orts to Mi</w:t>
      </w:r>
      <w:r w:rsidRPr="00750D93" w:rsidR="004E7E68">
        <w:rPr>
          <w:spacing w:val="1"/>
        </w:rPr>
        <w:t>n</w:t>
      </w:r>
      <w:r w:rsidRPr="00750D93" w:rsidR="004E7E68">
        <w:t>i</w:t>
      </w:r>
      <w:r w:rsidRPr="00750D93" w:rsidR="004E7E68">
        <w:rPr>
          <w:spacing w:val="-3"/>
        </w:rPr>
        <w:t>m</w:t>
      </w:r>
      <w:r w:rsidRPr="00750D93" w:rsidR="004E7E68">
        <w:t>ize B</w:t>
      </w:r>
      <w:r w:rsidRPr="00750D93" w:rsidR="004E7E68">
        <w:rPr>
          <w:spacing w:val="1"/>
        </w:rPr>
        <w:t>u</w:t>
      </w:r>
      <w:r w:rsidRPr="00750D93" w:rsidR="004E7E68">
        <w:t>r</w:t>
      </w:r>
      <w:r w:rsidRPr="00750D93" w:rsidR="004E7E68">
        <w:rPr>
          <w:spacing w:val="1"/>
        </w:rPr>
        <w:t>d</w:t>
      </w:r>
      <w:r w:rsidRPr="00750D93" w:rsidR="004E7E68">
        <w:t>e</w:t>
      </w:r>
      <w:r w:rsidRPr="00750D93" w:rsidR="004E7E68">
        <w:rPr>
          <w:spacing w:val="1"/>
        </w:rPr>
        <w:t>n</w:t>
      </w:r>
      <w:r w:rsidRPr="00750D93" w:rsidR="004E7E68">
        <w:t>s on</w:t>
      </w:r>
      <w:r w:rsidRPr="00750D93" w:rsidR="004E7E68">
        <w:rPr>
          <w:spacing w:val="1"/>
        </w:rPr>
        <w:t xml:space="preserve"> S</w:t>
      </w:r>
      <w:r w:rsidRPr="00750D93" w:rsidR="004E7E68">
        <w:rPr>
          <w:spacing w:val="-3"/>
        </w:rPr>
        <w:t>m</w:t>
      </w:r>
      <w:r w:rsidRPr="00750D93" w:rsidR="004E7E68">
        <w:t>all</w:t>
      </w:r>
      <w:r w:rsidRPr="00750D93" w:rsidR="004E7E68">
        <w:rPr>
          <w:spacing w:val="1"/>
        </w:rPr>
        <w:t xml:space="preserve"> </w:t>
      </w:r>
      <w:r w:rsidRPr="00750D93" w:rsidR="004E7E68">
        <w:t>E</w:t>
      </w:r>
      <w:r w:rsidRPr="00750D93" w:rsidR="004E7E68">
        <w:rPr>
          <w:spacing w:val="1"/>
        </w:rPr>
        <w:t>n</w:t>
      </w:r>
      <w:r w:rsidRPr="00750D93" w:rsidR="004E7E68">
        <w:t>tities</w:t>
      </w:r>
    </w:p>
    <w:p w:rsidR="00B03166" w:rsidP="002A1F52" w14:paraId="704B7E60" w14:textId="77777777">
      <w:pPr>
        <w:keepNext/>
        <w:spacing w:after="0" w:line="259" w:lineRule="auto"/>
        <w:ind w:left="-5" w:hanging="14"/>
      </w:pPr>
    </w:p>
    <w:p w:rsidR="009324A5" w:rsidP="002A1F52" w14:paraId="0294C1A9" w14:textId="5C6FF356">
      <w:pPr>
        <w:keepNext/>
        <w:spacing w:after="240" w:line="240" w:lineRule="auto"/>
        <w:ind w:right="10" w:hanging="14"/>
        <w:rPr>
          <w:szCs w:val="24"/>
        </w:rPr>
      </w:pPr>
      <w:r w:rsidRPr="00750D93">
        <w:rPr>
          <w:szCs w:val="24"/>
          <w:u w:val="single"/>
        </w:rPr>
        <w:t>Subpart A</w:t>
      </w:r>
      <w:r>
        <w:rPr>
          <w:szCs w:val="24"/>
        </w:rPr>
        <w:t xml:space="preserve"> </w:t>
      </w:r>
    </w:p>
    <w:p w:rsidR="00EA5BC1" w:rsidP="00ED7C92" w14:paraId="42F4F2AF" w14:textId="27259BF5">
      <w:pPr>
        <w:spacing w:after="240" w:line="240" w:lineRule="auto"/>
        <w:ind w:right="10"/>
        <w:rPr>
          <w:szCs w:val="24"/>
        </w:rPr>
      </w:pPr>
      <w:r w:rsidRPr="00750D93">
        <w:rPr>
          <w:szCs w:val="24"/>
        </w:rPr>
        <w:t xml:space="preserve">ECOA and </w:t>
      </w:r>
      <w:r w:rsidR="00FE3610">
        <w:rPr>
          <w:szCs w:val="24"/>
        </w:rPr>
        <w:t>subpart A of</w:t>
      </w:r>
      <w:r w:rsidRPr="00750D93" w:rsidR="00FE3610">
        <w:rPr>
          <w:szCs w:val="24"/>
        </w:rPr>
        <w:t xml:space="preserve"> </w:t>
      </w:r>
      <w:r w:rsidRPr="00750D93">
        <w:rPr>
          <w:szCs w:val="24"/>
        </w:rPr>
        <w:t>Regulation B accord special treatment to creditors that receive fewer than 150 applications each year. Section 1002.9(d) of Regulation</w:t>
      </w:r>
      <w:r w:rsidR="00490612">
        <w:rPr>
          <w:szCs w:val="24"/>
        </w:rPr>
        <w:t xml:space="preserve"> B</w:t>
      </w:r>
      <w:r w:rsidRPr="00750D93">
        <w:rPr>
          <w:szCs w:val="24"/>
        </w:rPr>
        <w:t xml:space="preserve"> states that such creditors may provide required notices to </w:t>
      </w:r>
      <w:r w:rsidRPr="00750D93">
        <w:rPr>
          <w:rFonts w:eastAsia="Calibri"/>
          <w:szCs w:val="24"/>
        </w:rPr>
        <w:t>rejected</w:t>
      </w:r>
      <w:r w:rsidRPr="00750D93">
        <w:rPr>
          <w:szCs w:val="24"/>
        </w:rPr>
        <w:t xml:space="preserve"> applicants orally rather than in writing. </w:t>
      </w:r>
      <w:r w:rsidR="00CD0BBB">
        <w:rPr>
          <w:szCs w:val="24"/>
        </w:rPr>
        <w:t xml:space="preserve"> </w:t>
      </w:r>
      <w:r w:rsidRPr="00750D93">
        <w:rPr>
          <w:szCs w:val="24"/>
        </w:rPr>
        <w:t xml:space="preserve">Where fewer written records are required to be created, the recordkeeping burden is correspondingly reduced. </w:t>
      </w:r>
      <w:r w:rsidR="00CD0BBB">
        <w:rPr>
          <w:szCs w:val="24"/>
        </w:rPr>
        <w:t>Additionally</w:t>
      </w:r>
      <w:r w:rsidRPr="00750D93">
        <w:rPr>
          <w:szCs w:val="24"/>
        </w:rPr>
        <w:t xml:space="preserve">, </w:t>
      </w:r>
      <w:r w:rsidR="007967B2">
        <w:rPr>
          <w:rFonts w:eastAsia="Calibri"/>
          <w:szCs w:val="24"/>
        </w:rPr>
        <w:t>section</w:t>
      </w:r>
      <w:r>
        <w:rPr>
          <w:rFonts w:eastAsia="Calibri"/>
          <w:szCs w:val="24"/>
        </w:rPr>
        <w:t> </w:t>
      </w:r>
      <w:r w:rsidRPr="00750D93">
        <w:rPr>
          <w:szCs w:val="24"/>
        </w:rPr>
        <w:t xml:space="preserve">1002.3(c) of Regulation </w:t>
      </w:r>
      <w:r w:rsidR="00490612">
        <w:rPr>
          <w:szCs w:val="24"/>
        </w:rPr>
        <w:t xml:space="preserve">B </w:t>
      </w:r>
      <w:r w:rsidRPr="00750D93">
        <w:rPr>
          <w:szCs w:val="24"/>
        </w:rPr>
        <w:t>exempts providers of incidental credit, such as a doctor or lawyer who allows a patient or client to defer payment of a bill, as well as public utilities credit and securities credit</w:t>
      </w:r>
      <w:r w:rsidR="00490612">
        <w:rPr>
          <w:szCs w:val="24"/>
        </w:rPr>
        <w:t>,</w:t>
      </w:r>
      <w:r w:rsidRPr="00750D93">
        <w:rPr>
          <w:szCs w:val="24"/>
        </w:rPr>
        <w:t xml:space="preserve"> from many requirements including notifications under </w:t>
      </w:r>
      <w:r w:rsidR="007967B2">
        <w:rPr>
          <w:rFonts w:eastAsia="Calibri"/>
          <w:szCs w:val="24"/>
        </w:rPr>
        <w:t>section</w:t>
      </w:r>
      <w:r>
        <w:rPr>
          <w:rFonts w:eastAsia="Calibri"/>
          <w:szCs w:val="24"/>
        </w:rPr>
        <w:t> </w:t>
      </w:r>
      <w:r w:rsidRPr="00750D93">
        <w:rPr>
          <w:szCs w:val="24"/>
        </w:rPr>
        <w:t>1002.9 of Regulation</w:t>
      </w:r>
      <w:r w:rsidR="00490612">
        <w:rPr>
          <w:szCs w:val="24"/>
        </w:rPr>
        <w:t xml:space="preserve"> B</w:t>
      </w:r>
      <w:r w:rsidRPr="00750D93">
        <w:rPr>
          <w:szCs w:val="24"/>
        </w:rPr>
        <w:t xml:space="preserve"> and recordkeeping. Additionally, as noted above, the </w:t>
      </w:r>
      <w:r w:rsidR="00546FC1">
        <w:rPr>
          <w:szCs w:val="24"/>
        </w:rPr>
        <w:t>CFPB</w:t>
      </w:r>
      <w:r w:rsidRPr="00750D93">
        <w:rPr>
          <w:szCs w:val="24"/>
        </w:rPr>
        <w:t xml:space="preserve"> h</w:t>
      </w:r>
      <w:r w:rsidRPr="00750D93">
        <w:rPr>
          <w:spacing w:val="-1"/>
          <w:szCs w:val="24"/>
        </w:rPr>
        <w:t>a</w:t>
      </w:r>
      <w:r w:rsidRPr="00750D93">
        <w:rPr>
          <w:szCs w:val="24"/>
        </w:rPr>
        <w:t>s tak</w:t>
      </w:r>
      <w:r w:rsidRPr="00750D93">
        <w:rPr>
          <w:spacing w:val="-1"/>
          <w:szCs w:val="24"/>
        </w:rPr>
        <w:t>e</w:t>
      </w:r>
      <w:r w:rsidRPr="00750D93">
        <w:rPr>
          <w:szCs w:val="24"/>
        </w:rPr>
        <w:t>n steps to m</w:t>
      </w:r>
      <w:r w:rsidRPr="00750D93">
        <w:rPr>
          <w:spacing w:val="1"/>
          <w:szCs w:val="24"/>
        </w:rPr>
        <w:t>i</w:t>
      </w:r>
      <w:r w:rsidRPr="00750D93">
        <w:rPr>
          <w:szCs w:val="24"/>
        </w:rPr>
        <w:t>ni</w:t>
      </w:r>
      <w:r w:rsidRPr="00750D93">
        <w:rPr>
          <w:spacing w:val="1"/>
          <w:szCs w:val="24"/>
        </w:rPr>
        <w:t>m</w:t>
      </w:r>
      <w:r w:rsidRPr="00750D93">
        <w:rPr>
          <w:szCs w:val="24"/>
        </w:rPr>
        <w:t>i</w:t>
      </w:r>
      <w:r w:rsidRPr="00750D93">
        <w:rPr>
          <w:spacing w:val="2"/>
          <w:szCs w:val="24"/>
        </w:rPr>
        <w:t>z</w:t>
      </w:r>
      <w:r w:rsidRPr="00750D93">
        <w:rPr>
          <w:szCs w:val="24"/>
        </w:rPr>
        <w:t>e</w:t>
      </w:r>
      <w:r w:rsidRPr="00750D93">
        <w:rPr>
          <w:spacing w:val="-1"/>
          <w:szCs w:val="24"/>
        </w:rPr>
        <w:t xml:space="preserve"> </w:t>
      </w:r>
      <w:r w:rsidRPr="00750D93">
        <w:rPr>
          <w:szCs w:val="24"/>
        </w:rPr>
        <w:t>the situ</w:t>
      </w:r>
      <w:r w:rsidRPr="00750D93">
        <w:rPr>
          <w:spacing w:val="-1"/>
          <w:szCs w:val="24"/>
        </w:rPr>
        <w:t>a</w:t>
      </w:r>
      <w:r w:rsidRPr="00750D93">
        <w:rPr>
          <w:szCs w:val="24"/>
        </w:rPr>
        <w:t>t</w:t>
      </w:r>
      <w:r w:rsidRPr="00750D93">
        <w:rPr>
          <w:spacing w:val="1"/>
          <w:szCs w:val="24"/>
        </w:rPr>
        <w:t>i</w:t>
      </w:r>
      <w:r w:rsidRPr="00750D93">
        <w:rPr>
          <w:szCs w:val="24"/>
        </w:rPr>
        <w:t>ons in whi</w:t>
      </w:r>
      <w:r w:rsidRPr="00750D93">
        <w:rPr>
          <w:spacing w:val="-1"/>
          <w:szCs w:val="24"/>
        </w:rPr>
        <w:t>c</w:t>
      </w:r>
      <w:r w:rsidRPr="00750D93">
        <w:rPr>
          <w:szCs w:val="24"/>
        </w:rPr>
        <w:t xml:space="preserve">h </w:t>
      </w:r>
      <w:r w:rsidRPr="00750D93">
        <w:rPr>
          <w:spacing w:val="-1"/>
          <w:szCs w:val="24"/>
        </w:rPr>
        <w:t>c</w:t>
      </w:r>
      <w:r w:rsidRPr="00750D93">
        <w:rPr>
          <w:szCs w:val="24"/>
        </w:rPr>
        <w:t>r</w:t>
      </w:r>
      <w:r w:rsidRPr="00750D93">
        <w:rPr>
          <w:spacing w:val="-2"/>
          <w:szCs w:val="24"/>
        </w:rPr>
        <w:t>e</w:t>
      </w:r>
      <w:r w:rsidRPr="00750D93">
        <w:rPr>
          <w:szCs w:val="24"/>
        </w:rPr>
        <w:t>di</w:t>
      </w:r>
      <w:r w:rsidRPr="00750D93">
        <w:rPr>
          <w:spacing w:val="1"/>
          <w:szCs w:val="24"/>
        </w:rPr>
        <w:t>t</w:t>
      </w:r>
      <w:r w:rsidRPr="00750D93">
        <w:rPr>
          <w:szCs w:val="24"/>
        </w:rPr>
        <w:t>o</w:t>
      </w:r>
      <w:r w:rsidRPr="00750D93">
        <w:rPr>
          <w:spacing w:val="-1"/>
          <w:szCs w:val="24"/>
        </w:rPr>
        <w:t>r</w:t>
      </w:r>
      <w:r w:rsidRPr="00750D93">
        <w:rPr>
          <w:szCs w:val="24"/>
        </w:rPr>
        <w:t>s would n</w:t>
      </w:r>
      <w:r w:rsidRPr="00750D93">
        <w:rPr>
          <w:spacing w:val="-1"/>
          <w:szCs w:val="24"/>
        </w:rPr>
        <w:t>ee</w:t>
      </w:r>
      <w:r w:rsidRPr="00750D93">
        <w:rPr>
          <w:szCs w:val="24"/>
        </w:rPr>
        <w:t>d to provide</w:t>
      </w:r>
      <w:r w:rsidRPr="00750D93">
        <w:rPr>
          <w:spacing w:val="-1"/>
          <w:szCs w:val="24"/>
        </w:rPr>
        <w:t xml:space="preserve"> c</w:t>
      </w:r>
      <w:r w:rsidRPr="00750D93">
        <w:rPr>
          <w:szCs w:val="24"/>
        </w:rPr>
        <w:t>opies of</w:t>
      </w:r>
      <w:r w:rsidRPr="00750D93">
        <w:rPr>
          <w:spacing w:val="-1"/>
          <w:szCs w:val="24"/>
        </w:rPr>
        <w:t xml:space="preserve"> </w:t>
      </w:r>
      <w:r w:rsidRPr="00750D93">
        <w:rPr>
          <w:szCs w:val="24"/>
        </w:rPr>
        <w:t>mu</w:t>
      </w:r>
      <w:r w:rsidRPr="00750D93">
        <w:rPr>
          <w:spacing w:val="1"/>
          <w:szCs w:val="24"/>
        </w:rPr>
        <w:t>l</w:t>
      </w:r>
      <w:r w:rsidRPr="00750D93">
        <w:rPr>
          <w:szCs w:val="24"/>
        </w:rPr>
        <w:t>t</w:t>
      </w:r>
      <w:r w:rsidRPr="00750D93">
        <w:rPr>
          <w:spacing w:val="1"/>
          <w:szCs w:val="24"/>
        </w:rPr>
        <w:t>i</w:t>
      </w:r>
      <w:r w:rsidRPr="00750D93">
        <w:rPr>
          <w:szCs w:val="24"/>
        </w:rPr>
        <w:t>ple v</w:t>
      </w:r>
      <w:r w:rsidRPr="00750D93">
        <w:rPr>
          <w:spacing w:val="-1"/>
          <w:szCs w:val="24"/>
        </w:rPr>
        <w:t>e</w:t>
      </w:r>
      <w:r w:rsidRPr="00750D93">
        <w:rPr>
          <w:szCs w:val="24"/>
        </w:rPr>
        <w:t>rsions of the</w:t>
      </w:r>
      <w:r w:rsidRPr="00750D93">
        <w:rPr>
          <w:spacing w:val="-1"/>
          <w:szCs w:val="24"/>
        </w:rPr>
        <w:t xml:space="preserve"> </w:t>
      </w:r>
      <w:r w:rsidRPr="00750D93">
        <w:rPr>
          <w:szCs w:val="24"/>
        </w:rPr>
        <w:t>same</w:t>
      </w:r>
      <w:r w:rsidRPr="00750D93">
        <w:rPr>
          <w:spacing w:val="-1"/>
          <w:szCs w:val="24"/>
        </w:rPr>
        <w:t xml:space="preserve"> a</w:t>
      </w:r>
      <w:r w:rsidRPr="00750D93">
        <w:rPr>
          <w:szCs w:val="24"/>
        </w:rPr>
        <w:t>ppr</w:t>
      </w:r>
      <w:r w:rsidRPr="00750D93">
        <w:rPr>
          <w:spacing w:val="-2"/>
          <w:szCs w:val="24"/>
        </w:rPr>
        <w:t>a</w:t>
      </w:r>
      <w:r w:rsidRPr="00750D93">
        <w:rPr>
          <w:szCs w:val="24"/>
        </w:rPr>
        <w:t>isal or oth</w:t>
      </w:r>
      <w:r w:rsidRPr="00750D93">
        <w:rPr>
          <w:spacing w:val="-1"/>
          <w:szCs w:val="24"/>
        </w:rPr>
        <w:t>e</w:t>
      </w:r>
      <w:r w:rsidRPr="00750D93">
        <w:rPr>
          <w:szCs w:val="24"/>
        </w:rPr>
        <w:t xml:space="preserve">r </w:t>
      </w:r>
      <w:r w:rsidRPr="00750D93">
        <w:rPr>
          <w:spacing w:val="-1"/>
          <w:szCs w:val="24"/>
        </w:rPr>
        <w:t>w</w:t>
      </w:r>
      <w:r w:rsidRPr="00750D93">
        <w:rPr>
          <w:szCs w:val="24"/>
        </w:rPr>
        <w:t>ritten v</w:t>
      </w:r>
      <w:r w:rsidRPr="00750D93">
        <w:rPr>
          <w:spacing w:val="-1"/>
          <w:szCs w:val="24"/>
        </w:rPr>
        <w:t>a</w:t>
      </w:r>
      <w:r w:rsidRPr="00750D93">
        <w:rPr>
          <w:szCs w:val="24"/>
        </w:rPr>
        <w:t>luation.</w:t>
      </w:r>
    </w:p>
    <w:p w:rsidR="00DF03F8" w:rsidP="00D41510" w14:paraId="2DB17F5C" w14:textId="41ED9643">
      <w:pPr>
        <w:spacing w:after="240" w:line="240" w:lineRule="auto"/>
        <w:ind w:right="10"/>
        <w:rPr>
          <w:szCs w:val="24"/>
        </w:rPr>
      </w:pPr>
      <w:r>
        <w:rPr>
          <w:szCs w:val="24"/>
          <w:u w:val="single"/>
        </w:rPr>
        <w:t>S</w:t>
      </w:r>
      <w:r w:rsidRPr="00750D93" w:rsidR="00D41510">
        <w:rPr>
          <w:szCs w:val="24"/>
          <w:u w:val="single"/>
        </w:rPr>
        <w:t>ubpart B</w:t>
      </w:r>
      <w:r w:rsidR="00D41510">
        <w:rPr>
          <w:szCs w:val="24"/>
        </w:rPr>
        <w:t xml:space="preserve"> </w:t>
      </w:r>
    </w:p>
    <w:p w:rsidR="00D41510" w:rsidRPr="00750D93" w:rsidP="00D41510" w14:paraId="6E536A73" w14:textId="10EA28C6">
      <w:pPr>
        <w:spacing w:after="240" w:line="240" w:lineRule="auto"/>
        <w:ind w:right="10"/>
        <w:rPr>
          <w:szCs w:val="24"/>
        </w:rPr>
      </w:pPr>
      <w:r>
        <w:rPr>
          <w:szCs w:val="24"/>
        </w:rPr>
        <w:t>S</w:t>
      </w:r>
      <w:r w:rsidRPr="00750D93">
        <w:rPr>
          <w:szCs w:val="24"/>
        </w:rPr>
        <w:t xml:space="preserve">everal provisions of subpart B help </w:t>
      </w:r>
      <w:r w:rsidR="00397B0D">
        <w:rPr>
          <w:szCs w:val="24"/>
        </w:rPr>
        <w:t xml:space="preserve">to </w:t>
      </w:r>
      <w:r w:rsidRPr="00750D93">
        <w:rPr>
          <w:szCs w:val="24"/>
        </w:rPr>
        <w:t>minimize burden on smaller entities.</w:t>
      </w:r>
      <w:r>
        <w:rPr>
          <w:szCs w:val="24"/>
        </w:rPr>
        <w:t xml:space="preserve"> </w:t>
      </w:r>
    </w:p>
    <w:p w:rsidR="00D41510" w:rsidRPr="00750D93" w:rsidP="00D41510" w14:paraId="1127A4BB" w14:textId="33A73632">
      <w:pPr>
        <w:spacing w:after="240" w:line="240" w:lineRule="auto"/>
        <w:ind w:right="10"/>
        <w:rPr>
          <w:szCs w:val="24"/>
        </w:rPr>
      </w:pPr>
      <w:r>
        <w:rPr>
          <w:szCs w:val="24"/>
        </w:rPr>
        <w:t xml:space="preserve">Section </w:t>
      </w:r>
      <w:r w:rsidRPr="00750D93">
        <w:rPr>
          <w:szCs w:val="24"/>
        </w:rPr>
        <w:t>1002.105(b) define</w:t>
      </w:r>
      <w:r>
        <w:rPr>
          <w:szCs w:val="24"/>
        </w:rPr>
        <w:t>s</w:t>
      </w:r>
      <w:r w:rsidRPr="00750D93">
        <w:rPr>
          <w:szCs w:val="24"/>
        </w:rPr>
        <w:t xml:space="preserve"> the term covered financial institution as a financial institution that originated at least </w:t>
      </w:r>
      <w:r>
        <w:rPr>
          <w:szCs w:val="24"/>
        </w:rPr>
        <w:t xml:space="preserve">100 </w:t>
      </w:r>
      <w:r w:rsidRPr="00750D93">
        <w:rPr>
          <w:szCs w:val="24"/>
        </w:rPr>
        <w:t xml:space="preserve">covered credit transactions for small businesses in each of the two preceding calendar years. </w:t>
      </w:r>
      <w:r w:rsidR="00ED6C83">
        <w:rPr>
          <w:szCs w:val="24"/>
        </w:rPr>
        <w:t xml:space="preserve"> </w:t>
      </w:r>
      <w:r w:rsidRPr="00750D93">
        <w:rPr>
          <w:szCs w:val="24"/>
        </w:rPr>
        <w:t xml:space="preserve">Only financial institutions that meet this loan-volume threshold </w:t>
      </w:r>
      <w:r w:rsidR="00483B6E">
        <w:rPr>
          <w:szCs w:val="24"/>
        </w:rPr>
        <w:t xml:space="preserve">will </w:t>
      </w:r>
      <w:r w:rsidRPr="00750D93">
        <w:rPr>
          <w:szCs w:val="24"/>
        </w:rPr>
        <w:t xml:space="preserve">be required to collect </w:t>
      </w:r>
      <w:r w:rsidRPr="00750D93">
        <w:rPr>
          <w:rFonts w:eastAsia="Calibri"/>
          <w:szCs w:val="24"/>
        </w:rPr>
        <w:t>and</w:t>
      </w:r>
      <w:r w:rsidRPr="00750D93">
        <w:rPr>
          <w:szCs w:val="24"/>
        </w:rPr>
        <w:t xml:space="preserve"> report small business lending data under subpart B, including the specific information collection, recordkeeping, and disclosure requirements discussed above.</w:t>
      </w:r>
      <w:r>
        <w:rPr>
          <w:szCs w:val="24"/>
        </w:rPr>
        <w:t xml:space="preserve"> </w:t>
      </w:r>
      <w:r w:rsidR="000659DF">
        <w:rPr>
          <w:szCs w:val="24"/>
        </w:rPr>
        <w:t>T</w:t>
      </w:r>
      <w:r w:rsidRPr="00750D93">
        <w:rPr>
          <w:szCs w:val="24"/>
        </w:rPr>
        <w:t xml:space="preserve">he </w:t>
      </w:r>
      <w:r w:rsidR="00546FC1">
        <w:rPr>
          <w:szCs w:val="24"/>
        </w:rPr>
        <w:t>CFPB</w:t>
      </w:r>
      <w:r w:rsidRPr="00750D93">
        <w:rPr>
          <w:szCs w:val="24"/>
        </w:rPr>
        <w:t xml:space="preserve"> believes that under this provision, smaller financial institutions are more likely to be exempt from any reporting obligations under </w:t>
      </w:r>
      <w:r w:rsidR="000659DF">
        <w:rPr>
          <w:szCs w:val="24"/>
        </w:rPr>
        <w:t xml:space="preserve">this final </w:t>
      </w:r>
      <w:r w:rsidRPr="00750D93">
        <w:rPr>
          <w:szCs w:val="24"/>
        </w:rPr>
        <w:t>rule.</w:t>
      </w:r>
      <w:r w:rsidR="00483B6E">
        <w:rPr>
          <w:szCs w:val="24"/>
        </w:rPr>
        <w:t xml:space="preserve">  </w:t>
      </w:r>
    </w:p>
    <w:p w:rsidR="00D41510" w:rsidRPr="00750D93" w:rsidP="00D41510" w14:paraId="38E76397" w14:textId="79D811EB">
      <w:pPr>
        <w:spacing w:after="240" w:line="240" w:lineRule="auto"/>
        <w:ind w:right="10"/>
        <w:rPr>
          <w:szCs w:val="24"/>
        </w:rPr>
      </w:pPr>
      <w:r>
        <w:rPr>
          <w:szCs w:val="24"/>
        </w:rPr>
        <w:t xml:space="preserve">Section </w:t>
      </w:r>
      <w:r w:rsidRPr="00750D93">
        <w:rPr>
          <w:szCs w:val="24"/>
        </w:rPr>
        <w:t>1002.107(b) state</w:t>
      </w:r>
      <w:r w:rsidR="00E162E0">
        <w:rPr>
          <w:szCs w:val="24"/>
        </w:rPr>
        <w:t>s</w:t>
      </w:r>
      <w:r w:rsidRPr="00750D93">
        <w:rPr>
          <w:szCs w:val="24"/>
        </w:rPr>
        <w:t xml:space="preserve"> that unless otherwise provided in subpart B, the financial institution </w:t>
      </w:r>
      <w:r w:rsidR="00E274E9">
        <w:rPr>
          <w:szCs w:val="24"/>
        </w:rPr>
        <w:t xml:space="preserve">may </w:t>
      </w:r>
      <w:r w:rsidRPr="00750D93">
        <w:rPr>
          <w:szCs w:val="24"/>
        </w:rPr>
        <w:t xml:space="preserve">rely on statements of the applicant when compiling data unless it verifies the information </w:t>
      </w:r>
      <w:r w:rsidRPr="00750D93">
        <w:rPr>
          <w:rFonts w:eastAsia="Calibri"/>
          <w:szCs w:val="24"/>
        </w:rPr>
        <w:t>provided</w:t>
      </w:r>
      <w:r w:rsidRPr="00750D93">
        <w:rPr>
          <w:szCs w:val="24"/>
        </w:rPr>
        <w:t xml:space="preserve">, in which case it would be required to collect and report the verified information. </w:t>
      </w:r>
      <w:r w:rsidR="00CD0BBB">
        <w:rPr>
          <w:szCs w:val="24"/>
        </w:rPr>
        <w:t xml:space="preserve"> </w:t>
      </w:r>
      <w:r w:rsidRPr="00750D93">
        <w:rPr>
          <w:szCs w:val="24"/>
        </w:rPr>
        <w:t xml:space="preserve">Requiring verification of applicant-provided data points would greatly increase the operational burden of the rule, and the </w:t>
      </w:r>
      <w:r w:rsidR="00546FC1">
        <w:rPr>
          <w:szCs w:val="24"/>
        </w:rPr>
        <w:t xml:space="preserve">CFPB </w:t>
      </w:r>
      <w:r w:rsidRPr="00750D93">
        <w:rPr>
          <w:szCs w:val="24"/>
        </w:rPr>
        <w:t xml:space="preserve">believes that relying on applicant-provided data would ensure sufficient accuracy to carry out the purposes of section 1071. </w:t>
      </w:r>
      <w:r w:rsidR="00CD0BBB">
        <w:rPr>
          <w:szCs w:val="24"/>
        </w:rPr>
        <w:t xml:space="preserve"> </w:t>
      </w:r>
      <w:r w:rsidRPr="00750D93">
        <w:rPr>
          <w:szCs w:val="24"/>
        </w:rPr>
        <w:t xml:space="preserve">However, requiring financial institutions to collect and report (for </w:t>
      </w:r>
      <w:r w:rsidR="000659DF">
        <w:rPr>
          <w:szCs w:val="24"/>
        </w:rPr>
        <w:t xml:space="preserve">this final </w:t>
      </w:r>
      <w:r w:rsidRPr="00750D93">
        <w:rPr>
          <w:szCs w:val="24"/>
        </w:rPr>
        <w:t>rule) information that they have already verified would not add operational difficulty, and would enhance the accuracy and usefulness of the data, thereby furthering the purposes of section 1071.</w:t>
      </w:r>
    </w:p>
    <w:p w:rsidR="00D41510" w:rsidRPr="00750D93" w:rsidP="00D41510" w14:paraId="1FE4608A" w14:textId="18319C2B">
      <w:pPr>
        <w:spacing w:after="240" w:line="240" w:lineRule="auto"/>
        <w:ind w:right="10"/>
        <w:rPr>
          <w:szCs w:val="24"/>
        </w:rPr>
      </w:pPr>
      <w:r>
        <w:rPr>
          <w:szCs w:val="24"/>
        </w:rPr>
        <w:t xml:space="preserve">Section </w:t>
      </w:r>
      <w:r w:rsidRPr="00750D93">
        <w:rPr>
          <w:szCs w:val="24"/>
        </w:rPr>
        <w:t>1002.107(</w:t>
      </w:r>
      <w:r w:rsidR="00BE08A7">
        <w:rPr>
          <w:szCs w:val="24"/>
        </w:rPr>
        <w:t>d</w:t>
      </w:r>
      <w:r w:rsidRPr="00750D93">
        <w:rPr>
          <w:szCs w:val="24"/>
        </w:rPr>
        <w:t>) permit</w:t>
      </w:r>
      <w:r>
        <w:rPr>
          <w:szCs w:val="24"/>
        </w:rPr>
        <w:t>s</w:t>
      </w:r>
      <w:r w:rsidRPr="00750D93">
        <w:rPr>
          <w:szCs w:val="24"/>
        </w:rPr>
        <w:t xml:space="preserve">, but </w:t>
      </w:r>
      <w:r w:rsidR="00BE08A7">
        <w:rPr>
          <w:szCs w:val="24"/>
        </w:rPr>
        <w:t xml:space="preserve">does </w:t>
      </w:r>
      <w:r w:rsidRPr="00750D93">
        <w:rPr>
          <w:szCs w:val="24"/>
        </w:rPr>
        <w:t xml:space="preserve">not require, a financial institution to reuse previously collected data to satisfy </w:t>
      </w:r>
      <w:r w:rsidR="007967B2">
        <w:rPr>
          <w:szCs w:val="24"/>
        </w:rPr>
        <w:t>section</w:t>
      </w:r>
      <w:r>
        <w:rPr>
          <w:szCs w:val="24"/>
        </w:rPr>
        <w:t> </w:t>
      </w:r>
      <w:r w:rsidRPr="00750D93">
        <w:rPr>
          <w:szCs w:val="24"/>
        </w:rPr>
        <w:t>1002.107(a)(13) through (2</w:t>
      </w:r>
      <w:r w:rsidR="00DB4C6B">
        <w:rPr>
          <w:szCs w:val="24"/>
        </w:rPr>
        <w:t>0</w:t>
      </w:r>
      <w:r w:rsidRPr="00750D93">
        <w:rPr>
          <w:szCs w:val="24"/>
        </w:rPr>
        <w:t xml:space="preserve">) if the data were collected within the </w:t>
      </w:r>
      <w:r w:rsidR="00854175">
        <w:rPr>
          <w:szCs w:val="24"/>
        </w:rPr>
        <w:t>applicable time frame</w:t>
      </w:r>
      <w:r w:rsidR="00843EAD">
        <w:rPr>
          <w:szCs w:val="24"/>
        </w:rPr>
        <w:t xml:space="preserve"> (set forth below)</w:t>
      </w:r>
      <w:r w:rsidR="00854175">
        <w:rPr>
          <w:szCs w:val="24"/>
        </w:rPr>
        <w:t xml:space="preserve"> and</w:t>
      </w:r>
      <w:r w:rsidRPr="00750D93">
        <w:rPr>
          <w:szCs w:val="24"/>
        </w:rPr>
        <w:t xml:space="preserve"> the financial institution has no reason to believe the data are inaccurate. </w:t>
      </w:r>
      <w:r w:rsidR="00CD0BBB">
        <w:rPr>
          <w:szCs w:val="24"/>
        </w:rPr>
        <w:t xml:space="preserve"> </w:t>
      </w:r>
      <w:r w:rsidRPr="0010195F" w:rsidR="00605EAA">
        <w:t xml:space="preserve">To satisfy paragraphs (a)(13) and (a)(15) through (20) of this section, the data </w:t>
      </w:r>
      <w:r w:rsidR="00605EAA">
        <w:t>must have been</w:t>
      </w:r>
      <w:r w:rsidRPr="0010195F" w:rsidR="00605EAA">
        <w:t xml:space="preserve"> collected within the 36 months preceding the current covered application</w:t>
      </w:r>
      <w:r w:rsidR="00605EAA">
        <w:t>.  T</w:t>
      </w:r>
      <w:r w:rsidRPr="0010195F" w:rsidR="00605EAA">
        <w:t xml:space="preserve">o satisfy paragraph (a)(14) of this section, the data </w:t>
      </w:r>
      <w:r w:rsidR="00605EAA">
        <w:t>must have been</w:t>
      </w:r>
      <w:r w:rsidRPr="0010195F" w:rsidR="00605EAA">
        <w:t xml:space="preserve"> collected within the same calendar year as the</w:t>
      </w:r>
      <w:r w:rsidRPr="002B381F" w:rsidR="00605EAA">
        <w:t xml:space="preserve"> current covered application</w:t>
      </w:r>
      <w:r w:rsidR="00605EAA">
        <w:t xml:space="preserve">. </w:t>
      </w:r>
      <w:r w:rsidR="00CD0BBB">
        <w:t xml:space="preserve"> </w:t>
      </w:r>
      <w:r w:rsidRPr="00750D93">
        <w:rPr>
          <w:szCs w:val="24"/>
        </w:rPr>
        <w:t xml:space="preserve">The </w:t>
      </w:r>
      <w:r w:rsidR="00546FC1">
        <w:rPr>
          <w:szCs w:val="24"/>
        </w:rPr>
        <w:t>CFPB</w:t>
      </w:r>
      <w:r w:rsidRPr="00750D93">
        <w:rPr>
          <w:szCs w:val="24"/>
        </w:rPr>
        <w:t xml:space="preserve"> believes that, </w:t>
      </w:r>
      <w:r w:rsidRPr="00750D93">
        <w:rPr>
          <w:szCs w:val="24"/>
        </w:rPr>
        <w:t xml:space="preserve">absent a reason to suspect otherwise, recently collected data are likely to be reliable. </w:t>
      </w:r>
      <w:r w:rsidR="00CD0BBB">
        <w:rPr>
          <w:szCs w:val="24"/>
        </w:rPr>
        <w:t xml:space="preserve"> </w:t>
      </w:r>
      <w:r w:rsidRPr="00750D93">
        <w:rPr>
          <w:szCs w:val="24"/>
        </w:rPr>
        <w:t xml:space="preserve">Additionally, the </w:t>
      </w:r>
      <w:r w:rsidR="00546FC1">
        <w:rPr>
          <w:szCs w:val="24"/>
        </w:rPr>
        <w:t>CFPB</w:t>
      </w:r>
      <w:r w:rsidRPr="00750D93">
        <w:rPr>
          <w:szCs w:val="24"/>
        </w:rPr>
        <w:t xml:space="preserve"> believes that a flexible approach giving financial institutions discretion to reuse these data is consistent with helping facilitate compliance by small entities.</w:t>
      </w:r>
      <w:r>
        <w:rPr>
          <w:szCs w:val="24"/>
        </w:rPr>
        <w:t xml:space="preserve"> </w:t>
      </w:r>
    </w:p>
    <w:p w:rsidR="00D41510" w:rsidRPr="00750D93" w:rsidP="00D41510" w14:paraId="175848F4" w14:textId="4240E614">
      <w:pPr>
        <w:spacing w:after="240" w:line="240" w:lineRule="auto"/>
        <w:ind w:right="10"/>
        <w:rPr>
          <w:szCs w:val="24"/>
        </w:rPr>
      </w:pPr>
      <w:r>
        <w:rPr>
          <w:szCs w:val="24"/>
        </w:rPr>
        <w:t xml:space="preserve">Section </w:t>
      </w:r>
      <w:r w:rsidRPr="00750D93">
        <w:rPr>
          <w:szCs w:val="24"/>
        </w:rPr>
        <w:t>1002.110(c) require</w:t>
      </w:r>
      <w:r>
        <w:rPr>
          <w:szCs w:val="24"/>
        </w:rPr>
        <w:t>s</w:t>
      </w:r>
      <w:r w:rsidRPr="00750D93">
        <w:rPr>
          <w:szCs w:val="24"/>
        </w:rPr>
        <w:t xml:space="preserve"> that a covered financial institution make available to the public on its website, or otherwise </w:t>
      </w:r>
      <w:r w:rsidRPr="00750D93">
        <w:rPr>
          <w:rFonts w:eastAsia="Calibri"/>
          <w:szCs w:val="24"/>
        </w:rPr>
        <w:t>upon</w:t>
      </w:r>
      <w:r w:rsidRPr="00750D93">
        <w:rPr>
          <w:szCs w:val="24"/>
        </w:rPr>
        <w:t xml:space="preserve"> request, a statement that the covered financial institution’s small business lending application register, as modified by the </w:t>
      </w:r>
      <w:r w:rsidR="00546FC1">
        <w:rPr>
          <w:szCs w:val="24"/>
        </w:rPr>
        <w:t>CFPB</w:t>
      </w:r>
      <w:r w:rsidRPr="00750D93">
        <w:rPr>
          <w:szCs w:val="24"/>
        </w:rPr>
        <w:t xml:space="preserve"> pursuant to </w:t>
      </w:r>
      <w:r w:rsidR="007967B2">
        <w:rPr>
          <w:szCs w:val="24"/>
        </w:rPr>
        <w:t>section</w:t>
      </w:r>
      <w:r>
        <w:rPr>
          <w:szCs w:val="24"/>
        </w:rPr>
        <w:t> </w:t>
      </w:r>
      <w:r w:rsidRPr="00750D93">
        <w:rPr>
          <w:szCs w:val="24"/>
        </w:rPr>
        <w:t xml:space="preserve">1002.110(a), is or will be available </w:t>
      </w:r>
      <w:r w:rsidR="009352D9">
        <w:rPr>
          <w:szCs w:val="24"/>
        </w:rPr>
        <w:t xml:space="preserve">from the </w:t>
      </w:r>
      <w:r w:rsidR="004A4D34">
        <w:rPr>
          <w:szCs w:val="24"/>
        </w:rPr>
        <w:t>CFPB</w:t>
      </w:r>
      <w:r w:rsidRPr="00750D93">
        <w:rPr>
          <w:szCs w:val="24"/>
        </w:rPr>
        <w:t xml:space="preserve">. </w:t>
      </w:r>
      <w:r w:rsidR="00CD0BBB">
        <w:rPr>
          <w:szCs w:val="24"/>
        </w:rPr>
        <w:t xml:space="preserve"> </w:t>
      </w:r>
      <w:r w:rsidRPr="00750D93">
        <w:rPr>
          <w:szCs w:val="24"/>
        </w:rPr>
        <w:t xml:space="preserve">The reasons </w:t>
      </w:r>
      <w:r w:rsidR="00526FF2">
        <w:rPr>
          <w:szCs w:val="24"/>
        </w:rPr>
        <w:t xml:space="preserve">for this approach are </w:t>
      </w:r>
      <w:r w:rsidRPr="00750D93">
        <w:rPr>
          <w:szCs w:val="24"/>
        </w:rPr>
        <w:t xml:space="preserve">discussed in the </w:t>
      </w:r>
      <w:r w:rsidR="00526FF2">
        <w:rPr>
          <w:szCs w:val="24"/>
        </w:rPr>
        <w:t xml:space="preserve">final </w:t>
      </w:r>
      <w:r w:rsidRPr="00750D93">
        <w:rPr>
          <w:szCs w:val="24"/>
        </w:rPr>
        <w:t xml:space="preserve">rule, including that this approach </w:t>
      </w:r>
      <w:r w:rsidR="00526FF2">
        <w:rPr>
          <w:szCs w:val="24"/>
        </w:rPr>
        <w:t xml:space="preserve">will </w:t>
      </w:r>
      <w:r w:rsidRPr="00750D93">
        <w:rPr>
          <w:szCs w:val="24"/>
        </w:rPr>
        <w:t xml:space="preserve">reduce burdens on financial institutions associated with publishing modified data, </w:t>
      </w:r>
      <w:r w:rsidR="00526FF2">
        <w:rPr>
          <w:szCs w:val="24"/>
        </w:rPr>
        <w:t xml:space="preserve">will </w:t>
      </w:r>
      <w:r w:rsidRPr="00750D93">
        <w:rPr>
          <w:szCs w:val="24"/>
        </w:rPr>
        <w:t xml:space="preserve">reduce privacy risks resulting from errors by individual financial institutions implementing any modifications or deletions required by the </w:t>
      </w:r>
      <w:r w:rsidR="00546FC1">
        <w:rPr>
          <w:szCs w:val="24"/>
        </w:rPr>
        <w:t>CFPB</w:t>
      </w:r>
      <w:r w:rsidRPr="00750D93">
        <w:rPr>
          <w:szCs w:val="24"/>
        </w:rPr>
        <w:t xml:space="preserve">, and </w:t>
      </w:r>
      <w:r w:rsidR="00526FF2">
        <w:rPr>
          <w:szCs w:val="24"/>
        </w:rPr>
        <w:t xml:space="preserve">will </w:t>
      </w:r>
      <w:r w:rsidRPr="00750D93">
        <w:rPr>
          <w:szCs w:val="24"/>
        </w:rPr>
        <w:t xml:space="preserve">be more efficient overall. </w:t>
      </w:r>
    </w:p>
    <w:p w:rsidR="00D41510" w:rsidRPr="00750D93" w:rsidP="00D41510" w14:paraId="30F382AC" w14:textId="1A32DFCB">
      <w:pPr>
        <w:spacing w:after="240" w:line="240" w:lineRule="auto"/>
        <w:ind w:right="10"/>
        <w:rPr>
          <w:szCs w:val="24"/>
        </w:rPr>
      </w:pPr>
      <w:r>
        <w:rPr>
          <w:szCs w:val="24"/>
        </w:rPr>
        <w:t>S</w:t>
      </w:r>
      <w:r w:rsidRPr="00750D93">
        <w:rPr>
          <w:szCs w:val="24"/>
        </w:rPr>
        <w:t>ubpart B provide</w:t>
      </w:r>
      <w:r>
        <w:rPr>
          <w:szCs w:val="24"/>
        </w:rPr>
        <w:t>s</w:t>
      </w:r>
      <w:r w:rsidRPr="00750D93">
        <w:rPr>
          <w:szCs w:val="24"/>
        </w:rPr>
        <w:t xml:space="preserve"> </w:t>
      </w:r>
      <w:r w:rsidR="00CE2B89">
        <w:rPr>
          <w:szCs w:val="24"/>
        </w:rPr>
        <w:t xml:space="preserve">a </w:t>
      </w:r>
      <w:r w:rsidR="00F00C3B">
        <w:rPr>
          <w:szCs w:val="24"/>
        </w:rPr>
        <w:t>sample</w:t>
      </w:r>
      <w:r w:rsidRPr="00750D93" w:rsidR="00F00C3B">
        <w:rPr>
          <w:szCs w:val="24"/>
        </w:rPr>
        <w:t xml:space="preserve"> </w:t>
      </w:r>
      <w:r w:rsidRPr="00750D93">
        <w:rPr>
          <w:szCs w:val="24"/>
        </w:rPr>
        <w:t xml:space="preserve">form that </w:t>
      </w:r>
      <w:r w:rsidR="00EE0F5B">
        <w:rPr>
          <w:szCs w:val="24"/>
        </w:rPr>
        <w:t>covered financial institutions may use</w:t>
      </w:r>
      <w:r w:rsidR="00780E25">
        <w:rPr>
          <w:szCs w:val="24"/>
        </w:rPr>
        <w:t xml:space="preserve"> to help them comply with the rule’s </w:t>
      </w:r>
      <w:r w:rsidRPr="00750D93">
        <w:rPr>
          <w:szCs w:val="24"/>
        </w:rPr>
        <w:t>requirements.</w:t>
      </w:r>
    </w:p>
    <w:p w:rsidR="009346F0" w:rsidRPr="00DA4517" w:rsidP="00DA4517" w14:paraId="2F7D6676" w14:textId="6A17A064">
      <w:pPr>
        <w:pStyle w:val="Heading1"/>
        <w:rPr>
          <w:u w:val="none"/>
        </w:rPr>
      </w:pPr>
      <w:r w:rsidRPr="006142C9">
        <w:t>6.</w:t>
      </w:r>
      <w:r w:rsidRPr="00DA4517">
        <w:rPr>
          <w:u w:val="none"/>
        </w:rPr>
        <w:t xml:space="preserve">  </w:t>
      </w:r>
      <w:r w:rsidRPr="00750D93" w:rsidR="00705E86">
        <w:t>Conse</w:t>
      </w:r>
      <w:r w:rsidRPr="00750D93" w:rsidR="00705E86">
        <w:rPr>
          <w:spacing w:val="1"/>
        </w:rPr>
        <w:t>qu</w:t>
      </w:r>
      <w:r w:rsidRPr="00750D93" w:rsidR="00705E86">
        <w:t>e</w:t>
      </w:r>
      <w:r w:rsidRPr="00750D93" w:rsidR="00705E86">
        <w:rPr>
          <w:spacing w:val="1"/>
        </w:rPr>
        <w:t>n</w:t>
      </w:r>
      <w:r w:rsidRPr="00750D93" w:rsidR="00705E86">
        <w:t>ces of</w:t>
      </w:r>
      <w:r w:rsidRPr="00750D93" w:rsidR="00705E86">
        <w:rPr>
          <w:spacing w:val="2"/>
        </w:rPr>
        <w:t xml:space="preserve"> </w:t>
      </w:r>
      <w:r w:rsidRPr="00750D93" w:rsidR="00705E86">
        <w:t xml:space="preserve">Less </w:t>
      </w:r>
      <w:r w:rsidRPr="00750D93" w:rsidR="00705E86">
        <w:rPr>
          <w:spacing w:val="-2"/>
        </w:rPr>
        <w:t>F</w:t>
      </w:r>
      <w:r w:rsidRPr="00750D93" w:rsidR="00705E86">
        <w:t>re</w:t>
      </w:r>
      <w:r w:rsidRPr="00750D93" w:rsidR="00705E86">
        <w:rPr>
          <w:spacing w:val="1"/>
        </w:rPr>
        <w:t>qu</w:t>
      </w:r>
      <w:r w:rsidRPr="00750D93" w:rsidR="00705E86">
        <w:t>e</w:t>
      </w:r>
      <w:r w:rsidRPr="00750D93" w:rsidR="00705E86">
        <w:rPr>
          <w:spacing w:val="1"/>
        </w:rPr>
        <w:t>n</w:t>
      </w:r>
      <w:r w:rsidRPr="00750D93" w:rsidR="00705E86">
        <w:t>t Col</w:t>
      </w:r>
      <w:r w:rsidRPr="00750D93" w:rsidR="00705E86">
        <w:rPr>
          <w:spacing w:val="1"/>
        </w:rPr>
        <w:t>l</w:t>
      </w:r>
      <w:r w:rsidRPr="00750D93" w:rsidR="00705E86">
        <w:t>ection a</w:t>
      </w:r>
      <w:r w:rsidRPr="00750D93" w:rsidR="00705E86">
        <w:rPr>
          <w:spacing w:val="1"/>
        </w:rPr>
        <w:t>n</w:t>
      </w:r>
      <w:r w:rsidRPr="00750D93" w:rsidR="00705E86">
        <w:t>d</w:t>
      </w:r>
      <w:r w:rsidRPr="00750D93" w:rsidR="00705E86">
        <w:rPr>
          <w:spacing w:val="1"/>
        </w:rPr>
        <w:t xml:space="preserve"> </w:t>
      </w:r>
      <w:r w:rsidRPr="00750D93" w:rsidR="00705E86">
        <w:t>O</w:t>
      </w:r>
      <w:r w:rsidRPr="00750D93" w:rsidR="00705E86">
        <w:rPr>
          <w:spacing w:val="1"/>
        </w:rPr>
        <w:t>b</w:t>
      </w:r>
      <w:r w:rsidRPr="00750D93" w:rsidR="00705E86">
        <w:t>stacles to B</w:t>
      </w:r>
      <w:r w:rsidRPr="00750D93" w:rsidR="00705E86">
        <w:rPr>
          <w:spacing w:val="1"/>
        </w:rPr>
        <w:t>u</w:t>
      </w:r>
      <w:r w:rsidRPr="00750D93" w:rsidR="00705E86">
        <w:t>r</w:t>
      </w:r>
      <w:r w:rsidRPr="00750D93" w:rsidR="00705E86">
        <w:rPr>
          <w:spacing w:val="1"/>
        </w:rPr>
        <w:t>d</w:t>
      </w:r>
      <w:r w:rsidRPr="00750D93" w:rsidR="00705E86">
        <w:t>en</w:t>
      </w:r>
      <w:r w:rsidRPr="00750D93" w:rsidR="00705E86">
        <w:rPr>
          <w:spacing w:val="1"/>
        </w:rPr>
        <w:t xml:space="preserve"> </w:t>
      </w:r>
      <w:r w:rsidRPr="00750D93" w:rsidR="00705E86">
        <w:t>Re</w:t>
      </w:r>
      <w:r w:rsidRPr="00750D93" w:rsidR="00705E86">
        <w:rPr>
          <w:spacing w:val="1"/>
        </w:rPr>
        <w:t>du</w:t>
      </w:r>
      <w:r w:rsidRPr="00750D93" w:rsidR="00705E86">
        <w:t>ction</w:t>
      </w:r>
      <w:r w:rsidRPr="00DA4517" w:rsidR="00705E86">
        <w:rPr>
          <w:u w:val="none"/>
        </w:rPr>
        <w:t xml:space="preserve"> </w:t>
      </w:r>
    </w:p>
    <w:p w:rsidR="00EA5BC1" w14:paraId="3C16DD70" w14:textId="7B37B0CA">
      <w:pPr>
        <w:spacing w:after="0" w:line="259" w:lineRule="auto"/>
        <w:ind w:left="720" w:firstLine="0"/>
      </w:pPr>
    </w:p>
    <w:p w:rsidR="006D0899" w:rsidP="00FF719E" w14:paraId="6264FCA3" w14:textId="505B5EEC">
      <w:pPr>
        <w:spacing w:after="240" w:line="240" w:lineRule="auto"/>
        <w:rPr>
          <w:szCs w:val="24"/>
        </w:rPr>
      </w:pPr>
      <w:r w:rsidRPr="00E162E0">
        <w:rPr>
          <w:szCs w:val="24"/>
          <w:u w:val="single"/>
        </w:rPr>
        <w:t>Subpart A</w:t>
      </w:r>
      <w:r>
        <w:rPr>
          <w:szCs w:val="24"/>
        </w:rPr>
        <w:t xml:space="preserve"> </w:t>
      </w:r>
    </w:p>
    <w:p w:rsidR="00FF719E" w:rsidRPr="00750D93" w:rsidP="00FF719E" w14:paraId="48E5917F" w14:textId="12EBA26E">
      <w:pPr>
        <w:spacing w:after="240" w:line="240" w:lineRule="auto"/>
        <w:rPr>
          <w:szCs w:val="24"/>
        </w:rPr>
      </w:pPr>
      <w:r w:rsidRPr="00750D93">
        <w:rPr>
          <w:szCs w:val="24"/>
        </w:rPr>
        <w:t xml:space="preserve">If the notification of action taken requirement were eliminated, applicants could be deprived of the right to receive timely notice of the creditor’s decision, the reasons for any adverse action by the creditor, and notification of the applicants’ rights under ECOA. </w:t>
      </w:r>
      <w:r w:rsidR="00CD0BBB">
        <w:rPr>
          <w:szCs w:val="24"/>
        </w:rPr>
        <w:t xml:space="preserve"> </w:t>
      </w:r>
      <w:r w:rsidRPr="00750D93">
        <w:rPr>
          <w:szCs w:val="24"/>
        </w:rPr>
        <w:t xml:space="preserve">Eliminating the requirement that creditors provide a copy of the appraisal report or notice of its availability would greatly impair applicants’ ability to assess the valuation’s impact on the creditor’s decision and to challenge it in a timely fashion. </w:t>
      </w:r>
      <w:r w:rsidR="00CD0BBB">
        <w:rPr>
          <w:szCs w:val="24"/>
        </w:rPr>
        <w:t xml:space="preserve"> </w:t>
      </w:r>
      <w:r w:rsidRPr="00750D93">
        <w:rPr>
          <w:szCs w:val="24"/>
        </w:rPr>
        <w:t xml:space="preserve">Eliminating or changing the requirement to collect information about an applicant’s protected characteristics would impair the ability of the </w:t>
      </w:r>
      <w:r w:rsidR="00546FC1">
        <w:rPr>
          <w:szCs w:val="24"/>
        </w:rPr>
        <w:t>CFPB</w:t>
      </w:r>
      <w:r w:rsidRPr="00750D93">
        <w:rPr>
          <w:szCs w:val="24"/>
        </w:rPr>
        <w:t xml:space="preserve"> and others seeking to </w:t>
      </w:r>
      <w:r w:rsidRPr="00750D93">
        <w:rPr>
          <w:rFonts w:eastAsia="Calibri"/>
          <w:szCs w:val="24"/>
        </w:rPr>
        <w:t>enforce</w:t>
      </w:r>
      <w:r w:rsidRPr="00750D93">
        <w:rPr>
          <w:szCs w:val="24"/>
        </w:rPr>
        <w:t xml:space="preserve"> compliance with ECOA to </w:t>
      </w:r>
      <w:r w:rsidRPr="00750D93">
        <w:rPr>
          <w:szCs w:val="24"/>
        </w:rPr>
        <w:t>take action</w:t>
      </w:r>
      <w:r w:rsidRPr="00750D93">
        <w:rPr>
          <w:szCs w:val="24"/>
        </w:rPr>
        <w:t xml:space="preserve"> against creditors that may engage in unlawful discrimination.</w:t>
      </w:r>
      <w:r w:rsidR="00CD0BBB">
        <w:rPr>
          <w:szCs w:val="24"/>
        </w:rPr>
        <w:t xml:space="preserve"> </w:t>
      </w:r>
      <w:r w:rsidRPr="00750D93">
        <w:rPr>
          <w:szCs w:val="24"/>
        </w:rPr>
        <w:t xml:space="preserve"> Eliminating the self-test disclosure (which can be made orally or in writing) could disadvantage consumers who may then not understand the purpose of the information being collected, or their option not to provide it. </w:t>
      </w:r>
      <w:r w:rsidR="00CD0BBB">
        <w:rPr>
          <w:szCs w:val="24"/>
        </w:rPr>
        <w:t xml:space="preserve"> </w:t>
      </w:r>
      <w:r w:rsidRPr="00750D93">
        <w:rPr>
          <w:szCs w:val="24"/>
        </w:rPr>
        <w:t>Finally, eliminating the credit history reporting requirement regarding spouses with shared accounts would undermine the goal of affording both spouses the benefit of that shared credit history in seeking further credit.</w:t>
      </w:r>
    </w:p>
    <w:p w:rsidR="00FF719E" w:rsidRPr="00750D93" w:rsidP="00FF719E" w14:paraId="2A0B9891" w14:textId="74C312F3">
      <w:pPr>
        <w:spacing w:after="240" w:line="240" w:lineRule="auto"/>
        <w:rPr>
          <w:szCs w:val="24"/>
        </w:rPr>
      </w:pPr>
      <w:r w:rsidRPr="00750D93">
        <w:rPr>
          <w:szCs w:val="24"/>
        </w:rPr>
        <w:t xml:space="preserve">The current record retention period of 25 months supports the need for sufficient time to bring enforcement actions </w:t>
      </w:r>
      <w:r w:rsidRPr="00750D93">
        <w:rPr>
          <w:rFonts w:eastAsia="Calibri"/>
          <w:szCs w:val="24"/>
        </w:rPr>
        <w:t>regarding</w:t>
      </w:r>
      <w:r w:rsidRPr="00750D93">
        <w:rPr>
          <w:szCs w:val="24"/>
        </w:rPr>
        <w:t xml:space="preserve"> ECOA issues. </w:t>
      </w:r>
      <w:r w:rsidR="00CD0BBB">
        <w:rPr>
          <w:szCs w:val="24"/>
        </w:rPr>
        <w:t xml:space="preserve"> </w:t>
      </w:r>
      <w:r w:rsidRPr="00750D93">
        <w:rPr>
          <w:szCs w:val="24"/>
        </w:rPr>
        <w:t>If the retention period were shortened, applicants who sue under ECOA, and administrative agencies that enforce ECOA, might find that the records needed to prove ECOA violations no longer exist.</w:t>
      </w:r>
    </w:p>
    <w:p w:rsidR="00EA5BC1" w:rsidP="00FF719E" w14:paraId="4E385E44" w14:textId="7ABAEEEF">
      <w:pPr>
        <w:spacing w:after="240" w:line="240" w:lineRule="auto"/>
      </w:pPr>
      <w:r w:rsidRPr="00750D93">
        <w:rPr>
          <w:szCs w:val="24"/>
        </w:rPr>
        <w:t xml:space="preserve">This information is not </w:t>
      </w:r>
      <w:r w:rsidRPr="00750D93">
        <w:rPr>
          <w:rFonts w:eastAsia="Calibri"/>
          <w:szCs w:val="24"/>
        </w:rPr>
        <w:t>collected</w:t>
      </w:r>
      <w:r w:rsidRPr="00750D93">
        <w:rPr>
          <w:szCs w:val="24"/>
        </w:rPr>
        <w:t xml:space="preserve"> by the federal government. </w:t>
      </w:r>
      <w:r w:rsidR="00CD0BBB">
        <w:rPr>
          <w:szCs w:val="24"/>
        </w:rPr>
        <w:t xml:space="preserve"> </w:t>
      </w:r>
      <w:r w:rsidRPr="00750D93">
        <w:rPr>
          <w:szCs w:val="24"/>
        </w:rPr>
        <w:t>The</w:t>
      </w:r>
      <w:r w:rsidRPr="00750D93">
        <w:rPr>
          <w:spacing w:val="-1"/>
          <w:szCs w:val="24"/>
        </w:rPr>
        <w:t xml:space="preserve"> </w:t>
      </w:r>
      <w:r w:rsidRPr="00750D93">
        <w:rPr>
          <w:szCs w:val="24"/>
        </w:rPr>
        <w:t>bur</w:t>
      </w:r>
      <w:r w:rsidRPr="00750D93">
        <w:rPr>
          <w:spacing w:val="-1"/>
          <w:szCs w:val="24"/>
        </w:rPr>
        <w:t>de</w:t>
      </w:r>
      <w:r w:rsidRPr="00750D93">
        <w:rPr>
          <w:szCs w:val="24"/>
        </w:rPr>
        <w:t>ns on r</w:t>
      </w:r>
      <w:r w:rsidRPr="00750D93">
        <w:rPr>
          <w:spacing w:val="-1"/>
          <w:szCs w:val="24"/>
        </w:rPr>
        <w:t>e</w:t>
      </w:r>
      <w:r w:rsidRPr="00750D93">
        <w:rPr>
          <w:szCs w:val="24"/>
        </w:rPr>
        <w:t>spond</w:t>
      </w:r>
      <w:r w:rsidRPr="00750D93">
        <w:rPr>
          <w:spacing w:val="-1"/>
          <w:szCs w:val="24"/>
        </w:rPr>
        <w:t>e</w:t>
      </w:r>
      <w:r w:rsidRPr="00750D93">
        <w:rPr>
          <w:szCs w:val="24"/>
        </w:rPr>
        <w:t>nts a</w:t>
      </w:r>
      <w:r w:rsidRPr="00750D93">
        <w:rPr>
          <w:spacing w:val="-1"/>
          <w:szCs w:val="24"/>
        </w:rPr>
        <w:t>r</w:t>
      </w:r>
      <w:r w:rsidRPr="00750D93">
        <w:rPr>
          <w:szCs w:val="24"/>
        </w:rPr>
        <w:t>e</w:t>
      </w:r>
      <w:r w:rsidRPr="00750D93">
        <w:rPr>
          <w:spacing w:val="-1"/>
          <w:szCs w:val="24"/>
        </w:rPr>
        <w:t xml:space="preserve"> </w:t>
      </w:r>
      <w:r w:rsidRPr="00750D93">
        <w:rPr>
          <w:szCs w:val="24"/>
        </w:rPr>
        <w:t>the min</w:t>
      </w:r>
      <w:r w:rsidRPr="00750D93">
        <w:rPr>
          <w:spacing w:val="1"/>
          <w:szCs w:val="24"/>
        </w:rPr>
        <w:t>i</w:t>
      </w:r>
      <w:r w:rsidRPr="00750D93">
        <w:rPr>
          <w:szCs w:val="24"/>
        </w:rPr>
        <w:t>mum</w:t>
      </w:r>
      <w:r w:rsidRPr="00750D93">
        <w:rPr>
          <w:spacing w:val="1"/>
          <w:szCs w:val="24"/>
        </w:rPr>
        <w:t xml:space="preserve"> </w:t>
      </w:r>
      <w:r w:rsidRPr="00750D93">
        <w:rPr>
          <w:szCs w:val="24"/>
        </w:rPr>
        <w:t>n</w:t>
      </w:r>
      <w:r w:rsidRPr="00750D93">
        <w:rPr>
          <w:spacing w:val="-1"/>
          <w:szCs w:val="24"/>
        </w:rPr>
        <w:t>ece</w:t>
      </w:r>
      <w:r w:rsidRPr="00750D93">
        <w:rPr>
          <w:szCs w:val="24"/>
        </w:rPr>
        <w:t>ssa</w:t>
      </w:r>
      <w:r w:rsidRPr="00750D93">
        <w:rPr>
          <w:spacing w:val="-1"/>
          <w:szCs w:val="24"/>
        </w:rPr>
        <w:t>r</w:t>
      </w:r>
      <w:r w:rsidRPr="00750D93">
        <w:rPr>
          <w:szCs w:val="24"/>
        </w:rPr>
        <w:t>y to comply</w:t>
      </w:r>
      <w:r w:rsidRPr="00750D93">
        <w:rPr>
          <w:spacing w:val="-7"/>
          <w:szCs w:val="24"/>
        </w:rPr>
        <w:t xml:space="preserve"> </w:t>
      </w:r>
      <w:r w:rsidRPr="00750D93">
        <w:rPr>
          <w:szCs w:val="24"/>
        </w:rPr>
        <w:t xml:space="preserve">with </w:t>
      </w:r>
      <w:r w:rsidRPr="00750D93">
        <w:rPr>
          <w:spacing w:val="1"/>
          <w:szCs w:val="24"/>
        </w:rPr>
        <w:t>t</w:t>
      </w:r>
      <w:r w:rsidRPr="00750D93">
        <w:rPr>
          <w:szCs w:val="24"/>
        </w:rPr>
        <w:t>he</w:t>
      </w:r>
      <w:r w:rsidRPr="00750D93">
        <w:rPr>
          <w:spacing w:val="-1"/>
          <w:szCs w:val="24"/>
        </w:rPr>
        <w:t xml:space="preserve"> </w:t>
      </w:r>
      <w:r w:rsidRPr="00750D93">
        <w:rPr>
          <w:szCs w:val="24"/>
        </w:rPr>
        <w:t>statut</w:t>
      </w:r>
      <w:r w:rsidRPr="00750D93">
        <w:rPr>
          <w:spacing w:val="-1"/>
          <w:szCs w:val="24"/>
        </w:rPr>
        <w:t>e</w:t>
      </w:r>
      <w:r w:rsidRPr="00750D93">
        <w:rPr>
          <w:szCs w:val="24"/>
        </w:rPr>
        <w:t xml:space="preserve">, </w:t>
      </w:r>
      <w:r w:rsidRPr="00750D93">
        <w:rPr>
          <w:spacing w:val="-1"/>
          <w:szCs w:val="24"/>
        </w:rPr>
        <w:t>a</w:t>
      </w:r>
      <w:r w:rsidRPr="00750D93">
        <w:rPr>
          <w:szCs w:val="24"/>
        </w:rPr>
        <w:t>nd to assist bor</w:t>
      </w:r>
      <w:r w:rsidRPr="00750D93">
        <w:rPr>
          <w:spacing w:val="-1"/>
          <w:szCs w:val="24"/>
        </w:rPr>
        <w:t>r</w:t>
      </w:r>
      <w:r w:rsidRPr="00750D93">
        <w:rPr>
          <w:szCs w:val="24"/>
        </w:rPr>
        <w:t>ow</w:t>
      </w:r>
      <w:r w:rsidRPr="00750D93">
        <w:rPr>
          <w:spacing w:val="-1"/>
          <w:szCs w:val="24"/>
        </w:rPr>
        <w:t>e</w:t>
      </w:r>
      <w:r w:rsidRPr="00750D93">
        <w:rPr>
          <w:szCs w:val="24"/>
        </w:rPr>
        <w:t>rs in obtaining</w:t>
      </w:r>
      <w:r w:rsidRPr="00750D93">
        <w:rPr>
          <w:spacing w:val="-2"/>
          <w:szCs w:val="24"/>
        </w:rPr>
        <w:t xml:space="preserve"> </w:t>
      </w:r>
      <w:r w:rsidRPr="00750D93">
        <w:rPr>
          <w:szCs w:val="24"/>
        </w:rPr>
        <w:t>info</w:t>
      </w:r>
      <w:r w:rsidRPr="00750D93">
        <w:rPr>
          <w:spacing w:val="-1"/>
          <w:szCs w:val="24"/>
        </w:rPr>
        <w:t>r</w:t>
      </w:r>
      <w:r w:rsidRPr="00750D93">
        <w:rPr>
          <w:szCs w:val="24"/>
        </w:rPr>
        <w:t>mation with respect to application decisions.</w:t>
      </w:r>
      <w:r w:rsidR="009346F0">
        <w:t xml:space="preserve"> </w:t>
      </w:r>
    </w:p>
    <w:p w:rsidR="00732C41" w:rsidP="002A1F52" w14:paraId="2143F6AD" w14:textId="635511CA">
      <w:pPr>
        <w:keepNext/>
        <w:spacing w:after="240" w:line="240" w:lineRule="auto"/>
        <w:ind w:left="14" w:hanging="14"/>
        <w:rPr>
          <w:szCs w:val="24"/>
        </w:rPr>
      </w:pPr>
      <w:r>
        <w:rPr>
          <w:szCs w:val="24"/>
          <w:u w:val="single"/>
        </w:rPr>
        <w:t>S</w:t>
      </w:r>
      <w:r w:rsidRPr="00750D93" w:rsidR="00621583">
        <w:rPr>
          <w:szCs w:val="24"/>
          <w:u w:val="single"/>
        </w:rPr>
        <w:t>ubpart B</w:t>
      </w:r>
    </w:p>
    <w:p w:rsidR="00621583" w:rsidRPr="00750D93" w:rsidP="00621583" w14:paraId="6B96CB79" w14:textId="706D2DFF">
      <w:pPr>
        <w:spacing w:after="240" w:line="240" w:lineRule="auto"/>
        <w:rPr>
          <w:szCs w:val="24"/>
        </w:rPr>
      </w:pPr>
      <w:r w:rsidRPr="00750D93">
        <w:rPr>
          <w:szCs w:val="24"/>
        </w:rPr>
        <w:t xml:space="preserve">Were the requirement that financial institutions provide notice when underwriters or other employees or </w:t>
      </w:r>
      <w:r w:rsidRPr="00750D93">
        <w:rPr>
          <w:rFonts w:eastAsia="Calibri"/>
          <w:szCs w:val="24"/>
        </w:rPr>
        <w:t>officials</w:t>
      </w:r>
      <w:r w:rsidRPr="00750D93">
        <w:rPr>
          <w:szCs w:val="24"/>
        </w:rPr>
        <w:t xml:space="preserve"> have access to </w:t>
      </w:r>
      <w:r w:rsidRPr="00750D93">
        <w:rPr>
          <w:szCs w:val="24"/>
        </w:rPr>
        <w:t>applicants’</w:t>
      </w:r>
      <w:r w:rsidRPr="00750D93">
        <w:rPr>
          <w:szCs w:val="24"/>
        </w:rPr>
        <w:t xml:space="preserve"> protected demographic information eliminated, applicants would be deprived of the right to receive timely notice that their protected demographic information was being accessed, and that the use of such information in making a credit decision is impermissible.</w:t>
      </w:r>
      <w:r>
        <w:rPr>
          <w:szCs w:val="24"/>
        </w:rPr>
        <w:t xml:space="preserve"> </w:t>
      </w:r>
      <w:r w:rsidR="00CD0BBB">
        <w:rPr>
          <w:szCs w:val="24"/>
        </w:rPr>
        <w:t xml:space="preserve"> </w:t>
      </w:r>
      <w:r w:rsidRPr="00750D93">
        <w:rPr>
          <w:szCs w:val="24"/>
        </w:rPr>
        <w:t xml:space="preserve">Eliminating the requirement that a financial institution must provide the public on its website, or otherwise upon request, a statement that the covered financial institution’s small business lending application register, as modified by the </w:t>
      </w:r>
      <w:r w:rsidR="00546FC1">
        <w:rPr>
          <w:szCs w:val="24"/>
        </w:rPr>
        <w:t>CFPB</w:t>
      </w:r>
      <w:r w:rsidRPr="00750D93">
        <w:rPr>
          <w:szCs w:val="24"/>
        </w:rPr>
        <w:t xml:space="preserve">, is or will be available </w:t>
      </w:r>
      <w:r w:rsidR="0037355C">
        <w:rPr>
          <w:szCs w:val="24"/>
        </w:rPr>
        <w:t>from the CFPB</w:t>
      </w:r>
      <w:r w:rsidRPr="00750D93">
        <w:rPr>
          <w:szCs w:val="24"/>
        </w:rPr>
        <w:t xml:space="preserve"> would make it more difficult for individuals and entities to use </w:t>
      </w:r>
      <w:r w:rsidR="00265953">
        <w:rPr>
          <w:szCs w:val="24"/>
        </w:rPr>
        <w:t>small business lending</w:t>
      </w:r>
      <w:r w:rsidR="0056356C">
        <w:rPr>
          <w:szCs w:val="24"/>
        </w:rPr>
        <w:t xml:space="preserve"> </w:t>
      </w:r>
      <w:r w:rsidRPr="00750D93">
        <w:rPr>
          <w:szCs w:val="24"/>
        </w:rPr>
        <w:t>data to facilitate fair lending enforcement, or better identify business and community development needs.</w:t>
      </w:r>
      <w:r w:rsidR="00981C45">
        <w:rPr>
          <w:szCs w:val="24"/>
        </w:rPr>
        <w:t xml:space="preserve">  </w:t>
      </w:r>
    </w:p>
    <w:p w:rsidR="00621583" w:rsidRPr="00750D93" w:rsidP="00621583" w14:paraId="1308CBBC" w14:textId="5A59E187">
      <w:pPr>
        <w:spacing w:after="240" w:line="240" w:lineRule="auto"/>
        <w:rPr>
          <w:szCs w:val="24"/>
        </w:rPr>
      </w:pPr>
      <w:r w:rsidRPr="00750D93">
        <w:rPr>
          <w:szCs w:val="24"/>
        </w:rPr>
        <w:t xml:space="preserve">Were the requirement </w:t>
      </w:r>
      <w:r w:rsidRPr="00750D93">
        <w:rPr>
          <w:rFonts w:eastAsia="Calibri"/>
          <w:szCs w:val="24"/>
        </w:rPr>
        <w:t>that</w:t>
      </w:r>
      <w:r w:rsidRPr="00750D93">
        <w:rPr>
          <w:szCs w:val="24"/>
        </w:rPr>
        <w:t xml:space="preserve"> financial institutions collect data on the applications for credit by small businesses (including protected demographic information regarding the minority-owned or women-owned status of the applicant, and the ethnicity, race and sex of the principal owners of the applicant) eliminated or changed, the </w:t>
      </w:r>
      <w:r w:rsidR="0056356C">
        <w:rPr>
          <w:szCs w:val="24"/>
        </w:rPr>
        <w:t>CFPB</w:t>
      </w:r>
      <w:r w:rsidRPr="00750D93">
        <w:rPr>
          <w:szCs w:val="24"/>
        </w:rPr>
        <w:t xml:space="preserve"> and others seeking to enforce fair lending laws and to identify business and community development needs would not have that information and would thereby be disadvantaged in taking action against that creditor. </w:t>
      </w:r>
    </w:p>
    <w:p w:rsidR="00621583" w:rsidRPr="00750D93" w:rsidP="00621583" w14:paraId="537C98A1" w14:textId="6A0EB069">
      <w:pPr>
        <w:spacing w:after="240" w:line="240" w:lineRule="auto"/>
        <w:rPr>
          <w:szCs w:val="24"/>
        </w:rPr>
      </w:pPr>
      <w:r w:rsidRPr="00750D93">
        <w:rPr>
          <w:szCs w:val="24"/>
        </w:rPr>
        <w:t xml:space="preserve">The record retention period of 3 years after the submission of </w:t>
      </w:r>
      <w:r w:rsidR="00265953">
        <w:rPr>
          <w:szCs w:val="24"/>
        </w:rPr>
        <w:t xml:space="preserve">small business lending </w:t>
      </w:r>
      <w:r w:rsidRPr="00750D93">
        <w:rPr>
          <w:szCs w:val="24"/>
        </w:rPr>
        <w:t xml:space="preserve">data to the </w:t>
      </w:r>
      <w:r w:rsidR="0056356C">
        <w:rPr>
          <w:szCs w:val="24"/>
        </w:rPr>
        <w:t>CFPB</w:t>
      </w:r>
      <w:r w:rsidRPr="00750D93">
        <w:rPr>
          <w:szCs w:val="24"/>
        </w:rPr>
        <w:t xml:space="preserve"> supports the need for sufficient time to determine compliance with the requirements of </w:t>
      </w:r>
      <w:r w:rsidR="00D266D2">
        <w:rPr>
          <w:szCs w:val="24"/>
        </w:rPr>
        <w:t>the rule</w:t>
      </w:r>
      <w:r w:rsidRPr="00750D93">
        <w:rPr>
          <w:szCs w:val="24"/>
        </w:rPr>
        <w:t xml:space="preserve">. If the retention period were </w:t>
      </w:r>
      <w:r w:rsidRPr="00750D93">
        <w:rPr>
          <w:rFonts w:eastAsia="Calibri"/>
          <w:szCs w:val="24"/>
        </w:rPr>
        <w:t>shortened</w:t>
      </w:r>
      <w:r w:rsidRPr="00750D93">
        <w:rPr>
          <w:szCs w:val="24"/>
        </w:rPr>
        <w:t xml:space="preserve">, applicants </w:t>
      </w:r>
      <w:r w:rsidR="00C75F8E">
        <w:rPr>
          <w:szCs w:val="24"/>
        </w:rPr>
        <w:t>for credit</w:t>
      </w:r>
      <w:r w:rsidRPr="00750D93">
        <w:rPr>
          <w:szCs w:val="24"/>
        </w:rPr>
        <w:t xml:space="preserve">, and administrative agencies that enforce ECOA, might </w:t>
      </w:r>
      <w:r w:rsidRPr="00750D93">
        <w:rPr>
          <w:rFonts w:eastAsia="Calibri"/>
          <w:szCs w:val="24"/>
        </w:rPr>
        <w:t>find</w:t>
      </w:r>
      <w:r w:rsidRPr="00750D93">
        <w:rPr>
          <w:szCs w:val="24"/>
        </w:rPr>
        <w:t xml:space="preserve"> that the records needed to prove ECOA violations no longer exist.</w:t>
      </w:r>
    </w:p>
    <w:p w:rsidR="00621583" w:rsidRPr="00750D93" w:rsidP="00621583" w14:paraId="6DF82E34" w14:textId="77777777">
      <w:pPr>
        <w:spacing w:after="240" w:line="240" w:lineRule="auto"/>
        <w:rPr>
          <w:szCs w:val="24"/>
        </w:rPr>
      </w:pPr>
      <w:r w:rsidRPr="00750D93">
        <w:rPr>
          <w:szCs w:val="24"/>
        </w:rPr>
        <w:t>The</w:t>
      </w:r>
      <w:r w:rsidRPr="00750D93">
        <w:rPr>
          <w:spacing w:val="-1"/>
          <w:szCs w:val="24"/>
        </w:rPr>
        <w:t xml:space="preserve"> </w:t>
      </w:r>
      <w:r w:rsidRPr="00750D93">
        <w:rPr>
          <w:szCs w:val="24"/>
        </w:rPr>
        <w:t>bur</w:t>
      </w:r>
      <w:r w:rsidRPr="00750D93">
        <w:rPr>
          <w:spacing w:val="-1"/>
          <w:szCs w:val="24"/>
        </w:rPr>
        <w:t>de</w:t>
      </w:r>
      <w:r w:rsidRPr="00750D93">
        <w:rPr>
          <w:szCs w:val="24"/>
        </w:rPr>
        <w:t xml:space="preserve">ns on </w:t>
      </w:r>
      <w:r w:rsidRPr="00750D93">
        <w:rPr>
          <w:rFonts w:eastAsia="Calibri"/>
          <w:szCs w:val="24"/>
        </w:rPr>
        <w:t>r</w:t>
      </w:r>
      <w:r w:rsidRPr="00750D93">
        <w:rPr>
          <w:rFonts w:eastAsia="Calibri"/>
          <w:spacing w:val="-1"/>
          <w:szCs w:val="24"/>
        </w:rPr>
        <w:t>e</w:t>
      </w:r>
      <w:r w:rsidRPr="00750D93">
        <w:rPr>
          <w:rFonts w:eastAsia="Calibri"/>
          <w:szCs w:val="24"/>
        </w:rPr>
        <w:t>spond</w:t>
      </w:r>
      <w:r w:rsidRPr="00750D93">
        <w:rPr>
          <w:rFonts w:eastAsia="Calibri"/>
          <w:spacing w:val="-1"/>
          <w:szCs w:val="24"/>
        </w:rPr>
        <w:t>e</w:t>
      </w:r>
      <w:r w:rsidRPr="00750D93">
        <w:rPr>
          <w:rFonts w:eastAsia="Calibri"/>
          <w:szCs w:val="24"/>
        </w:rPr>
        <w:t>nts</w:t>
      </w:r>
      <w:r w:rsidRPr="00750D93">
        <w:rPr>
          <w:szCs w:val="24"/>
        </w:rPr>
        <w:t xml:space="preserve"> a</w:t>
      </w:r>
      <w:r w:rsidRPr="00750D93">
        <w:rPr>
          <w:spacing w:val="-1"/>
          <w:szCs w:val="24"/>
        </w:rPr>
        <w:t>r</w:t>
      </w:r>
      <w:r w:rsidRPr="00750D93">
        <w:rPr>
          <w:szCs w:val="24"/>
        </w:rPr>
        <w:t>e</w:t>
      </w:r>
      <w:r w:rsidRPr="00750D93">
        <w:rPr>
          <w:spacing w:val="-1"/>
          <w:szCs w:val="24"/>
        </w:rPr>
        <w:t xml:space="preserve"> </w:t>
      </w:r>
      <w:r w:rsidRPr="00750D93">
        <w:rPr>
          <w:szCs w:val="24"/>
        </w:rPr>
        <w:t>the min</w:t>
      </w:r>
      <w:r w:rsidRPr="00750D93">
        <w:rPr>
          <w:spacing w:val="1"/>
          <w:szCs w:val="24"/>
        </w:rPr>
        <w:t>i</w:t>
      </w:r>
      <w:r w:rsidRPr="00750D93">
        <w:rPr>
          <w:szCs w:val="24"/>
        </w:rPr>
        <w:t>mum</w:t>
      </w:r>
      <w:r w:rsidRPr="00750D93">
        <w:rPr>
          <w:spacing w:val="1"/>
          <w:szCs w:val="24"/>
        </w:rPr>
        <w:t xml:space="preserve"> </w:t>
      </w:r>
      <w:r w:rsidRPr="00750D93">
        <w:rPr>
          <w:szCs w:val="24"/>
        </w:rPr>
        <w:t>n</w:t>
      </w:r>
      <w:r w:rsidRPr="00750D93">
        <w:rPr>
          <w:spacing w:val="-1"/>
          <w:szCs w:val="24"/>
        </w:rPr>
        <w:t>ece</w:t>
      </w:r>
      <w:r w:rsidRPr="00750D93">
        <w:rPr>
          <w:szCs w:val="24"/>
        </w:rPr>
        <w:t>ssa</w:t>
      </w:r>
      <w:r w:rsidRPr="00750D93">
        <w:rPr>
          <w:spacing w:val="-1"/>
          <w:szCs w:val="24"/>
        </w:rPr>
        <w:t>r</w:t>
      </w:r>
      <w:r w:rsidRPr="00750D93">
        <w:rPr>
          <w:szCs w:val="24"/>
        </w:rPr>
        <w:t>y to comply</w:t>
      </w:r>
      <w:r w:rsidRPr="00750D93">
        <w:rPr>
          <w:spacing w:val="-7"/>
          <w:szCs w:val="24"/>
        </w:rPr>
        <w:t xml:space="preserve"> </w:t>
      </w:r>
      <w:r w:rsidRPr="00750D93">
        <w:rPr>
          <w:szCs w:val="24"/>
        </w:rPr>
        <w:t xml:space="preserve">with </w:t>
      </w:r>
      <w:r w:rsidRPr="00750D93">
        <w:rPr>
          <w:spacing w:val="1"/>
          <w:szCs w:val="24"/>
        </w:rPr>
        <w:t>t</w:t>
      </w:r>
      <w:r w:rsidRPr="00750D93">
        <w:rPr>
          <w:szCs w:val="24"/>
        </w:rPr>
        <w:t>he</w:t>
      </w:r>
      <w:r w:rsidRPr="00750D93">
        <w:rPr>
          <w:spacing w:val="-1"/>
          <w:szCs w:val="24"/>
        </w:rPr>
        <w:t xml:space="preserve"> </w:t>
      </w:r>
      <w:r w:rsidRPr="00750D93">
        <w:rPr>
          <w:szCs w:val="24"/>
        </w:rPr>
        <w:t>statut</w:t>
      </w:r>
      <w:r w:rsidRPr="00750D93">
        <w:rPr>
          <w:spacing w:val="-1"/>
          <w:szCs w:val="24"/>
        </w:rPr>
        <w:t>e</w:t>
      </w:r>
      <w:r w:rsidRPr="00750D93">
        <w:rPr>
          <w:szCs w:val="24"/>
        </w:rPr>
        <w:t xml:space="preserve">, </w:t>
      </w:r>
      <w:r w:rsidRPr="00750D93">
        <w:rPr>
          <w:spacing w:val="-1"/>
          <w:szCs w:val="24"/>
        </w:rPr>
        <w:t>a</w:t>
      </w:r>
      <w:r w:rsidRPr="00750D93">
        <w:rPr>
          <w:szCs w:val="24"/>
        </w:rPr>
        <w:t>nd to assist bor</w:t>
      </w:r>
      <w:r w:rsidRPr="00750D93">
        <w:rPr>
          <w:spacing w:val="-1"/>
          <w:szCs w:val="24"/>
        </w:rPr>
        <w:t>r</w:t>
      </w:r>
      <w:r w:rsidRPr="00750D93">
        <w:rPr>
          <w:szCs w:val="24"/>
        </w:rPr>
        <w:t>ow</w:t>
      </w:r>
      <w:r w:rsidRPr="00750D93">
        <w:rPr>
          <w:spacing w:val="-1"/>
          <w:szCs w:val="24"/>
        </w:rPr>
        <w:t>e</w:t>
      </w:r>
      <w:r w:rsidRPr="00750D93">
        <w:rPr>
          <w:szCs w:val="24"/>
        </w:rPr>
        <w:t>rs in obtaining</w:t>
      </w:r>
      <w:r w:rsidRPr="00750D93">
        <w:rPr>
          <w:spacing w:val="-2"/>
          <w:szCs w:val="24"/>
        </w:rPr>
        <w:t xml:space="preserve"> </w:t>
      </w:r>
      <w:r w:rsidRPr="00750D93">
        <w:rPr>
          <w:rFonts w:eastAsia="Calibri"/>
          <w:szCs w:val="24"/>
        </w:rPr>
        <w:t>info</w:t>
      </w:r>
      <w:r w:rsidRPr="00750D93">
        <w:rPr>
          <w:rFonts w:eastAsia="Calibri"/>
          <w:spacing w:val="-1"/>
          <w:szCs w:val="24"/>
        </w:rPr>
        <w:t>r</w:t>
      </w:r>
      <w:r w:rsidRPr="00750D93">
        <w:rPr>
          <w:rFonts w:eastAsia="Calibri"/>
          <w:szCs w:val="24"/>
        </w:rPr>
        <w:t>mation</w:t>
      </w:r>
      <w:r w:rsidRPr="00750D93">
        <w:rPr>
          <w:szCs w:val="24"/>
        </w:rPr>
        <w:t xml:space="preserve"> with respect to application decisions.</w:t>
      </w:r>
    </w:p>
    <w:p w:rsidR="002E1443" w:rsidP="002E1443" w14:paraId="72496521" w14:textId="77777777">
      <w:pPr>
        <w:pStyle w:val="Heading1"/>
      </w:pPr>
      <w:r w:rsidRPr="006142C9">
        <w:t>7.</w:t>
      </w:r>
      <w:r w:rsidRPr="00DA4517">
        <w:rPr>
          <w:u w:val="none"/>
        </w:rPr>
        <w:t xml:space="preserve">  </w:t>
      </w:r>
      <w:r w:rsidRPr="00750D93">
        <w:t>Circ</w:t>
      </w:r>
      <w:r w:rsidRPr="00750D93">
        <w:rPr>
          <w:spacing w:val="1"/>
        </w:rPr>
        <w:t>u</w:t>
      </w:r>
      <w:r w:rsidRPr="00750D93">
        <w:rPr>
          <w:spacing w:val="-3"/>
        </w:rPr>
        <w:t>m</w:t>
      </w:r>
      <w:r w:rsidRPr="00750D93">
        <w:t>stances Re</w:t>
      </w:r>
      <w:r w:rsidRPr="00750D93">
        <w:rPr>
          <w:spacing w:val="1"/>
        </w:rPr>
        <w:t>qu</w:t>
      </w:r>
      <w:r w:rsidRPr="00750D93">
        <w:t>iri</w:t>
      </w:r>
      <w:r w:rsidRPr="00750D93">
        <w:rPr>
          <w:spacing w:val="1"/>
        </w:rPr>
        <w:t>n</w:t>
      </w:r>
      <w:r w:rsidRPr="00750D93">
        <w:t xml:space="preserve">g </w:t>
      </w:r>
      <w:r w:rsidRPr="00750D93">
        <w:rPr>
          <w:spacing w:val="1"/>
        </w:rPr>
        <w:t>Sp</w:t>
      </w:r>
      <w:r w:rsidRPr="00750D93">
        <w:t>ecial</w:t>
      </w:r>
      <w:r w:rsidRPr="00750D93">
        <w:rPr>
          <w:spacing w:val="1"/>
        </w:rPr>
        <w:t xml:space="preserve"> </w:t>
      </w:r>
      <w:r w:rsidRPr="00750D93">
        <w:t>I</w:t>
      </w:r>
      <w:r w:rsidRPr="00750D93">
        <w:rPr>
          <w:spacing w:val="1"/>
        </w:rPr>
        <w:t>nf</w:t>
      </w:r>
      <w:r w:rsidRPr="00750D93">
        <w:t>or</w:t>
      </w:r>
      <w:r w:rsidRPr="00750D93">
        <w:rPr>
          <w:spacing w:val="-3"/>
        </w:rPr>
        <w:t>m</w:t>
      </w:r>
      <w:r w:rsidRPr="00750D93">
        <w:t>ation</w:t>
      </w:r>
      <w:r w:rsidRPr="00750D93">
        <w:rPr>
          <w:spacing w:val="1"/>
        </w:rPr>
        <w:t xml:space="preserve"> </w:t>
      </w:r>
      <w:r w:rsidRPr="00750D93">
        <w:t>Collection</w:t>
      </w:r>
    </w:p>
    <w:p w:rsidR="000D7F80" w:rsidP="006142C9" w14:paraId="3A14D26D" w14:textId="77777777">
      <w:pPr>
        <w:ind w:left="0" w:right="82" w:firstLine="0"/>
        <w:rPr>
          <w:u w:val="single"/>
        </w:rPr>
      </w:pPr>
    </w:p>
    <w:p w:rsidR="003843BC" w:rsidRPr="00DA4517" w:rsidP="006142C9" w14:paraId="58009B83" w14:textId="5F14BFF4">
      <w:pPr>
        <w:ind w:left="0" w:right="82" w:firstLine="0"/>
        <w:rPr>
          <w:u w:val="single"/>
        </w:rPr>
      </w:pPr>
      <w:r w:rsidRPr="00DA4517">
        <w:rPr>
          <w:u w:val="single"/>
        </w:rPr>
        <w:t>Subpart A</w:t>
      </w:r>
    </w:p>
    <w:p w:rsidR="003843BC" w:rsidP="001761B2" w14:paraId="797EDF56" w14:textId="77777777">
      <w:pPr>
        <w:ind w:left="-15" w:right="82" w:firstLine="0"/>
      </w:pPr>
    </w:p>
    <w:p w:rsidR="00EA5BC1" w:rsidP="001761B2" w14:paraId="3F18674A" w14:textId="2A5AD3DF">
      <w:pPr>
        <w:ind w:left="-15" w:right="82" w:firstLine="0"/>
      </w:pPr>
      <w:r>
        <w:t xml:space="preserve">The collections of information in these rules are consistent with the applicable guidelines contained in 5 CFR 1320.5(d)(2).  </w:t>
      </w:r>
    </w:p>
    <w:p w:rsidR="003843BC" w:rsidP="001761B2" w14:paraId="39610EEF" w14:textId="16BACF87">
      <w:pPr>
        <w:ind w:left="-15" w:right="82" w:firstLine="0"/>
      </w:pPr>
    </w:p>
    <w:p w:rsidR="00E162E0" w:rsidP="003843BC" w14:paraId="46F59A9F" w14:textId="4E85A71C">
      <w:pPr>
        <w:spacing w:after="240" w:line="240" w:lineRule="auto"/>
      </w:pPr>
      <w:r w:rsidRPr="1D56324E">
        <w:rPr>
          <w:u w:val="single"/>
        </w:rPr>
        <w:t>Subpart B</w:t>
      </w:r>
      <w:r>
        <w:t xml:space="preserve"> </w:t>
      </w:r>
    </w:p>
    <w:p w:rsidR="00A82ACD" w:rsidRPr="001860A7" w:rsidP="00A82ACD" w14:paraId="4747F7D0" w14:textId="7C0A9B72">
      <w:pPr>
        <w:rPr>
          <w:color w:val="000000" w:themeColor="text1"/>
          <w:szCs w:val="24"/>
        </w:rPr>
      </w:pPr>
      <w:r>
        <w:rPr>
          <w:szCs w:val="24"/>
        </w:rPr>
        <w:t xml:space="preserve">Section </w:t>
      </w:r>
      <w:r w:rsidRPr="00750D93">
        <w:rPr>
          <w:szCs w:val="24"/>
        </w:rPr>
        <w:t>1002.107(a) require</w:t>
      </w:r>
      <w:r>
        <w:rPr>
          <w:szCs w:val="24"/>
        </w:rPr>
        <w:t>s</w:t>
      </w:r>
      <w:r w:rsidRPr="00750D93">
        <w:rPr>
          <w:szCs w:val="24"/>
        </w:rPr>
        <w:t xml:space="preserve"> respondents to submit potentially confidential information.</w:t>
      </w:r>
      <w:r w:rsidR="009E37D2">
        <w:rPr>
          <w:szCs w:val="24"/>
        </w:rPr>
        <w:t xml:space="preserve">  </w:t>
      </w:r>
      <w:r w:rsidRPr="000343D3" w:rsidR="009E37D2">
        <w:rPr>
          <w:szCs w:val="24"/>
        </w:rPr>
        <w:t xml:space="preserve">Under ECOA section 704B(e)(4), Congress provided the </w:t>
      </w:r>
      <w:r w:rsidR="009E37D2">
        <w:rPr>
          <w:szCs w:val="24"/>
        </w:rPr>
        <w:t>CFPB</w:t>
      </w:r>
      <w:r w:rsidRPr="000343D3" w:rsidR="009E37D2">
        <w:rPr>
          <w:szCs w:val="24"/>
        </w:rPr>
        <w:t xml:space="preserve"> with broad discretion to modify or delete data prior to public disclosure to advance privacy interests</w:t>
      </w:r>
      <w:r w:rsidR="007F5873">
        <w:rPr>
          <w:szCs w:val="24"/>
        </w:rPr>
        <w:t xml:space="preserve">, and </w:t>
      </w:r>
      <w:r w:rsidR="004C73D5">
        <w:rPr>
          <w:szCs w:val="24"/>
        </w:rPr>
        <w:t>t</w:t>
      </w:r>
      <w:r w:rsidRPr="00750D93">
        <w:rPr>
          <w:szCs w:val="24"/>
        </w:rPr>
        <w:t xml:space="preserve">he </w:t>
      </w:r>
      <w:r w:rsidR="0056356C">
        <w:rPr>
          <w:szCs w:val="24"/>
        </w:rPr>
        <w:t>CFPB</w:t>
      </w:r>
      <w:r w:rsidRPr="00750D93">
        <w:rPr>
          <w:szCs w:val="24"/>
        </w:rPr>
        <w:t xml:space="preserve"> is </w:t>
      </w:r>
      <w:r w:rsidR="00625F52">
        <w:rPr>
          <w:szCs w:val="24"/>
        </w:rPr>
        <w:t xml:space="preserve">considering </w:t>
      </w:r>
      <w:r w:rsidR="007F5873">
        <w:rPr>
          <w:szCs w:val="24"/>
        </w:rPr>
        <w:t>how it might implement this discretion in the future</w:t>
      </w:r>
      <w:r w:rsidR="00024477">
        <w:rPr>
          <w:szCs w:val="24"/>
        </w:rPr>
        <w:t xml:space="preserve">. </w:t>
      </w:r>
      <w:r w:rsidR="00FE4B93">
        <w:rPr>
          <w:szCs w:val="24"/>
        </w:rPr>
        <w:t xml:space="preserve"> </w:t>
      </w:r>
      <w:r w:rsidRPr="001860A7">
        <w:rPr>
          <w:szCs w:val="24"/>
        </w:rPr>
        <w:t xml:space="preserve">The data that are not modified or deleted will be made available to the public and are subject to this rule’s recordkeeping requirements. </w:t>
      </w:r>
      <w:r w:rsidRPr="001860A7">
        <w:rPr>
          <w:color w:val="000000" w:themeColor="text1"/>
          <w:szCs w:val="24"/>
        </w:rPr>
        <w:t xml:space="preserve">The rest of the data will be considered confidential if the information: </w:t>
      </w:r>
      <w:r w:rsidR="00E75451">
        <w:rPr>
          <w:color w:val="000000" w:themeColor="text1"/>
          <w:szCs w:val="24"/>
        </w:rPr>
        <w:br/>
      </w:r>
    </w:p>
    <w:p w:rsidR="00A82ACD" w:rsidRPr="001860A7" w:rsidP="00A82ACD" w14:paraId="2EFAC4C0" w14:textId="77777777">
      <w:pPr>
        <w:pStyle w:val="ListParagraph"/>
        <w:numPr>
          <w:ilvl w:val="0"/>
          <w:numId w:val="9"/>
        </w:numPr>
        <w:spacing w:after="240" w:line="240" w:lineRule="auto"/>
        <w:ind w:left="1080"/>
        <w:contextualSpacing w:val="0"/>
        <w:rPr>
          <w:color w:val="000000" w:themeColor="text1"/>
          <w:szCs w:val="24"/>
        </w:rPr>
      </w:pPr>
      <w:r w:rsidRPr="001860A7">
        <w:rPr>
          <w:color w:val="000000" w:themeColor="text1"/>
          <w:szCs w:val="24"/>
        </w:rPr>
        <w:t>Identifies an</w:t>
      </w:r>
      <w:r w:rsidRPr="001860A7">
        <w:rPr>
          <w:szCs w:val="24"/>
        </w:rPr>
        <w:t xml:space="preserve">y applicants or natural </w:t>
      </w:r>
      <w:r w:rsidRPr="001860A7">
        <w:rPr>
          <w:color w:val="000000" w:themeColor="text1"/>
          <w:szCs w:val="24"/>
        </w:rPr>
        <w:t>persons</w:t>
      </w:r>
      <w:r w:rsidRPr="001860A7">
        <w:rPr>
          <w:szCs w:val="24"/>
        </w:rPr>
        <w:t xml:space="preserve"> who might not be applicants (</w:t>
      </w:r>
      <w:r w:rsidRPr="001860A7">
        <w:rPr>
          <w:i/>
          <w:szCs w:val="24"/>
        </w:rPr>
        <w:t>e.g.</w:t>
      </w:r>
      <w:r w:rsidRPr="001860A7">
        <w:rPr>
          <w:szCs w:val="24"/>
        </w:rPr>
        <w:t>, owners of a business where a legal entity is the applicant); or</w:t>
      </w:r>
    </w:p>
    <w:p w:rsidR="00A82ACD" w:rsidRPr="001860A7" w:rsidP="00A82ACD" w14:paraId="655AB996" w14:textId="07C410FB">
      <w:pPr>
        <w:pStyle w:val="ListParagraph"/>
        <w:numPr>
          <w:ilvl w:val="0"/>
          <w:numId w:val="9"/>
        </w:numPr>
        <w:spacing w:after="240" w:line="240" w:lineRule="auto"/>
        <w:ind w:left="1080"/>
        <w:contextualSpacing w:val="0"/>
        <w:rPr>
          <w:color w:val="000000" w:themeColor="text1"/>
          <w:szCs w:val="24"/>
        </w:rPr>
      </w:pPr>
      <w:r w:rsidRPr="001860A7">
        <w:rPr>
          <w:color w:val="000000" w:themeColor="text1"/>
          <w:szCs w:val="24"/>
        </w:rPr>
        <w:t>Implicates the relevant privacy interests of applicants, related natural persons, or financial institutions</w:t>
      </w:r>
      <w:r w:rsidRPr="001860A7">
        <w:rPr>
          <w:szCs w:val="24"/>
        </w:rPr>
        <w:t>.</w:t>
      </w:r>
    </w:p>
    <w:p w:rsidR="009C4879" w:rsidP="00F46636" w14:paraId="4FCE7BB5" w14:textId="40C84783">
      <w:pPr>
        <w:pStyle w:val="Heading1"/>
      </w:pPr>
      <w:r w:rsidRPr="00F03271">
        <w:t>8.</w:t>
      </w:r>
      <w:r w:rsidRPr="00F03271">
        <w:rPr>
          <w:b w:val="0"/>
        </w:rPr>
        <w:t xml:space="preserve">  </w:t>
      </w:r>
      <w:r w:rsidRPr="00750D93" w:rsidR="00963F13">
        <w:t>Cons</w:t>
      </w:r>
      <w:r w:rsidRPr="00750D93" w:rsidR="00963F13">
        <w:rPr>
          <w:spacing w:val="1"/>
        </w:rPr>
        <w:t>u</w:t>
      </w:r>
      <w:r w:rsidRPr="00750D93" w:rsidR="00963F13">
        <w:t>ltation</w:t>
      </w:r>
      <w:r w:rsidRPr="00750D93" w:rsidR="00963F13">
        <w:rPr>
          <w:spacing w:val="1"/>
        </w:rPr>
        <w:t xml:space="preserve"> </w:t>
      </w:r>
      <w:r w:rsidRPr="00750D93" w:rsidR="00963F13">
        <w:t>O</w:t>
      </w:r>
      <w:r w:rsidRPr="00750D93" w:rsidR="00963F13">
        <w:rPr>
          <w:spacing w:val="1"/>
        </w:rPr>
        <w:t>u</w:t>
      </w:r>
      <w:r w:rsidRPr="00750D93" w:rsidR="00963F13">
        <w:t>tsi</w:t>
      </w:r>
      <w:r w:rsidRPr="00750D93" w:rsidR="00963F13">
        <w:rPr>
          <w:spacing w:val="1"/>
        </w:rPr>
        <w:t>d</w:t>
      </w:r>
      <w:r w:rsidRPr="00750D93" w:rsidR="00963F13">
        <w:t>e t</w:t>
      </w:r>
      <w:r w:rsidRPr="00750D93" w:rsidR="00963F13">
        <w:rPr>
          <w:spacing w:val="1"/>
        </w:rPr>
        <w:t>h</w:t>
      </w:r>
      <w:r w:rsidRPr="00750D93" w:rsidR="00963F13">
        <w:t>e Age</w:t>
      </w:r>
      <w:r w:rsidRPr="00750D93" w:rsidR="00963F13">
        <w:rPr>
          <w:spacing w:val="1"/>
        </w:rPr>
        <w:t>n</w:t>
      </w:r>
      <w:r w:rsidRPr="00750D93" w:rsidR="00963F13">
        <w:t>c</w:t>
      </w:r>
      <w:r w:rsidR="00F46636">
        <w:t>ey</w:t>
      </w:r>
    </w:p>
    <w:p w:rsidR="00F46636" w:rsidRPr="00F46636" w:rsidP="00F46636" w14:paraId="7A04E512" w14:textId="77777777"/>
    <w:p w:rsidR="009C4879" w:rsidRPr="00BF6D43" w:rsidP="00133434" w14:paraId="5D48DAD7" w14:textId="59B99344">
      <w:pPr>
        <w:rPr>
          <w:bCs/>
        </w:rPr>
      </w:pPr>
      <w:r>
        <w:rPr>
          <w:bCs/>
        </w:rPr>
        <w:t>On October 8, 2021, t</w:t>
      </w:r>
      <w:r w:rsidRPr="009C4879">
        <w:rPr>
          <w:bCs/>
        </w:rPr>
        <w:t xml:space="preserve">he </w:t>
      </w:r>
      <w:r w:rsidR="0056356C">
        <w:rPr>
          <w:szCs w:val="24"/>
        </w:rPr>
        <w:t>CFPB</w:t>
      </w:r>
      <w:r w:rsidRPr="009C4879">
        <w:rPr>
          <w:bCs/>
        </w:rPr>
        <w:t xml:space="preserve"> published </w:t>
      </w:r>
      <w:r w:rsidR="0013342A">
        <w:rPr>
          <w:bCs/>
        </w:rPr>
        <w:t xml:space="preserve">its </w:t>
      </w:r>
      <w:r w:rsidRPr="009C4879">
        <w:rPr>
          <w:bCs/>
        </w:rPr>
        <w:t xml:space="preserve">proposed rule </w:t>
      </w:r>
      <w:r w:rsidR="0013342A">
        <w:rPr>
          <w:bCs/>
        </w:rPr>
        <w:t xml:space="preserve">to adopt </w:t>
      </w:r>
      <w:r>
        <w:rPr>
          <w:bCs/>
        </w:rPr>
        <w:t xml:space="preserve">subpart B </w:t>
      </w:r>
      <w:r w:rsidRPr="009C4879">
        <w:rPr>
          <w:bCs/>
        </w:rPr>
        <w:t xml:space="preserve">in the </w:t>
      </w:r>
      <w:r w:rsidRPr="00690C66">
        <w:rPr>
          <w:bCs/>
          <w:i/>
          <w:iCs/>
        </w:rPr>
        <w:t>Federal Register</w:t>
      </w:r>
      <w:r w:rsidRPr="009C4879">
        <w:rPr>
          <w:bCs/>
        </w:rPr>
        <w:t xml:space="preserve"> allowing the public 90 days to comment.</w:t>
      </w:r>
      <w:r>
        <w:rPr>
          <w:rStyle w:val="FootnoteReference"/>
          <w:bCs/>
        </w:rPr>
        <w:footnoteReference w:id="4"/>
      </w:r>
      <w:r w:rsidRPr="009C4879">
        <w:rPr>
          <w:bCs/>
        </w:rPr>
        <w:t xml:space="preserve">  Additionally, and in accordance with 5 CFR 1320.5(a)(1)(iv), the </w:t>
      </w:r>
      <w:r w:rsidR="0056356C">
        <w:rPr>
          <w:szCs w:val="24"/>
        </w:rPr>
        <w:t>CFPB</w:t>
      </w:r>
      <w:r w:rsidRPr="009C4879">
        <w:rPr>
          <w:bCs/>
        </w:rPr>
        <w:t xml:space="preserve"> </w:t>
      </w:r>
      <w:r>
        <w:rPr>
          <w:bCs/>
        </w:rPr>
        <w:t xml:space="preserve">has </w:t>
      </w:r>
      <w:r w:rsidRPr="009C4879">
        <w:rPr>
          <w:bCs/>
        </w:rPr>
        <w:t>publish</w:t>
      </w:r>
      <w:r>
        <w:rPr>
          <w:bCs/>
        </w:rPr>
        <w:t>ed</w:t>
      </w:r>
      <w:r w:rsidRPr="009C4879">
        <w:rPr>
          <w:bCs/>
        </w:rPr>
        <w:t xml:space="preserve"> a notice in the </w:t>
      </w:r>
      <w:r w:rsidRPr="000E16D9">
        <w:rPr>
          <w:bCs/>
          <w:i/>
          <w:iCs/>
        </w:rPr>
        <w:t>Federal Register</w:t>
      </w:r>
      <w:r w:rsidRPr="009C4879">
        <w:rPr>
          <w:bCs/>
        </w:rPr>
        <w:t xml:space="preserve"> announcing the final rule.</w:t>
      </w:r>
      <w:r>
        <w:rPr>
          <w:rStyle w:val="FootnoteReference"/>
          <w:bCs/>
        </w:rPr>
        <w:footnoteReference w:id="5"/>
      </w:r>
    </w:p>
    <w:p w:rsidR="00EA5BC1" w14:paraId="28FA49DA" w14:textId="3593ADDE">
      <w:pPr>
        <w:spacing w:after="0" w:line="259" w:lineRule="auto"/>
        <w:ind w:left="0" w:firstLine="0"/>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p>
    <w:p w:rsidR="009346F0" w:rsidRPr="006142C9" w:rsidP="00AC6182" w14:paraId="3A1CC76F" w14:textId="7ABFC04E">
      <w:pPr>
        <w:pStyle w:val="Heading1"/>
      </w:pPr>
      <w:r w:rsidRPr="006142C9">
        <w:t>9.</w:t>
      </w:r>
      <w:r w:rsidRPr="00DA4517">
        <w:rPr>
          <w:u w:val="none"/>
        </w:rPr>
        <w:t xml:space="preserve">  </w:t>
      </w:r>
      <w:r w:rsidRPr="00750D93" w:rsidR="00AC6182">
        <w:rPr>
          <w:spacing w:val="-3"/>
        </w:rPr>
        <w:t>P</w:t>
      </w:r>
      <w:r w:rsidRPr="00750D93" w:rsidR="00AC6182">
        <w:t>ay</w:t>
      </w:r>
      <w:r w:rsidRPr="00750D93" w:rsidR="00AC6182">
        <w:rPr>
          <w:spacing w:val="-3"/>
        </w:rPr>
        <w:t>m</w:t>
      </w:r>
      <w:r w:rsidRPr="00750D93" w:rsidR="00AC6182">
        <w:t>e</w:t>
      </w:r>
      <w:r w:rsidRPr="00750D93" w:rsidR="00AC6182">
        <w:rPr>
          <w:spacing w:val="1"/>
        </w:rPr>
        <w:t>n</w:t>
      </w:r>
      <w:r w:rsidRPr="00750D93" w:rsidR="00AC6182">
        <w:t xml:space="preserve">ts or </w:t>
      </w:r>
      <w:r w:rsidRPr="00750D93" w:rsidR="00AC6182">
        <w:rPr>
          <w:spacing w:val="-2"/>
        </w:rPr>
        <w:t>G</w:t>
      </w:r>
      <w:r w:rsidRPr="00750D93" w:rsidR="00AC6182">
        <w:t>i</w:t>
      </w:r>
      <w:r w:rsidRPr="00750D93" w:rsidR="00AC6182">
        <w:rPr>
          <w:spacing w:val="2"/>
        </w:rPr>
        <w:t>f</w:t>
      </w:r>
      <w:r w:rsidRPr="00750D93" w:rsidR="00AC6182">
        <w:t>ts to Res</w:t>
      </w:r>
      <w:r w:rsidRPr="00750D93" w:rsidR="00AC6182">
        <w:rPr>
          <w:spacing w:val="1"/>
        </w:rPr>
        <w:t>p</w:t>
      </w:r>
      <w:r w:rsidRPr="00750D93" w:rsidR="00AC6182">
        <w:t>o</w:t>
      </w:r>
      <w:r w:rsidRPr="00750D93" w:rsidR="00AC6182">
        <w:rPr>
          <w:spacing w:val="1"/>
        </w:rPr>
        <w:t>nd</w:t>
      </w:r>
      <w:r w:rsidRPr="00750D93" w:rsidR="00AC6182">
        <w:t>e</w:t>
      </w:r>
      <w:r w:rsidRPr="00750D93" w:rsidR="00AC6182">
        <w:rPr>
          <w:spacing w:val="1"/>
        </w:rPr>
        <w:t>n</w:t>
      </w:r>
      <w:r w:rsidRPr="00750D93" w:rsidR="00AC6182">
        <w:t>ts</w:t>
      </w:r>
    </w:p>
    <w:p w:rsidR="00EA5BC1" w:rsidP="009346F0" w14:paraId="247672B5" w14:textId="7D1BBFAB">
      <w:pPr>
        <w:spacing w:after="0" w:line="259" w:lineRule="auto"/>
        <w:ind w:left="-5"/>
      </w:pPr>
      <w:r>
        <w:t xml:space="preserve"> </w:t>
      </w:r>
    </w:p>
    <w:p w:rsidR="00EA5BC1" w:rsidP="001761B2" w14:paraId="6F1B4ADD" w14:textId="77777777">
      <w:r>
        <w:t xml:space="preserve">No payments or gifts are provided to respondents. </w:t>
      </w:r>
    </w:p>
    <w:p w:rsidR="00EA5BC1" w14:paraId="0513FA92" w14:textId="77777777">
      <w:pPr>
        <w:spacing w:after="0" w:line="259" w:lineRule="auto"/>
        <w:ind w:left="0" w:firstLine="0"/>
      </w:pPr>
      <w:r>
        <w:t xml:space="preserve"> </w:t>
      </w:r>
    </w:p>
    <w:p w:rsidR="009346F0" w:rsidRPr="00DA4517" w:rsidP="00DA4517" w14:paraId="5D88ACA6" w14:textId="7F84D3A9">
      <w:pPr>
        <w:pStyle w:val="Heading1"/>
        <w:rPr>
          <w:u w:val="none"/>
        </w:rPr>
      </w:pPr>
      <w:r w:rsidRPr="006142C9">
        <w:t>10.</w:t>
      </w:r>
      <w:r w:rsidRPr="00DA4517">
        <w:rPr>
          <w:u w:val="none"/>
        </w:rPr>
        <w:t xml:space="preserve"> </w:t>
      </w:r>
      <w:r w:rsidRPr="00750D93" w:rsidR="00101051">
        <w:t>Ass</w:t>
      </w:r>
      <w:r w:rsidRPr="00750D93" w:rsidR="00101051">
        <w:rPr>
          <w:spacing w:val="1"/>
        </w:rPr>
        <w:t>u</w:t>
      </w:r>
      <w:r w:rsidRPr="00750D93" w:rsidR="00101051">
        <w:t>ra</w:t>
      </w:r>
      <w:r w:rsidRPr="00750D93" w:rsidR="00101051">
        <w:rPr>
          <w:spacing w:val="1"/>
        </w:rPr>
        <w:t>n</w:t>
      </w:r>
      <w:r w:rsidRPr="00750D93" w:rsidR="00101051">
        <w:t>ces of</w:t>
      </w:r>
      <w:r w:rsidRPr="00750D93" w:rsidR="00101051">
        <w:rPr>
          <w:spacing w:val="2"/>
        </w:rPr>
        <w:t xml:space="preserve"> </w:t>
      </w:r>
      <w:r w:rsidRPr="00750D93" w:rsidR="00101051">
        <w:t>Con</w:t>
      </w:r>
      <w:r w:rsidRPr="00750D93" w:rsidR="00101051">
        <w:rPr>
          <w:spacing w:val="2"/>
        </w:rPr>
        <w:t>f</w:t>
      </w:r>
      <w:r w:rsidRPr="00750D93" w:rsidR="00101051">
        <w:t>i</w:t>
      </w:r>
      <w:r w:rsidRPr="00750D93" w:rsidR="00101051">
        <w:rPr>
          <w:spacing w:val="1"/>
        </w:rPr>
        <w:t>d</w:t>
      </w:r>
      <w:r w:rsidRPr="00750D93" w:rsidR="00101051">
        <w:t>e</w:t>
      </w:r>
      <w:r w:rsidRPr="00750D93" w:rsidR="00101051">
        <w:rPr>
          <w:spacing w:val="1"/>
        </w:rPr>
        <w:t>n</w:t>
      </w:r>
      <w:r w:rsidRPr="00750D93" w:rsidR="00101051">
        <w:t>tiality</w:t>
      </w:r>
    </w:p>
    <w:p w:rsidR="00EA5BC1" w:rsidP="00DA4517" w14:paraId="5D6D8AA8" w14:textId="28033CDD">
      <w:r>
        <w:t xml:space="preserve"> </w:t>
      </w:r>
    </w:p>
    <w:p w:rsidR="008D68AA" w:rsidRPr="00DA4517" w:rsidP="00C242C0" w14:paraId="07D87A47" w14:textId="21817B25">
      <w:pPr>
        <w:spacing w:after="240" w:line="240" w:lineRule="auto"/>
        <w:rPr>
          <w:szCs w:val="24"/>
          <w:u w:val="single"/>
        </w:rPr>
      </w:pPr>
      <w:r w:rsidRPr="00DA4517">
        <w:rPr>
          <w:szCs w:val="24"/>
          <w:u w:val="single"/>
        </w:rPr>
        <w:t>Subpart A</w:t>
      </w:r>
    </w:p>
    <w:p w:rsidR="00C242C0" w:rsidRPr="00750D93" w:rsidP="00C242C0" w14:paraId="72F47FB5" w14:textId="4B1805F4">
      <w:pPr>
        <w:spacing w:after="240" w:line="240" w:lineRule="auto"/>
        <w:rPr>
          <w:szCs w:val="24"/>
        </w:rPr>
      </w:pPr>
      <w:r w:rsidRPr="00C242C0">
        <w:rPr>
          <w:szCs w:val="24"/>
        </w:rPr>
        <w:t>Some r</w:t>
      </w:r>
      <w:r w:rsidRPr="00750D93">
        <w:rPr>
          <w:szCs w:val="24"/>
        </w:rPr>
        <w:t xml:space="preserve">ecordkeeping requirements contain private information about credit applicants. </w:t>
      </w:r>
      <w:r w:rsidR="00FE4B93">
        <w:rPr>
          <w:szCs w:val="24"/>
        </w:rPr>
        <w:t xml:space="preserve"> </w:t>
      </w:r>
      <w:r w:rsidRPr="00750D93">
        <w:rPr>
          <w:szCs w:val="24"/>
        </w:rPr>
        <w:t>Such information is protected by the Right to Financial Privacy Act, 12 U.S.C. 3401 et seq</w:t>
      </w:r>
      <w:r w:rsidR="0087742A">
        <w:rPr>
          <w:szCs w:val="24"/>
        </w:rPr>
        <w:t xml:space="preserve">. </w:t>
      </w:r>
      <w:r w:rsidR="0013342A">
        <w:rPr>
          <w:szCs w:val="24"/>
        </w:rPr>
        <w:t>S</w:t>
      </w:r>
      <w:r w:rsidR="0087742A">
        <w:rPr>
          <w:szCs w:val="24"/>
        </w:rPr>
        <w:t xml:space="preserve">ubpart A </w:t>
      </w:r>
      <w:r w:rsidR="0013342A">
        <w:rPr>
          <w:szCs w:val="24"/>
        </w:rPr>
        <w:t xml:space="preserve">does not </w:t>
      </w:r>
      <w:r w:rsidRPr="00750D93" w:rsidR="0087742A">
        <w:rPr>
          <w:szCs w:val="24"/>
        </w:rPr>
        <w:t xml:space="preserve">mandate information collection by the </w:t>
      </w:r>
      <w:r w:rsidR="00167BBF">
        <w:rPr>
          <w:szCs w:val="24"/>
        </w:rPr>
        <w:t>CFPB</w:t>
      </w:r>
      <w:r w:rsidRPr="00750D93" w:rsidR="0087742A">
        <w:rPr>
          <w:szCs w:val="24"/>
        </w:rPr>
        <w:t>, this information is used exclusively to ensure compliance with ECOA and that creditors are not discriminating against applicants.</w:t>
      </w:r>
    </w:p>
    <w:p w:rsidR="008D68AA" w:rsidP="00C242C0" w14:paraId="5448E1D7" w14:textId="07C43C8B">
      <w:pPr>
        <w:spacing w:after="240" w:line="240" w:lineRule="auto"/>
        <w:rPr>
          <w:szCs w:val="24"/>
        </w:rPr>
      </w:pPr>
      <w:r w:rsidRPr="00750D93">
        <w:rPr>
          <w:szCs w:val="24"/>
        </w:rPr>
        <w:t xml:space="preserve">To the extent that </w:t>
      </w:r>
      <w:r w:rsidRPr="00750D93">
        <w:rPr>
          <w:rFonts w:eastAsia="Calibri"/>
          <w:szCs w:val="24"/>
        </w:rPr>
        <w:t>information</w:t>
      </w:r>
      <w:r w:rsidRPr="00750D93">
        <w:rPr>
          <w:szCs w:val="24"/>
        </w:rPr>
        <w:t xml:space="preserve"> covered by a recordkeeping requirement is </w:t>
      </w:r>
      <w:r>
        <w:rPr>
          <w:szCs w:val="24"/>
        </w:rPr>
        <w:t>“</w:t>
      </w:r>
      <w:r w:rsidRPr="00750D93">
        <w:rPr>
          <w:szCs w:val="24"/>
        </w:rPr>
        <w:t>confidential information</w:t>
      </w:r>
      <w:r>
        <w:rPr>
          <w:szCs w:val="24"/>
        </w:rPr>
        <w:t>”</w:t>
      </w:r>
      <w:r w:rsidRPr="00750D93">
        <w:rPr>
          <w:szCs w:val="24"/>
        </w:rPr>
        <w:t xml:space="preserve"> pursuant to 12 CFR 1070.2(f), the confidentiality provisions of the </w:t>
      </w:r>
      <w:r w:rsidR="0056356C">
        <w:rPr>
          <w:szCs w:val="24"/>
        </w:rPr>
        <w:t>CFPB</w:t>
      </w:r>
      <w:r w:rsidRPr="00750D93">
        <w:rPr>
          <w:szCs w:val="24"/>
        </w:rPr>
        <w:t>’s rules on Disclosure of Records and Information, 12 CFR Part 1070, would apply.</w:t>
      </w:r>
    </w:p>
    <w:p w:rsidR="008D68AA" w:rsidRPr="006142C9" w:rsidP="002A1F52" w14:paraId="3A853B22" w14:textId="77777777">
      <w:pPr>
        <w:keepNext/>
        <w:spacing w:after="240" w:line="240" w:lineRule="auto"/>
        <w:ind w:left="14" w:hanging="14"/>
        <w:rPr>
          <w:szCs w:val="24"/>
          <w:u w:val="single"/>
        </w:rPr>
      </w:pPr>
      <w:r w:rsidRPr="006142C9">
        <w:rPr>
          <w:szCs w:val="24"/>
          <w:u w:val="single"/>
        </w:rPr>
        <w:t>Subpart B</w:t>
      </w:r>
    </w:p>
    <w:p w:rsidR="00EA5BC1" w:rsidRPr="00DA4517" w:rsidP="008237F9" w14:paraId="0D0483F0" w14:textId="73A943A5">
      <w:pPr>
        <w:spacing w:after="240" w:line="240" w:lineRule="auto"/>
        <w:rPr>
          <w:szCs w:val="24"/>
        </w:rPr>
      </w:pPr>
      <w:r w:rsidRPr="00750D93">
        <w:rPr>
          <w:szCs w:val="24"/>
        </w:rPr>
        <w:t xml:space="preserve">Some of the information collection and recordkeeping requirements contain private information about the small </w:t>
      </w:r>
      <w:r>
        <w:rPr>
          <w:szCs w:val="24"/>
        </w:rPr>
        <w:t xml:space="preserve">business </w:t>
      </w:r>
      <w:r w:rsidRPr="00750D93">
        <w:rPr>
          <w:szCs w:val="24"/>
        </w:rPr>
        <w:t>applicants for credit.</w:t>
      </w:r>
      <w:r>
        <w:rPr>
          <w:szCs w:val="24"/>
        </w:rPr>
        <w:t xml:space="preserve"> </w:t>
      </w:r>
      <w:r w:rsidR="00FE4B93">
        <w:rPr>
          <w:szCs w:val="24"/>
        </w:rPr>
        <w:t xml:space="preserve"> </w:t>
      </w:r>
      <w:r w:rsidR="00532028">
        <w:rPr>
          <w:szCs w:val="24"/>
        </w:rPr>
        <w:t xml:space="preserve">Section </w:t>
      </w:r>
      <w:r w:rsidRPr="00750D93">
        <w:rPr>
          <w:szCs w:val="24"/>
        </w:rPr>
        <w:t>1002.111(c) require</w:t>
      </w:r>
      <w:r w:rsidR="00544684">
        <w:rPr>
          <w:szCs w:val="24"/>
        </w:rPr>
        <w:t>s</w:t>
      </w:r>
      <w:r w:rsidRPr="00750D93">
        <w:rPr>
          <w:szCs w:val="24"/>
        </w:rPr>
        <w:t xml:space="preserve"> that, in reporting </w:t>
      </w:r>
      <w:r w:rsidR="00FD3D55">
        <w:rPr>
          <w:szCs w:val="24"/>
        </w:rPr>
        <w:t xml:space="preserve">small business lending </w:t>
      </w:r>
      <w:r w:rsidRPr="00750D93">
        <w:rPr>
          <w:szCs w:val="24"/>
        </w:rPr>
        <w:t xml:space="preserve">data </w:t>
      </w:r>
      <w:r w:rsidR="00FD3D55">
        <w:rPr>
          <w:szCs w:val="24"/>
        </w:rPr>
        <w:t xml:space="preserve">to the CFPB </w:t>
      </w:r>
      <w:r w:rsidRPr="00750D93">
        <w:rPr>
          <w:szCs w:val="24"/>
        </w:rPr>
        <w:t xml:space="preserve">pursuant to </w:t>
      </w:r>
      <w:r w:rsidR="007967B2">
        <w:rPr>
          <w:szCs w:val="24"/>
        </w:rPr>
        <w:t>section</w:t>
      </w:r>
      <w:r>
        <w:rPr>
          <w:szCs w:val="24"/>
        </w:rPr>
        <w:t> </w:t>
      </w:r>
      <w:r w:rsidRPr="00750D93">
        <w:rPr>
          <w:szCs w:val="24"/>
        </w:rPr>
        <w:t xml:space="preserve">1002.109, a financial institution </w:t>
      </w:r>
      <w:r w:rsidR="006A2B7A">
        <w:rPr>
          <w:szCs w:val="24"/>
        </w:rPr>
        <w:t>can</w:t>
      </w:r>
      <w:r w:rsidRPr="00750D93">
        <w:rPr>
          <w:szCs w:val="24"/>
        </w:rPr>
        <w:t xml:space="preserve">not include </w:t>
      </w:r>
      <w:r w:rsidRPr="005131C0" w:rsidR="008237F9">
        <w:rPr>
          <w:szCs w:val="24"/>
        </w:rPr>
        <w:t xml:space="preserve">any name, specific address, telephone number, email address, or any </w:t>
      </w:r>
      <w:r w:rsidR="008237F9">
        <w:rPr>
          <w:szCs w:val="24"/>
        </w:rPr>
        <w:t xml:space="preserve">other </w:t>
      </w:r>
      <w:r w:rsidRPr="00750D93">
        <w:rPr>
          <w:szCs w:val="24"/>
        </w:rPr>
        <w:t xml:space="preserve">personally identifiable information concerning any individual who is, or </w:t>
      </w:r>
      <w:r w:rsidRPr="00750D93">
        <w:rPr>
          <w:szCs w:val="24"/>
        </w:rPr>
        <w:t>is connected with</w:t>
      </w:r>
      <w:r w:rsidRPr="00750D93">
        <w:rPr>
          <w:szCs w:val="24"/>
        </w:rPr>
        <w:t xml:space="preserve">, an applicant, other than as required pursuant to </w:t>
      </w:r>
      <w:r w:rsidR="007967B2">
        <w:rPr>
          <w:color w:val="000000" w:themeColor="text1"/>
          <w:szCs w:val="24"/>
        </w:rPr>
        <w:t>section</w:t>
      </w:r>
      <w:r>
        <w:rPr>
          <w:color w:val="000000" w:themeColor="text1"/>
          <w:szCs w:val="24"/>
        </w:rPr>
        <w:t> </w:t>
      </w:r>
      <w:r w:rsidRPr="00750D93">
        <w:rPr>
          <w:color w:val="000000" w:themeColor="text1"/>
          <w:szCs w:val="24"/>
        </w:rPr>
        <w:t xml:space="preserve">1002.107 or </w:t>
      </w:r>
      <w:r w:rsidR="007967B2">
        <w:rPr>
          <w:color w:val="000000" w:themeColor="text1"/>
          <w:szCs w:val="24"/>
        </w:rPr>
        <w:t>section</w:t>
      </w:r>
      <w:r>
        <w:rPr>
          <w:color w:val="000000" w:themeColor="text1"/>
          <w:szCs w:val="24"/>
        </w:rPr>
        <w:t> </w:t>
      </w:r>
      <w:r w:rsidRPr="00750D93">
        <w:rPr>
          <w:color w:val="000000" w:themeColor="text1"/>
          <w:szCs w:val="24"/>
        </w:rPr>
        <w:t>1002.111(b)</w:t>
      </w:r>
      <w:r w:rsidRPr="00750D93">
        <w:rPr>
          <w:szCs w:val="24"/>
        </w:rPr>
        <w:t>.</w:t>
      </w:r>
      <w:r w:rsidRPr="00750D93" w:rsidR="00C242C0">
        <w:rPr>
          <w:szCs w:val="24"/>
        </w:rPr>
        <w:t xml:space="preserve"> </w:t>
      </w:r>
      <w:r w:rsidR="009346F0">
        <w:rPr>
          <w:b/>
        </w:rPr>
        <w:t xml:space="preserve"> </w:t>
      </w:r>
      <w:r w:rsidRPr="00AF3EE9" w:rsidR="00ED5B0B">
        <w:rPr>
          <w:bCs/>
        </w:rPr>
        <w:t>Further,</w:t>
      </w:r>
      <w:r w:rsidR="00ED5B0B">
        <w:rPr>
          <w:b/>
        </w:rPr>
        <w:t xml:space="preserve"> </w:t>
      </w:r>
      <w:r w:rsidR="007967B2">
        <w:rPr>
          <w:szCs w:val="24"/>
        </w:rPr>
        <w:t>section</w:t>
      </w:r>
      <w:r w:rsidR="00ED5B0B">
        <w:rPr>
          <w:szCs w:val="24"/>
        </w:rPr>
        <w:t> </w:t>
      </w:r>
      <w:r w:rsidRPr="00750D93" w:rsidR="00ED5B0B">
        <w:rPr>
          <w:szCs w:val="24"/>
        </w:rPr>
        <w:t>1002.11</w:t>
      </w:r>
      <w:r w:rsidR="002F306C">
        <w:rPr>
          <w:szCs w:val="24"/>
        </w:rPr>
        <w:t>0</w:t>
      </w:r>
      <w:r w:rsidRPr="00750D93" w:rsidR="00ED5B0B">
        <w:rPr>
          <w:szCs w:val="24"/>
        </w:rPr>
        <w:t>(</w:t>
      </w:r>
      <w:r w:rsidR="00ED5B0B">
        <w:rPr>
          <w:szCs w:val="24"/>
        </w:rPr>
        <w:t>e</w:t>
      </w:r>
      <w:r w:rsidRPr="00750D93" w:rsidR="00ED5B0B">
        <w:rPr>
          <w:szCs w:val="24"/>
        </w:rPr>
        <w:t xml:space="preserve">) </w:t>
      </w:r>
      <w:r w:rsidR="00ED5B0B">
        <w:rPr>
          <w:szCs w:val="24"/>
        </w:rPr>
        <w:t>prohibits financial institutions</w:t>
      </w:r>
      <w:r w:rsidR="00542A3A">
        <w:rPr>
          <w:szCs w:val="24"/>
        </w:rPr>
        <w:t xml:space="preserve"> </w:t>
      </w:r>
      <w:r w:rsidR="006A60F5">
        <w:rPr>
          <w:szCs w:val="24"/>
        </w:rPr>
        <w:t>and</w:t>
      </w:r>
      <w:r w:rsidR="00542A3A">
        <w:rPr>
          <w:szCs w:val="24"/>
        </w:rPr>
        <w:t xml:space="preserve"> third parties</w:t>
      </w:r>
      <w:r w:rsidR="00ED5B0B">
        <w:rPr>
          <w:szCs w:val="24"/>
        </w:rPr>
        <w:t xml:space="preserve"> from sharing </w:t>
      </w:r>
      <w:r w:rsidR="00AF3EE9">
        <w:rPr>
          <w:szCs w:val="24"/>
        </w:rPr>
        <w:t xml:space="preserve">protected demographic information </w:t>
      </w:r>
      <w:r w:rsidR="00B62117">
        <w:rPr>
          <w:szCs w:val="24"/>
        </w:rPr>
        <w:t xml:space="preserve">collected under subpart B </w:t>
      </w:r>
      <w:r w:rsidR="00AF3EE9">
        <w:rPr>
          <w:szCs w:val="24"/>
        </w:rPr>
        <w:t xml:space="preserve">with third parties unless </w:t>
      </w:r>
      <w:r w:rsidR="00EE4E45">
        <w:rPr>
          <w:szCs w:val="24"/>
        </w:rPr>
        <w:t xml:space="preserve">to further compliance with </w:t>
      </w:r>
      <w:r w:rsidR="00390EBC">
        <w:rPr>
          <w:szCs w:val="24"/>
        </w:rPr>
        <w:t>ECOA/Regulation B</w:t>
      </w:r>
      <w:r w:rsidR="00EE4E45">
        <w:rPr>
          <w:szCs w:val="24"/>
        </w:rPr>
        <w:t xml:space="preserve"> or as </w:t>
      </w:r>
      <w:r w:rsidR="00AF3EE9">
        <w:rPr>
          <w:szCs w:val="24"/>
        </w:rPr>
        <w:t xml:space="preserve">required by law.  </w:t>
      </w:r>
    </w:p>
    <w:p w:rsidR="009346F0" w:rsidRPr="00D66BB2" w:rsidP="006A60F5" w14:paraId="2032EFA6" w14:textId="11839641">
      <w:pPr>
        <w:pStyle w:val="Heading1"/>
        <w:ind w:left="-5"/>
      </w:pPr>
      <w:r w:rsidRPr="006142C9">
        <w:t>11.</w:t>
      </w:r>
      <w:r w:rsidRPr="00DA4517">
        <w:rPr>
          <w:bCs/>
          <w:szCs w:val="24"/>
          <w:u w:val="none"/>
        </w:rPr>
        <w:t xml:space="preserve"> </w:t>
      </w:r>
      <w:r w:rsidRPr="00750D93" w:rsidR="005451FD">
        <w:t>J</w:t>
      </w:r>
      <w:r w:rsidRPr="00750D93" w:rsidR="005451FD">
        <w:rPr>
          <w:spacing w:val="1"/>
        </w:rPr>
        <w:t>u</w:t>
      </w:r>
      <w:r w:rsidRPr="00750D93" w:rsidR="005451FD">
        <w:t>sti</w:t>
      </w:r>
      <w:r w:rsidRPr="00750D93" w:rsidR="005451FD">
        <w:rPr>
          <w:spacing w:val="1"/>
        </w:rPr>
        <w:t>f</w:t>
      </w:r>
      <w:r w:rsidRPr="00750D93" w:rsidR="005451FD">
        <w:t>ication</w:t>
      </w:r>
      <w:r w:rsidRPr="00750D93" w:rsidR="005451FD">
        <w:rPr>
          <w:spacing w:val="1"/>
        </w:rPr>
        <w:t xml:space="preserve"> f</w:t>
      </w:r>
      <w:r w:rsidRPr="00750D93" w:rsidR="005451FD">
        <w:t xml:space="preserve">or </w:t>
      </w:r>
      <w:r w:rsidRPr="00750D93" w:rsidR="005451FD">
        <w:rPr>
          <w:spacing w:val="1"/>
        </w:rPr>
        <w:t>S</w:t>
      </w:r>
      <w:r w:rsidRPr="00750D93" w:rsidR="005451FD">
        <w:t>e</w:t>
      </w:r>
      <w:r w:rsidRPr="00750D93" w:rsidR="005451FD">
        <w:rPr>
          <w:spacing w:val="1"/>
        </w:rPr>
        <w:t>n</w:t>
      </w:r>
      <w:r w:rsidRPr="00750D93" w:rsidR="005451FD">
        <w:t>sitive Q</w:t>
      </w:r>
      <w:r w:rsidRPr="00750D93" w:rsidR="005451FD">
        <w:rPr>
          <w:spacing w:val="1"/>
        </w:rPr>
        <w:t>u</w:t>
      </w:r>
      <w:r w:rsidRPr="00750D93" w:rsidR="005451FD">
        <w:t>estio</w:t>
      </w:r>
      <w:r w:rsidRPr="00750D93" w:rsidR="005451FD">
        <w:rPr>
          <w:spacing w:val="1"/>
        </w:rPr>
        <w:t>n</w:t>
      </w:r>
      <w:r w:rsidRPr="00750D93" w:rsidR="005451FD">
        <w:t>s</w:t>
      </w:r>
    </w:p>
    <w:p w:rsidR="00EA5BC1" w:rsidP="006A60F5" w14:paraId="01464E08" w14:textId="5D206B20">
      <w:pPr>
        <w:keepNext/>
      </w:pPr>
    </w:p>
    <w:p w:rsidR="001A7047" w:rsidRPr="006142C9" w:rsidP="006A60F5" w14:paraId="0ADEF7A6" w14:textId="5C381BC4">
      <w:pPr>
        <w:keepNext/>
        <w:spacing w:after="0" w:line="259" w:lineRule="auto"/>
        <w:ind w:left="0" w:firstLine="0"/>
        <w:rPr>
          <w:szCs w:val="24"/>
          <w:u w:val="single"/>
        </w:rPr>
      </w:pPr>
      <w:r w:rsidRPr="006142C9">
        <w:rPr>
          <w:szCs w:val="24"/>
          <w:u w:val="single"/>
        </w:rPr>
        <w:t>Subpart A</w:t>
      </w:r>
    </w:p>
    <w:p w:rsidR="001A7047" w:rsidP="006A60F5" w14:paraId="7AFCB597" w14:textId="77777777">
      <w:pPr>
        <w:keepNext/>
        <w:spacing w:after="0" w:line="259" w:lineRule="auto"/>
        <w:ind w:left="0" w:firstLine="0"/>
        <w:rPr>
          <w:szCs w:val="24"/>
        </w:rPr>
      </w:pPr>
    </w:p>
    <w:p w:rsidR="00EA5BC1" w:rsidP="00395380" w14:paraId="772710DF" w14:textId="3F950142">
      <w:pPr>
        <w:spacing w:after="0" w:line="259" w:lineRule="auto"/>
        <w:ind w:left="0" w:firstLine="0"/>
      </w:pPr>
      <w:r>
        <w:rPr>
          <w:szCs w:val="24"/>
        </w:rPr>
        <w:t>S</w:t>
      </w:r>
      <w:r w:rsidRPr="00750D93">
        <w:rPr>
          <w:szCs w:val="24"/>
        </w:rPr>
        <w:t>ensitive information asked of applicants by creditors is either</w:t>
      </w:r>
      <w:r>
        <w:rPr>
          <w:szCs w:val="24"/>
        </w:rPr>
        <w:t xml:space="preserve"> (</w:t>
      </w:r>
      <w:r w:rsidRPr="00750D93">
        <w:rPr>
          <w:szCs w:val="24"/>
        </w:rPr>
        <w:t>for example</w:t>
      </w:r>
      <w:r>
        <w:rPr>
          <w:szCs w:val="24"/>
        </w:rPr>
        <w:t>)</w:t>
      </w:r>
      <w:r w:rsidRPr="00750D93">
        <w:rPr>
          <w:szCs w:val="24"/>
        </w:rPr>
        <w:t xml:space="preserve"> mandated for mortgage loan applications or optionally used for self-tests. </w:t>
      </w:r>
      <w:r w:rsidR="00FE4B93">
        <w:rPr>
          <w:szCs w:val="24"/>
        </w:rPr>
        <w:t xml:space="preserve"> </w:t>
      </w:r>
      <w:r w:rsidRPr="00750D93">
        <w:rPr>
          <w:szCs w:val="24"/>
        </w:rPr>
        <w:t>The information collected is used to ensure compliance with ECOA, and that creditors are not discriminating against applicants.</w:t>
      </w:r>
      <w:r w:rsidR="009346F0">
        <w:t xml:space="preserve"> </w:t>
      </w:r>
    </w:p>
    <w:p w:rsidR="001A7047" w:rsidP="00395380" w14:paraId="6E5C0655" w14:textId="771E502E">
      <w:pPr>
        <w:spacing w:after="0" w:line="259" w:lineRule="auto"/>
        <w:ind w:left="0" w:firstLine="0"/>
      </w:pPr>
    </w:p>
    <w:p w:rsidR="001A7047" w:rsidP="001A7047" w14:paraId="4D68A066" w14:textId="26E6A08D">
      <w:pPr>
        <w:spacing w:after="240" w:line="240" w:lineRule="auto"/>
        <w:rPr>
          <w:szCs w:val="24"/>
          <w:u w:val="single"/>
        </w:rPr>
      </w:pPr>
      <w:r>
        <w:rPr>
          <w:szCs w:val="24"/>
          <w:u w:val="single"/>
        </w:rPr>
        <w:t>S</w:t>
      </w:r>
      <w:r w:rsidRPr="00750D93">
        <w:rPr>
          <w:szCs w:val="24"/>
          <w:u w:val="single"/>
        </w:rPr>
        <w:t>ubpart B</w:t>
      </w:r>
    </w:p>
    <w:p w:rsidR="001A7047" w:rsidRPr="00750D93" w:rsidP="001A7047" w14:paraId="79E2ABFF" w14:textId="64A1CEF0">
      <w:pPr>
        <w:spacing w:after="240" w:line="240" w:lineRule="auto"/>
        <w:rPr>
          <w:szCs w:val="24"/>
        </w:rPr>
      </w:pPr>
      <w:r w:rsidRPr="00750D93">
        <w:rPr>
          <w:szCs w:val="24"/>
        </w:rPr>
        <w:t xml:space="preserve">The sensitive information asked of applicants </w:t>
      </w:r>
      <w:r>
        <w:rPr>
          <w:szCs w:val="24"/>
        </w:rPr>
        <w:t xml:space="preserve">is </w:t>
      </w:r>
      <w:r w:rsidRPr="00750D93">
        <w:rPr>
          <w:szCs w:val="24"/>
        </w:rPr>
        <w:t xml:space="preserve">mandated </w:t>
      </w:r>
      <w:r w:rsidR="009C4879">
        <w:rPr>
          <w:szCs w:val="24"/>
        </w:rPr>
        <w:t xml:space="preserve">by Congress </w:t>
      </w:r>
      <w:r w:rsidRPr="00750D93">
        <w:rPr>
          <w:szCs w:val="24"/>
        </w:rPr>
        <w:t>for applications for credit from small businesses.</w:t>
      </w:r>
      <w:r>
        <w:rPr>
          <w:szCs w:val="24"/>
        </w:rPr>
        <w:t xml:space="preserve"> </w:t>
      </w:r>
      <w:r w:rsidRPr="00750D93">
        <w:rPr>
          <w:szCs w:val="24"/>
        </w:rPr>
        <w:t xml:space="preserve">The information collected </w:t>
      </w:r>
      <w:r>
        <w:rPr>
          <w:szCs w:val="24"/>
        </w:rPr>
        <w:t xml:space="preserve">is </w:t>
      </w:r>
      <w:r w:rsidR="006840F8">
        <w:rPr>
          <w:szCs w:val="24"/>
        </w:rPr>
        <w:t xml:space="preserve">to be </w:t>
      </w:r>
      <w:r w:rsidRPr="00750D93">
        <w:rPr>
          <w:szCs w:val="24"/>
        </w:rPr>
        <w:t xml:space="preserve">used to </w:t>
      </w:r>
      <w:r>
        <w:rPr>
          <w:szCs w:val="24"/>
        </w:rPr>
        <w:t xml:space="preserve">(1) </w:t>
      </w:r>
      <w:r w:rsidRPr="00750D93">
        <w:rPr>
          <w:szCs w:val="24"/>
        </w:rPr>
        <w:t xml:space="preserve">facilitate enforcement of fair lending laws and </w:t>
      </w:r>
      <w:r>
        <w:rPr>
          <w:szCs w:val="24"/>
        </w:rPr>
        <w:t>(2)</w:t>
      </w:r>
      <w:r w:rsidRPr="00750D93">
        <w:rPr>
          <w:szCs w:val="24"/>
        </w:rPr>
        <w:t xml:space="preserve"> </w:t>
      </w:r>
      <w:r>
        <w:rPr>
          <w:szCs w:val="24"/>
        </w:rPr>
        <w:t>enable communities, governmental entities, and creditors to identify</w:t>
      </w:r>
      <w:r w:rsidRPr="00750D93">
        <w:rPr>
          <w:szCs w:val="24"/>
        </w:rPr>
        <w:t xml:space="preserve"> business and community development </w:t>
      </w:r>
      <w:r w:rsidRPr="00750D93">
        <w:rPr>
          <w:rFonts w:eastAsia="Calibri"/>
          <w:szCs w:val="24"/>
        </w:rPr>
        <w:t>needs</w:t>
      </w:r>
      <w:r>
        <w:rPr>
          <w:rFonts w:eastAsia="Calibri"/>
          <w:szCs w:val="24"/>
        </w:rPr>
        <w:t xml:space="preserve"> and opportunities of women-owned, minority-owned, and small businesses</w:t>
      </w:r>
      <w:r w:rsidRPr="00750D93">
        <w:rPr>
          <w:szCs w:val="24"/>
        </w:rPr>
        <w:t>.</w:t>
      </w:r>
      <w:r>
        <w:rPr>
          <w:szCs w:val="24"/>
        </w:rPr>
        <w:t xml:space="preserve"> </w:t>
      </w:r>
    </w:p>
    <w:p w:rsidR="001A7047" w:rsidRPr="00750D93" w:rsidP="001A7047" w14:paraId="07ED59F7" w14:textId="525E259B">
      <w:pPr>
        <w:spacing w:after="240" w:line="240" w:lineRule="auto"/>
        <w:rPr>
          <w:szCs w:val="24"/>
        </w:rPr>
      </w:pPr>
      <w:r>
        <w:rPr>
          <w:szCs w:val="24"/>
        </w:rPr>
        <w:t xml:space="preserve">Subpart B requires </w:t>
      </w:r>
      <w:r w:rsidRPr="00750D93">
        <w:rPr>
          <w:szCs w:val="24"/>
        </w:rPr>
        <w:t>that financial institutions</w:t>
      </w:r>
      <w:r>
        <w:rPr>
          <w:szCs w:val="24"/>
        </w:rPr>
        <w:t xml:space="preserve">, in reporting </w:t>
      </w:r>
      <w:r w:rsidR="00463518">
        <w:rPr>
          <w:szCs w:val="24"/>
        </w:rPr>
        <w:t xml:space="preserve">their </w:t>
      </w:r>
      <w:r w:rsidR="003301B1">
        <w:rPr>
          <w:szCs w:val="24"/>
        </w:rPr>
        <w:t>small business lending application register</w:t>
      </w:r>
      <w:r w:rsidR="006F76C3">
        <w:rPr>
          <w:szCs w:val="24"/>
        </w:rPr>
        <w:t>s</w:t>
      </w:r>
      <w:r>
        <w:rPr>
          <w:szCs w:val="24"/>
        </w:rPr>
        <w:t>,</w:t>
      </w:r>
      <w:r w:rsidRPr="00750D93">
        <w:rPr>
          <w:szCs w:val="24"/>
        </w:rPr>
        <w:t xml:space="preserve"> not submit any name, specific address, telephone number, email address or any personally identifiable information concerning any individual who is, or </w:t>
      </w:r>
      <w:r w:rsidRPr="00750D93">
        <w:rPr>
          <w:szCs w:val="24"/>
        </w:rPr>
        <w:t>is connected with</w:t>
      </w:r>
      <w:r w:rsidRPr="00750D93">
        <w:rPr>
          <w:szCs w:val="24"/>
        </w:rPr>
        <w:t xml:space="preserve">, an applicant, other than as would be required pursuant to </w:t>
      </w:r>
      <w:r w:rsidR="007967B2">
        <w:rPr>
          <w:szCs w:val="24"/>
        </w:rPr>
        <w:t>section</w:t>
      </w:r>
      <w:r>
        <w:rPr>
          <w:szCs w:val="24"/>
        </w:rPr>
        <w:t> </w:t>
      </w:r>
      <w:r w:rsidRPr="00750D93">
        <w:rPr>
          <w:szCs w:val="24"/>
        </w:rPr>
        <w:t>1002.107</w:t>
      </w:r>
      <w:r w:rsidR="003301B1">
        <w:rPr>
          <w:szCs w:val="24"/>
        </w:rPr>
        <w:t xml:space="preserve"> or </w:t>
      </w:r>
      <w:r w:rsidR="007967B2">
        <w:rPr>
          <w:color w:val="000000" w:themeColor="text1"/>
          <w:szCs w:val="24"/>
        </w:rPr>
        <w:t>section</w:t>
      </w:r>
      <w:r w:rsidR="003301B1">
        <w:rPr>
          <w:color w:val="000000" w:themeColor="text1"/>
          <w:szCs w:val="24"/>
        </w:rPr>
        <w:t> </w:t>
      </w:r>
      <w:r w:rsidRPr="00750D93" w:rsidR="003301B1">
        <w:rPr>
          <w:color w:val="000000" w:themeColor="text1"/>
          <w:szCs w:val="24"/>
        </w:rPr>
        <w:t>1002.111(b)</w:t>
      </w:r>
      <w:r w:rsidRPr="00750D93">
        <w:rPr>
          <w:szCs w:val="24"/>
        </w:rPr>
        <w:t xml:space="preserve">. </w:t>
      </w:r>
      <w:r w:rsidR="00FE4B93">
        <w:rPr>
          <w:szCs w:val="24"/>
        </w:rPr>
        <w:t xml:space="preserve"> </w:t>
      </w:r>
      <w:r w:rsidRPr="00750D93">
        <w:rPr>
          <w:szCs w:val="24"/>
        </w:rPr>
        <w:t xml:space="preserve">Nonetheless, publication of the data </w:t>
      </w:r>
      <w:r>
        <w:rPr>
          <w:szCs w:val="24"/>
        </w:rPr>
        <w:t>collected and reported pursuant to</w:t>
      </w:r>
      <w:r w:rsidRPr="00750D93">
        <w:rPr>
          <w:szCs w:val="24"/>
        </w:rPr>
        <w:t xml:space="preserve"> </w:t>
      </w:r>
      <w:r w:rsidR="007967B2">
        <w:rPr>
          <w:szCs w:val="24"/>
        </w:rPr>
        <w:t>section</w:t>
      </w:r>
      <w:r>
        <w:rPr>
          <w:szCs w:val="24"/>
        </w:rPr>
        <w:t> </w:t>
      </w:r>
      <w:r w:rsidRPr="00750D93">
        <w:rPr>
          <w:szCs w:val="24"/>
        </w:rPr>
        <w:t>1002.107(a) in an unedited, application-level format could potentially affect the privacy interests and lead to the re-identification of, and risk of harm to, small businesses, related natural persons, and financial institutions.</w:t>
      </w:r>
    </w:p>
    <w:p w:rsidR="009C4879" w:rsidP="001A7047" w14:paraId="36AAD3FC" w14:textId="47857B8F">
      <w:pPr>
        <w:spacing w:after="240" w:line="240" w:lineRule="auto"/>
        <w:rPr>
          <w:szCs w:val="24"/>
        </w:rPr>
      </w:pPr>
      <w:r w:rsidRPr="00750D93">
        <w:rPr>
          <w:szCs w:val="24"/>
        </w:rPr>
        <w:t xml:space="preserve">Section 1071 states that the </w:t>
      </w:r>
      <w:r w:rsidR="0056356C">
        <w:rPr>
          <w:szCs w:val="24"/>
        </w:rPr>
        <w:t>CFPB</w:t>
      </w:r>
      <w:r w:rsidRPr="00750D93">
        <w:rPr>
          <w:szCs w:val="24"/>
        </w:rPr>
        <w:t xml:space="preserve"> may, “at its discretion, delete or modify data collected under [section 1071] which is or will be available to the public, if the Bureau determines that the deletion or modification of the data would </w:t>
      </w:r>
      <w:r w:rsidRPr="00750D93">
        <w:rPr>
          <w:rFonts w:eastAsia="Calibri"/>
          <w:szCs w:val="24"/>
        </w:rPr>
        <w:t>advance</w:t>
      </w:r>
      <w:r w:rsidRPr="00750D93">
        <w:rPr>
          <w:szCs w:val="24"/>
        </w:rPr>
        <w:t xml:space="preserve"> a privacy interest.”</w:t>
      </w:r>
      <w:r>
        <w:rPr>
          <w:szCs w:val="24"/>
        </w:rPr>
        <w:t xml:space="preserve"> 15 U.S.C. 1691c-2(e)(4). </w:t>
      </w:r>
    </w:p>
    <w:p w:rsidR="00E83F4C" w:rsidP="009C4879" w14:paraId="631D2052" w14:textId="382726E2">
      <w:pPr>
        <w:spacing w:after="240" w:line="240" w:lineRule="auto"/>
        <w:rPr>
          <w:szCs w:val="24"/>
        </w:rPr>
      </w:pPr>
      <w:r>
        <w:rPr>
          <w:szCs w:val="24"/>
        </w:rPr>
        <w:t>The</w:t>
      </w:r>
      <w:r w:rsidR="009C4879">
        <w:rPr>
          <w:szCs w:val="24"/>
        </w:rPr>
        <w:t xml:space="preserve"> CFPB </w:t>
      </w:r>
      <w:r>
        <w:rPr>
          <w:szCs w:val="24"/>
        </w:rPr>
        <w:t xml:space="preserve">has </w:t>
      </w:r>
      <w:r w:rsidR="009C4879">
        <w:rPr>
          <w:szCs w:val="24"/>
        </w:rPr>
        <w:t xml:space="preserve">not </w:t>
      </w:r>
      <w:r>
        <w:rPr>
          <w:szCs w:val="24"/>
        </w:rPr>
        <w:t xml:space="preserve">made </w:t>
      </w:r>
      <w:r w:rsidR="009C4879">
        <w:rPr>
          <w:szCs w:val="24"/>
        </w:rPr>
        <w:t xml:space="preserve">a final decision on the best way to protect privacy interests through pre-publication modification and deletion of reported data. </w:t>
      </w:r>
      <w:r w:rsidR="00FE4B93">
        <w:rPr>
          <w:szCs w:val="24"/>
        </w:rPr>
        <w:t xml:space="preserve"> </w:t>
      </w:r>
      <w:r w:rsidR="009C4879">
        <w:rPr>
          <w:szCs w:val="24"/>
        </w:rPr>
        <w:t xml:space="preserve">Assessing the many comments it received in this area, the CFPB is preliminarily of the view that its privacy assessment will focus primarily on whether (and, if so, how) </w:t>
      </w:r>
      <w:r w:rsidRPr="00BB5942" w:rsidR="009C4879">
        <w:rPr>
          <w:szCs w:val="24"/>
        </w:rPr>
        <w:t>small business lending data, individually or in combination with other data, poses re-identification risk for small businesses and</w:t>
      </w:r>
      <w:r w:rsidR="009C4879">
        <w:rPr>
          <w:szCs w:val="24"/>
        </w:rPr>
        <w:t xml:space="preserve">, as a result, for their owners. </w:t>
      </w:r>
      <w:r w:rsidR="00FE4B93">
        <w:rPr>
          <w:szCs w:val="24"/>
        </w:rPr>
        <w:t xml:space="preserve"> </w:t>
      </w:r>
      <w:r w:rsidR="009C4879">
        <w:rPr>
          <w:szCs w:val="24"/>
        </w:rPr>
        <w:t xml:space="preserve">The </w:t>
      </w:r>
      <w:r w:rsidR="00393F64">
        <w:rPr>
          <w:szCs w:val="24"/>
        </w:rPr>
        <w:t>CFPB</w:t>
      </w:r>
      <w:r w:rsidR="009C4879">
        <w:rPr>
          <w:szCs w:val="24"/>
        </w:rPr>
        <w:t xml:space="preserve"> also anticipates taking account of compelling risks to financial institution privacy interests. </w:t>
      </w:r>
      <w:r w:rsidR="00FE4B93">
        <w:rPr>
          <w:szCs w:val="24"/>
        </w:rPr>
        <w:t xml:space="preserve"> </w:t>
      </w:r>
      <w:r w:rsidR="009C4879">
        <w:rPr>
          <w:szCs w:val="24"/>
        </w:rPr>
        <w:t>The CFPB does not anticipate that it can carry out the necessary analysis of pre-publication modifications and deletions without at least one full year of application-level data.  The CFPB intends to further engage with stakeholders on the issue of</w:t>
      </w:r>
      <w:r w:rsidR="006B5A1B">
        <w:rPr>
          <w:szCs w:val="24"/>
        </w:rPr>
        <w:t xml:space="preserve"> </w:t>
      </w:r>
      <w:r w:rsidR="009C4879">
        <w:rPr>
          <w:szCs w:val="24"/>
        </w:rPr>
        <w:t>data publication before it resolves on a particular approach to protecting privacy interests through modifications and deletions.</w:t>
      </w:r>
    </w:p>
    <w:p w:rsidR="00EA5BC1" w:rsidRPr="001761B2" w14:paraId="30BF4585" w14:textId="41F79168">
      <w:pPr>
        <w:pStyle w:val="Heading1"/>
        <w:ind w:left="-5"/>
        <w:rPr>
          <w:bCs/>
          <w:u w:val="none"/>
        </w:rPr>
      </w:pPr>
      <w:r w:rsidRPr="006142C9">
        <w:t>12.</w:t>
      </w:r>
      <w:r>
        <w:rPr>
          <w:u w:val="none"/>
        </w:rPr>
        <w:t xml:space="preserve">  </w:t>
      </w:r>
      <w:r w:rsidRPr="00750D93" w:rsidR="00F03271">
        <w:t>Esti</w:t>
      </w:r>
      <w:r w:rsidRPr="00750D93" w:rsidR="00F03271">
        <w:rPr>
          <w:spacing w:val="-3"/>
        </w:rPr>
        <w:t>m</w:t>
      </w:r>
      <w:r w:rsidRPr="00750D93" w:rsidR="00F03271">
        <w:t>ated</w:t>
      </w:r>
      <w:r w:rsidRPr="00750D93" w:rsidR="00F03271">
        <w:rPr>
          <w:spacing w:val="1"/>
        </w:rPr>
        <w:t xml:space="preserve"> </w:t>
      </w:r>
      <w:r w:rsidRPr="00750D93" w:rsidR="00F03271">
        <w:t>Burden</w:t>
      </w:r>
      <w:r w:rsidRPr="00750D93" w:rsidR="00F03271">
        <w:rPr>
          <w:spacing w:val="1"/>
        </w:rPr>
        <w:t xml:space="preserve"> </w:t>
      </w:r>
      <w:r w:rsidRPr="00750D93" w:rsidR="00F03271">
        <w:t>of</w:t>
      </w:r>
      <w:r w:rsidRPr="00750D93" w:rsidR="00F03271">
        <w:rPr>
          <w:spacing w:val="1"/>
        </w:rPr>
        <w:t xml:space="preserve"> </w:t>
      </w:r>
      <w:r w:rsidRPr="00750D93" w:rsidR="00F03271">
        <w:t>I</w:t>
      </w:r>
      <w:r w:rsidRPr="00750D93" w:rsidR="00F03271">
        <w:rPr>
          <w:spacing w:val="1"/>
        </w:rPr>
        <w:t>nf</w:t>
      </w:r>
      <w:r w:rsidRPr="00750D93" w:rsidR="00F03271">
        <w:t>or</w:t>
      </w:r>
      <w:r w:rsidRPr="00750D93" w:rsidR="00F03271">
        <w:rPr>
          <w:spacing w:val="-3"/>
        </w:rPr>
        <w:t>m</w:t>
      </w:r>
      <w:r w:rsidRPr="00750D93" w:rsidR="00F03271">
        <w:t>ation</w:t>
      </w:r>
      <w:r w:rsidRPr="00750D93" w:rsidR="00F03271">
        <w:rPr>
          <w:spacing w:val="1"/>
        </w:rPr>
        <w:t xml:space="preserve"> </w:t>
      </w:r>
      <w:r w:rsidRPr="00750D93" w:rsidR="00F03271">
        <w:t>Collection</w:t>
      </w:r>
      <w:r w:rsidRPr="001761B2" w:rsidR="00F03271">
        <w:rPr>
          <w:bCs/>
          <w:szCs w:val="24"/>
          <w:u w:val="none"/>
        </w:rPr>
        <w:t xml:space="preserve"> </w:t>
      </w:r>
    </w:p>
    <w:p w:rsidR="00EA5BC1" w:rsidRPr="00542460" w14:paraId="34DABCFC" w14:textId="77777777">
      <w:pPr>
        <w:spacing w:after="0" w:line="259" w:lineRule="auto"/>
        <w:ind w:left="0" w:firstLine="0"/>
        <w:rPr>
          <w:b/>
          <w:bCs/>
        </w:rPr>
      </w:pPr>
      <w:r w:rsidRPr="00542460">
        <w:rPr>
          <w:b/>
          <w:bCs/>
        </w:rPr>
        <w:t xml:space="preserve"> </w:t>
      </w:r>
    </w:p>
    <w:tbl>
      <w:tblPr>
        <w:tblStyle w:val="TableGrid"/>
        <w:tblW w:w="10998" w:type="dxa"/>
        <w:tblInd w:w="-612" w:type="dxa"/>
        <w:tblLayout w:type="fixed"/>
        <w:tblLook w:val="04A0"/>
      </w:tblPr>
      <w:tblGrid>
        <w:gridCol w:w="2070"/>
        <w:gridCol w:w="1350"/>
        <w:gridCol w:w="1410"/>
        <w:gridCol w:w="1290"/>
        <w:gridCol w:w="1170"/>
        <w:gridCol w:w="1188"/>
        <w:gridCol w:w="900"/>
        <w:gridCol w:w="1620"/>
      </w:tblGrid>
      <w:tr w14:paraId="37FDABE0" w14:textId="77777777" w:rsidTr="00EF5D6F">
        <w:tblPrEx>
          <w:tblW w:w="10998" w:type="dxa"/>
          <w:tblInd w:w="-612" w:type="dxa"/>
          <w:tblLayout w:type="fixed"/>
          <w:tblLook w:val="04A0"/>
        </w:tblPrEx>
        <w:trPr>
          <w:cantSplit/>
          <w:trHeight w:val="13"/>
          <w:tblHeader/>
        </w:trPr>
        <w:tc>
          <w:tcPr>
            <w:tcW w:w="2070" w:type="dxa"/>
            <w:shd w:val="clear" w:color="auto" w:fill="D9D9D9" w:themeFill="background1" w:themeFillShade="D9"/>
            <w:hideMark/>
          </w:tcPr>
          <w:p w:rsidR="00C63349" w:rsidRPr="00992322" w:rsidP="00C63349" w14:paraId="741716AE" w14:textId="3EBD6BF9">
            <w:pPr>
              <w:keepNext/>
              <w:spacing w:before="2" w:line="260" w:lineRule="exact"/>
              <w:jc w:val="center"/>
              <w:rPr>
                <w:b/>
                <w:bCs/>
                <w:sz w:val="20"/>
                <w:szCs w:val="20"/>
              </w:rPr>
            </w:pPr>
            <w:r w:rsidRPr="6CB9409D">
              <w:rPr>
                <w:b/>
                <w:bCs/>
                <w:sz w:val="20"/>
                <w:szCs w:val="20"/>
              </w:rPr>
              <w:t>Information Collection Requirement</w:t>
            </w:r>
          </w:p>
        </w:tc>
        <w:tc>
          <w:tcPr>
            <w:tcW w:w="1350" w:type="dxa"/>
            <w:shd w:val="clear" w:color="auto" w:fill="D9D9D9" w:themeFill="background1" w:themeFillShade="D9"/>
            <w:hideMark/>
          </w:tcPr>
          <w:p w:rsidR="00C63349" w:rsidRPr="00992322" w:rsidP="00C63349" w14:paraId="34CE15D6" w14:textId="77777777">
            <w:pPr>
              <w:keepNext/>
              <w:spacing w:before="2" w:line="260" w:lineRule="exact"/>
              <w:jc w:val="center"/>
              <w:rPr>
                <w:b/>
                <w:bCs/>
                <w:sz w:val="20"/>
                <w:szCs w:val="20"/>
              </w:rPr>
            </w:pPr>
            <w:r w:rsidRPr="00992322">
              <w:rPr>
                <w:b/>
                <w:bCs/>
                <w:sz w:val="20"/>
                <w:szCs w:val="20"/>
              </w:rPr>
              <w:t>Number of Respondents</w:t>
            </w:r>
          </w:p>
        </w:tc>
        <w:tc>
          <w:tcPr>
            <w:tcW w:w="1410" w:type="dxa"/>
            <w:shd w:val="clear" w:color="auto" w:fill="D9D9D9" w:themeFill="background1" w:themeFillShade="D9"/>
            <w:hideMark/>
          </w:tcPr>
          <w:p w:rsidR="00C63349" w:rsidRPr="00992322" w:rsidP="00C63349" w14:paraId="612879B3" w14:textId="055D4516">
            <w:pPr>
              <w:keepNext/>
              <w:spacing w:before="2" w:line="260" w:lineRule="exact"/>
              <w:jc w:val="center"/>
              <w:rPr>
                <w:b/>
                <w:bCs/>
                <w:sz w:val="20"/>
                <w:szCs w:val="20"/>
              </w:rPr>
            </w:pPr>
            <w:r w:rsidRPr="00992322">
              <w:rPr>
                <w:b/>
                <w:bCs/>
                <w:sz w:val="20"/>
                <w:szCs w:val="20"/>
              </w:rPr>
              <w:t>Annual Responses per Respondent</w:t>
            </w:r>
            <w:r w:rsidR="000161BA">
              <w:rPr>
                <w:b/>
                <w:bCs/>
                <w:sz w:val="20"/>
                <w:szCs w:val="20"/>
              </w:rPr>
              <w:t xml:space="preserve"> </w:t>
            </w:r>
            <w:r>
              <w:rPr>
                <w:rStyle w:val="FootnoteReference"/>
                <w:b/>
                <w:bCs/>
                <w:sz w:val="20"/>
                <w:szCs w:val="20"/>
              </w:rPr>
              <w:footnoteReference w:id="6"/>
            </w:r>
          </w:p>
        </w:tc>
        <w:tc>
          <w:tcPr>
            <w:tcW w:w="1290" w:type="dxa"/>
            <w:shd w:val="clear" w:color="auto" w:fill="D9D9D9" w:themeFill="background1" w:themeFillShade="D9"/>
            <w:vAlign w:val="center"/>
            <w:hideMark/>
          </w:tcPr>
          <w:p w:rsidR="00C63349" w:rsidRPr="00992322" w:rsidP="00C63349" w14:paraId="68D1A264" w14:textId="4EB6E670">
            <w:pPr>
              <w:keepNext/>
              <w:spacing w:before="2" w:line="260" w:lineRule="exact"/>
              <w:jc w:val="center"/>
              <w:rPr>
                <w:b/>
                <w:bCs/>
                <w:sz w:val="20"/>
                <w:szCs w:val="20"/>
              </w:rPr>
            </w:pPr>
            <w:r>
              <w:rPr>
                <w:b/>
                <w:bCs/>
                <w:sz w:val="20"/>
                <w:szCs w:val="20"/>
              </w:rPr>
              <w:t>Total Annual Responses</w:t>
            </w:r>
          </w:p>
        </w:tc>
        <w:tc>
          <w:tcPr>
            <w:tcW w:w="1170" w:type="dxa"/>
            <w:shd w:val="clear" w:color="auto" w:fill="D9D9D9" w:themeFill="background1" w:themeFillShade="D9"/>
            <w:hideMark/>
          </w:tcPr>
          <w:p w:rsidR="00C63349" w:rsidRPr="00992322" w:rsidP="00C63349" w14:paraId="4D4FB26A" w14:textId="77777777">
            <w:pPr>
              <w:keepNext/>
              <w:spacing w:before="2" w:line="260" w:lineRule="exact"/>
              <w:jc w:val="center"/>
              <w:rPr>
                <w:b/>
                <w:bCs/>
                <w:sz w:val="20"/>
                <w:szCs w:val="20"/>
              </w:rPr>
            </w:pPr>
            <w:r w:rsidRPr="00992322">
              <w:rPr>
                <w:b/>
                <w:bCs/>
                <w:sz w:val="20"/>
                <w:szCs w:val="20"/>
              </w:rPr>
              <w:t>Average Response Time (hours)</w:t>
            </w:r>
          </w:p>
        </w:tc>
        <w:tc>
          <w:tcPr>
            <w:tcW w:w="1188" w:type="dxa"/>
            <w:shd w:val="clear" w:color="auto" w:fill="D9D9D9" w:themeFill="background1" w:themeFillShade="D9"/>
          </w:tcPr>
          <w:p w:rsidR="00C63349" w:rsidRPr="00992322" w:rsidP="00C63349" w14:paraId="057C6F6B" w14:textId="77777777">
            <w:pPr>
              <w:keepNext/>
              <w:spacing w:before="2" w:line="260" w:lineRule="exact"/>
              <w:jc w:val="center"/>
              <w:rPr>
                <w:b/>
                <w:bCs/>
                <w:sz w:val="20"/>
                <w:szCs w:val="20"/>
              </w:rPr>
            </w:pPr>
            <w:r w:rsidRPr="00992322">
              <w:rPr>
                <w:b/>
                <w:bCs/>
                <w:sz w:val="20"/>
                <w:szCs w:val="20"/>
              </w:rPr>
              <w:t>Total Annual Burden (Hours)</w:t>
            </w:r>
          </w:p>
        </w:tc>
        <w:tc>
          <w:tcPr>
            <w:tcW w:w="900" w:type="dxa"/>
            <w:shd w:val="clear" w:color="auto" w:fill="D9D9D9" w:themeFill="background1" w:themeFillShade="D9"/>
            <w:hideMark/>
          </w:tcPr>
          <w:p w:rsidR="00C63349" w:rsidRPr="00992322" w:rsidP="00C63349" w14:paraId="11CB065C" w14:textId="77777777">
            <w:pPr>
              <w:keepNext/>
              <w:spacing w:before="2" w:line="260" w:lineRule="exact"/>
              <w:jc w:val="center"/>
              <w:rPr>
                <w:b/>
                <w:bCs/>
                <w:sz w:val="20"/>
                <w:szCs w:val="20"/>
              </w:rPr>
            </w:pPr>
            <w:r w:rsidRPr="00992322">
              <w:rPr>
                <w:b/>
                <w:bCs/>
                <w:sz w:val="20"/>
                <w:szCs w:val="20"/>
              </w:rPr>
              <w:t>Hourly Rate (USD)</w:t>
            </w:r>
          </w:p>
        </w:tc>
        <w:tc>
          <w:tcPr>
            <w:tcW w:w="1620" w:type="dxa"/>
            <w:shd w:val="clear" w:color="auto" w:fill="D9D9D9" w:themeFill="background1" w:themeFillShade="D9"/>
            <w:hideMark/>
          </w:tcPr>
          <w:p w:rsidR="00C63349" w:rsidRPr="00992322" w:rsidP="00C63349" w14:paraId="34BFAA86" w14:textId="77777777">
            <w:pPr>
              <w:keepNext/>
              <w:spacing w:before="2" w:line="260" w:lineRule="exact"/>
              <w:jc w:val="center"/>
              <w:rPr>
                <w:b/>
                <w:bCs/>
                <w:sz w:val="20"/>
                <w:szCs w:val="20"/>
              </w:rPr>
            </w:pPr>
            <w:r w:rsidRPr="00992322">
              <w:rPr>
                <w:b/>
                <w:bCs/>
                <w:sz w:val="20"/>
                <w:szCs w:val="20"/>
              </w:rPr>
              <w:t>Labor Costs (USD)</w:t>
            </w:r>
          </w:p>
        </w:tc>
      </w:tr>
      <w:tr w14:paraId="0D07F825" w14:textId="77777777" w:rsidTr="006142C9">
        <w:tblPrEx>
          <w:tblW w:w="10998" w:type="dxa"/>
          <w:tblInd w:w="-612" w:type="dxa"/>
          <w:tblLayout w:type="fixed"/>
          <w:tblLook w:val="04A0"/>
        </w:tblPrEx>
        <w:trPr>
          <w:cantSplit/>
          <w:trHeight w:val="13"/>
          <w:tblHeader/>
        </w:trPr>
        <w:tc>
          <w:tcPr>
            <w:tcW w:w="2070" w:type="dxa"/>
            <w:noWrap/>
            <w:hideMark/>
          </w:tcPr>
          <w:p w:rsidR="0088428E" w:rsidRPr="00992322" w:rsidP="0088428E" w14:paraId="19B77802" w14:textId="10D935F3">
            <w:pPr>
              <w:keepNext/>
              <w:spacing w:before="2" w:line="260" w:lineRule="exact"/>
              <w:rPr>
                <w:sz w:val="20"/>
                <w:szCs w:val="20"/>
              </w:rPr>
            </w:pPr>
            <w:r w:rsidRPr="00992322">
              <w:rPr>
                <w:sz w:val="20"/>
                <w:szCs w:val="20"/>
              </w:rPr>
              <w:t xml:space="preserve">Notice of Action </w:t>
            </w:r>
            <w:r w:rsidR="007967B2">
              <w:rPr>
                <w:sz w:val="20"/>
                <w:szCs w:val="20"/>
              </w:rPr>
              <w:t>section</w:t>
            </w:r>
            <w:r w:rsidRPr="00992322">
              <w:rPr>
                <w:sz w:val="20"/>
                <w:szCs w:val="20"/>
              </w:rPr>
              <w:t> 1002.9</w:t>
            </w:r>
          </w:p>
        </w:tc>
        <w:tc>
          <w:tcPr>
            <w:tcW w:w="1350" w:type="dxa"/>
            <w:noWrap/>
            <w:vAlign w:val="center"/>
            <w:hideMark/>
          </w:tcPr>
          <w:p w:rsidR="0088428E" w:rsidRPr="00992322" w:rsidP="0088428E" w14:paraId="2E83B114" w14:textId="77777777">
            <w:pPr>
              <w:keepNext/>
              <w:spacing w:before="2" w:line="260" w:lineRule="exact"/>
              <w:jc w:val="right"/>
              <w:rPr>
                <w:sz w:val="20"/>
                <w:szCs w:val="20"/>
              </w:rPr>
            </w:pPr>
            <w:r w:rsidRPr="00992322">
              <w:rPr>
                <w:sz w:val="20"/>
                <w:szCs w:val="20"/>
              </w:rPr>
              <w:t>472,000</w:t>
            </w:r>
          </w:p>
        </w:tc>
        <w:tc>
          <w:tcPr>
            <w:tcW w:w="1410" w:type="dxa"/>
            <w:noWrap/>
            <w:vAlign w:val="center"/>
            <w:hideMark/>
          </w:tcPr>
          <w:p w:rsidR="0088428E" w:rsidRPr="00992322" w:rsidP="0088428E" w14:paraId="0D2D29A1" w14:textId="659E1C1B">
            <w:pPr>
              <w:keepNext/>
              <w:spacing w:before="2" w:line="260" w:lineRule="exact"/>
              <w:jc w:val="right"/>
              <w:rPr>
                <w:sz w:val="20"/>
                <w:szCs w:val="20"/>
              </w:rPr>
            </w:pPr>
            <w:r>
              <w:rPr>
                <w:sz w:val="20"/>
                <w:szCs w:val="20"/>
              </w:rPr>
              <w:t>180</w:t>
            </w:r>
            <w:r>
              <w:rPr>
                <w:rStyle w:val="FootnoteReference"/>
                <w:sz w:val="20"/>
                <w:szCs w:val="20"/>
              </w:rPr>
              <w:footnoteReference w:id="7"/>
            </w:r>
          </w:p>
        </w:tc>
        <w:tc>
          <w:tcPr>
            <w:tcW w:w="1290" w:type="dxa"/>
            <w:noWrap/>
            <w:vAlign w:val="center"/>
          </w:tcPr>
          <w:p w:rsidR="0088428E" w:rsidRPr="005C3F34" w:rsidP="0088428E" w14:paraId="18A2C568" w14:textId="4D505A93">
            <w:pPr>
              <w:keepNext/>
              <w:spacing w:before="2" w:line="260" w:lineRule="exact"/>
              <w:jc w:val="right"/>
              <w:rPr>
                <w:sz w:val="20"/>
                <w:szCs w:val="20"/>
              </w:rPr>
            </w:pPr>
            <w:r>
              <w:rPr>
                <w:sz w:val="20"/>
                <w:szCs w:val="20"/>
              </w:rPr>
              <w:t>84,960,000</w:t>
            </w:r>
          </w:p>
        </w:tc>
        <w:tc>
          <w:tcPr>
            <w:tcW w:w="1170" w:type="dxa"/>
            <w:noWrap/>
            <w:vAlign w:val="center"/>
            <w:hideMark/>
          </w:tcPr>
          <w:p w:rsidR="0088428E" w:rsidRPr="00992322" w:rsidP="0088428E" w14:paraId="377BD7EF" w14:textId="2AC8B705">
            <w:pPr>
              <w:keepNext/>
              <w:spacing w:before="2" w:line="260" w:lineRule="exact"/>
              <w:jc w:val="right"/>
              <w:rPr>
                <w:sz w:val="20"/>
                <w:szCs w:val="20"/>
              </w:rPr>
            </w:pPr>
            <w:r>
              <w:rPr>
                <w:sz w:val="20"/>
                <w:szCs w:val="20"/>
              </w:rPr>
              <w:t>0.0042</w:t>
            </w:r>
          </w:p>
        </w:tc>
        <w:tc>
          <w:tcPr>
            <w:tcW w:w="1188" w:type="dxa"/>
            <w:vAlign w:val="center"/>
          </w:tcPr>
          <w:p w:rsidR="0088428E" w:rsidRPr="00992322" w:rsidP="0088428E" w14:paraId="2517CBA9" w14:textId="712209CA">
            <w:pPr>
              <w:keepNext/>
              <w:spacing w:before="2" w:line="260" w:lineRule="exact"/>
              <w:jc w:val="right"/>
              <w:rPr>
                <w:sz w:val="20"/>
                <w:szCs w:val="20"/>
              </w:rPr>
            </w:pPr>
            <w:r>
              <w:rPr>
                <w:sz w:val="20"/>
                <w:szCs w:val="20"/>
              </w:rPr>
              <w:t>355,877</w:t>
            </w:r>
          </w:p>
        </w:tc>
        <w:tc>
          <w:tcPr>
            <w:tcW w:w="900" w:type="dxa"/>
            <w:noWrap/>
            <w:vAlign w:val="center"/>
          </w:tcPr>
          <w:p w:rsidR="0088428E" w:rsidRPr="00992322" w:rsidP="0088428E" w14:paraId="1CECD216" w14:textId="77777777">
            <w:pPr>
              <w:keepNext/>
              <w:spacing w:before="2" w:line="260" w:lineRule="exact"/>
              <w:jc w:val="right"/>
              <w:rPr>
                <w:sz w:val="20"/>
                <w:szCs w:val="20"/>
              </w:rPr>
            </w:pPr>
            <w:r w:rsidRPr="00992322">
              <w:rPr>
                <w:sz w:val="20"/>
                <w:szCs w:val="20"/>
              </w:rPr>
              <w:t>31</w:t>
            </w:r>
          </w:p>
        </w:tc>
        <w:tc>
          <w:tcPr>
            <w:tcW w:w="1620" w:type="dxa"/>
            <w:noWrap/>
            <w:vAlign w:val="center"/>
            <w:hideMark/>
          </w:tcPr>
          <w:p w:rsidR="0088428E" w:rsidRPr="00992322" w:rsidP="0088428E" w14:paraId="4444589A" w14:textId="27D8564B">
            <w:pPr>
              <w:keepNext/>
              <w:spacing w:before="2" w:line="260" w:lineRule="exact"/>
              <w:jc w:val="right"/>
              <w:rPr>
                <w:sz w:val="20"/>
                <w:szCs w:val="20"/>
              </w:rPr>
            </w:pPr>
            <w:r>
              <w:rPr>
                <w:sz w:val="20"/>
                <w:szCs w:val="20"/>
              </w:rPr>
              <w:t>11,</w:t>
            </w:r>
            <w:r w:rsidR="001A36A4">
              <w:rPr>
                <w:sz w:val="20"/>
                <w:szCs w:val="20"/>
              </w:rPr>
              <w:t>032</w:t>
            </w:r>
            <w:r w:rsidR="00E63BBE">
              <w:rPr>
                <w:sz w:val="20"/>
                <w:szCs w:val="20"/>
              </w:rPr>
              <w:t>,</w:t>
            </w:r>
            <w:r w:rsidR="001A36A4">
              <w:rPr>
                <w:sz w:val="20"/>
                <w:szCs w:val="20"/>
              </w:rPr>
              <w:t>187</w:t>
            </w:r>
          </w:p>
        </w:tc>
      </w:tr>
      <w:tr w14:paraId="0426904D" w14:textId="77777777" w:rsidTr="006142C9">
        <w:tblPrEx>
          <w:tblW w:w="10998" w:type="dxa"/>
          <w:tblInd w:w="-612" w:type="dxa"/>
          <w:tblLayout w:type="fixed"/>
          <w:tblLook w:val="04A0"/>
        </w:tblPrEx>
        <w:trPr>
          <w:cantSplit/>
          <w:trHeight w:val="13"/>
          <w:tblHeader/>
        </w:trPr>
        <w:tc>
          <w:tcPr>
            <w:tcW w:w="2070" w:type="dxa"/>
            <w:noWrap/>
            <w:hideMark/>
          </w:tcPr>
          <w:p w:rsidR="0088428E" w:rsidRPr="00992322" w:rsidP="0088428E" w14:paraId="05C76203" w14:textId="69A170C6">
            <w:pPr>
              <w:spacing w:before="2" w:line="260" w:lineRule="exact"/>
              <w:rPr>
                <w:sz w:val="20"/>
                <w:szCs w:val="20"/>
              </w:rPr>
            </w:pPr>
            <w:r w:rsidRPr="00992322">
              <w:rPr>
                <w:sz w:val="20"/>
                <w:szCs w:val="20"/>
              </w:rPr>
              <w:t xml:space="preserve">Furnishing of Credit Information </w:t>
            </w:r>
            <w:r w:rsidR="007967B2">
              <w:rPr>
                <w:sz w:val="20"/>
                <w:szCs w:val="20"/>
              </w:rPr>
              <w:t>section</w:t>
            </w:r>
            <w:r w:rsidRPr="00992322">
              <w:rPr>
                <w:sz w:val="20"/>
                <w:szCs w:val="20"/>
              </w:rPr>
              <w:t> 1002.10</w:t>
            </w:r>
          </w:p>
        </w:tc>
        <w:tc>
          <w:tcPr>
            <w:tcW w:w="1350" w:type="dxa"/>
            <w:noWrap/>
            <w:vAlign w:val="center"/>
            <w:hideMark/>
          </w:tcPr>
          <w:p w:rsidR="0088428E" w:rsidRPr="00992322" w:rsidP="0088428E" w14:paraId="4D07B3E7" w14:textId="77777777">
            <w:pPr>
              <w:spacing w:before="2" w:line="260" w:lineRule="exact"/>
              <w:jc w:val="right"/>
              <w:rPr>
                <w:sz w:val="20"/>
                <w:szCs w:val="20"/>
              </w:rPr>
            </w:pPr>
            <w:r w:rsidRPr="00992322">
              <w:rPr>
                <w:sz w:val="20"/>
                <w:szCs w:val="20"/>
              </w:rPr>
              <w:t>136,000</w:t>
            </w:r>
          </w:p>
        </w:tc>
        <w:tc>
          <w:tcPr>
            <w:tcW w:w="1410" w:type="dxa"/>
            <w:noWrap/>
            <w:vAlign w:val="center"/>
            <w:hideMark/>
          </w:tcPr>
          <w:p w:rsidR="0088428E" w:rsidRPr="00992322" w:rsidP="0088428E" w14:paraId="3B8D8234" w14:textId="0E4CD2B6">
            <w:pPr>
              <w:spacing w:before="2" w:line="260" w:lineRule="exact"/>
              <w:jc w:val="right"/>
              <w:rPr>
                <w:sz w:val="20"/>
                <w:szCs w:val="20"/>
              </w:rPr>
            </w:pPr>
            <w:r>
              <w:rPr>
                <w:sz w:val="20"/>
                <w:szCs w:val="20"/>
              </w:rPr>
              <w:t>424</w:t>
            </w:r>
            <w:r w:rsidRPr="00992322">
              <w:rPr>
                <w:sz w:val="20"/>
                <w:szCs w:val="20"/>
              </w:rPr>
              <w:t xml:space="preserve"> </w:t>
            </w:r>
          </w:p>
        </w:tc>
        <w:tc>
          <w:tcPr>
            <w:tcW w:w="1290" w:type="dxa"/>
            <w:noWrap/>
            <w:vAlign w:val="center"/>
          </w:tcPr>
          <w:p w:rsidR="0088428E" w:rsidRPr="005C3F34" w:rsidP="0088428E" w14:paraId="3EC8E433" w14:textId="4E8E5BC4">
            <w:pPr>
              <w:spacing w:before="2" w:line="260" w:lineRule="exact"/>
              <w:jc w:val="right"/>
              <w:rPr>
                <w:sz w:val="20"/>
                <w:szCs w:val="20"/>
              </w:rPr>
            </w:pPr>
            <w:r>
              <w:rPr>
                <w:bCs/>
                <w:sz w:val="20"/>
                <w:szCs w:val="20"/>
              </w:rPr>
              <w:t>57,664,000</w:t>
            </w:r>
          </w:p>
        </w:tc>
        <w:tc>
          <w:tcPr>
            <w:tcW w:w="1170" w:type="dxa"/>
            <w:noWrap/>
            <w:vAlign w:val="center"/>
            <w:hideMark/>
          </w:tcPr>
          <w:p w:rsidR="0088428E" w:rsidRPr="00992322" w:rsidP="0088428E" w14:paraId="3BE7542A" w14:textId="09A3313E">
            <w:pPr>
              <w:spacing w:before="2" w:line="260" w:lineRule="exact"/>
              <w:jc w:val="right"/>
              <w:rPr>
                <w:sz w:val="20"/>
                <w:szCs w:val="20"/>
              </w:rPr>
            </w:pPr>
            <w:r>
              <w:rPr>
                <w:bCs/>
                <w:sz w:val="20"/>
                <w:szCs w:val="20"/>
              </w:rPr>
              <w:t>0.0042</w:t>
            </w:r>
          </w:p>
        </w:tc>
        <w:tc>
          <w:tcPr>
            <w:tcW w:w="1188" w:type="dxa"/>
            <w:vAlign w:val="center"/>
          </w:tcPr>
          <w:p w:rsidR="0088428E" w:rsidRPr="00992322" w:rsidP="0088428E" w14:paraId="3494AEB8" w14:textId="54A4DF4E">
            <w:pPr>
              <w:spacing w:before="2" w:line="260" w:lineRule="exact"/>
              <w:jc w:val="right"/>
              <w:rPr>
                <w:sz w:val="20"/>
                <w:szCs w:val="20"/>
              </w:rPr>
            </w:pPr>
            <w:r>
              <w:rPr>
                <w:bCs/>
                <w:sz w:val="20"/>
                <w:szCs w:val="20"/>
              </w:rPr>
              <w:t>241,979</w:t>
            </w:r>
          </w:p>
        </w:tc>
        <w:tc>
          <w:tcPr>
            <w:tcW w:w="900" w:type="dxa"/>
            <w:noWrap/>
            <w:vAlign w:val="center"/>
          </w:tcPr>
          <w:p w:rsidR="0088428E" w:rsidRPr="00992322" w:rsidP="0088428E" w14:paraId="46FF8C0E" w14:textId="77777777">
            <w:pPr>
              <w:spacing w:before="2" w:line="260" w:lineRule="exact"/>
              <w:jc w:val="right"/>
              <w:rPr>
                <w:sz w:val="20"/>
                <w:szCs w:val="20"/>
              </w:rPr>
            </w:pPr>
            <w:r w:rsidRPr="00992322">
              <w:rPr>
                <w:sz w:val="20"/>
                <w:szCs w:val="20"/>
              </w:rPr>
              <w:t>31</w:t>
            </w:r>
          </w:p>
        </w:tc>
        <w:tc>
          <w:tcPr>
            <w:tcW w:w="1620" w:type="dxa"/>
            <w:noWrap/>
            <w:vAlign w:val="center"/>
            <w:hideMark/>
          </w:tcPr>
          <w:p w:rsidR="0088428E" w:rsidRPr="00992322" w:rsidP="0088428E" w14:paraId="54ACCC4D" w14:textId="71703D69">
            <w:pPr>
              <w:spacing w:before="2" w:line="260" w:lineRule="exact"/>
              <w:jc w:val="right"/>
              <w:rPr>
                <w:sz w:val="20"/>
                <w:szCs w:val="20"/>
              </w:rPr>
            </w:pPr>
            <w:r>
              <w:rPr>
                <w:sz w:val="20"/>
                <w:szCs w:val="20"/>
              </w:rPr>
              <w:t>7,50</w:t>
            </w:r>
            <w:r w:rsidR="001A36A4">
              <w:rPr>
                <w:sz w:val="20"/>
                <w:szCs w:val="20"/>
              </w:rPr>
              <w:t>1,349</w:t>
            </w:r>
          </w:p>
        </w:tc>
      </w:tr>
      <w:tr w14:paraId="1242CD33" w14:textId="77777777" w:rsidTr="006142C9">
        <w:tblPrEx>
          <w:tblW w:w="10998" w:type="dxa"/>
          <w:tblInd w:w="-612" w:type="dxa"/>
          <w:tblLayout w:type="fixed"/>
          <w:tblLook w:val="04A0"/>
        </w:tblPrEx>
        <w:trPr>
          <w:cantSplit/>
          <w:trHeight w:val="13"/>
          <w:tblHeader/>
        </w:trPr>
        <w:tc>
          <w:tcPr>
            <w:tcW w:w="2070" w:type="dxa"/>
            <w:noWrap/>
            <w:hideMark/>
          </w:tcPr>
          <w:p w:rsidR="0088428E" w:rsidRPr="00992322" w:rsidP="0088428E" w14:paraId="567A83C8" w14:textId="79F0CB0B">
            <w:pPr>
              <w:spacing w:before="2" w:line="260" w:lineRule="exact"/>
              <w:rPr>
                <w:sz w:val="20"/>
                <w:szCs w:val="20"/>
              </w:rPr>
            </w:pPr>
            <w:r w:rsidRPr="00992322">
              <w:rPr>
                <w:sz w:val="20"/>
                <w:szCs w:val="20"/>
              </w:rPr>
              <w:t xml:space="preserve">Record Retention </w:t>
            </w:r>
            <w:r w:rsidR="007967B2">
              <w:rPr>
                <w:sz w:val="20"/>
                <w:szCs w:val="20"/>
              </w:rPr>
              <w:t>section</w:t>
            </w:r>
            <w:r w:rsidRPr="00992322">
              <w:rPr>
                <w:sz w:val="20"/>
                <w:szCs w:val="20"/>
              </w:rPr>
              <w:t> 1002.12</w:t>
            </w:r>
          </w:p>
        </w:tc>
        <w:tc>
          <w:tcPr>
            <w:tcW w:w="1350" w:type="dxa"/>
            <w:noWrap/>
            <w:vAlign w:val="center"/>
            <w:hideMark/>
          </w:tcPr>
          <w:p w:rsidR="0088428E" w:rsidRPr="00992322" w:rsidP="0088428E" w14:paraId="351E7722" w14:textId="77777777">
            <w:pPr>
              <w:spacing w:before="2" w:line="260" w:lineRule="exact"/>
              <w:jc w:val="right"/>
              <w:rPr>
                <w:sz w:val="20"/>
                <w:szCs w:val="20"/>
              </w:rPr>
            </w:pPr>
            <w:r w:rsidRPr="00992322">
              <w:rPr>
                <w:sz w:val="20"/>
                <w:szCs w:val="20"/>
              </w:rPr>
              <w:t>472,000</w:t>
            </w:r>
          </w:p>
        </w:tc>
        <w:tc>
          <w:tcPr>
            <w:tcW w:w="1410" w:type="dxa"/>
            <w:noWrap/>
            <w:vAlign w:val="center"/>
            <w:hideMark/>
          </w:tcPr>
          <w:p w:rsidR="0088428E" w:rsidRPr="00992322" w:rsidP="0088428E" w14:paraId="6CCD2745" w14:textId="26A1083F">
            <w:pPr>
              <w:spacing w:before="2" w:line="260" w:lineRule="exact"/>
              <w:jc w:val="right"/>
              <w:rPr>
                <w:sz w:val="20"/>
                <w:szCs w:val="20"/>
              </w:rPr>
            </w:pPr>
            <w:r>
              <w:rPr>
                <w:sz w:val="20"/>
                <w:szCs w:val="20"/>
              </w:rPr>
              <w:t>180</w:t>
            </w:r>
            <w:r w:rsidRPr="00992322">
              <w:rPr>
                <w:sz w:val="20"/>
                <w:szCs w:val="20"/>
              </w:rPr>
              <w:t xml:space="preserve"> </w:t>
            </w:r>
          </w:p>
        </w:tc>
        <w:tc>
          <w:tcPr>
            <w:tcW w:w="1290" w:type="dxa"/>
            <w:noWrap/>
            <w:vAlign w:val="center"/>
          </w:tcPr>
          <w:p w:rsidR="0088428E" w:rsidRPr="005C3F34" w:rsidP="0088428E" w14:paraId="15686CB1" w14:textId="6C1A0548">
            <w:pPr>
              <w:spacing w:before="2" w:line="260" w:lineRule="exact"/>
              <w:jc w:val="right"/>
              <w:rPr>
                <w:sz w:val="20"/>
                <w:szCs w:val="20"/>
              </w:rPr>
            </w:pPr>
            <w:r>
              <w:rPr>
                <w:bCs/>
                <w:sz w:val="20"/>
                <w:szCs w:val="20"/>
              </w:rPr>
              <w:t>84,960,000</w:t>
            </w:r>
          </w:p>
        </w:tc>
        <w:tc>
          <w:tcPr>
            <w:tcW w:w="1170" w:type="dxa"/>
            <w:noWrap/>
            <w:vAlign w:val="center"/>
            <w:hideMark/>
          </w:tcPr>
          <w:p w:rsidR="0088428E" w:rsidRPr="00992322" w:rsidP="0088428E" w14:paraId="621E880F" w14:textId="6CCF06B1">
            <w:pPr>
              <w:spacing w:before="2" w:line="260" w:lineRule="exact"/>
              <w:jc w:val="right"/>
              <w:rPr>
                <w:sz w:val="20"/>
                <w:szCs w:val="20"/>
              </w:rPr>
            </w:pPr>
            <w:r>
              <w:rPr>
                <w:bCs/>
                <w:sz w:val="20"/>
                <w:szCs w:val="20"/>
              </w:rPr>
              <w:t>0.0042</w:t>
            </w:r>
          </w:p>
        </w:tc>
        <w:tc>
          <w:tcPr>
            <w:tcW w:w="1188" w:type="dxa"/>
            <w:vAlign w:val="center"/>
          </w:tcPr>
          <w:p w:rsidR="0088428E" w:rsidRPr="00992322" w:rsidP="0088428E" w14:paraId="48568569" w14:textId="5D40B7A6">
            <w:pPr>
              <w:spacing w:before="2" w:line="260" w:lineRule="exact"/>
              <w:jc w:val="right"/>
              <w:rPr>
                <w:sz w:val="20"/>
                <w:szCs w:val="20"/>
              </w:rPr>
            </w:pPr>
            <w:r>
              <w:rPr>
                <w:bCs/>
                <w:sz w:val="20"/>
                <w:szCs w:val="20"/>
              </w:rPr>
              <w:t>355,877</w:t>
            </w:r>
          </w:p>
        </w:tc>
        <w:tc>
          <w:tcPr>
            <w:tcW w:w="900" w:type="dxa"/>
            <w:noWrap/>
            <w:vAlign w:val="center"/>
          </w:tcPr>
          <w:p w:rsidR="0088428E" w:rsidRPr="00992322" w:rsidP="0088428E" w14:paraId="3A48DE71" w14:textId="77777777">
            <w:pPr>
              <w:spacing w:before="2" w:line="260" w:lineRule="exact"/>
              <w:jc w:val="right"/>
              <w:rPr>
                <w:sz w:val="20"/>
                <w:szCs w:val="20"/>
              </w:rPr>
            </w:pPr>
            <w:r w:rsidRPr="00992322">
              <w:rPr>
                <w:sz w:val="20"/>
                <w:szCs w:val="20"/>
              </w:rPr>
              <w:t>31</w:t>
            </w:r>
          </w:p>
        </w:tc>
        <w:tc>
          <w:tcPr>
            <w:tcW w:w="1620" w:type="dxa"/>
            <w:noWrap/>
            <w:vAlign w:val="center"/>
            <w:hideMark/>
          </w:tcPr>
          <w:p w:rsidR="0088428E" w:rsidRPr="00992322" w:rsidP="0088428E" w14:paraId="188A71F7" w14:textId="25AA6666">
            <w:pPr>
              <w:spacing w:before="2" w:line="260" w:lineRule="exact"/>
              <w:jc w:val="right"/>
              <w:rPr>
                <w:sz w:val="20"/>
                <w:szCs w:val="20"/>
              </w:rPr>
            </w:pPr>
            <w:r>
              <w:rPr>
                <w:sz w:val="20"/>
                <w:szCs w:val="20"/>
              </w:rPr>
              <w:t>11,0</w:t>
            </w:r>
            <w:r w:rsidR="001A36A4">
              <w:rPr>
                <w:sz w:val="20"/>
                <w:szCs w:val="20"/>
              </w:rPr>
              <w:t>32,187</w:t>
            </w:r>
          </w:p>
        </w:tc>
      </w:tr>
      <w:tr w14:paraId="6F46739A" w14:textId="77777777" w:rsidTr="006142C9">
        <w:tblPrEx>
          <w:tblW w:w="10998" w:type="dxa"/>
          <w:tblInd w:w="-612" w:type="dxa"/>
          <w:tblLayout w:type="fixed"/>
          <w:tblLook w:val="04A0"/>
        </w:tblPrEx>
        <w:trPr>
          <w:cantSplit/>
          <w:trHeight w:val="13"/>
          <w:tblHeader/>
        </w:trPr>
        <w:tc>
          <w:tcPr>
            <w:tcW w:w="2070" w:type="dxa"/>
            <w:noWrap/>
            <w:hideMark/>
          </w:tcPr>
          <w:p w:rsidR="0088428E" w:rsidRPr="00992322" w:rsidP="0088428E" w14:paraId="27C6E769" w14:textId="15272535">
            <w:pPr>
              <w:spacing w:before="2" w:line="260" w:lineRule="exact"/>
              <w:rPr>
                <w:sz w:val="20"/>
                <w:szCs w:val="20"/>
              </w:rPr>
            </w:pPr>
            <w:r w:rsidRPr="00992322">
              <w:rPr>
                <w:sz w:val="20"/>
                <w:szCs w:val="20"/>
              </w:rPr>
              <w:t xml:space="preserve">Information Collected for Monitoring Purposes </w:t>
            </w:r>
            <w:r w:rsidR="007967B2">
              <w:rPr>
                <w:sz w:val="20"/>
                <w:szCs w:val="20"/>
              </w:rPr>
              <w:t>section</w:t>
            </w:r>
            <w:r w:rsidRPr="00992322">
              <w:rPr>
                <w:sz w:val="20"/>
                <w:szCs w:val="20"/>
              </w:rPr>
              <w:t> 1002.13(a)&amp;(b)</w:t>
            </w:r>
          </w:p>
        </w:tc>
        <w:tc>
          <w:tcPr>
            <w:tcW w:w="1350" w:type="dxa"/>
            <w:noWrap/>
            <w:vAlign w:val="center"/>
            <w:hideMark/>
          </w:tcPr>
          <w:p w:rsidR="0088428E" w:rsidRPr="00992322" w:rsidP="0088428E" w14:paraId="14A85E5F" w14:textId="77777777">
            <w:pPr>
              <w:spacing w:before="2" w:line="260" w:lineRule="exact"/>
              <w:jc w:val="right"/>
              <w:rPr>
                <w:sz w:val="20"/>
                <w:szCs w:val="20"/>
              </w:rPr>
            </w:pPr>
            <w:r w:rsidRPr="00992322">
              <w:rPr>
                <w:sz w:val="20"/>
                <w:szCs w:val="20"/>
              </w:rPr>
              <w:t>2,100</w:t>
            </w:r>
          </w:p>
        </w:tc>
        <w:tc>
          <w:tcPr>
            <w:tcW w:w="1410" w:type="dxa"/>
            <w:noWrap/>
            <w:vAlign w:val="center"/>
            <w:hideMark/>
          </w:tcPr>
          <w:p w:rsidR="0088428E" w:rsidRPr="00992322" w:rsidP="0088428E" w14:paraId="1A3910F8" w14:textId="77777777">
            <w:pPr>
              <w:spacing w:before="2" w:line="260" w:lineRule="exact"/>
              <w:jc w:val="right"/>
              <w:rPr>
                <w:sz w:val="20"/>
                <w:szCs w:val="20"/>
              </w:rPr>
            </w:pPr>
            <w:r w:rsidRPr="00992322">
              <w:rPr>
                <w:sz w:val="20"/>
                <w:szCs w:val="20"/>
              </w:rPr>
              <w:t xml:space="preserve">4,934 </w:t>
            </w:r>
          </w:p>
        </w:tc>
        <w:tc>
          <w:tcPr>
            <w:tcW w:w="1290" w:type="dxa"/>
            <w:noWrap/>
            <w:vAlign w:val="center"/>
          </w:tcPr>
          <w:p w:rsidR="0088428E" w:rsidRPr="005C3F34" w:rsidP="0088428E" w14:paraId="1A4CC540" w14:textId="4C472541">
            <w:pPr>
              <w:spacing w:before="2" w:line="260" w:lineRule="exact"/>
              <w:jc w:val="right"/>
              <w:rPr>
                <w:sz w:val="20"/>
                <w:szCs w:val="20"/>
              </w:rPr>
            </w:pPr>
            <w:r>
              <w:rPr>
                <w:bCs/>
                <w:sz w:val="20"/>
                <w:szCs w:val="20"/>
              </w:rPr>
              <w:t>10,361,400</w:t>
            </w:r>
          </w:p>
        </w:tc>
        <w:tc>
          <w:tcPr>
            <w:tcW w:w="1170" w:type="dxa"/>
            <w:noWrap/>
            <w:vAlign w:val="center"/>
            <w:hideMark/>
          </w:tcPr>
          <w:p w:rsidR="0088428E" w:rsidRPr="00992322" w:rsidP="0088428E" w14:paraId="0E37E2D9" w14:textId="00941C88">
            <w:pPr>
              <w:spacing w:before="2" w:line="260" w:lineRule="exact"/>
              <w:jc w:val="right"/>
              <w:rPr>
                <w:sz w:val="20"/>
                <w:szCs w:val="20"/>
              </w:rPr>
            </w:pPr>
            <w:r>
              <w:rPr>
                <w:bCs/>
                <w:sz w:val="20"/>
                <w:szCs w:val="20"/>
              </w:rPr>
              <w:t>0.0167</w:t>
            </w:r>
          </w:p>
        </w:tc>
        <w:tc>
          <w:tcPr>
            <w:tcW w:w="1188" w:type="dxa"/>
            <w:vAlign w:val="center"/>
          </w:tcPr>
          <w:p w:rsidR="0088428E" w:rsidRPr="00992322" w:rsidP="0088428E" w14:paraId="110653F6" w14:textId="4D1738B7">
            <w:pPr>
              <w:spacing w:before="2" w:line="260" w:lineRule="exact"/>
              <w:jc w:val="right"/>
              <w:rPr>
                <w:sz w:val="20"/>
                <w:szCs w:val="20"/>
              </w:rPr>
            </w:pPr>
            <w:r>
              <w:rPr>
                <w:bCs/>
                <w:sz w:val="20"/>
                <w:szCs w:val="20"/>
              </w:rPr>
              <w:t>173,037</w:t>
            </w:r>
          </w:p>
        </w:tc>
        <w:tc>
          <w:tcPr>
            <w:tcW w:w="900" w:type="dxa"/>
            <w:noWrap/>
            <w:vAlign w:val="center"/>
          </w:tcPr>
          <w:p w:rsidR="0088428E" w:rsidRPr="00992322" w:rsidP="0088428E" w14:paraId="3ACFAF87" w14:textId="77777777">
            <w:pPr>
              <w:spacing w:before="2" w:line="260" w:lineRule="exact"/>
              <w:jc w:val="right"/>
              <w:rPr>
                <w:sz w:val="20"/>
                <w:szCs w:val="20"/>
              </w:rPr>
            </w:pPr>
            <w:r w:rsidRPr="00992322">
              <w:rPr>
                <w:sz w:val="20"/>
                <w:szCs w:val="20"/>
              </w:rPr>
              <w:t>31</w:t>
            </w:r>
          </w:p>
        </w:tc>
        <w:tc>
          <w:tcPr>
            <w:tcW w:w="1620" w:type="dxa"/>
            <w:noWrap/>
            <w:vAlign w:val="center"/>
            <w:hideMark/>
          </w:tcPr>
          <w:p w:rsidR="0088428E" w:rsidRPr="00992322" w:rsidP="0088428E" w14:paraId="4C8D997F" w14:textId="19CB270A">
            <w:pPr>
              <w:spacing w:before="2" w:line="260" w:lineRule="exact"/>
              <w:jc w:val="right"/>
              <w:rPr>
                <w:sz w:val="20"/>
                <w:szCs w:val="20"/>
              </w:rPr>
            </w:pPr>
            <w:r>
              <w:rPr>
                <w:sz w:val="20"/>
                <w:szCs w:val="20"/>
              </w:rPr>
              <w:t>5,364,</w:t>
            </w:r>
            <w:r w:rsidR="001A36A4">
              <w:rPr>
                <w:sz w:val="20"/>
                <w:szCs w:val="20"/>
              </w:rPr>
              <w:t>147</w:t>
            </w:r>
          </w:p>
        </w:tc>
      </w:tr>
      <w:tr w14:paraId="1D509B57" w14:textId="77777777" w:rsidTr="006142C9">
        <w:tblPrEx>
          <w:tblW w:w="10998" w:type="dxa"/>
          <w:tblInd w:w="-612" w:type="dxa"/>
          <w:tblLayout w:type="fixed"/>
          <w:tblLook w:val="04A0"/>
        </w:tblPrEx>
        <w:trPr>
          <w:cantSplit/>
          <w:trHeight w:val="13"/>
          <w:tblHeader/>
        </w:trPr>
        <w:tc>
          <w:tcPr>
            <w:tcW w:w="2070" w:type="dxa"/>
            <w:noWrap/>
            <w:hideMark/>
          </w:tcPr>
          <w:p w:rsidR="0088428E" w:rsidRPr="00992322" w:rsidP="0088428E" w14:paraId="7CCDCC4F" w14:textId="21A57ABC">
            <w:pPr>
              <w:spacing w:before="2" w:line="260" w:lineRule="exact"/>
              <w:rPr>
                <w:sz w:val="20"/>
                <w:szCs w:val="20"/>
              </w:rPr>
            </w:pPr>
            <w:r w:rsidRPr="00992322">
              <w:rPr>
                <w:sz w:val="20"/>
                <w:szCs w:val="20"/>
              </w:rPr>
              <w:t xml:space="preserve">Disclosure or Intent of Information Collected for Monitoring Purposes </w:t>
            </w:r>
            <w:r w:rsidR="007967B2">
              <w:rPr>
                <w:sz w:val="20"/>
                <w:szCs w:val="20"/>
              </w:rPr>
              <w:t>section</w:t>
            </w:r>
            <w:r w:rsidRPr="00992322">
              <w:rPr>
                <w:sz w:val="20"/>
                <w:szCs w:val="20"/>
              </w:rPr>
              <w:t> 1002.13(c)</w:t>
            </w:r>
          </w:p>
        </w:tc>
        <w:tc>
          <w:tcPr>
            <w:tcW w:w="1350" w:type="dxa"/>
            <w:noWrap/>
            <w:vAlign w:val="center"/>
            <w:hideMark/>
          </w:tcPr>
          <w:p w:rsidR="0088428E" w:rsidRPr="00992322" w:rsidP="0088428E" w14:paraId="7E23EC28" w14:textId="77777777">
            <w:pPr>
              <w:spacing w:before="2" w:line="260" w:lineRule="exact"/>
              <w:jc w:val="right"/>
              <w:rPr>
                <w:sz w:val="20"/>
                <w:szCs w:val="20"/>
              </w:rPr>
            </w:pPr>
            <w:r w:rsidRPr="00992322">
              <w:rPr>
                <w:sz w:val="20"/>
                <w:szCs w:val="20"/>
              </w:rPr>
              <w:t>2,100</w:t>
            </w:r>
          </w:p>
        </w:tc>
        <w:tc>
          <w:tcPr>
            <w:tcW w:w="1410" w:type="dxa"/>
            <w:noWrap/>
            <w:vAlign w:val="center"/>
            <w:hideMark/>
          </w:tcPr>
          <w:p w:rsidR="0088428E" w:rsidRPr="00992322" w:rsidP="0088428E" w14:paraId="4327A54E" w14:textId="77777777">
            <w:pPr>
              <w:spacing w:before="2" w:line="260" w:lineRule="exact"/>
              <w:jc w:val="right"/>
              <w:rPr>
                <w:sz w:val="20"/>
                <w:szCs w:val="20"/>
              </w:rPr>
            </w:pPr>
            <w:r w:rsidRPr="00992322">
              <w:rPr>
                <w:sz w:val="20"/>
                <w:szCs w:val="20"/>
              </w:rPr>
              <w:t xml:space="preserve">4,934 </w:t>
            </w:r>
          </w:p>
        </w:tc>
        <w:tc>
          <w:tcPr>
            <w:tcW w:w="1290" w:type="dxa"/>
            <w:noWrap/>
            <w:vAlign w:val="center"/>
          </w:tcPr>
          <w:p w:rsidR="0088428E" w:rsidRPr="005C3F34" w:rsidP="0088428E" w14:paraId="62FD7507" w14:textId="526B75FE">
            <w:pPr>
              <w:spacing w:before="2" w:line="260" w:lineRule="exact"/>
              <w:jc w:val="right"/>
              <w:rPr>
                <w:sz w:val="20"/>
                <w:szCs w:val="20"/>
              </w:rPr>
            </w:pPr>
            <w:r>
              <w:rPr>
                <w:bCs/>
                <w:sz w:val="20"/>
                <w:szCs w:val="20"/>
              </w:rPr>
              <w:t>10,361,400</w:t>
            </w:r>
          </w:p>
        </w:tc>
        <w:tc>
          <w:tcPr>
            <w:tcW w:w="1170" w:type="dxa"/>
            <w:noWrap/>
            <w:vAlign w:val="center"/>
            <w:hideMark/>
          </w:tcPr>
          <w:p w:rsidR="0088428E" w:rsidRPr="00992322" w:rsidP="0088428E" w14:paraId="307F89A0" w14:textId="61F861B1">
            <w:pPr>
              <w:spacing w:before="2" w:line="260" w:lineRule="exact"/>
              <w:jc w:val="right"/>
              <w:rPr>
                <w:sz w:val="20"/>
                <w:szCs w:val="20"/>
              </w:rPr>
            </w:pPr>
            <w:r>
              <w:rPr>
                <w:bCs/>
                <w:sz w:val="20"/>
                <w:szCs w:val="20"/>
              </w:rPr>
              <w:t>0.0042</w:t>
            </w:r>
          </w:p>
        </w:tc>
        <w:tc>
          <w:tcPr>
            <w:tcW w:w="1188" w:type="dxa"/>
            <w:vAlign w:val="center"/>
          </w:tcPr>
          <w:p w:rsidR="0088428E" w:rsidRPr="00992322" w:rsidP="0088428E" w14:paraId="27CF912C" w14:textId="10C8AF5A">
            <w:pPr>
              <w:spacing w:before="2" w:line="260" w:lineRule="exact"/>
              <w:jc w:val="right"/>
              <w:rPr>
                <w:sz w:val="20"/>
                <w:szCs w:val="20"/>
              </w:rPr>
            </w:pPr>
            <w:r>
              <w:rPr>
                <w:bCs/>
                <w:sz w:val="20"/>
                <w:szCs w:val="20"/>
              </w:rPr>
              <w:t>43,518</w:t>
            </w:r>
          </w:p>
        </w:tc>
        <w:tc>
          <w:tcPr>
            <w:tcW w:w="900" w:type="dxa"/>
            <w:noWrap/>
            <w:vAlign w:val="center"/>
          </w:tcPr>
          <w:p w:rsidR="0088428E" w:rsidRPr="00992322" w:rsidP="0088428E" w14:paraId="61011ADA" w14:textId="77777777">
            <w:pPr>
              <w:spacing w:before="2" w:line="260" w:lineRule="exact"/>
              <w:jc w:val="right"/>
              <w:rPr>
                <w:sz w:val="20"/>
                <w:szCs w:val="20"/>
              </w:rPr>
            </w:pPr>
            <w:r w:rsidRPr="00992322">
              <w:rPr>
                <w:sz w:val="20"/>
                <w:szCs w:val="20"/>
              </w:rPr>
              <w:t>31</w:t>
            </w:r>
          </w:p>
        </w:tc>
        <w:tc>
          <w:tcPr>
            <w:tcW w:w="1620" w:type="dxa"/>
            <w:noWrap/>
            <w:vAlign w:val="center"/>
            <w:hideMark/>
          </w:tcPr>
          <w:p w:rsidR="0088428E" w:rsidRPr="00992322" w:rsidP="0088428E" w14:paraId="026FFD2F" w14:textId="64623870">
            <w:pPr>
              <w:spacing w:before="2" w:line="260" w:lineRule="exact"/>
              <w:jc w:val="right"/>
              <w:rPr>
                <w:sz w:val="20"/>
                <w:szCs w:val="20"/>
              </w:rPr>
            </w:pPr>
            <w:r>
              <w:rPr>
                <w:sz w:val="20"/>
                <w:szCs w:val="20"/>
              </w:rPr>
              <w:t>1,349,0</w:t>
            </w:r>
            <w:r w:rsidR="001A36A4">
              <w:rPr>
                <w:sz w:val="20"/>
                <w:szCs w:val="20"/>
              </w:rPr>
              <w:t>58</w:t>
            </w:r>
          </w:p>
        </w:tc>
      </w:tr>
      <w:tr w14:paraId="593CAAD4" w14:textId="77777777" w:rsidTr="006142C9">
        <w:tblPrEx>
          <w:tblW w:w="10998" w:type="dxa"/>
          <w:tblInd w:w="-612" w:type="dxa"/>
          <w:tblLayout w:type="fixed"/>
          <w:tblLook w:val="04A0"/>
        </w:tblPrEx>
        <w:trPr>
          <w:cantSplit/>
          <w:trHeight w:val="13"/>
          <w:tblHeader/>
        </w:trPr>
        <w:tc>
          <w:tcPr>
            <w:tcW w:w="2070" w:type="dxa"/>
            <w:noWrap/>
            <w:hideMark/>
          </w:tcPr>
          <w:p w:rsidR="0088428E" w:rsidRPr="00992322" w:rsidP="0088428E" w14:paraId="386412FA" w14:textId="271C1F18">
            <w:pPr>
              <w:spacing w:before="2" w:line="260" w:lineRule="exact"/>
              <w:rPr>
                <w:sz w:val="20"/>
                <w:szCs w:val="20"/>
              </w:rPr>
            </w:pPr>
            <w:r w:rsidRPr="00992322">
              <w:rPr>
                <w:sz w:val="20"/>
                <w:szCs w:val="20"/>
              </w:rPr>
              <w:t xml:space="preserve">Copy of Appraisal </w:t>
            </w:r>
            <w:r w:rsidR="007967B2">
              <w:rPr>
                <w:sz w:val="20"/>
                <w:szCs w:val="20"/>
              </w:rPr>
              <w:t>section</w:t>
            </w:r>
            <w:r w:rsidRPr="00992322">
              <w:rPr>
                <w:sz w:val="20"/>
                <w:szCs w:val="20"/>
              </w:rPr>
              <w:t> 1002.14(a)(</w:t>
            </w:r>
            <w:r w:rsidRPr="00992322">
              <w:rPr>
                <w:sz w:val="20"/>
                <w:szCs w:val="20"/>
              </w:rPr>
              <w:t>1)&amp;</w:t>
            </w:r>
            <w:r w:rsidRPr="00992322">
              <w:rPr>
                <w:sz w:val="20"/>
                <w:szCs w:val="20"/>
              </w:rPr>
              <w:t>(3)</w:t>
            </w:r>
          </w:p>
        </w:tc>
        <w:tc>
          <w:tcPr>
            <w:tcW w:w="1350" w:type="dxa"/>
            <w:noWrap/>
            <w:vAlign w:val="center"/>
            <w:hideMark/>
          </w:tcPr>
          <w:p w:rsidR="0088428E" w:rsidRPr="00992322" w:rsidP="0088428E" w14:paraId="7238DE67" w14:textId="77777777">
            <w:pPr>
              <w:spacing w:before="2" w:line="260" w:lineRule="exact"/>
              <w:jc w:val="right"/>
              <w:rPr>
                <w:sz w:val="20"/>
                <w:szCs w:val="20"/>
              </w:rPr>
            </w:pPr>
            <w:r w:rsidRPr="00992322">
              <w:rPr>
                <w:sz w:val="20"/>
                <w:szCs w:val="20"/>
              </w:rPr>
              <w:t>2,100</w:t>
            </w:r>
          </w:p>
        </w:tc>
        <w:tc>
          <w:tcPr>
            <w:tcW w:w="1410" w:type="dxa"/>
            <w:noWrap/>
            <w:vAlign w:val="center"/>
            <w:hideMark/>
          </w:tcPr>
          <w:p w:rsidR="0088428E" w:rsidRPr="00992322" w:rsidP="0088428E" w14:paraId="0AB9109B" w14:textId="77777777">
            <w:pPr>
              <w:spacing w:before="2" w:line="260" w:lineRule="exact"/>
              <w:jc w:val="right"/>
              <w:rPr>
                <w:sz w:val="20"/>
                <w:szCs w:val="20"/>
              </w:rPr>
            </w:pPr>
            <w:r w:rsidRPr="00992322">
              <w:rPr>
                <w:sz w:val="20"/>
                <w:szCs w:val="20"/>
              </w:rPr>
              <w:t>4,934</w:t>
            </w:r>
          </w:p>
        </w:tc>
        <w:tc>
          <w:tcPr>
            <w:tcW w:w="1290" w:type="dxa"/>
            <w:noWrap/>
            <w:vAlign w:val="center"/>
          </w:tcPr>
          <w:p w:rsidR="0088428E" w:rsidRPr="005C3F34" w:rsidP="0088428E" w14:paraId="78BEAF18" w14:textId="62EF1EFD">
            <w:pPr>
              <w:spacing w:before="2" w:line="260" w:lineRule="exact"/>
              <w:jc w:val="right"/>
              <w:rPr>
                <w:sz w:val="20"/>
                <w:szCs w:val="20"/>
              </w:rPr>
            </w:pPr>
            <w:r>
              <w:rPr>
                <w:bCs/>
                <w:sz w:val="20"/>
                <w:szCs w:val="20"/>
              </w:rPr>
              <w:t>10,361,400</w:t>
            </w:r>
          </w:p>
        </w:tc>
        <w:tc>
          <w:tcPr>
            <w:tcW w:w="1170" w:type="dxa"/>
            <w:noWrap/>
            <w:vAlign w:val="center"/>
            <w:hideMark/>
          </w:tcPr>
          <w:p w:rsidR="0088428E" w:rsidRPr="00992322" w:rsidP="0088428E" w14:paraId="4650330A" w14:textId="777E065E">
            <w:pPr>
              <w:spacing w:before="2" w:line="260" w:lineRule="exact"/>
              <w:jc w:val="right"/>
              <w:rPr>
                <w:sz w:val="20"/>
                <w:szCs w:val="20"/>
              </w:rPr>
            </w:pPr>
            <w:r>
              <w:rPr>
                <w:bCs/>
                <w:sz w:val="20"/>
                <w:szCs w:val="20"/>
              </w:rPr>
              <w:t>0.0083</w:t>
            </w:r>
          </w:p>
        </w:tc>
        <w:tc>
          <w:tcPr>
            <w:tcW w:w="1188" w:type="dxa"/>
            <w:vAlign w:val="center"/>
          </w:tcPr>
          <w:p w:rsidR="0088428E" w:rsidRPr="00992322" w:rsidP="0088428E" w14:paraId="0DC2E246" w14:textId="38C7318B">
            <w:pPr>
              <w:spacing w:before="2" w:line="260" w:lineRule="exact"/>
              <w:jc w:val="right"/>
              <w:rPr>
                <w:sz w:val="20"/>
                <w:szCs w:val="20"/>
              </w:rPr>
            </w:pPr>
            <w:r>
              <w:rPr>
                <w:bCs/>
                <w:sz w:val="20"/>
                <w:szCs w:val="20"/>
              </w:rPr>
              <w:t>86,000</w:t>
            </w:r>
          </w:p>
        </w:tc>
        <w:tc>
          <w:tcPr>
            <w:tcW w:w="900" w:type="dxa"/>
            <w:noWrap/>
            <w:vAlign w:val="center"/>
          </w:tcPr>
          <w:p w:rsidR="0088428E" w:rsidRPr="00992322" w:rsidP="0088428E" w14:paraId="086F5087" w14:textId="77777777">
            <w:pPr>
              <w:spacing w:before="2" w:line="260" w:lineRule="exact"/>
              <w:jc w:val="right"/>
              <w:rPr>
                <w:sz w:val="20"/>
                <w:szCs w:val="20"/>
              </w:rPr>
            </w:pPr>
            <w:r w:rsidRPr="00992322">
              <w:rPr>
                <w:sz w:val="20"/>
                <w:szCs w:val="20"/>
              </w:rPr>
              <w:t>31</w:t>
            </w:r>
          </w:p>
        </w:tc>
        <w:tc>
          <w:tcPr>
            <w:tcW w:w="1620" w:type="dxa"/>
            <w:noWrap/>
            <w:vAlign w:val="center"/>
            <w:hideMark/>
          </w:tcPr>
          <w:p w:rsidR="0088428E" w:rsidRPr="00992322" w:rsidP="0088428E" w14:paraId="31710E41" w14:textId="7CE19F9A">
            <w:pPr>
              <w:spacing w:before="2" w:line="260" w:lineRule="exact"/>
              <w:jc w:val="right"/>
              <w:rPr>
                <w:sz w:val="20"/>
                <w:szCs w:val="20"/>
              </w:rPr>
            </w:pPr>
            <w:r>
              <w:rPr>
                <w:sz w:val="20"/>
                <w:szCs w:val="20"/>
              </w:rPr>
              <w:t>2,66</w:t>
            </w:r>
            <w:r w:rsidR="001A36A4">
              <w:rPr>
                <w:sz w:val="20"/>
                <w:szCs w:val="20"/>
              </w:rPr>
              <w:t>6,000</w:t>
            </w:r>
          </w:p>
        </w:tc>
      </w:tr>
      <w:tr w14:paraId="1C37C59C" w14:textId="77777777" w:rsidTr="006142C9">
        <w:tblPrEx>
          <w:tblW w:w="10998" w:type="dxa"/>
          <w:tblInd w:w="-612" w:type="dxa"/>
          <w:tblLayout w:type="fixed"/>
          <w:tblLook w:val="04A0"/>
        </w:tblPrEx>
        <w:trPr>
          <w:cantSplit/>
          <w:trHeight w:val="13"/>
          <w:tblHeader/>
        </w:trPr>
        <w:tc>
          <w:tcPr>
            <w:tcW w:w="2070" w:type="dxa"/>
            <w:noWrap/>
            <w:hideMark/>
          </w:tcPr>
          <w:p w:rsidR="0088428E" w:rsidRPr="00992322" w:rsidP="0088428E" w14:paraId="07727158" w14:textId="76B4C683">
            <w:pPr>
              <w:spacing w:before="2" w:line="260" w:lineRule="exact"/>
              <w:rPr>
                <w:sz w:val="20"/>
                <w:szCs w:val="20"/>
              </w:rPr>
            </w:pPr>
            <w:r w:rsidRPr="00992322">
              <w:rPr>
                <w:sz w:val="20"/>
                <w:szCs w:val="20"/>
              </w:rPr>
              <w:t xml:space="preserve">Disclosure of Self-Test Inquiries </w:t>
            </w:r>
            <w:r w:rsidR="007967B2">
              <w:rPr>
                <w:sz w:val="20"/>
                <w:szCs w:val="20"/>
              </w:rPr>
              <w:t>section</w:t>
            </w:r>
            <w:r w:rsidRPr="00992322">
              <w:rPr>
                <w:sz w:val="20"/>
                <w:szCs w:val="20"/>
              </w:rPr>
              <w:t> 1002.5(b)(1)</w:t>
            </w:r>
          </w:p>
        </w:tc>
        <w:tc>
          <w:tcPr>
            <w:tcW w:w="1350" w:type="dxa"/>
            <w:noWrap/>
            <w:vAlign w:val="center"/>
            <w:hideMark/>
          </w:tcPr>
          <w:p w:rsidR="0088428E" w:rsidRPr="00992322" w:rsidP="0088428E" w14:paraId="4C72E6C7" w14:textId="77777777">
            <w:pPr>
              <w:spacing w:before="2" w:line="260" w:lineRule="exact"/>
              <w:jc w:val="right"/>
              <w:rPr>
                <w:sz w:val="20"/>
                <w:szCs w:val="20"/>
              </w:rPr>
            </w:pPr>
            <w:r w:rsidRPr="00992322">
              <w:rPr>
                <w:sz w:val="20"/>
                <w:szCs w:val="20"/>
              </w:rPr>
              <w:t>1,900</w:t>
            </w:r>
          </w:p>
        </w:tc>
        <w:tc>
          <w:tcPr>
            <w:tcW w:w="1410" w:type="dxa"/>
            <w:noWrap/>
            <w:vAlign w:val="center"/>
            <w:hideMark/>
          </w:tcPr>
          <w:p w:rsidR="0088428E" w:rsidRPr="00992322" w:rsidP="0088428E" w14:paraId="6F0C47C4" w14:textId="3BC4D678">
            <w:pPr>
              <w:spacing w:before="2" w:line="260" w:lineRule="exact"/>
              <w:jc w:val="right"/>
              <w:rPr>
                <w:sz w:val="20"/>
                <w:szCs w:val="20"/>
              </w:rPr>
            </w:pPr>
            <w:r>
              <w:rPr>
                <w:bCs/>
                <w:sz w:val="20"/>
                <w:szCs w:val="20"/>
              </w:rPr>
              <w:t>396</w:t>
            </w:r>
          </w:p>
        </w:tc>
        <w:tc>
          <w:tcPr>
            <w:tcW w:w="1290" w:type="dxa"/>
            <w:noWrap/>
            <w:vAlign w:val="center"/>
          </w:tcPr>
          <w:p w:rsidR="0088428E" w:rsidRPr="005C3F34" w:rsidP="0088428E" w14:paraId="452A247C" w14:textId="21569B0F">
            <w:pPr>
              <w:spacing w:before="2" w:line="260" w:lineRule="exact"/>
              <w:jc w:val="right"/>
              <w:rPr>
                <w:sz w:val="20"/>
                <w:szCs w:val="20"/>
              </w:rPr>
            </w:pPr>
            <w:r>
              <w:rPr>
                <w:bCs/>
                <w:sz w:val="20"/>
                <w:szCs w:val="20"/>
              </w:rPr>
              <w:t>752,400</w:t>
            </w:r>
          </w:p>
        </w:tc>
        <w:tc>
          <w:tcPr>
            <w:tcW w:w="1170" w:type="dxa"/>
            <w:noWrap/>
            <w:vAlign w:val="center"/>
            <w:hideMark/>
          </w:tcPr>
          <w:p w:rsidR="0088428E" w:rsidRPr="00992322" w:rsidP="0088428E" w14:paraId="7CC693AB" w14:textId="29DBD6FC">
            <w:pPr>
              <w:spacing w:before="2" w:line="260" w:lineRule="exact"/>
              <w:jc w:val="right"/>
              <w:rPr>
                <w:sz w:val="20"/>
                <w:szCs w:val="20"/>
              </w:rPr>
            </w:pPr>
            <w:r>
              <w:rPr>
                <w:bCs/>
                <w:sz w:val="20"/>
                <w:szCs w:val="20"/>
              </w:rPr>
              <w:t>0.0042</w:t>
            </w:r>
          </w:p>
        </w:tc>
        <w:tc>
          <w:tcPr>
            <w:tcW w:w="1188" w:type="dxa"/>
            <w:vAlign w:val="center"/>
          </w:tcPr>
          <w:p w:rsidR="0088428E" w:rsidRPr="00992322" w:rsidP="0088428E" w14:paraId="691BF32A" w14:textId="71D33E76">
            <w:pPr>
              <w:spacing w:before="2" w:line="260" w:lineRule="exact"/>
              <w:jc w:val="right"/>
              <w:rPr>
                <w:sz w:val="20"/>
                <w:szCs w:val="20"/>
              </w:rPr>
            </w:pPr>
            <w:r>
              <w:rPr>
                <w:bCs/>
                <w:sz w:val="20"/>
                <w:szCs w:val="20"/>
              </w:rPr>
              <w:t>3,161</w:t>
            </w:r>
          </w:p>
        </w:tc>
        <w:tc>
          <w:tcPr>
            <w:tcW w:w="900" w:type="dxa"/>
            <w:noWrap/>
            <w:vAlign w:val="center"/>
          </w:tcPr>
          <w:p w:rsidR="0088428E" w:rsidRPr="00992322" w:rsidP="0088428E" w14:paraId="704C8FC3" w14:textId="77777777">
            <w:pPr>
              <w:spacing w:before="2" w:line="260" w:lineRule="exact"/>
              <w:jc w:val="right"/>
              <w:rPr>
                <w:sz w:val="20"/>
                <w:szCs w:val="20"/>
              </w:rPr>
            </w:pPr>
            <w:r w:rsidRPr="00992322">
              <w:rPr>
                <w:sz w:val="20"/>
                <w:szCs w:val="20"/>
              </w:rPr>
              <w:t>31</w:t>
            </w:r>
          </w:p>
        </w:tc>
        <w:tc>
          <w:tcPr>
            <w:tcW w:w="1620" w:type="dxa"/>
            <w:noWrap/>
            <w:vAlign w:val="center"/>
            <w:hideMark/>
          </w:tcPr>
          <w:p w:rsidR="0088428E" w:rsidRPr="00992322" w:rsidP="0088428E" w14:paraId="44340F32" w14:textId="10307B44">
            <w:pPr>
              <w:spacing w:before="2" w:line="260" w:lineRule="exact"/>
              <w:jc w:val="right"/>
              <w:rPr>
                <w:sz w:val="20"/>
                <w:szCs w:val="20"/>
              </w:rPr>
            </w:pPr>
            <w:r>
              <w:rPr>
                <w:sz w:val="20"/>
                <w:szCs w:val="20"/>
              </w:rPr>
              <w:t>97,9</w:t>
            </w:r>
            <w:r w:rsidR="001A36A4">
              <w:rPr>
                <w:sz w:val="20"/>
                <w:szCs w:val="20"/>
              </w:rPr>
              <w:t>91</w:t>
            </w:r>
          </w:p>
        </w:tc>
      </w:tr>
      <w:tr w14:paraId="32DE8A03" w14:textId="77777777" w:rsidTr="006142C9">
        <w:tblPrEx>
          <w:tblW w:w="10998" w:type="dxa"/>
          <w:tblInd w:w="-612" w:type="dxa"/>
          <w:tblLayout w:type="fixed"/>
          <w:tblLook w:val="04A0"/>
        </w:tblPrEx>
        <w:trPr>
          <w:cantSplit/>
          <w:trHeight w:val="13"/>
          <w:tblHeader/>
        </w:trPr>
        <w:tc>
          <w:tcPr>
            <w:tcW w:w="2070" w:type="dxa"/>
            <w:noWrap/>
          </w:tcPr>
          <w:p w:rsidR="0088428E" w:rsidRPr="00992322" w:rsidP="0088428E" w14:paraId="22A4C059" w14:textId="0A822B7C">
            <w:pPr>
              <w:spacing w:before="2" w:line="260" w:lineRule="exact"/>
              <w:rPr>
                <w:sz w:val="20"/>
                <w:szCs w:val="20"/>
              </w:rPr>
            </w:pPr>
            <w:r>
              <w:rPr>
                <w:sz w:val="20"/>
                <w:szCs w:val="20"/>
              </w:rPr>
              <w:t>S</w:t>
            </w:r>
            <w:r w:rsidRPr="00992322">
              <w:rPr>
                <w:sz w:val="20"/>
                <w:szCs w:val="20"/>
              </w:rPr>
              <w:t>ubpart B—Ongoing</w:t>
            </w:r>
          </w:p>
        </w:tc>
        <w:tc>
          <w:tcPr>
            <w:tcW w:w="1350" w:type="dxa"/>
            <w:noWrap/>
            <w:vAlign w:val="center"/>
          </w:tcPr>
          <w:p w:rsidR="0088428E" w:rsidRPr="00992322" w:rsidP="0088428E" w14:paraId="2573E588" w14:textId="16F0BAD0">
            <w:pPr>
              <w:spacing w:before="2" w:line="260" w:lineRule="exact"/>
              <w:jc w:val="right"/>
              <w:rPr>
                <w:sz w:val="20"/>
                <w:szCs w:val="20"/>
              </w:rPr>
            </w:pPr>
            <w:r>
              <w:rPr>
                <w:sz w:val="20"/>
                <w:szCs w:val="20"/>
              </w:rPr>
              <w:t>2,470</w:t>
            </w:r>
          </w:p>
        </w:tc>
        <w:tc>
          <w:tcPr>
            <w:tcW w:w="1410" w:type="dxa"/>
            <w:noWrap/>
            <w:vAlign w:val="center"/>
          </w:tcPr>
          <w:p w:rsidR="0088428E" w:rsidRPr="00992322" w:rsidP="0088428E" w14:paraId="6A396C05" w14:textId="77777777">
            <w:pPr>
              <w:spacing w:before="2" w:line="260" w:lineRule="exact"/>
              <w:jc w:val="right"/>
              <w:rPr>
                <w:sz w:val="20"/>
                <w:szCs w:val="20"/>
              </w:rPr>
            </w:pPr>
            <w:r w:rsidRPr="00992322">
              <w:rPr>
                <w:sz w:val="20"/>
                <w:szCs w:val="20"/>
              </w:rPr>
              <w:t>1</w:t>
            </w:r>
          </w:p>
        </w:tc>
        <w:tc>
          <w:tcPr>
            <w:tcW w:w="1290" w:type="dxa"/>
            <w:noWrap/>
            <w:vAlign w:val="center"/>
          </w:tcPr>
          <w:p w:rsidR="0088428E" w:rsidRPr="00992322" w:rsidP="0088428E" w14:paraId="37F1DEF3" w14:textId="6B8B60A9">
            <w:pPr>
              <w:spacing w:before="2" w:line="260" w:lineRule="exact"/>
              <w:jc w:val="right"/>
              <w:rPr>
                <w:sz w:val="20"/>
                <w:szCs w:val="20"/>
              </w:rPr>
            </w:pPr>
            <w:r>
              <w:rPr>
                <w:sz w:val="20"/>
                <w:szCs w:val="20"/>
              </w:rPr>
              <w:t>2,470</w:t>
            </w:r>
          </w:p>
        </w:tc>
        <w:tc>
          <w:tcPr>
            <w:tcW w:w="1170" w:type="dxa"/>
            <w:noWrap/>
            <w:vAlign w:val="center"/>
          </w:tcPr>
          <w:p w:rsidR="0088428E" w:rsidRPr="00992322" w:rsidP="0088428E" w14:paraId="5502CFAA" w14:textId="7F020316">
            <w:pPr>
              <w:spacing w:before="2" w:line="260" w:lineRule="exact"/>
              <w:jc w:val="right"/>
              <w:rPr>
                <w:sz w:val="20"/>
                <w:szCs w:val="20"/>
              </w:rPr>
            </w:pPr>
            <w:r>
              <w:rPr>
                <w:sz w:val="20"/>
                <w:szCs w:val="20"/>
              </w:rPr>
              <w:t>3,098</w:t>
            </w:r>
          </w:p>
        </w:tc>
        <w:tc>
          <w:tcPr>
            <w:tcW w:w="1188" w:type="dxa"/>
            <w:vAlign w:val="center"/>
          </w:tcPr>
          <w:p w:rsidR="0088428E" w:rsidRPr="00992322" w:rsidP="0088428E" w14:paraId="67E5A038" w14:textId="5691FB4E">
            <w:pPr>
              <w:spacing w:before="2" w:line="260" w:lineRule="exact"/>
              <w:jc w:val="right"/>
              <w:rPr>
                <w:sz w:val="20"/>
                <w:szCs w:val="20"/>
              </w:rPr>
            </w:pPr>
            <w:r w:rsidRPr="008D5CA7">
              <w:rPr>
                <w:sz w:val="20"/>
                <w:szCs w:val="20"/>
              </w:rPr>
              <w:t>7,652,0</w:t>
            </w:r>
            <w:r w:rsidR="00A71D49">
              <w:rPr>
                <w:sz w:val="20"/>
                <w:szCs w:val="20"/>
              </w:rPr>
              <w:t>6</w:t>
            </w:r>
            <w:r w:rsidRPr="008D5CA7">
              <w:rPr>
                <w:sz w:val="20"/>
                <w:szCs w:val="20"/>
              </w:rPr>
              <w:t>0</w:t>
            </w:r>
          </w:p>
        </w:tc>
        <w:tc>
          <w:tcPr>
            <w:tcW w:w="900" w:type="dxa"/>
            <w:noWrap/>
            <w:vAlign w:val="center"/>
          </w:tcPr>
          <w:p w:rsidR="0088428E" w:rsidRPr="00992322" w:rsidP="0088428E" w14:paraId="6F408106" w14:textId="406BE8F8">
            <w:pPr>
              <w:spacing w:before="2" w:line="260" w:lineRule="exact"/>
              <w:jc w:val="right"/>
              <w:rPr>
                <w:sz w:val="20"/>
                <w:szCs w:val="20"/>
              </w:rPr>
            </w:pPr>
            <w:r>
              <w:rPr>
                <w:sz w:val="20"/>
                <w:szCs w:val="20"/>
              </w:rPr>
              <w:t>55</w:t>
            </w:r>
          </w:p>
        </w:tc>
        <w:tc>
          <w:tcPr>
            <w:tcW w:w="1620" w:type="dxa"/>
            <w:noWrap/>
            <w:vAlign w:val="center"/>
          </w:tcPr>
          <w:p w:rsidR="0088428E" w:rsidRPr="00992322" w:rsidP="0088428E" w14:paraId="18A2A69D" w14:textId="2EF593EE">
            <w:pPr>
              <w:spacing w:before="2" w:line="260" w:lineRule="exact"/>
              <w:jc w:val="right"/>
              <w:rPr>
                <w:sz w:val="20"/>
                <w:szCs w:val="20"/>
              </w:rPr>
            </w:pPr>
            <w:r>
              <w:rPr>
                <w:sz w:val="20"/>
                <w:szCs w:val="20"/>
              </w:rPr>
              <w:t>420,86</w:t>
            </w:r>
            <w:r w:rsidR="001A36A4">
              <w:rPr>
                <w:sz w:val="20"/>
                <w:szCs w:val="20"/>
              </w:rPr>
              <w:t>0,000</w:t>
            </w:r>
          </w:p>
        </w:tc>
      </w:tr>
      <w:tr w14:paraId="5DE1BE26" w14:textId="77777777" w:rsidTr="006142C9">
        <w:tblPrEx>
          <w:tblW w:w="10998" w:type="dxa"/>
          <w:tblInd w:w="-612" w:type="dxa"/>
          <w:tblLayout w:type="fixed"/>
          <w:tblLook w:val="04A0"/>
        </w:tblPrEx>
        <w:trPr>
          <w:cantSplit/>
          <w:trHeight w:val="13"/>
          <w:tblHeader/>
        </w:trPr>
        <w:tc>
          <w:tcPr>
            <w:tcW w:w="2070" w:type="dxa"/>
            <w:noWrap/>
          </w:tcPr>
          <w:p w:rsidR="0088428E" w:rsidRPr="00992322" w:rsidP="0088428E" w14:paraId="1E6158AD" w14:textId="3ECADF6F">
            <w:pPr>
              <w:spacing w:before="2" w:line="260" w:lineRule="exact"/>
              <w:rPr>
                <w:sz w:val="20"/>
                <w:szCs w:val="20"/>
              </w:rPr>
            </w:pPr>
            <w:r>
              <w:rPr>
                <w:sz w:val="20"/>
                <w:szCs w:val="20"/>
              </w:rPr>
              <w:t>S</w:t>
            </w:r>
            <w:r w:rsidRPr="00992322">
              <w:rPr>
                <w:sz w:val="20"/>
                <w:szCs w:val="20"/>
              </w:rPr>
              <w:t>ubpart B—One-time</w:t>
            </w:r>
          </w:p>
        </w:tc>
        <w:tc>
          <w:tcPr>
            <w:tcW w:w="1350" w:type="dxa"/>
            <w:noWrap/>
            <w:vAlign w:val="center"/>
          </w:tcPr>
          <w:p w:rsidR="0088428E" w:rsidRPr="00992322" w:rsidP="0088428E" w14:paraId="1793B88C" w14:textId="3F53470F">
            <w:pPr>
              <w:spacing w:before="2" w:line="260" w:lineRule="exact"/>
              <w:jc w:val="right"/>
              <w:rPr>
                <w:sz w:val="20"/>
                <w:szCs w:val="20"/>
              </w:rPr>
            </w:pPr>
            <w:r>
              <w:rPr>
                <w:sz w:val="20"/>
                <w:szCs w:val="20"/>
              </w:rPr>
              <w:t>2,470</w:t>
            </w:r>
          </w:p>
        </w:tc>
        <w:tc>
          <w:tcPr>
            <w:tcW w:w="1410" w:type="dxa"/>
            <w:noWrap/>
            <w:vAlign w:val="center"/>
          </w:tcPr>
          <w:p w:rsidR="0088428E" w:rsidRPr="00992322" w:rsidP="0088428E" w14:paraId="191B8237" w14:textId="77777777">
            <w:pPr>
              <w:spacing w:before="2" w:line="260" w:lineRule="exact"/>
              <w:jc w:val="right"/>
              <w:rPr>
                <w:sz w:val="20"/>
                <w:szCs w:val="20"/>
              </w:rPr>
            </w:pPr>
            <w:r w:rsidRPr="00992322">
              <w:rPr>
                <w:sz w:val="20"/>
                <w:szCs w:val="20"/>
              </w:rPr>
              <w:t>1</w:t>
            </w:r>
          </w:p>
        </w:tc>
        <w:tc>
          <w:tcPr>
            <w:tcW w:w="1290" w:type="dxa"/>
            <w:noWrap/>
            <w:vAlign w:val="center"/>
          </w:tcPr>
          <w:p w:rsidR="0088428E" w:rsidRPr="00992322" w:rsidP="0088428E" w14:paraId="4F5F4A07" w14:textId="1E6589B2">
            <w:pPr>
              <w:spacing w:before="2" w:line="260" w:lineRule="exact"/>
              <w:jc w:val="right"/>
              <w:rPr>
                <w:sz w:val="20"/>
                <w:szCs w:val="20"/>
              </w:rPr>
            </w:pPr>
            <w:r>
              <w:rPr>
                <w:sz w:val="20"/>
                <w:szCs w:val="20"/>
              </w:rPr>
              <w:t>2,470</w:t>
            </w:r>
          </w:p>
        </w:tc>
        <w:tc>
          <w:tcPr>
            <w:tcW w:w="1170" w:type="dxa"/>
            <w:noWrap/>
            <w:vAlign w:val="center"/>
          </w:tcPr>
          <w:p w:rsidR="0088428E" w:rsidRPr="00992322" w:rsidP="0088428E" w14:paraId="15A7C46A" w14:textId="57D5F68C">
            <w:pPr>
              <w:spacing w:before="2" w:line="260" w:lineRule="exact"/>
              <w:jc w:val="right"/>
              <w:rPr>
                <w:sz w:val="20"/>
                <w:szCs w:val="20"/>
              </w:rPr>
            </w:pPr>
            <w:r>
              <w:rPr>
                <w:sz w:val="20"/>
                <w:szCs w:val="20"/>
              </w:rPr>
              <w:t>263</w:t>
            </w:r>
          </w:p>
        </w:tc>
        <w:tc>
          <w:tcPr>
            <w:tcW w:w="1188" w:type="dxa"/>
            <w:vAlign w:val="center"/>
          </w:tcPr>
          <w:p w:rsidR="0088428E" w:rsidRPr="00992322" w:rsidP="0088428E" w14:paraId="6026D020" w14:textId="46604907">
            <w:pPr>
              <w:spacing w:before="2" w:line="260" w:lineRule="exact"/>
              <w:jc w:val="right"/>
              <w:rPr>
                <w:sz w:val="20"/>
                <w:szCs w:val="20"/>
              </w:rPr>
            </w:pPr>
            <w:r w:rsidRPr="0084427B">
              <w:rPr>
                <w:sz w:val="20"/>
                <w:szCs w:val="20"/>
              </w:rPr>
              <w:t>6</w:t>
            </w:r>
            <w:r>
              <w:rPr>
                <w:sz w:val="20"/>
                <w:szCs w:val="20"/>
              </w:rPr>
              <w:t>50,000</w:t>
            </w:r>
          </w:p>
        </w:tc>
        <w:tc>
          <w:tcPr>
            <w:tcW w:w="900" w:type="dxa"/>
            <w:noWrap/>
            <w:vAlign w:val="center"/>
          </w:tcPr>
          <w:p w:rsidR="0088428E" w:rsidRPr="00992322" w:rsidP="0088428E" w14:paraId="4C0B4F9D" w14:textId="76DE6828">
            <w:pPr>
              <w:spacing w:before="2" w:line="260" w:lineRule="exact"/>
              <w:jc w:val="right"/>
              <w:rPr>
                <w:sz w:val="20"/>
                <w:szCs w:val="20"/>
              </w:rPr>
            </w:pPr>
            <w:r w:rsidRPr="00992322">
              <w:rPr>
                <w:sz w:val="20"/>
                <w:szCs w:val="20"/>
              </w:rPr>
              <w:t>5</w:t>
            </w:r>
            <w:r>
              <w:rPr>
                <w:sz w:val="20"/>
                <w:szCs w:val="20"/>
              </w:rPr>
              <w:t>8</w:t>
            </w:r>
          </w:p>
        </w:tc>
        <w:tc>
          <w:tcPr>
            <w:tcW w:w="1620" w:type="dxa"/>
            <w:noWrap/>
            <w:vAlign w:val="center"/>
          </w:tcPr>
          <w:p w:rsidR="0088428E" w:rsidRPr="00992322" w:rsidP="0088428E" w14:paraId="68FA1AC4" w14:textId="1E38DC18">
            <w:pPr>
              <w:spacing w:before="2" w:line="260" w:lineRule="exact"/>
              <w:jc w:val="right"/>
              <w:rPr>
                <w:sz w:val="20"/>
                <w:szCs w:val="20"/>
              </w:rPr>
            </w:pPr>
            <w:r>
              <w:rPr>
                <w:sz w:val="20"/>
                <w:szCs w:val="20"/>
              </w:rPr>
              <w:t>37,</w:t>
            </w:r>
            <w:r w:rsidR="001A36A4">
              <w:rPr>
                <w:sz w:val="20"/>
                <w:szCs w:val="20"/>
              </w:rPr>
              <w:t>700,000</w:t>
            </w:r>
          </w:p>
        </w:tc>
      </w:tr>
      <w:tr w14:paraId="4F89EE26" w14:textId="77777777" w:rsidTr="001B5D0B">
        <w:tblPrEx>
          <w:tblW w:w="10998" w:type="dxa"/>
          <w:tblInd w:w="-612" w:type="dxa"/>
          <w:tblLayout w:type="fixed"/>
          <w:tblLook w:val="04A0"/>
        </w:tblPrEx>
        <w:trPr>
          <w:cantSplit/>
          <w:trHeight w:val="13"/>
          <w:tblHeader/>
        </w:trPr>
        <w:tc>
          <w:tcPr>
            <w:tcW w:w="2070" w:type="dxa"/>
            <w:shd w:val="clear" w:color="auto" w:fill="D9D9D9" w:themeFill="background1" w:themeFillShade="D9"/>
            <w:noWrap/>
            <w:vAlign w:val="center"/>
            <w:hideMark/>
          </w:tcPr>
          <w:p w:rsidR="0088428E" w:rsidRPr="001B5D0B" w:rsidP="0088428E" w14:paraId="384895B1" w14:textId="77777777">
            <w:pPr>
              <w:spacing w:before="2" w:line="260" w:lineRule="exact"/>
              <w:jc w:val="right"/>
              <w:rPr>
                <w:b/>
                <w:bCs/>
                <w:sz w:val="20"/>
                <w:szCs w:val="20"/>
              </w:rPr>
            </w:pPr>
            <w:r w:rsidRPr="001B5D0B">
              <w:rPr>
                <w:b/>
                <w:bCs/>
                <w:sz w:val="20"/>
                <w:szCs w:val="20"/>
              </w:rPr>
              <w:t>Total Burden</w:t>
            </w:r>
          </w:p>
        </w:tc>
        <w:tc>
          <w:tcPr>
            <w:tcW w:w="1350" w:type="dxa"/>
            <w:shd w:val="clear" w:color="auto" w:fill="auto"/>
            <w:noWrap/>
            <w:vAlign w:val="center"/>
            <w:hideMark/>
          </w:tcPr>
          <w:p w:rsidR="0088428E" w:rsidRPr="001B5D0B" w:rsidP="0088428E" w14:paraId="53A371A1" w14:textId="3ADEBAF3">
            <w:pPr>
              <w:spacing w:before="2" w:line="260" w:lineRule="exact"/>
              <w:jc w:val="right"/>
              <w:rPr>
                <w:b/>
                <w:bCs/>
                <w:sz w:val="20"/>
                <w:szCs w:val="20"/>
              </w:rPr>
            </w:pPr>
            <w:r w:rsidRPr="001B5D0B">
              <w:rPr>
                <w:b/>
                <w:bCs/>
                <w:sz w:val="20"/>
                <w:szCs w:val="20"/>
              </w:rPr>
              <w:t>472,000</w:t>
            </w:r>
            <w:r>
              <w:rPr>
                <w:rStyle w:val="FootnoteReference"/>
                <w:b/>
                <w:bCs/>
                <w:sz w:val="20"/>
                <w:szCs w:val="20"/>
              </w:rPr>
              <w:footnoteReference w:id="8"/>
            </w:r>
          </w:p>
        </w:tc>
        <w:tc>
          <w:tcPr>
            <w:tcW w:w="1410" w:type="dxa"/>
            <w:shd w:val="clear" w:color="auto" w:fill="D9D9D9" w:themeFill="background1" w:themeFillShade="D9"/>
            <w:noWrap/>
            <w:vAlign w:val="center"/>
            <w:hideMark/>
          </w:tcPr>
          <w:p w:rsidR="0088428E" w:rsidRPr="001B5D0B" w:rsidP="0088428E" w14:paraId="404B0E85" w14:textId="3E1779A5">
            <w:pPr>
              <w:spacing w:before="2" w:line="260" w:lineRule="exact"/>
              <w:jc w:val="right"/>
              <w:rPr>
                <w:b/>
                <w:bCs/>
                <w:sz w:val="20"/>
                <w:szCs w:val="20"/>
              </w:rPr>
            </w:pPr>
          </w:p>
        </w:tc>
        <w:tc>
          <w:tcPr>
            <w:tcW w:w="1290" w:type="dxa"/>
            <w:shd w:val="clear" w:color="auto" w:fill="FFFFFF" w:themeFill="background1"/>
            <w:noWrap/>
            <w:vAlign w:val="center"/>
          </w:tcPr>
          <w:p w:rsidR="0088428E" w:rsidRPr="001B5D0B" w:rsidP="0088428E" w14:paraId="1A78E6C6" w14:textId="16A4A27A">
            <w:pPr>
              <w:spacing w:before="2" w:line="260" w:lineRule="exact"/>
              <w:jc w:val="right"/>
              <w:rPr>
                <w:b/>
                <w:bCs/>
                <w:sz w:val="20"/>
                <w:szCs w:val="20"/>
              </w:rPr>
            </w:pPr>
            <w:r w:rsidRPr="001B5D0B">
              <w:rPr>
                <w:b/>
                <w:bCs/>
                <w:sz w:val="20"/>
                <w:szCs w:val="20"/>
              </w:rPr>
              <w:t>25</w:t>
            </w:r>
            <w:r w:rsidR="004658BE">
              <w:rPr>
                <w:b/>
                <w:bCs/>
                <w:sz w:val="20"/>
                <w:szCs w:val="20"/>
              </w:rPr>
              <w:t>9,425,540</w:t>
            </w:r>
          </w:p>
        </w:tc>
        <w:tc>
          <w:tcPr>
            <w:tcW w:w="1170" w:type="dxa"/>
            <w:shd w:val="clear" w:color="auto" w:fill="D9D9D9" w:themeFill="background1" w:themeFillShade="D9"/>
            <w:noWrap/>
            <w:vAlign w:val="center"/>
            <w:hideMark/>
          </w:tcPr>
          <w:p w:rsidR="0088428E" w:rsidRPr="001B5D0B" w:rsidP="0088428E" w14:paraId="2B3A0755" w14:textId="1D0EEC10">
            <w:pPr>
              <w:spacing w:before="2" w:line="260" w:lineRule="exact"/>
              <w:jc w:val="right"/>
              <w:rPr>
                <w:b/>
                <w:bCs/>
                <w:sz w:val="20"/>
                <w:szCs w:val="20"/>
              </w:rPr>
            </w:pPr>
          </w:p>
        </w:tc>
        <w:tc>
          <w:tcPr>
            <w:tcW w:w="1188" w:type="dxa"/>
            <w:shd w:val="clear" w:color="auto" w:fill="FFFFFF" w:themeFill="background1"/>
            <w:vAlign w:val="center"/>
          </w:tcPr>
          <w:p w:rsidR="0088428E" w:rsidRPr="001B5D0B" w:rsidP="0088428E" w14:paraId="6C3813B4" w14:textId="1270DF59">
            <w:pPr>
              <w:spacing w:before="2" w:line="260" w:lineRule="exact"/>
              <w:jc w:val="right"/>
              <w:rPr>
                <w:b/>
                <w:bCs/>
                <w:sz w:val="20"/>
                <w:szCs w:val="20"/>
              </w:rPr>
            </w:pPr>
            <w:r w:rsidRPr="001B5D0B">
              <w:rPr>
                <w:b/>
                <w:bCs/>
                <w:sz w:val="20"/>
                <w:szCs w:val="20"/>
              </w:rPr>
              <w:t>9,5</w:t>
            </w:r>
            <w:r w:rsidR="004658BE">
              <w:rPr>
                <w:b/>
                <w:bCs/>
                <w:sz w:val="20"/>
                <w:szCs w:val="20"/>
              </w:rPr>
              <w:t>61,508</w:t>
            </w:r>
          </w:p>
        </w:tc>
        <w:tc>
          <w:tcPr>
            <w:tcW w:w="900" w:type="dxa"/>
            <w:shd w:val="clear" w:color="auto" w:fill="D9D9D9" w:themeFill="background1" w:themeFillShade="D9"/>
            <w:noWrap/>
            <w:vAlign w:val="center"/>
            <w:hideMark/>
          </w:tcPr>
          <w:p w:rsidR="0088428E" w:rsidRPr="001B5D0B" w:rsidP="0088428E" w14:paraId="3E58D9B3" w14:textId="6082EA6B">
            <w:pPr>
              <w:spacing w:before="2" w:line="260" w:lineRule="exact"/>
              <w:jc w:val="right"/>
              <w:rPr>
                <w:b/>
                <w:bCs/>
                <w:sz w:val="20"/>
                <w:szCs w:val="20"/>
              </w:rPr>
            </w:pPr>
          </w:p>
        </w:tc>
        <w:tc>
          <w:tcPr>
            <w:tcW w:w="1620" w:type="dxa"/>
            <w:shd w:val="clear" w:color="auto" w:fill="FFFFFF" w:themeFill="background1"/>
            <w:noWrap/>
            <w:vAlign w:val="center"/>
            <w:hideMark/>
          </w:tcPr>
          <w:p w:rsidR="0088428E" w:rsidRPr="001B5D0B" w:rsidP="0088428E" w14:paraId="71A484DC" w14:textId="6C7CDEAD">
            <w:pPr>
              <w:spacing w:before="2" w:line="260" w:lineRule="exact"/>
              <w:jc w:val="right"/>
              <w:rPr>
                <w:b/>
                <w:bCs/>
                <w:sz w:val="20"/>
                <w:szCs w:val="20"/>
              </w:rPr>
            </w:pPr>
            <w:r w:rsidRPr="001B5D0B">
              <w:rPr>
                <w:b/>
                <w:bCs/>
                <w:sz w:val="20"/>
                <w:szCs w:val="20"/>
              </w:rPr>
              <w:t>4</w:t>
            </w:r>
            <w:r w:rsidR="004658BE">
              <w:rPr>
                <w:b/>
                <w:bCs/>
                <w:sz w:val="20"/>
                <w:szCs w:val="20"/>
              </w:rPr>
              <w:t>98,853,986</w:t>
            </w:r>
          </w:p>
        </w:tc>
      </w:tr>
    </w:tbl>
    <w:p w:rsidR="00D26C8E" w:rsidP="002D57F7" w14:paraId="5540A2BD" w14:textId="77777777">
      <w:pPr>
        <w:spacing w:after="240" w:line="240" w:lineRule="auto"/>
        <w:rPr>
          <w:szCs w:val="24"/>
        </w:rPr>
      </w:pPr>
    </w:p>
    <w:p w:rsidR="00B25C66" w:rsidRPr="009525D1" w:rsidP="00B25C66" w14:paraId="6F089800" w14:textId="2B5D4A86">
      <w:pPr>
        <w:spacing w:after="240" w:line="240" w:lineRule="auto"/>
        <w:rPr>
          <w:szCs w:val="24"/>
        </w:rPr>
      </w:pPr>
      <w:r w:rsidRPr="009525D1">
        <w:rPr>
          <w:szCs w:val="24"/>
        </w:rPr>
        <w:t xml:space="preserve">The </w:t>
      </w:r>
      <w:r w:rsidR="00393F64">
        <w:rPr>
          <w:szCs w:val="24"/>
        </w:rPr>
        <w:t>CFPB</w:t>
      </w:r>
      <w:r w:rsidRPr="009525D1">
        <w:rPr>
          <w:szCs w:val="24"/>
        </w:rPr>
        <w:t xml:space="preserve"> share</w:t>
      </w:r>
      <w:r w:rsidR="00CB4150">
        <w:rPr>
          <w:szCs w:val="24"/>
        </w:rPr>
        <w:t>s</w:t>
      </w:r>
      <w:r w:rsidRPr="009525D1">
        <w:rPr>
          <w:szCs w:val="24"/>
        </w:rPr>
        <w:t xml:space="preserve"> enforcement authority </w:t>
      </w:r>
      <w:r w:rsidR="00CB4150">
        <w:rPr>
          <w:szCs w:val="24"/>
        </w:rPr>
        <w:t xml:space="preserve">with other federal agencies </w:t>
      </w:r>
      <w:r w:rsidRPr="009525D1">
        <w:rPr>
          <w:szCs w:val="24"/>
        </w:rPr>
        <w:t xml:space="preserve">for those non-depository institutions subject to the </w:t>
      </w:r>
      <w:r w:rsidR="00393F64">
        <w:rPr>
          <w:szCs w:val="24"/>
        </w:rPr>
        <w:t>CFPB</w:t>
      </w:r>
      <w:r w:rsidRPr="009525D1">
        <w:rPr>
          <w:szCs w:val="24"/>
        </w:rPr>
        <w:t xml:space="preserve">’s Regulation </w:t>
      </w:r>
      <w:r>
        <w:rPr>
          <w:szCs w:val="24"/>
        </w:rPr>
        <w:t xml:space="preserve">B.  </w:t>
      </w:r>
      <w:r w:rsidRPr="009525D1">
        <w:rPr>
          <w:szCs w:val="24"/>
        </w:rPr>
        <w:t xml:space="preserve">The </w:t>
      </w:r>
      <w:r w:rsidR="00393F64">
        <w:rPr>
          <w:szCs w:val="24"/>
        </w:rPr>
        <w:t>CFPB</w:t>
      </w:r>
      <w:r w:rsidRPr="009525D1">
        <w:rPr>
          <w:szCs w:val="24"/>
        </w:rPr>
        <w:t xml:space="preserve"> estimates about 12,000 depository institutions</w:t>
      </w:r>
      <w:r>
        <w:rPr>
          <w:szCs w:val="24"/>
        </w:rPr>
        <w:t xml:space="preserve"> </w:t>
      </w:r>
      <w:r w:rsidRPr="009525D1">
        <w:rPr>
          <w:szCs w:val="24"/>
        </w:rPr>
        <w:t>and assumes the burden of 1</w:t>
      </w:r>
      <w:r>
        <w:rPr>
          <w:szCs w:val="24"/>
        </w:rPr>
        <w:t xml:space="preserve">67 </w:t>
      </w:r>
      <w:r w:rsidRPr="009525D1">
        <w:rPr>
          <w:szCs w:val="24"/>
        </w:rPr>
        <w:t>depository institutions with more than $10</w:t>
      </w:r>
      <w:r>
        <w:rPr>
          <w:szCs w:val="24"/>
        </w:rPr>
        <w:t xml:space="preserve"> billion</w:t>
      </w:r>
      <w:r w:rsidRPr="009525D1">
        <w:rPr>
          <w:szCs w:val="24"/>
        </w:rPr>
        <w:t xml:space="preserve"> in </w:t>
      </w:r>
      <w:r w:rsidRPr="009525D1">
        <w:rPr>
          <w:szCs w:val="24"/>
        </w:rPr>
        <w:t>assets</w:t>
      </w:r>
      <w:r>
        <w:rPr>
          <w:szCs w:val="24"/>
        </w:rPr>
        <w:t>.  Approximately 188,800 o</w:t>
      </w:r>
      <w:r w:rsidRPr="009525D1">
        <w:rPr>
          <w:szCs w:val="24"/>
        </w:rPr>
        <w:t xml:space="preserve">f the total 472,000 </w:t>
      </w:r>
      <w:r w:rsidRPr="009525D1">
        <w:rPr>
          <w:rFonts w:eastAsia="Calibri"/>
          <w:szCs w:val="24"/>
        </w:rPr>
        <w:t>potential</w:t>
      </w:r>
      <w:r w:rsidRPr="009525D1">
        <w:rPr>
          <w:szCs w:val="24"/>
        </w:rPr>
        <w:t xml:space="preserve"> respondent</w:t>
      </w:r>
      <w:r>
        <w:rPr>
          <w:szCs w:val="24"/>
        </w:rPr>
        <w:t xml:space="preserve">s over whom the </w:t>
      </w:r>
      <w:r w:rsidR="00393F64">
        <w:rPr>
          <w:szCs w:val="24"/>
        </w:rPr>
        <w:t>CFPB</w:t>
      </w:r>
      <w:r>
        <w:rPr>
          <w:szCs w:val="24"/>
        </w:rPr>
        <w:t xml:space="preserve"> has purview</w:t>
      </w:r>
      <w:r w:rsidRPr="009525D1">
        <w:rPr>
          <w:szCs w:val="24"/>
        </w:rPr>
        <w:t>.</w:t>
      </w:r>
    </w:p>
    <w:p w:rsidR="00B25C66" w:rsidP="00B25C66" w14:paraId="37BC192F" w14:textId="4511C36C">
      <w:pPr>
        <w:spacing w:after="240" w:line="240" w:lineRule="auto"/>
        <w:rPr>
          <w:szCs w:val="24"/>
        </w:rPr>
      </w:pPr>
      <w:r w:rsidRPr="009525D1">
        <w:rPr>
          <w:szCs w:val="24"/>
        </w:rPr>
        <w:t xml:space="preserve">To calculate labor costs, the </w:t>
      </w:r>
      <w:r w:rsidR="00393F64">
        <w:rPr>
          <w:szCs w:val="24"/>
        </w:rPr>
        <w:t>CFPB</w:t>
      </w:r>
      <w:r w:rsidRPr="009525D1">
        <w:rPr>
          <w:szCs w:val="24"/>
        </w:rPr>
        <w:t xml:space="preserve"> applies a market rate of $31</w:t>
      </w:r>
      <w:r>
        <w:rPr>
          <w:szCs w:val="24"/>
        </w:rPr>
        <w:t xml:space="preserve"> (</w:t>
      </w:r>
      <w:r w:rsidRPr="009525D1">
        <w:rPr>
          <w:szCs w:val="24"/>
        </w:rPr>
        <w:t>the rounded hourly mean wage for loan officers in BLS</w:t>
      </w:r>
      <w:r>
        <w:rPr>
          <w:szCs w:val="24"/>
        </w:rPr>
        <w:t>)</w:t>
      </w:r>
      <w:r w:rsidRPr="009525D1">
        <w:rPr>
          <w:szCs w:val="24"/>
        </w:rPr>
        <w:t>.</w:t>
      </w:r>
      <w:r>
        <w:rPr>
          <w:rStyle w:val="FootnoteReference"/>
          <w:szCs w:val="24"/>
        </w:rPr>
        <w:footnoteReference w:id="9"/>
      </w:r>
      <w:r>
        <w:rPr>
          <w:szCs w:val="24"/>
        </w:rPr>
        <w:t xml:space="preserve"> </w:t>
      </w:r>
      <w:r w:rsidRPr="009525D1">
        <w:rPr>
          <w:szCs w:val="24"/>
        </w:rPr>
        <w:t xml:space="preserve"> Staff anticipates that the above requirements necessitate ongoing, regular training so that lenders stay current and have a clear understanding of federal mandates. </w:t>
      </w:r>
      <w:r>
        <w:rPr>
          <w:szCs w:val="24"/>
        </w:rPr>
        <w:t xml:space="preserve"> </w:t>
      </w:r>
      <w:r w:rsidRPr="009525D1">
        <w:rPr>
          <w:szCs w:val="24"/>
        </w:rPr>
        <w:t>This training</w:t>
      </w:r>
      <w:r>
        <w:rPr>
          <w:szCs w:val="24"/>
        </w:rPr>
        <w:t xml:space="preserve"> </w:t>
      </w:r>
      <w:r w:rsidRPr="009525D1">
        <w:rPr>
          <w:szCs w:val="24"/>
        </w:rPr>
        <w:t>would be a small portion of the ordinary training that employees receive apart from that associated with collecting information to</w:t>
      </w:r>
      <w:r>
        <w:rPr>
          <w:szCs w:val="24"/>
        </w:rPr>
        <w:t>ward</w:t>
      </w:r>
      <w:r w:rsidRPr="009525D1">
        <w:rPr>
          <w:szCs w:val="24"/>
        </w:rPr>
        <w:t xml:space="preserve"> comply with Regulation B.</w:t>
      </w:r>
    </w:p>
    <w:p w:rsidR="004A7AE1" w:rsidRPr="009525D1" w:rsidP="004A7AE1" w14:paraId="006E86B3" w14:textId="07EA7651">
      <w:pPr>
        <w:keepNext/>
        <w:spacing w:after="240" w:line="240" w:lineRule="auto"/>
        <w:rPr>
          <w:b/>
          <w:bCs/>
          <w:szCs w:val="24"/>
          <w:u w:val="single"/>
        </w:rPr>
      </w:pPr>
      <w:r w:rsidRPr="009525D1">
        <w:rPr>
          <w:b/>
          <w:bCs/>
          <w:szCs w:val="24"/>
          <w:u w:val="single"/>
        </w:rPr>
        <w:t xml:space="preserve">A. New Information Collections under </w:t>
      </w:r>
      <w:r w:rsidR="00B25C66">
        <w:rPr>
          <w:b/>
          <w:bCs/>
          <w:szCs w:val="24"/>
          <w:u w:val="single"/>
        </w:rPr>
        <w:t xml:space="preserve">subpart B </w:t>
      </w:r>
    </w:p>
    <w:p w:rsidR="004A7AE1" w:rsidRPr="009525D1" w:rsidP="004A7AE1" w14:paraId="2B322359" w14:textId="5E11F46E">
      <w:pPr>
        <w:spacing w:after="240" w:line="240" w:lineRule="auto"/>
        <w:rPr>
          <w:szCs w:val="24"/>
        </w:rPr>
      </w:pPr>
      <w:r w:rsidRPr="009525D1">
        <w:rPr>
          <w:szCs w:val="24"/>
        </w:rPr>
        <w:t>The Information Collections under the PRA</w:t>
      </w:r>
      <w:r>
        <w:rPr>
          <w:szCs w:val="24"/>
        </w:rPr>
        <w:t xml:space="preserve"> </w:t>
      </w:r>
      <w:r w:rsidR="00AC12CD">
        <w:rPr>
          <w:szCs w:val="24"/>
        </w:rPr>
        <w:t xml:space="preserve">for subpart B of Regulation B </w:t>
      </w:r>
      <w:r>
        <w:rPr>
          <w:szCs w:val="24"/>
        </w:rPr>
        <w:t>fall</w:t>
      </w:r>
      <w:r w:rsidR="00EB1EB3">
        <w:rPr>
          <w:szCs w:val="24"/>
        </w:rPr>
        <w:t xml:space="preserve"> </w:t>
      </w:r>
      <w:r>
        <w:rPr>
          <w:szCs w:val="24"/>
        </w:rPr>
        <w:t>under three categories</w:t>
      </w:r>
      <w:r w:rsidRPr="009525D1">
        <w:rPr>
          <w:szCs w:val="24"/>
        </w:rPr>
        <w:t xml:space="preserve">: (1) Reporting Requirements, (2) Recordkeeping Requirements, and (3) Third Party Disclosure Requirements. Each of these </w:t>
      </w:r>
      <w:r>
        <w:rPr>
          <w:szCs w:val="24"/>
        </w:rPr>
        <w:t xml:space="preserve">categories of </w:t>
      </w:r>
      <w:r w:rsidRPr="009525D1">
        <w:rPr>
          <w:szCs w:val="24"/>
        </w:rPr>
        <w:t>Information Collections is discussed in turn.</w:t>
      </w:r>
      <w:r w:rsidR="00F324CB">
        <w:rPr>
          <w:szCs w:val="24"/>
        </w:rPr>
        <w:t xml:space="preserve"> </w:t>
      </w:r>
      <w:r w:rsidRPr="009525D1">
        <w:rPr>
          <w:szCs w:val="24"/>
        </w:rPr>
        <w:t xml:space="preserve"> The </w:t>
      </w:r>
      <w:r w:rsidR="00393F64">
        <w:rPr>
          <w:szCs w:val="24"/>
        </w:rPr>
        <w:t>CFPB</w:t>
      </w:r>
      <w:r w:rsidRPr="009525D1">
        <w:rPr>
          <w:szCs w:val="24"/>
        </w:rPr>
        <w:t xml:space="preserve"> estimated one-time and ongoing costs associated with</w:t>
      </w:r>
      <w:r w:rsidR="00AC12CD">
        <w:rPr>
          <w:szCs w:val="24"/>
        </w:rPr>
        <w:t xml:space="preserve"> implementing</w:t>
      </w:r>
      <w:r w:rsidRPr="009525D1">
        <w:rPr>
          <w:szCs w:val="24"/>
        </w:rPr>
        <w:t xml:space="preserve"> section 1071</w:t>
      </w:r>
      <w:r w:rsidR="00AC12CD">
        <w:rPr>
          <w:szCs w:val="24"/>
        </w:rPr>
        <w:t xml:space="preserve"> in subpart B</w:t>
      </w:r>
      <w:r w:rsidRPr="009525D1">
        <w:rPr>
          <w:szCs w:val="24"/>
        </w:rPr>
        <w:t xml:space="preserve">. </w:t>
      </w:r>
      <w:r w:rsidR="00F324CB">
        <w:rPr>
          <w:szCs w:val="24"/>
        </w:rPr>
        <w:t xml:space="preserve"> </w:t>
      </w:r>
      <w:r w:rsidRPr="009525D1">
        <w:rPr>
          <w:szCs w:val="24"/>
        </w:rPr>
        <w:t xml:space="preserve">The </w:t>
      </w:r>
      <w:r w:rsidR="00393F64">
        <w:rPr>
          <w:szCs w:val="24"/>
        </w:rPr>
        <w:t>CFPB</w:t>
      </w:r>
      <w:r w:rsidRPr="009525D1">
        <w:rPr>
          <w:szCs w:val="24"/>
        </w:rPr>
        <w:t xml:space="preserve"> assumes that all one-time costs will be covered by the Reporting Requirements.</w:t>
      </w:r>
    </w:p>
    <w:p w:rsidR="004A7AE1" w:rsidRPr="009525D1" w:rsidP="004A7AE1" w14:paraId="3D82C827" w14:textId="77777777">
      <w:pPr>
        <w:spacing w:after="240" w:line="240" w:lineRule="auto"/>
        <w:rPr>
          <w:b/>
          <w:szCs w:val="24"/>
          <w:u w:val="single"/>
        </w:rPr>
      </w:pPr>
      <w:r w:rsidRPr="009525D1">
        <w:rPr>
          <w:b/>
          <w:szCs w:val="24"/>
          <w:u w:val="single"/>
        </w:rPr>
        <w:t>Reporting:</w:t>
      </w:r>
    </w:p>
    <w:p w:rsidR="004A7AE1" w:rsidRPr="009525D1" w:rsidP="004A7AE1" w14:paraId="5D4555B2" w14:textId="5B4B1513">
      <w:pPr>
        <w:spacing w:after="240" w:line="240" w:lineRule="auto"/>
        <w:rPr>
          <w:szCs w:val="24"/>
        </w:rPr>
      </w:pPr>
      <w:r w:rsidRPr="009525D1">
        <w:rPr>
          <w:szCs w:val="24"/>
        </w:rPr>
        <w:t xml:space="preserve">Given that section 1071 is a data collection statute, the </w:t>
      </w:r>
      <w:r w:rsidR="00393F64">
        <w:rPr>
          <w:szCs w:val="24"/>
        </w:rPr>
        <w:t>CFPB</w:t>
      </w:r>
      <w:r w:rsidRPr="009525D1">
        <w:rPr>
          <w:szCs w:val="24"/>
        </w:rPr>
        <w:t xml:space="preserve"> views most tasks that financial institutions undertake to gather and </w:t>
      </w:r>
      <w:r w:rsidRPr="009525D1">
        <w:rPr>
          <w:rFonts w:eastAsia="Calibri"/>
          <w:szCs w:val="24"/>
        </w:rPr>
        <w:t>report</w:t>
      </w:r>
      <w:r w:rsidRPr="009525D1">
        <w:rPr>
          <w:szCs w:val="24"/>
        </w:rPr>
        <w:t xml:space="preserve"> data as covered by the Reporting Requirements. </w:t>
      </w:r>
    </w:p>
    <w:p w:rsidR="004A7AE1" w:rsidRPr="009525D1" w:rsidP="004A7AE1" w14:paraId="47F587CC" w14:textId="77777777">
      <w:pPr>
        <w:pStyle w:val="ListParagraph"/>
        <w:keepNext/>
        <w:numPr>
          <w:ilvl w:val="0"/>
          <w:numId w:val="8"/>
        </w:numPr>
        <w:spacing w:after="200" w:line="276" w:lineRule="auto"/>
        <w:rPr>
          <w:szCs w:val="24"/>
        </w:rPr>
      </w:pPr>
      <w:r w:rsidRPr="009525D1">
        <w:rPr>
          <w:szCs w:val="24"/>
        </w:rPr>
        <w:t>One-time costs</w:t>
      </w:r>
    </w:p>
    <w:p w:rsidR="004A7AE1" w:rsidRPr="009525D1" w:rsidP="004A7AE1" w14:paraId="316779CC" w14:textId="189A5F33">
      <w:pPr>
        <w:spacing w:after="240" w:line="240" w:lineRule="auto"/>
        <w:rPr>
          <w:szCs w:val="24"/>
        </w:rPr>
      </w:pPr>
      <w:r w:rsidRPr="009525D1">
        <w:rPr>
          <w:szCs w:val="24"/>
        </w:rPr>
        <w:t xml:space="preserve">The </w:t>
      </w:r>
      <w:r w:rsidR="00393F64">
        <w:rPr>
          <w:szCs w:val="24"/>
        </w:rPr>
        <w:t>CFPB</w:t>
      </w:r>
      <w:r w:rsidRPr="009525D1">
        <w:rPr>
          <w:szCs w:val="24"/>
        </w:rPr>
        <w:t xml:space="preserve"> identified eight categories of one-time costs that financial institutions </w:t>
      </w:r>
      <w:r>
        <w:rPr>
          <w:szCs w:val="24"/>
        </w:rPr>
        <w:t xml:space="preserve">will </w:t>
      </w:r>
      <w:r w:rsidRPr="009525D1">
        <w:rPr>
          <w:szCs w:val="24"/>
        </w:rPr>
        <w:t xml:space="preserve">likely incur to develop the infrastructure to collect and report data required by </w:t>
      </w:r>
      <w:r w:rsidR="00AC12CD">
        <w:rPr>
          <w:szCs w:val="24"/>
        </w:rPr>
        <w:t>subpart B</w:t>
      </w:r>
      <w:r w:rsidRPr="009525D1">
        <w:rPr>
          <w:szCs w:val="24"/>
        </w:rPr>
        <w:t>.</w:t>
      </w:r>
      <w:r>
        <w:rPr>
          <w:rStyle w:val="FootnoteReference"/>
          <w:szCs w:val="24"/>
        </w:rPr>
        <w:footnoteReference w:id="10"/>
      </w:r>
      <w:r w:rsidRPr="009525D1">
        <w:rPr>
          <w:szCs w:val="24"/>
        </w:rPr>
        <w:t xml:space="preserve"> </w:t>
      </w:r>
      <w:r w:rsidR="00F324CB">
        <w:rPr>
          <w:szCs w:val="24"/>
        </w:rPr>
        <w:t xml:space="preserve"> </w:t>
      </w:r>
      <w:r w:rsidRPr="009525D1">
        <w:rPr>
          <w:szCs w:val="24"/>
        </w:rPr>
        <w:t xml:space="preserve">The </w:t>
      </w:r>
      <w:r w:rsidR="00393F64">
        <w:rPr>
          <w:szCs w:val="24"/>
        </w:rPr>
        <w:t>CFPB</w:t>
      </w:r>
      <w:r w:rsidRPr="009525D1">
        <w:rPr>
          <w:szCs w:val="24"/>
        </w:rPr>
        <w:t xml:space="preserve"> conducted a survey regarding one-time implementation costs and used responses to the survey to estimate the total number of hours junior, mid-level, and senior staff would spend, along with any additional non-salary expenses, for each of the eight categories.</w:t>
      </w:r>
      <w:r w:rsidR="00F324CB">
        <w:rPr>
          <w:szCs w:val="24"/>
        </w:rPr>
        <w:t xml:space="preserve"> </w:t>
      </w:r>
      <w:r w:rsidRPr="009525D1">
        <w:rPr>
          <w:szCs w:val="24"/>
        </w:rPr>
        <w:t xml:space="preserve"> To capture the relationships between institutions’ complexity and one-time costs, the </w:t>
      </w:r>
      <w:r w:rsidR="00393F64">
        <w:rPr>
          <w:szCs w:val="24"/>
        </w:rPr>
        <w:t>CFPB</w:t>
      </w:r>
      <w:r w:rsidRPr="009525D1">
        <w:rPr>
          <w:szCs w:val="24"/>
        </w:rPr>
        <w:t xml:space="preserve"> estimated these values for four different types of institutions: low-complexity </w:t>
      </w:r>
      <w:r w:rsidR="00F5708A">
        <w:rPr>
          <w:szCs w:val="24"/>
        </w:rPr>
        <w:t>depository institutions (</w:t>
      </w:r>
      <w:r w:rsidRPr="009525D1">
        <w:rPr>
          <w:szCs w:val="24"/>
        </w:rPr>
        <w:t>DIs</w:t>
      </w:r>
      <w:r w:rsidR="00F5708A">
        <w:rPr>
          <w:szCs w:val="24"/>
        </w:rPr>
        <w:t>)</w:t>
      </w:r>
      <w:r w:rsidRPr="009525D1">
        <w:rPr>
          <w:szCs w:val="24"/>
        </w:rPr>
        <w:t>,</w:t>
      </w:r>
      <w:r>
        <w:rPr>
          <w:rStyle w:val="FootnoteReference"/>
          <w:szCs w:val="24"/>
        </w:rPr>
        <w:footnoteReference w:id="11"/>
      </w:r>
      <w:r w:rsidRPr="009525D1">
        <w:rPr>
          <w:szCs w:val="24"/>
        </w:rPr>
        <w:t xml:space="preserve"> moderate-</w:t>
      </w:r>
      <w:r w:rsidRPr="009525D1">
        <w:rPr>
          <w:szCs w:val="24"/>
        </w:rPr>
        <w:t xml:space="preserve">complexity DIs, high-complexity DIs, and Non-DIs. In the following discussion, these are referred to as DIs of Types A, B, and C, and Non-DIs. </w:t>
      </w:r>
      <w:r w:rsidR="00F324CB">
        <w:rPr>
          <w:szCs w:val="24"/>
        </w:rPr>
        <w:t xml:space="preserve"> </w:t>
      </w:r>
      <w:r w:rsidRPr="009525D1">
        <w:rPr>
          <w:szCs w:val="24"/>
        </w:rPr>
        <w:t xml:space="preserve">For the burden analysis, the </w:t>
      </w:r>
      <w:r w:rsidR="00393F64">
        <w:rPr>
          <w:szCs w:val="24"/>
        </w:rPr>
        <w:t>CFPB</w:t>
      </w:r>
      <w:r w:rsidRPr="009525D1">
        <w:rPr>
          <w:szCs w:val="24"/>
        </w:rPr>
        <w:t xml:space="preserve"> used the estimates of labor hours spent on each task. </w:t>
      </w:r>
    </w:p>
    <w:p w:rsidR="004A7AE1" w:rsidRPr="009525D1" w:rsidP="004A7AE1" w14:paraId="69B85508" w14:textId="4D418FE7">
      <w:pPr>
        <w:spacing w:after="240" w:line="240" w:lineRule="auto"/>
        <w:rPr>
          <w:szCs w:val="24"/>
        </w:rPr>
      </w:pPr>
      <w:r w:rsidRPr="009525D1">
        <w:rPr>
          <w:szCs w:val="24"/>
        </w:rPr>
        <w:t xml:space="preserve">The </w:t>
      </w:r>
      <w:r w:rsidR="00393F64">
        <w:rPr>
          <w:szCs w:val="24"/>
        </w:rPr>
        <w:t>CFPB</w:t>
      </w:r>
      <w:r w:rsidRPr="009525D1">
        <w:rPr>
          <w:szCs w:val="24"/>
        </w:rPr>
        <w:t xml:space="preserve"> estimates that DIs of Types A, B, and C, and Non-DIs will spend 716, 461, 1320, and 664 hours, respectively, on the eight tasks necessary to implement the </w:t>
      </w:r>
      <w:r>
        <w:rPr>
          <w:szCs w:val="24"/>
        </w:rPr>
        <w:t>final</w:t>
      </w:r>
      <w:r w:rsidRPr="009525D1">
        <w:rPr>
          <w:szCs w:val="24"/>
        </w:rPr>
        <w:t xml:space="preserve"> rule. </w:t>
      </w:r>
      <w:r w:rsidR="00F324CB">
        <w:rPr>
          <w:szCs w:val="24"/>
        </w:rPr>
        <w:t xml:space="preserve"> </w:t>
      </w:r>
      <w:r w:rsidRPr="009525D1">
        <w:rPr>
          <w:szCs w:val="24"/>
        </w:rPr>
        <w:t xml:space="preserve">The </w:t>
      </w:r>
      <w:r w:rsidR="00393F64">
        <w:rPr>
          <w:szCs w:val="24"/>
        </w:rPr>
        <w:t>CFPB</w:t>
      </w:r>
      <w:r w:rsidRPr="009525D1">
        <w:rPr>
          <w:szCs w:val="24"/>
        </w:rPr>
        <w:t xml:space="preserve"> expects that each type of institution will use a different mix of staff hours </w:t>
      </w:r>
      <w:r w:rsidRPr="009525D1">
        <w:rPr>
          <w:szCs w:val="24"/>
        </w:rPr>
        <w:t>in order to</w:t>
      </w:r>
      <w:r w:rsidRPr="009525D1">
        <w:rPr>
          <w:szCs w:val="24"/>
        </w:rPr>
        <w:t xml:space="preserve"> implement these changes</w:t>
      </w:r>
      <w:r w:rsidRPr="00251D14">
        <w:rPr>
          <w:szCs w:val="24"/>
        </w:rPr>
        <w:t xml:space="preserve">. </w:t>
      </w:r>
      <w:r w:rsidR="00FE4B93">
        <w:rPr>
          <w:szCs w:val="24"/>
        </w:rPr>
        <w:t xml:space="preserve"> </w:t>
      </w:r>
      <w:r w:rsidRPr="00251D14">
        <w:rPr>
          <w:szCs w:val="24"/>
        </w:rPr>
        <w:t>Tables 11-15</w:t>
      </w:r>
      <w:r w:rsidRPr="009525D1">
        <w:rPr>
          <w:szCs w:val="24"/>
        </w:rPr>
        <w:t xml:space="preserve"> in </w:t>
      </w:r>
      <w:r>
        <w:rPr>
          <w:szCs w:val="24"/>
        </w:rPr>
        <w:t>part</w:t>
      </w:r>
      <w:r w:rsidRPr="009525D1">
        <w:rPr>
          <w:szCs w:val="24"/>
        </w:rPr>
        <w:t xml:space="preserve"> </w:t>
      </w:r>
      <w:r w:rsidR="006B2785">
        <w:rPr>
          <w:szCs w:val="24"/>
        </w:rPr>
        <w:t>IX</w:t>
      </w:r>
      <w:r w:rsidRPr="009525D1">
        <w:rPr>
          <w:szCs w:val="24"/>
        </w:rPr>
        <w:t xml:space="preserve">.F.3 in the </w:t>
      </w:r>
      <w:r>
        <w:rPr>
          <w:szCs w:val="24"/>
        </w:rPr>
        <w:t>final rule</w:t>
      </w:r>
      <w:r w:rsidRPr="009525D1">
        <w:rPr>
          <w:szCs w:val="24"/>
        </w:rPr>
        <w:t xml:space="preserve"> report the estimated number of junior, mid-level, and senior staff hours and non-salary expenses for each component activity for each type of financial institution. To find the total labor expenses for each financial institution, the </w:t>
      </w:r>
      <w:r w:rsidR="00393F64">
        <w:rPr>
          <w:szCs w:val="24"/>
        </w:rPr>
        <w:t>CFPB</w:t>
      </w:r>
      <w:r w:rsidRPr="009525D1">
        <w:rPr>
          <w:szCs w:val="24"/>
        </w:rPr>
        <w:t xml:space="preserve"> applied a different wage for each level of staff. </w:t>
      </w:r>
      <w:r w:rsidR="00FE4B93">
        <w:rPr>
          <w:szCs w:val="24"/>
        </w:rPr>
        <w:t xml:space="preserve"> </w:t>
      </w:r>
      <w:r w:rsidRPr="009525D1">
        <w:rPr>
          <w:rFonts w:eastAsia="Calibri"/>
          <w:szCs w:val="24"/>
        </w:rPr>
        <w:t xml:space="preserve">The </w:t>
      </w:r>
      <w:r w:rsidR="00393F64">
        <w:rPr>
          <w:szCs w:val="24"/>
        </w:rPr>
        <w:t>CFPB</w:t>
      </w:r>
      <w:r w:rsidRPr="009525D1">
        <w:rPr>
          <w:rFonts w:eastAsia="Calibri"/>
          <w:szCs w:val="24"/>
        </w:rPr>
        <w:t xml:space="preserve"> assumed a total hourly compensation of $</w:t>
      </w:r>
      <w:r>
        <w:rPr>
          <w:rFonts w:eastAsia="Calibri"/>
          <w:szCs w:val="24"/>
        </w:rPr>
        <w:t>95.10</w:t>
      </w:r>
      <w:r w:rsidRPr="009525D1">
        <w:rPr>
          <w:rFonts w:eastAsia="Calibri"/>
          <w:szCs w:val="24"/>
        </w:rPr>
        <w:t xml:space="preserve"> for senior staff, $</w:t>
      </w:r>
      <w:r>
        <w:rPr>
          <w:rFonts w:eastAsia="Calibri"/>
          <w:szCs w:val="24"/>
        </w:rPr>
        <w:t>55.40</w:t>
      </w:r>
      <w:r w:rsidRPr="009525D1">
        <w:rPr>
          <w:rFonts w:eastAsia="Calibri"/>
          <w:szCs w:val="24"/>
        </w:rPr>
        <w:t xml:space="preserve"> for mid-level staff, and $</w:t>
      </w:r>
      <w:r>
        <w:rPr>
          <w:rFonts w:eastAsia="Calibri"/>
          <w:szCs w:val="24"/>
        </w:rPr>
        <w:t>22.37</w:t>
      </w:r>
      <w:r w:rsidRPr="009525D1">
        <w:rPr>
          <w:rFonts w:eastAsia="Calibri"/>
          <w:szCs w:val="24"/>
        </w:rPr>
        <w:t xml:space="preserve"> for junior staff.</w:t>
      </w:r>
      <w:r>
        <w:rPr>
          <w:rStyle w:val="FootnoteReference"/>
          <w:rFonts w:eastAsia="Calibri"/>
          <w:szCs w:val="24"/>
        </w:rPr>
        <w:footnoteReference w:id="12"/>
      </w:r>
      <w:r w:rsidRPr="009525D1">
        <w:rPr>
          <w:szCs w:val="24"/>
        </w:rPr>
        <w:t xml:space="preserve"> </w:t>
      </w:r>
      <w:r w:rsidR="00FE4B93">
        <w:rPr>
          <w:szCs w:val="24"/>
        </w:rPr>
        <w:t xml:space="preserve"> </w:t>
      </w:r>
      <w:r w:rsidRPr="009525D1">
        <w:rPr>
          <w:szCs w:val="24"/>
        </w:rPr>
        <w:t>The estimated total one-time labor expenses are $</w:t>
      </w:r>
      <w:r>
        <w:rPr>
          <w:szCs w:val="24"/>
        </w:rPr>
        <w:t>40,504</w:t>
      </w:r>
      <w:r w:rsidRPr="009525D1">
        <w:rPr>
          <w:szCs w:val="24"/>
        </w:rPr>
        <w:t xml:space="preserve"> for DIs of Type A, $</w:t>
      </w:r>
      <w:r>
        <w:rPr>
          <w:szCs w:val="24"/>
        </w:rPr>
        <w:t>29,098</w:t>
      </w:r>
      <w:r w:rsidRPr="009525D1">
        <w:rPr>
          <w:szCs w:val="24"/>
        </w:rPr>
        <w:t xml:space="preserve"> for DIs of Type B, $</w:t>
      </w:r>
      <w:r>
        <w:rPr>
          <w:szCs w:val="24"/>
        </w:rPr>
        <w:t>68,693</w:t>
      </w:r>
      <w:r w:rsidRPr="009525D1">
        <w:rPr>
          <w:szCs w:val="24"/>
        </w:rPr>
        <w:t xml:space="preserve"> for DIs of Type C, and $</w:t>
      </w:r>
      <w:r>
        <w:rPr>
          <w:szCs w:val="24"/>
        </w:rPr>
        <w:t>39,500</w:t>
      </w:r>
      <w:r w:rsidRPr="009525D1">
        <w:rPr>
          <w:szCs w:val="24"/>
        </w:rPr>
        <w:t xml:space="preserve"> for </w:t>
      </w:r>
      <w:r w:rsidRPr="009525D1">
        <w:rPr>
          <w:szCs w:val="24"/>
        </w:rPr>
        <w:t>Non-DIs</w:t>
      </w:r>
      <w:r w:rsidRPr="009525D1">
        <w:rPr>
          <w:szCs w:val="24"/>
        </w:rPr>
        <w:t xml:space="preserve">. The </w:t>
      </w:r>
      <w:r w:rsidR="00393F64">
        <w:rPr>
          <w:szCs w:val="24"/>
        </w:rPr>
        <w:t>CFPB</w:t>
      </w:r>
      <w:r w:rsidRPr="009525D1">
        <w:rPr>
          <w:szCs w:val="24"/>
        </w:rPr>
        <w:t xml:space="preserve"> estimates the annualized one-time labor costs for PRA purposes using a 7 percent discount rate and a three-year amortization window.</w:t>
      </w:r>
      <w:r>
        <w:rPr>
          <w:rStyle w:val="FootnoteReference"/>
          <w:szCs w:val="24"/>
        </w:rPr>
        <w:footnoteReference w:id="13"/>
      </w:r>
      <w:r w:rsidRPr="009525D1">
        <w:rPr>
          <w:szCs w:val="24"/>
        </w:rPr>
        <w:t xml:space="preserve"> </w:t>
      </w:r>
      <w:r w:rsidR="00FE4B93">
        <w:rPr>
          <w:szCs w:val="24"/>
        </w:rPr>
        <w:t xml:space="preserve"> </w:t>
      </w:r>
      <w:r w:rsidRPr="009525D1">
        <w:rPr>
          <w:szCs w:val="24"/>
        </w:rPr>
        <w:t>The estimated annual one-time labor expenses are $</w:t>
      </w:r>
      <w:r>
        <w:rPr>
          <w:szCs w:val="24"/>
        </w:rPr>
        <w:t>15,434</w:t>
      </w:r>
      <w:r w:rsidRPr="009525D1">
        <w:rPr>
          <w:szCs w:val="24"/>
        </w:rPr>
        <w:t xml:space="preserve"> for DIs of Type A, $</w:t>
      </w:r>
      <w:r>
        <w:rPr>
          <w:szCs w:val="24"/>
        </w:rPr>
        <w:t>11,088</w:t>
      </w:r>
      <w:r w:rsidRPr="009525D1">
        <w:rPr>
          <w:szCs w:val="24"/>
        </w:rPr>
        <w:t xml:space="preserve"> for DIs of Type B, $</w:t>
      </w:r>
      <w:r>
        <w:rPr>
          <w:szCs w:val="24"/>
        </w:rPr>
        <w:t>26,175</w:t>
      </w:r>
      <w:r w:rsidRPr="009525D1">
        <w:rPr>
          <w:szCs w:val="24"/>
        </w:rPr>
        <w:t xml:space="preserve"> for DIs of Type C, and $</w:t>
      </w:r>
      <w:r>
        <w:rPr>
          <w:szCs w:val="24"/>
        </w:rPr>
        <w:t>15,051</w:t>
      </w:r>
      <w:r w:rsidRPr="009525D1">
        <w:rPr>
          <w:szCs w:val="24"/>
        </w:rPr>
        <w:t xml:space="preserve"> for </w:t>
      </w:r>
      <w:r w:rsidRPr="009525D1">
        <w:rPr>
          <w:szCs w:val="24"/>
        </w:rPr>
        <w:t>Non-DIs</w:t>
      </w:r>
      <w:r w:rsidRPr="009525D1">
        <w:rPr>
          <w:szCs w:val="24"/>
        </w:rPr>
        <w:t>. The estimated annual labor burden hours are 273 for DIs of Type A, 176 for DIs of Type B, 503 for DIs of Type C, and 253 for Non-DIs.</w:t>
      </w:r>
    </w:p>
    <w:p w:rsidR="004A7AE1" w:rsidRPr="009525D1" w:rsidP="004A7AE1" w14:paraId="5FA31083" w14:textId="02487B0E">
      <w:pPr>
        <w:spacing w:after="240" w:line="240" w:lineRule="auto"/>
        <w:rPr>
          <w:szCs w:val="24"/>
        </w:rPr>
      </w:pPr>
      <w:r w:rsidRPr="009525D1">
        <w:rPr>
          <w:szCs w:val="24"/>
        </w:rPr>
        <w:t xml:space="preserve">The </w:t>
      </w:r>
      <w:r w:rsidR="00393F64">
        <w:rPr>
          <w:szCs w:val="24"/>
        </w:rPr>
        <w:t>CFPB</w:t>
      </w:r>
      <w:r w:rsidRPr="009525D1">
        <w:rPr>
          <w:szCs w:val="24"/>
        </w:rPr>
        <w:t xml:space="preserve"> estimates that there are </w:t>
      </w:r>
      <w:r>
        <w:rPr>
          <w:szCs w:val="24"/>
        </w:rPr>
        <w:t>550</w:t>
      </w:r>
      <w:r w:rsidRPr="009525D1">
        <w:rPr>
          <w:szCs w:val="24"/>
        </w:rPr>
        <w:t xml:space="preserve"> DIs of Type A,</w:t>
      </w:r>
      <w:r>
        <w:rPr>
          <w:szCs w:val="24"/>
        </w:rPr>
        <w:t xml:space="preserve"> 950 </w:t>
      </w:r>
      <w:r w:rsidRPr="009525D1">
        <w:rPr>
          <w:szCs w:val="24"/>
        </w:rPr>
        <w:t xml:space="preserve">DIs of Type B, </w:t>
      </w:r>
      <w:r>
        <w:rPr>
          <w:szCs w:val="24"/>
        </w:rPr>
        <w:t>3</w:t>
      </w:r>
      <w:r w:rsidRPr="009525D1">
        <w:rPr>
          <w:szCs w:val="24"/>
        </w:rPr>
        <w:t xml:space="preserve">50 DIs of Type C, and </w:t>
      </w:r>
      <w:r>
        <w:rPr>
          <w:szCs w:val="24"/>
        </w:rPr>
        <w:t>620</w:t>
      </w:r>
      <w:r w:rsidRPr="009525D1">
        <w:rPr>
          <w:szCs w:val="24"/>
        </w:rPr>
        <w:t xml:space="preserve"> Non-DIs that will be required to report under the </w:t>
      </w:r>
      <w:r>
        <w:rPr>
          <w:szCs w:val="24"/>
        </w:rPr>
        <w:t>final</w:t>
      </w:r>
      <w:r w:rsidRPr="009525D1">
        <w:rPr>
          <w:szCs w:val="24"/>
        </w:rPr>
        <w:t xml:space="preserve"> rule. </w:t>
      </w:r>
      <w:r w:rsidR="00FE4B93">
        <w:rPr>
          <w:szCs w:val="24"/>
        </w:rPr>
        <w:t xml:space="preserve"> </w:t>
      </w:r>
      <w:r w:rsidRPr="009525D1">
        <w:rPr>
          <w:szCs w:val="24"/>
        </w:rPr>
        <w:t xml:space="preserve">Applying the estimates above to these estimates of numbers of </w:t>
      </w:r>
      <w:r w:rsidR="00C5183A">
        <w:rPr>
          <w:szCs w:val="24"/>
        </w:rPr>
        <w:t>financial institutions</w:t>
      </w:r>
      <w:r w:rsidRPr="009525D1">
        <w:rPr>
          <w:szCs w:val="24"/>
        </w:rPr>
        <w:t xml:space="preserve">, the </w:t>
      </w:r>
      <w:r w:rsidR="00393F64">
        <w:rPr>
          <w:szCs w:val="24"/>
        </w:rPr>
        <w:t>CFPB</w:t>
      </w:r>
      <w:r w:rsidRPr="009525D1">
        <w:rPr>
          <w:szCs w:val="24"/>
        </w:rPr>
        <w:t xml:space="preserve"> estimates that the total annualized number of labor burden associated with one-time costs is </w:t>
      </w:r>
      <w:r>
        <w:rPr>
          <w:szCs w:val="24"/>
        </w:rPr>
        <w:t>649,857</w:t>
      </w:r>
      <w:r w:rsidRPr="009525D1">
        <w:rPr>
          <w:szCs w:val="24"/>
        </w:rPr>
        <w:t xml:space="preserve"> hours. </w:t>
      </w:r>
      <w:r w:rsidR="00FE4B93">
        <w:rPr>
          <w:szCs w:val="24"/>
        </w:rPr>
        <w:t xml:space="preserve"> </w:t>
      </w:r>
      <w:r w:rsidRPr="009525D1">
        <w:rPr>
          <w:szCs w:val="24"/>
        </w:rPr>
        <w:t xml:space="preserve">Similarly, the </w:t>
      </w:r>
      <w:r w:rsidR="00393F64">
        <w:rPr>
          <w:szCs w:val="24"/>
        </w:rPr>
        <w:t>CFPB</w:t>
      </w:r>
      <w:r w:rsidRPr="009525D1">
        <w:rPr>
          <w:szCs w:val="24"/>
        </w:rPr>
        <w:t xml:space="preserve"> estimates that the total annualized labor cost associated with one-time costs is $</w:t>
      </w:r>
      <w:r>
        <w:rPr>
          <w:szCs w:val="24"/>
        </w:rPr>
        <w:t>37,516,296</w:t>
      </w:r>
      <w:r w:rsidRPr="009525D1">
        <w:rPr>
          <w:szCs w:val="24"/>
        </w:rPr>
        <w:t xml:space="preserve">. </w:t>
      </w:r>
      <w:r w:rsidR="00FE4B93">
        <w:rPr>
          <w:szCs w:val="24"/>
        </w:rPr>
        <w:t xml:space="preserve"> </w:t>
      </w:r>
      <w:r w:rsidRPr="009525D1">
        <w:rPr>
          <w:szCs w:val="24"/>
        </w:rPr>
        <w:t xml:space="preserve">The </w:t>
      </w:r>
      <w:r w:rsidR="00393F64">
        <w:rPr>
          <w:szCs w:val="24"/>
        </w:rPr>
        <w:t>CFPB</w:t>
      </w:r>
      <w:r w:rsidRPr="009525D1">
        <w:rPr>
          <w:szCs w:val="24"/>
        </w:rPr>
        <w:t xml:space="preserve"> estimates one implied wage by dividing the total cost by the total number of labor hours, $</w:t>
      </w:r>
      <w:r>
        <w:rPr>
          <w:szCs w:val="24"/>
        </w:rPr>
        <w:t>57.73</w:t>
      </w:r>
      <w:r w:rsidRPr="009525D1">
        <w:rPr>
          <w:szCs w:val="24"/>
        </w:rPr>
        <w:t>.</w:t>
      </w:r>
    </w:p>
    <w:p w:rsidR="004A7AE1" w:rsidRPr="00F324CB" w:rsidP="004A7AE1" w14:paraId="0DBD4E0E" w14:textId="77777777">
      <w:pPr>
        <w:keepNext/>
        <w:spacing w:line="360" w:lineRule="auto"/>
        <w:contextualSpacing/>
        <w:rPr>
          <w:b/>
          <w:bCs/>
          <w:szCs w:val="24"/>
        </w:rPr>
      </w:pPr>
      <w:r w:rsidRPr="00F324CB">
        <w:rPr>
          <w:b/>
          <w:bCs/>
          <w:szCs w:val="24"/>
        </w:rPr>
        <w:t>Total Burden, One-time Reporting Requirements - All Regulated Entities</w:t>
      </w:r>
    </w:p>
    <w:tbl>
      <w:tblPr>
        <w:tblStyle w:val="TableGrid"/>
        <w:tblW w:w="9558" w:type="dxa"/>
        <w:tblLayout w:type="fixed"/>
        <w:tblLook w:val="04A0"/>
      </w:tblPr>
      <w:tblGrid>
        <w:gridCol w:w="2808"/>
        <w:gridCol w:w="2250"/>
        <w:gridCol w:w="2250"/>
        <w:gridCol w:w="2250"/>
      </w:tblGrid>
      <w:tr w14:paraId="7C950B64" w14:textId="77777777" w:rsidTr="00A135D4">
        <w:tblPrEx>
          <w:tblW w:w="9558" w:type="dxa"/>
          <w:tblLayout w:type="fixed"/>
          <w:tblLook w:val="04A0"/>
        </w:tblPrEx>
        <w:trPr>
          <w:trHeight w:val="186"/>
        </w:trPr>
        <w:tc>
          <w:tcPr>
            <w:tcW w:w="2808" w:type="dxa"/>
            <w:noWrap/>
            <w:hideMark/>
          </w:tcPr>
          <w:p w:rsidR="004A7AE1" w:rsidRPr="00F324CB" w:rsidP="00A135D4" w14:paraId="3268281C" w14:textId="77777777">
            <w:pPr>
              <w:keepNext/>
              <w:rPr>
                <w:rFonts w:eastAsia="Calibri"/>
                <w:szCs w:val="24"/>
              </w:rPr>
            </w:pPr>
          </w:p>
          <w:p w:rsidR="004A7AE1" w:rsidRPr="00F324CB" w:rsidP="00A135D4" w14:paraId="60D7766A" w14:textId="77777777">
            <w:pPr>
              <w:keepNext/>
              <w:rPr>
                <w:rFonts w:eastAsia="Calibri"/>
                <w:szCs w:val="24"/>
              </w:rPr>
            </w:pPr>
          </w:p>
        </w:tc>
        <w:tc>
          <w:tcPr>
            <w:tcW w:w="2250" w:type="dxa"/>
            <w:noWrap/>
            <w:hideMark/>
          </w:tcPr>
          <w:p w:rsidR="004A7AE1" w:rsidRPr="00F324CB" w:rsidP="00251D14" w14:paraId="44E69BD8" w14:textId="77777777">
            <w:pPr>
              <w:keepNext/>
              <w:jc w:val="center"/>
              <w:rPr>
                <w:rFonts w:eastAsia="Calibri"/>
                <w:b/>
                <w:bCs/>
                <w:szCs w:val="24"/>
              </w:rPr>
            </w:pPr>
            <w:r w:rsidRPr="00F324CB">
              <w:rPr>
                <w:rFonts w:eastAsia="Calibri"/>
                <w:b/>
                <w:bCs/>
                <w:szCs w:val="24"/>
              </w:rPr>
              <w:t>Number of Respondents</w:t>
            </w:r>
          </w:p>
        </w:tc>
        <w:tc>
          <w:tcPr>
            <w:tcW w:w="2250" w:type="dxa"/>
            <w:noWrap/>
            <w:hideMark/>
          </w:tcPr>
          <w:p w:rsidR="004A7AE1" w:rsidRPr="00F324CB" w:rsidP="00251D14" w14:paraId="5DF5976A" w14:textId="77777777">
            <w:pPr>
              <w:keepNext/>
              <w:jc w:val="center"/>
              <w:rPr>
                <w:rFonts w:eastAsia="Calibri"/>
                <w:b/>
                <w:bCs/>
                <w:szCs w:val="24"/>
              </w:rPr>
            </w:pPr>
            <w:r w:rsidRPr="00F324CB">
              <w:rPr>
                <w:rFonts w:eastAsia="Calibri"/>
                <w:b/>
                <w:bCs/>
                <w:szCs w:val="24"/>
              </w:rPr>
              <w:t>Annualized Burden per Respondent</w:t>
            </w:r>
          </w:p>
        </w:tc>
        <w:tc>
          <w:tcPr>
            <w:tcW w:w="2250" w:type="dxa"/>
            <w:noWrap/>
            <w:hideMark/>
          </w:tcPr>
          <w:p w:rsidR="004A7AE1" w:rsidRPr="00F324CB" w:rsidP="00251D14" w14:paraId="31BEB791" w14:textId="77777777">
            <w:pPr>
              <w:keepNext/>
              <w:jc w:val="center"/>
              <w:rPr>
                <w:rFonts w:eastAsia="Calibri"/>
                <w:b/>
                <w:bCs/>
                <w:szCs w:val="24"/>
              </w:rPr>
            </w:pPr>
            <w:r w:rsidRPr="00F324CB">
              <w:rPr>
                <w:rFonts w:eastAsia="Calibri"/>
                <w:b/>
                <w:bCs/>
                <w:szCs w:val="24"/>
              </w:rPr>
              <w:t>Total Annualized Burden</w:t>
            </w:r>
          </w:p>
        </w:tc>
      </w:tr>
      <w:tr w14:paraId="1E129C99" w14:textId="77777777" w:rsidTr="00F01DD5">
        <w:tblPrEx>
          <w:tblW w:w="9558" w:type="dxa"/>
          <w:tblLayout w:type="fixed"/>
          <w:tblLook w:val="04A0"/>
        </w:tblPrEx>
        <w:trPr>
          <w:trHeight w:val="186"/>
        </w:trPr>
        <w:tc>
          <w:tcPr>
            <w:tcW w:w="2808" w:type="dxa"/>
            <w:noWrap/>
            <w:hideMark/>
          </w:tcPr>
          <w:p w:rsidR="00601011" w:rsidRPr="00F324CB" w:rsidP="00601011" w14:paraId="7CE2F3BC" w14:textId="77777777">
            <w:pPr>
              <w:keepNext/>
              <w:rPr>
                <w:rFonts w:eastAsia="Calibri"/>
                <w:szCs w:val="24"/>
              </w:rPr>
            </w:pPr>
            <w:r w:rsidRPr="00F324CB">
              <w:rPr>
                <w:rFonts w:eastAsia="Calibri"/>
                <w:szCs w:val="24"/>
              </w:rPr>
              <w:t>DI of Type A</w:t>
            </w:r>
          </w:p>
        </w:tc>
        <w:tc>
          <w:tcPr>
            <w:tcW w:w="2250" w:type="dxa"/>
            <w:noWrap/>
            <w:hideMark/>
          </w:tcPr>
          <w:p w:rsidR="00601011" w:rsidRPr="00F324CB" w:rsidP="00601011" w14:paraId="29AD6F9B" w14:textId="4332F1CD">
            <w:pPr>
              <w:keepNext/>
              <w:jc w:val="center"/>
              <w:rPr>
                <w:rFonts w:eastAsia="Calibri"/>
                <w:szCs w:val="24"/>
              </w:rPr>
            </w:pPr>
            <w:r w:rsidRPr="00F324CB">
              <w:rPr>
                <w:rFonts w:eastAsia="Calibri"/>
                <w:szCs w:val="24"/>
              </w:rPr>
              <w:t>550</w:t>
            </w:r>
          </w:p>
        </w:tc>
        <w:tc>
          <w:tcPr>
            <w:tcW w:w="2250" w:type="dxa"/>
            <w:noWrap/>
            <w:hideMark/>
          </w:tcPr>
          <w:p w:rsidR="00601011" w:rsidRPr="00F324CB" w:rsidP="00601011" w14:paraId="7D9F4DF8" w14:textId="77777777">
            <w:pPr>
              <w:keepNext/>
              <w:jc w:val="center"/>
              <w:rPr>
                <w:rFonts w:eastAsia="Calibri"/>
                <w:szCs w:val="24"/>
              </w:rPr>
            </w:pPr>
            <w:r w:rsidRPr="00F324CB">
              <w:rPr>
                <w:rFonts w:eastAsia="Calibri"/>
                <w:szCs w:val="24"/>
              </w:rPr>
              <w:t>273</w:t>
            </w:r>
          </w:p>
        </w:tc>
        <w:tc>
          <w:tcPr>
            <w:tcW w:w="2250" w:type="dxa"/>
            <w:noWrap/>
            <w:vAlign w:val="bottom"/>
            <w:hideMark/>
          </w:tcPr>
          <w:p w:rsidR="00601011" w:rsidRPr="00F324CB" w:rsidP="00601011" w14:paraId="637F19EE" w14:textId="1F253A5F">
            <w:pPr>
              <w:keepNext/>
              <w:jc w:val="center"/>
              <w:rPr>
                <w:rFonts w:eastAsia="Calibri"/>
                <w:szCs w:val="24"/>
              </w:rPr>
            </w:pPr>
            <w:r w:rsidRPr="00F324CB">
              <w:rPr>
                <w:szCs w:val="24"/>
              </w:rPr>
              <w:t>150</w:t>
            </w:r>
            <w:r w:rsidR="00F324CB">
              <w:rPr>
                <w:szCs w:val="24"/>
              </w:rPr>
              <w:t>,</w:t>
            </w:r>
            <w:r w:rsidRPr="00F324CB">
              <w:rPr>
                <w:szCs w:val="24"/>
              </w:rPr>
              <w:t>150</w:t>
            </w:r>
          </w:p>
        </w:tc>
      </w:tr>
      <w:tr w14:paraId="0E12042E" w14:textId="77777777" w:rsidTr="00F01DD5">
        <w:tblPrEx>
          <w:tblW w:w="9558" w:type="dxa"/>
          <w:tblLayout w:type="fixed"/>
          <w:tblLook w:val="04A0"/>
        </w:tblPrEx>
        <w:trPr>
          <w:trHeight w:val="186"/>
        </w:trPr>
        <w:tc>
          <w:tcPr>
            <w:tcW w:w="2808" w:type="dxa"/>
            <w:noWrap/>
            <w:hideMark/>
          </w:tcPr>
          <w:p w:rsidR="00601011" w:rsidRPr="00F324CB" w:rsidP="00601011" w14:paraId="4B0E6AF4" w14:textId="77777777">
            <w:pPr>
              <w:keepNext/>
              <w:rPr>
                <w:rFonts w:eastAsia="Calibri"/>
                <w:szCs w:val="24"/>
              </w:rPr>
            </w:pPr>
            <w:r w:rsidRPr="00F324CB">
              <w:rPr>
                <w:rFonts w:eastAsia="Calibri"/>
                <w:szCs w:val="24"/>
              </w:rPr>
              <w:t>DI of Type B</w:t>
            </w:r>
          </w:p>
        </w:tc>
        <w:tc>
          <w:tcPr>
            <w:tcW w:w="2250" w:type="dxa"/>
            <w:noWrap/>
            <w:hideMark/>
          </w:tcPr>
          <w:p w:rsidR="00601011" w:rsidRPr="00F324CB" w:rsidP="00601011" w14:paraId="0329F686" w14:textId="217C1B1B">
            <w:pPr>
              <w:keepNext/>
              <w:jc w:val="center"/>
              <w:rPr>
                <w:rFonts w:eastAsia="Calibri"/>
                <w:szCs w:val="24"/>
              </w:rPr>
            </w:pPr>
            <w:r w:rsidRPr="00F324CB">
              <w:rPr>
                <w:rFonts w:eastAsia="Calibri"/>
                <w:szCs w:val="24"/>
              </w:rPr>
              <w:t>950</w:t>
            </w:r>
          </w:p>
        </w:tc>
        <w:tc>
          <w:tcPr>
            <w:tcW w:w="2250" w:type="dxa"/>
            <w:noWrap/>
            <w:hideMark/>
          </w:tcPr>
          <w:p w:rsidR="00601011" w:rsidRPr="00F324CB" w:rsidP="00601011" w14:paraId="7BE32B06" w14:textId="77777777">
            <w:pPr>
              <w:keepNext/>
              <w:jc w:val="center"/>
              <w:rPr>
                <w:rFonts w:eastAsia="Calibri"/>
                <w:szCs w:val="24"/>
              </w:rPr>
            </w:pPr>
            <w:r w:rsidRPr="00F324CB">
              <w:rPr>
                <w:rFonts w:eastAsia="Calibri"/>
                <w:szCs w:val="24"/>
              </w:rPr>
              <w:t>176</w:t>
            </w:r>
          </w:p>
        </w:tc>
        <w:tc>
          <w:tcPr>
            <w:tcW w:w="2250" w:type="dxa"/>
            <w:noWrap/>
            <w:vAlign w:val="bottom"/>
            <w:hideMark/>
          </w:tcPr>
          <w:p w:rsidR="00601011" w:rsidRPr="00F324CB" w:rsidP="00601011" w14:paraId="54F675CC" w14:textId="723D12C5">
            <w:pPr>
              <w:keepNext/>
              <w:jc w:val="center"/>
              <w:rPr>
                <w:rFonts w:eastAsia="Calibri"/>
                <w:szCs w:val="24"/>
              </w:rPr>
            </w:pPr>
            <w:r w:rsidRPr="00F324CB">
              <w:rPr>
                <w:szCs w:val="24"/>
              </w:rPr>
              <w:t>167</w:t>
            </w:r>
            <w:r w:rsidR="00F324CB">
              <w:rPr>
                <w:szCs w:val="24"/>
              </w:rPr>
              <w:t>,</w:t>
            </w:r>
            <w:r w:rsidRPr="00F324CB">
              <w:rPr>
                <w:szCs w:val="24"/>
              </w:rPr>
              <w:t>200</w:t>
            </w:r>
          </w:p>
        </w:tc>
      </w:tr>
      <w:tr w14:paraId="79F5CAF7" w14:textId="77777777" w:rsidTr="00F01DD5">
        <w:tblPrEx>
          <w:tblW w:w="9558" w:type="dxa"/>
          <w:tblLayout w:type="fixed"/>
          <w:tblLook w:val="04A0"/>
        </w:tblPrEx>
        <w:trPr>
          <w:trHeight w:val="186"/>
        </w:trPr>
        <w:tc>
          <w:tcPr>
            <w:tcW w:w="2808" w:type="dxa"/>
            <w:noWrap/>
            <w:hideMark/>
          </w:tcPr>
          <w:p w:rsidR="00601011" w:rsidRPr="00F324CB" w:rsidP="00601011" w14:paraId="64370FDB" w14:textId="77777777">
            <w:pPr>
              <w:keepNext/>
              <w:rPr>
                <w:rFonts w:eastAsia="Calibri"/>
                <w:szCs w:val="24"/>
              </w:rPr>
            </w:pPr>
            <w:r w:rsidRPr="00F324CB">
              <w:rPr>
                <w:rFonts w:eastAsia="Calibri"/>
                <w:szCs w:val="24"/>
              </w:rPr>
              <w:t>DI of Type C</w:t>
            </w:r>
          </w:p>
        </w:tc>
        <w:tc>
          <w:tcPr>
            <w:tcW w:w="2250" w:type="dxa"/>
            <w:noWrap/>
            <w:hideMark/>
          </w:tcPr>
          <w:p w:rsidR="00601011" w:rsidRPr="00F324CB" w:rsidP="00601011" w14:paraId="2F6838C6" w14:textId="77777777">
            <w:pPr>
              <w:keepNext/>
              <w:jc w:val="center"/>
              <w:rPr>
                <w:rFonts w:eastAsia="Calibri"/>
                <w:szCs w:val="24"/>
              </w:rPr>
            </w:pPr>
            <w:r w:rsidRPr="00F324CB">
              <w:rPr>
                <w:rFonts w:eastAsia="Calibri"/>
                <w:szCs w:val="24"/>
              </w:rPr>
              <w:t>350</w:t>
            </w:r>
          </w:p>
        </w:tc>
        <w:tc>
          <w:tcPr>
            <w:tcW w:w="2250" w:type="dxa"/>
            <w:noWrap/>
            <w:hideMark/>
          </w:tcPr>
          <w:p w:rsidR="00601011" w:rsidRPr="00F324CB" w:rsidP="00601011" w14:paraId="4C56D334" w14:textId="77777777">
            <w:pPr>
              <w:keepNext/>
              <w:jc w:val="center"/>
              <w:rPr>
                <w:rFonts w:eastAsia="Calibri"/>
                <w:szCs w:val="24"/>
              </w:rPr>
            </w:pPr>
            <w:r w:rsidRPr="00F324CB">
              <w:rPr>
                <w:rFonts w:eastAsia="Calibri"/>
                <w:szCs w:val="24"/>
              </w:rPr>
              <w:t>503</w:t>
            </w:r>
          </w:p>
        </w:tc>
        <w:tc>
          <w:tcPr>
            <w:tcW w:w="2250" w:type="dxa"/>
            <w:noWrap/>
            <w:vAlign w:val="bottom"/>
            <w:hideMark/>
          </w:tcPr>
          <w:p w:rsidR="00601011" w:rsidRPr="00F324CB" w:rsidP="00601011" w14:paraId="39F15279" w14:textId="2C05FB9D">
            <w:pPr>
              <w:keepNext/>
              <w:jc w:val="center"/>
              <w:rPr>
                <w:rFonts w:eastAsia="Calibri"/>
                <w:szCs w:val="24"/>
              </w:rPr>
            </w:pPr>
            <w:r w:rsidRPr="00F324CB">
              <w:rPr>
                <w:szCs w:val="24"/>
              </w:rPr>
              <w:t>176</w:t>
            </w:r>
            <w:r w:rsidR="00F324CB">
              <w:rPr>
                <w:szCs w:val="24"/>
              </w:rPr>
              <w:t>,</w:t>
            </w:r>
            <w:r w:rsidRPr="00F324CB">
              <w:rPr>
                <w:szCs w:val="24"/>
              </w:rPr>
              <w:t>050</w:t>
            </w:r>
          </w:p>
        </w:tc>
      </w:tr>
      <w:tr w14:paraId="06AA3B9D" w14:textId="77777777" w:rsidTr="00F01DD5">
        <w:tblPrEx>
          <w:tblW w:w="9558" w:type="dxa"/>
          <w:tblLayout w:type="fixed"/>
          <w:tblLook w:val="04A0"/>
        </w:tblPrEx>
        <w:trPr>
          <w:trHeight w:val="186"/>
        </w:trPr>
        <w:tc>
          <w:tcPr>
            <w:tcW w:w="2808" w:type="dxa"/>
            <w:noWrap/>
            <w:hideMark/>
          </w:tcPr>
          <w:p w:rsidR="00601011" w:rsidRPr="00F324CB" w:rsidP="00601011" w14:paraId="65784BDB" w14:textId="77777777">
            <w:pPr>
              <w:keepNext/>
              <w:rPr>
                <w:rFonts w:eastAsia="Calibri"/>
                <w:szCs w:val="24"/>
              </w:rPr>
            </w:pPr>
            <w:r w:rsidRPr="00F324CB">
              <w:rPr>
                <w:rFonts w:eastAsia="Calibri"/>
                <w:szCs w:val="24"/>
              </w:rPr>
              <w:t>Non-DI</w:t>
            </w:r>
          </w:p>
        </w:tc>
        <w:tc>
          <w:tcPr>
            <w:tcW w:w="2250" w:type="dxa"/>
            <w:noWrap/>
            <w:hideMark/>
          </w:tcPr>
          <w:p w:rsidR="00601011" w:rsidRPr="00F324CB" w:rsidP="00601011" w14:paraId="53030093" w14:textId="7CFE2BA5">
            <w:pPr>
              <w:keepNext/>
              <w:jc w:val="center"/>
              <w:rPr>
                <w:rFonts w:eastAsia="Calibri"/>
                <w:szCs w:val="24"/>
              </w:rPr>
            </w:pPr>
            <w:r w:rsidRPr="00F324CB">
              <w:rPr>
                <w:rFonts w:eastAsia="Calibri"/>
                <w:szCs w:val="24"/>
              </w:rPr>
              <w:t>620</w:t>
            </w:r>
          </w:p>
        </w:tc>
        <w:tc>
          <w:tcPr>
            <w:tcW w:w="2250" w:type="dxa"/>
            <w:noWrap/>
            <w:hideMark/>
          </w:tcPr>
          <w:p w:rsidR="00601011" w:rsidRPr="00F324CB" w:rsidP="00601011" w14:paraId="3539F672" w14:textId="77777777">
            <w:pPr>
              <w:keepNext/>
              <w:jc w:val="center"/>
              <w:rPr>
                <w:rFonts w:eastAsia="Calibri"/>
                <w:szCs w:val="24"/>
              </w:rPr>
            </w:pPr>
            <w:r w:rsidRPr="00F324CB">
              <w:rPr>
                <w:rFonts w:eastAsia="Calibri"/>
                <w:szCs w:val="24"/>
              </w:rPr>
              <w:t>253</w:t>
            </w:r>
          </w:p>
        </w:tc>
        <w:tc>
          <w:tcPr>
            <w:tcW w:w="2250" w:type="dxa"/>
            <w:noWrap/>
            <w:vAlign w:val="bottom"/>
            <w:hideMark/>
          </w:tcPr>
          <w:p w:rsidR="00601011" w:rsidRPr="00F324CB" w:rsidP="00601011" w14:paraId="0BB05499" w14:textId="7C928D2C">
            <w:pPr>
              <w:keepNext/>
              <w:jc w:val="center"/>
              <w:rPr>
                <w:rFonts w:eastAsia="Calibri"/>
                <w:szCs w:val="24"/>
              </w:rPr>
            </w:pPr>
            <w:r w:rsidRPr="00F324CB">
              <w:rPr>
                <w:szCs w:val="24"/>
              </w:rPr>
              <w:t>156</w:t>
            </w:r>
            <w:r w:rsidR="00F324CB">
              <w:rPr>
                <w:szCs w:val="24"/>
              </w:rPr>
              <w:t>,</w:t>
            </w:r>
            <w:r w:rsidRPr="00F324CB">
              <w:rPr>
                <w:szCs w:val="24"/>
              </w:rPr>
              <w:t>860</w:t>
            </w:r>
          </w:p>
        </w:tc>
      </w:tr>
    </w:tbl>
    <w:p w:rsidR="004A7AE1" w:rsidRPr="009525D1" w:rsidP="004A7AE1" w14:paraId="4BBDBB32" w14:textId="1D3EDAB4">
      <w:pPr>
        <w:rPr>
          <w:szCs w:val="24"/>
        </w:rPr>
      </w:pPr>
      <w:r w:rsidRPr="00F324CB">
        <w:rPr>
          <w:b/>
          <w:bCs/>
          <w:spacing w:val="1"/>
          <w:szCs w:val="24"/>
        </w:rPr>
        <w:t>T</w:t>
      </w:r>
      <w:r w:rsidRPr="00F324CB">
        <w:rPr>
          <w:b/>
          <w:bCs/>
          <w:szCs w:val="24"/>
        </w:rPr>
        <w:t>o</w:t>
      </w:r>
      <w:r w:rsidRPr="00F324CB">
        <w:rPr>
          <w:b/>
          <w:bCs/>
          <w:spacing w:val="-1"/>
          <w:szCs w:val="24"/>
        </w:rPr>
        <w:t>t</w:t>
      </w:r>
      <w:r w:rsidRPr="00F324CB">
        <w:rPr>
          <w:b/>
          <w:bCs/>
          <w:szCs w:val="24"/>
        </w:rPr>
        <w:t xml:space="preserve">al One-time </w:t>
      </w:r>
      <w:r w:rsidRPr="00F324CB">
        <w:rPr>
          <w:b/>
          <w:bCs/>
          <w:spacing w:val="1"/>
          <w:szCs w:val="24"/>
        </w:rPr>
        <w:t>Reporting Requirement Bu</w:t>
      </w:r>
      <w:r w:rsidRPr="00F324CB">
        <w:rPr>
          <w:b/>
          <w:bCs/>
          <w:spacing w:val="-1"/>
          <w:szCs w:val="24"/>
        </w:rPr>
        <w:t>r</w:t>
      </w:r>
      <w:r w:rsidRPr="00F324CB">
        <w:rPr>
          <w:b/>
          <w:bCs/>
          <w:spacing w:val="1"/>
          <w:szCs w:val="24"/>
        </w:rPr>
        <w:t>d</w:t>
      </w:r>
      <w:r w:rsidRPr="00F324CB">
        <w:rPr>
          <w:b/>
          <w:bCs/>
          <w:spacing w:val="-1"/>
          <w:szCs w:val="24"/>
        </w:rPr>
        <w:t>e</w:t>
      </w:r>
      <w:r w:rsidRPr="00F324CB">
        <w:rPr>
          <w:b/>
          <w:bCs/>
          <w:szCs w:val="24"/>
        </w:rPr>
        <w:t>n</w:t>
      </w:r>
      <w:r w:rsidRPr="00F324CB">
        <w:rPr>
          <w:b/>
          <w:bCs/>
          <w:spacing w:val="1"/>
          <w:szCs w:val="24"/>
        </w:rPr>
        <w:t xml:space="preserve"> </w:t>
      </w:r>
      <w:r w:rsidRPr="00F324CB">
        <w:rPr>
          <w:b/>
          <w:bCs/>
          <w:spacing w:val="2"/>
          <w:szCs w:val="24"/>
        </w:rPr>
        <w:t>f</w:t>
      </w:r>
      <w:r w:rsidRPr="00F324CB">
        <w:rPr>
          <w:b/>
          <w:bCs/>
          <w:szCs w:val="24"/>
        </w:rPr>
        <w:t>or</w:t>
      </w:r>
      <w:r w:rsidRPr="00F324CB">
        <w:rPr>
          <w:b/>
          <w:bCs/>
          <w:spacing w:val="-1"/>
          <w:szCs w:val="24"/>
        </w:rPr>
        <w:t xml:space="preserve"> all Regulated Entities</w:t>
      </w:r>
      <w:r>
        <w:ptab w:relativeTo="margin" w:alignment="right" w:leader="none"/>
      </w:r>
      <w:r w:rsidRPr="00F324CB" w:rsidR="00F6689C">
        <w:rPr>
          <w:rFonts w:eastAsia="Calibri"/>
          <w:szCs w:val="24"/>
        </w:rPr>
        <w:t>650</w:t>
      </w:r>
      <w:r w:rsidR="00F324CB">
        <w:rPr>
          <w:rFonts w:eastAsia="Calibri"/>
          <w:szCs w:val="24"/>
        </w:rPr>
        <w:t>,</w:t>
      </w:r>
      <w:r w:rsidRPr="00F324CB" w:rsidR="00F6689C">
        <w:rPr>
          <w:rFonts w:eastAsia="Calibri"/>
          <w:szCs w:val="24"/>
        </w:rPr>
        <w:t>260</w:t>
      </w:r>
      <w:r w:rsidRPr="00F324CB" w:rsidR="00103C31">
        <w:rPr>
          <w:rFonts w:eastAsia="Calibri"/>
          <w:szCs w:val="24"/>
        </w:rPr>
        <w:t xml:space="preserve"> </w:t>
      </w:r>
      <w:r w:rsidRPr="00F324CB">
        <w:rPr>
          <w:rFonts w:eastAsia="Calibri"/>
          <w:b/>
          <w:bCs/>
          <w:szCs w:val="24"/>
        </w:rPr>
        <w:t>hours</w:t>
      </w:r>
      <w:r w:rsidR="006B2785">
        <w:rPr>
          <w:rFonts w:eastAsia="Calibri"/>
          <w:b/>
          <w:bCs/>
          <w:szCs w:val="24"/>
        </w:rPr>
        <w:br/>
      </w:r>
    </w:p>
    <w:p w:rsidR="004A7AE1" w:rsidRPr="009525D1" w:rsidP="004A7AE1" w14:paraId="48C339BE" w14:textId="77777777">
      <w:pPr>
        <w:pStyle w:val="ListParagraph"/>
        <w:keepNext/>
        <w:numPr>
          <w:ilvl w:val="0"/>
          <w:numId w:val="8"/>
        </w:numPr>
        <w:spacing w:after="200" w:line="276" w:lineRule="auto"/>
        <w:rPr>
          <w:szCs w:val="24"/>
        </w:rPr>
      </w:pPr>
      <w:r w:rsidRPr="009525D1">
        <w:rPr>
          <w:szCs w:val="24"/>
        </w:rPr>
        <w:t>Ongoing costs</w:t>
      </w:r>
    </w:p>
    <w:p w:rsidR="004A7AE1" w:rsidRPr="009525D1" w:rsidP="004A7AE1" w14:paraId="048AF9EE" w14:textId="48F97520">
      <w:pPr>
        <w:spacing w:after="240" w:line="240" w:lineRule="auto"/>
        <w:rPr>
          <w:szCs w:val="24"/>
        </w:rPr>
      </w:pPr>
      <w:r w:rsidRPr="009525D1">
        <w:rPr>
          <w:szCs w:val="24"/>
        </w:rPr>
        <w:t xml:space="preserve">The </w:t>
      </w:r>
      <w:r w:rsidR="00393F64">
        <w:rPr>
          <w:szCs w:val="24"/>
        </w:rPr>
        <w:t>CFPB</w:t>
      </w:r>
      <w:r w:rsidRPr="009525D1">
        <w:rPr>
          <w:szCs w:val="24"/>
        </w:rPr>
        <w:t xml:space="preserve"> identified 15 tasks that financial institutions conduct when gathering and reporting data under HMDA.</w:t>
      </w:r>
      <w:r>
        <w:rPr>
          <w:rStyle w:val="FootnoteReference"/>
          <w:szCs w:val="24"/>
        </w:rPr>
        <w:footnoteReference w:id="14"/>
      </w:r>
      <w:r w:rsidRPr="009525D1">
        <w:rPr>
          <w:szCs w:val="24"/>
        </w:rPr>
        <w:t xml:space="preserve"> </w:t>
      </w:r>
      <w:r w:rsidR="00FE4B93">
        <w:rPr>
          <w:szCs w:val="24"/>
        </w:rPr>
        <w:t xml:space="preserve"> </w:t>
      </w:r>
      <w:r w:rsidRPr="009525D1">
        <w:rPr>
          <w:szCs w:val="24"/>
        </w:rPr>
        <w:t xml:space="preserve">These outreach efforts also determined that the time and monetary cost of conducting these 15 tasks differed by financial institutions’ level of complexity. </w:t>
      </w:r>
      <w:r w:rsidR="00FE4B93">
        <w:rPr>
          <w:szCs w:val="24"/>
        </w:rPr>
        <w:t xml:space="preserve"> </w:t>
      </w:r>
      <w:r w:rsidRPr="009525D1">
        <w:rPr>
          <w:szCs w:val="24"/>
        </w:rPr>
        <w:t xml:space="preserve">To capture the relationships between institutions’ complexity and reporting costs for each of these 15 tasks, the </w:t>
      </w:r>
      <w:r w:rsidR="00393F64">
        <w:rPr>
          <w:szCs w:val="24"/>
        </w:rPr>
        <w:t>CFPB</w:t>
      </w:r>
      <w:r w:rsidRPr="009525D1">
        <w:rPr>
          <w:szCs w:val="24"/>
        </w:rPr>
        <w:t xml:space="preserve"> developed three representative financial institutions reflecting low-, moderate- and high-complexity.</w:t>
      </w:r>
      <w:r w:rsidR="00FE4B93">
        <w:rPr>
          <w:szCs w:val="24"/>
        </w:rPr>
        <w:t xml:space="preserve"> </w:t>
      </w:r>
      <w:r w:rsidRPr="009525D1">
        <w:rPr>
          <w:szCs w:val="24"/>
        </w:rPr>
        <w:t xml:space="preserve"> In the following discussion, these are referred to as Types A, B, and C financial institutions, respectively. </w:t>
      </w:r>
      <w:r w:rsidR="00FE4B93">
        <w:rPr>
          <w:szCs w:val="24"/>
        </w:rPr>
        <w:t xml:space="preserve"> </w:t>
      </w:r>
      <w:r w:rsidRPr="009525D1">
        <w:rPr>
          <w:szCs w:val="24"/>
        </w:rPr>
        <w:t xml:space="preserve">For the PRA burden analysis, the </w:t>
      </w:r>
      <w:r w:rsidR="00393F64">
        <w:rPr>
          <w:szCs w:val="24"/>
        </w:rPr>
        <w:t>CFPB</w:t>
      </w:r>
      <w:r w:rsidRPr="009525D1">
        <w:rPr>
          <w:szCs w:val="24"/>
        </w:rPr>
        <w:t xml:space="preserve"> estimated the time that each of the three representative lenders spend on each of the 15 tasks. </w:t>
      </w:r>
      <w:r w:rsidR="00FE4B93">
        <w:rPr>
          <w:szCs w:val="24"/>
        </w:rPr>
        <w:t xml:space="preserve"> </w:t>
      </w:r>
      <w:r w:rsidRPr="009525D1">
        <w:rPr>
          <w:szCs w:val="24"/>
        </w:rPr>
        <w:t xml:space="preserve">The </w:t>
      </w:r>
      <w:r w:rsidR="00393F64">
        <w:rPr>
          <w:szCs w:val="24"/>
        </w:rPr>
        <w:t>CFPB</w:t>
      </w:r>
      <w:r w:rsidRPr="009525D1">
        <w:rPr>
          <w:szCs w:val="24"/>
        </w:rPr>
        <w:t xml:space="preserve"> then took these institution-level estimates and aggregated up to the market level.</w:t>
      </w:r>
      <w:r>
        <w:rPr>
          <w:rStyle w:val="FootnoteReference"/>
          <w:szCs w:val="24"/>
        </w:rPr>
        <w:footnoteReference w:id="15"/>
      </w:r>
      <w:r w:rsidRPr="009525D1">
        <w:rPr>
          <w:szCs w:val="24"/>
        </w:rPr>
        <w:t xml:space="preserve"> </w:t>
      </w:r>
    </w:p>
    <w:p w:rsidR="004A7AE1" w:rsidRPr="009525D1" w:rsidP="004A7AE1" w14:paraId="62A2D303" w14:textId="250F1F7F">
      <w:pPr>
        <w:spacing w:after="240" w:line="240" w:lineRule="auto"/>
        <w:rPr>
          <w:szCs w:val="24"/>
        </w:rPr>
      </w:pPr>
      <w:r w:rsidRPr="009525D1">
        <w:rPr>
          <w:szCs w:val="24"/>
        </w:rPr>
        <w:t>The Reporting Requirement covers 14 of the 15 operational tasks.</w:t>
      </w:r>
      <w:r>
        <w:rPr>
          <w:rStyle w:val="FootnoteReference"/>
          <w:szCs w:val="24"/>
        </w:rPr>
        <w:footnoteReference w:id="16"/>
      </w:r>
      <w:r w:rsidRPr="009525D1">
        <w:rPr>
          <w:szCs w:val="24"/>
        </w:rPr>
        <w:t xml:space="preserve"> </w:t>
      </w:r>
      <w:r w:rsidR="00FE4B93">
        <w:rPr>
          <w:szCs w:val="24"/>
        </w:rPr>
        <w:t xml:space="preserve"> </w:t>
      </w:r>
      <w:r w:rsidRPr="009525D1">
        <w:rPr>
          <w:szCs w:val="24"/>
        </w:rPr>
        <w:t xml:space="preserve">The </w:t>
      </w:r>
      <w:r w:rsidR="00393F64">
        <w:rPr>
          <w:szCs w:val="24"/>
        </w:rPr>
        <w:t>CFPB</w:t>
      </w:r>
      <w:r w:rsidRPr="009525D1">
        <w:rPr>
          <w:szCs w:val="24"/>
        </w:rPr>
        <w:t xml:space="preserve"> estimates that Types A, B, and C financial institutions </w:t>
      </w:r>
      <w:r>
        <w:rPr>
          <w:szCs w:val="24"/>
        </w:rPr>
        <w:t xml:space="preserve">will </w:t>
      </w:r>
      <w:r w:rsidRPr="009525D1">
        <w:rPr>
          <w:szCs w:val="24"/>
        </w:rPr>
        <w:t xml:space="preserve">spend, on average, approximately </w:t>
      </w:r>
      <w:r>
        <w:rPr>
          <w:szCs w:val="24"/>
        </w:rPr>
        <w:t>112</w:t>
      </w:r>
      <w:r w:rsidRPr="009525D1">
        <w:rPr>
          <w:szCs w:val="24"/>
        </w:rPr>
        <w:t xml:space="preserve">, </w:t>
      </w:r>
      <w:r>
        <w:rPr>
          <w:szCs w:val="24"/>
        </w:rPr>
        <w:t>658</w:t>
      </w:r>
      <w:r w:rsidRPr="009525D1">
        <w:rPr>
          <w:szCs w:val="24"/>
        </w:rPr>
        <w:t xml:space="preserve">, and </w:t>
      </w:r>
      <w:r>
        <w:rPr>
          <w:szCs w:val="24"/>
        </w:rPr>
        <w:t>9,177</w:t>
      </w:r>
      <w:r w:rsidRPr="009525D1">
        <w:rPr>
          <w:szCs w:val="24"/>
        </w:rPr>
        <w:t xml:space="preserve"> hours per year, respectively, on these 14 tasks. </w:t>
      </w:r>
    </w:p>
    <w:p w:rsidR="004A7AE1" w:rsidRPr="009525D1" w:rsidP="00C5183A" w14:paraId="1B85F2BC" w14:textId="77777777">
      <w:pPr>
        <w:keepNext/>
        <w:spacing w:line="247" w:lineRule="auto"/>
        <w:ind w:left="14" w:hanging="14"/>
        <w:rPr>
          <w:szCs w:val="24"/>
        </w:rPr>
      </w:pPr>
      <w:r w:rsidRPr="009525D1">
        <w:rPr>
          <w:b/>
          <w:bCs/>
          <w:szCs w:val="24"/>
        </w:rPr>
        <w:t>Total Burden, Ongoing Reporting Requirements</w:t>
      </w:r>
      <w:r>
        <w:rPr>
          <w:b/>
          <w:bCs/>
          <w:szCs w:val="24"/>
        </w:rPr>
        <w:t xml:space="preserve"> </w:t>
      </w:r>
      <w:r w:rsidRPr="009525D1">
        <w:rPr>
          <w:b/>
          <w:bCs/>
          <w:szCs w:val="24"/>
        </w:rPr>
        <w:t>-</w:t>
      </w:r>
      <w:r>
        <w:rPr>
          <w:b/>
          <w:bCs/>
          <w:szCs w:val="24"/>
        </w:rPr>
        <w:t xml:space="preserve"> </w:t>
      </w:r>
      <w:r w:rsidRPr="009525D1">
        <w:rPr>
          <w:b/>
          <w:bCs/>
          <w:szCs w:val="24"/>
        </w:rPr>
        <w:t>All Regulated Entities</w:t>
      </w:r>
    </w:p>
    <w:tbl>
      <w:tblPr>
        <w:tblStyle w:val="TableGrid"/>
        <w:tblW w:w="0" w:type="auto"/>
        <w:tblLook w:val="04A0"/>
      </w:tblPr>
      <w:tblGrid>
        <w:gridCol w:w="2315"/>
        <w:gridCol w:w="2351"/>
        <w:gridCol w:w="2346"/>
        <w:gridCol w:w="2333"/>
      </w:tblGrid>
      <w:tr w14:paraId="5CD9AA87" w14:textId="77777777" w:rsidTr="00A135D4">
        <w:tblPrEx>
          <w:tblW w:w="0" w:type="auto"/>
          <w:tblLook w:val="04A0"/>
        </w:tblPrEx>
        <w:tc>
          <w:tcPr>
            <w:tcW w:w="2394" w:type="dxa"/>
          </w:tcPr>
          <w:p w:rsidR="004A7AE1" w:rsidRPr="009525D1" w:rsidP="00C5183A" w14:paraId="7CBDC533" w14:textId="77777777">
            <w:pPr>
              <w:keepNext/>
              <w:widowControl/>
              <w:spacing w:line="247" w:lineRule="auto"/>
              <w:ind w:left="14" w:hanging="14"/>
              <w:rPr>
                <w:szCs w:val="24"/>
              </w:rPr>
            </w:pPr>
          </w:p>
        </w:tc>
        <w:tc>
          <w:tcPr>
            <w:tcW w:w="2394" w:type="dxa"/>
          </w:tcPr>
          <w:p w:rsidR="004A7AE1" w:rsidRPr="00251D14" w:rsidP="00251D14" w14:paraId="17432A7E" w14:textId="77777777">
            <w:pPr>
              <w:keepNext/>
              <w:widowControl/>
              <w:spacing w:line="247" w:lineRule="auto"/>
              <w:ind w:left="14" w:hanging="14"/>
              <w:jc w:val="center"/>
              <w:rPr>
                <w:b/>
                <w:bCs/>
                <w:szCs w:val="24"/>
              </w:rPr>
            </w:pPr>
            <w:r w:rsidRPr="00251D14">
              <w:rPr>
                <w:b/>
                <w:bCs/>
                <w:szCs w:val="24"/>
              </w:rPr>
              <w:t>Number of Respondents</w:t>
            </w:r>
          </w:p>
        </w:tc>
        <w:tc>
          <w:tcPr>
            <w:tcW w:w="2394" w:type="dxa"/>
          </w:tcPr>
          <w:p w:rsidR="004A7AE1" w:rsidRPr="00251D14" w:rsidP="00251D14" w14:paraId="06C1EC15" w14:textId="77777777">
            <w:pPr>
              <w:keepNext/>
              <w:widowControl/>
              <w:spacing w:line="247" w:lineRule="auto"/>
              <w:ind w:left="14" w:hanging="14"/>
              <w:jc w:val="center"/>
              <w:rPr>
                <w:b/>
                <w:bCs/>
                <w:szCs w:val="24"/>
              </w:rPr>
            </w:pPr>
            <w:r w:rsidRPr="00251D14">
              <w:rPr>
                <w:b/>
                <w:bCs/>
                <w:szCs w:val="24"/>
              </w:rPr>
              <w:t>Average Burden per Respondent</w:t>
            </w:r>
          </w:p>
        </w:tc>
        <w:tc>
          <w:tcPr>
            <w:tcW w:w="2394" w:type="dxa"/>
          </w:tcPr>
          <w:p w:rsidR="004A7AE1" w:rsidRPr="00251D14" w:rsidP="00251D14" w14:paraId="588A9FF8" w14:textId="1456FF32">
            <w:pPr>
              <w:keepNext/>
              <w:widowControl/>
              <w:spacing w:line="247" w:lineRule="auto"/>
              <w:ind w:left="14" w:hanging="14"/>
              <w:jc w:val="center"/>
              <w:rPr>
                <w:b/>
                <w:bCs/>
                <w:szCs w:val="24"/>
              </w:rPr>
            </w:pPr>
            <w:r w:rsidRPr="00251D14">
              <w:rPr>
                <w:b/>
                <w:bCs/>
                <w:szCs w:val="24"/>
              </w:rPr>
              <w:t>Total</w:t>
            </w:r>
          </w:p>
          <w:p w:rsidR="004A7AE1" w:rsidRPr="00251D14" w:rsidP="00251D14" w14:paraId="5927CBBA" w14:textId="6888E2CD">
            <w:pPr>
              <w:keepNext/>
              <w:widowControl/>
              <w:spacing w:line="247" w:lineRule="auto"/>
              <w:ind w:left="14" w:hanging="14"/>
              <w:jc w:val="center"/>
              <w:rPr>
                <w:b/>
                <w:bCs/>
                <w:szCs w:val="24"/>
              </w:rPr>
            </w:pPr>
            <w:r w:rsidRPr="00251D14">
              <w:rPr>
                <w:b/>
                <w:bCs/>
                <w:szCs w:val="24"/>
              </w:rPr>
              <w:t>Burden</w:t>
            </w:r>
          </w:p>
          <w:p w:rsidR="004A7AE1" w:rsidRPr="00251D14" w:rsidP="00251D14" w14:paraId="66BF8838" w14:textId="166B6875">
            <w:pPr>
              <w:keepNext/>
              <w:widowControl/>
              <w:spacing w:line="247" w:lineRule="auto"/>
              <w:ind w:left="14" w:hanging="14"/>
              <w:jc w:val="center"/>
              <w:rPr>
                <w:b/>
                <w:bCs/>
                <w:szCs w:val="24"/>
              </w:rPr>
            </w:pPr>
          </w:p>
        </w:tc>
      </w:tr>
      <w:tr w14:paraId="73027B16" w14:textId="77777777" w:rsidTr="00A135D4">
        <w:tblPrEx>
          <w:tblW w:w="0" w:type="auto"/>
          <w:tblLook w:val="04A0"/>
        </w:tblPrEx>
        <w:tc>
          <w:tcPr>
            <w:tcW w:w="2394" w:type="dxa"/>
          </w:tcPr>
          <w:p w:rsidR="004A7AE1" w:rsidRPr="009525D1" w:rsidP="00A135D4" w14:paraId="256FE33F" w14:textId="77777777">
            <w:pPr>
              <w:spacing w:line="269" w:lineRule="exact"/>
              <w:ind w:left="102" w:right="-20"/>
              <w:rPr>
                <w:szCs w:val="24"/>
              </w:rPr>
            </w:pPr>
            <w:r w:rsidRPr="009525D1">
              <w:rPr>
                <w:szCs w:val="24"/>
              </w:rPr>
              <w:t>Type A</w:t>
            </w:r>
          </w:p>
        </w:tc>
        <w:tc>
          <w:tcPr>
            <w:tcW w:w="2394" w:type="dxa"/>
          </w:tcPr>
          <w:p w:rsidR="004A7AE1" w:rsidRPr="009525D1" w:rsidP="00FE4B93" w14:paraId="506DB86F" w14:textId="3298C2FA">
            <w:pPr>
              <w:spacing w:line="269" w:lineRule="exact"/>
              <w:ind w:left="676"/>
              <w:rPr>
                <w:szCs w:val="24"/>
              </w:rPr>
            </w:pPr>
            <w:r>
              <w:rPr>
                <w:szCs w:val="24"/>
              </w:rPr>
              <w:t>550</w:t>
            </w:r>
          </w:p>
        </w:tc>
        <w:tc>
          <w:tcPr>
            <w:tcW w:w="2394" w:type="dxa"/>
          </w:tcPr>
          <w:p w:rsidR="004A7AE1" w:rsidRPr="009525D1" w:rsidP="00251D14" w14:paraId="1C495E48" w14:textId="30D6E554">
            <w:pPr>
              <w:widowControl/>
              <w:jc w:val="center"/>
              <w:rPr>
                <w:szCs w:val="24"/>
              </w:rPr>
            </w:pPr>
            <w:r>
              <w:rPr>
                <w:szCs w:val="24"/>
              </w:rPr>
              <w:t>112</w:t>
            </w:r>
          </w:p>
        </w:tc>
        <w:tc>
          <w:tcPr>
            <w:tcW w:w="2394" w:type="dxa"/>
          </w:tcPr>
          <w:p w:rsidR="004A7AE1" w:rsidRPr="009525D1" w:rsidP="00251D14" w14:paraId="45B2AF78" w14:textId="1760E7FD">
            <w:pPr>
              <w:widowControl/>
              <w:jc w:val="center"/>
              <w:rPr>
                <w:szCs w:val="24"/>
              </w:rPr>
            </w:pPr>
            <w:r>
              <w:rPr>
                <w:szCs w:val="24"/>
              </w:rPr>
              <w:t>61,60</w:t>
            </w:r>
            <w:r w:rsidR="002C2464">
              <w:rPr>
                <w:szCs w:val="24"/>
              </w:rPr>
              <w:t>0</w:t>
            </w:r>
          </w:p>
        </w:tc>
      </w:tr>
      <w:tr w14:paraId="347D8BC0" w14:textId="77777777" w:rsidTr="00A135D4">
        <w:tblPrEx>
          <w:tblW w:w="0" w:type="auto"/>
          <w:tblLook w:val="04A0"/>
        </w:tblPrEx>
        <w:tc>
          <w:tcPr>
            <w:tcW w:w="2394" w:type="dxa"/>
          </w:tcPr>
          <w:p w:rsidR="004A7AE1" w:rsidRPr="009525D1" w:rsidP="00A135D4" w14:paraId="4138FBCB" w14:textId="77777777">
            <w:pPr>
              <w:spacing w:line="267" w:lineRule="exact"/>
              <w:ind w:left="102" w:right="-20"/>
              <w:rPr>
                <w:szCs w:val="24"/>
              </w:rPr>
            </w:pPr>
            <w:r w:rsidRPr="009525D1">
              <w:rPr>
                <w:szCs w:val="24"/>
              </w:rPr>
              <w:t>Type B</w:t>
            </w:r>
          </w:p>
        </w:tc>
        <w:tc>
          <w:tcPr>
            <w:tcW w:w="2394" w:type="dxa"/>
          </w:tcPr>
          <w:p w:rsidR="004A7AE1" w:rsidRPr="009525D1" w:rsidP="00FE4B93" w14:paraId="42207DE0" w14:textId="275AE554">
            <w:pPr>
              <w:spacing w:line="267" w:lineRule="exact"/>
              <w:ind w:left="796"/>
              <w:rPr>
                <w:szCs w:val="24"/>
              </w:rPr>
            </w:pPr>
            <w:r>
              <w:rPr>
                <w:szCs w:val="24"/>
              </w:rPr>
              <w:t>1,470</w:t>
            </w:r>
          </w:p>
        </w:tc>
        <w:tc>
          <w:tcPr>
            <w:tcW w:w="2394" w:type="dxa"/>
          </w:tcPr>
          <w:p w:rsidR="004A7AE1" w:rsidRPr="009525D1" w:rsidP="00251D14" w14:paraId="7389E020" w14:textId="12817E9C">
            <w:pPr>
              <w:widowControl/>
              <w:jc w:val="center"/>
              <w:rPr>
                <w:szCs w:val="24"/>
              </w:rPr>
            </w:pPr>
            <w:r>
              <w:rPr>
                <w:szCs w:val="24"/>
              </w:rPr>
              <w:t>658</w:t>
            </w:r>
          </w:p>
        </w:tc>
        <w:tc>
          <w:tcPr>
            <w:tcW w:w="2394" w:type="dxa"/>
          </w:tcPr>
          <w:p w:rsidR="004A7AE1" w:rsidRPr="009525D1" w:rsidP="00251D14" w14:paraId="0B681F18" w14:textId="6883D4DE">
            <w:pPr>
              <w:widowControl/>
              <w:jc w:val="center"/>
              <w:rPr>
                <w:szCs w:val="24"/>
              </w:rPr>
            </w:pPr>
            <w:r w:rsidRPr="00263B87">
              <w:rPr>
                <w:szCs w:val="24"/>
              </w:rPr>
              <w:t>967</w:t>
            </w:r>
            <w:r>
              <w:rPr>
                <w:szCs w:val="24"/>
              </w:rPr>
              <w:t>,</w:t>
            </w:r>
            <w:r w:rsidRPr="00263B87">
              <w:rPr>
                <w:szCs w:val="24"/>
              </w:rPr>
              <w:t>260</w:t>
            </w:r>
          </w:p>
        </w:tc>
      </w:tr>
      <w:tr w14:paraId="2E5E3899" w14:textId="77777777" w:rsidTr="00A135D4">
        <w:tblPrEx>
          <w:tblW w:w="0" w:type="auto"/>
          <w:tblLook w:val="04A0"/>
        </w:tblPrEx>
        <w:tc>
          <w:tcPr>
            <w:tcW w:w="2394" w:type="dxa"/>
          </w:tcPr>
          <w:p w:rsidR="004A7AE1" w:rsidRPr="009525D1" w:rsidP="00A135D4" w14:paraId="4F6708C9" w14:textId="77777777">
            <w:pPr>
              <w:spacing w:line="267" w:lineRule="exact"/>
              <w:ind w:left="102" w:right="-20"/>
              <w:rPr>
                <w:szCs w:val="24"/>
              </w:rPr>
            </w:pPr>
            <w:r w:rsidRPr="009525D1">
              <w:rPr>
                <w:szCs w:val="24"/>
              </w:rPr>
              <w:t>Type C</w:t>
            </w:r>
          </w:p>
        </w:tc>
        <w:tc>
          <w:tcPr>
            <w:tcW w:w="2394" w:type="dxa"/>
          </w:tcPr>
          <w:p w:rsidR="004A7AE1" w:rsidRPr="009525D1" w:rsidP="00FE4B93" w14:paraId="3EC8DE29" w14:textId="239979B8">
            <w:pPr>
              <w:spacing w:line="267" w:lineRule="exact"/>
              <w:ind w:left="796"/>
              <w:rPr>
                <w:szCs w:val="24"/>
              </w:rPr>
            </w:pPr>
            <w:r>
              <w:rPr>
                <w:szCs w:val="24"/>
              </w:rPr>
              <w:t>450</w:t>
            </w:r>
          </w:p>
        </w:tc>
        <w:tc>
          <w:tcPr>
            <w:tcW w:w="2394" w:type="dxa"/>
          </w:tcPr>
          <w:p w:rsidR="004A7AE1" w:rsidRPr="009525D1" w:rsidP="00251D14" w14:paraId="3AFFAE40" w14:textId="7D551A8D">
            <w:pPr>
              <w:widowControl/>
              <w:jc w:val="center"/>
              <w:rPr>
                <w:szCs w:val="24"/>
              </w:rPr>
            </w:pPr>
            <w:r>
              <w:rPr>
                <w:szCs w:val="24"/>
              </w:rPr>
              <w:t>9,177</w:t>
            </w:r>
          </w:p>
        </w:tc>
        <w:tc>
          <w:tcPr>
            <w:tcW w:w="2394" w:type="dxa"/>
          </w:tcPr>
          <w:p w:rsidR="004A7AE1" w:rsidRPr="009525D1" w:rsidP="00251D14" w14:paraId="7DCCA18A" w14:textId="3461F3CD">
            <w:pPr>
              <w:widowControl/>
              <w:jc w:val="center"/>
              <w:rPr>
                <w:szCs w:val="24"/>
              </w:rPr>
            </w:pPr>
            <w:r>
              <w:rPr>
                <w:szCs w:val="24"/>
              </w:rPr>
              <w:t>4,129,</w:t>
            </w:r>
            <w:r w:rsidR="009C0B73">
              <w:rPr>
                <w:szCs w:val="24"/>
              </w:rPr>
              <w:t>650</w:t>
            </w:r>
          </w:p>
        </w:tc>
      </w:tr>
    </w:tbl>
    <w:p w:rsidR="004A7AE1" w:rsidRPr="009525D1" w:rsidP="004A7AE1" w14:paraId="6FAE1D05" w14:textId="441E5989">
      <w:pPr>
        <w:rPr>
          <w:szCs w:val="24"/>
        </w:rPr>
      </w:pPr>
      <w:r w:rsidRPr="009525D1">
        <w:rPr>
          <w:b/>
          <w:bCs/>
          <w:spacing w:val="1"/>
          <w:szCs w:val="24"/>
        </w:rPr>
        <w:t>T</w:t>
      </w:r>
      <w:r w:rsidRPr="009525D1">
        <w:rPr>
          <w:b/>
          <w:bCs/>
          <w:szCs w:val="24"/>
        </w:rPr>
        <w:t>o</w:t>
      </w:r>
      <w:r w:rsidRPr="009525D1">
        <w:rPr>
          <w:b/>
          <w:bCs/>
          <w:spacing w:val="-1"/>
          <w:szCs w:val="24"/>
        </w:rPr>
        <w:t>t</w:t>
      </w:r>
      <w:r w:rsidRPr="009525D1">
        <w:rPr>
          <w:b/>
          <w:bCs/>
          <w:szCs w:val="24"/>
        </w:rPr>
        <w:t xml:space="preserve">al Ongoing </w:t>
      </w:r>
      <w:r w:rsidRPr="009525D1">
        <w:rPr>
          <w:b/>
          <w:bCs/>
          <w:spacing w:val="1"/>
          <w:szCs w:val="24"/>
        </w:rPr>
        <w:t>Reporting Requirement Bu</w:t>
      </w:r>
      <w:r w:rsidRPr="009525D1">
        <w:rPr>
          <w:b/>
          <w:bCs/>
          <w:spacing w:val="-1"/>
          <w:szCs w:val="24"/>
        </w:rPr>
        <w:t>r</w:t>
      </w:r>
      <w:r w:rsidRPr="009525D1">
        <w:rPr>
          <w:b/>
          <w:bCs/>
          <w:spacing w:val="1"/>
          <w:szCs w:val="24"/>
        </w:rPr>
        <w:t>d</w:t>
      </w:r>
      <w:r w:rsidRPr="009525D1">
        <w:rPr>
          <w:b/>
          <w:bCs/>
          <w:spacing w:val="-1"/>
          <w:szCs w:val="24"/>
        </w:rPr>
        <w:t>e</w:t>
      </w:r>
      <w:r w:rsidRPr="009525D1">
        <w:rPr>
          <w:b/>
          <w:bCs/>
          <w:szCs w:val="24"/>
        </w:rPr>
        <w:t>n</w:t>
      </w:r>
      <w:r w:rsidRPr="009525D1">
        <w:rPr>
          <w:b/>
          <w:bCs/>
          <w:spacing w:val="1"/>
          <w:szCs w:val="24"/>
        </w:rPr>
        <w:t xml:space="preserve"> </w:t>
      </w:r>
      <w:r w:rsidRPr="009525D1">
        <w:rPr>
          <w:b/>
          <w:bCs/>
          <w:spacing w:val="2"/>
          <w:szCs w:val="24"/>
        </w:rPr>
        <w:t>f</w:t>
      </w:r>
      <w:r w:rsidRPr="009525D1">
        <w:rPr>
          <w:b/>
          <w:bCs/>
          <w:szCs w:val="24"/>
        </w:rPr>
        <w:t>or</w:t>
      </w:r>
      <w:r w:rsidRPr="009525D1">
        <w:rPr>
          <w:b/>
          <w:bCs/>
          <w:spacing w:val="-1"/>
          <w:szCs w:val="24"/>
        </w:rPr>
        <w:t xml:space="preserve"> all Regulated Entities</w:t>
      </w:r>
      <w:r>
        <w:ptab w:relativeTo="margin" w:alignment="right" w:leader="none"/>
      </w:r>
      <w:r w:rsidRPr="00641A06" w:rsidR="00641A06">
        <w:rPr>
          <w:b/>
          <w:bCs/>
          <w:szCs w:val="24"/>
        </w:rPr>
        <w:t>5,158,510</w:t>
      </w:r>
      <w:r w:rsidRPr="009525D1">
        <w:rPr>
          <w:szCs w:val="24"/>
        </w:rPr>
        <w:t xml:space="preserve"> </w:t>
      </w:r>
      <w:r w:rsidRPr="009525D1">
        <w:rPr>
          <w:b/>
          <w:bCs/>
          <w:spacing w:val="1"/>
          <w:szCs w:val="24"/>
        </w:rPr>
        <w:t>h</w:t>
      </w:r>
      <w:r w:rsidRPr="009525D1">
        <w:rPr>
          <w:b/>
          <w:bCs/>
          <w:szCs w:val="24"/>
        </w:rPr>
        <w:t>o</w:t>
      </w:r>
      <w:r w:rsidRPr="009525D1">
        <w:rPr>
          <w:b/>
          <w:bCs/>
          <w:spacing w:val="1"/>
          <w:szCs w:val="24"/>
        </w:rPr>
        <w:t>u</w:t>
      </w:r>
      <w:r w:rsidRPr="009525D1">
        <w:rPr>
          <w:b/>
          <w:bCs/>
          <w:spacing w:val="-1"/>
          <w:szCs w:val="24"/>
        </w:rPr>
        <w:t>r</w:t>
      </w:r>
    </w:p>
    <w:p w:rsidR="004A7AE1" w:rsidRPr="009525D1" w:rsidP="004A7AE1" w14:paraId="059C480C" w14:textId="77777777">
      <w:pPr>
        <w:spacing w:after="240" w:line="240" w:lineRule="auto"/>
        <w:rPr>
          <w:b/>
          <w:szCs w:val="24"/>
          <w:u w:val="single"/>
        </w:rPr>
      </w:pPr>
      <w:r>
        <w:rPr>
          <w:b/>
          <w:szCs w:val="24"/>
          <w:u w:val="single"/>
        </w:rPr>
        <w:br/>
      </w:r>
      <w:r w:rsidRPr="009525D1">
        <w:rPr>
          <w:b/>
          <w:szCs w:val="24"/>
          <w:u w:val="single"/>
        </w:rPr>
        <w:t>Recordkeeping:</w:t>
      </w:r>
    </w:p>
    <w:p w:rsidR="004A7AE1" w:rsidRPr="009525D1" w:rsidP="004A7AE1" w14:paraId="5784B851" w14:textId="7AE1D110">
      <w:pPr>
        <w:spacing w:after="240" w:line="240" w:lineRule="auto"/>
        <w:rPr>
          <w:szCs w:val="24"/>
        </w:rPr>
      </w:pPr>
      <w:r w:rsidRPr="009525D1">
        <w:rPr>
          <w:szCs w:val="24"/>
        </w:rPr>
        <w:t xml:space="preserve">The Recordkeeping Requirement covers the requirements that financial institutions maintain data collected under the </w:t>
      </w:r>
      <w:r>
        <w:rPr>
          <w:szCs w:val="24"/>
        </w:rPr>
        <w:t>final</w:t>
      </w:r>
      <w:r w:rsidRPr="009525D1">
        <w:rPr>
          <w:szCs w:val="24"/>
        </w:rPr>
        <w:t xml:space="preserve"> rule for three years. </w:t>
      </w:r>
      <w:r w:rsidR="00FE4B93">
        <w:rPr>
          <w:szCs w:val="24"/>
        </w:rPr>
        <w:t xml:space="preserve"> </w:t>
      </w:r>
      <w:r w:rsidRPr="009525D1">
        <w:rPr>
          <w:szCs w:val="24"/>
        </w:rPr>
        <w:t xml:space="preserve">To maintain data, the primary time burden is the time needed to copy this information to electronic data storage devices, such as a hard drive or disk. </w:t>
      </w:r>
      <w:r w:rsidR="00FE4B93">
        <w:rPr>
          <w:szCs w:val="24"/>
        </w:rPr>
        <w:t xml:space="preserve"> </w:t>
      </w:r>
      <w:r w:rsidRPr="009525D1">
        <w:rPr>
          <w:szCs w:val="24"/>
        </w:rPr>
        <w:t xml:space="preserve">Given the prevalence and low cost of modern computer technology, the </w:t>
      </w:r>
      <w:r w:rsidR="00393F64">
        <w:rPr>
          <w:szCs w:val="24"/>
        </w:rPr>
        <w:t xml:space="preserve">CFPB </w:t>
      </w:r>
      <w:r w:rsidRPr="009525D1">
        <w:rPr>
          <w:szCs w:val="24"/>
        </w:rPr>
        <w:t xml:space="preserve">believes that this time burden is negligible. </w:t>
      </w:r>
      <w:r w:rsidR="00FE4B93">
        <w:rPr>
          <w:szCs w:val="24"/>
        </w:rPr>
        <w:t xml:space="preserve"> </w:t>
      </w:r>
      <w:r w:rsidRPr="009525D1">
        <w:rPr>
          <w:szCs w:val="24"/>
        </w:rPr>
        <w:t xml:space="preserve">The </w:t>
      </w:r>
      <w:r w:rsidR="00393F64">
        <w:rPr>
          <w:szCs w:val="24"/>
        </w:rPr>
        <w:t>CFPB</w:t>
      </w:r>
      <w:r w:rsidRPr="009525D1">
        <w:rPr>
          <w:szCs w:val="24"/>
        </w:rPr>
        <w:t xml:space="preserve"> regards the task of transcribing data as the key operational task that is directly related to recordkeeping. The </w:t>
      </w:r>
      <w:r w:rsidR="00393F64">
        <w:rPr>
          <w:szCs w:val="24"/>
        </w:rPr>
        <w:t>CFPB</w:t>
      </w:r>
      <w:r w:rsidRPr="009525D1">
        <w:rPr>
          <w:szCs w:val="24"/>
        </w:rPr>
        <w:t xml:space="preserve"> calculates the burden hours for the Recordkeeping Requirement based on the estimated cost of transcribing the data. The </w:t>
      </w:r>
      <w:r w:rsidR="00393F64">
        <w:rPr>
          <w:szCs w:val="24"/>
        </w:rPr>
        <w:t>CFPB</w:t>
      </w:r>
      <w:r w:rsidRPr="009525D1">
        <w:rPr>
          <w:szCs w:val="24"/>
        </w:rPr>
        <w:t xml:space="preserve"> estimates that Type A, Type B, and Type C financial institutions </w:t>
      </w:r>
      <w:r>
        <w:rPr>
          <w:szCs w:val="24"/>
        </w:rPr>
        <w:t>will</w:t>
      </w:r>
      <w:r w:rsidRPr="009525D1">
        <w:rPr>
          <w:szCs w:val="24"/>
        </w:rPr>
        <w:t xml:space="preserve"> spend approximately </w:t>
      </w:r>
      <w:r>
        <w:rPr>
          <w:szCs w:val="24"/>
        </w:rPr>
        <w:t>32</w:t>
      </w:r>
      <w:r w:rsidRPr="009525D1">
        <w:rPr>
          <w:szCs w:val="24"/>
        </w:rPr>
        <w:t xml:space="preserve">, </w:t>
      </w:r>
      <w:r>
        <w:rPr>
          <w:szCs w:val="24"/>
        </w:rPr>
        <w:t>68</w:t>
      </w:r>
      <w:r w:rsidRPr="009525D1">
        <w:rPr>
          <w:szCs w:val="24"/>
        </w:rPr>
        <w:t xml:space="preserve">, and </w:t>
      </w:r>
      <w:r>
        <w:rPr>
          <w:szCs w:val="24"/>
        </w:rPr>
        <w:t>5,280</w:t>
      </w:r>
      <w:r w:rsidRPr="009525D1">
        <w:rPr>
          <w:szCs w:val="24"/>
        </w:rPr>
        <w:t xml:space="preserve"> hours per year transcribing data, respectively. </w:t>
      </w:r>
    </w:p>
    <w:p w:rsidR="004A7AE1" w:rsidRPr="009525D1" w:rsidP="004A7AE1" w14:paraId="199FF1F7" w14:textId="77777777">
      <w:pPr>
        <w:keepNext/>
        <w:rPr>
          <w:szCs w:val="24"/>
        </w:rPr>
      </w:pPr>
      <w:r w:rsidRPr="009525D1">
        <w:rPr>
          <w:b/>
          <w:bCs/>
          <w:szCs w:val="24"/>
        </w:rPr>
        <w:t>Total Burden, Recordkeeping Requirements</w:t>
      </w:r>
      <w:r>
        <w:rPr>
          <w:b/>
          <w:bCs/>
          <w:szCs w:val="24"/>
        </w:rPr>
        <w:t xml:space="preserve"> </w:t>
      </w:r>
      <w:r w:rsidRPr="009525D1">
        <w:rPr>
          <w:b/>
          <w:bCs/>
          <w:szCs w:val="24"/>
        </w:rPr>
        <w:t>-</w:t>
      </w:r>
      <w:r>
        <w:rPr>
          <w:b/>
          <w:bCs/>
          <w:szCs w:val="24"/>
        </w:rPr>
        <w:t xml:space="preserve"> </w:t>
      </w:r>
      <w:r w:rsidRPr="009525D1">
        <w:rPr>
          <w:b/>
          <w:bCs/>
          <w:szCs w:val="24"/>
        </w:rPr>
        <w:t>All Regulated Entities</w:t>
      </w:r>
    </w:p>
    <w:tbl>
      <w:tblPr>
        <w:tblStyle w:val="TableGrid"/>
        <w:tblW w:w="0" w:type="auto"/>
        <w:tblLook w:val="04A0"/>
      </w:tblPr>
      <w:tblGrid>
        <w:gridCol w:w="1594"/>
        <w:gridCol w:w="2468"/>
        <w:gridCol w:w="2463"/>
        <w:gridCol w:w="2820"/>
      </w:tblGrid>
      <w:tr w14:paraId="2A15971F" w14:textId="77777777" w:rsidTr="00A135D4">
        <w:tblPrEx>
          <w:tblW w:w="0" w:type="auto"/>
          <w:tblLook w:val="04A0"/>
        </w:tblPrEx>
        <w:tc>
          <w:tcPr>
            <w:tcW w:w="1638" w:type="dxa"/>
          </w:tcPr>
          <w:p w:rsidR="004A7AE1" w:rsidRPr="00893608" w:rsidP="00A135D4" w14:paraId="281251D8" w14:textId="77777777">
            <w:pPr>
              <w:keepNext/>
              <w:widowControl/>
              <w:rPr>
                <w:b/>
                <w:szCs w:val="24"/>
              </w:rPr>
            </w:pPr>
          </w:p>
        </w:tc>
        <w:tc>
          <w:tcPr>
            <w:tcW w:w="2520" w:type="dxa"/>
          </w:tcPr>
          <w:p w:rsidR="004A7AE1" w:rsidRPr="00893608" w:rsidP="00A135D4" w14:paraId="61DA9F63" w14:textId="77777777">
            <w:pPr>
              <w:keepNext/>
              <w:widowControl/>
              <w:jc w:val="center"/>
              <w:rPr>
                <w:b/>
                <w:szCs w:val="24"/>
              </w:rPr>
            </w:pPr>
            <w:r w:rsidRPr="00893608">
              <w:rPr>
                <w:b/>
                <w:szCs w:val="24"/>
              </w:rPr>
              <w:t>Number of Respondents</w:t>
            </w:r>
          </w:p>
        </w:tc>
        <w:tc>
          <w:tcPr>
            <w:tcW w:w="2520" w:type="dxa"/>
          </w:tcPr>
          <w:p w:rsidR="004A7AE1" w:rsidRPr="00893608" w:rsidP="00A135D4" w14:paraId="1B218397" w14:textId="77777777">
            <w:pPr>
              <w:keepNext/>
              <w:widowControl/>
              <w:jc w:val="center"/>
              <w:rPr>
                <w:b/>
                <w:szCs w:val="24"/>
              </w:rPr>
            </w:pPr>
            <w:r w:rsidRPr="00893608">
              <w:rPr>
                <w:b/>
                <w:szCs w:val="24"/>
              </w:rPr>
              <w:t>Total Burden per Respondent</w:t>
            </w:r>
          </w:p>
        </w:tc>
        <w:tc>
          <w:tcPr>
            <w:tcW w:w="2898" w:type="dxa"/>
          </w:tcPr>
          <w:p w:rsidR="004A7AE1" w:rsidRPr="00893608" w:rsidP="00A135D4" w14:paraId="6FC1FD89" w14:textId="77777777">
            <w:pPr>
              <w:keepNext/>
              <w:widowControl/>
              <w:jc w:val="center"/>
              <w:rPr>
                <w:b/>
                <w:szCs w:val="24"/>
              </w:rPr>
            </w:pPr>
            <w:r w:rsidRPr="00893608">
              <w:rPr>
                <w:b/>
                <w:szCs w:val="24"/>
              </w:rPr>
              <w:t>Total Burden</w:t>
            </w:r>
          </w:p>
          <w:p w:rsidR="004A7AE1" w:rsidRPr="00893608" w:rsidP="00A135D4" w14:paraId="00286E21" w14:textId="77777777">
            <w:pPr>
              <w:keepNext/>
              <w:widowControl/>
              <w:jc w:val="center"/>
              <w:rPr>
                <w:b/>
                <w:szCs w:val="24"/>
              </w:rPr>
            </w:pPr>
            <w:r w:rsidRPr="00893608">
              <w:rPr>
                <w:b/>
                <w:szCs w:val="24"/>
              </w:rPr>
              <w:t>(Rounded to Thousands)</w:t>
            </w:r>
          </w:p>
        </w:tc>
      </w:tr>
      <w:tr w14:paraId="257B4488" w14:textId="77777777" w:rsidTr="00A135D4">
        <w:tblPrEx>
          <w:tblW w:w="0" w:type="auto"/>
          <w:tblLook w:val="04A0"/>
        </w:tblPrEx>
        <w:tc>
          <w:tcPr>
            <w:tcW w:w="1638" w:type="dxa"/>
          </w:tcPr>
          <w:p w:rsidR="004A7AE1" w:rsidRPr="009525D1" w:rsidP="00A135D4" w14:paraId="19533D68" w14:textId="77777777">
            <w:pPr>
              <w:keepNext/>
              <w:spacing w:line="269" w:lineRule="exact"/>
              <w:ind w:left="102" w:right="-20"/>
              <w:rPr>
                <w:szCs w:val="24"/>
              </w:rPr>
            </w:pPr>
            <w:r w:rsidRPr="009525D1">
              <w:rPr>
                <w:szCs w:val="24"/>
              </w:rPr>
              <w:t>Type A</w:t>
            </w:r>
          </w:p>
        </w:tc>
        <w:tc>
          <w:tcPr>
            <w:tcW w:w="2520" w:type="dxa"/>
          </w:tcPr>
          <w:p w:rsidR="004A7AE1" w:rsidRPr="009525D1" w:rsidP="00A135D4" w14:paraId="29678909" w14:textId="478E6992">
            <w:pPr>
              <w:keepNext/>
              <w:spacing w:line="269" w:lineRule="exact"/>
              <w:ind w:left="31"/>
              <w:jc w:val="center"/>
              <w:rPr>
                <w:szCs w:val="24"/>
              </w:rPr>
            </w:pPr>
            <w:r>
              <w:rPr>
                <w:szCs w:val="24"/>
              </w:rPr>
              <w:t xml:space="preserve"> 550</w:t>
            </w:r>
          </w:p>
        </w:tc>
        <w:tc>
          <w:tcPr>
            <w:tcW w:w="2520" w:type="dxa"/>
          </w:tcPr>
          <w:p w:rsidR="004A7AE1" w:rsidRPr="009525D1" w:rsidP="00A135D4" w14:paraId="0400F856" w14:textId="3D74F156">
            <w:pPr>
              <w:keepNext/>
              <w:widowControl/>
              <w:jc w:val="center"/>
              <w:rPr>
                <w:szCs w:val="24"/>
              </w:rPr>
            </w:pPr>
            <w:r>
              <w:rPr>
                <w:szCs w:val="24"/>
              </w:rPr>
              <w:t>32</w:t>
            </w:r>
          </w:p>
        </w:tc>
        <w:tc>
          <w:tcPr>
            <w:tcW w:w="2898" w:type="dxa"/>
          </w:tcPr>
          <w:p w:rsidR="004A7AE1" w:rsidRPr="009525D1" w:rsidP="00A135D4" w14:paraId="3443BB75" w14:textId="4A5B4E47">
            <w:pPr>
              <w:keepNext/>
              <w:widowControl/>
              <w:jc w:val="center"/>
              <w:rPr>
                <w:szCs w:val="24"/>
              </w:rPr>
            </w:pPr>
            <w:r>
              <w:rPr>
                <w:szCs w:val="24"/>
              </w:rPr>
              <w:t>17,765</w:t>
            </w:r>
          </w:p>
        </w:tc>
      </w:tr>
      <w:tr w14:paraId="65C43278" w14:textId="77777777" w:rsidTr="00A135D4">
        <w:tblPrEx>
          <w:tblW w:w="0" w:type="auto"/>
          <w:tblLook w:val="04A0"/>
        </w:tblPrEx>
        <w:tc>
          <w:tcPr>
            <w:tcW w:w="1638" w:type="dxa"/>
          </w:tcPr>
          <w:p w:rsidR="004A7AE1" w:rsidRPr="009525D1" w:rsidP="00A135D4" w14:paraId="0500E4C2" w14:textId="77777777">
            <w:pPr>
              <w:keepNext/>
              <w:spacing w:line="267" w:lineRule="exact"/>
              <w:ind w:left="102" w:right="-20"/>
              <w:rPr>
                <w:szCs w:val="24"/>
              </w:rPr>
            </w:pPr>
            <w:r w:rsidRPr="009525D1">
              <w:rPr>
                <w:szCs w:val="24"/>
              </w:rPr>
              <w:t>Type B</w:t>
            </w:r>
          </w:p>
        </w:tc>
        <w:tc>
          <w:tcPr>
            <w:tcW w:w="2520" w:type="dxa"/>
          </w:tcPr>
          <w:p w:rsidR="004A7AE1" w:rsidRPr="009525D1" w:rsidP="00A135D4" w14:paraId="0E54A7AB" w14:textId="2BD6D20F">
            <w:pPr>
              <w:keepNext/>
              <w:spacing w:line="267" w:lineRule="exact"/>
              <w:ind w:left="31"/>
              <w:jc w:val="center"/>
              <w:rPr>
                <w:szCs w:val="24"/>
              </w:rPr>
            </w:pPr>
            <w:r>
              <w:rPr>
                <w:szCs w:val="24"/>
              </w:rPr>
              <w:t>1,470</w:t>
            </w:r>
          </w:p>
        </w:tc>
        <w:tc>
          <w:tcPr>
            <w:tcW w:w="2520" w:type="dxa"/>
          </w:tcPr>
          <w:p w:rsidR="004A7AE1" w:rsidRPr="009525D1" w:rsidP="00A135D4" w14:paraId="60B0FFA5" w14:textId="6B45623D">
            <w:pPr>
              <w:keepNext/>
              <w:widowControl/>
              <w:jc w:val="center"/>
              <w:rPr>
                <w:szCs w:val="24"/>
              </w:rPr>
            </w:pPr>
            <w:r>
              <w:rPr>
                <w:szCs w:val="24"/>
              </w:rPr>
              <w:t>68</w:t>
            </w:r>
          </w:p>
        </w:tc>
        <w:tc>
          <w:tcPr>
            <w:tcW w:w="2898" w:type="dxa"/>
          </w:tcPr>
          <w:p w:rsidR="004A7AE1" w:rsidRPr="009525D1" w:rsidP="00A135D4" w14:paraId="014C4373" w14:textId="5FD6A15D">
            <w:pPr>
              <w:keepNext/>
              <w:widowControl/>
              <w:jc w:val="center"/>
              <w:rPr>
                <w:szCs w:val="24"/>
              </w:rPr>
            </w:pPr>
            <w:r>
              <w:rPr>
                <w:szCs w:val="24"/>
              </w:rPr>
              <w:t>99,225</w:t>
            </w:r>
          </w:p>
        </w:tc>
      </w:tr>
      <w:tr w14:paraId="47FDAAE7" w14:textId="77777777" w:rsidTr="00A135D4">
        <w:tblPrEx>
          <w:tblW w:w="0" w:type="auto"/>
          <w:tblLook w:val="04A0"/>
        </w:tblPrEx>
        <w:tc>
          <w:tcPr>
            <w:tcW w:w="1638" w:type="dxa"/>
          </w:tcPr>
          <w:p w:rsidR="004A7AE1" w:rsidRPr="009525D1" w:rsidP="00A135D4" w14:paraId="32D11F6E" w14:textId="77777777">
            <w:pPr>
              <w:keepNext/>
              <w:spacing w:line="267" w:lineRule="exact"/>
              <w:ind w:left="102" w:right="-20"/>
              <w:rPr>
                <w:szCs w:val="24"/>
              </w:rPr>
            </w:pPr>
            <w:r w:rsidRPr="009525D1">
              <w:rPr>
                <w:szCs w:val="24"/>
              </w:rPr>
              <w:t>Type C</w:t>
            </w:r>
          </w:p>
        </w:tc>
        <w:tc>
          <w:tcPr>
            <w:tcW w:w="2520" w:type="dxa"/>
          </w:tcPr>
          <w:p w:rsidR="004A7AE1" w:rsidRPr="009525D1" w:rsidP="00A135D4" w14:paraId="1BAF8B3E" w14:textId="47F95982">
            <w:pPr>
              <w:keepNext/>
              <w:spacing w:line="267" w:lineRule="exact"/>
              <w:ind w:left="31"/>
              <w:jc w:val="center"/>
              <w:rPr>
                <w:szCs w:val="24"/>
              </w:rPr>
            </w:pPr>
            <w:r>
              <w:rPr>
                <w:szCs w:val="24"/>
              </w:rPr>
              <w:t>450</w:t>
            </w:r>
          </w:p>
        </w:tc>
        <w:tc>
          <w:tcPr>
            <w:tcW w:w="2520" w:type="dxa"/>
          </w:tcPr>
          <w:p w:rsidR="004A7AE1" w:rsidRPr="009525D1" w:rsidP="00A135D4" w14:paraId="387D798E" w14:textId="43EB9935">
            <w:pPr>
              <w:keepNext/>
              <w:widowControl/>
              <w:jc w:val="center"/>
              <w:rPr>
                <w:szCs w:val="24"/>
              </w:rPr>
            </w:pPr>
            <w:r>
              <w:rPr>
                <w:szCs w:val="24"/>
              </w:rPr>
              <w:t>5,280</w:t>
            </w:r>
          </w:p>
        </w:tc>
        <w:tc>
          <w:tcPr>
            <w:tcW w:w="2898" w:type="dxa"/>
          </w:tcPr>
          <w:p w:rsidR="004A7AE1" w:rsidRPr="009525D1" w:rsidP="00A135D4" w14:paraId="40AD009F" w14:textId="40615CF2">
            <w:pPr>
              <w:keepNext/>
              <w:widowControl/>
              <w:jc w:val="center"/>
              <w:rPr>
                <w:szCs w:val="24"/>
              </w:rPr>
            </w:pPr>
            <w:r>
              <w:rPr>
                <w:szCs w:val="24"/>
              </w:rPr>
              <w:t>2,376,000</w:t>
            </w:r>
          </w:p>
        </w:tc>
      </w:tr>
    </w:tbl>
    <w:p w:rsidR="004A7AE1" w:rsidRPr="00FE4B93" w:rsidP="004A7AE1" w14:paraId="69924345" w14:textId="5895584F">
      <w:pPr>
        <w:rPr>
          <w:b/>
          <w:bCs/>
          <w:szCs w:val="24"/>
        </w:rPr>
      </w:pPr>
      <w:r w:rsidRPr="009525D1">
        <w:rPr>
          <w:b/>
          <w:bCs/>
          <w:spacing w:val="1"/>
          <w:szCs w:val="24"/>
        </w:rPr>
        <w:t>T</w:t>
      </w:r>
      <w:r w:rsidRPr="009525D1">
        <w:rPr>
          <w:b/>
          <w:bCs/>
          <w:szCs w:val="24"/>
        </w:rPr>
        <w:t>o</w:t>
      </w:r>
      <w:r w:rsidRPr="009525D1">
        <w:rPr>
          <w:b/>
          <w:bCs/>
          <w:spacing w:val="-1"/>
          <w:szCs w:val="24"/>
        </w:rPr>
        <w:t>t</w:t>
      </w:r>
      <w:r w:rsidRPr="009525D1">
        <w:rPr>
          <w:b/>
          <w:bCs/>
          <w:szCs w:val="24"/>
        </w:rPr>
        <w:t xml:space="preserve">al </w:t>
      </w:r>
      <w:r w:rsidRPr="009525D1">
        <w:rPr>
          <w:b/>
          <w:bCs/>
          <w:spacing w:val="1"/>
          <w:szCs w:val="24"/>
        </w:rPr>
        <w:t>E</w:t>
      </w:r>
      <w:r w:rsidRPr="009525D1">
        <w:rPr>
          <w:b/>
          <w:bCs/>
          <w:szCs w:val="24"/>
        </w:rPr>
        <w:t>s</w:t>
      </w:r>
      <w:r w:rsidRPr="009525D1">
        <w:rPr>
          <w:b/>
          <w:bCs/>
          <w:spacing w:val="-1"/>
          <w:szCs w:val="24"/>
        </w:rPr>
        <w:t>t</w:t>
      </w:r>
      <w:r w:rsidRPr="009525D1">
        <w:rPr>
          <w:b/>
          <w:bCs/>
          <w:szCs w:val="24"/>
        </w:rPr>
        <w:t>i</w:t>
      </w:r>
      <w:r w:rsidRPr="009525D1">
        <w:rPr>
          <w:b/>
          <w:bCs/>
          <w:spacing w:val="-3"/>
          <w:szCs w:val="24"/>
        </w:rPr>
        <w:t>m</w:t>
      </w:r>
      <w:r w:rsidRPr="009525D1">
        <w:rPr>
          <w:b/>
          <w:bCs/>
          <w:szCs w:val="24"/>
        </w:rPr>
        <w:t>a</w:t>
      </w:r>
      <w:r w:rsidRPr="009525D1">
        <w:rPr>
          <w:b/>
          <w:bCs/>
          <w:spacing w:val="2"/>
          <w:szCs w:val="24"/>
        </w:rPr>
        <w:t>t</w:t>
      </w:r>
      <w:r w:rsidRPr="009525D1">
        <w:rPr>
          <w:b/>
          <w:bCs/>
          <w:spacing w:val="-1"/>
          <w:szCs w:val="24"/>
        </w:rPr>
        <w:t>e</w:t>
      </w:r>
      <w:r w:rsidRPr="009525D1">
        <w:rPr>
          <w:b/>
          <w:bCs/>
          <w:szCs w:val="24"/>
        </w:rPr>
        <w:t>d</w:t>
      </w:r>
      <w:r w:rsidRPr="009525D1">
        <w:rPr>
          <w:b/>
          <w:bCs/>
          <w:spacing w:val="1"/>
          <w:szCs w:val="24"/>
        </w:rPr>
        <w:t xml:space="preserve"> Bu</w:t>
      </w:r>
      <w:r w:rsidRPr="009525D1">
        <w:rPr>
          <w:b/>
          <w:bCs/>
          <w:spacing w:val="-1"/>
          <w:szCs w:val="24"/>
        </w:rPr>
        <w:t>r</w:t>
      </w:r>
      <w:r w:rsidRPr="009525D1">
        <w:rPr>
          <w:b/>
          <w:bCs/>
          <w:spacing w:val="1"/>
          <w:szCs w:val="24"/>
        </w:rPr>
        <w:t>d</w:t>
      </w:r>
      <w:r w:rsidRPr="009525D1">
        <w:rPr>
          <w:b/>
          <w:bCs/>
          <w:spacing w:val="-1"/>
          <w:szCs w:val="24"/>
        </w:rPr>
        <w:t>e</w:t>
      </w:r>
      <w:r w:rsidRPr="009525D1">
        <w:rPr>
          <w:b/>
          <w:bCs/>
          <w:szCs w:val="24"/>
        </w:rPr>
        <w:t>n</w:t>
      </w:r>
      <w:r w:rsidRPr="009525D1">
        <w:rPr>
          <w:b/>
          <w:bCs/>
          <w:spacing w:val="1"/>
          <w:szCs w:val="24"/>
        </w:rPr>
        <w:t xml:space="preserve"> </w:t>
      </w:r>
      <w:r w:rsidRPr="009525D1">
        <w:rPr>
          <w:b/>
          <w:bCs/>
          <w:spacing w:val="2"/>
          <w:szCs w:val="24"/>
        </w:rPr>
        <w:t>f</w:t>
      </w:r>
      <w:r w:rsidRPr="009525D1">
        <w:rPr>
          <w:b/>
          <w:bCs/>
          <w:szCs w:val="24"/>
        </w:rPr>
        <w:t>or</w:t>
      </w:r>
      <w:r w:rsidRPr="009525D1">
        <w:rPr>
          <w:b/>
          <w:bCs/>
          <w:spacing w:val="-1"/>
          <w:szCs w:val="24"/>
        </w:rPr>
        <w:t xml:space="preserve"> all Regulated Entities</w:t>
      </w:r>
      <w:r>
        <w:rPr>
          <w:b/>
          <w:bCs/>
          <w:szCs w:val="24"/>
        </w:rPr>
        <w:tab/>
      </w:r>
      <w:r>
        <w:ptab w:relativeTo="margin" w:alignment="right" w:leader="none"/>
      </w:r>
      <w:r w:rsidRPr="00FE4B93">
        <w:rPr>
          <w:b/>
          <w:bCs/>
          <w:szCs w:val="24"/>
        </w:rPr>
        <w:t xml:space="preserve">2,492,990 </w:t>
      </w:r>
      <w:r w:rsidRPr="00FE4B93">
        <w:rPr>
          <w:b/>
          <w:bCs/>
          <w:spacing w:val="1"/>
          <w:szCs w:val="24"/>
        </w:rPr>
        <w:t>h</w:t>
      </w:r>
      <w:r w:rsidRPr="00FE4B93">
        <w:rPr>
          <w:b/>
          <w:bCs/>
          <w:szCs w:val="24"/>
        </w:rPr>
        <w:t>o</w:t>
      </w:r>
      <w:r w:rsidRPr="00FE4B93">
        <w:rPr>
          <w:b/>
          <w:bCs/>
          <w:spacing w:val="1"/>
          <w:szCs w:val="24"/>
        </w:rPr>
        <w:t>u</w:t>
      </w:r>
      <w:r w:rsidRPr="00FE4B93">
        <w:rPr>
          <w:b/>
          <w:bCs/>
          <w:spacing w:val="-1"/>
          <w:szCs w:val="24"/>
        </w:rPr>
        <w:t>r</w:t>
      </w:r>
      <w:r w:rsidRPr="00FE4B93">
        <w:rPr>
          <w:b/>
          <w:bCs/>
          <w:szCs w:val="24"/>
        </w:rPr>
        <w:t>s</w:t>
      </w:r>
    </w:p>
    <w:p w:rsidR="004A7AE1" w:rsidRPr="009525D1" w:rsidP="004A7AE1" w14:paraId="2B2BA8BA" w14:textId="77777777">
      <w:pPr>
        <w:spacing w:after="240" w:line="240" w:lineRule="auto"/>
        <w:rPr>
          <w:b/>
          <w:szCs w:val="24"/>
          <w:u w:val="single"/>
        </w:rPr>
      </w:pPr>
      <w:r>
        <w:rPr>
          <w:b/>
          <w:szCs w:val="24"/>
          <w:u w:val="single"/>
        </w:rPr>
        <w:br/>
      </w:r>
      <w:r w:rsidRPr="009525D1">
        <w:rPr>
          <w:b/>
          <w:szCs w:val="24"/>
          <w:u w:val="single"/>
        </w:rPr>
        <w:t>Third Party Disclosure:</w:t>
      </w:r>
    </w:p>
    <w:p w:rsidR="004A7AE1" w:rsidRPr="009525D1" w:rsidP="004A7AE1" w14:paraId="44F4A84F" w14:textId="5B5DA706">
      <w:pPr>
        <w:spacing w:after="240" w:line="240" w:lineRule="auto"/>
        <w:rPr>
          <w:szCs w:val="24"/>
        </w:rPr>
      </w:pPr>
      <w:r w:rsidRPr="009525D1">
        <w:rPr>
          <w:szCs w:val="24"/>
        </w:rPr>
        <w:t xml:space="preserve">Under the </w:t>
      </w:r>
      <w:r>
        <w:rPr>
          <w:szCs w:val="24"/>
        </w:rPr>
        <w:t>final</w:t>
      </w:r>
      <w:r w:rsidRPr="009525D1">
        <w:rPr>
          <w:szCs w:val="24"/>
        </w:rPr>
        <w:t xml:space="preserve"> rule, covered </w:t>
      </w:r>
      <w:r w:rsidR="00C5183A">
        <w:rPr>
          <w:szCs w:val="24"/>
        </w:rPr>
        <w:t xml:space="preserve">financial </w:t>
      </w:r>
      <w:r w:rsidRPr="009525D1">
        <w:rPr>
          <w:szCs w:val="24"/>
        </w:rPr>
        <w:t xml:space="preserve">institutions </w:t>
      </w:r>
      <w:r>
        <w:rPr>
          <w:szCs w:val="24"/>
        </w:rPr>
        <w:t>will</w:t>
      </w:r>
      <w:r w:rsidRPr="009525D1">
        <w:rPr>
          <w:szCs w:val="24"/>
        </w:rPr>
        <w:t xml:space="preserve"> report data to the </w:t>
      </w:r>
      <w:r w:rsidR="00393F64">
        <w:rPr>
          <w:szCs w:val="24"/>
        </w:rPr>
        <w:t>CFPB</w:t>
      </w:r>
      <w:r w:rsidRPr="009525D1">
        <w:rPr>
          <w:szCs w:val="24"/>
        </w:rPr>
        <w:t xml:space="preserve"> on an annual basis. The </w:t>
      </w:r>
      <w:r w:rsidR="00393F64">
        <w:rPr>
          <w:szCs w:val="24"/>
        </w:rPr>
        <w:t>CFPB</w:t>
      </w:r>
      <w:r w:rsidRPr="009525D1">
        <w:rPr>
          <w:szCs w:val="24"/>
        </w:rPr>
        <w:t xml:space="preserve"> will make </w:t>
      </w:r>
      <w:r w:rsidR="00393F64">
        <w:rPr>
          <w:szCs w:val="24"/>
        </w:rPr>
        <w:t xml:space="preserve">small business lending </w:t>
      </w:r>
      <w:r w:rsidRPr="009525D1">
        <w:rPr>
          <w:szCs w:val="24"/>
        </w:rPr>
        <w:t>application registers available to the public on behalf of the institutions</w:t>
      </w:r>
      <w:r w:rsidR="00C5183A">
        <w:rPr>
          <w:szCs w:val="24"/>
        </w:rPr>
        <w:t>, subject to modifications and deletions made by the CFPB to advance a privacy interest</w:t>
      </w:r>
      <w:r w:rsidRPr="009525D1">
        <w:rPr>
          <w:szCs w:val="24"/>
        </w:rPr>
        <w:t xml:space="preserve">. </w:t>
      </w:r>
      <w:r w:rsidR="00FE4B93">
        <w:rPr>
          <w:szCs w:val="24"/>
        </w:rPr>
        <w:t xml:space="preserve"> </w:t>
      </w:r>
      <w:r w:rsidRPr="009525D1">
        <w:rPr>
          <w:szCs w:val="24"/>
        </w:rPr>
        <w:t xml:space="preserve">Therefore, the </w:t>
      </w:r>
      <w:r w:rsidR="00393F64">
        <w:rPr>
          <w:szCs w:val="24"/>
        </w:rPr>
        <w:t>CFPB</w:t>
      </w:r>
      <w:r w:rsidRPr="009525D1">
        <w:rPr>
          <w:szCs w:val="24"/>
        </w:rPr>
        <w:t xml:space="preserve"> expects covered institutions to have minimal burden related to third party disclosure.</w:t>
      </w:r>
    </w:p>
    <w:p w:rsidR="004A7AE1" w:rsidRPr="009525D1" w:rsidP="004A7AE1" w14:paraId="78E9B623" w14:textId="0FE64333">
      <w:pPr>
        <w:spacing w:after="240" w:line="240" w:lineRule="auto"/>
        <w:rPr>
          <w:b/>
          <w:bCs/>
          <w:szCs w:val="24"/>
          <w:u w:val="single"/>
        </w:rPr>
      </w:pPr>
      <w:r w:rsidRPr="009525D1">
        <w:rPr>
          <w:b/>
          <w:bCs/>
          <w:szCs w:val="24"/>
          <w:u w:val="single"/>
        </w:rPr>
        <w:t>Total Burden:</w:t>
      </w:r>
    </w:p>
    <w:p w:rsidR="004A7AE1" w:rsidRPr="009525D1" w:rsidP="004A7AE1" w14:paraId="38FD5BF2" w14:textId="32DD6B3F">
      <w:pPr>
        <w:spacing w:after="240" w:line="240" w:lineRule="auto"/>
        <w:rPr>
          <w:szCs w:val="24"/>
        </w:rPr>
      </w:pPr>
      <w:r w:rsidRPr="009525D1">
        <w:rPr>
          <w:szCs w:val="24"/>
        </w:rPr>
        <w:t xml:space="preserve">The </w:t>
      </w:r>
      <w:r w:rsidR="00393F64">
        <w:rPr>
          <w:szCs w:val="24"/>
        </w:rPr>
        <w:t xml:space="preserve">CFPB </w:t>
      </w:r>
      <w:r w:rsidRPr="009525D1">
        <w:rPr>
          <w:szCs w:val="24"/>
        </w:rPr>
        <w:t xml:space="preserve">assumes that all one-time burden will be covered by reporting requirements. </w:t>
      </w:r>
      <w:r w:rsidR="00FE4B93">
        <w:rPr>
          <w:szCs w:val="24"/>
        </w:rPr>
        <w:t xml:space="preserve"> </w:t>
      </w:r>
      <w:r w:rsidRPr="009525D1">
        <w:rPr>
          <w:szCs w:val="24"/>
        </w:rPr>
        <w:t xml:space="preserve">The </w:t>
      </w:r>
      <w:r w:rsidR="00393F64">
        <w:rPr>
          <w:szCs w:val="24"/>
        </w:rPr>
        <w:t>CFPB</w:t>
      </w:r>
      <w:r w:rsidRPr="009525D1">
        <w:rPr>
          <w:szCs w:val="24"/>
        </w:rPr>
        <w:t xml:space="preserve"> estimates that the total annualized one-time burden will be </w:t>
      </w:r>
      <w:r>
        <w:rPr>
          <w:rFonts w:eastAsia="Calibri"/>
          <w:szCs w:val="24"/>
        </w:rPr>
        <w:t>649,857</w:t>
      </w:r>
      <w:r w:rsidRPr="009525D1">
        <w:rPr>
          <w:rFonts w:eastAsia="Calibri"/>
          <w:b/>
          <w:bCs/>
          <w:szCs w:val="24"/>
        </w:rPr>
        <w:t xml:space="preserve"> </w:t>
      </w:r>
      <w:r w:rsidRPr="009525D1">
        <w:rPr>
          <w:szCs w:val="24"/>
        </w:rPr>
        <w:t xml:space="preserve">burden hours per year. </w:t>
      </w:r>
    </w:p>
    <w:p w:rsidR="004A7AE1" w:rsidRPr="009525D1" w:rsidP="004A7AE1" w14:paraId="6ABD16DF" w14:textId="1BC085ED">
      <w:pPr>
        <w:spacing w:after="240" w:line="240" w:lineRule="auto"/>
        <w:rPr>
          <w:szCs w:val="24"/>
        </w:rPr>
      </w:pPr>
      <w:r w:rsidRPr="009525D1">
        <w:rPr>
          <w:szCs w:val="24"/>
        </w:rPr>
        <w:t xml:space="preserve">Combining the three Information Collections, the </w:t>
      </w:r>
      <w:r w:rsidR="00393F64">
        <w:rPr>
          <w:szCs w:val="24"/>
        </w:rPr>
        <w:t>CFPB</w:t>
      </w:r>
      <w:r w:rsidRPr="009525D1">
        <w:rPr>
          <w:szCs w:val="24"/>
        </w:rPr>
        <w:t xml:space="preserve"> estimates that the total reporting, ongoing recordkeeping, and third party disclosure requirement costs allocated to the CFPB under the proposed rule are </w:t>
      </w:r>
      <w:r>
        <w:rPr>
          <w:szCs w:val="24"/>
        </w:rPr>
        <w:t>79,000</w:t>
      </w:r>
      <w:r w:rsidRPr="009525D1">
        <w:rPr>
          <w:szCs w:val="24"/>
        </w:rPr>
        <w:t xml:space="preserve">; </w:t>
      </w:r>
      <w:r>
        <w:rPr>
          <w:szCs w:val="24"/>
        </w:rPr>
        <w:t>1,067,000;</w:t>
      </w:r>
      <w:r w:rsidRPr="009525D1">
        <w:rPr>
          <w:szCs w:val="24"/>
        </w:rPr>
        <w:t xml:space="preserve"> and </w:t>
      </w:r>
      <w:r>
        <w:rPr>
          <w:szCs w:val="24"/>
        </w:rPr>
        <w:t>6,505,000</w:t>
      </w:r>
      <w:r w:rsidR="003A7771">
        <w:rPr>
          <w:szCs w:val="24"/>
        </w:rPr>
        <w:t xml:space="preserve"> </w:t>
      </w:r>
      <w:r w:rsidRPr="009525D1">
        <w:rPr>
          <w:szCs w:val="24"/>
        </w:rPr>
        <w:t xml:space="preserve">hours per year, for Types A, B, and C, respectively, for a total estimate of </w:t>
      </w:r>
      <w:r>
        <w:rPr>
          <w:szCs w:val="24"/>
        </w:rPr>
        <w:t>7,652,000</w:t>
      </w:r>
      <w:r w:rsidR="003A7771">
        <w:rPr>
          <w:szCs w:val="24"/>
        </w:rPr>
        <w:t xml:space="preserve"> </w:t>
      </w:r>
      <w:r w:rsidRPr="009525D1">
        <w:rPr>
          <w:szCs w:val="24"/>
        </w:rPr>
        <w:t xml:space="preserve">burden hours per year. </w:t>
      </w:r>
    </w:p>
    <w:p w:rsidR="004A7AE1" w:rsidRPr="009525D1" w:rsidP="004A7AE1" w14:paraId="73235F8C" w14:textId="77777777">
      <w:pPr>
        <w:keepNext/>
        <w:spacing w:after="240" w:line="240" w:lineRule="auto"/>
        <w:rPr>
          <w:szCs w:val="24"/>
        </w:rPr>
      </w:pPr>
      <w:r w:rsidRPr="009525D1">
        <w:rPr>
          <w:b/>
          <w:bCs/>
          <w:szCs w:val="24"/>
        </w:rPr>
        <w:t>Total Burden, Total Ongoing Burden-All Regulated Entities</w:t>
      </w:r>
    </w:p>
    <w:tbl>
      <w:tblPr>
        <w:tblStyle w:val="TableGrid"/>
        <w:tblW w:w="0" w:type="auto"/>
        <w:tblLook w:val="04A0"/>
      </w:tblPr>
      <w:tblGrid>
        <w:gridCol w:w="1594"/>
        <w:gridCol w:w="2468"/>
        <w:gridCol w:w="2463"/>
        <w:gridCol w:w="2820"/>
      </w:tblGrid>
      <w:tr w14:paraId="2E840210" w14:textId="77777777" w:rsidTr="00A135D4">
        <w:tblPrEx>
          <w:tblW w:w="0" w:type="auto"/>
          <w:tblLook w:val="04A0"/>
        </w:tblPrEx>
        <w:tc>
          <w:tcPr>
            <w:tcW w:w="1638" w:type="dxa"/>
          </w:tcPr>
          <w:p w:rsidR="004A7AE1" w:rsidRPr="00317C24" w:rsidP="00A135D4" w14:paraId="2F156556" w14:textId="77777777">
            <w:pPr>
              <w:keepNext/>
              <w:widowControl/>
              <w:rPr>
                <w:b/>
                <w:szCs w:val="24"/>
              </w:rPr>
            </w:pPr>
          </w:p>
        </w:tc>
        <w:tc>
          <w:tcPr>
            <w:tcW w:w="2520" w:type="dxa"/>
          </w:tcPr>
          <w:p w:rsidR="004A7AE1" w:rsidRPr="00317C24" w:rsidP="00A135D4" w14:paraId="62DD683C" w14:textId="77777777">
            <w:pPr>
              <w:keepNext/>
              <w:widowControl/>
              <w:jc w:val="center"/>
              <w:rPr>
                <w:b/>
                <w:szCs w:val="24"/>
              </w:rPr>
            </w:pPr>
            <w:r w:rsidRPr="00317C24">
              <w:rPr>
                <w:b/>
                <w:szCs w:val="24"/>
              </w:rPr>
              <w:t>Number of Respondents</w:t>
            </w:r>
          </w:p>
        </w:tc>
        <w:tc>
          <w:tcPr>
            <w:tcW w:w="2520" w:type="dxa"/>
          </w:tcPr>
          <w:p w:rsidR="004A7AE1" w:rsidRPr="00317C24" w:rsidP="00A135D4" w14:paraId="62F4B763" w14:textId="77777777">
            <w:pPr>
              <w:keepNext/>
              <w:widowControl/>
              <w:jc w:val="center"/>
              <w:rPr>
                <w:b/>
                <w:szCs w:val="24"/>
              </w:rPr>
            </w:pPr>
            <w:r w:rsidRPr="00317C24">
              <w:rPr>
                <w:b/>
                <w:szCs w:val="24"/>
              </w:rPr>
              <w:t>Total Burden per Respondent</w:t>
            </w:r>
          </w:p>
        </w:tc>
        <w:tc>
          <w:tcPr>
            <w:tcW w:w="2898" w:type="dxa"/>
          </w:tcPr>
          <w:p w:rsidR="004A7AE1" w:rsidRPr="00317C24" w:rsidP="00A135D4" w14:paraId="612C38E4" w14:textId="77777777">
            <w:pPr>
              <w:keepNext/>
              <w:widowControl/>
              <w:jc w:val="center"/>
              <w:rPr>
                <w:b/>
                <w:szCs w:val="24"/>
              </w:rPr>
            </w:pPr>
            <w:r w:rsidRPr="00317C24">
              <w:rPr>
                <w:b/>
                <w:szCs w:val="24"/>
              </w:rPr>
              <w:t>Total</w:t>
            </w:r>
            <w:r>
              <w:rPr>
                <w:b/>
                <w:szCs w:val="24"/>
              </w:rPr>
              <w:t xml:space="preserve"> </w:t>
            </w:r>
            <w:r w:rsidRPr="00317C24">
              <w:rPr>
                <w:b/>
                <w:szCs w:val="24"/>
              </w:rPr>
              <w:t>Burden</w:t>
            </w:r>
          </w:p>
          <w:p w:rsidR="004A7AE1" w:rsidRPr="00317C24" w:rsidP="00A135D4" w14:paraId="788F5A31" w14:textId="77777777">
            <w:pPr>
              <w:keepNext/>
              <w:widowControl/>
              <w:jc w:val="center"/>
              <w:rPr>
                <w:b/>
                <w:szCs w:val="24"/>
              </w:rPr>
            </w:pPr>
            <w:r w:rsidRPr="00317C24">
              <w:rPr>
                <w:b/>
                <w:szCs w:val="24"/>
              </w:rPr>
              <w:t>(Rounded to Thousands)</w:t>
            </w:r>
          </w:p>
        </w:tc>
      </w:tr>
      <w:tr w14:paraId="7EE91737" w14:textId="77777777" w:rsidTr="00A135D4">
        <w:tblPrEx>
          <w:tblW w:w="0" w:type="auto"/>
          <w:tblLook w:val="04A0"/>
        </w:tblPrEx>
        <w:tc>
          <w:tcPr>
            <w:tcW w:w="1638" w:type="dxa"/>
          </w:tcPr>
          <w:p w:rsidR="004A7AE1" w:rsidRPr="009525D1" w:rsidP="00A135D4" w14:paraId="194FE7D2" w14:textId="77777777">
            <w:pPr>
              <w:keepNext/>
              <w:spacing w:line="269" w:lineRule="exact"/>
              <w:ind w:left="102" w:right="-20"/>
              <w:rPr>
                <w:szCs w:val="24"/>
              </w:rPr>
            </w:pPr>
            <w:r w:rsidRPr="009525D1">
              <w:rPr>
                <w:szCs w:val="24"/>
              </w:rPr>
              <w:t>Type A</w:t>
            </w:r>
          </w:p>
        </w:tc>
        <w:tc>
          <w:tcPr>
            <w:tcW w:w="2520" w:type="dxa"/>
          </w:tcPr>
          <w:p w:rsidR="004A7AE1" w:rsidRPr="009525D1" w:rsidP="00A135D4" w14:paraId="297D2C1F" w14:textId="47FDD368">
            <w:pPr>
              <w:keepNext/>
              <w:spacing w:line="269" w:lineRule="exact"/>
              <w:ind w:left="676"/>
              <w:jc w:val="center"/>
              <w:rPr>
                <w:szCs w:val="24"/>
              </w:rPr>
            </w:pPr>
            <w:r>
              <w:rPr>
                <w:szCs w:val="24"/>
              </w:rPr>
              <w:t>550</w:t>
            </w:r>
          </w:p>
        </w:tc>
        <w:tc>
          <w:tcPr>
            <w:tcW w:w="2520" w:type="dxa"/>
          </w:tcPr>
          <w:p w:rsidR="004A7AE1" w:rsidRPr="009525D1" w:rsidP="00A135D4" w14:paraId="42126A04" w14:textId="6FA413C5">
            <w:pPr>
              <w:keepNext/>
              <w:widowControl/>
              <w:jc w:val="center"/>
              <w:rPr>
                <w:szCs w:val="24"/>
              </w:rPr>
            </w:pPr>
            <w:r>
              <w:rPr>
                <w:szCs w:val="24"/>
              </w:rPr>
              <w:t>144</w:t>
            </w:r>
          </w:p>
        </w:tc>
        <w:tc>
          <w:tcPr>
            <w:tcW w:w="2898" w:type="dxa"/>
          </w:tcPr>
          <w:p w:rsidR="004A7AE1" w:rsidRPr="009525D1" w:rsidP="00A135D4" w14:paraId="577A039A" w14:textId="0497685A">
            <w:pPr>
              <w:keepNext/>
              <w:widowControl/>
              <w:jc w:val="center"/>
              <w:rPr>
                <w:szCs w:val="24"/>
              </w:rPr>
            </w:pPr>
            <w:r>
              <w:rPr>
                <w:szCs w:val="24"/>
              </w:rPr>
              <w:t>79,000</w:t>
            </w:r>
          </w:p>
        </w:tc>
      </w:tr>
      <w:tr w14:paraId="568109D0" w14:textId="77777777" w:rsidTr="00A135D4">
        <w:tblPrEx>
          <w:tblW w:w="0" w:type="auto"/>
          <w:tblLook w:val="04A0"/>
        </w:tblPrEx>
        <w:tc>
          <w:tcPr>
            <w:tcW w:w="1638" w:type="dxa"/>
          </w:tcPr>
          <w:p w:rsidR="004A7AE1" w:rsidRPr="009525D1" w:rsidP="00A135D4" w14:paraId="4F2C84E0" w14:textId="77777777">
            <w:pPr>
              <w:keepNext/>
              <w:spacing w:line="267" w:lineRule="exact"/>
              <w:ind w:left="102" w:right="-20"/>
              <w:rPr>
                <w:szCs w:val="24"/>
              </w:rPr>
            </w:pPr>
            <w:r w:rsidRPr="009525D1">
              <w:rPr>
                <w:szCs w:val="24"/>
              </w:rPr>
              <w:t>Type B</w:t>
            </w:r>
          </w:p>
        </w:tc>
        <w:tc>
          <w:tcPr>
            <w:tcW w:w="2520" w:type="dxa"/>
          </w:tcPr>
          <w:p w:rsidR="004A7AE1" w:rsidRPr="009525D1" w:rsidP="00A135D4" w14:paraId="79F274CA" w14:textId="3F8AFADE">
            <w:pPr>
              <w:keepNext/>
              <w:spacing w:line="267" w:lineRule="exact"/>
              <w:ind w:left="796"/>
              <w:jc w:val="center"/>
              <w:rPr>
                <w:szCs w:val="24"/>
              </w:rPr>
            </w:pPr>
            <w:r>
              <w:rPr>
                <w:szCs w:val="24"/>
              </w:rPr>
              <w:t>1,470</w:t>
            </w:r>
          </w:p>
        </w:tc>
        <w:tc>
          <w:tcPr>
            <w:tcW w:w="2520" w:type="dxa"/>
          </w:tcPr>
          <w:p w:rsidR="004A7AE1" w:rsidRPr="009525D1" w:rsidP="00A135D4" w14:paraId="65776D68" w14:textId="51C6FD00">
            <w:pPr>
              <w:keepNext/>
              <w:widowControl/>
              <w:jc w:val="center"/>
              <w:rPr>
                <w:szCs w:val="24"/>
              </w:rPr>
            </w:pPr>
            <w:r>
              <w:rPr>
                <w:szCs w:val="24"/>
              </w:rPr>
              <w:t>726</w:t>
            </w:r>
          </w:p>
        </w:tc>
        <w:tc>
          <w:tcPr>
            <w:tcW w:w="2898" w:type="dxa"/>
          </w:tcPr>
          <w:p w:rsidR="004A7AE1" w:rsidRPr="009525D1" w:rsidP="00A135D4" w14:paraId="31AD0AB8" w14:textId="59E4C77C">
            <w:pPr>
              <w:keepNext/>
              <w:widowControl/>
              <w:jc w:val="center"/>
              <w:rPr>
                <w:szCs w:val="24"/>
              </w:rPr>
            </w:pPr>
            <w:r>
              <w:rPr>
                <w:szCs w:val="24"/>
              </w:rPr>
              <w:t>1,067,000</w:t>
            </w:r>
          </w:p>
        </w:tc>
      </w:tr>
      <w:tr w14:paraId="419A1419" w14:textId="77777777" w:rsidTr="00A135D4">
        <w:tblPrEx>
          <w:tblW w:w="0" w:type="auto"/>
          <w:tblLook w:val="04A0"/>
        </w:tblPrEx>
        <w:tc>
          <w:tcPr>
            <w:tcW w:w="1638" w:type="dxa"/>
          </w:tcPr>
          <w:p w:rsidR="004A7AE1" w:rsidRPr="009525D1" w:rsidP="00A135D4" w14:paraId="2F6249A7" w14:textId="77777777">
            <w:pPr>
              <w:keepNext/>
              <w:spacing w:line="267" w:lineRule="exact"/>
              <w:ind w:left="102" w:right="-20"/>
              <w:rPr>
                <w:szCs w:val="24"/>
              </w:rPr>
            </w:pPr>
            <w:r w:rsidRPr="009525D1">
              <w:rPr>
                <w:szCs w:val="24"/>
              </w:rPr>
              <w:t>Type C</w:t>
            </w:r>
          </w:p>
        </w:tc>
        <w:tc>
          <w:tcPr>
            <w:tcW w:w="2520" w:type="dxa"/>
          </w:tcPr>
          <w:p w:rsidR="004A7AE1" w:rsidRPr="009525D1" w:rsidP="00A135D4" w14:paraId="68B06462" w14:textId="38C5BBC3">
            <w:pPr>
              <w:keepNext/>
              <w:spacing w:line="267" w:lineRule="exact"/>
              <w:ind w:left="796"/>
              <w:jc w:val="center"/>
              <w:rPr>
                <w:szCs w:val="24"/>
              </w:rPr>
            </w:pPr>
            <w:r>
              <w:rPr>
                <w:szCs w:val="24"/>
              </w:rPr>
              <w:t>450</w:t>
            </w:r>
          </w:p>
        </w:tc>
        <w:tc>
          <w:tcPr>
            <w:tcW w:w="2520" w:type="dxa"/>
          </w:tcPr>
          <w:p w:rsidR="004A7AE1" w:rsidRPr="009525D1" w:rsidP="00A135D4" w14:paraId="5207DFD6" w14:textId="14C0E7E8">
            <w:pPr>
              <w:keepNext/>
              <w:widowControl/>
              <w:jc w:val="center"/>
              <w:rPr>
                <w:szCs w:val="24"/>
              </w:rPr>
            </w:pPr>
            <w:r>
              <w:rPr>
                <w:szCs w:val="24"/>
              </w:rPr>
              <w:t>14,457</w:t>
            </w:r>
          </w:p>
        </w:tc>
        <w:tc>
          <w:tcPr>
            <w:tcW w:w="2898" w:type="dxa"/>
          </w:tcPr>
          <w:p w:rsidR="004A7AE1" w:rsidRPr="009525D1" w:rsidP="00A135D4" w14:paraId="13230596" w14:textId="478D6E5F">
            <w:pPr>
              <w:keepNext/>
              <w:widowControl/>
              <w:jc w:val="center"/>
              <w:rPr>
                <w:szCs w:val="24"/>
              </w:rPr>
            </w:pPr>
            <w:r>
              <w:rPr>
                <w:szCs w:val="24"/>
              </w:rPr>
              <w:t>6,505,000</w:t>
            </w:r>
          </w:p>
        </w:tc>
      </w:tr>
    </w:tbl>
    <w:p w:rsidR="00D26C8E" w:rsidP="002D57F7" w14:paraId="1A0798E9" w14:textId="17D00A1B">
      <w:pPr>
        <w:spacing w:after="240" w:line="240" w:lineRule="auto"/>
        <w:rPr>
          <w:szCs w:val="24"/>
        </w:rPr>
      </w:pPr>
      <w:r w:rsidRPr="009525D1">
        <w:rPr>
          <w:b/>
          <w:bCs/>
          <w:spacing w:val="1"/>
          <w:szCs w:val="24"/>
        </w:rPr>
        <w:t>T</w:t>
      </w:r>
      <w:r w:rsidRPr="009525D1">
        <w:rPr>
          <w:b/>
          <w:bCs/>
          <w:szCs w:val="24"/>
        </w:rPr>
        <w:t>o</w:t>
      </w:r>
      <w:r w:rsidRPr="009525D1">
        <w:rPr>
          <w:b/>
          <w:bCs/>
          <w:spacing w:val="-1"/>
          <w:szCs w:val="24"/>
        </w:rPr>
        <w:t>t</w:t>
      </w:r>
      <w:r w:rsidRPr="009525D1">
        <w:rPr>
          <w:b/>
          <w:bCs/>
          <w:szCs w:val="24"/>
        </w:rPr>
        <w:t xml:space="preserve">al </w:t>
      </w:r>
      <w:r w:rsidRPr="009525D1">
        <w:rPr>
          <w:b/>
          <w:bCs/>
          <w:spacing w:val="1"/>
          <w:szCs w:val="24"/>
        </w:rPr>
        <w:t>E</w:t>
      </w:r>
      <w:r w:rsidRPr="009525D1">
        <w:rPr>
          <w:b/>
          <w:bCs/>
          <w:szCs w:val="24"/>
        </w:rPr>
        <w:t>s</w:t>
      </w:r>
      <w:r w:rsidRPr="009525D1">
        <w:rPr>
          <w:b/>
          <w:bCs/>
          <w:spacing w:val="-1"/>
          <w:szCs w:val="24"/>
        </w:rPr>
        <w:t>t</w:t>
      </w:r>
      <w:r w:rsidRPr="009525D1">
        <w:rPr>
          <w:b/>
          <w:bCs/>
          <w:szCs w:val="24"/>
        </w:rPr>
        <w:t>i</w:t>
      </w:r>
      <w:r w:rsidRPr="009525D1">
        <w:rPr>
          <w:b/>
          <w:bCs/>
          <w:spacing w:val="-3"/>
          <w:szCs w:val="24"/>
        </w:rPr>
        <w:t>m</w:t>
      </w:r>
      <w:r w:rsidRPr="009525D1">
        <w:rPr>
          <w:b/>
          <w:bCs/>
          <w:szCs w:val="24"/>
        </w:rPr>
        <w:t>a</w:t>
      </w:r>
      <w:r w:rsidRPr="009525D1">
        <w:rPr>
          <w:b/>
          <w:bCs/>
          <w:spacing w:val="2"/>
          <w:szCs w:val="24"/>
        </w:rPr>
        <w:t>t</w:t>
      </w:r>
      <w:r w:rsidRPr="009525D1">
        <w:rPr>
          <w:b/>
          <w:bCs/>
          <w:spacing w:val="-1"/>
          <w:szCs w:val="24"/>
        </w:rPr>
        <w:t>e</w:t>
      </w:r>
      <w:r w:rsidRPr="009525D1">
        <w:rPr>
          <w:b/>
          <w:bCs/>
          <w:szCs w:val="24"/>
        </w:rPr>
        <w:t>d</w:t>
      </w:r>
      <w:r w:rsidRPr="009525D1">
        <w:rPr>
          <w:b/>
          <w:bCs/>
          <w:spacing w:val="1"/>
          <w:szCs w:val="24"/>
        </w:rPr>
        <w:t xml:space="preserve"> Bu</w:t>
      </w:r>
      <w:r w:rsidRPr="009525D1">
        <w:rPr>
          <w:b/>
          <w:bCs/>
          <w:spacing w:val="-1"/>
          <w:szCs w:val="24"/>
        </w:rPr>
        <w:t>r</w:t>
      </w:r>
      <w:r w:rsidRPr="009525D1">
        <w:rPr>
          <w:b/>
          <w:bCs/>
          <w:spacing w:val="1"/>
          <w:szCs w:val="24"/>
        </w:rPr>
        <w:t>d</w:t>
      </w:r>
      <w:r w:rsidRPr="009525D1">
        <w:rPr>
          <w:b/>
          <w:bCs/>
          <w:spacing w:val="-1"/>
          <w:szCs w:val="24"/>
        </w:rPr>
        <w:t>e</w:t>
      </w:r>
      <w:r w:rsidRPr="009525D1">
        <w:rPr>
          <w:b/>
          <w:bCs/>
          <w:szCs w:val="24"/>
        </w:rPr>
        <w:t>n</w:t>
      </w:r>
      <w:r w:rsidRPr="009525D1">
        <w:rPr>
          <w:b/>
          <w:bCs/>
          <w:spacing w:val="1"/>
          <w:szCs w:val="24"/>
        </w:rPr>
        <w:t xml:space="preserve"> </w:t>
      </w:r>
      <w:r w:rsidRPr="009525D1">
        <w:rPr>
          <w:b/>
          <w:bCs/>
          <w:spacing w:val="2"/>
          <w:szCs w:val="24"/>
        </w:rPr>
        <w:t>f</w:t>
      </w:r>
      <w:r w:rsidRPr="009525D1">
        <w:rPr>
          <w:b/>
          <w:bCs/>
          <w:szCs w:val="24"/>
        </w:rPr>
        <w:t>or</w:t>
      </w:r>
      <w:r w:rsidRPr="009525D1">
        <w:rPr>
          <w:b/>
          <w:bCs/>
          <w:spacing w:val="-1"/>
          <w:szCs w:val="24"/>
        </w:rPr>
        <w:t xml:space="preserve"> all Regulated Entities</w:t>
      </w:r>
      <w:r>
        <w:rPr>
          <w:b/>
          <w:bCs/>
          <w:szCs w:val="24"/>
        </w:rPr>
        <w:tab/>
      </w:r>
      <w:r>
        <w:ptab w:relativeTo="margin" w:alignment="right" w:leader="none"/>
      </w:r>
      <w:r w:rsidRPr="00FE4B93" w:rsidR="009A2471">
        <w:rPr>
          <w:b/>
          <w:bCs/>
          <w:szCs w:val="24"/>
        </w:rPr>
        <w:t xml:space="preserve"> </w:t>
      </w:r>
      <w:r w:rsidRPr="00FE4B93" w:rsidR="00781BC8">
        <w:rPr>
          <w:b/>
          <w:bCs/>
          <w:szCs w:val="24"/>
        </w:rPr>
        <w:t xml:space="preserve">7,652,000 </w:t>
      </w:r>
      <w:r w:rsidRPr="00FE4B93" w:rsidR="00781BC8">
        <w:rPr>
          <w:b/>
          <w:bCs/>
          <w:spacing w:val="1"/>
          <w:szCs w:val="24"/>
        </w:rPr>
        <w:t>h</w:t>
      </w:r>
      <w:r w:rsidRPr="00FE4B93" w:rsidR="00781BC8">
        <w:rPr>
          <w:b/>
          <w:bCs/>
          <w:szCs w:val="24"/>
        </w:rPr>
        <w:t>o</w:t>
      </w:r>
      <w:r w:rsidRPr="00FE4B93" w:rsidR="00781BC8">
        <w:rPr>
          <w:b/>
          <w:bCs/>
          <w:spacing w:val="1"/>
          <w:szCs w:val="24"/>
        </w:rPr>
        <w:t>u</w:t>
      </w:r>
      <w:r w:rsidRPr="00FE4B93" w:rsidR="00781BC8">
        <w:rPr>
          <w:b/>
          <w:bCs/>
          <w:spacing w:val="-1"/>
          <w:szCs w:val="24"/>
        </w:rPr>
        <w:t>r</w:t>
      </w:r>
      <w:r w:rsidRPr="00FE4B93" w:rsidR="00781BC8">
        <w:rPr>
          <w:b/>
          <w:bCs/>
          <w:szCs w:val="24"/>
        </w:rPr>
        <w:t>s</w:t>
      </w:r>
    </w:p>
    <w:p w:rsidR="002F2509" w:rsidRPr="009525D1" w:rsidP="002F2509" w14:paraId="758A37F9" w14:textId="77777777">
      <w:pPr>
        <w:pStyle w:val="Heading1"/>
        <w:rPr>
          <w:spacing w:val="5"/>
        </w:rPr>
      </w:pPr>
      <w:r w:rsidRPr="00267224">
        <w:rPr>
          <w:bCs/>
        </w:rPr>
        <w:t>13.</w:t>
      </w:r>
      <w:r w:rsidRPr="00DA4517">
        <w:rPr>
          <w:bCs/>
          <w:u w:val="none"/>
        </w:rPr>
        <w:t xml:space="preserve">  </w:t>
      </w:r>
      <w:r w:rsidRPr="009525D1">
        <w:t>Esti</w:t>
      </w:r>
      <w:r w:rsidRPr="009525D1">
        <w:rPr>
          <w:spacing w:val="-3"/>
        </w:rPr>
        <w:t>m</w:t>
      </w:r>
      <w:r w:rsidRPr="009525D1">
        <w:t>ated</w:t>
      </w:r>
      <w:r w:rsidRPr="009525D1">
        <w:rPr>
          <w:spacing w:val="1"/>
        </w:rPr>
        <w:t xml:space="preserve"> </w:t>
      </w:r>
      <w:r w:rsidRPr="009525D1">
        <w:t>Total A</w:t>
      </w:r>
      <w:r w:rsidRPr="009525D1">
        <w:rPr>
          <w:spacing w:val="1"/>
        </w:rPr>
        <w:t>nnu</w:t>
      </w:r>
      <w:r w:rsidRPr="009525D1">
        <w:t>al Cost B</w:t>
      </w:r>
      <w:r w:rsidRPr="009525D1">
        <w:rPr>
          <w:spacing w:val="1"/>
        </w:rPr>
        <w:t>u</w:t>
      </w:r>
      <w:r w:rsidRPr="009525D1">
        <w:t>r</w:t>
      </w:r>
      <w:r w:rsidRPr="009525D1">
        <w:rPr>
          <w:spacing w:val="1"/>
        </w:rPr>
        <w:t>d</w:t>
      </w:r>
      <w:r w:rsidRPr="009525D1">
        <w:t>en</w:t>
      </w:r>
      <w:r w:rsidRPr="009525D1">
        <w:rPr>
          <w:spacing w:val="1"/>
        </w:rPr>
        <w:t xml:space="preserve"> </w:t>
      </w:r>
      <w:r w:rsidRPr="009525D1">
        <w:t>to Res</w:t>
      </w:r>
      <w:r w:rsidRPr="009525D1">
        <w:rPr>
          <w:spacing w:val="1"/>
        </w:rPr>
        <w:t>p</w:t>
      </w:r>
      <w:r w:rsidRPr="009525D1">
        <w:t>o</w:t>
      </w:r>
      <w:r w:rsidRPr="009525D1">
        <w:rPr>
          <w:spacing w:val="1"/>
        </w:rPr>
        <w:t>nd</w:t>
      </w:r>
      <w:r w:rsidRPr="009525D1">
        <w:t>e</w:t>
      </w:r>
      <w:r w:rsidRPr="009525D1">
        <w:rPr>
          <w:spacing w:val="1"/>
        </w:rPr>
        <w:t>n</w:t>
      </w:r>
      <w:r w:rsidRPr="009525D1">
        <w:t>ts or Recor</w:t>
      </w:r>
      <w:r w:rsidRPr="009525D1">
        <w:rPr>
          <w:spacing w:val="1"/>
        </w:rPr>
        <w:t>dk</w:t>
      </w:r>
      <w:r w:rsidRPr="009525D1">
        <w:t>ee</w:t>
      </w:r>
      <w:r w:rsidRPr="009525D1">
        <w:rPr>
          <w:spacing w:val="1"/>
        </w:rPr>
        <w:t>p</w:t>
      </w:r>
      <w:r w:rsidRPr="009525D1">
        <w:t>ers</w:t>
      </w:r>
    </w:p>
    <w:p w:rsidR="00EA5BC1" w14:paraId="77FBADDB" w14:textId="266FA12F">
      <w:pPr>
        <w:spacing w:after="0" w:line="259" w:lineRule="auto"/>
        <w:ind w:left="0" w:firstLine="0"/>
      </w:pPr>
    </w:p>
    <w:p w:rsidR="00F96A54" w:rsidRPr="009525D1" w:rsidP="00F96A54" w14:paraId="553A169C" w14:textId="7A3E8278">
      <w:pPr>
        <w:spacing w:after="240" w:line="240" w:lineRule="auto"/>
        <w:rPr>
          <w:szCs w:val="24"/>
        </w:rPr>
      </w:pPr>
      <w:bookmarkStart w:id="0" w:name="_Hlk130402814"/>
      <w:r w:rsidRPr="009525D1">
        <w:rPr>
          <w:szCs w:val="24"/>
        </w:rPr>
        <w:t xml:space="preserve">Many lenders generally have some necessary equipment for other business purposes. The additional one-time costs associated with coming into compliance with the proposed rule are detailed below. </w:t>
      </w:r>
      <w:r>
        <w:rPr>
          <w:szCs w:val="24"/>
        </w:rPr>
        <w:t xml:space="preserve">The </w:t>
      </w:r>
      <w:r w:rsidR="00393F64">
        <w:rPr>
          <w:szCs w:val="24"/>
        </w:rPr>
        <w:t>CFPB</w:t>
      </w:r>
      <w:r>
        <w:rPr>
          <w:szCs w:val="24"/>
        </w:rPr>
        <w:t xml:space="preserve"> assumes that an institution will have to hire additional staff to comply with the final rule on an ongoing basis.</w:t>
      </w:r>
      <w:r w:rsidR="00FE4B93">
        <w:rPr>
          <w:szCs w:val="24"/>
        </w:rPr>
        <w:t xml:space="preserve"> </w:t>
      </w:r>
      <w:r>
        <w:rPr>
          <w:szCs w:val="24"/>
        </w:rPr>
        <w:t xml:space="preserve"> The </w:t>
      </w:r>
      <w:r w:rsidR="00393F64">
        <w:rPr>
          <w:szCs w:val="24"/>
        </w:rPr>
        <w:t>CFPB</w:t>
      </w:r>
      <w:r>
        <w:rPr>
          <w:szCs w:val="24"/>
        </w:rPr>
        <w:t xml:space="preserve"> estimates the one-time hiring costs for the additional staff an institution expects to hire based on the number of applications the institution expects to receive each year.</w:t>
      </w:r>
      <w:r w:rsidR="00FE4B93">
        <w:rPr>
          <w:szCs w:val="24"/>
        </w:rPr>
        <w:t xml:space="preserve"> </w:t>
      </w:r>
      <w:r>
        <w:rPr>
          <w:szCs w:val="24"/>
        </w:rPr>
        <w:t xml:space="preserve"> </w:t>
      </w:r>
      <w:r w:rsidRPr="009525D1">
        <w:rPr>
          <w:szCs w:val="24"/>
        </w:rPr>
        <w:t xml:space="preserve">The </w:t>
      </w:r>
      <w:r w:rsidR="00393F64">
        <w:rPr>
          <w:szCs w:val="24"/>
        </w:rPr>
        <w:t>CFPB</w:t>
      </w:r>
      <w:r w:rsidRPr="009525D1">
        <w:rPr>
          <w:szCs w:val="24"/>
        </w:rPr>
        <w:t xml:space="preserve"> believes that the cost of printing and copying needed to comply with Regulation B is minimal, as many disclosures can be sent electronically. Additional ongoing costs are detailed below.</w:t>
      </w:r>
    </w:p>
    <w:bookmarkEnd w:id="0"/>
    <w:p w:rsidR="00CF323C" w:rsidRPr="009525D1" w:rsidP="00CF323C" w14:paraId="06BAA882" w14:textId="0EC90750">
      <w:pPr>
        <w:keepNext/>
        <w:spacing w:after="240" w:line="240" w:lineRule="auto"/>
        <w:rPr>
          <w:b/>
          <w:bCs/>
          <w:szCs w:val="24"/>
          <w:u w:val="single"/>
        </w:rPr>
      </w:pPr>
      <w:r>
        <w:rPr>
          <w:b/>
          <w:bCs/>
          <w:szCs w:val="24"/>
          <w:u w:val="single"/>
        </w:rPr>
        <w:t xml:space="preserve">Final </w:t>
      </w:r>
      <w:r w:rsidRPr="009525D1">
        <w:rPr>
          <w:b/>
          <w:bCs/>
          <w:szCs w:val="24"/>
          <w:u w:val="single"/>
        </w:rPr>
        <w:t xml:space="preserve">Rule Estimated Total Annual Cost Burden to All CFPB Respondents or Recordkeepers </w:t>
      </w:r>
    </w:p>
    <w:p w:rsidR="00CF323C" w:rsidRPr="00317C24" w:rsidP="00CF323C" w14:paraId="41DF45FD" w14:textId="495243ED">
      <w:pPr>
        <w:keepNext/>
        <w:spacing w:after="240" w:line="240" w:lineRule="auto"/>
        <w:rPr>
          <w:b/>
          <w:szCs w:val="24"/>
        </w:rPr>
      </w:pPr>
      <w:r w:rsidRPr="00317C24">
        <w:rPr>
          <w:b/>
          <w:szCs w:val="24"/>
        </w:rPr>
        <w:t>Annualized One-time</w:t>
      </w:r>
      <w:r w:rsidR="003E25E0">
        <w:rPr>
          <w:b/>
          <w:szCs w:val="24"/>
        </w:rPr>
        <w:t xml:space="preserve"> Costs</w:t>
      </w:r>
    </w:p>
    <w:tbl>
      <w:tblPr>
        <w:tblStyle w:val="TableGrid"/>
        <w:tblW w:w="0" w:type="auto"/>
        <w:tblLook w:val="04A0"/>
      </w:tblPr>
      <w:tblGrid>
        <w:gridCol w:w="3528"/>
        <w:gridCol w:w="1530"/>
        <w:gridCol w:w="1440"/>
        <w:gridCol w:w="1440"/>
      </w:tblGrid>
      <w:tr w14:paraId="59031A8F" w14:textId="77777777" w:rsidTr="00A135D4">
        <w:tblPrEx>
          <w:tblW w:w="0" w:type="auto"/>
          <w:tblLook w:val="04A0"/>
        </w:tblPrEx>
        <w:tc>
          <w:tcPr>
            <w:tcW w:w="3528" w:type="dxa"/>
          </w:tcPr>
          <w:p w:rsidR="00CF323C" w:rsidRPr="009525D1" w:rsidP="00A135D4" w14:paraId="2D8CCEA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Description of Costs (O&amp;M)</w:t>
            </w:r>
          </w:p>
        </w:tc>
        <w:tc>
          <w:tcPr>
            <w:tcW w:w="1530" w:type="dxa"/>
          </w:tcPr>
          <w:p w:rsidR="00CF323C" w:rsidRPr="009525D1" w:rsidP="00A135D4" w14:paraId="0DE1C5E7"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Per Unit Costs</w:t>
            </w:r>
          </w:p>
        </w:tc>
        <w:tc>
          <w:tcPr>
            <w:tcW w:w="1440" w:type="dxa"/>
          </w:tcPr>
          <w:p w:rsidR="00CF323C" w:rsidRPr="009525D1" w:rsidP="00A135D4" w14:paraId="2971D67B"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Number of Reporters</w:t>
            </w:r>
          </w:p>
        </w:tc>
        <w:tc>
          <w:tcPr>
            <w:tcW w:w="1440" w:type="dxa"/>
          </w:tcPr>
          <w:p w:rsidR="00CF323C" w:rsidRPr="009525D1" w:rsidP="00A135D4" w14:paraId="0F3E02E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Total Costs</w:t>
            </w:r>
          </w:p>
        </w:tc>
      </w:tr>
      <w:tr w14:paraId="25E88412" w14:textId="77777777" w:rsidTr="00A135D4">
        <w:tblPrEx>
          <w:tblW w:w="0" w:type="auto"/>
          <w:tblLook w:val="04A0"/>
        </w:tblPrEx>
        <w:tc>
          <w:tcPr>
            <w:tcW w:w="3528" w:type="dxa"/>
          </w:tcPr>
          <w:p w:rsidR="00CF323C" w:rsidRPr="009525D1" w:rsidP="00A135D4" w14:paraId="671EBF55"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Non-salary one-time expenses</w:t>
            </w:r>
            <w:r>
              <w:rPr>
                <w:szCs w:val="24"/>
              </w:rPr>
              <w:t xml:space="preserve"> and one-time hiring expenses</w:t>
            </w:r>
          </w:p>
        </w:tc>
        <w:tc>
          <w:tcPr>
            <w:tcW w:w="1530" w:type="dxa"/>
          </w:tcPr>
          <w:p w:rsidR="00CF323C" w:rsidRPr="009525D1" w:rsidP="00A135D4" w14:paraId="219F027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40" w:type="dxa"/>
          </w:tcPr>
          <w:p w:rsidR="00CF323C" w:rsidRPr="009525D1" w:rsidP="00A135D4" w14:paraId="6C2F2A62"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40" w:type="dxa"/>
          </w:tcPr>
          <w:p w:rsidR="00CF323C" w:rsidRPr="009525D1" w:rsidP="00A135D4" w14:paraId="6879DB8C"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r>
      <w:tr w14:paraId="01F29D4E" w14:textId="77777777" w:rsidTr="00A135D4">
        <w:tblPrEx>
          <w:tblW w:w="0" w:type="auto"/>
          <w:tblLook w:val="04A0"/>
        </w:tblPrEx>
        <w:tc>
          <w:tcPr>
            <w:tcW w:w="3528" w:type="dxa"/>
          </w:tcPr>
          <w:p w:rsidR="00CF323C" w:rsidRPr="009525D1" w:rsidP="00A135D4" w14:paraId="641F63D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 xml:space="preserve">       DI of Type A</w:t>
            </w:r>
          </w:p>
        </w:tc>
        <w:tc>
          <w:tcPr>
            <w:tcW w:w="1530" w:type="dxa"/>
          </w:tcPr>
          <w:p w:rsidR="00CF323C" w:rsidRPr="009525D1" w:rsidP="00A135D4" w14:paraId="2345AC2F" w14:textId="7539A52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w:t>
            </w:r>
            <w:r>
              <w:rPr>
                <w:szCs w:val="24"/>
              </w:rPr>
              <w:t>11,625</w:t>
            </w:r>
          </w:p>
        </w:tc>
        <w:tc>
          <w:tcPr>
            <w:tcW w:w="1440" w:type="dxa"/>
          </w:tcPr>
          <w:p w:rsidR="00CF323C" w:rsidRPr="009525D1" w:rsidP="00A135D4" w14:paraId="42EB5DB1" w14:textId="3F80D86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550</w:t>
            </w:r>
            <w:r w:rsidRPr="009525D1">
              <w:rPr>
                <w:szCs w:val="24"/>
              </w:rPr>
              <w:t xml:space="preserve"> </w:t>
            </w:r>
          </w:p>
        </w:tc>
        <w:tc>
          <w:tcPr>
            <w:tcW w:w="1440" w:type="dxa"/>
          </w:tcPr>
          <w:p w:rsidR="00CF323C" w:rsidRPr="009525D1" w:rsidP="00FE4B93" w14:paraId="5A76283D" w14:textId="4CFAB32C">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w:t>
            </w:r>
            <w:r>
              <w:rPr>
                <w:szCs w:val="24"/>
              </w:rPr>
              <w:t>6,393,750</w:t>
            </w:r>
          </w:p>
        </w:tc>
      </w:tr>
      <w:tr w14:paraId="0BF64758" w14:textId="77777777" w:rsidTr="00A135D4">
        <w:tblPrEx>
          <w:tblW w:w="0" w:type="auto"/>
          <w:tblLook w:val="04A0"/>
        </w:tblPrEx>
        <w:tc>
          <w:tcPr>
            <w:tcW w:w="3528" w:type="dxa"/>
          </w:tcPr>
          <w:p w:rsidR="00CF323C" w:rsidRPr="009525D1" w:rsidP="00A135D4" w14:paraId="53897773"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 xml:space="preserve">       DI of Type B</w:t>
            </w:r>
          </w:p>
        </w:tc>
        <w:tc>
          <w:tcPr>
            <w:tcW w:w="1530" w:type="dxa"/>
          </w:tcPr>
          <w:p w:rsidR="00CF323C" w:rsidRPr="009525D1" w:rsidP="00A135D4" w14:paraId="5BB866DF" w14:textId="48B86AF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w:t>
            </w:r>
            <w:r>
              <w:rPr>
                <w:szCs w:val="24"/>
              </w:rPr>
              <w:t>10,675</w:t>
            </w:r>
          </w:p>
        </w:tc>
        <w:tc>
          <w:tcPr>
            <w:tcW w:w="1440" w:type="dxa"/>
          </w:tcPr>
          <w:p w:rsidR="00CF323C" w:rsidRPr="009525D1" w:rsidP="00A135D4" w14:paraId="4C4F5FAA" w14:textId="3369ABC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950</w:t>
            </w:r>
          </w:p>
        </w:tc>
        <w:tc>
          <w:tcPr>
            <w:tcW w:w="1440" w:type="dxa"/>
          </w:tcPr>
          <w:p w:rsidR="00CF323C" w:rsidRPr="009525D1" w:rsidP="00FE4B93" w14:paraId="1C15D0C1" w14:textId="77EF7A3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w:t>
            </w:r>
            <w:r>
              <w:rPr>
                <w:szCs w:val="24"/>
              </w:rPr>
              <w:t>10,141,250</w:t>
            </w:r>
          </w:p>
        </w:tc>
      </w:tr>
      <w:tr w14:paraId="14EE3970" w14:textId="77777777" w:rsidTr="00A135D4">
        <w:tblPrEx>
          <w:tblW w:w="0" w:type="auto"/>
          <w:tblLook w:val="04A0"/>
        </w:tblPrEx>
        <w:tc>
          <w:tcPr>
            <w:tcW w:w="3528" w:type="dxa"/>
          </w:tcPr>
          <w:p w:rsidR="00CF323C" w:rsidRPr="009525D1" w:rsidP="00A135D4" w14:paraId="021BBC89"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 xml:space="preserve">       DI of Type C </w:t>
            </w:r>
          </w:p>
        </w:tc>
        <w:tc>
          <w:tcPr>
            <w:tcW w:w="1530" w:type="dxa"/>
          </w:tcPr>
          <w:p w:rsidR="00CF323C" w:rsidRPr="009525D1" w:rsidP="00A135D4" w14:paraId="7D1C84C5" w14:textId="393034B2">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w:t>
            </w:r>
            <w:r>
              <w:rPr>
                <w:szCs w:val="24"/>
              </w:rPr>
              <w:t>33,445</w:t>
            </w:r>
          </w:p>
        </w:tc>
        <w:tc>
          <w:tcPr>
            <w:tcW w:w="1440" w:type="dxa"/>
          </w:tcPr>
          <w:p w:rsidR="00CF323C" w:rsidRPr="009525D1" w:rsidP="00A135D4" w14:paraId="4A1E71D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 xml:space="preserve">350 </w:t>
            </w:r>
          </w:p>
        </w:tc>
        <w:tc>
          <w:tcPr>
            <w:tcW w:w="1440" w:type="dxa"/>
          </w:tcPr>
          <w:p w:rsidR="00CF323C" w:rsidRPr="009525D1" w:rsidP="00FE4B93" w14:paraId="0D01B0F4" w14:textId="09626AC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w:t>
            </w:r>
            <w:r>
              <w:rPr>
                <w:szCs w:val="24"/>
              </w:rPr>
              <w:t>11,705,750</w:t>
            </w:r>
          </w:p>
        </w:tc>
      </w:tr>
      <w:tr w14:paraId="4AE8CB23" w14:textId="77777777" w:rsidTr="00A135D4">
        <w:tblPrEx>
          <w:tblW w:w="0" w:type="auto"/>
          <w:tblLook w:val="04A0"/>
        </w:tblPrEx>
        <w:trPr>
          <w:trHeight w:val="337"/>
        </w:trPr>
        <w:tc>
          <w:tcPr>
            <w:tcW w:w="3528" w:type="dxa"/>
          </w:tcPr>
          <w:p w:rsidR="00CF323C" w:rsidRPr="009525D1" w:rsidP="00A135D4" w14:paraId="121E4B6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 xml:space="preserve">       Non-DI</w:t>
            </w:r>
          </w:p>
        </w:tc>
        <w:tc>
          <w:tcPr>
            <w:tcW w:w="1530" w:type="dxa"/>
          </w:tcPr>
          <w:p w:rsidR="00CF323C" w:rsidRPr="009525D1" w:rsidP="00A135D4" w14:paraId="2F3EFCAB" w14:textId="1FA8280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w:t>
            </w:r>
            <w:r>
              <w:rPr>
                <w:szCs w:val="24"/>
              </w:rPr>
              <w:t>30,530</w:t>
            </w:r>
          </w:p>
        </w:tc>
        <w:tc>
          <w:tcPr>
            <w:tcW w:w="1440" w:type="dxa"/>
          </w:tcPr>
          <w:p w:rsidR="00CF323C" w:rsidRPr="009525D1" w:rsidP="00A135D4" w14:paraId="1E6FEE96" w14:textId="111410B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620</w:t>
            </w:r>
          </w:p>
        </w:tc>
        <w:tc>
          <w:tcPr>
            <w:tcW w:w="1440" w:type="dxa"/>
          </w:tcPr>
          <w:p w:rsidR="00CF323C" w:rsidRPr="009525D1" w:rsidP="00FE4B93" w14:paraId="4720A863" w14:textId="49D258EE">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w:t>
            </w:r>
            <w:r>
              <w:rPr>
                <w:szCs w:val="24"/>
              </w:rPr>
              <w:t>18,928,600</w:t>
            </w:r>
          </w:p>
        </w:tc>
      </w:tr>
    </w:tbl>
    <w:p w:rsidR="00CF323C" w:rsidRPr="009525D1" w:rsidP="00CF323C" w14:paraId="5FC5CA24" w14:textId="25AA867E">
      <w:pPr>
        <w:ind w:right="1690"/>
        <w:rPr>
          <w:b/>
          <w:bCs/>
          <w:szCs w:val="24"/>
        </w:rPr>
      </w:pPr>
      <w:r w:rsidRPr="009525D1">
        <w:rPr>
          <w:b/>
          <w:bCs/>
          <w:szCs w:val="24"/>
        </w:rPr>
        <w:t>Total One-Time Costs (O&amp;M)</w:t>
      </w:r>
      <w:r>
        <w:rPr>
          <w:b/>
          <w:bCs/>
          <w:szCs w:val="24"/>
        </w:rPr>
        <w:t xml:space="preserve"> </w:t>
      </w:r>
      <w:r>
        <w:rPr>
          <w:b/>
          <w:bCs/>
          <w:szCs w:val="24"/>
        </w:rPr>
        <w:tab/>
      </w:r>
      <w:r>
        <w:ptab w:relativeTo="margin" w:alignment="right" w:leader="none"/>
      </w:r>
      <w:r w:rsidRPr="009525D1">
        <w:rPr>
          <w:b/>
          <w:bCs/>
          <w:szCs w:val="24"/>
        </w:rPr>
        <w:t>$47,</w:t>
      </w:r>
      <w:r>
        <w:rPr>
          <w:b/>
          <w:bCs/>
          <w:szCs w:val="24"/>
        </w:rPr>
        <w:t>169,350</w:t>
      </w:r>
    </w:p>
    <w:p w:rsidR="00CF323C" w:rsidRPr="002D48B8" w:rsidP="00CF323C" w14:paraId="41E8AB68" w14:textId="060913C8">
      <w:pPr>
        <w:keepNext/>
        <w:rPr>
          <w:b/>
          <w:bCs/>
          <w:szCs w:val="24"/>
        </w:rPr>
      </w:pPr>
      <w:r>
        <w:rPr>
          <w:b/>
          <w:bCs/>
          <w:szCs w:val="24"/>
        </w:rPr>
        <w:br/>
      </w:r>
      <w:r w:rsidRPr="002D48B8">
        <w:rPr>
          <w:b/>
          <w:bCs/>
          <w:szCs w:val="24"/>
        </w:rPr>
        <w:t>Ongoing</w:t>
      </w:r>
      <w:r w:rsidR="003E25E0">
        <w:rPr>
          <w:b/>
          <w:bCs/>
          <w:szCs w:val="24"/>
        </w:rPr>
        <w:t xml:space="preserve"> Costs</w:t>
      </w:r>
    </w:p>
    <w:tbl>
      <w:tblPr>
        <w:tblStyle w:val="TableGrid"/>
        <w:tblW w:w="0" w:type="auto"/>
        <w:tblLook w:val="04A0"/>
      </w:tblPr>
      <w:tblGrid>
        <w:gridCol w:w="3528"/>
        <w:gridCol w:w="1530"/>
        <w:gridCol w:w="1440"/>
        <w:gridCol w:w="1440"/>
      </w:tblGrid>
      <w:tr w14:paraId="5A8C1977" w14:textId="77777777" w:rsidTr="00A135D4">
        <w:tblPrEx>
          <w:tblW w:w="0" w:type="auto"/>
          <w:tblLook w:val="04A0"/>
        </w:tblPrEx>
        <w:tc>
          <w:tcPr>
            <w:tcW w:w="3528" w:type="dxa"/>
          </w:tcPr>
          <w:p w:rsidR="00CF323C" w:rsidRPr="009525D1" w:rsidP="00A135D4" w14:paraId="160496F1"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Description of Costs (O&amp;M)</w:t>
            </w:r>
          </w:p>
        </w:tc>
        <w:tc>
          <w:tcPr>
            <w:tcW w:w="1530" w:type="dxa"/>
          </w:tcPr>
          <w:p w:rsidR="00CF323C" w:rsidRPr="009525D1" w:rsidP="00A135D4" w14:paraId="491F4D1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Per Unit Costs</w:t>
            </w:r>
          </w:p>
        </w:tc>
        <w:tc>
          <w:tcPr>
            <w:tcW w:w="1440" w:type="dxa"/>
          </w:tcPr>
          <w:p w:rsidR="00CF323C" w:rsidRPr="009525D1" w:rsidP="00A135D4" w14:paraId="50DCD494"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Number of Reporters</w:t>
            </w:r>
          </w:p>
        </w:tc>
        <w:tc>
          <w:tcPr>
            <w:tcW w:w="1440" w:type="dxa"/>
          </w:tcPr>
          <w:p w:rsidR="00CF323C" w:rsidRPr="009525D1" w:rsidP="00A135D4" w14:paraId="42D40336"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sidRPr="009525D1">
              <w:rPr>
                <w:b/>
                <w:szCs w:val="24"/>
              </w:rPr>
              <w:t>Total Costs</w:t>
            </w:r>
          </w:p>
        </w:tc>
      </w:tr>
      <w:tr w14:paraId="046F4F8D" w14:textId="77777777" w:rsidTr="00A135D4">
        <w:tblPrEx>
          <w:tblW w:w="0" w:type="auto"/>
          <w:tblLook w:val="04A0"/>
        </w:tblPrEx>
        <w:tc>
          <w:tcPr>
            <w:tcW w:w="3528" w:type="dxa"/>
          </w:tcPr>
          <w:p w:rsidR="00CF323C" w:rsidRPr="009525D1" w:rsidP="00A135D4" w14:paraId="4BB9C4D2"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Non-salary ongoing expenses:</w:t>
            </w:r>
          </w:p>
          <w:p w:rsidR="00CF323C" w:rsidRPr="009525D1" w:rsidP="00CF323C" w14:paraId="30C076EB" w14:textId="77777777">
            <w:pPr>
              <w:pStyle w:val="ListParagraph"/>
              <w:keepNext/>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4"/>
              </w:rPr>
            </w:pPr>
            <w:r w:rsidRPr="009525D1">
              <w:rPr>
                <w:szCs w:val="24"/>
              </w:rPr>
              <w:t>Data Management software</w:t>
            </w:r>
          </w:p>
          <w:p w:rsidR="00CF323C" w:rsidRPr="009525D1" w:rsidP="00CF323C" w14:paraId="629EEBE9" w14:textId="77777777">
            <w:pPr>
              <w:pStyle w:val="ListParagraph"/>
              <w:keepNext/>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szCs w:val="24"/>
              </w:rPr>
            </w:pPr>
            <w:r w:rsidRPr="009525D1">
              <w:rPr>
                <w:szCs w:val="24"/>
              </w:rPr>
              <w:t>External audit costs</w:t>
            </w:r>
          </w:p>
        </w:tc>
        <w:tc>
          <w:tcPr>
            <w:tcW w:w="1530" w:type="dxa"/>
          </w:tcPr>
          <w:p w:rsidR="00CF323C" w:rsidRPr="009525D1" w:rsidP="00A135D4" w14:paraId="05CD41FC"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40" w:type="dxa"/>
          </w:tcPr>
          <w:p w:rsidR="00CF323C" w:rsidRPr="009525D1" w:rsidP="00A135D4" w14:paraId="2E690916"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40" w:type="dxa"/>
          </w:tcPr>
          <w:p w:rsidR="00CF323C" w:rsidRPr="009525D1" w:rsidP="00A135D4" w14:paraId="0E8E4EB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r>
      <w:tr w14:paraId="3FCC0D20" w14:textId="77777777" w:rsidTr="00A135D4">
        <w:tblPrEx>
          <w:tblW w:w="0" w:type="auto"/>
          <w:tblLook w:val="04A0"/>
        </w:tblPrEx>
        <w:tc>
          <w:tcPr>
            <w:tcW w:w="3528" w:type="dxa"/>
          </w:tcPr>
          <w:p w:rsidR="00CF323C" w:rsidRPr="009525D1" w:rsidP="00A135D4" w14:paraId="3D4B921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 xml:space="preserve">       Type A Institution</w:t>
            </w:r>
          </w:p>
        </w:tc>
        <w:tc>
          <w:tcPr>
            <w:tcW w:w="1530" w:type="dxa"/>
          </w:tcPr>
          <w:p w:rsidR="00CF323C" w:rsidRPr="009525D1" w:rsidP="00A135D4" w14:paraId="17313DBA"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$3,500</w:t>
            </w:r>
          </w:p>
        </w:tc>
        <w:tc>
          <w:tcPr>
            <w:tcW w:w="1440" w:type="dxa"/>
          </w:tcPr>
          <w:p w:rsidR="00CF323C" w:rsidRPr="009525D1" w:rsidP="00A135D4" w14:paraId="5719BE38" w14:textId="7D44C8D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550</w:t>
            </w:r>
            <w:r w:rsidRPr="009525D1">
              <w:rPr>
                <w:szCs w:val="24"/>
              </w:rPr>
              <w:t xml:space="preserve"> </w:t>
            </w:r>
          </w:p>
        </w:tc>
        <w:tc>
          <w:tcPr>
            <w:tcW w:w="1440" w:type="dxa"/>
          </w:tcPr>
          <w:p w:rsidR="00CF323C" w:rsidRPr="009525D1" w:rsidP="00FE4B93" w14:paraId="11A34649" w14:textId="52D8F688">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w:t>
            </w:r>
            <w:r>
              <w:rPr>
                <w:szCs w:val="24"/>
              </w:rPr>
              <w:t>1,925,000</w:t>
            </w:r>
          </w:p>
        </w:tc>
      </w:tr>
      <w:tr w14:paraId="62DDC51B" w14:textId="77777777" w:rsidTr="00A135D4">
        <w:tblPrEx>
          <w:tblW w:w="0" w:type="auto"/>
          <w:tblLook w:val="04A0"/>
        </w:tblPrEx>
        <w:tc>
          <w:tcPr>
            <w:tcW w:w="3528" w:type="dxa"/>
          </w:tcPr>
          <w:p w:rsidR="00CF323C" w:rsidRPr="009525D1" w:rsidP="00A135D4" w14:paraId="12205DB8"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 xml:space="preserve">       Type B Institution</w:t>
            </w:r>
          </w:p>
        </w:tc>
        <w:tc>
          <w:tcPr>
            <w:tcW w:w="1530" w:type="dxa"/>
          </w:tcPr>
          <w:p w:rsidR="00CF323C" w:rsidRPr="009525D1" w:rsidP="00A135D4" w14:paraId="7EB80E31"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$13,000</w:t>
            </w:r>
          </w:p>
        </w:tc>
        <w:tc>
          <w:tcPr>
            <w:tcW w:w="1440" w:type="dxa"/>
          </w:tcPr>
          <w:p w:rsidR="00CF323C" w:rsidRPr="009525D1" w:rsidP="00A135D4" w14:paraId="76057066" w14:textId="68769BF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1,470</w:t>
            </w:r>
            <w:r w:rsidRPr="009525D1">
              <w:rPr>
                <w:szCs w:val="24"/>
              </w:rPr>
              <w:t xml:space="preserve"> </w:t>
            </w:r>
          </w:p>
        </w:tc>
        <w:tc>
          <w:tcPr>
            <w:tcW w:w="1440" w:type="dxa"/>
          </w:tcPr>
          <w:p w:rsidR="00CF323C" w:rsidRPr="009525D1" w:rsidP="00FE4B93" w14:paraId="49B5E9F9" w14:textId="294952E8">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w:t>
            </w:r>
            <w:r>
              <w:rPr>
                <w:szCs w:val="24"/>
              </w:rPr>
              <w:t>19,110,000</w:t>
            </w:r>
          </w:p>
        </w:tc>
      </w:tr>
      <w:tr w14:paraId="728B8CFA" w14:textId="77777777" w:rsidTr="00A135D4">
        <w:tblPrEx>
          <w:tblW w:w="0" w:type="auto"/>
          <w:tblLook w:val="04A0"/>
        </w:tblPrEx>
        <w:tc>
          <w:tcPr>
            <w:tcW w:w="3528" w:type="dxa"/>
          </w:tcPr>
          <w:p w:rsidR="00CF323C" w:rsidRPr="009525D1" w:rsidP="00A135D4" w14:paraId="70DF79D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 xml:space="preserve">       Type C Institution</w:t>
            </w:r>
          </w:p>
        </w:tc>
        <w:tc>
          <w:tcPr>
            <w:tcW w:w="1530" w:type="dxa"/>
          </w:tcPr>
          <w:p w:rsidR="00CF323C" w:rsidRPr="009525D1" w:rsidP="00A135D4" w14:paraId="48532A6A" w14:textId="7CFE4666">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$13,</w:t>
            </w:r>
            <w:r>
              <w:rPr>
                <w:szCs w:val="24"/>
              </w:rPr>
              <w:t>650</w:t>
            </w:r>
          </w:p>
        </w:tc>
        <w:tc>
          <w:tcPr>
            <w:tcW w:w="1440" w:type="dxa"/>
          </w:tcPr>
          <w:p w:rsidR="00CF323C" w:rsidRPr="009525D1" w:rsidP="00A135D4" w14:paraId="398F0C95" w14:textId="41DFB921">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450</w:t>
            </w:r>
            <w:r w:rsidRPr="009525D1">
              <w:rPr>
                <w:szCs w:val="24"/>
              </w:rPr>
              <w:t xml:space="preserve"> </w:t>
            </w:r>
          </w:p>
        </w:tc>
        <w:tc>
          <w:tcPr>
            <w:tcW w:w="1440" w:type="dxa"/>
          </w:tcPr>
          <w:p w:rsidR="00CF323C" w:rsidRPr="009525D1" w:rsidP="00FE4B93" w14:paraId="3FE2956F" w14:textId="3ECE0D6A">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w:t>
            </w:r>
            <w:r>
              <w:rPr>
                <w:szCs w:val="24"/>
              </w:rPr>
              <w:t>6,142,500</w:t>
            </w:r>
          </w:p>
        </w:tc>
      </w:tr>
      <w:tr w14:paraId="4B29E364" w14:textId="77777777" w:rsidTr="00A135D4">
        <w:tblPrEx>
          <w:tblW w:w="0" w:type="auto"/>
          <w:tblLook w:val="04A0"/>
        </w:tblPrEx>
        <w:trPr>
          <w:trHeight w:val="337"/>
        </w:trPr>
        <w:tc>
          <w:tcPr>
            <w:tcW w:w="3528" w:type="dxa"/>
          </w:tcPr>
          <w:p w:rsidR="00CF323C" w:rsidRPr="009525D1" w:rsidP="00A135D4" w14:paraId="6EAC41DD"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9525D1">
              <w:rPr>
                <w:szCs w:val="24"/>
              </w:rPr>
              <w:t>LEI</w:t>
            </w:r>
          </w:p>
        </w:tc>
        <w:tc>
          <w:tcPr>
            <w:tcW w:w="1530" w:type="dxa"/>
          </w:tcPr>
          <w:p w:rsidR="00CF323C" w:rsidRPr="009525D1" w:rsidP="00A135D4" w14:paraId="61679C9E"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$200</w:t>
            </w:r>
          </w:p>
        </w:tc>
        <w:tc>
          <w:tcPr>
            <w:tcW w:w="1440" w:type="dxa"/>
          </w:tcPr>
          <w:p w:rsidR="00CF323C" w:rsidRPr="009525D1" w:rsidP="00A135D4" w14:paraId="5EF0317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9525D1">
              <w:rPr>
                <w:szCs w:val="24"/>
              </w:rPr>
              <w:t>145</w:t>
            </w:r>
          </w:p>
        </w:tc>
        <w:tc>
          <w:tcPr>
            <w:tcW w:w="1440" w:type="dxa"/>
          </w:tcPr>
          <w:p w:rsidR="00CF323C" w:rsidRPr="009525D1" w:rsidP="00FE4B93" w14:paraId="3FA57FF0" w14:textId="77777777">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9525D1">
              <w:rPr>
                <w:szCs w:val="24"/>
              </w:rPr>
              <w:t>$29,000</w:t>
            </w:r>
          </w:p>
        </w:tc>
      </w:tr>
    </w:tbl>
    <w:p w:rsidR="00CF323C" w:rsidRPr="009525D1" w:rsidP="00CF323C" w14:paraId="21055EED" w14:textId="01E580F7">
      <w:pPr>
        <w:ind w:right="1690"/>
        <w:rPr>
          <w:b/>
          <w:bCs/>
          <w:szCs w:val="24"/>
        </w:rPr>
      </w:pPr>
      <w:r w:rsidRPr="009525D1">
        <w:rPr>
          <w:b/>
          <w:bCs/>
          <w:szCs w:val="24"/>
        </w:rPr>
        <w:t>Total Ongoing Costs (O&amp;M)</w:t>
      </w:r>
      <w:r>
        <w:rPr>
          <w:b/>
          <w:bCs/>
          <w:szCs w:val="24"/>
        </w:rPr>
        <w:t xml:space="preserve"> </w:t>
      </w:r>
      <w:r>
        <w:rPr>
          <w:b/>
          <w:bCs/>
          <w:szCs w:val="24"/>
        </w:rPr>
        <w:tab/>
      </w:r>
      <w:r>
        <w:ptab w:relativeTo="margin" w:alignment="right" w:leader="none"/>
      </w:r>
      <w:r w:rsidRPr="009525D1">
        <w:rPr>
          <w:b/>
          <w:bCs/>
          <w:szCs w:val="24"/>
        </w:rPr>
        <w:t>$</w:t>
      </w:r>
      <w:r>
        <w:rPr>
          <w:b/>
          <w:bCs/>
          <w:szCs w:val="24"/>
        </w:rPr>
        <w:t>27,206,500</w:t>
      </w:r>
    </w:p>
    <w:p w:rsidR="00CF323C" w:rsidP="00DA4517" w14:paraId="37047980" w14:textId="3554C9DA">
      <w:r w:rsidRPr="009525D1">
        <w:rPr>
          <w:b/>
          <w:bCs/>
          <w:szCs w:val="24"/>
        </w:rPr>
        <w:t>Total Costs (O&amp;M) - $</w:t>
      </w:r>
      <w:r>
        <w:rPr>
          <w:b/>
          <w:bCs/>
          <w:szCs w:val="24"/>
        </w:rPr>
        <w:t>74,375,850</w:t>
      </w:r>
    </w:p>
    <w:p w:rsidR="00EA5BC1" w14:paraId="58CB3F9E" w14:textId="10D07356">
      <w:pPr>
        <w:spacing w:after="0" w:line="259" w:lineRule="auto"/>
        <w:ind w:left="0" w:firstLine="0"/>
      </w:pPr>
    </w:p>
    <w:p w:rsidR="00EA5BC1" w:rsidRPr="00542460" w14:paraId="085482BE" w14:textId="70F0D709">
      <w:pPr>
        <w:pStyle w:val="Heading1"/>
        <w:ind w:left="-5"/>
        <w:rPr>
          <w:u w:val="none"/>
        </w:rPr>
      </w:pPr>
      <w:r w:rsidRPr="006142C9">
        <w:t>14</w:t>
      </w:r>
      <w:r>
        <w:rPr>
          <w:u w:val="none"/>
        </w:rPr>
        <w:t xml:space="preserve">.  </w:t>
      </w:r>
      <w:r w:rsidRPr="009525D1" w:rsidR="006C7640">
        <w:t>Esti</w:t>
      </w:r>
      <w:r w:rsidRPr="009525D1" w:rsidR="006C7640">
        <w:rPr>
          <w:spacing w:val="-3"/>
        </w:rPr>
        <w:t>m</w:t>
      </w:r>
      <w:r w:rsidRPr="009525D1" w:rsidR="006C7640">
        <w:t>ated</w:t>
      </w:r>
      <w:r w:rsidRPr="009525D1" w:rsidR="006C7640">
        <w:rPr>
          <w:spacing w:val="1"/>
        </w:rPr>
        <w:t xml:space="preserve"> </w:t>
      </w:r>
      <w:r w:rsidRPr="009525D1" w:rsidR="006C7640">
        <w:t xml:space="preserve">Cost to the </w:t>
      </w:r>
      <w:r w:rsidRPr="009525D1" w:rsidR="006C7640">
        <w:rPr>
          <w:spacing w:val="-3"/>
        </w:rPr>
        <w:t>Federal Government</w:t>
      </w:r>
    </w:p>
    <w:p w:rsidR="00EA5BC1" w:rsidP="00357CE2" w14:paraId="02FF4205" w14:textId="03D146A7">
      <w:pPr>
        <w:spacing w:after="5" w:line="259" w:lineRule="auto"/>
        <w:ind w:left="0" w:firstLine="0"/>
      </w:pPr>
      <w:r w:rsidRPr="00542460">
        <w:t xml:space="preserve"> </w:t>
      </w:r>
      <w:r>
        <w:tab/>
        <w:t xml:space="preserve"> </w:t>
      </w:r>
    </w:p>
    <w:p w:rsidR="00C8266D" w:rsidRPr="006142C9" w:rsidP="00C04514" w14:paraId="02F34C5A" w14:textId="77777777">
      <w:pPr>
        <w:spacing w:after="240" w:line="240" w:lineRule="auto"/>
        <w:rPr>
          <w:szCs w:val="24"/>
          <w:u w:val="single"/>
        </w:rPr>
      </w:pPr>
      <w:r w:rsidRPr="006142C9">
        <w:rPr>
          <w:szCs w:val="24"/>
          <w:u w:val="single"/>
        </w:rPr>
        <w:t>Subpart A</w:t>
      </w:r>
    </w:p>
    <w:p w:rsidR="00EA5BC1" w:rsidP="00C04514" w14:paraId="189C95B3" w14:textId="2837453A">
      <w:pPr>
        <w:spacing w:after="240" w:line="240" w:lineRule="auto"/>
        <w:rPr>
          <w:szCs w:val="24"/>
        </w:rPr>
      </w:pPr>
      <w:r w:rsidRPr="00BD1D11">
        <w:rPr>
          <w:szCs w:val="24"/>
        </w:rPr>
        <w:t xml:space="preserve">As the </w:t>
      </w:r>
      <w:r w:rsidR="00393F64">
        <w:rPr>
          <w:szCs w:val="24"/>
        </w:rPr>
        <w:t>CFPB</w:t>
      </w:r>
      <w:r w:rsidRPr="00BD1D11">
        <w:rPr>
          <w:szCs w:val="24"/>
        </w:rPr>
        <w:t xml:space="preserve"> does not collect any information under </w:t>
      </w:r>
      <w:r w:rsidR="00C8266D">
        <w:rPr>
          <w:szCs w:val="24"/>
        </w:rPr>
        <w:t>subpart A</w:t>
      </w:r>
      <w:r w:rsidRPr="00BD1D11">
        <w:rPr>
          <w:szCs w:val="24"/>
        </w:rPr>
        <w:t xml:space="preserve">, there are no costs to the </w:t>
      </w:r>
      <w:r w:rsidR="00393F64">
        <w:rPr>
          <w:szCs w:val="24"/>
        </w:rPr>
        <w:t>CFPB</w:t>
      </w:r>
      <w:r w:rsidRPr="00BD1D11">
        <w:rPr>
          <w:szCs w:val="24"/>
        </w:rPr>
        <w:t xml:space="preserve"> associated with this information collection.</w:t>
      </w:r>
    </w:p>
    <w:p w:rsidR="00C8266D" w:rsidP="00C8266D" w14:paraId="1FE4699F" w14:textId="075FB63E">
      <w:pPr>
        <w:spacing w:after="240" w:line="240" w:lineRule="auto"/>
        <w:rPr>
          <w:szCs w:val="24"/>
        </w:rPr>
      </w:pPr>
      <w:r>
        <w:rPr>
          <w:szCs w:val="24"/>
          <w:u w:val="single"/>
        </w:rPr>
        <w:t>S</w:t>
      </w:r>
      <w:r w:rsidRPr="00953F41">
        <w:rPr>
          <w:szCs w:val="24"/>
          <w:u w:val="single"/>
        </w:rPr>
        <w:t>ubpart B</w:t>
      </w:r>
      <w:r>
        <w:rPr>
          <w:szCs w:val="24"/>
        </w:rPr>
        <w:t xml:space="preserve">  </w:t>
      </w:r>
    </w:p>
    <w:p w:rsidR="00C8266D" w:rsidRPr="009525D1" w:rsidP="00C8266D" w14:paraId="4F7556F1" w14:textId="5EE83AF1">
      <w:pPr>
        <w:spacing w:after="240" w:line="240" w:lineRule="auto"/>
        <w:rPr>
          <w:szCs w:val="24"/>
        </w:rPr>
      </w:pPr>
      <w:r w:rsidRPr="009525D1">
        <w:rPr>
          <w:szCs w:val="24"/>
        </w:rPr>
        <w:t xml:space="preserve">The estimated one-time cost to the Federal </w:t>
      </w:r>
      <w:r w:rsidR="003E25E0">
        <w:rPr>
          <w:szCs w:val="24"/>
        </w:rPr>
        <w:t>g</w:t>
      </w:r>
      <w:r w:rsidRPr="009525D1">
        <w:rPr>
          <w:szCs w:val="24"/>
        </w:rPr>
        <w:t>overnment to develop software for data submission, edit checks, communication with reporters</w:t>
      </w:r>
      <w:r w:rsidR="003E25E0">
        <w:rPr>
          <w:szCs w:val="24"/>
        </w:rPr>
        <w:t>,</w:t>
      </w:r>
      <w:r w:rsidRPr="009525D1">
        <w:rPr>
          <w:szCs w:val="24"/>
        </w:rPr>
        <w:t xml:space="preserve"> and geocoding is $13.5 million.</w:t>
      </w:r>
    </w:p>
    <w:p w:rsidR="00EA5BC1" w:rsidRPr="006142C9" w:rsidP="006142C9" w14:paraId="4A27C2ED" w14:textId="627DE327">
      <w:pPr>
        <w:pStyle w:val="Heading1"/>
      </w:pPr>
      <w:r w:rsidRPr="006142C9">
        <w:rPr>
          <w:bCs/>
        </w:rPr>
        <w:t>15.</w:t>
      </w:r>
      <w:r w:rsidRPr="00542460">
        <w:rPr>
          <w:bCs/>
          <w:u w:val="none"/>
        </w:rPr>
        <w:t xml:space="preserve">  </w:t>
      </w:r>
      <w:r w:rsidRPr="009525D1" w:rsidR="00B8730F">
        <w:rPr>
          <w:spacing w:val="-3"/>
        </w:rPr>
        <w:t>P</w:t>
      </w:r>
      <w:r w:rsidRPr="009525D1" w:rsidR="00B8730F">
        <w:t>rogram</w:t>
      </w:r>
      <w:r w:rsidRPr="009525D1" w:rsidR="00B8730F">
        <w:rPr>
          <w:spacing w:val="-3"/>
        </w:rPr>
        <w:t xml:space="preserve"> </w:t>
      </w:r>
      <w:r w:rsidRPr="009525D1" w:rsidR="00B8730F">
        <w:t>Cha</w:t>
      </w:r>
      <w:r w:rsidRPr="009525D1" w:rsidR="00B8730F">
        <w:rPr>
          <w:spacing w:val="1"/>
        </w:rPr>
        <w:t>n</w:t>
      </w:r>
      <w:r w:rsidRPr="009525D1" w:rsidR="00B8730F">
        <w:t>ges or A</w:t>
      </w:r>
      <w:r w:rsidRPr="009525D1" w:rsidR="00B8730F">
        <w:rPr>
          <w:spacing w:val="1"/>
        </w:rPr>
        <w:t>d</w:t>
      </w:r>
      <w:r w:rsidRPr="009525D1" w:rsidR="00B8730F">
        <w:t>just</w:t>
      </w:r>
      <w:r w:rsidRPr="009525D1" w:rsidR="00B8730F">
        <w:rPr>
          <w:spacing w:val="-3"/>
        </w:rPr>
        <w:t>m</w:t>
      </w:r>
      <w:r w:rsidRPr="009525D1" w:rsidR="00B8730F">
        <w:t>e</w:t>
      </w:r>
      <w:r w:rsidRPr="009525D1" w:rsidR="00B8730F">
        <w:rPr>
          <w:spacing w:val="1"/>
        </w:rPr>
        <w:t>n</w:t>
      </w:r>
      <w:r w:rsidRPr="009525D1" w:rsidR="00B8730F">
        <w:t>ts</w:t>
      </w:r>
    </w:p>
    <w:p w:rsidR="00524EE0" w14:paraId="28E4B49F" w14:textId="7ECDD47C">
      <w:pPr>
        <w:spacing w:after="0" w:line="259" w:lineRule="auto"/>
        <w:ind w:left="0" w:firstLine="0"/>
        <w:rPr>
          <w:b/>
          <w:bCs/>
        </w:rPr>
      </w:pPr>
    </w:p>
    <w:p w:rsidR="00310DB2" w:rsidRPr="00310DB2" w14:paraId="46D9ECDE" w14:textId="5AC14E3D">
      <w:pPr>
        <w:spacing w:after="0" w:line="259" w:lineRule="auto"/>
        <w:ind w:left="0" w:firstLine="0"/>
        <w:rPr>
          <w:rFonts w:eastAsia="Calibri"/>
          <w:szCs w:val="24"/>
        </w:rPr>
      </w:pPr>
      <w:r>
        <w:rPr>
          <w:rFonts w:eastAsia="Calibri"/>
          <w:szCs w:val="24"/>
        </w:rPr>
        <w:t>This</w:t>
      </w:r>
      <w:r w:rsidR="00000000">
        <w:rPr>
          <w:rFonts w:eastAsia="Calibri"/>
          <w:szCs w:val="24"/>
        </w:rPr>
        <w:t xml:space="preserve"> final rule </w:t>
      </w:r>
      <w:r w:rsidRPr="00750D93" w:rsidR="00000000">
        <w:rPr>
          <w:rFonts w:eastAsia="Calibri"/>
          <w:szCs w:val="24"/>
        </w:rPr>
        <w:t>add</w:t>
      </w:r>
      <w:r w:rsidR="00000000">
        <w:rPr>
          <w:rFonts w:eastAsia="Calibri"/>
          <w:szCs w:val="24"/>
        </w:rPr>
        <w:t>s</w:t>
      </w:r>
      <w:r w:rsidRPr="00750D93" w:rsidR="00000000">
        <w:rPr>
          <w:rFonts w:eastAsia="Calibri"/>
          <w:szCs w:val="24"/>
        </w:rPr>
        <w:t xml:space="preserve"> </w:t>
      </w:r>
      <w:r>
        <w:rPr>
          <w:rFonts w:eastAsia="Calibri"/>
          <w:szCs w:val="24"/>
        </w:rPr>
        <w:t>S</w:t>
      </w:r>
      <w:r w:rsidRPr="00750D93" w:rsidR="00000000">
        <w:rPr>
          <w:rFonts w:eastAsia="Calibri"/>
          <w:szCs w:val="24"/>
        </w:rPr>
        <w:t>ubpart B to Regulation</w:t>
      </w:r>
      <w:r w:rsidR="00000000">
        <w:rPr>
          <w:rFonts w:eastAsia="Calibri"/>
          <w:szCs w:val="24"/>
        </w:rPr>
        <w:t xml:space="preserve"> </w:t>
      </w:r>
      <w:r w:rsidRPr="00750D93" w:rsidR="00000000">
        <w:rPr>
          <w:rFonts w:eastAsia="Calibri"/>
          <w:szCs w:val="24"/>
        </w:rPr>
        <w:t xml:space="preserve">B </w:t>
      </w:r>
      <w:r>
        <w:rPr>
          <w:rFonts w:eastAsia="Calibri"/>
          <w:szCs w:val="24"/>
        </w:rPr>
        <w:t>that</w:t>
      </w:r>
      <w:r w:rsidRPr="00750D93" w:rsidR="00000000">
        <w:rPr>
          <w:rFonts w:eastAsia="Calibri"/>
          <w:szCs w:val="24"/>
        </w:rPr>
        <w:t xml:space="preserve"> implement</w:t>
      </w:r>
      <w:r>
        <w:rPr>
          <w:rFonts w:eastAsia="Calibri"/>
          <w:szCs w:val="24"/>
        </w:rPr>
        <w:t>s</w:t>
      </w:r>
      <w:r w:rsidRPr="00750D93" w:rsidR="00000000">
        <w:rPr>
          <w:rFonts w:eastAsia="Calibri"/>
          <w:szCs w:val="24"/>
        </w:rPr>
        <w:t xml:space="preserve"> the requirements of </w:t>
      </w:r>
      <w:r>
        <w:rPr>
          <w:rFonts w:eastAsia="Calibri"/>
          <w:szCs w:val="24"/>
        </w:rPr>
        <w:t>S</w:t>
      </w:r>
      <w:r w:rsidRPr="00750D93" w:rsidR="00000000">
        <w:rPr>
          <w:rFonts w:eastAsia="Calibri"/>
          <w:szCs w:val="24"/>
        </w:rPr>
        <w:t>ection 1071</w:t>
      </w:r>
      <w:r>
        <w:rPr>
          <w:rFonts w:eastAsia="Calibri"/>
          <w:szCs w:val="24"/>
        </w:rPr>
        <w:t xml:space="preserve"> of Dodd-Frank.</w:t>
      </w:r>
    </w:p>
    <w:p w:rsidR="000B6DB1" w:rsidRPr="009525D1" w:rsidP="003E25E0" w14:paraId="74423633" w14:textId="77777777">
      <w:pPr>
        <w:spacing w:after="240" w:line="240" w:lineRule="auto"/>
        <w:ind w:left="0" w:firstLine="0"/>
        <w:rPr>
          <w:szCs w:val="24"/>
        </w:rPr>
      </w:pPr>
    </w:p>
    <w:p w:rsidR="00EA5BC1" w:rsidRPr="00542460" w14:paraId="3417C35E" w14:textId="6B37C90F">
      <w:pPr>
        <w:pStyle w:val="Heading1"/>
        <w:ind w:left="-5"/>
        <w:rPr>
          <w:bCs/>
          <w:u w:val="none"/>
        </w:rPr>
      </w:pPr>
      <w:r w:rsidRPr="006164EF">
        <w:rPr>
          <w:u w:val="none"/>
        </w:rPr>
        <w:t>16.</w:t>
      </w:r>
      <w:r>
        <w:rPr>
          <w:u w:val="none"/>
        </w:rPr>
        <w:t xml:space="preserve">  </w:t>
      </w:r>
      <w:r w:rsidRPr="009525D1" w:rsidR="000B1EF4">
        <w:rPr>
          <w:spacing w:val="-3"/>
        </w:rPr>
        <w:t>P</w:t>
      </w:r>
      <w:r w:rsidRPr="009525D1" w:rsidR="000B1EF4">
        <w:t>la</w:t>
      </w:r>
      <w:r w:rsidRPr="009525D1" w:rsidR="000B1EF4">
        <w:rPr>
          <w:spacing w:val="1"/>
        </w:rPr>
        <w:t>n</w:t>
      </w:r>
      <w:r w:rsidRPr="009525D1" w:rsidR="000B1EF4">
        <w:t xml:space="preserve">s </w:t>
      </w:r>
      <w:r w:rsidRPr="009525D1" w:rsidR="000B1EF4">
        <w:rPr>
          <w:spacing w:val="2"/>
        </w:rPr>
        <w:t>f</w:t>
      </w:r>
      <w:r w:rsidRPr="009525D1" w:rsidR="000B1EF4">
        <w:t>or Ta</w:t>
      </w:r>
      <w:r w:rsidRPr="009525D1" w:rsidR="000B1EF4">
        <w:rPr>
          <w:spacing w:val="1"/>
        </w:rPr>
        <w:t>bu</w:t>
      </w:r>
      <w:r w:rsidRPr="009525D1" w:rsidR="000B1EF4">
        <w:t>latio</w:t>
      </w:r>
      <w:r w:rsidRPr="009525D1" w:rsidR="000B1EF4">
        <w:rPr>
          <w:spacing w:val="1"/>
        </w:rPr>
        <w:t>n</w:t>
      </w:r>
      <w:r w:rsidRPr="009525D1" w:rsidR="000B1EF4">
        <w:t xml:space="preserve">, </w:t>
      </w:r>
      <w:r w:rsidRPr="009525D1" w:rsidR="000B1EF4">
        <w:rPr>
          <w:spacing w:val="1"/>
        </w:rPr>
        <w:t>S</w:t>
      </w:r>
      <w:r w:rsidRPr="009525D1" w:rsidR="000B1EF4">
        <w:t>tatistical Ana</w:t>
      </w:r>
      <w:r w:rsidRPr="009525D1" w:rsidR="000B1EF4">
        <w:rPr>
          <w:spacing w:val="1"/>
        </w:rPr>
        <w:t>l</w:t>
      </w:r>
      <w:r w:rsidRPr="009525D1" w:rsidR="000B1EF4">
        <w:t>ysi</w:t>
      </w:r>
      <w:r w:rsidRPr="009525D1" w:rsidR="000B1EF4">
        <w:rPr>
          <w:spacing w:val="1"/>
        </w:rPr>
        <w:t>s</w:t>
      </w:r>
      <w:r w:rsidRPr="009525D1" w:rsidR="000B1EF4">
        <w:t>, a</w:t>
      </w:r>
      <w:r w:rsidRPr="009525D1" w:rsidR="000B1EF4">
        <w:rPr>
          <w:spacing w:val="1"/>
        </w:rPr>
        <w:t>n</w:t>
      </w:r>
      <w:r w:rsidRPr="009525D1" w:rsidR="000B1EF4">
        <w:t>d</w:t>
      </w:r>
      <w:r w:rsidRPr="009525D1" w:rsidR="000B1EF4">
        <w:rPr>
          <w:spacing w:val="1"/>
        </w:rPr>
        <w:t xml:space="preserve"> </w:t>
      </w:r>
      <w:r w:rsidRPr="009525D1" w:rsidR="000B1EF4">
        <w:rPr>
          <w:spacing w:val="-3"/>
        </w:rPr>
        <w:t>P</w:t>
      </w:r>
      <w:r w:rsidRPr="009525D1" w:rsidR="000B1EF4">
        <w:rPr>
          <w:spacing w:val="1"/>
        </w:rPr>
        <w:t>ub</w:t>
      </w:r>
      <w:r w:rsidRPr="009525D1" w:rsidR="000B1EF4">
        <w:t>l</w:t>
      </w:r>
      <w:r w:rsidRPr="009525D1" w:rsidR="000B1EF4">
        <w:rPr>
          <w:spacing w:val="1"/>
        </w:rPr>
        <w:t>i</w:t>
      </w:r>
      <w:r w:rsidRPr="009525D1" w:rsidR="000B1EF4">
        <w:t>cation</w:t>
      </w:r>
    </w:p>
    <w:p w:rsidR="00EA5BC1" w:rsidRPr="00542460" w14:paraId="0EAEC6B1" w14:textId="77777777">
      <w:pPr>
        <w:spacing w:after="0" w:line="259" w:lineRule="auto"/>
        <w:ind w:left="720" w:firstLine="0"/>
        <w:rPr>
          <w:b/>
          <w:bCs/>
        </w:rPr>
      </w:pPr>
      <w:r w:rsidRPr="00542460">
        <w:rPr>
          <w:b/>
          <w:bCs/>
        </w:rPr>
        <w:t xml:space="preserve"> </w:t>
      </w:r>
    </w:p>
    <w:p w:rsidR="004D67E2" w:rsidRPr="00DA4517" w:rsidP="001761B2" w14:paraId="0BA45000" w14:textId="30474B77">
      <w:pPr>
        <w:ind w:left="-15" w:firstLine="0"/>
        <w:rPr>
          <w:u w:val="single"/>
        </w:rPr>
      </w:pPr>
      <w:r w:rsidRPr="00DA4517">
        <w:rPr>
          <w:u w:val="single"/>
        </w:rPr>
        <w:t>Subpart A</w:t>
      </w:r>
    </w:p>
    <w:p w:rsidR="004D67E2" w:rsidP="001761B2" w14:paraId="37E01178" w14:textId="77777777">
      <w:pPr>
        <w:ind w:left="-15" w:firstLine="0"/>
      </w:pPr>
    </w:p>
    <w:p w:rsidR="00EA5BC1" w:rsidP="001761B2" w14:paraId="62092A19" w14:textId="50EE297A">
      <w:pPr>
        <w:ind w:left="-15" w:firstLine="0"/>
      </w:pPr>
      <w:r>
        <w:t xml:space="preserve">There are no plans to provide any publications based on the information collection of this regulation. </w:t>
      </w:r>
    </w:p>
    <w:p w:rsidR="004D67E2" w:rsidP="001761B2" w14:paraId="5BB9FDCB" w14:textId="094A31BC">
      <w:pPr>
        <w:ind w:left="-15" w:firstLine="0"/>
      </w:pPr>
    </w:p>
    <w:p w:rsidR="00BA4C50" w:rsidP="00BA4C50" w14:paraId="7C9B3C66" w14:textId="3643BC85">
      <w:pPr>
        <w:spacing w:after="240" w:line="240" w:lineRule="auto"/>
        <w:rPr>
          <w:szCs w:val="24"/>
        </w:rPr>
      </w:pPr>
      <w:r>
        <w:rPr>
          <w:szCs w:val="24"/>
          <w:u w:val="single"/>
        </w:rPr>
        <w:t>S</w:t>
      </w:r>
      <w:r w:rsidRPr="008460A3">
        <w:rPr>
          <w:szCs w:val="24"/>
          <w:u w:val="single"/>
        </w:rPr>
        <w:t>ubpart B</w:t>
      </w:r>
      <w:r>
        <w:rPr>
          <w:szCs w:val="24"/>
        </w:rPr>
        <w:t xml:space="preserve"> </w:t>
      </w:r>
    </w:p>
    <w:p w:rsidR="00BA4C50" w:rsidRPr="009525D1" w:rsidP="00BA4C50" w14:paraId="6E250489" w14:textId="1F0127E9">
      <w:pPr>
        <w:spacing w:after="240" w:line="240" w:lineRule="auto"/>
        <w:rPr>
          <w:szCs w:val="24"/>
        </w:rPr>
      </w:pPr>
      <w:r w:rsidRPr="000242C1">
        <w:rPr>
          <w:szCs w:val="24"/>
        </w:rPr>
        <w:t xml:space="preserve">The information </w:t>
      </w:r>
      <w:r>
        <w:rPr>
          <w:szCs w:val="24"/>
        </w:rPr>
        <w:t xml:space="preserve">will be </w:t>
      </w:r>
      <w:r w:rsidRPr="000242C1">
        <w:rPr>
          <w:szCs w:val="24"/>
        </w:rPr>
        <w:t xml:space="preserve">collected for use by the </w:t>
      </w:r>
      <w:r w:rsidR="00546FC1">
        <w:rPr>
          <w:szCs w:val="24"/>
        </w:rPr>
        <w:t xml:space="preserve">CFPB’s </w:t>
      </w:r>
      <w:r w:rsidRPr="000242C1">
        <w:rPr>
          <w:szCs w:val="24"/>
        </w:rPr>
        <w:t xml:space="preserve">examination </w:t>
      </w:r>
      <w:r w:rsidR="00E554F4">
        <w:rPr>
          <w:szCs w:val="24"/>
        </w:rPr>
        <w:t xml:space="preserve">and enforcement </w:t>
      </w:r>
      <w:r w:rsidRPr="000242C1">
        <w:rPr>
          <w:szCs w:val="24"/>
        </w:rPr>
        <w:t>program</w:t>
      </w:r>
      <w:r w:rsidR="00E554F4">
        <w:rPr>
          <w:szCs w:val="24"/>
        </w:rPr>
        <w:t>s</w:t>
      </w:r>
      <w:r>
        <w:rPr>
          <w:szCs w:val="24"/>
        </w:rPr>
        <w:t>, for disclosure to other federal and state government</w:t>
      </w:r>
      <w:r w:rsidR="004D3A20">
        <w:rPr>
          <w:szCs w:val="24"/>
        </w:rPr>
        <w:t xml:space="preserve"> agencies</w:t>
      </w:r>
      <w:r w:rsidR="00EF7D69">
        <w:rPr>
          <w:szCs w:val="24"/>
        </w:rPr>
        <w:t xml:space="preserve"> subject to appropriate confidentiality protections</w:t>
      </w:r>
      <w:r>
        <w:rPr>
          <w:szCs w:val="24"/>
        </w:rPr>
        <w:t>,</w:t>
      </w:r>
      <w:r w:rsidRPr="000242C1">
        <w:rPr>
          <w:szCs w:val="24"/>
        </w:rPr>
        <w:t xml:space="preserve"> and for</w:t>
      </w:r>
      <w:r>
        <w:rPr>
          <w:szCs w:val="24"/>
        </w:rPr>
        <w:t xml:space="preserve"> </w:t>
      </w:r>
      <w:r w:rsidRPr="000242C1">
        <w:rPr>
          <w:szCs w:val="24"/>
        </w:rPr>
        <w:t xml:space="preserve">disclosure to the public after deletion </w:t>
      </w:r>
      <w:r w:rsidR="00CE31FC">
        <w:rPr>
          <w:szCs w:val="24"/>
        </w:rPr>
        <w:t xml:space="preserve">or modification </w:t>
      </w:r>
      <w:r w:rsidRPr="000242C1">
        <w:rPr>
          <w:szCs w:val="24"/>
        </w:rPr>
        <w:t>of certain sensitive data elements.</w:t>
      </w:r>
    </w:p>
    <w:p w:rsidR="00542460" w:rsidRPr="0061478C" w:rsidP="0061478C" w14:paraId="320A5049" w14:textId="0BE81E59">
      <w:pPr>
        <w:pStyle w:val="Heading1"/>
        <w:ind w:left="-5"/>
        <w:rPr>
          <w:b w:val="0"/>
          <w:szCs w:val="24"/>
          <w:u w:val="none"/>
        </w:rPr>
      </w:pPr>
      <w:r w:rsidRPr="006142C9">
        <w:rPr>
          <w:bCs/>
        </w:rPr>
        <w:t>17.</w:t>
      </w:r>
      <w:r w:rsidRPr="0061478C">
        <w:rPr>
          <w:bCs/>
          <w:u w:val="none"/>
        </w:rPr>
        <w:t xml:space="preserve">  </w:t>
      </w:r>
      <w:r w:rsidRPr="009525D1" w:rsidR="001E6662">
        <w:t>Dis</w:t>
      </w:r>
      <w:r w:rsidRPr="009525D1" w:rsidR="001E6662">
        <w:rPr>
          <w:spacing w:val="1"/>
        </w:rPr>
        <w:t>p</w:t>
      </w:r>
      <w:r w:rsidRPr="009525D1" w:rsidR="001E6662">
        <w:t>lay</w:t>
      </w:r>
      <w:r w:rsidRPr="006142C9" w:rsidR="001E6662">
        <w:t xml:space="preserve"> of</w:t>
      </w:r>
      <w:r w:rsidRPr="006142C9" w:rsidR="001E6662">
        <w:rPr>
          <w:spacing w:val="2"/>
        </w:rPr>
        <w:t xml:space="preserve"> </w:t>
      </w:r>
      <w:r w:rsidRPr="009525D1" w:rsidR="001E6662">
        <w:t>Ex</w:t>
      </w:r>
      <w:r w:rsidRPr="009525D1" w:rsidR="001E6662">
        <w:rPr>
          <w:spacing w:val="1"/>
        </w:rPr>
        <w:t>p</w:t>
      </w:r>
      <w:r w:rsidRPr="009525D1" w:rsidR="001E6662">
        <w:t>iration</w:t>
      </w:r>
      <w:r w:rsidRPr="009525D1" w:rsidR="001E6662">
        <w:rPr>
          <w:spacing w:val="1"/>
        </w:rPr>
        <w:t xml:space="preserve"> </w:t>
      </w:r>
      <w:r w:rsidRPr="009525D1" w:rsidR="001E6662">
        <w:t>Date</w:t>
      </w:r>
    </w:p>
    <w:p w:rsidR="00AB7D63" w:rsidRPr="00BF6D43" w:rsidP="00542460" w14:paraId="79B84D8D" w14:textId="77777777">
      <w:pPr>
        <w:rPr>
          <w:b/>
          <w:szCs w:val="24"/>
        </w:rPr>
      </w:pPr>
    </w:p>
    <w:p w:rsidR="00EA5BC1" w:rsidRPr="00542460" w:rsidP="0061478C" w14:paraId="2AA8EDAE" w14:textId="50B6C035">
      <w:pPr>
        <w:rPr>
          <w:b/>
        </w:rPr>
      </w:pPr>
      <w:r w:rsidRPr="00542460">
        <w:t xml:space="preserve">The OMB control number and expiration date associated with this Paperwork Reduction Act (PRA) submission will be displayed on the Federal government’s electronic PRA docket at www.reginfo.gov, as well as on the relevant information collection instruments. </w:t>
      </w:r>
    </w:p>
    <w:p w:rsidR="00EA5BC1" w:rsidRPr="00542460" w14:paraId="2DB2E635" w14:textId="77777777">
      <w:pPr>
        <w:spacing w:after="0" w:line="259" w:lineRule="auto"/>
        <w:ind w:left="0" w:firstLine="0"/>
        <w:rPr>
          <w:bCs/>
        </w:rPr>
      </w:pPr>
      <w:r w:rsidRPr="00542460">
        <w:rPr>
          <w:bCs/>
        </w:rPr>
        <w:t xml:space="preserve"> </w:t>
      </w:r>
    </w:p>
    <w:p w:rsidR="006164EF" w:rsidRPr="006142C9" w:rsidP="006164EF" w14:paraId="09877F56" w14:textId="61AFEB06">
      <w:pPr>
        <w:pStyle w:val="Heading1"/>
      </w:pPr>
      <w:r w:rsidRPr="006142C9">
        <w:rPr>
          <w:bCs/>
        </w:rPr>
        <w:t>18.</w:t>
      </w:r>
      <w:r w:rsidRPr="0061478C">
        <w:rPr>
          <w:bCs/>
          <w:u w:val="none"/>
        </w:rPr>
        <w:t xml:space="preserve">  </w:t>
      </w:r>
      <w:r w:rsidRPr="009525D1">
        <w:t>Exce</w:t>
      </w:r>
      <w:r w:rsidRPr="009525D1">
        <w:rPr>
          <w:spacing w:val="1"/>
        </w:rPr>
        <w:t>p</w:t>
      </w:r>
      <w:r w:rsidRPr="009525D1">
        <w:t>tions</w:t>
      </w:r>
      <w:r w:rsidRPr="006142C9">
        <w:rPr>
          <w:spacing w:val="1"/>
        </w:rPr>
        <w:t xml:space="preserve"> </w:t>
      </w:r>
      <w:r w:rsidRPr="006142C9">
        <w:t xml:space="preserve">to the </w:t>
      </w:r>
      <w:r w:rsidRPr="009525D1">
        <w:t>Certi</w:t>
      </w:r>
      <w:r w:rsidRPr="009525D1">
        <w:rPr>
          <w:spacing w:val="1"/>
        </w:rPr>
        <w:t>f</w:t>
      </w:r>
      <w:r w:rsidRPr="009525D1">
        <w:t>ication</w:t>
      </w:r>
      <w:r w:rsidRPr="009525D1">
        <w:rPr>
          <w:spacing w:val="1"/>
        </w:rPr>
        <w:t xml:space="preserve"> </w:t>
      </w:r>
      <w:r w:rsidRPr="009525D1">
        <w:t>Re</w:t>
      </w:r>
      <w:r w:rsidRPr="009525D1">
        <w:rPr>
          <w:spacing w:val="1"/>
        </w:rPr>
        <w:t>qu</w:t>
      </w:r>
      <w:r w:rsidRPr="009525D1">
        <w:t>ire</w:t>
      </w:r>
      <w:r w:rsidRPr="009525D1">
        <w:rPr>
          <w:spacing w:val="-3"/>
        </w:rPr>
        <w:t>m</w:t>
      </w:r>
      <w:r w:rsidRPr="009525D1">
        <w:t>e</w:t>
      </w:r>
      <w:r w:rsidRPr="009525D1">
        <w:rPr>
          <w:spacing w:val="1"/>
        </w:rPr>
        <w:t>n</w:t>
      </w:r>
      <w:r w:rsidRPr="009525D1">
        <w:t>t</w:t>
      </w:r>
    </w:p>
    <w:p w:rsidR="00542460" w:rsidRPr="00BF6D43" w:rsidP="00542460" w14:paraId="29E04174" w14:textId="77777777">
      <w:pPr>
        <w:pStyle w:val="BodyText"/>
      </w:pPr>
    </w:p>
    <w:p w:rsidR="00EA5BC1" w:rsidRPr="009948C7" w:rsidP="00251D14" w14:paraId="56FA7B06" w14:textId="114078A0">
      <w:pPr>
        <w:rPr>
          <w:bCs/>
        </w:rPr>
      </w:pPr>
      <w:r w:rsidRPr="00542460">
        <w:t xml:space="preserve">The </w:t>
      </w:r>
      <w:r w:rsidR="00546FC1">
        <w:rPr>
          <w:szCs w:val="24"/>
        </w:rPr>
        <w:t>CFPB</w:t>
      </w:r>
      <w:r w:rsidRPr="00542460">
        <w:t xml:space="preserve"> certifies that this collection of information is consistent with the requirements of 5 CFR 1320.9, and the related provisions of 5 CFR 1320.8(b)(3) and is not seeking an exemption to these certification requirements. </w:t>
      </w:r>
    </w:p>
    <w:sectPr>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pgMar w:top="1446" w:right="1445" w:bottom="1505" w:left="1440" w:header="770"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54D16" w14:paraId="7AA2A9F3" w14:textId="77777777">
      <w:pPr>
        <w:spacing w:after="0" w:line="240" w:lineRule="auto"/>
      </w:pPr>
      <w:r>
        <w:separator/>
      </w:r>
    </w:p>
  </w:endnote>
  <w:endnote w:type="continuationSeparator" w:id="1">
    <w:p w:rsidR="00854D16" w14:paraId="47B525BD" w14:textId="77777777">
      <w:pPr>
        <w:spacing w:after="0" w:line="240" w:lineRule="auto"/>
      </w:pPr>
      <w:r>
        <w:continuationSeparator/>
      </w:r>
    </w:p>
  </w:endnote>
  <w:endnote w:type="continuationNotice" w:id="2">
    <w:p w:rsidR="00854D16" w14:paraId="3D0508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F0" w14:paraId="33CF659F" w14:textId="77777777">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rsidR="009346F0" w14:paraId="367A553C"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F0" w:rsidP="002A1F52" w14:paraId="15243B44" w14:textId="4429F2BB">
    <w:pPr>
      <w:spacing w:after="0" w:line="259" w:lineRule="auto"/>
      <w:ind w:left="5"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F0" w14:paraId="14FFFE8D" w14:textId="77777777">
    <w:pPr>
      <w:spacing w:after="0" w:line="259" w:lineRule="auto"/>
      <w:ind w:left="5" w:firstLine="0"/>
      <w:jc w:val="center"/>
    </w:pPr>
    <w:r>
      <w:fldChar w:fldCharType="begin"/>
    </w:r>
    <w:r>
      <w:instrText xml:space="preserve"> PAGE   \* MERGEFORMAT </w:instrText>
    </w:r>
    <w:r>
      <w:fldChar w:fldCharType="separate"/>
    </w:r>
    <w:r>
      <w:t>1</w:t>
    </w:r>
    <w:r>
      <w:fldChar w:fldCharType="end"/>
    </w:r>
    <w:r>
      <w:t xml:space="preserve"> </w:t>
    </w:r>
  </w:p>
  <w:p w:rsidR="009346F0" w14:paraId="3BD51E72" w14:textId="7777777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4D16" w14:paraId="19D922D4" w14:textId="77777777">
      <w:pPr>
        <w:spacing w:after="0" w:line="288" w:lineRule="auto"/>
        <w:ind w:left="0" w:firstLine="0"/>
      </w:pPr>
      <w:r>
        <w:separator/>
      </w:r>
    </w:p>
  </w:footnote>
  <w:footnote w:type="continuationSeparator" w:id="1">
    <w:p w:rsidR="00854D16" w14:paraId="0CB8516C" w14:textId="77777777">
      <w:pPr>
        <w:spacing w:after="0" w:line="288" w:lineRule="auto"/>
        <w:ind w:left="0" w:firstLine="0"/>
      </w:pPr>
      <w:r>
        <w:continuationSeparator/>
      </w:r>
    </w:p>
  </w:footnote>
  <w:footnote w:type="continuationNotice" w:id="2">
    <w:p w:rsidR="00854D16" w14:paraId="3DB3EAEB" w14:textId="77777777">
      <w:pPr>
        <w:spacing w:after="0" w:line="240" w:lineRule="auto"/>
      </w:pPr>
    </w:p>
  </w:footnote>
  <w:footnote w:id="3">
    <w:p w:rsidR="00601813" w:rsidP="00601813" w14:paraId="4E45047F" w14:textId="43408111">
      <w:pPr>
        <w:pStyle w:val="FootnoteText"/>
      </w:pPr>
      <w:r>
        <w:rPr>
          <w:rStyle w:val="FootnoteReference"/>
        </w:rPr>
        <w:footnoteRef/>
      </w:r>
      <w:r>
        <w:t xml:space="preserve"> </w:t>
      </w:r>
      <w:r w:rsidRPr="007735F9" w:rsidR="00774D9A">
        <w:t>Bd. of Governors of the Fed. Rsrv. Sys.; Fed. Deposit Ins. Corp.; and Off. of the Comptroller of the Currency, Treasury, Community Reinvestment Act, Joint Proposed Rule, 87 FR 33884 (June 3, 2022).</w:t>
      </w:r>
    </w:p>
  </w:footnote>
  <w:footnote w:id="4">
    <w:p w:rsidR="000E16D9" w14:paraId="01FC857F" w14:textId="232DB727">
      <w:pPr>
        <w:pStyle w:val="FootnoteText"/>
      </w:pPr>
      <w:r>
        <w:rPr>
          <w:rStyle w:val="FootnoteReference"/>
        </w:rPr>
        <w:footnoteRef/>
      </w:r>
      <w:r>
        <w:t xml:space="preserve"> </w:t>
      </w:r>
      <w:r w:rsidR="00DC2E6A">
        <w:t xml:space="preserve">86 FR </w:t>
      </w:r>
      <w:r w:rsidR="00F618A2">
        <w:t>56356 (published on 10/8/2021).</w:t>
      </w:r>
    </w:p>
  </w:footnote>
  <w:footnote w:id="5">
    <w:p w:rsidR="009C4879" w14:paraId="35E86C22" w14:textId="654C84DB">
      <w:pPr>
        <w:pStyle w:val="FootnoteText"/>
      </w:pPr>
      <w:r w:rsidRPr="008343EB">
        <w:rPr>
          <w:rStyle w:val="FootnoteReference"/>
        </w:rPr>
        <w:footnoteRef/>
      </w:r>
      <w:r w:rsidRPr="008343EB">
        <w:t xml:space="preserve"> </w:t>
      </w:r>
      <w:r w:rsidRPr="008343EB" w:rsidR="008343EB">
        <w:t>8</w:t>
      </w:r>
      <w:r w:rsidR="008343EB">
        <w:t>8 FR 35150 (published on 5/31/2023).</w:t>
      </w:r>
    </w:p>
  </w:footnote>
  <w:footnote w:id="6">
    <w:p w:rsidR="00A57EC2" w14:paraId="66300AEC" w14:textId="0D7AD69F">
      <w:pPr>
        <w:pStyle w:val="FootnoteText"/>
      </w:pPr>
      <w:r>
        <w:rPr>
          <w:rStyle w:val="FootnoteReference"/>
        </w:rPr>
        <w:footnoteRef/>
      </w:r>
      <w:r>
        <w:t xml:space="preserve"> </w:t>
      </w:r>
      <w:r w:rsidR="009675D8">
        <w:t>Rounded to the nearest whole number</w:t>
      </w:r>
    </w:p>
  </w:footnote>
  <w:footnote w:id="7">
    <w:p w:rsidR="0088428E" w14:paraId="135B54FA" w14:textId="42A78ED3">
      <w:pPr>
        <w:pStyle w:val="FootnoteText"/>
      </w:pPr>
      <w:r>
        <w:rPr>
          <w:rStyle w:val="FootnoteReference"/>
        </w:rPr>
        <w:footnoteRef/>
      </w:r>
      <w:r>
        <w:t xml:space="preserve"> </w:t>
      </w:r>
      <w:r w:rsidR="009675D8">
        <w:t xml:space="preserve"> </w:t>
      </w:r>
      <w:r w:rsidR="000B2C4C">
        <w:t>E</w:t>
      </w:r>
      <w:r w:rsidR="009675D8">
        <w:t>g</w:t>
      </w:r>
      <w:r w:rsidR="000B2C4C">
        <w:t xml:space="preserve">: </w:t>
      </w:r>
      <w:r>
        <w:t>179.52</w:t>
      </w:r>
    </w:p>
  </w:footnote>
  <w:footnote w:id="8">
    <w:p w:rsidR="0088428E" w:rsidP="00F16BA9" w14:paraId="58585432" w14:textId="70604F2B">
      <w:pPr>
        <w:pStyle w:val="FootnoteText"/>
      </w:pPr>
      <w:r>
        <w:rPr>
          <w:rStyle w:val="FootnoteReference"/>
        </w:rPr>
        <w:footnoteRef/>
      </w:r>
      <w:r>
        <w:t xml:space="preserve"> Und</w:t>
      </w:r>
      <w:r w:rsidR="000161BA">
        <w:t>upli</w:t>
      </w:r>
      <w:r>
        <w:t>cated respondent count.</w:t>
      </w:r>
    </w:p>
  </w:footnote>
  <w:footnote w:id="9">
    <w:p w:rsidR="00B25C66" w:rsidRPr="008D7509" w:rsidP="00B25C66" w14:paraId="2B0AB2D7" w14:textId="77777777">
      <w:pPr>
        <w:pStyle w:val="FootnoteText"/>
        <w:spacing w:after="120"/>
      </w:pPr>
      <w:r w:rsidRPr="008D7509">
        <w:rPr>
          <w:rStyle w:val="FootnoteReference"/>
        </w:rPr>
        <w:footnoteRef/>
      </w:r>
      <w:r w:rsidRPr="008D7509">
        <w:t xml:space="preserve"> Hourly rate labor costs are the median hourly wages from the Bureau of Labor and Statistics (BLS) for affected occupational groups. Occupational groups for the PRA burden of regulation G are defined as loan officers (</w:t>
      </w:r>
      <w:hyperlink r:id="rId1" w:anchor="tab-5" w:history="1">
        <w:r w:rsidRPr="008D7509">
          <w:rPr>
            <w:rStyle w:val="Hyperlink"/>
          </w:rPr>
          <w:t>http://www.bls.gov/ooh/business-and-financial/loan-officers.htm#tab-5</w:t>
        </w:r>
      </w:hyperlink>
      <w:r w:rsidRPr="008D7509">
        <w:t>) as of February 2019.</w:t>
      </w:r>
    </w:p>
  </w:footnote>
  <w:footnote w:id="10">
    <w:p w:rsidR="004A7AE1" w:rsidRPr="008D7509" w:rsidP="004A7AE1" w14:paraId="64C25C0B" w14:textId="242E45CA">
      <w:pPr>
        <w:pStyle w:val="FootnoteText"/>
        <w:spacing w:after="120"/>
      </w:pPr>
      <w:r w:rsidRPr="008D7509">
        <w:rPr>
          <w:rStyle w:val="FootnoteReference"/>
        </w:rPr>
        <w:footnoteRef/>
      </w:r>
      <w:r w:rsidRPr="008D7509">
        <w:t xml:space="preserve"> This estimation uses the same methodology described in </w:t>
      </w:r>
      <w:r>
        <w:t>part</w:t>
      </w:r>
      <w:r w:rsidRPr="008D7509">
        <w:t xml:space="preserve"> </w:t>
      </w:r>
      <w:r>
        <w:t>I</w:t>
      </w:r>
      <w:r w:rsidR="00626D9A">
        <w:t>X</w:t>
      </w:r>
      <w:r w:rsidRPr="008D7509">
        <w:t xml:space="preserve">.E.1 of the </w:t>
      </w:r>
      <w:r>
        <w:t>final</w:t>
      </w:r>
      <w:r w:rsidRPr="008D7509">
        <w:t xml:space="preserve"> rule. These categories are preparation/planning, updating computing systems, testing/validating systems, developing forms/applications, training staff and third parties, developing policies/procedures, legal/compliance review, and post-implementation review of compliance policies and procedures. </w:t>
      </w:r>
    </w:p>
  </w:footnote>
  <w:footnote w:id="11">
    <w:p w:rsidR="00532B85" w14:paraId="49F0C3FE" w14:textId="4EF8B71D">
      <w:pPr>
        <w:pStyle w:val="FootnoteText"/>
      </w:pPr>
      <w:r>
        <w:rPr>
          <w:rStyle w:val="FootnoteReference"/>
        </w:rPr>
        <w:footnoteRef/>
      </w:r>
      <w:r>
        <w:t xml:space="preserve"> </w:t>
      </w:r>
      <w:r w:rsidRPr="007735F9" w:rsidR="007E5AAA">
        <w:t xml:space="preserve">For purposes of this document, the </w:t>
      </w:r>
      <w:r w:rsidR="007E5AAA">
        <w:t xml:space="preserve">CFPB </w:t>
      </w:r>
      <w:r w:rsidRPr="007735F9" w:rsidR="007E5AAA">
        <w:t xml:space="preserve">is using the term depository institution to mean any bank or savings association defined by the Federal Deposit Insurance Act, 12 U.S.C. 1813(c)(1), or credit union defined pursuant to the Federal Credit Union Act, 12 U.S.C. 1751 </w:t>
      </w:r>
      <w:r w:rsidRPr="007735F9" w:rsidR="007E5AAA">
        <w:rPr>
          <w:i/>
          <w:iCs/>
        </w:rPr>
        <w:t>et seq.</w:t>
      </w:r>
      <w:r w:rsidRPr="007735F9" w:rsidR="007E5AAA">
        <w:t xml:space="preserve">, as implemented by 12 CFR 700.2. To facilitate analysis and discussion, the </w:t>
      </w:r>
      <w:r w:rsidR="007E5AAA">
        <w:t xml:space="preserve">CFPB </w:t>
      </w:r>
      <w:r w:rsidRPr="007735F9" w:rsidR="007E5AAA">
        <w:t xml:space="preserve">is referring to banks and savings associations together with credit unions as depository institutions throughout this </w:t>
      </w:r>
      <w:r w:rsidR="007E5AAA">
        <w:t>document</w:t>
      </w:r>
      <w:r w:rsidRPr="007735F9" w:rsidR="007E5AAA">
        <w:t>, unless otherwise specified.</w:t>
      </w:r>
    </w:p>
  </w:footnote>
  <w:footnote w:id="12">
    <w:p w:rsidR="004A7AE1" w:rsidRPr="008D7509" w:rsidP="004A7AE1" w14:paraId="0F520D7B" w14:textId="2E275C0A">
      <w:pPr>
        <w:pStyle w:val="FootnoteText"/>
        <w:spacing w:after="120"/>
      </w:pPr>
      <w:r w:rsidRPr="008D7509">
        <w:rPr>
          <w:rStyle w:val="FootnoteReference"/>
        </w:rPr>
        <w:footnoteRef/>
      </w:r>
      <w:r w:rsidRPr="008D7509">
        <w:t xml:space="preserve"> For junior staff, the </w:t>
      </w:r>
      <w:r w:rsidR="000B3BB6">
        <w:rPr>
          <w:szCs w:val="24"/>
        </w:rPr>
        <w:t>CFPB</w:t>
      </w:r>
      <w:r w:rsidRPr="008D7509">
        <w:t xml:space="preserve"> used $</w:t>
      </w:r>
      <w:r>
        <w:t>15.64</w:t>
      </w:r>
      <w:r w:rsidRPr="008D7509">
        <w:t>, the 10th percentile hourly wage estimate for “loan officers” according to the 202</w:t>
      </w:r>
      <w:r>
        <w:t>1</w:t>
      </w:r>
      <w:r w:rsidRPr="008D7509">
        <w:t xml:space="preserve"> Occupational Employment Statistics compiled by the Bureau of Labor Statistics. For mid-level staff, the </w:t>
      </w:r>
      <w:r w:rsidR="000B3BB6">
        <w:rPr>
          <w:szCs w:val="24"/>
        </w:rPr>
        <w:t>CFPB</w:t>
      </w:r>
      <w:r w:rsidRPr="008D7509">
        <w:t xml:space="preserve"> used $</w:t>
      </w:r>
      <w:r>
        <w:t>38.74</w:t>
      </w:r>
      <w:r w:rsidRPr="008D7509">
        <w:t xml:space="preserve">, the mean hourly wage estimate for “loan officers.” For senior staff, the </w:t>
      </w:r>
      <w:r w:rsidR="000B3BB6">
        <w:rPr>
          <w:szCs w:val="24"/>
        </w:rPr>
        <w:t>CFPB</w:t>
      </w:r>
      <w:r w:rsidRPr="008D7509">
        <w:t xml:space="preserve"> used $</w:t>
      </w:r>
      <w:r>
        <w:t>66.50</w:t>
      </w:r>
      <w:r w:rsidRPr="008D7509">
        <w:t xml:space="preserve">, the 90th percentile hourly wage estimate for “loan officers.” To account for non-monetary compensation, the </w:t>
      </w:r>
      <w:r w:rsidR="000B3BB6">
        <w:rPr>
          <w:szCs w:val="24"/>
        </w:rPr>
        <w:t>CFPB</w:t>
      </w:r>
      <w:r w:rsidRPr="008D7509">
        <w:t xml:space="preserve"> also scaled these hourly wages up by 43 percent.</w:t>
      </w:r>
    </w:p>
  </w:footnote>
  <w:footnote w:id="13">
    <w:p w:rsidR="004A7AE1" w:rsidRPr="008D7509" w:rsidP="004A7AE1" w14:paraId="59DBE858" w14:textId="2248D914">
      <w:pPr>
        <w:pStyle w:val="FootnoteText"/>
        <w:spacing w:after="120"/>
      </w:pPr>
      <w:r w:rsidRPr="008D7509">
        <w:rPr>
          <w:rStyle w:val="FootnoteReference"/>
        </w:rPr>
        <w:footnoteRef/>
      </w:r>
      <w:r w:rsidRPr="008D7509">
        <w:t xml:space="preserve"> The </w:t>
      </w:r>
      <w:r w:rsidR="000B3BB6">
        <w:rPr>
          <w:szCs w:val="24"/>
        </w:rPr>
        <w:t>CFPB</w:t>
      </w:r>
      <w:r w:rsidRPr="008D7509">
        <w:t xml:space="preserve"> uses a three-year amortization window for PRA purposes to assume that the entire cost is incurred by the PRA renewal in three years.</w:t>
      </w:r>
    </w:p>
  </w:footnote>
  <w:footnote w:id="14">
    <w:p w:rsidR="004A7AE1" w:rsidRPr="008D7509" w:rsidP="004A7AE1" w14:paraId="646D6ECE" w14:textId="4CCE2B48">
      <w:pPr>
        <w:spacing w:after="120" w:line="240" w:lineRule="auto"/>
        <w:rPr>
          <w:sz w:val="20"/>
          <w:szCs w:val="20"/>
        </w:rPr>
      </w:pPr>
      <w:r w:rsidRPr="008D7509">
        <w:rPr>
          <w:rStyle w:val="FootnoteReference"/>
          <w:sz w:val="20"/>
          <w:szCs w:val="20"/>
        </w:rPr>
        <w:footnoteRef/>
      </w:r>
      <w:r w:rsidRPr="008D7509">
        <w:rPr>
          <w:sz w:val="20"/>
          <w:szCs w:val="20"/>
        </w:rPr>
        <w:t xml:space="preserve"> This estimation uses the same methodology described in </w:t>
      </w:r>
      <w:r>
        <w:rPr>
          <w:sz w:val="20"/>
          <w:szCs w:val="20"/>
        </w:rPr>
        <w:t>part</w:t>
      </w:r>
      <w:r w:rsidRPr="008D7509">
        <w:rPr>
          <w:sz w:val="20"/>
          <w:szCs w:val="20"/>
        </w:rPr>
        <w:t xml:space="preserve"> </w:t>
      </w:r>
      <w:r>
        <w:rPr>
          <w:sz w:val="20"/>
          <w:szCs w:val="20"/>
        </w:rPr>
        <w:t>I</w:t>
      </w:r>
      <w:r w:rsidR="00E173E0">
        <w:rPr>
          <w:sz w:val="20"/>
          <w:szCs w:val="20"/>
        </w:rPr>
        <w:t>X</w:t>
      </w:r>
      <w:r w:rsidRPr="008D7509">
        <w:rPr>
          <w:sz w:val="20"/>
          <w:szCs w:val="20"/>
        </w:rPr>
        <w:t xml:space="preserve">.E.2 of the </w:t>
      </w:r>
      <w:r>
        <w:rPr>
          <w:sz w:val="20"/>
          <w:szCs w:val="20"/>
        </w:rPr>
        <w:t>final</w:t>
      </w:r>
      <w:r w:rsidRPr="008D7509">
        <w:rPr>
          <w:sz w:val="20"/>
          <w:szCs w:val="20"/>
        </w:rPr>
        <w:t xml:space="preserve"> rule. These tasks are transcribing data, resolving reportability questions, transferring data to </w:t>
      </w:r>
      <w:r w:rsidR="009433A0">
        <w:rPr>
          <w:sz w:val="20"/>
          <w:szCs w:val="20"/>
        </w:rPr>
        <w:t>small business lending</w:t>
      </w:r>
      <w:r w:rsidRPr="008D7509" w:rsidR="009433A0">
        <w:rPr>
          <w:sz w:val="20"/>
          <w:szCs w:val="20"/>
        </w:rPr>
        <w:t xml:space="preserve"> </w:t>
      </w:r>
      <w:r w:rsidR="00C5183A">
        <w:rPr>
          <w:sz w:val="20"/>
          <w:szCs w:val="20"/>
        </w:rPr>
        <w:t>d</w:t>
      </w:r>
      <w:r w:rsidRPr="008D7509">
        <w:rPr>
          <w:sz w:val="20"/>
          <w:szCs w:val="20"/>
        </w:rPr>
        <w:t xml:space="preserve">ata </w:t>
      </w:r>
      <w:r w:rsidR="00C5183A">
        <w:rPr>
          <w:sz w:val="20"/>
          <w:szCs w:val="20"/>
        </w:rPr>
        <w:t>m</w:t>
      </w:r>
      <w:r w:rsidRPr="008D7509">
        <w:rPr>
          <w:sz w:val="20"/>
          <w:szCs w:val="20"/>
        </w:rPr>
        <w:t xml:space="preserve">anagement software, geocoding, standard annual edit and internal checks, researching questions, resolving question responses, checking post-submission edits, filing post-submission documents, using vendor </w:t>
      </w:r>
      <w:r w:rsidR="009433A0">
        <w:rPr>
          <w:sz w:val="20"/>
          <w:szCs w:val="20"/>
        </w:rPr>
        <w:t xml:space="preserve">small business lending </w:t>
      </w:r>
      <w:r w:rsidRPr="008D7509">
        <w:rPr>
          <w:sz w:val="20"/>
          <w:szCs w:val="20"/>
        </w:rPr>
        <w:t>data management software, training, internal audits, external audits, exam preparation, and exam assistance.</w:t>
      </w:r>
    </w:p>
  </w:footnote>
  <w:footnote w:id="15">
    <w:p w:rsidR="004A7AE1" w:rsidRPr="008D7509" w:rsidP="004A7AE1" w14:paraId="5540B1D2" w14:textId="2299532D">
      <w:pPr>
        <w:pStyle w:val="FootnoteText"/>
        <w:spacing w:after="120"/>
      </w:pPr>
      <w:r w:rsidRPr="008D7509">
        <w:rPr>
          <w:rStyle w:val="FootnoteReference"/>
        </w:rPr>
        <w:footnoteRef/>
      </w:r>
      <w:r w:rsidRPr="008D7509">
        <w:t xml:space="preserve"> The </w:t>
      </w:r>
      <w:r w:rsidR="000B3BB6">
        <w:rPr>
          <w:szCs w:val="24"/>
        </w:rPr>
        <w:t>CFPB</w:t>
      </w:r>
      <w:r w:rsidRPr="008D7509">
        <w:t xml:space="preserve"> aggregated to the market-level using the same methodology as </w:t>
      </w:r>
      <w:r>
        <w:t>p</w:t>
      </w:r>
      <w:r w:rsidRPr="008D7509">
        <w:t xml:space="preserve">art </w:t>
      </w:r>
      <w:r w:rsidR="000B3BB6">
        <w:t>IX</w:t>
      </w:r>
      <w:r w:rsidRPr="008D7509">
        <w:t xml:space="preserve">.E.3 of the </w:t>
      </w:r>
      <w:r>
        <w:t>final</w:t>
      </w:r>
      <w:r w:rsidRPr="008D7509">
        <w:t xml:space="preserve"> rule.</w:t>
      </w:r>
    </w:p>
  </w:footnote>
  <w:footnote w:id="16">
    <w:p w:rsidR="004A7AE1" w:rsidRPr="008D7509" w:rsidP="004A7AE1" w14:paraId="2DF2AF17" w14:textId="28C3E1CD">
      <w:pPr>
        <w:spacing w:after="120" w:line="240" w:lineRule="auto"/>
        <w:rPr>
          <w:sz w:val="20"/>
          <w:szCs w:val="20"/>
        </w:rPr>
      </w:pPr>
      <w:r w:rsidRPr="008D7509">
        <w:rPr>
          <w:rStyle w:val="FootnoteReference"/>
          <w:sz w:val="20"/>
          <w:szCs w:val="20"/>
        </w:rPr>
        <w:footnoteRef/>
      </w:r>
      <w:r w:rsidRPr="008D7509">
        <w:rPr>
          <w:sz w:val="20"/>
          <w:szCs w:val="20"/>
        </w:rPr>
        <w:t xml:space="preserve"> These are resolving reportability questions, transferring data to </w:t>
      </w:r>
      <w:r w:rsidR="009433A0">
        <w:rPr>
          <w:sz w:val="20"/>
          <w:szCs w:val="20"/>
        </w:rPr>
        <w:t>small business lending</w:t>
      </w:r>
      <w:r w:rsidRPr="008D7509" w:rsidR="009433A0">
        <w:rPr>
          <w:sz w:val="20"/>
          <w:szCs w:val="20"/>
        </w:rPr>
        <w:t xml:space="preserve"> </w:t>
      </w:r>
      <w:r w:rsidRPr="008D7509">
        <w:rPr>
          <w:sz w:val="20"/>
          <w:szCs w:val="20"/>
        </w:rPr>
        <w:t xml:space="preserve">Data Management software, geocoding, standard annual edit and internal checks, researching questions, resolving question responses, checking post-submission edits, filing post-submission documents, using vendor </w:t>
      </w:r>
      <w:r w:rsidR="009433A0">
        <w:rPr>
          <w:sz w:val="20"/>
          <w:szCs w:val="20"/>
        </w:rPr>
        <w:t>small business lending</w:t>
      </w:r>
      <w:r w:rsidRPr="008D7509" w:rsidR="009433A0">
        <w:rPr>
          <w:sz w:val="20"/>
          <w:szCs w:val="20"/>
        </w:rPr>
        <w:t xml:space="preserve"> </w:t>
      </w:r>
      <w:r w:rsidRPr="008D7509">
        <w:rPr>
          <w:sz w:val="20"/>
          <w:szCs w:val="20"/>
        </w:rPr>
        <w:t xml:space="preserve">software, training, internal audits, external audits, exam preparation, and exam assistance. As discussed below, transcribing data falls under the record keeping requirement, and there will be minimal burden created by the Third Party Disclosure Requirement as, under the </w:t>
      </w:r>
      <w:r w:rsidR="00123B1F">
        <w:rPr>
          <w:sz w:val="20"/>
          <w:szCs w:val="20"/>
        </w:rPr>
        <w:t xml:space="preserve">final </w:t>
      </w:r>
      <w:r w:rsidRPr="008D7509">
        <w:rPr>
          <w:sz w:val="20"/>
          <w:szCs w:val="20"/>
        </w:rPr>
        <w:t xml:space="preserve">rule, this function will be performed by the CFPB with no need for financial institutions to create their own public records.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F0" w14:paraId="7841E8A8" w14:textId="77777777">
    <w:pPr>
      <w:spacing w:after="0" w:line="259" w:lineRule="auto"/>
      <w:ind w:left="0" w:right="-3" w:firstLine="0"/>
      <w:jc w:val="right"/>
    </w:pPr>
    <w:r>
      <w:t xml:space="preserve">30-day Federal Register Version (2018 Renewal) </w:t>
    </w:r>
  </w:p>
  <w:p w:rsidR="009346F0" w14:paraId="13876175" w14:textId="77777777">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B34" w:rsidRPr="001761B2" w14:paraId="7B3987BB" w14:textId="16F1CD44">
    <w:pPr>
      <w:pStyle w:val="Header"/>
      <w:rPr>
        <w:sz w:val="20"/>
        <w:szCs w:val="20"/>
      </w:rPr>
    </w:pPr>
    <w:r>
      <w:rPr>
        <w:sz w:val="20"/>
        <w:szCs w:val="20"/>
      </w:rPr>
      <w:t>Equal Credit Opportunity</w:t>
    </w:r>
    <w:r w:rsidRPr="001761B2">
      <w:rPr>
        <w:sz w:val="20"/>
        <w:szCs w:val="20"/>
      </w:rPr>
      <w:t xml:space="preserve"> Act (Regulations </w:t>
    </w:r>
    <w:r>
      <w:rPr>
        <w:sz w:val="20"/>
        <w:szCs w:val="20"/>
      </w:rPr>
      <w:t>B</w:t>
    </w:r>
    <w:r w:rsidRPr="001761B2">
      <w:rPr>
        <w:sz w:val="20"/>
        <w:szCs w:val="20"/>
      </w:rPr>
      <w:t>)</w:t>
    </w:r>
    <w:r w:rsidR="00AE00BA">
      <w:rPr>
        <w:sz w:val="20"/>
        <w:szCs w:val="20"/>
      </w:rPr>
      <w:t>/Small Business Lending Under the Equal Credit Opportunity Act Final Rule</w:t>
    </w:r>
  </w:p>
  <w:p w:rsidR="00D10B34" w:rsidP="00FD0A1F" w14:paraId="0CACB69D" w14:textId="0A1DE739">
    <w:pPr>
      <w:pStyle w:val="Header"/>
      <w:rPr>
        <w:sz w:val="20"/>
        <w:szCs w:val="20"/>
      </w:rPr>
    </w:pPr>
    <w:r w:rsidRPr="001761B2">
      <w:rPr>
        <w:sz w:val="20"/>
        <w:szCs w:val="20"/>
      </w:rPr>
      <w:t>OMB Control Number: 3170-001</w:t>
    </w:r>
    <w:r w:rsidR="002615F0">
      <w:rPr>
        <w:sz w:val="20"/>
        <w:szCs w:val="20"/>
      </w:rPr>
      <w:t>3</w:t>
    </w:r>
  </w:p>
  <w:p w:rsidR="001D284F" w:rsidRPr="001761B2" w:rsidP="00FD0A1F" w14:paraId="383C3313" w14:textId="7EB762B6">
    <w:pPr>
      <w:pStyle w:val="Header"/>
      <w:rPr>
        <w:sz w:val="20"/>
        <w:szCs w:val="20"/>
      </w:rPr>
    </w:pPr>
    <w:r>
      <w:rPr>
        <w:sz w:val="20"/>
        <w:szCs w:val="20"/>
      </w:rPr>
      <w:t>RIN: 3170</w:t>
    </w:r>
    <w:r w:rsidR="00AE00BA">
      <w:rPr>
        <w:sz w:val="20"/>
        <w:szCs w:val="20"/>
      </w:rPr>
      <w:t>-AA09</w:t>
    </w:r>
  </w:p>
  <w:p w:rsidR="009346F0" w14:paraId="03711A23" w14:textId="4D4AE954">
    <w:pPr>
      <w:spacing w:after="0" w:line="259" w:lineRule="auto"/>
      <w:ind w:left="0" w:firstLine="0"/>
      <w:rPr>
        <w:sz w:val="20"/>
        <w:szCs w:val="20"/>
      </w:rPr>
    </w:pPr>
    <w:r w:rsidRPr="001761B2">
      <w:rPr>
        <w:sz w:val="20"/>
        <w:szCs w:val="20"/>
      </w:rPr>
      <w:t xml:space="preserve">Expiration Date: </w:t>
    </w:r>
    <w:r w:rsidR="004B2B8B">
      <w:rPr>
        <w:sz w:val="20"/>
        <w:szCs w:val="20"/>
      </w:rPr>
      <w:t xml:space="preserve"> </w:t>
    </w:r>
    <w:r w:rsidR="002149B8">
      <w:rPr>
        <w:sz w:val="20"/>
        <w:szCs w:val="20"/>
      </w:rPr>
      <w:t>11/31/</w:t>
    </w:r>
    <w:r w:rsidR="002069F7">
      <w:rPr>
        <w:sz w:val="20"/>
        <w:szCs w:val="20"/>
      </w:rPr>
      <w:t>2025</w:t>
    </w:r>
  </w:p>
  <w:p w:rsidR="00222A86" w14:paraId="2F44848A" w14:textId="77777777">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6F0" w14:paraId="36DBF645" w14:textId="77777777">
    <w:pPr>
      <w:spacing w:after="0" w:line="259" w:lineRule="auto"/>
      <w:ind w:left="0" w:right="-3" w:firstLine="0"/>
      <w:jc w:val="right"/>
    </w:pPr>
    <w:r>
      <w:t xml:space="preserve">30-day Federal Register Version (2018 Renewal) </w:t>
    </w:r>
  </w:p>
  <w:p w:rsidR="009346F0" w14:paraId="2F8391FB" w14:textId="77777777">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CC7D32"/>
    <w:multiLevelType w:val="hybridMultilevel"/>
    <w:tmpl w:val="7ABE56EC"/>
    <w:lvl w:ilvl="0">
      <w:start w:val="1"/>
      <w:numFmt w:val="upperLetter"/>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49099E"/>
    <w:multiLevelType w:val="hybridMultilevel"/>
    <w:tmpl w:val="066A550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AC50BD8"/>
    <w:multiLevelType w:val="hybridMultilevel"/>
    <w:tmpl w:val="5818201A"/>
    <w:lvl w:ilvl="0">
      <w:start w:val="1"/>
      <w:numFmt w:val="decimal"/>
      <w:lvlText w:val="%1."/>
      <w:lvlJc w:val="left"/>
      <w:pPr>
        <w:ind w:left="370" w:hanging="360"/>
      </w:pPr>
      <w:rPr>
        <w:rFonts w:hint="default"/>
      </w:rPr>
    </w:lvl>
    <w:lvl w:ilvl="1" w:tentative="1">
      <w:start w:val="1"/>
      <w:numFmt w:val="lowerLetter"/>
      <w:lvlText w:val="%2."/>
      <w:lvlJc w:val="left"/>
      <w:pPr>
        <w:ind w:left="1090" w:hanging="360"/>
      </w:pPr>
    </w:lvl>
    <w:lvl w:ilvl="2" w:tentative="1">
      <w:start w:val="1"/>
      <w:numFmt w:val="lowerRoman"/>
      <w:lvlText w:val="%3."/>
      <w:lvlJc w:val="right"/>
      <w:pPr>
        <w:ind w:left="1810" w:hanging="180"/>
      </w:pPr>
    </w:lvl>
    <w:lvl w:ilvl="3" w:tentative="1">
      <w:start w:val="1"/>
      <w:numFmt w:val="decimal"/>
      <w:lvlText w:val="%4."/>
      <w:lvlJc w:val="left"/>
      <w:pPr>
        <w:ind w:left="2530" w:hanging="360"/>
      </w:pPr>
    </w:lvl>
    <w:lvl w:ilvl="4" w:tentative="1">
      <w:start w:val="1"/>
      <w:numFmt w:val="lowerLetter"/>
      <w:lvlText w:val="%5."/>
      <w:lvlJc w:val="left"/>
      <w:pPr>
        <w:ind w:left="3250" w:hanging="360"/>
      </w:pPr>
    </w:lvl>
    <w:lvl w:ilvl="5" w:tentative="1">
      <w:start w:val="1"/>
      <w:numFmt w:val="lowerRoman"/>
      <w:lvlText w:val="%6."/>
      <w:lvlJc w:val="right"/>
      <w:pPr>
        <w:ind w:left="3970" w:hanging="180"/>
      </w:pPr>
    </w:lvl>
    <w:lvl w:ilvl="6" w:tentative="1">
      <w:start w:val="1"/>
      <w:numFmt w:val="decimal"/>
      <w:lvlText w:val="%7."/>
      <w:lvlJc w:val="left"/>
      <w:pPr>
        <w:ind w:left="4690" w:hanging="360"/>
      </w:pPr>
    </w:lvl>
    <w:lvl w:ilvl="7" w:tentative="1">
      <w:start w:val="1"/>
      <w:numFmt w:val="lowerLetter"/>
      <w:lvlText w:val="%8."/>
      <w:lvlJc w:val="left"/>
      <w:pPr>
        <w:ind w:left="5410" w:hanging="360"/>
      </w:pPr>
    </w:lvl>
    <w:lvl w:ilvl="8" w:tentative="1">
      <w:start w:val="1"/>
      <w:numFmt w:val="lowerRoman"/>
      <w:lvlText w:val="%9."/>
      <w:lvlJc w:val="right"/>
      <w:pPr>
        <w:ind w:left="6130" w:hanging="180"/>
      </w:pPr>
    </w:lvl>
  </w:abstractNum>
  <w:abstractNum w:abstractNumId="4">
    <w:nsid w:val="2ED42B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6493C08"/>
    <w:multiLevelType w:val="hybridMultilevel"/>
    <w:tmpl w:val="8E8E4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625123"/>
    <w:multiLevelType w:val="hybridMultilevel"/>
    <w:tmpl w:val="07547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E942A3"/>
    <w:multiLevelType w:val="hybridMultilevel"/>
    <w:tmpl w:val="7A6274A0"/>
    <w:lvl w:ilvl="0">
      <w:start w:val="1"/>
      <w:numFmt w:val="upperLetter"/>
      <w:lvlText w:val="%1."/>
      <w:lvlJc w:val="left"/>
      <w:pPr>
        <w:ind w:left="345" w:hanging="360"/>
      </w:pPr>
      <w:rPr>
        <w:rFonts w:hint="default"/>
        <w:b/>
        <w:u w:val="single"/>
      </w:r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8">
    <w:nsid w:val="5D0F54E6"/>
    <w:multiLevelType w:val="hybridMultilevel"/>
    <w:tmpl w:val="6E80ADA0"/>
    <w:lvl w:ilvl="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86440310">
    <w:abstractNumId w:val="8"/>
  </w:num>
  <w:num w:numId="2" w16cid:durableId="1252079967">
    <w:abstractNumId w:val="0"/>
  </w:num>
  <w:num w:numId="3" w16cid:durableId="1719432919">
    <w:abstractNumId w:val="7"/>
  </w:num>
  <w:num w:numId="4" w16cid:durableId="1750227997">
    <w:abstractNumId w:val="1"/>
  </w:num>
  <w:num w:numId="5" w16cid:durableId="12198181">
    <w:abstractNumId w:val="3"/>
  </w:num>
  <w:num w:numId="6" w16cid:durableId="779641248">
    <w:abstractNumId w:val="5"/>
  </w:num>
  <w:num w:numId="7" w16cid:durableId="1887181959">
    <w:abstractNumId w:val="6"/>
  </w:num>
  <w:num w:numId="8" w16cid:durableId="1315062659">
    <w:abstractNumId w:val="2"/>
  </w:num>
  <w:num w:numId="9" w16cid:durableId="83427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C1"/>
    <w:rsid w:val="0000093F"/>
    <w:rsid w:val="00002895"/>
    <w:rsid w:val="000028BE"/>
    <w:rsid w:val="0000583B"/>
    <w:rsid w:val="00007ED1"/>
    <w:rsid w:val="00011315"/>
    <w:rsid w:val="000119A8"/>
    <w:rsid w:val="0001300C"/>
    <w:rsid w:val="00014429"/>
    <w:rsid w:val="0001445C"/>
    <w:rsid w:val="000150D1"/>
    <w:rsid w:val="000161BA"/>
    <w:rsid w:val="000165EF"/>
    <w:rsid w:val="00020D85"/>
    <w:rsid w:val="000216AA"/>
    <w:rsid w:val="00023660"/>
    <w:rsid w:val="000242C1"/>
    <w:rsid w:val="00024477"/>
    <w:rsid w:val="00026F31"/>
    <w:rsid w:val="00031856"/>
    <w:rsid w:val="000324E9"/>
    <w:rsid w:val="0003314F"/>
    <w:rsid w:val="0003379C"/>
    <w:rsid w:val="000343D3"/>
    <w:rsid w:val="00036145"/>
    <w:rsid w:val="0003709A"/>
    <w:rsid w:val="00046CC2"/>
    <w:rsid w:val="00047BB6"/>
    <w:rsid w:val="00053417"/>
    <w:rsid w:val="00060D22"/>
    <w:rsid w:val="00061968"/>
    <w:rsid w:val="000629D1"/>
    <w:rsid w:val="00063C63"/>
    <w:rsid w:val="000659DF"/>
    <w:rsid w:val="0007348F"/>
    <w:rsid w:val="000758E7"/>
    <w:rsid w:val="000774CA"/>
    <w:rsid w:val="0008299C"/>
    <w:rsid w:val="00087368"/>
    <w:rsid w:val="00092097"/>
    <w:rsid w:val="0009217F"/>
    <w:rsid w:val="000940B4"/>
    <w:rsid w:val="000977D2"/>
    <w:rsid w:val="0009794F"/>
    <w:rsid w:val="000A1288"/>
    <w:rsid w:val="000A1419"/>
    <w:rsid w:val="000A71F6"/>
    <w:rsid w:val="000B00C8"/>
    <w:rsid w:val="000B1DC6"/>
    <w:rsid w:val="000B1EF4"/>
    <w:rsid w:val="000B2C4C"/>
    <w:rsid w:val="000B3BB6"/>
    <w:rsid w:val="000B45B9"/>
    <w:rsid w:val="000B59A8"/>
    <w:rsid w:val="000B69DD"/>
    <w:rsid w:val="000B6DB1"/>
    <w:rsid w:val="000C112B"/>
    <w:rsid w:val="000C28CD"/>
    <w:rsid w:val="000C3E3C"/>
    <w:rsid w:val="000C6A46"/>
    <w:rsid w:val="000D0365"/>
    <w:rsid w:val="000D0387"/>
    <w:rsid w:val="000D0FDB"/>
    <w:rsid w:val="000D1E3B"/>
    <w:rsid w:val="000D1E8D"/>
    <w:rsid w:val="000D20A0"/>
    <w:rsid w:val="000D7E53"/>
    <w:rsid w:val="000D7F80"/>
    <w:rsid w:val="000E16D9"/>
    <w:rsid w:val="000E2858"/>
    <w:rsid w:val="000E492E"/>
    <w:rsid w:val="000F04E0"/>
    <w:rsid w:val="000F1B5A"/>
    <w:rsid w:val="000F3112"/>
    <w:rsid w:val="000F3F26"/>
    <w:rsid w:val="00101034"/>
    <w:rsid w:val="00101051"/>
    <w:rsid w:val="0010195F"/>
    <w:rsid w:val="00103C31"/>
    <w:rsid w:val="001109AD"/>
    <w:rsid w:val="001135B3"/>
    <w:rsid w:val="00114B94"/>
    <w:rsid w:val="0011759B"/>
    <w:rsid w:val="001206B0"/>
    <w:rsid w:val="00123112"/>
    <w:rsid w:val="001239C9"/>
    <w:rsid w:val="00123B1F"/>
    <w:rsid w:val="00124863"/>
    <w:rsid w:val="0013342A"/>
    <w:rsid w:val="00133434"/>
    <w:rsid w:val="00144E25"/>
    <w:rsid w:val="00145BF7"/>
    <w:rsid w:val="00151979"/>
    <w:rsid w:val="001528E9"/>
    <w:rsid w:val="00154571"/>
    <w:rsid w:val="00154719"/>
    <w:rsid w:val="00155566"/>
    <w:rsid w:val="001563FE"/>
    <w:rsid w:val="00167630"/>
    <w:rsid w:val="00167BBF"/>
    <w:rsid w:val="00170A26"/>
    <w:rsid w:val="001710AD"/>
    <w:rsid w:val="00172AEF"/>
    <w:rsid w:val="0017461A"/>
    <w:rsid w:val="0017546D"/>
    <w:rsid w:val="001761B2"/>
    <w:rsid w:val="0017747A"/>
    <w:rsid w:val="001774CC"/>
    <w:rsid w:val="00182FA3"/>
    <w:rsid w:val="001856CF"/>
    <w:rsid w:val="001860A7"/>
    <w:rsid w:val="001902FE"/>
    <w:rsid w:val="00193897"/>
    <w:rsid w:val="00197515"/>
    <w:rsid w:val="00197850"/>
    <w:rsid w:val="001A12E4"/>
    <w:rsid w:val="001A16E9"/>
    <w:rsid w:val="001A36A4"/>
    <w:rsid w:val="001A7047"/>
    <w:rsid w:val="001B107A"/>
    <w:rsid w:val="001B5277"/>
    <w:rsid w:val="001B5D0B"/>
    <w:rsid w:val="001B603D"/>
    <w:rsid w:val="001C0F50"/>
    <w:rsid w:val="001C14BD"/>
    <w:rsid w:val="001C3251"/>
    <w:rsid w:val="001C5A47"/>
    <w:rsid w:val="001D284F"/>
    <w:rsid w:val="001D59DD"/>
    <w:rsid w:val="001E053A"/>
    <w:rsid w:val="001E1972"/>
    <w:rsid w:val="001E26F2"/>
    <w:rsid w:val="001E2A16"/>
    <w:rsid w:val="001E6662"/>
    <w:rsid w:val="001E6EF5"/>
    <w:rsid w:val="001F5240"/>
    <w:rsid w:val="001F5806"/>
    <w:rsid w:val="002002C5"/>
    <w:rsid w:val="00200893"/>
    <w:rsid w:val="00200B1D"/>
    <w:rsid w:val="00202A7C"/>
    <w:rsid w:val="002069F7"/>
    <w:rsid w:val="00212321"/>
    <w:rsid w:val="00214143"/>
    <w:rsid w:val="002149B8"/>
    <w:rsid w:val="0021600D"/>
    <w:rsid w:val="00216DEE"/>
    <w:rsid w:val="0021785F"/>
    <w:rsid w:val="00220F3D"/>
    <w:rsid w:val="0022281D"/>
    <w:rsid w:val="00222A86"/>
    <w:rsid w:val="00230479"/>
    <w:rsid w:val="00231A35"/>
    <w:rsid w:val="002345A4"/>
    <w:rsid w:val="0023607D"/>
    <w:rsid w:val="00236441"/>
    <w:rsid w:val="00236796"/>
    <w:rsid w:val="0023786D"/>
    <w:rsid w:val="00237AD4"/>
    <w:rsid w:val="00241843"/>
    <w:rsid w:val="00243BF6"/>
    <w:rsid w:val="00251D14"/>
    <w:rsid w:val="002531D7"/>
    <w:rsid w:val="0025488E"/>
    <w:rsid w:val="00255746"/>
    <w:rsid w:val="00255973"/>
    <w:rsid w:val="0025703F"/>
    <w:rsid w:val="0025704C"/>
    <w:rsid w:val="002615F0"/>
    <w:rsid w:val="00263B87"/>
    <w:rsid w:val="002653E6"/>
    <w:rsid w:val="00265953"/>
    <w:rsid w:val="00265F61"/>
    <w:rsid w:val="00267224"/>
    <w:rsid w:val="00267D2F"/>
    <w:rsid w:val="0027095D"/>
    <w:rsid w:val="0027101A"/>
    <w:rsid w:val="00272988"/>
    <w:rsid w:val="00283717"/>
    <w:rsid w:val="00283DFE"/>
    <w:rsid w:val="00287107"/>
    <w:rsid w:val="00287939"/>
    <w:rsid w:val="0029404A"/>
    <w:rsid w:val="00295699"/>
    <w:rsid w:val="002A1F52"/>
    <w:rsid w:val="002A7220"/>
    <w:rsid w:val="002B3187"/>
    <w:rsid w:val="002B3325"/>
    <w:rsid w:val="002B381F"/>
    <w:rsid w:val="002B5A9F"/>
    <w:rsid w:val="002C2464"/>
    <w:rsid w:val="002D2B78"/>
    <w:rsid w:val="002D482E"/>
    <w:rsid w:val="002D48B8"/>
    <w:rsid w:val="002D57F7"/>
    <w:rsid w:val="002D5F27"/>
    <w:rsid w:val="002D6BDE"/>
    <w:rsid w:val="002D7BFB"/>
    <w:rsid w:val="002E1443"/>
    <w:rsid w:val="002E1E42"/>
    <w:rsid w:val="002F0521"/>
    <w:rsid w:val="002F0F14"/>
    <w:rsid w:val="002F2509"/>
    <w:rsid w:val="002F306C"/>
    <w:rsid w:val="002F3E6E"/>
    <w:rsid w:val="002F5901"/>
    <w:rsid w:val="002F7A52"/>
    <w:rsid w:val="002F7B7A"/>
    <w:rsid w:val="00300FA6"/>
    <w:rsid w:val="003020D9"/>
    <w:rsid w:val="0030456D"/>
    <w:rsid w:val="0030475F"/>
    <w:rsid w:val="00304DBA"/>
    <w:rsid w:val="00304DEC"/>
    <w:rsid w:val="00305E91"/>
    <w:rsid w:val="00310DB2"/>
    <w:rsid w:val="00317B49"/>
    <w:rsid w:val="00317C24"/>
    <w:rsid w:val="00320102"/>
    <w:rsid w:val="0032262B"/>
    <w:rsid w:val="00324D42"/>
    <w:rsid w:val="0032565A"/>
    <w:rsid w:val="00326348"/>
    <w:rsid w:val="00327584"/>
    <w:rsid w:val="003301B1"/>
    <w:rsid w:val="0033506A"/>
    <w:rsid w:val="00341DB7"/>
    <w:rsid w:val="003450ED"/>
    <w:rsid w:val="003509B8"/>
    <w:rsid w:val="00357CE2"/>
    <w:rsid w:val="003644DE"/>
    <w:rsid w:val="003654CD"/>
    <w:rsid w:val="00365513"/>
    <w:rsid w:val="0036701B"/>
    <w:rsid w:val="00367228"/>
    <w:rsid w:val="0037355C"/>
    <w:rsid w:val="003752C6"/>
    <w:rsid w:val="00382683"/>
    <w:rsid w:val="003843BC"/>
    <w:rsid w:val="00390EBC"/>
    <w:rsid w:val="00390F14"/>
    <w:rsid w:val="0039255D"/>
    <w:rsid w:val="00392993"/>
    <w:rsid w:val="00392B92"/>
    <w:rsid w:val="00393F64"/>
    <w:rsid w:val="00395247"/>
    <w:rsid w:val="00395380"/>
    <w:rsid w:val="003967B9"/>
    <w:rsid w:val="00396D98"/>
    <w:rsid w:val="00397B0D"/>
    <w:rsid w:val="003A0796"/>
    <w:rsid w:val="003A19CF"/>
    <w:rsid w:val="003A1CDE"/>
    <w:rsid w:val="003A2E0C"/>
    <w:rsid w:val="003A75C2"/>
    <w:rsid w:val="003A7771"/>
    <w:rsid w:val="003A7E76"/>
    <w:rsid w:val="003B225D"/>
    <w:rsid w:val="003C1C8B"/>
    <w:rsid w:val="003C1DE9"/>
    <w:rsid w:val="003C2FA1"/>
    <w:rsid w:val="003C3FE7"/>
    <w:rsid w:val="003C5CD9"/>
    <w:rsid w:val="003D190C"/>
    <w:rsid w:val="003D24A7"/>
    <w:rsid w:val="003D2ACE"/>
    <w:rsid w:val="003D2ED7"/>
    <w:rsid w:val="003D5944"/>
    <w:rsid w:val="003D5AA5"/>
    <w:rsid w:val="003E055D"/>
    <w:rsid w:val="003E1457"/>
    <w:rsid w:val="003E25E0"/>
    <w:rsid w:val="003E365D"/>
    <w:rsid w:val="003E618A"/>
    <w:rsid w:val="00405895"/>
    <w:rsid w:val="00411DA9"/>
    <w:rsid w:val="00412894"/>
    <w:rsid w:val="00412CCA"/>
    <w:rsid w:val="00413743"/>
    <w:rsid w:val="00415132"/>
    <w:rsid w:val="00421C0D"/>
    <w:rsid w:val="0042244F"/>
    <w:rsid w:val="00424981"/>
    <w:rsid w:val="00424EBB"/>
    <w:rsid w:val="00425062"/>
    <w:rsid w:val="00426E23"/>
    <w:rsid w:val="00427B8C"/>
    <w:rsid w:val="00433AB7"/>
    <w:rsid w:val="004457A5"/>
    <w:rsid w:val="00451B3D"/>
    <w:rsid w:val="00452292"/>
    <w:rsid w:val="00452F38"/>
    <w:rsid w:val="004610C3"/>
    <w:rsid w:val="00463518"/>
    <w:rsid w:val="00465735"/>
    <w:rsid w:val="004658BE"/>
    <w:rsid w:val="00467F0F"/>
    <w:rsid w:val="00471CB5"/>
    <w:rsid w:val="0047414F"/>
    <w:rsid w:val="004807B8"/>
    <w:rsid w:val="00483B6E"/>
    <w:rsid w:val="00483E8B"/>
    <w:rsid w:val="00483EE0"/>
    <w:rsid w:val="004855CD"/>
    <w:rsid w:val="004856C6"/>
    <w:rsid w:val="0048746E"/>
    <w:rsid w:val="00490612"/>
    <w:rsid w:val="00493728"/>
    <w:rsid w:val="00497445"/>
    <w:rsid w:val="0049753A"/>
    <w:rsid w:val="004A10F9"/>
    <w:rsid w:val="004A3561"/>
    <w:rsid w:val="004A4D34"/>
    <w:rsid w:val="004A73CB"/>
    <w:rsid w:val="004A7AE1"/>
    <w:rsid w:val="004B2B8B"/>
    <w:rsid w:val="004B6C1F"/>
    <w:rsid w:val="004C0112"/>
    <w:rsid w:val="004C73D5"/>
    <w:rsid w:val="004D0580"/>
    <w:rsid w:val="004D0984"/>
    <w:rsid w:val="004D1F71"/>
    <w:rsid w:val="004D3A20"/>
    <w:rsid w:val="004D61EC"/>
    <w:rsid w:val="004D67E2"/>
    <w:rsid w:val="004E2C29"/>
    <w:rsid w:val="004E5450"/>
    <w:rsid w:val="004E7B1B"/>
    <w:rsid w:val="004E7E68"/>
    <w:rsid w:val="004F1708"/>
    <w:rsid w:val="004F264C"/>
    <w:rsid w:val="004F3634"/>
    <w:rsid w:val="004F437F"/>
    <w:rsid w:val="004F43F6"/>
    <w:rsid w:val="004F5438"/>
    <w:rsid w:val="004F6E3E"/>
    <w:rsid w:val="0050105C"/>
    <w:rsid w:val="0050660D"/>
    <w:rsid w:val="00507795"/>
    <w:rsid w:val="005131C0"/>
    <w:rsid w:val="00513666"/>
    <w:rsid w:val="005219DD"/>
    <w:rsid w:val="0052253F"/>
    <w:rsid w:val="005238EB"/>
    <w:rsid w:val="00524EE0"/>
    <w:rsid w:val="00525A0C"/>
    <w:rsid w:val="00526FF2"/>
    <w:rsid w:val="00527B7B"/>
    <w:rsid w:val="00532028"/>
    <w:rsid w:val="00532B85"/>
    <w:rsid w:val="00532C3B"/>
    <w:rsid w:val="00533124"/>
    <w:rsid w:val="00542460"/>
    <w:rsid w:val="00542A3A"/>
    <w:rsid w:val="00544684"/>
    <w:rsid w:val="00544BB0"/>
    <w:rsid w:val="00544C78"/>
    <w:rsid w:val="005451FD"/>
    <w:rsid w:val="00546FC1"/>
    <w:rsid w:val="00553482"/>
    <w:rsid w:val="00554A75"/>
    <w:rsid w:val="00555399"/>
    <w:rsid w:val="00555C0D"/>
    <w:rsid w:val="0056356C"/>
    <w:rsid w:val="00564540"/>
    <w:rsid w:val="0057068B"/>
    <w:rsid w:val="005729D4"/>
    <w:rsid w:val="00572D4C"/>
    <w:rsid w:val="00573CC6"/>
    <w:rsid w:val="005941F4"/>
    <w:rsid w:val="00594B71"/>
    <w:rsid w:val="005959AA"/>
    <w:rsid w:val="005969F4"/>
    <w:rsid w:val="00597655"/>
    <w:rsid w:val="005A1CB8"/>
    <w:rsid w:val="005A29EB"/>
    <w:rsid w:val="005B5C4C"/>
    <w:rsid w:val="005C2D31"/>
    <w:rsid w:val="005C3F34"/>
    <w:rsid w:val="005C648C"/>
    <w:rsid w:val="005D0632"/>
    <w:rsid w:val="005D1570"/>
    <w:rsid w:val="005D549B"/>
    <w:rsid w:val="005D5508"/>
    <w:rsid w:val="005D5EC3"/>
    <w:rsid w:val="005E1101"/>
    <w:rsid w:val="005E44B5"/>
    <w:rsid w:val="005E5E50"/>
    <w:rsid w:val="005F2AFD"/>
    <w:rsid w:val="005F3679"/>
    <w:rsid w:val="005F45D1"/>
    <w:rsid w:val="005F46C7"/>
    <w:rsid w:val="005F4774"/>
    <w:rsid w:val="005F4ADC"/>
    <w:rsid w:val="005F5B8E"/>
    <w:rsid w:val="00601011"/>
    <w:rsid w:val="00601813"/>
    <w:rsid w:val="00603DA0"/>
    <w:rsid w:val="00605EAA"/>
    <w:rsid w:val="00607659"/>
    <w:rsid w:val="006104F0"/>
    <w:rsid w:val="006142C9"/>
    <w:rsid w:val="0061478C"/>
    <w:rsid w:val="00615AE8"/>
    <w:rsid w:val="006164EF"/>
    <w:rsid w:val="00620ED9"/>
    <w:rsid w:val="00621583"/>
    <w:rsid w:val="00621B70"/>
    <w:rsid w:val="00622AC1"/>
    <w:rsid w:val="00625662"/>
    <w:rsid w:val="00625F52"/>
    <w:rsid w:val="00626D9A"/>
    <w:rsid w:val="006305C0"/>
    <w:rsid w:val="00632EE0"/>
    <w:rsid w:val="00634D9A"/>
    <w:rsid w:val="00637692"/>
    <w:rsid w:val="00641A06"/>
    <w:rsid w:val="0064505F"/>
    <w:rsid w:val="00645C66"/>
    <w:rsid w:val="00647B14"/>
    <w:rsid w:val="00654308"/>
    <w:rsid w:val="006548EA"/>
    <w:rsid w:val="006549E5"/>
    <w:rsid w:val="00654FDB"/>
    <w:rsid w:val="0066115C"/>
    <w:rsid w:val="006641FD"/>
    <w:rsid w:val="00666509"/>
    <w:rsid w:val="00670B68"/>
    <w:rsid w:val="00671A7E"/>
    <w:rsid w:val="00673229"/>
    <w:rsid w:val="00673FB9"/>
    <w:rsid w:val="006744E4"/>
    <w:rsid w:val="00676FD6"/>
    <w:rsid w:val="00677BCB"/>
    <w:rsid w:val="00677EC9"/>
    <w:rsid w:val="006817D4"/>
    <w:rsid w:val="006840F8"/>
    <w:rsid w:val="0068729D"/>
    <w:rsid w:val="00690C66"/>
    <w:rsid w:val="00694B74"/>
    <w:rsid w:val="006957E2"/>
    <w:rsid w:val="00697821"/>
    <w:rsid w:val="006A228E"/>
    <w:rsid w:val="006A2B7A"/>
    <w:rsid w:val="006A3CC2"/>
    <w:rsid w:val="006A5C58"/>
    <w:rsid w:val="006A60F5"/>
    <w:rsid w:val="006B0F81"/>
    <w:rsid w:val="006B16A5"/>
    <w:rsid w:val="006B2785"/>
    <w:rsid w:val="006B46AD"/>
    <w:rsid w:val="006B5A1B"/>
    <w:rsid w:val="006C3521"/>
    <w:rsid w:val="006C585D"/>
    <w:rsid w:val="006C662F"/>
    <w:rsid w:val="006C7640"/>
    <w:rsid w:val="006D01C1"/>
    <w:rsid w:val="006D0899"/>
    <w:rsid w:val="006D6E8C"/>
    <w:rsid w:val="006E0B00"/>
    <w:rsid w:val="006E1B4C"/>
    <w:rsid w:val="006F07DD"/>
    <w:rsid w:val="006F2275"/>
    <w:rsid w:val="006F374A"/>
    <w:rsid w:val="006F4E0F"/>
    <w:rsid w:val="006F580C"/>
    <w:rsid w:val="006F76C3"/>
    <w:rsid w:val="007012D6"/>
    <w:rsid w:val="007013EF"/>
    <w:rsid w:val="00702534"/>
    <w:rsid w:val="00703DAE"/>
    <w:rsid w:val="007043A5"/>
    <w:rsid w:val="007055C3"/>
    <w:rsid w:val="00705A6A"/>
    <w:rsid w:val="00705E86"/>
    <w:rsid w:val="0070645B"/>
    <w:rsid w:val="00712C91"/>
    <w:rsid w:val="007227DD"/>
    <w:rsid w:val="00722F09"/>
    <w:rsid w:val="00725FE0"/>
    <w:rsid w:val="00726E13"/>
    <w:rsid w:val="00732C41"/>
    <w:rsid w:val="0074268B"/>
    <w:rsid w:val="007439BA"/>
    <w:rsid w:val="00744CD4"/>
    <w:rsid w:val="00745A06"/>
    <w:rsid w:val="00747CB0"/>
    <w:rsid w:val="0075042D"/>
    <w:rsid w:val="00750D93"/>
    <w:rsid w:val="00765AA7"/>
    <w:rsid w:val="00771DB9"/>
    <w:rsid w:val="007735F9"/>
    <w:rsid w:val="00774D9A"/>
    <w:rsid w:val="00774F82"/>
    <w:rsid w:val="007772A1"/>
    <w:rsid w:val="00780E25"/>
    <w:rsid w:val="00781BC8"/>
    <w:rsid w:val="00783896"/>
    <w:rsid w:val="00784AF4"/>
    <w:rsid w:val="00787128"/>
    <w:rsid w:val="0079037B"/>
    <w:rsid w:val="00790621"/>
    <w:rsid w:val="00791E41"/>
    <w:rsid w:val="00792EFB"/>
    <w:rsid w:val="00795A58"/>
    <w:rsid w:val="0079614A"/>
    <w:rsid w:val="007967B2"/>
    <w:rsid w:val="007971CA"/>
    <w:rsid w:val="007A320E"/>
    <w:rsid w:val="007A321B"/>
    <w:rsid w:val="007A4E0D"/>
    <w:rsid w:val="007A4EA0"/>
    <w:rsid w:val="007B042B"/>
    <w:rsid w:val="007B2B96"/>
    <w:rsid w:val="007B63F2"/>
    <w:rsid w:val="007C0ADE"/>
    <w:rsid w:val="007C2E5C"/>
    <w:rsid w:val="007C3458"/>
    <w:rsid w:val="007C70A3"/>
    <w:rsid w:val="007D29A3"/>
    <w:rsid w:val="007D3770"/>
    <w:rsid w:val="007D5B4B"/>
    <w:rsid w:val="007E0B4E"/>
    <w:rsid w:val="007E2BBE"/>
    <w:rsid w:val="007E53DF"/>
    <w:rsid w:val="007E5AAA"/>
    <w:rsid w:val="007E628C"/>
    <w:rsid w:val="007F0463"/>
    <w:rsid w:val="007F14D1"/>
    <w:rsid w:val="007F365E"/>
    <w:rsid w:val="007F5873"/>
    <w:rsid w:val="007F5DA0"/>
    <w:rsid w:val="0080112F"/>
    <w:rsid w:val="0080169C"/>
    <w:rsid w:val="00801E87"/>
    <w:rsid w:val="00807A47"/>
    <w:rsid w:val="008237F9"/>
    <w:rsid w:val="008255F9"/>
    <w:rsid w:val="008272F2"/>
    <w:rsid w:val="00830135"/>
    <w:rsid w:val="00832DA5"/>
    <w:rsid w:val="008343EB"/>
    <w:rsid w:val="0084018F"/>
    <w:rsid w:val="00842A30"/>
    <w:rsid w:val="00843EAD"/>
    <w:rsid w:val="0084427B"/>
    <w:rsid w:val="008460A3"/>
    <w:rsid w:val="008466B2"/>
    <w:rsid w:val="00850FE7"/>
    <w:rsid w:val="0085264B"/>
    <w:rsid w:val="00852784"/>
    <w:rsid w:val="0085407B"/>
    <w:rsid w:val="00854175"/>
    <w:rsid w:val="0085484A"/>
    <w:rsid w:val="00854D16"/>
    <w:rsid w:val="008561AA"/>
    <w:rsid w:val="00862D6A"/>
    <w:rsid w:val="00865AD6"/>
    <w:rsid w:val="00872EEF"/>
    <w:rsid w:val="0087742A"/>
    <w:rsid w:val="008808FF"/>
    <w:rsid w:val="00883DC6"/>
    <w:rsid w:val="0088428E"/>
    <w:rsid w:val="008845D5"/>
    <w:rsid w:val="00886954"/>
    <w:rsid w:val="008873F2"/>
    <w:rsid w:val="00893608"/>
    <w:rsid w:val="008A0BBD"/>
    <w:rsid w:val="008A2A78"/>
    <w:rsid w:val="008A3D6B"/>
    <w:rsid w:val="008B041D"/>
    <w:rsid w:val="008B1B6B"/>
    <w:rsid w:val="008C01E4"/>
    <w:rsid w:val="008C6BE9"/>
    <w:rsid w:val="008C7FA2"/>
    <w:rsid w:val="008D32F5"/>
    <w:rsid w:val="008D557A"/>
    <w:rsid w:val="008D5B48"/>
    <w:rsid w:val="008D5CA7"/>
    <w:rsid w:val="008D60D5"/>
    <w:rsid w:val="008D68AA"/>
    <w:rsid w:val="008D7352"/>
    <w:rsid w:val="008D7509"/>
    <w:rsid w:val="008E011B"/>
    <w:rsid w:val="008E0214"/>
    <w:rsid w:val="008E119E"/>
    <w:rsid w:val="008E16C5"/>
    <w:rsid w:val="008E3FC5"/>
    <w:rsid w:val="008F0A99"/>
    <w:rsid w:val="008F2784"/>
    <w:rsid w:val="008F4768"/>
    <w:rsid w:val="009057E5"/>
    <w:rsid w:val="00907D84"/>
    <w:rsid w:val="00913DDF"/>
    <w:rsid w:val="0092172D"/>
    <w:rsid w:val="00921E31"/>
    <w:rsid w:val="00921E63"/>
    <w:rsid w:val="00925478"/>
    <w:rsid w:val="0092607B"/>
    <w:rsid w:val="009324A5"/>
    <w:rsid w:val="00932EF2"/>
    <w:rsid w:val="00933C04"/>
    <w:rsid w:val="009346F0"/>
    <w:rsid w:val="009352D9"/>
    <w:rsid w:val="009379A0"/>
    <w:rsid w:val="009402AD"/>
    <w:rsid w:val="00940469"/>
    <w:rsid w:val="009433A0"/>
    <w:rsid w:val="00946636"/>
    <w:rsid w:val="00946812"/>
    <w:rsid w:val="00947E31"/>
    <w:rsid w:val="00950228"/>
    <w:rsid w:val="009525D1"/>
    <w:rsid w:val="00953F41"/>
    <w:rsid w:val="00957A27"/>
    <w:rsid w:val="00963F13"/>
    <w:rsid w:val="00964EC5"/>
    <w:rsid w:val="00965952"/>
    <w:rsid w:val="00966A38"/>
    <w:rsid w:val="009675D8"/>
    <w:rsid w:val="009727AA"/>
    <w:rsid w:val="009728D0"/>
    <w:rsid w:val="009729C0"/>
    <w:rsid w:val="00972BB6"/>
    <w:rsid w:val="00974705"/>
    <w:rsid w:val="009769F8"/>
    <w:rsid w:val="009770F0"/>
    <w:rsid w:val="0097721A"/>
    <w:rsid w:val="009815B1"/>
    <w:rsid w:val="00981C45"/>
    <w:rsid w:val="00981CBB"/>
    <w:rsid w:val="00982434"/>
    <w:rsid w:val="0098546E"/>
    <w:rsid w:val="00990C6A"/>
    <w:rsid w:val="00992322"/>
    <w:rsid w:val="00992F79"/>
    <w:rsid w:val="009948C7"/>
    <w:rsid w:val="0099643F"/>
    <w:rsid w:val="009A18B5"/>
    <w:rsid w:val="009A2471"/>
    <w:rsid w:val="009A60F5"/>
    <w:rsid w:val="009B0751"/>
    <w:rsid w:val="009B09F2"/>
    <w:rsid w:val="009B11E1"/>
    <w:rsid w:val="009B12DA"/>
    <w:rsid w:val="009B339A"/>
    <w:rsid w:val="009B4A09"/>
    <w:rsid w:val="009B5BBF"/>
    <w:rsid w:val="009B5F2B"/>
    <w:rsid w:val="009B71DC"/>
    <w:rsid w:val="009C0ACE"/>
    <w:rsid w:val="009C0B73"/>
    <w:rsid w:val="009C4879"/>
    <w:rsid w:val="009C7CFE"/>
    <w:rsid w:val="009D0CF5"/>
    <w:rsid w:val="009D49B8"/>
    <w:rsid w:val="009D7D7C"/>
    <w:rsid w:val="009E02D5"/>
    <w:rsid w:val="009E37D2"/>
    <w:rsid w:val="009E7EDF"/>
    <w:rsid w:val="009F0AAC"/>
    <w:rsid w:val="009F2E14"/>
    <w:rsid w:val="009F5578"/>
    <w:rsid w:val="009F69FE"/>
    <w:rsid w:val="009F7102"/>
    <w:rsid w:val="00A01387"/>
    <w:rsid w:val="00A016E5"/>
    <w:rsid w:val="00A037D3"/>
    <w:rsid w:val="00A07E4C"/>
    <w:rsid w:val="00A10ACC"/>
    <w:rsid w:val="00A1317C"/>
    <w:rsid w:val="00A135D4"/>
    <w:rsid w:val="00A16346"/>
    <w:rsid w:val="00A16EED"/>
    <w:rsid w:val="00A2433B"/>
    <w:rsid w:val="00A25716"/>
    <w:rsid w:val="00A27CEF"/>
    <w:rsid w:val="00A312DB"/>
    <w:rsid w:val="00A31635"/>
    <w:rsid w:val="00A33984"/>
    <w:rsid w:val="00A357B6"/>
    <w:rsid w:val="00A41584"/>
    <w:rsid w:val="00A41BF8"/>
    <w:rsid w:val="00A4340C"/>
    <w:rsid w:val="00A43B05"/>
    <w:rsid w:val="00A456C6"/>
    <w:rsid w:val="00A527D1"/>
    <w:rsid w:val="00A5385C"/>
    <w:rsid w:val="00A54EF1"/>
    <w:rsid w:val="00A55DC5"/>
    <w:rsid w:val="00A57EC2"/>
    <w:rsid w:val="00A6266A"/>
    <w:rsid w:val="00A67212"/>
    <w:rsid w:val="00A71876"/>
    <w:rsid w:val="00A71D49"/>
    <w:rsid w:val="00A723F5"/>
    <w:rsid w:val="00A80F89"/>
    <w:rsid w:val="00A82ACD"/>
    <w:rsid w:val="00A843CD"/>
    <w:rsid w:val="00A877B8"/>
    <w:rsid w:val="00A901EC"/>
    <w:rsid w:val="00A94E12"/>
    <w:rsid w:val="00A95C97"/>
    <w:rsid w:val="00AA0531"/>
    <w:rsid w:val="00AA09AB"/>
    <w:rsid w:val="00AA27F4"/>
    <w:rsid w:val="00AB1542"/>
    <w:rsid w:val="00AB2FD9"/>
    <w:rsid w:val="00AB5147"/>
    <w:rsid w:val="00AB60B2"/>
    <w:rsid w:val="00AB6F61"/>
    <w:rsid w:val="00AB7D63"/>
    <w:rsid w:val="00AC12CD"/>
    <w:rsid w:val="00AC24FF"/>
    <w:rsid w:val="00AC4F15"/>
    <w:rsid w:val="00AC6182"/>
    <w:rsid w:val="00AC6CA1"/>
    <w:rsid w:val="00AD1B3C"/>
    <w:rsid w:val="00AD2018"/>
    <w:rsid w:val="00AD38D1"/>
    <w:rsid w:val="00AD3BBF"/>
    <w:rsid w:val="00AD3EE0"/>
    <w:rsid w:val="00AD74FF"/>
    <w:rsid w:val="00AE00BA"/>
    <w:rsid w:val="00AE37EE"/>
    <w:rsid w:val="00AF0D30"/>
    <w:rsid w:val="00AF2052"/>
    <w:rsid w:val="00AF23A1"/>
    <w:rsid w:val="00AF3C57"/>
    <w:rsid w:val="00AF3EE9"/>
    <w:rsid w:val="00AF6325"/>
    <w:rsid w:val="00AF777C"/>
    <w:rsid w:val="00B02738"/>
    <w:rsid w:val="00B03166"/>
    <w:rsid w:val="00B04077"/>
    <w:rsid w:val="00B0541A"/>
    <w:rsid w:val="00B148E8"/>
    <w:rsid w:val="00B153C3"/>
    <w:rsid w:val="00B15594"/>
    <w:rsid w:val="00B160AF"/>
    <w:rsid w:val="00B165DE"/>
    <w:rsid w:val="00B25521"/>
    <w:rsid w:val="00B25C66"/>
    <w:rsid w:val="00B25ECF"/>
    <w:rsid w:val="00B323EC"/>
    <w:rsid w:val="00B34379"/>
    <w:rsid w:val="00B35426"/>
    <w:rsid w:val="00B37590"/>
    <w:rsid w:val="00B402BC"/>
    <w:rsid w:val="00B40807"/>
    <w:rsid w:val="00B4523F"/>
    <w:rsid w:val="00B47795"/>
    <w:rsid w:val="00B54DAD"/>
    <w:rsid w:val="00B62117"/>
    <w:rsid w:val="00B62430"/>
    <w:rsid w:val="00B64CE2"/>
    <w:rsid w:val="00B70659"/>
    <w:rsid w:val="00B708E7"/>
    <w:rsid w:val="00B7142F"/>
    <w:rsid w:val="00B74CA3"/>
    <w:rsid w:val="00B76FC2"/>
    <w:rsid w:val="00B7774D"/>
    <w:rsid w:val="00B844E8"/>
    <w:rsid w:val="00B84CD2"/>
    <w:rsid w:val="00B857C4"/>
    <w:rsid w:val="00B85835"/>
    <w:rsid w:val="00B8730F"/>
    <w:rsid w:val="00B87DF2"/>
    <w:rsid w:val="00B91955"/>
    <w:rsid w:val="00B926A1"/>
    <w:rsid w:val="00B9561D"/>
    <w:rsid w:val="00BA4C50"/>
    <w:rsid w:val="00BA7E06"/>
    <w:rsid w:val="00BB01C1"/>
    <w:rsid w:val="00BB097C"/>
    <w:rsid w:val="00BB5942"/>
    <w:rsid w:val="00BC2FF3"/>
    <w:rsid w:val="00BC55A8"/>
    <w:rsid w:val="00BC74B1"/>
    <w:rsid w:val="00BD17D4"/>
    <w:rsid w:val="00BD1D11"/>
    <w:rsid w:val="00BD49BD"/>
    <w:rsid w:val="00BD5B0B"/>
    <w:rsid w:val="00BE08A7"/>
    <w:rsid w:val="00BF3119"/>
    <w:rsid w:val="00BF4558"/>
    <w:rsid w:val="00BF6621"/>
    <w:rsid w:val="00BF6632"/>
    <w:rsid w:val="00BF6D43"/>
    <w:rsid w:val="00C04514"/>
    <w:rsid w:val="00C05912"/>
    <w:rsid w:val="00C05A44"/>
    <w:rsid w:val="00C07F33"/>
    <w:rsid w:val="00C1529F"/>
    <w:rsid w:val="00C211F5"/>
    <w:rsid w:val="00C215D6"/>
    <w:rsid w:val="00C22E8D"/>
    <w:rsid w:val="00C22F3D"/>
    <w:rsid w:val="00C24020"/>
    <w:rsid w:val="00C242C0"/>
    <w:rsid w:val="00C2441A"/>
    <w:rsid w:val="00C25A64"/>
    <w:rsid w:val="00C340D5"/>
    <w:rsid w:val="00C37024"/>
    <w:rsid w:val="00C37765"/>
    <w:rsid w:val="00C40AE5"/>
    <w:rsid w:val="00C40EF1"/>
    <w:rsid w:val="00C42287"/>
    <w:rsid w:val="00C5109B"/>
    <w:rsid w:val="00C5183A"/>
    <w:rsid w:val="00C525D6"/>
    <w:rsid w:val="00C55836"/>
    <w:rsid w:val="00C5778D"/>
    <w:rsid w:val="00C60A04"/>
    <w:rsid w:val="00C63349"/>
    <w:rsid w:val="00C63B1A"/>
    <w:rsid w:val="00C63B2C"/>
    <w:rsid w:val="00C642CD"/>
    <w:rsid w:val="00C66DFC"/>
    <w:rsid w:val="00C70A7D"/>
    <w:rsid w:val="00C70F6D"/>
    <w:rsid w:val="00C735A3"/>
    <w:rsid w:val="00C75F8E"/>
    <w:rsid w:val="00C8073C"/>
    <w:rsid w:val="00C8266D"/>
    <w:rsid w:val="00C8268B"/>
    <w:rsid w:val="00C83CAF"/>
    <w:rsid w:val="00C84F83"/>
    <w:rsid w:val="00C861E6"/>
    <w:rsid w:val="00C90271"/>
    <w:rsid w:val="00C953EE"/>
    <w:rsid w:val="00C97C7A"/>
    <w:rsid w:val="00C97EFF"/>
    <w:rsid w:val="00CA1A33"/>
    <w:rsid w:val="00CA69E9"/>
    <w:rsid w:val="00CB1E34"/>
    <w:rsid w:val="00CB4150"/>
    <w:rsid w:val="00CB5AD4"/>
    <w:rsid w:val="00CB659A"/>
    <w:rsid w:val="00CB6E43"/>
    <w:rsid w:val="00CC03E1"/>
    <w:rsid w:val="00CC777B"/>
    <w:rsid w:val="00CC77A1"/>
    <w:rsid w:val="00CD0BBB"/>
    <w:rsid w:val="00CD0F60"/>
    <w:rsid w:val="00CD2FB6"/>
    <w:rsid w:val="00CD305E"/>
    <w:rsid w:val="00CD38EB"/>
    <w:rsid w:val="00CD3AA8"/>
    <w:rsid w:val="00CD4347"/>
    <w:rsid w:val="00CD4E30"/>
    <w:rsid w:val="00CD5F49"/>
    <w:rsid w:val="00CE1039"/>
    <w:rsid w:val="00CE2B89"/>
    <w:rsid w:val="00CE31FC"/>
    <w:rsid w:val="00CE3225"/>
    <w:rsid w:val="00CE5864"/>
    <w:rsid w:val="00CE781A"/>
    <w:rsid w:val="00CF06E9"/>
    <w:rsid w:val="00CF0862"/>
    <w:rsid w:val="00CF2545"/>
    <w:rsid w:val="00CF2879"/>
    <w:rsid w:val="00CF323C"/>
    <w:rsid w:val="00CF39F8"/>
    <w:rsid w:val="00CF4439"/>
    <w:rsid w:val="00CF7DCB"/>
    <w:rsid w:val="00D057E3"/>
    <w:rsid w:val="00D05F3B"/>
    <w:rsid w:val="00D10B34"/>
    <w:rsid w:val="00D1131D"/>
    <w:rsid w:val="00D1132B"/>
    <w:rsid w:val="00D11950"/>
    <w:rsid w:val="00D266D2"/>
    <w:rsid w:val="00D26C8E"/>
    <w:rsid w:val="00D34569"/>
    <w:rsid w:val="00D40222"/>
    <w:rsid w:val="00D41510"/>
    <w:rsid w:val="00D44F1D"/>
    <w:rsid w:val="00D50681"/>
    <w:rsid w:val="00D514B3"/>
    <w:rsid w:val="00D56DBC"/>
    <w:rsid w:val="00D6064F"/>
    <w:rsid w:val="00D635D2"/>
    <w:rsid w:val="00D65D61"/>
    <w:rsid w:val="00D66BB2"/>
    <w:rsid w:val="00D719DE"/>
    <w:rsid w:val="00D71AE8"/>
    <w:rsid w:val="00D8174C"/>
    <w:rsid w:val="00D8185C"/>
    <w:rsid w:val="00D8194E"/>
    <w:rsid w:val="00D86A75"/>
    <w:rsid w:val="00D908DF"/>
    <w:rsid w:val="00D94253"/>
    <w:rsid w:val="00D94FBD"/>
    <w:rsid w:val="00D97E79"/>
    <w:rsid w:val="00DA1260"/>
    <w:rsid w:val="00DA1C02"/>
    <w:rsid w:val="00DA1C1F"/>
    <w:rsid w:val="00DA41BB"/>
    <w:rsid w:val="00DA4517"/>
    <w:rsid w:val="00DB352B"/>
    <w:rsid w:val="00DB361F"/>
    <w:rsid w:val="00DB473C"/>
    <w:rsid w:val="00DB4C6B"/>
    <w:rsid w:val="00DB5876"/>
    <w:rsid w:val="00DB6F69"/>
    <w:rsid w:val="00DC219B"/>
    <w:rsid w:val="00DC2E6A"/>
    <w:rsid w:val="00DC307B"/>
    <w:rsid w:val="00DC3D2E"/>
    <w:rsid w:val="00DC3E8E"/>
    <w:rsid w:val="00DC4291"/>
    <w:rsid w:val="00DC4F28"/>
    <w:rsid w:val="00DC5F66"/>
    <w:rsid w:val="00DC7DF9"/>
    <w:rsid w:val="00DD1861"/>
    <w:rsid w:val="00DD3D90"/>
    <w:rsid w:val="00DD4BFA"/>
    <w:rsid w:val="00DD500A"/>
    <w:rsid w:val="00DD6340"/>
    <w:rsid w:val="00DE207F"/>
    <w:rsid w:val="00DE39BB"/>
    <w:rsid w:val="00DE6036"/>
    <w:rsid w:val="00DF03F8"/>
    <w:rsid w:val="00DF446F"/>
    <w:rsid w:val="00DF480F"/>
    <w:rsid w:val="00DF6C5B"/>
    <w:rsid w:val="00E0061C"/>
    <w:rsid w:val="00E006E2"/>
    <w:rsid w:val="00E07859"/>
    <w:rsid w:val="00E11BC4"/>
    <w:rsid w:val="00E1444C"/>
    <w:rsid w:val="00E162E0"/>
    <w:rsid w:val="00E173E0"/>
    <w:rsid w:val="00E218F6"/>
    <w:rsid w:val="00E263C1"/>
    <w:rsid w:val="00E274E9"/>
    <w:rsid w:val="00E27966"/>
    <w:rsid w:val="00E27AEE"/>
    <w:rsid w:val="00E325AD"/>
    <w:rsid w:val="00E363B1"/>
    <w:rsid w:val="00E37EA3"/>
    <w:rsid w:val="00E42BF2"/>
    <w:rsid w:val="00E45A58"/>
    <w:rsid w:val="00E46667"/>
    <w:rsid w:val="00E4692F"/>
    <w:rsid w:val="00E5120C"/>
    <w:rsid w:val="00E554F4"/>
    <w:rsid w:val="00E60ACF"/>
    <w:rsid w:val="00E63BBE"/>
    <w:rsid w:val="00E66110"/>
    <w:rsid w:val="00E66130"/>
    <w:rsid w:val="00E74717"/>
    <w:rsid w:val="00E75451"/>
    <w:rsid w:val="00E76492"/>
    <w:rsid w:val="00E83F4C"/>
    <w:rsid w:val="00E91E33"/>
    <w:rsid w:val="00E92A46"/>
    <w:rsid w:val="00E946E9"/>
    <w:rsid w:val="00E94B1E"/>
    <w:rsid w:val="00E97FF6"/>
    <w:rsid w:val="00EA0701"/>
    <w:rsid w:val="00EA5BC1"/>
    <w:rsid w:val="00EA6A0E"/>
    <w:rsid w:val="00EB1A94"/>
    <w:rsid w:val="00EB1EB3"/>
    <w:rsid w:val="00EB42E3"/>
    <w:rsid w:val="00EB7B42"/>
    <w:rsid w:val="00EC0737"/>
    <w:rsid w:val="00EC10DF"/>
    <w:rsid w:val="00EC1CB6"/>
    <w:rsid w:val="00EC2A8E"/>
    <w:rsid w:val="00EC36A0"/>
    <w:rsid w:val="00EC5C20"/>
    <w:rsid w:val="00EC75FE"/>
    <w:rsid w:val="00EC7A17"/>
    <w:rsid w:val="00ED1146"/>
    <w:rsid w:val="00ED5B0B"/>
    <w:rsid w:val="00ED6C83"/>
    <w:rsid w:val="00ED7C92"/>
    <w:rsid w:val="00EE0F5B"/>
    <w:rsid w:val="00EE1FF6"/>
    <w:rsid w:val="00EE2ECB"/>
    <w:rsid w:val="00EE4E45"/>
    <w:rsid w:val="00EF7D69"/>
    <w:rsid w:val="00F00C3B"/>
    <w:rsid w:val="00F03271"/>
    <w:rsid w:val="00F04349"/>
    <w:rsid w:val="00F064E2"/>
    <w:rsid w:val="00F071F8"/>
    <w:rsid w:val="00F100B5"/>
    <w:rsid w:val="00F10491"/>
    <w:rsid w:val="00F10B56"/>
    <w:rsid w:val="00F11534"/>
    <w:rsid w:val="00F11820"/>
    <w:rsid w:val="00F12E48"/>
    <w:rsid w:val="00F16BA9"/>
    <w:rsid w:val="00F16F55"/>
    <w:rsid w:val="00F174D8"/>
    <w:rsid w:val="00F23798"/>
    <w:rsid w:val="00F2402F"/>
    <w:rsid w:val="00F26D91"/>
    <w:rsid w:val="00F27E7F"/>
    <w:rsid w:val="00F324CB"/>
    <w:rsid w:val="00F35436"/>
    <w:rsid w:val="00F3613D"/>
    <w:rsid w:val="00F45497"/>
    <w:rsid w:val="00F46636"/>
    <w:rsid w:val="00F50B11"/>
    <w:rsid w:val="00F52021"/>
    <w:rsid w:val="00F5708A"/>
    <w:rsid w:val="00F57BA1"/>
    <w:rsid w:val="00F615EC"/>
    <w:rsid w:val="00F618A2"/>
    <w:rsid w:val="00F62067"/>
    <w:rsid w:val="00F628D3"/>
    <w:rsid w:val="00F64789"/>
    <w:rsid w:val="00F64EBF"/>
    <w:rsid w:val="00F6689C"/>
    <w:rsid w:val="00F66D8E"/>
    <w:rsid w:val="00F66FD5"/>
    <w:rsid w:val="00F67505"/>
    <w:rsid w:val="00F71B37"/>
    <w:rsid w:val="00F73968"/>
    <w:rsid w:val="00F73F86"/>
    <w:rsid w:val="00F74CC4"/>
    <w:rsid w:val="00F770D8"/>
    <w:rsid w:val="00F83F1F"/>
    <w:rsid w:val="00F841C5"/>
    <w:rsid w:val="00F86AD8"/>
    <w:rsid w:val="00F90DF0"/>
    <w:rsid w:val="00F9118B"/>
    <w:rsid w:val="00F918F7"/>
    <w:rsid w:val="00F92E22"/>
    <w:rsid w:val="00F96A54"/>
    <w:rsid w:val="00F97F5F"/>
    <w:rsid w:val="00FA3CCF"/>
    <w:rsid w:val="00FA64AE"/>
    <w:rsid w:val="00FB14D0"/>
    <w:rsid w:val="00FB1803"/>
    <w:rsid w:val="00FB4672"/>
    <w:rsid w:val="00FC1A90"/>
    <w:rsid w:val="00FC2BC1"/>
    <w:rsid w:val="00FC3BA3"/>
    <w:rsid w:val="00FC567F"/>
    <w:rsid w:val="00FD0A1F"/>
    <w:rsid w:val="00FD2EE9"/>
    <w:rsid w:val="00FD3D55"/>
    <w:rsid w:val="00FD43D8"/>
    <w:rsid w:val="00FE3610"/>
    <w:rsid w:val="00FE3CF5"/>
    <w:rsid w:val="00FE4B93"/>
    <w:rsid w:val="00FE5C0F"/>
    <w:rsid w:val="00FF0F84"/>
    <w:rsid w:val="00FF525D"/>
    <w:rsid w:val="00FF54E9"/>
    <w:rsid w:val="00FF66CA"/>
    <w:rsid w:val="00FF6773"/>
    <w:rsid w:val="00FF719E"/>
    <w:rsid w:val="184DA226"/>
    <w:rsid w:val="1D56324E"/>
    <w:rsid w:val="1ECF07AC"/>
    <w:rsid w:val="4BAE6CFC"/>
    <w:rsid w:val="65217A7F"/>
    <w:rsid w:val="6CB940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ACEBBA"/>
  <w15:docId w15:val="{46523C1C-363E-4A6F-BFA8-4B6610FB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u w:val="single" w:color="000000"/>
    </w:rPr>
  </w:style>
  <w:style w:type="paragraph" w:styleId="Heading6">
    <w:name w:val="heading 6"/>
    <w:basedOn w:val="Normal"/>
    <w:next w:val="Normal"/>
    <w:link w:val="Heading6Char"/>
    <w:uiPriority w:val="9"/>
    <w:semiHidden/>
    <w:unhideWhenUsed/>
    <w:qFormat/>
    <w:rsid w:val="00007ED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8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BodyText">
    <w:name w:val="Body Text"/>
    <w:basedOn w:val="Normal"/>
    <w:link w:val="BodyTextChar"/>
    <w:rsid w:val="009346F0"/>
    <w:pPr>
      <w:spacing w:after="0" w:line="240" w:lineRule="auto"/>
      <w:ind w:left="0" w:firstLine="0"/>
    </w:pPr>
    <w:rPr>
      <w:color w:val="auto"/>
      <w:szCs w:val="20"/>
    </w:rPr>
  </w:style>
  <w:style w:type="character" w:customStyle="1" w:styleId="BodyTextChar">
    <w:name w:val="Body Text Char"/>
    <w:basedOn w:val="DefaultParagraphFont"/>
    <w:link w:val="BodyText"/>
    <w:rsid w:val="009346F0"/>
    <w:rPr>
      <w:rFonts w:ascii="Times New Roman" w:eastAsia="Times New Roman" w:hAnsi="Times New Roman" w:cs="Times New Roman"/>
      <w:sz w:val="24"/>
      <w:szCs w:val="20"/>
    </w:rPr>
  </w:style>
  <w:style w:type="paragraph" w:customStyle="1" w:styleId="Level1">
    <w:name w:val="Level 1"/>
    <w:basedOn w:val="Normal"/>
    <w:rsid w:val="009346F0"/>
    <w:pPr>
      <w:widowControl w:val="0"/>
      <w:autoSpaceDE w:val="0"/>
      <w:autoSpaceDN w:val="0"/>
      <w:adjustRightInd w:val="0"/>
      <w:spacing w:after="0" w:line="240" w:lineRule="auto"/>
      <w:ind w:left="360" w:hanging="360"/>
    </w:pPr>
    <w:rPr>
      <w:color w:val="auto"/>
      <w:szCs w:val="24"/>
    </w:rPr>
  </w:style>
  <w:style w:type="paragraph" w:customStyle="1" w:styleId="CM13">
    <w:name w:val="CM13"/>
    <w:basedOn w:val="Normal"/>
    <w:next w:val="Normal"/>
    <w:uiPriority w:val="99"/>
    <w:rsid w:val="00542460"/>
    <w:pPr>
      <w:widowControl w:val="0"/>
      <w:autoSpaceDE w:val="0"/>
      <w:autoSpaceDN w:val="0"/>
      <w:adjustRightInd w:val="0"/>
      <w:spacing w:after="0" w:line="240" w:lineRule="auto"/>
      <w:ind w:left="0" w:firstLine="0"/>
    </w:pPr>
    <w:rPr>
      <w:color w:val="auto"/>
      <w:szCs w:val="24"/>
    </w:rPr>
  </w:style>
  <w:style w:type="paragraph" w:styleId="Header">
    <w:name w:val="header"/>
    <w:basedOn w:val="Normal"/>
    <w:link w:val="HeaderChar"/>
    <w:uiPriority w:val="99"/>
    <w:unhideWhenUsed/>
    <w:rsid w:val="00D7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AE8"/>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D71A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1AE8"/>
    <w:rPr>
      <w:rFonts w:ascii="Times New Roman" w:eastAsia="Times New Roman" w:hAnsi="Times New Roman" w:cs="Times New Roman"/>
      <w:color w:val="000000"/>
      <w:sz w:val="24"/>
    </w:rPr>
  </w:style>
  <w:style w:type="paragraph" w:customStyle="1" w:styleId="CM12">
    <w:name w:val="CM12"/>
    <w:basedOn w:val="Normal"/>
    <w:next w:val="Normal"/>
    <w:uiPriority w:val="99"/>
    <w:rsid w:val="00DC307B"/>
    <w:pPr>
      <w:widowControl w:val="0"/>
      <w:autoSpaceDE w:val="0"/>
      <w:autoSpaceDN w:val="0"/>
      <w:adjustRightInd w:val="0"/>
      <w:spacing w:after="0" w:line="240" w:lineRule="auto"/>
      <w:ind w:left="0" w:firstLine="0"/>
    </w:pPr>
    <w:rPr>
      <w:color w:val="auto"/>
      <w:szCs w:val="24"/>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Footnote Text Char1 Char Char,Style 15,fn,ft"/>
    <w:basedOn w:val="Normal"/>
    <w:link w:val="FootnoteTextChar"/>
    <w:uiPriority w:val="99"/>
    <w:qFormat/>
    <w:rsid w:val="00DC307B"/>
    <w:pPr>
      <w:spacing w:after="0" w:line="240" w:lineRule="auto"/>
      <w:ind w:left="0" w:firstLine="0"/>
    </w:pPr>
    <w:rPr>
      <w:snapToGrid w:val="0"/>
      <w:color w:val="auto"/>
      <w:sz w:val="20"/>
      <w:szCs w:val="20"/>
    </w:rPr>
  </w:style>
  <w:style w:type="character" w:customStyle="1" w:styleId="FootnoteTextChar">
    <w:name w:val="Footnote Text Char"/>
    <w:aliases w:val="ALTS FOOTNOTE Char,Car Char,Footnote Text Char Char Char,Footnote Text Char Char Char Char Char,Footnote Text Char Char Char Char Char Char Char Char Char Char Char Char Char Char Char Char Char Char,Footnote Text Char1 Char,fn Char"/>
    <w:basedOn w:val="DefaultParagraphFont"/>
    <w:link w:val="FootnoteText"/>
    <w:uiPriority w:val="99"/>
    <w:rsid w:val="00DC307B"/>
    <w:rPr>
      <w:rFonts w:ascii="Times New Roman" w:eastAsia="Times New Roman" w:hAnsi="Times New Roman" w:cs="Times New Roman"/>
      <w:snapToGrid w:val="0"/>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qFormat/>
    <w:rsid w:val="00DC307B"/>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70645B"/>
    <w:pPr>
      <w:ind w:left="720"/>
      <w:contextualSpacing/>
    </w:pPr>
  </w:style>
  <w:style w:type="character" w:styleId="Hyperlink">
    <w:name w:val="Hyperlink"/>
    <w:basedOn w:val="DefaultParagraphFont"/>
    <w:uiPriority w:val="99"/>
    <w:unhideWhenUsed/>
    <w:rsid w:val="002D57F7"/>
    <w:rPr>
      <w:color w:val="0563C1" w:themeColor="hyperlink"/>
      <w:u w:val="single"/>
    </w:rPr>
  </w:style>
  <w:style w:type="character" w:styleId="CommentReference">
    <w:name w:val="annotation reference"/>
    <w:basedOn w:val="DefaultParagraphFont"/>
    <w:uiPriority w:val="99"/>
    <w:unhideWhenUsed/>
    <w:rsid w:val="004B2B8B"/>
    <w:rPr>
      <w:sz w:val="16"/>
      <w:szCs w:val="16"/>
    </w:rPr>
  </w:style>
  <w:style w:type="paragraph" w:styleId="CommentText">
    <w:name w:val="annotation text"/>
    <w:basedOn w:val="Normal"/>
    <w:link w:val="CommentTextChar"/>
    <w:uiPriority w:val="99"/>
    <w:unhideWhenUsed/>
    <w:rsid w:val="004B2B8B"/>
    <w:pPr>
      <w:spacing w:line="240" w:lineRule="auto"/>
    </w:pPr>
    <w:rPr>
      <w:sz w:val="20"/>
      <w:szCs w:val="20"/>
    </w:rPr>
  </w:style>
  <w:style w:type="character" w:customStyle="1" w:styleId="CommentTextChar">
    <w:name w:val="Comment Text Char"/>
    <w:basedOn w:val="DefaultParagraphFont"/>
    <w:link w:val="CommentText"/>
    <w:uiPriority w:val="99"/>
    <w:rsid w:val="004B2B8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B2B8B"/>
    <w:rPr>
      <w:b/>
      <w:bCs/>
    </w:rPr>
  </w:style>
  <w:style w:type="character" w:customStyle="1" w:styleId="CommentSubjectChar">
    <w:name w:val="Comment Subject Char"/>
    <w:basedOn w:val="CommentTextChar"/>
    <w:link w:val="CommentSubject"/>
    <w:uiPriority w:val="99"/>
    <w:semiHidden/>
    <w:rsid w:val="004B2B8B"/>
    <w:rPr>
      <w:rFonts w:ascii="Times New Roman" w:eastAsia="Times New Roman" w:hAnsi="Times New Roman" w:cs="Times New Roman"/>
      <w:b/>
      <w:bCs/>
      <w:color w:val="000000"/>
      <w:sz w:val="20"/>
      <w:szCs w:val="20"/>
    </w:rPr>
  </w:style>
  <w:style w:type="character" w:styleId="Strong">
    <w:name w:val="Strong"/>
    <w:uiPriority w:val="22"/>
    <w:qFormat/>
    <w:rsid w:val="003C5CD9"/>
    <w:rPr>
      <w:b/>
      <w:bCs/>
    </w:rPr>
  </w:style>
  <w:style w:type="character" w:styleId="Mention">
    <w:name w:val="Mention"/>
    <w:basedOn w:val="DefaultParagraphFont"/>
    <w:uiPriority w:val="99"/>
    <w:unhideWhenUsed/>
    <w:rsid w:val="00007ED1"/>
    <w:rPr>
      <w:color w:val="2B579A"/>
      <w:shd w:val="clear" w:color="auto" w:fill="E1DFDD"/>
    </w:rPr>
  </w:style>
  <w:style w:type="paragraph" w:customStyle="1" w:styleId="SSA5SxSSecondLevel">
    <w:name w:val="SSA5 (SxS Second Level)"/>
    <w:basedOn w:val="Heading6"/>
    <w:uiPriority w:val="9"/>
    <w:qFormat/>
    <w:rsid w:val="00007ED1"/>
    <w:pPr>
      <w:keepNext w:val="0"/>
      <w:keepLines w:val="0"/>
      <w:spacing w:before="0" w:after="240" w:line="240" w:lineRule="auto"/>
      <w:ind w:left="0" w:firstLine="720"/>
    </w:pPr>
    <w:rPr>
      <w:rFonts w:ascii="Times New Roman" w:eastAsia="Times New Roman" w:hAnsi="Times New Roman" w:cs="Times New Roman"/>
      <w:bCs/>
      <w:color w:val="auto"/>
    </w:rPr>
  </w:style>
  <w:style w:type="character" w:customStyle="1" w:styleId="Heading6Char">
    <w:name w:val="Heading 6 Char"/>
    <w:basedOn w:val="DefaultParagraphFont"/>
    <w:link w:val="Heading6"/>
    <w:uiPriority w:val="9"/>
    <w:semiHidden/>
    <w:rsid w:val="00007ED1"/>
    <w:rPr>
      <w:rFonts w:asciiTheme="majorHAnsi" w:eastAsiaTheme="majorEastAsia" w:hAnsiTheme="majorHAnsi" w:cstheme="majorBidi"/>
      <w:color w:val="1F3763" w:themeColor="accent1" w:themeShade="7F"/>
      <w:sz w:val="24"/>
    </w:rPr>
  </w:style>
  <w:style w:type="paragraph" w:styleId="Revision">
    <w:name w:val="Revision"/>
    <w:hidden/>
    <w:uiPriority w:val="99"/>
    <w:semiHidden/>
    <w:rsid w:val="00DA4517"/>
    <w:pPr>
      <w:spacing w:after="0" w:line="240" w:lineRule="auto"/>
    </w:pPr>
    <w:rPr>
      <w:rFonts w:ascii="Times New Roman" w:eastAsia="Times New Roman" w:hAnsi="Times New Roman" w:cs="Times New Roman"/>
      <w:color w:val="000000"/>
      <w:sz w:val="24"/>
    </w:rPr>
  </w:style>
  <w:style w:type="table" w:customStyle="1" w:styleId="TableGrid1">
    <w:name w:val="Table Grid1"/>
    <w:rsid w:val="00832DA5"/>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59"/>
    <w:rsid w:val="00832D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6BA9"/>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CD4E30"/>
    <w:rPr>
      <w:color w:val="605E5C"/>
      <w:shd w:val="clear" w:color="auto" w:fill="E1DFDD"/>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link w:val="ListParagraph"/>
    <w:uiPriority w:val="34"/>
    <w:locked/>
    <w:rsid w:val="001239C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oh/business-and-financial/loan-offic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3B1842B5CD6C4946B5D34D49FF3F0AAB" ma:contentTypeVersion="1784" ma:contentTypeDescription="" ma:contentTypeScope="" ma:versionID="459d009dc935b3cd2f14bd39bcb7710a">
  <xsd:schema xmlns:xsd="http://www.w3.org/2001/XMLSchema" xmlns:xs="http://www.w3.org/2001/XMLSchema" xmlns:p="http://schemas.microsoft.com/office/2006/metadata/properties" xmlns:ns1="http://schemas.microsoft.com/sharepoint/v3" xmlns:ns2="f6f73781-70c4-4328-acc7-2aa385702a57" xmlns:ns3="2ec9bf1d-f160-4c78-b368-c464c722edba" xmlns:ns4="12800946-8a38-4c7c-bc52-c2c1ece4a28f" xmlns:ns5="8ad2afa7-ad9a-4224-8e10-f94b3ba3fda2" targetNamespace="http://schemas.microsoft.com/office/2006/metadata/properties" ma:root="true" ma:fieldsID="eb4bc40b584782237f5c4c26d6c4dec1" ns1:_="" ns2:_="" ns3:_="" ns4:_="" ns5:_="">
    <xsd:import namespace="http://schemas.microsoft.com/sharepoint/v3"/>
    <xsd:import namespace="f6f73781-70c4-4328-acc7-2aa385702a57"/>
    <xsd:import namespace="2ec9bf1d-f160-4c78-b368-c464c722edba"/>
    <xsd:import namespace="12800946-8a38-4c7c-bc52-c2c1ece4a28f"/>
    <xsd:import namespace="8ad2afa7-ad9a-4224-8e10-f94b3ba3fda2"/>
    <xsd:element name="properties">
      <xsd:complexType>
        <xsd:sequence>
          <xsd:element name="documentManagement">
            <xsd:complexType>
              <xsd:all>
                <xsd:element ref="ns2:TaxKeywordTaxHTField" minOccurs="0"/>
                <xsd:element ref="ns2:TaxCatchAll" minOccurs="0"/>
                <xsd:element ref="ns2:TaxCatchAllLabel"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Metadata" minOccurs="0"/>
                <xsd:element ref="ns5:_dlc_DocId" minOccurs="0"/>
                <xsd:element ref="ns5:_dlc_DocIdUrl" minOccurs="0"/>
                <xsd:element ref="ns5:_dlc_DocIdPersistId" minOccurs="0"/>
                <xsd:element ref="ns2:k44039c78db54660831f19f495357333"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0f942484-3cf5-4f8c-ba52-99523afd93bb}" ma:internalName="TaxCatchAll" ma:showField="CatchAllData" ma:web="12800946-8a38-4c7c-bc52-c2c1ece4a2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f942484-3cf5-4f8c-ba52-99523afd93bb}" ma:internalName="TaxCatchAllLabel" ma:readOnly="true" ma:showField="CatchAllDataLabel" ma:web="12800946-8a38-4c7c-bc52-c2c1ece4a28f">
      <xsd:complexType>
        <xsd:complexContent>
          <xsd:extension base="dms:MultiChoiceLookup">
            <xsd:sequence>
              <xsd:element name="Value" type="dms:Lookup" maxOccurs="unbounded" minOccurs="0" nillable="true"/>
            </xsd:sequence>
          </xsd:extension>
        </xsd:complexContent>
      </xsd:complexType>
    </xsd:element>
    <xsd:element name="k44039c78db54660831f19f495357333" ma:index="25" nillable="true" ma:taxonomy="true" ma:internalName="k44039c78db54660831f19f495357333" ma:taxonomyFieldName="West_x0020_km_x0020_Library_x0020_Group_x0020_RMR_x002d_Regs" ma:displayName="West km Library Group RMR-Regs" ma:default="" ma:fieldId="{444039c7-8db5-4660-831f-19f495357333}" ma:sspId="05f0ae79-fa7d-42cd-a738-9aebccb3fb89" ma:termSetId="6004fe79-78d9-4c62-9af3-21e4f4c12a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c9bf1d-f160-4c78-b368-c464c722edba"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Metadata" ma:index="21" nillable="true" ma:displayName="MediaServiceMetadata" ma:hidden="true" ma:internalName="MediaService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5f0ae79-fa7d-42cd-a738-9aebccb3fb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800946-8a38-4c7c-bc52-c2c1ece4a2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xsi:nil="true"/>
    <_ip_UnifiedCompliancePolicyUIAction xmlns="http://schemas.microsoft.com/sharepoint/v3" xsi:nil="true"/>
    <_ip_UnifiedCompliancePolicyProperties xmlns="http://schemas.microsoft.com/sharepoint/v3" xsi:nil="true"/>
    <_dlc_DocId xmlns="8ad2afa7-ad9a-4224-8e10-f94b3ba3fda2">RMRREGS-598577193-749207</_dlc_DocId>
    <_dlc_DocIdUrl xmlns="8ad2afa7-ad9a-4224-8e10-f94b3ba3fda2">
      <Url>https://bcfp365.sharepoint.com/sites/rmr-regs/_layouts/15/DocIdRedir.aspx?ID=RMRREGS-598577193-749207</Url>
      <Description>RMRREGS-598577193-749207</Description>
    </_dlc_DocIdUrl>
    <k44039c78db54660831f19f495357333 xmlns="f6f73781-70c4-4328-acc7-2aa385702a57">
      <Terms xmlns="http://schemas.microsoft.com/office/infopath/2007/PartnerControls"/>
    </k44039c78db54660831f19f495357333>
    <lcf76f155ced4ddcb4097134ff3c332f xmlns="2ec9bf1d-f160-4c78-b368-c464c722edba">
      <Terms xmlns="http://schemas.microsoft.com/office/infopath/2007/PartnerControls"/>
    </lcf76f155ced4ddcb4097134ff3c332f>
    <SharedWithUsers xmlns="12800946-8a38-4c7c-bc52-c2c1ece4a28f">
      <UserInfo>
        <DisplayName>Hirsch, Melanie (CFPB)</DisplayName>
        <AccountId>432</AccountId>
        <AccountType/>
      </UserInfo>
      <UserInfo>
        <DisplayName>Babinecz, Elena (CFPB)(she/her)</DisplayName>
        <AccountId>168</AccountId>
        <AccountType/>
      </UserInfo>
      <UserInfo>
        <DisplayName>Andreassen, Kris (CFPB)</DisplayName>
        <AccountId>50</AccountId>
        <AccountType/>
      </UserInfo>
      <UserInfo>
        <DisplayName>Lee, Lawrence (CFPB)</DisplayName>
        <AccountId>127</AccountId>
        <AccountType/>
      </UserInfo>
      <UserInfo>
        <DisplayName>Snyder, David (CFPB)</DisplayName>
        <AccountId>349</AccountId>
        <AccountType/>
      </UserInfo>
      <UserInfo>
        <DisplayName>Williams, Kelsie (CFPB)</DisplayName>
        <AccountId>480</AccountId>
        <AccountType/>
      </UserInfo>
      <UserInfo>
        <DisplayName>Galleher, Michael (CFPB)</DisplayName>
        <AccountId>518</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6B6C-B203-4CA1-B9D8-AEDE5A11291B}">
  <ds:schemaRefs>
    <ds:schemaRef ds:uri="Microsoft.SharePoint.Taxonomy.ContentTypeSync"/>
  </ds:schemaRefs>
</ds:datastoreItem>
</file>

<file path=customXml/itemProps2.xml><?xml version="1.0" encoding="utf-8"?>
<ds:datastoreItem xmlns:ds="http://schemas.openxmlformats.org/officeDocument/2006/customXml" ds:itemID="{9CB973E1-BAAC-43B8-876F-78CE1B467BB0}">
  <ds:schemaRefs>
    <ds:schemaRef ds:uri="http://schemas.microsoft.com/sharepoint/v3/contenttype/forms"/>
  </ds:schemaRefs>
</ds:datastoreItem>
</file>

<file path=customXml/itemProps3.xml><?xml version="1.0" encoding="utf-8"?>
<ds:datastoreItem xmlns:ds="http://schemas.openxmlformats.org/officeDocument/2006/customXml" ds:itemID="{3B1F8D7C-A616-4C1A-8EC2-26F7CE47843C}">
  <ds:schemaRefs>
    <ds:schemaRef ds:uri="http://schemas.microsoft.com/sharepoint/events"/>
  </ds:schemaRefs>
</ds:datastoreItem>
</file>

<file path=customXml/itemProps4.xml><?xml version="1.0" encoding="utf-8"?>
<ds:datastoreItem xmlns:ds="http://schemas.openxmlformats.org/officeDocument/2006/customXml" ds:itemID="{57B535CF-0444-496B-95EE-60532F0B6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73781-70c4-4328-acc7-2aa385702a57"/>
    <ds:schemaRef ds:uri="2ec9bf1d-f160-4c78-b368-c464c722edba"/>
    <ds:schemaRef ds:uri="12800946-8a38-4c7c-bc52-c2c1ece4a28f"/>
    <ds:schemaRef ds:uri="8ad2afa7-ad9a-4224-8e10-f94b3ba3f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85B66F-BD5D-4B82-AFEC-320A699FF3FA}">
  <ds:schemaRefs>
    <ds:schemaRef ds:uri="http://schemas.microsoft.com/office/2006/metadata/properties"/>
    <ds:schemaRef ds:uri="http://schemas.microsoft.com/office/infopath/2007/PartnerControls"/>
    <ds:schemaRef ds:uri="f6f73781-70c4-4328-acc7-2aa385702a57"/>
    <ds:schemaRef ds:uri="http://schemas.microsoft.com/sharepoint/v3"/>
    <ds:schemaRef ds:uri="8ad2afa7-ad9a-4224-8e10-f94b3ba3fda2"/>
    <ds:schemaRef ds:uri="2ec9bf1d-f160-4c78-b368-c464c722edba"/>
    <ds:schemaRef ds:uri="12800946-8a38-4c7c-bc52-c2c1ece4a28f"/>
  </ds:schemaRefs>
</ds:datastoreItem>
</file>

<file path=customXml/itemProps6.xml><?xml version="1.0" encoding="utf-8"?>
<ds:datastoreItem xmlns:ds="http://schemas.openxmlformats.org/officeDocument/2006/customXml" ds:itemID="{FEFB076E-9340-4DB1-A402-C50A239E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7478</Words>
  <Characters>42625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Kulaev, Sergey (CFPB)</dc:creator>
  <cp:lastModifiedBy>May, Anthony (CFPB)</cp:lastModifiedBy>
  <cp:revision>4</cp:revision>
  <dcterms:created xsi:type="dcterms:W3CDTF">2023-06-02T19:23:00Z</dcterms:created>
  <dcterms:modified xsi:type="dcterms:W3CDTF">2023-06-02T19:24:00Z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0x010100AF5D719A330BE9498B2C5974DBEAC038003B1842B5CD6C4946B5D34D49FF3F0AAB</vt:lpwstr>
  </property>
  <property fmtid="{D5CDD505-2E9C-101B-9397-08002B2CF9AE}" pid="3" name="MediaServiceImageTags">
    <vt:lpwstr/>
  </property>
  <property fmtid="{D5CDD505-2E9C-101B-9397-08002B2CF9AE}" pid="4" name="TaxKeyword">
    <vt:lpwstr/>
  </property>
  <property fmtid="{D5CDD505-2E9C-101B-9397-08002B2CF9AE}" pid="5" name="West km Library Group RMR-Regs">
    <vt:lpwstr/>
  </property>
  <property fmtid="{D5CDD505-2E9C-101B-9397-08002B2CF9AE}" pid="6" name="_dlc_DocIdItemGuid">
    <vt:lpwstr>d7619efd-b769-44f6-b35e-c79982d985b7</vt:lpwstr>
  </property>
</Properties>
</file>