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67320164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136055">
        <w:rPr>
          <w:rFonts w:ascii="Arial" w:hAnsi="Arial" w:cs="Arial"/>
          <w:b/>
          <w:color w:val="auto"/>
        </w:rPr>
        <w:t>039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="00136055">
        <w:rPr>
          <w:rFonts w:ascii="Arial" w:hAnsi="Arial" w:cs="Arial"/>
          <w:b/>
          <w:color w:val="auto"/>
        </w:rPr>
        <w:t>Fruit, Nut, and Specialty Crops</w:t>
      </w:r>
      <w:r w:rsidR="006A7A79">
        <w:rPr>
          <w:rFonts w:ascii="Arial" w:hAnsi="Arial" w:cs="Arial"/>
          <w:b/>
          <w:color w:val="auto"/>
        </w:rPr>
        <w:t xml:space="preserve"> Survey</w:t>
      </w:r>
      <w:r w:rsidR="00136055">
        <w:rPr>
          <w:rFonts w:ascii="Arial" w:hAnsi="Arial" w:cs="Arial"/>
          <w:b/>
          <w:color w:val="auto"/>
        </w:rPr>
        <w:t>s</w:t>
      </w:r>
    </w:p>
    <w:p w:rsidR="00136055" w14:paraId="22BC273C" w14:textId="3226EC90">
      <w:pPr>
        <w:rPr>
          <w:rFonts w:ascii="Arial" w:hAnsi="Arial" w:cs="Arial"/>
          <w:b/>
          <w:color w:val="auto"/>
        </w:rPr>
      </w:pPr>
      <w:bookmarkStart w:id="0" w:name="_Hlk110947603"/>
      <w:r w:rsidRPr="00136055">
        <w:rPr>
          <w:rFonts w:ascii="Arial" w:hAnsi="Arial" w:cs="Arial"/>
          <w:b/>
          <w:color w:val="auto"/>
        </w:rPr>
        <w:t xml:space="preserve">Pecan Inquiry </w:t>
      </w:r>
      <w:r>
        <w:rPr>
          <w:rFonts w:ascii="Arial" w:hAnsi="Arial" w:cs="Arial"/>
          <w:b/>
          <w:color w:val="auto"/>
        </w:rPr>
        <w:t>(Version 2 – TX &amp; OK)</w:t>
      </w:r>
      <w:r w:rsidR="00F77956">
        <w:rPr>
          <w:rFonts w:ascii="Arial" w:hAnsi="Arial" w:cs="Arial"/>
          <w:b/>
          <w:color w:val="auto"/>
        </w:rPr>
        <w:t xml:space="preserve"> </w:t>
      </w:r>
      <w:r w:rsidR="00710272">
        <w:rPr>
          <w:rFonts w:ascii="Arial" w:hAnsi="Arial" w:cs="Arial"/>
          <w:b/>
          <w:color w:val="auto"/>
        </w:rPr>
        <w:t>–</w:t>
      </w:r>
      <w:r w:rsidRPr="00136055">
        <w:rPr>
          <w:rFonts w:ascii="Arial" w:hAnsi="Arial" w:cs="Arial"/>
          <w:b/>
          <w:color w:val="auto"/>
        </w:rPr>
        <w:t xml:space="preserve"> </w:t>
      </w:r>
      <w:r w:rsidR="00710272">
        <w:rPr>
          <w:rFonts w:ascii="Arial" w:hAnsi="Arial" w:cs="Arial"/>
          <w:b/>
          <w:color w:val="auto"/>
        </w:rPr>
        <w:t>October 2023 and December</w:t>
      </w:r>
      <w:r w:rsidRPr="00136055">
        <w:rPr>
          <w:rFonts w:ascii="Arial" w:hAnsi="Arial" w:cs="Arial"/>
          <w:b/>
          <w:color w:val="auto"/>
        </w:rPr>
        <w:t xml:space="preserve"> 202</w:t>
      </w:r>
      <w:bookmarkEnd w:id="0"/>
      <w:r w:rsidR="005F6941">
        <w:rPr>
          <w:rFonts w:ascii="Arial" w:hAnsi="Arial" w:cs="Arial"/>
          <w:b/>
          <w:color w:val="auto"/>
        </w:rPr>
        <w:t>3</w:t>
      </w:r>
    </w:p>
    <w:p w:rsidR="00C60086" w:rsidP="00C60086" w14:paraId="60D11BBD" w14:textId="073F447B">
      <w:pPr>
        <w:rPr>
          <w:rFonts w:ascii="Arial" w:hAnsi="Arial" w:cs="Arial"/>
          <w:b/>
          <w:color w:val="auto"/>
        </w:rPr>
      </w:pPr>
      <w:r w:rsidRPr="00136055">
        <w:rPr>
          <w:rFonts w:ascii="Arial" w:hAnsi="Arial" w:cs="Arial"/>
          <w:b/>
          <w:color w:val="auto"/>
        </w:rPr>
        <w:t xml:space="preserve">Pecan </w:t>
      </w:r>
      <w:r>
        <w:rPr>
          <w:rFonts w:ascii="Arial" w:hAnsi="Arial" w:cs="Arial"/>
          <w:b/>
          <w:color w:val="auto"/>
        </w:rPr>
        <w:t xml:space="preserve">Preliminary </w:t>
      </w:r>
      <w:r w:rsidRPr="00136055">
        <w:rPr>
          <w:rFonts w:ascii="Arial" w:hAnsi="Arial" w:cs="Arial"/>
          <w:b/>
          <w:color w:val="auto"/>
        </w:rPr>
        <w:t xml:space="preserve">Production </w:t>
      </w:r>
      <w:r>
        <w:rPr>
          <w:rFonts w:ascii="Arial" w:hAnsi="Arial" w:cs="Arial"/>
          <w:b/>
          <w:color w:val="auto"/>
        </w:rPr>
        <w:t>a</w:t>
      </w:r>
      <w:r w:rsidRPr="00136055">
        <w:rPr>
          <w:rFonts w:ascii="Arial" w:hAnsi="Arial" w:cs="Arial"/>
          <w:b/>
          <w:color w:val="auto"/>
        </w:rPr>
        <w:t xml:space="preserve">nd Disposition Inquiry </w:t>
      </w:r>
      <w:r>
        <w:rPr>
          <w:rFonts w:ascii="Arial" w:hAnsi="Arial" w:cs="Arial"/>
          <w:b/>
          <w:color w:val="auto"/>
        </w:rPr>
        <w:t>(Version 2 – TX &amp; OK) –</w:t>
      </w:r>
      <w:r w:rsidRPr="00136055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January </w:t>
      </w:r>
      <w:r w:rsidR="00464A43">
        <w:rPr>
          <w:rFonts w:ascii="Arial" w:hAnsi="Arial" w:cs="Arial"/>
          <w:b/>
          <w:color w:val="auto"/>
        </w:rPr>
        <w:t xml:space="preserve">2024 </w:t>
      </w:r>
      <w:r>
        <w:rPr>
          <w:rFonts w:ascii="Arial" w:hAnsi="Arial" w:cs="Arial"/>
          <w:b/>
          <w:color w:val="auto"/>
        </w:rPr>
        <w:t>(Version 2 – TX &amp; OK)</w:t>
      </w:r>
    </w:p>
    <w:p w:rsidR="00464A43" w:rsidP="00C60086" w14:paraId="59D3E3BC" w14:textId="52AC8061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Pecan Final and Preliminary Production and Disposition Inquiry (Version 1 – AZ, GA, &amp; NM) January and February 2024</w:t>
      </w:r>
    </w:p>
    <w:p w:rsidR="0017198C" w:rsidRPr="00ED2248" w14:paraId="1F94DA66" w14:textId="2EEC2199">
      <w:pPr>
        <w:rPr>
          <w:rFonts w:ascii="Arial" w:hAnsi="Arial" w:cs="Arial"/>
          <w:color w:val="FF0000"/>
          <w:u w:val="single"/>
        </w:rPr>
      </w:pPr>
      <w:r w:rsidRPr="00ED2248">
        <w:rPr>
          <w:rFonts w:ascii="Arial" w:hAnsi="Arial" w:cs="Arial"/>
          <w:color w:val="FF0000"/>
          <w:u w:val="single"/>
        </w:rPr>
        <w:t xml:space="preserve">Pecan Inquiry (Version 2 – TX &amp; OK) </w:t>
      </w:r>
      <w:r w:rsidRPr="00ED2248" w:rsidR="00710272">
        <w:rPr>
          <w:rFonts w:ascii="Arial" w:hAnsi="Arial" w:cs="Arial"/>
          <w:color w:val="FF0000"/>
          <w:u w:val="single"/>
        </w:rPr>
        <w:t>–</w:t>
      </w:r>
      <w:r w:rsidRPr="00ED2248">
        <w:rPr>
          <w:rFonts w:ascii="Arial" w:hAnsi="Arial" w:cs="Arial"/>
          <w:color w:val="FF0000"/>
          <w:u w:val="single"/>
        </w:rPr>
        <w:t xml:space="preserve"> </w:t>
      </w:r>
      <w:r w:rsidRPr="00ED2248" w:rsidR="00710272">
        <w:rPr>
          <w:rFonts w:ascii="Arial" w:hAnsi="Arial" w:cs="Arial"/>
          <w:color w:val="FF0000"/>
          <w:u w:val="single"/>
        </w:rPr>
        <w:t>Oct and Dec 2023</w:t>
      </w:r>
    </w:p>
    <w:p w:rsidR="00AB025D" w14:paraId="4AEF8FF2" w14:textId="26D059B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changes for this version of the Pecan Inquiry are:</w:t>
      </w:r>
    </w:p>
    <w:p w:rsidR="001718BC" w:rsidP="001718BC" w14:paraId="68CC9DC7" w14:textId="555C4279">
      <w:pPr>
        <w:pStyle w:val="ListParagraph"/>
        <w:numPr>
          <w:ilvl w:val="0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Bearing acreage is collected by variety (improved / native).  This </w:t>
      </w:r>
      <w:r w:rsidRPr="001718BC">
        <w:rPr>
          <w:rFonts w:ascii="Arial" w:hAnsi="Arial" w:cs="Arial"/>
          <w:color w:val="auto"/>
        </w:rPr>
        <w:t xml:space="preserve">change is needed to allow </w:t>
      </w:r>
      <w:r>
        <w:rPr>
          <w:rFonts w:ascii="Arial" w:hAnsi="Arial" w:cs="Arial"/>
          <w:color w:val="auto"/>
        </w:rPr>
        <w:t>NASS</w:t>
      </w:r>
      <w:r w:rsidRPr="001718BC">
        <w:rPr>
          <w:rFonts w:ascii="Arial" w:hAnsi="Arial" w:cs="Arial"/>
          <w:color w:val="auto"/>
        </w:rPr>
        <w:t xml:space="preserve"> to calculate yield per variety. </w:t>
      </w:r>
      <w:r>
        <w:rPr>
          <w:rFonts w:ascii="Arial" w:hAnsi="Arial" w:cs="Arial"/>
          <w:color w:val="auto"/>
        </w:rPr>
        <w:t xml:space="preserve"> NASS</w:t>
      </w:r>
      <w:r w:rsidRPr="001718BC">
        <w:rPr>
          <w:rFonts w:ascii="Arial" w:hAnsi="Arial" w:cs="Arial"/>
          <w:color w:val="auto"/>
        </w:rPr>
        <w:t xml:space="preserve"> publishe</w:t>
      </w:r>
      <w:r>
        <w:rPr>
          <w:rFonts w:ascii="Arial" w:hAnsi="Arial" w:cs="Arial"/>
          <w:color w:val="auto"/>
        </w:rPr>
        <w:t>s</w:t>
      </w:r>
      <w:r w:rsidRPr="001718BC">
        <w:rPr>
          <w:rFonts w:ascii="Arial" w:hAnsi="Arial" w:cs="Arial"/>
          <w:color w:val="auto"/>
        </w:rPr>
        <w:t xml:space="preserve"> production by variety.</w:t>
      </w:r>
    </w:p>
    <w:p w:rsidR="001718BC" w:rsidP="001718BC" w14:paraId="45DFC6BD" w14:textId="29CF322E">
      <w:pPr>
        <w:pStyle w:val="ListParagraph"/>
        <w:numPr>
          <w:ilvl w:val="0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respondent is given the option to report acreage or number of trees for the native varieties.  NASS’ experience is that </w:t>
      </w:r>
      <w:r w:rsidRPr="001718BC">
        <w:rPr>
          <w:rFonts w:ascii="Arial" w:hAnsi="Arial" w:cs="Arial"/>
          <w:color w:val="auto"/>
        </w:rPr>
        <w:t>many growers of native tree</w:t>
      </w:r>
      <w:r>
        <w:rPr>
          <w:rFonts w:ascii="Arial" w:hAnsi="Arial" w:cs="Arial"/>
          <w:color w:val="auto"/>
        </w:rPr>
        <w:t>s</w:t>
      </w:r>
      <w:r w:rsidRPr="001718BC">
        <w:rPr>
          <w:rFonts w:ascii="Arial" w:hAnsi="Arial" w:cs="Arial"/>
          <w:color w:val="auto"/>
        </w:rPr>
        <w:t xml:space="preserve"> could not report the number of acres since the tree</w:t>
      </w:r>
      <w:r w:rsidR="00FC6883">
        <w:rPr>
          <w:rFonts w:ascii="Arial" w:hAnsi="Arial" w:cs="Arial"/>
          <w:color w:val="auto"/>
        </w:rPr>
        <w:t>s are</w:t>
      </w:r>
      <w:r w:rsidRPr="001718BC">
        <w:rPr>
          <w:rFonts w:ascii="Arial" w:hAnsi="Arial" w:cs="Arial"/>
          <w:color w:val="auto"/>
        </w:rPr>
        <w:t xml:space="preserve"> grow</w:t>
      </w:r>
      <w:r w:rsidR="00FC6883">
        <w:rPr>
          <w:rFonts w:ascii="Arial" w:hAnsi="Arial" w:cs="Arial"/>
          <w:color w:val="auto"/>
        </w:rPr>
        <w:t>n</w:t>
      </w:r>
      <w:r w:rsidRPr="001718BC">
        <w:rPr>
          <w:rFonts w:ascii="Arial" w:hAnsi="Arial" w:cs="Arial"/>
          <w:color w:val="auto"/>
        </w:rPr>
        <w:t xml:space="preserve"> wild across their farms. For the improved type this not an issue </w:t>
      </w:r>
      <w:r w:rsidR="00FC6883">
        <w:rPr>
          <w:rFonts w:ascii="Arial" w:hAnsi="Arial" w:cs="Arial"/>
          <w:color w:val="auto"/>
        </w:rPr>
        <w:t xml:space="preserve">as </w:t>
      </w:r>
      <w:r w:rsidRPr="001718BC">
        <w:rPr>
          <w:rFonts w:ascii="Arial" w:hAnsi="Arial" w:cs="Arial"/>
          <w:color w:val="auto"/>
        </w:rPr>
        <w:t>the</w:t>
      </w:r>
      <w:r>
        <w:rPr>
          <w:rFonts w:ascii="Arial" w:hAnsi="Arial" w:cs="Arial"/>
          <w:color w:val="auto"/>
        </w:rPr>
        <w:t xml:space="preserve"> trees</w:t>
      </w:r>
      <w:r w:rsidRPr="001718BC">
        <w:rPr>
          <w:rFonts w:ascii="Arial" w:hAnsi="Arial" w:cs="Arial"/>
          <w:color w:val="auto"/>
        </w:rPr>
        <w:t xml:space="preserve"> are </w:t>
      </w:r>
      <w:r>
        <w:rPr>
          <w:rFonts w:ascii="Arial" w:hAnsi="Arial" w:cs="Arial"/>
          <w:color w:val="auto"/>
        </w:rPr>
        <w:t xml:space="preserve">not wild and are </w:t>
      </w:r>
      <w:r w:rsidRPr="001718BC">
        <w:rPr>
          <w:rFonts w:ascii="Arial" w:hAnsi="Arial" w:cs="Arial"/>
          <w:color w:val="auto"/>
        </w:rPr>
        <w:t>usually planted in rows.</w:t>
      </w:r>
    </w:p>
    <w:p w:rsidR="006C6891" w:rsidRPr="001718BC" w:rsidP="001718BC" w14:paraId="3F8AC5CA" w14:textId="2C6FA528">
      <w:pPr>
        <w:pStyle w:val="ListParagraph"/>
        <w:numPr>
          <w:ilvl w:val="0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same change was made for the </w:t>
      </w:r>
      <w:r w:rsidR="00464A43">
        <w:rPr>
          <w:rFonts w:ascii="Arial" w:hAnsi="Arial" w:cs="Arial"/>
          <w:color w:val="auto"/>
        </w:rPr>
        <w:t xml:space="preserve">Version 2 </w:t>
      </w:r>
      <w:r>
        <w:rPr>
          <w:rFonts w:ascii="Arial" w:hAnsi="Arial" w:cs="Arial"/>
          <w:color w:val="auto"/>
        </w:rPr>
        <w:t>February PDI in August of 2022.</w:t>
      </w:r>
    </w:p>
    <w:p w:rsidR="00D429D0" w:rsidP="00D429D0" w14:paraId="40F6B225" w14:textId="1AE63F5E">
      <w:pPr>
        <w:rPr>
          <w:rFonts w:ascii="Arial" w:hAnsi="Arial" w:cs="Arial"/>
          <w:color w:val="auto"/>
        </w:rPr>
      </w:pPr>
      <w:r w:rsidRPr="00A23EE2">
        <w:rPr>
          <w:rFonts w:ascii="Arial" w:hAnsi="Arial" w:cs="Arial"/>
          <w:color w:val="FF0000"/>
        </w:rPr>
        <w:t xml:space="preserve">From </w:t>
      </w:r>
      <w:r w:rsidRPr="00D429D0">
        <w:rPr>
          <w:rFonts w:ascii="Arial" w:hAnsi="Arial" w:cs="Arial"/>
          <w:color w:val="auto"/>
        </w:rPr>
        <w:t xml:space="preserve"> </w:t>
      </w:r>
    </w:p>
    <w:p w:rsidR="00D429D0" w14:paraId="5E76427E" w14:textId="15CF2F15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2794635"/>
            <wp:effectExtent l="0" t="0" r="0" b="5715"/>
            <wp:docPr id="1" name="Picture 1" descr="A screenshot of a questionnai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questionnair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012" w:rsidRPr="00A23EE2" w14:paraId="4944E2F2" w14:textId="448CAC50">
      <w:pPr>
        <w:rPr>
          <w:rFonts w:ascii="Arial" w:hAnsi="Arial" w:cs="Arial"/>
          <w:color w:val="FF0000"/>
        </w:rPr>
      </w:pPr>
      <w:r w:rsidRPr="00A23EE2">
        <w:rPr>
          <w:rFonts w:ascii="Arial" w:hAnsi="Arial" w:cs="Arial"/>
          <w:color w:val="FF0000"/>
        </w:rPr>
        <w:t>To</w:t>
      </w:r>
    </w:p>
    <w:p w:rsidR="00805012" w14:paraId="259EABA0" w14:textId="629ACF88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4827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012" w:rsidP="00C60086" w14:paraId="4571BFA1" w14:textId="77777777">
      <w:pPr>
        <w:rPr>
          <w:rFonts w:ascii="Arial" w:hAnsi="Arial" w:cs="Arial"/>
          <w:color w:val="auto"/>
          <w:u w:val="single"/>
        </w:rPr>
      </w:pPr>
    </w:p>
    <w:p w:rsidR="00805012" w:rsidP="00C60086" w14:paraId="748C017B" w14:textId="77777777">
      <w:pPr>
        <w:rPr>
          <w:rFonts w:ascii="Arial" w:hAnsi="Arial" w:cs="Arial"/>
          <w:color w:val="auto"/>
          <w:u w:val="single"/>
        </w:rPr>
      </w:pPr>
    </w:p>
    <w:p w:rsidR="00C60086" w:rsidRPr="00A23EE2" w:rsidP="00C60086" w14:paraId="3490DA44" w14:textId="37D153E3">
      <w:pPr>
        <w:rPr>
          <w:rFonts w:ascii="Arial" w:hAnsi="Arial" w:cs="Arial"/>
          <w:color w:val="FF0000"/>
          <w:u w:val="single"/>
        </w:rPr>
      </w:pPr>
      <w:r w:rsidRPr="00A23EE2">
        <w:rPr>
          <w:rFonts w:ascii="Arial" w:hAnsi="Arial" w:cs="Arial"/>
          <w:color w:val="FF0000"/>
          <w:u w:val="single"/>
        </w:rPr>
        <w:t>Pecan Production and Disposition Inquiry (Version 2 – TX &amp; OK) - January 2024</w:t>
      </w:r>
    </w:p>
    <w:p w:rsidR="00C60086" w:rsidP="00C60086" w14:paraId="34122EC2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changes for this version of the Pecan Production and Disposition Inquiry are:</w:t>
      </w:r>
    </w:p>
    <w:p w:rsidR="00C60086" w:rsidP="00C60086" w14:paraId="389889F7" w14:textId="77777777">
      <w:pPr>
        <w:pStyle w:val="ListParagraph"/>
        <w:numPr>
          <w:ilvl w:val="0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Bearing acreage is collected by variety (improved / native).  This </w:t>
      </w:r>
      <w:r w:rsidRPr="001718BC">
        <w:rPr>
          <w:rFonts w:ascii="Arial" w:hAnsi="Arial" w:cs="Arial"/>
          <w:color w:val="auto"/>
        </w:rPr>
        <w:t xml:space="preserve">change is needed to allow </w:t>
      </w:r>
      <w:r>
        <w:rPr>
          <w:rFonts w:ascii="Arial" w:hAnsi="Arial" w:cs="Arial"/>
          <w:color w:val="auto"/>
        </w:rPr>
        <w:t>NASS</w:t>
      </w:r>
      <w:r w:rsidRPr="001718BC">
        <w:rPr>
          <w:rFonts w:ascii="Arial" w:hAnsi="Arial" w:cs="Arial"/>
          <w:color w:val="auto"/>
        </w:rPr>
        <w:t xml:space="preserve"> to calculate yield per variety. </w:t>
      </w:r>
      <w:r>
        <w:rPr>
          <w:rFonts w:ascii="Arial" w:hAnsi="Arial" w:cs="Arial"/>
          <w:color w:val="auto"/>
        </w:rPr>
        <w:t xml:space="preserve"> NASS</w:t>
      </w:r>
      <w:r w:rsidRPr="001718BC">
        <w:rPr>
          <w:rFonts w:ascii="Arial" w:hAnsi="Arial" w:cs="Arial"/>
          <w:color w:val="auto"/>
        </w:rPr>
        <w:t xml:space="preserve"> publishe</w:t>
      </w:r>
      <w:r>
        <w:rPr>
          <w:rFonts w:ascii="Arial" w:hAnsi="Arial" w:cs="Arial"/>
          <w:color w:val="auto"/>
        </w:rPr>
        <w:t>s</w:t>
      </w:r>
      <w:r w:rsidRPr="001718BC">
        <w:rPr>
          <w:rFonts w:ascii="Arial" w:hAnsi="Arial" w:cs="Arial"/>
          <w:color w:val="auto"/>
        </w:rPr>
        <w:t xml:space="preserve"> production by variety.</w:t>
      </w:r>
    </w:p>
    <w:p w:rsidR="00C60086" w:rsidRPr="001718BC" w:rsidP="00C60086" w14:paraId="4EF19921" w14:textId="77777777">
      <w:pPr>
        <w:pStyle w:val="ListParagraph"/>
        <w:numPr>
          <w:ilvl w:val="0"/>
          <w:numId w:val="7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respondent is given the option to report acreage or number of trees for the native varieties.  NASS’ experience is that </w:t>
      </w:r>
      <w:r w:rsidRPr="001718BC">
        <w:rPr>
          <w:rFonts w:ascii="Arial" w:hAnsi="Arial" w:cs="Arial"/>
          <w:color w:val="auto"/>
        </w:rPr>
        <w:t>many growers of native tree</w:t>
      </w:r>
      <w:r>
        <w:rPr>
          <w:rFonts w:ascii="Arial" w:hAnsi="Arial" w:cs="Arial"/>
          <w:color w:val="auto"/>
        </w:rPr>
        <w:t>s</w:t>
      </w:r>
      <w:r w:rsidRPr="001718BC">
        <w:rPr>
          <w:rFonts w:ascii="Arial" w:hAnsi="Arial" w:cs="Arial"/>
          <w:color w:val="auto"/>
        </w:rPr>
        <w:t xml:space="preserve"> could not report the number of acres since the tree grow wild across their farms. For the improved type this not an issue the</w:t>
      </w:r>
      <w:r>
        <w:rPr>
          <w:rFonts w:ascii="Arial" w:hAnsi="Arial" w:cs="Arial"/>
          <w:color w:val="auto"/>
        </w:rPr>
        <w:t xml:space="preserve"> trees</w:t>
      </w:r>
      <w:r w:rsidRPr="001718BC">
        <w:rPr>
          <w:rFonts w:ascii="Arial" w:hAnsi="Arial" w:cs="Arial"/>
          <w:color w:val="auto"/>
        </w:rPr>
        <w:t xml:space="preserve"> are </w:t>
      </w:r>
      <w:r>
        <w:rPr>
          <w:rFonts w:ascii="Arial" w:hAnsi="Arial" w:cs="Arial"/>
          <w:color w:val="auto"/>
        </w:rPr>
        <w:t xml:space="preserve">not wild and are </w:t>
      </w:r>
      <w:r w:rsidRPr="001718BC">
        <w:rPr>
          <w:rFonts w:ascii="Arial" w:hAnsi="Arial" w:cs="Arial"/>
          <w:color w:val="auto"/>
        </w:rPr>
        <w:t>usually planted in rows.</w:t>
      </w:r>
    </w:p>
    <w:p w:rsidR="00C60086" w:rsidP="00C60086" w14:paraId="258C5D02" w14:textId="77777777">
      <w:pPr>
        <w:rPr>
          <w:rFonts w:ascii="Arial" w:hAnsi="Arial" w:cs="Arial"/>
          <w:color w:val="auto"/>
        </w:rPr>
      </w:pPr>
      <w:r w:rsidRPr="00A23EE2">
        <w:rPr>
          <w:rFonts w:ascii="Arial" w:hAnsi="Arial" w:cs="Arial"/>
          <w:color w:val="FF0000"/>
        </w:rPr>
        <w:t xml:space="preserve">From </w:t>
      </w:r>
      <w:r w:rsidRPr="00D429D0">
        <w:rPr>
          <w:rFonts w:ascii="Arial" w:hAnsi="Arial" w:cs="Arial"/>
          <w:color w:val="auto"/>
        </w:rPr>
        <w:t xml:space="preserve"> </w:t>
      </w:r>
    </w:p>
    <w:p w:rsidR="00333901" w:rsidP="00C60086" w14:paraId="46AB7555" w14:textId="77777777">
      <w:pPr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243024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419" cy="221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086" w:rsidRPr="00A23EE2" w:rsidP="00C60086" w14:paraId="5418C566" w14:textId="3036F03F">
      <w:pPr>
        <w:rPr>
          <w:rFonts w:ascii="Arial" w:hAnsi="Arial" w:cs="Arial"/>
          <w:color w:val="FF0000"/>
        </w:rPr>
      </w:pPr>
      <w:r w:rsidRPr="00A23EE2">
        <w:rPr>
          <w:rFonts w:ascii="Arial" w:hAnsi="Arial" w:cs="Arial"/>
          <w:color w:val="FF0000"/>
        </w:rPr>
        <w:t xml:space="preserve">To </w:t>
      </w:r>
    </w:p>
    <w:p w:rsidR="00C60086" w:rsidP="00C60086" w14:paraId="5559BFF5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>
            <wp:extent cx="5381625" cy="384648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386" cy="38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A43" w:rsidP="00C60086" w14:paraId="37378A18" w14:textId="77777777">
      <w:pPr>
        <w:rPr>
          <w:rFonts w:ascii="Arial" w:hAnsi="Arial" w:cs="Arial"/>
          <w:color w:val="auto"/>
        </w:rPr>
      </w:pPr>
    </w:p>
    <w:p w:rsidR="00464A43" w:rsidP="00464A43" w14:paraId="62744168" w14:textId="029C6956">
      <w:pPr>
        <w:rPr>
          <w:rFonts w:ascii="Arial" w:hAnsi="Arial" w:cs="Arial"/>
          <w:color w:val="FF0000"/>
          <w:u w:val="single"/>
        </w:rPr>
      </w:pPr>
      <w:r w:rsidRPr="00A23EE2">
        <w:rPr>
          <w:rFonts w:ascii="Arial" w:hAnsi="Arial" w:cs="Arial"/>
          <w:color w:val="FF0000"/>
          <w:u w:val="single"/>
        </w:rPr>
        <w:t xml:space="preserve">Pecan Production and Disposition Inquiry (Version </w:t>
      </w:r>
      <w:r>
        <w:rPr>
          <w:rFonts w:ascii="Arial" w:hAnsi="Arial" w:cs="Arial"/>
          <w:color w:val="FF0000"/>
          <w:u w:val="single"/>
        </w:rPr>
        <w:t>1</w:t>
      </w:r>
      <w:r w:rsidRPr="00A23EE2">
        <w:rPr>
          <w:rFonts w:ascii="Arial" w:hAnsi="Arial" w:cs="Arial"/>
          <w:color w:val="FF0000"/>
          <w:u w:val="single"/>
        </w:rPr>
        <w:t xml:space="preserve"> – </w:t>
      </w:r>
      <w:r>
        <w:rPr>
          <w:rFonts w:ascii="Arial" w:hAnsi="Arial" w:cs="Arial"/>
          <w:color w:val="FF0000"/>
          <w:u w:val="single"/>
        </w:rPr>
        <w:t xml:space="preserve">AZ, GA, </w:t>
      </w:r>
      <w:r w:rsidRPr="00A23EE2">
        <w:rPr>
          <w:rFonts w:ascii="Arial" w:hAnsi="Arial" w:cs="Arial"/>
          <w:color w:val="FF0000"/>
          <w:u w:val="single"/>
        </w:rPr>
        <w:t xml:space="preserve">&amp; </w:t>
      </w:r>
      <w:r>
        <w:rPr>
          <w:rFonts w:ascii="Arial" w:hAnsi="Arial" w:cs="Arial"/>
          <w:color w:val="FF0000"/>
          <w:u w:val="single"/>
        </w:rPr>
        <w:t>NM</w:t>
      </w:r>
      <w:r w:rsidRPr="00A23EE2">
        <w:rPr>
          <w:rFonts w:ascii="Arial" w:hAnsi="Arial" w:cs="Arial"/>
          <w:color w:val="FF0000"/>
          <w:u w:val="single"/>
        </w:rPr>
        <w:t xml:space="preserve">) </w:t>
      </w:r>
      <w:r>
        <w:rPr>
          <w:rFonts w:ascii="Arial" w:hAnsi="Arial" w:cs="Arial"/>
          <w:color w:val="FF0000"/>
          <w:u w:val="single"/>
        </w:rPr>
        <w:t>–</w:t>
      </w:r>
      <w:r w:rsidRPr="00A23EE2">
        <w:rPr>
          <w:rFonts w:ascii="Arial" w:hAnsi="Arial" w:cs="Arial"/>
          <w:color w:val="FF0000"/>
          <w:u w:val="single"/>
        </w:rPr>
        <w:t xml:space="preserve"> January</w:t>
      </w:r>
      <w:r>
        <w:rPr>
          <w:rFonts w:ascii="Arial" w:hAnsi="Arial" w:cs="Arial"/>
          <w:color w:val="FF0000"/>
          <w:u w:val="single"/>
        </w:rPr>
        <w:t xml:space="preserve"> and February</w:t>
      </w:r>
      <w:r w:rsidRPr="00A23EE2">
        <w:rPr>
          <w:rFonts w:ascii="Arial" w:hAnsi="Arial" w:cs="Arial"/>
          <w:color w:val="FF0000"/>
          <w:u w:val="single"/>
        </w:rPr>
        <w:t xml:space="preserve"> 2024</w:t>
      </w:r>
    </w:p>
    <w:p w:rsidR="00464A43" w:rsidP="00464A43" w14:paraId="22C54A0B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changes for this version of the Pecan Production and Disposition Inquiry are:</w:t>
      </w:r>
    </w:p>
    <w:p w:rsidR="00464A43" w:rsidP="00464A43" w14:paraId="5022536D" w14:textId="7777777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Reword instructions ‘if no harvest’ to “If you did not harvest </w:t>
      </w:r>
      <w:r>
        <w:rPr>
          <w:rFonts w:ascii="Arial" w:eastAsia="Times New Roman" w:hAnsi="Arial" w:cs="Arial"/>
        </w:rPr>
        <w:t>an</w:t>
      </w:r>
      <w:r>
        <w:rPr>
          <w:rFonts w:ascii="Arial" w:eastAsia="Times New Roman" w:hAnsi="Arial" w:cs="Arial"/>
          <w:color w:val="000000"/>
        </w:rPr>
        <w:t>y pecans in 2023, enter ‘0’ and proceed to Section 2.”  This matches the wording in Version 2.</w:t>
      </w:r>
    </w:p>
    <w:p w:rsidR="00464A43" w:rsidP="00464A43" w14:paraId="4FE76CFD" w14:textId="7777777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Move Item 4 to Section 1.  “Has the total 2023 crop been marketed?”</w:t>
      </w:r>
    </w:p>
    <w:p w:rsidR="00464A43" w:rsidRPr="00A23EE2" w:rsidP="00464A43" w14:paraId="71A6B045" w14:textId="77777777">
      <w:pPr>
        <w:rPr>
          <w:rFonts w:ascii="Arial" w:hAnsi="Arial" w:cs="Arial"/>
          <w:color w:val="FF0000"/>
          <w:u w:val="single"/>
        </w:rPr>
      </w:pPr>
    </w:p>
    <w:p w:rsidR="00464A43" w:rsidP="00464A43" w14:paraId="266C2AFB" w14:textId="77777777">
      <w:pPr>
        <w:rPr>
          <w:rFonts w:ascii="Arial" w:hAnsi="Arial" w:cs="Arial"/>
          <w:color w:val="auto"/>
        </w:rPr>
      </w:pPr>
      <w:r w:rsidRPr="00A23EE2">
        <w:rPr>
          <w:rFonts w:ascii="Arial" w:hAnsi="Arial" w:cs="Arial"/>
          <w:color w:val="FF0000"/>
        </w:rPr>
        <w:t xml:space="preserve">From </w:t>
      </w:r>
      <w:r w:rsidRPr="00D429D0">
        <w:rPr>
          <w:rFonts w:ascii="Arial" w:hAnsi="Arial" w:cs="Arial"/>
          <w:color w:val="auto"/>
        </w:rPr>
        <w:t xml:space="preserve"> </w:t>
      </w:r>
    </w:p>
    <w:p w:rsidR="00464A43" w:rsidP="00C60086" w14:paraId="2E6BD2D4" w14:textId="0CF2FBCE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980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67" w:rsidRPr="00A23EE2" w:rsidP="00527767" w14:paraId="40002919" w14:textId="77777777">
      <w:pPr>
        <w:rPr>
          <w:rFonts w:ascii="Arial" w:hAnsi="Arial" w:cs="Arial"/>
          <w:color w:val="FF0000"/>
        </w:rPr>
      </w:pPr>
      <w:r w:rsidRPr="00A23EE2">
        <w:rPr>
          <w:rFonts w:ascii="Arial" w:hAnsi="Arial" w:cs="Arial"/>
          <w:color w:val="FF0000"/>
        </w:rPr>
        <w:t xml:space="preserve">To </w:t>
      </w:r>
    </w:p>
    <w:p w:rsidR="00464A43" w:rsidP="00C60086" w14:paraId="4FEB8062" w14:textId="760FEDDB">
      <w:pPr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>
            <wp:extent cx="5943600" cy="1063625"/>
            <wp:effectExtent l="0" t="0" r="0" b="3175"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8BC" w14:paraId="3E2A1141" w14:textId="55E3A7FB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>These changes will not impact the current sample size or respondent burden.</w:t>
      </w:r>
    </w:p>
    <w:p w:rsidR="001718BC" w14:paraId="2816A1EF" w14:textId="77777777">
      <w:pPr>
        <w:rPr>
          <w:rFonts w:ascii="Arial" w:hAnsi="Arial" w:cs="Arial"/>
          <w:color w:val="auto"/>
        </w:rPr>
      </w:pPr>
    </w:p>
    <w:p w:rsidR="001653AA" w14:paraId="148FF0AE" w14:textId="0F073834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Revised questionnaires for all affected surveys are loaded to ROCIS.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9742D1"/>
    <w:multiLevelType w:val="hybridMultilevel"/>
    <w:tmpl w:val="3D463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7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18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7141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34739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428714">
    <w:abstractNumId w:val="1"/>
  </w:num>
  <w:num w:numId="5" w16cid:durableId="1943294577">
    <w:abstractNumId w:val="3"/>
  </w:num>
  <w:num w:numId="6" w16cid:durableId="2025355450">
    <w:abstractNumId w:val="4"/>
  </w:num>
  <w:num w:numId="7" w16cid:durableId="2122146079">
    <w:abstractNumId w:val="7"/>
  </w:num>
  <w:num w:numId="8" w16cid:durableId="1935244987">
    <w:abstractNumId w:val="5"/>
  </w:num>
  <w:num w:numId="9" w16cid:durableId="6647424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278AC"/>
    <w:rsid w:val="00136055"/>
    <w:rsid w:val="00137277"/>
    <w:rsid w:val="001515EE"/>
    <w:rsid w:val="00156B8E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F50FA"/>
    <w:rsid w:val="00200830"/>
    <w:rsid w:val="00201693"/>
    <w:rsid w:val="00202708"/>
    <w:rsid w:val="002054E9"/>
    <w:rsid w:val="002069F1"/>
    <w:rsid w:val="00234B3F"/>
    <w:rsid w:val="002763E2"/>
    <w:rsid w:val="00282CD3"/>
    <w:rsid w:val="00293B52"/>
    <w:rsid w:val="00293D4B"/>
    <w:rsid w:val="002C1BE2"/>
    <w:rsid w:val="002E60F6"/>
    <w:rsid w:val="002E73D1"/>
    <w:rsid w:val="002F3CE2"/>
    <w:rsid w:val="00312DBC"/>
    <w:rsid w:val="00322720"/>
    <w:rsid w:val="00330041"/>
    <w:rsid w:val="00330820"/>
    <w:rsid w:val="00332EA3"/>
    <w:rsid w:val="00333901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461FE"/>
    <w:rsid w:val="004633F5"/>
    <w:rsid w:val="00464A43"/>
    <w:rsid w:val="00484232"/>
    <w:rsid w:val="00493D31"/>
    <w:rsid w:val="004B0D80"/>
    <w:rsid w:val="004C41B5"/>
    <w:rsid w:val="004C6389"/>
    <w:rsid w:val="004F1523"/>
    <w:rsid w:val="004F2AAC"/>
    <w:rsid w:val="004F3138"/>
    <w:rsid w:val="004F3335"/>
    <w:rsid w:val="004F4E34"/>
    <w:rsid w:val="004F61C3"/>
    <w:rsid w:val="00506791"/>
    <w:rsid w:val="0051164F"/>
    <w:rsid w:val="00527767"/>
    <w:rsid w:val="005431FA"/>
    <w:rsid w:val="005512C4"/>
    <w:rsid w:val="0055677E"/>
    <w:rsid w:val="0057606E"/>
    <w:rsid w:val="00584B02"/>
    <w:rsid w:val="00586238"/>
    <w:rsid w:val="00594483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C6891"/>
    <w:rsid w:val="006E1604"/>
    <w:rsid w:val="006E6D0E"/>
    <w:rsid w:val="006F5EC6"/>
    <w:rsid w:val="0070403B"/>
    <w:rsid w:val="00710272"/>
    <w:rsid w:val="00722E76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F0D81"/>
    <w:rsid w:val="008024D3"/>
    <w:rsid w:val="00805012"/>
    <w:rsid w:val="00810BD0"/>
    <w:rsid w:val="00825314"/>
    <w:rsid w:val="00850523"/>
    <w:rsid w:val="00871A7A"/>
    <w:rsid w:val="0087349E"/>
    <w:rsid w:val="00897E92"/>
    <w:rsid w:val="008B70DD"/>
    <w:rsid w:val="008D6AD8"/>
    <w:rsid w:val="008F2F48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23EE2"/>
    <w:rsid w:val="00A40F17"/>
    <w:rsid w:val="00A413EC"/>
    <w:rsid w:val="00A43CF1"/>
    <w:rsid w:val="00A52F7E"/>
    <w:rsid w:val="00A63E3F"/>
    <w:rsid w:val="00A758DF"/>
    <w:rsid w:val="00A7658D"/>
    <w:rsid w:val="00A805C0"/>
    <w:rsid w:val="00A8229B"/>
    <w:rsid w:val="00A97BAC"/>
    <w:rsid w:val="00AA0099"/>
    <w:rsid w:val="00AB025D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C045CA"/>
    <w:rsid w:val="00C14066"/>
    <w:rsid w:val="00C17159"/>
    <w:rsid w:val="00C258BF"/>
    <w:rsid w:val="00C30D0E"/>
    <w:rsid w:val="00C42D3B"/>
    <w:rsid w:val="00C56EB9"/>
    <w:rsid w:val="00C60086"/>
    <w:rsid w:val="00C62B2A"/>
    <w:rsid w:val="00C70BA6"/>
    <w:rsid w:val="00C73A5E"/>
    <w:rsid w:val="00C860E0"/>
    <w:rsid w:val="00C9624D"/>
    <w:rsid w:val="00CA6282"/>
    <w:rsid w:val="00CC245B"/>
    <w:rsid w:val="00CC354A"/>
    <w:rsid w:val="00CE3978"/>
    <w:rsid w:val="00CE3E57"/>
    <w:rsid w:val="00CE5FCA"/>
    <w:rsid w:val="00D0685B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C1403"/>
    <w:rsid w:val="00DC6A5C"/>
    <w:rsid w:val="00DF132E"/>
    <w:rsid w:val="00E16748"/>
    <w:rsid w:val="00E174E6"/>
    <w:rsid w:val="00E23861"/>
    <w:rsid w:val="00E2527C"/>
    <w:rsid w:val="00E52FE8"/>
    <w:rsid w:val="00E57BAD"/>
    <w:rsid w:val="00E6655B"/>
    <w:rsid w:val="00EA6818"/>
    <w:rsid w:val="00EC05C2"/>
    <w:rsid w:val="00ED2248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46462"/>
    <w:rsid w:val="00F51AC2"/>
    <w:rsid w:val="00F56001"/>
    <w:rsid w:val="00F61ADE"/>
    <w:rsid w:val="00F6334A"/>
    <w:rsid w:val="00F637B0"/>
    <w:rsid w:val="00F71328"/>
    <w:rsid w:val="00F72E26"/>
    <w:rsid w:val="00F73E9D"/>
    <w:rsid w:val="00F77956"/>
    <w:rsid w:val="00F84FEE"/>
    <w:rsid w:val="00F85420"/>
    <w:rsid w:val="00FC6874"/>
    <w:rsid w:val="00FC6883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paragraph" w:styleId="Revision">
    <w:name w:val="Revision"/>
    <w:hidden/>
    <w:uiPriority w:val="99"/>
    <w:semiHidden/>
    <w:rsid w:val="00FC68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6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Chittenden, Brent - REE-NASS</cp:lastModifiedBy>
  <cp:revision>7</cp:revision>
  <cp:lastPrinted>2014-06-12T20:54:00Z</cp:lastPrinted>
  <dcterms:created xsi:type="dcterms:W3CDTF">2023-05-25T16:14:00Z</dcterms:created>
  <dcterms:modified xsi:type="dcterms:W3CDTF">2023-06-28T15:35:00Z</dcterms:modified>
</cp:coreProperties>
</file>