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0547" w:rsidRPr="00AB0547" w:rsidP="00AB0547" w14:paraId="0C1EF42F" w14:textId="77777777">
      <w:pPr>
        <w:tabs>
          <w:tab w:val="left" w:pos="540"/>
        </w:tabs>
        <w:ind w:left="540" w:hanging="540"/>
        <w:jc w:val="center"/>
        <w:rPr>
          <w:b/>
          <w:sz w:val="24"/>
          <w:szCs w:val="24"/>
        </w:rPr>
      </w:pPr>
      <w:r w:rsidRPr="00AB0547">
        <w:rPr>
          <w:b/>
          <w:sz w:val="24"/>
          <w:szCs w:val="24"/>
        </w:rPr>
        <w:t>SUPPORTING STATEMENT</w:t>
      </w:r>
    </w:p>
    <w:p w:rsidR="00AB0547" w:rsidRPr="00AB0547" w:rsidP="00AB0547" w14:paraId="1A8A5D3C" w14:textId="77777777">
      <w:pPr>
        <w:tabs>
          <w:tab w:val="left" w:pos="540"/>
        </w:tabs>
        <w:ind w:left="540" w:hanging="540"/>
        <w:jc w:val="center"/>
        <w:rPr>
          <w:b/>
          <w:sz w:val="24"/>
          <w:szCs w:val="24"/>
        </w:rPr>
      </w:pPr>
      <w:r w:rsidRPr="00AB0547">
        <w:rPr>
          <w:b/>
          <w:sz w:val="24"/>
          <w:szCs w:val="24"/>
        </w:rPr>
        <w:t>U.S. Department of Commerce</w:t>
      </w:r>
    </w:p>
    <w:p w:rsidR="00AB0547" w:rsidRPr="00AB0547" w:rsidP="00AB0547" w14:paraId="49277614" w14:textId="77777777">
      <w:pPr>
        <w:tabs>
          <w:tab w:val="left" w:pos="540"/>
        </w:tabs>
        <w:ind w:left="540" w:hanging="540"/>
        <w:jc w:val="center"/>
        <w:rPr>
          <w:b/>
          <w:sz w:val="24"/>
          <w:szCs w:val="24"/>
        </w:rPr>
      </w:pPr>
      <w:r w:rsidRPr="00AB0547">
        <w:rPr>
          <w:b/>
          <w:sz w:val="24"/>
          <w:szCs w:val="24"/>
        </w:rPr>
        <w:t>National Oceanic &amp; Atmospheric Administration</w:t>
      </w:r>
    </w:p>
    <w:p w:rsidR="00AB0547" w:rsidRPr="00AB0547" w:rsidP="00AB0547" w14:paraId="09E9A859" w14:textId="77777777">
      <w:pPr>
        <w:tabs>
          <w:tab w:val="left" w:pos="540"/>
        </w:tabs>
        <w:ind w:left="540" w:hanging="540"/>
        <w:jc w:val="center"/>
        <w:rPr>
          <w:b/>
          <w:sz w:val="24"/>
          <w:szCs w:val="24"/>
        </w:rPr>
      </w:pPr>
      <w:r w:rsidRPr="00AB0547">
        <w:rPr>
          <w:b/>
          <w:sz w:val="24"/>
          <w:szCs w:val="24"/>
        </w:rPr>
        <w:t>Type-Approval Requirements for Vessel Monitoring Systems</w:t>
      </w:r>
    </w:p>
    <w:p w:rsidR="004A76F5" w:rsidRPr="00B701E8" w:rsidP="00AB0547" w14:paraId="63EC11F5" w14:textId="7B3D4AF7">
      <w:pPr>
        <w:tabs>
          <w:tab w:val="left" w:pos="540"/>
        </w:tabs>
        <w:ind w:left="540" w:hanging="540"/>
        <w:jc w:val="center"/>
        <w:rPr>
          <w:b/>
          <w:sz w:val="24"/>
          <w:szCs w:val="24"/>
        </w:rPr>
      </w:pPr>
      <w:r w:rsidRPr="00AB0547">
        <w:rPr>
          <w:b/>
          <w:sz w:val="24"/>
          <w:szCs w:val="24"/>
        </w:rPr>
        <w:t>OMB Control No. 0648-</w:t>
      </w:r>
      <w:r w:rsidR="00490A98">
        <w:rPr>
          <w:b/>
          <w:sz w:val="24"/>
          <w:szCs w:val="24"/>
        </w:rPr>
        <w:t>0789</w:t>
      </w:r>
    </w:p>
    <w:p w:rsidR="004F26E9" w:rsidP="00493868" w14:paraId="7279C39C" w14:textId="77777777">
      <w:pPr>
        <w:tabs>
          <w:tab w:val="left" w:pos="540"/>
        </w:tabs>
        <w:ind w:left="540" w:hanging="540"/>
        <w:rPr>
          <w:sz w:val="24"/>
          <w:szCs w:val="24"/>
        </w:rPr>
      </w:pPr>
    </w:p>
    <w:p w:rsidR="004F26E9" w:rsidP="00493868" w14:paraId="44522F2F" w14:textId="77777777">
      <w:pPr>
        <w:tabs>
          <w:tab w:val="left" w:pos="540"/>
        </w:tabs>
        <w:ind w:left="540" w:hanging="540"/>
        <w:rPr>
          <w:sz w:val="24"/>
          <w:szCs w:val="24"/>
        </w:rPr>
      </w:pPr>
    </w:p>
    <w:p w:rsidR="004F26E9" w:rsidP="00493868" w14:paraId="1FE8ED20" w14:textId="7F62F4DF">
      <w:pPr>
        <w:tabs>
          <w:tab w:val="left" w:pos="540"/>
          <w:tab w:val="left" w:pos="720"/>
        </w:tabs>
        <w:ind w:left="540" w:hanging="540"/>
        <w:rPr>
          <w:sz w:val="24"/>
          <w:szCs w:val="24"/>
        </w:rPr>
      </w:pPr>
      <w:r>
        <w:rPr>
          <w:b/>
          <w:bCs/>
          <w:sz w:val="24"/>
          <w:szCs w:val="24"/>
        </w:rPr>
        <w:t>Abstract</w:t>
      </w:r>
    </w:p>
    <w:p w:rsidR="00025FD1" w:rsidP="00025FD1" w14:paraId="2B7C91D6" w14:textId="77777777">
      <w:pPr>
        <w:rPr>
          <w:sz w:val="24"/>
          <w:szCs w:val="24"/>
        </w:rPr>
      </w:pPr>
    </w:p>
    <w:p w:rsidR="004F26E9" w:rsidP="00025FD1" w14:paraId="45DDB04D" w14:textId="52933DD2">
      <w:pPr>
        <w:rPr>
          <w:sz w:val="24"/>
          <w:szCs w:val="24"/>
        </w:rPr>
      </w:pPr>
      <w:r>
        <w:rPr>
          <w:sz w:val="24"/>
          <w:szCs w:val="24"/>
        </w:rPr>
        <w:t xml:space="preserve">This request is for renewal of a currently approved information </w:t>
      </w:r>
      <w:r>
        <w:rPr>
          <w:sz w:val="24"/>
          <w:szCs w:val="24"/>
        </w:rPr>
        <w:t>collection. Final rule 0648-BJ15 (published July 8</w:t>
      </w:r>
      <w:r w:rsidRPr="00025FD1">
        <w:rPr>
          <w:sz w:val="24"/>
          <w:szCs w:val="24"/>
          <w:vertAlign w:val="superscript"/>
        </w:rPr>
        <w:t>th</w:t>
      </w:r>
      <w:r>
        <w:rPr>
          <w:sz w:val="24"/>
          <w:szCs w:val="24"/>
        </w:rPr>
        <w:t xml:space="preserve"> 2020, 85 FR 40915) established Type-Approval Requirements for Vessel </w:t>
      </w:r>
      <w:r w:rsidRPr="00025FD1">
        <w:rPr>
          <w:sz w:val="24"/>
          <w:szCs w:val="24"/>
        </w:rPr>
        <w:t xml:space="preserve">Monitoring Systems </w:t>
      </w:r>
      <w:r w:rsidRPr="00025FD1">
        <w:rPr>
          <w:color w:val="000000"/>
          <w:sz w:val="24"/>
          <w:szCs w:val="24"/>
          <w:shd w:val="clear" w:color="auto" w:fill="FFFFFF"/>
        </w:rPr>
        <w:t>and testing procedures; compliance, revocation, and appeal processes; and technical, service, and performance stand</w:t>
      </w:r>
      <w:r w:rsidRPr="00025FD1">
        <w:rPr>
          <w:color w:val="000000"/>
          <w:sz w:val="24"/>
          <w:szCs w:val="24"/>
          <w:shd w:val="clear" w:color="auto" w:fill="FFFFFF"/>
        </w:rPr>
        <w:t>ards for cellular and satellite-linked vessel monitoring systems (VMS) required in federally-managed fisheries nationwide.</w:t>
      </w:r>
    </w:p>
    <w:p w:rsidR="00BF7C47" w:rsidP="00493868" w14:paraId="5768AFC4" w14:textId="051799B8">
      <w:pPr>
        <w:tabs>
          <w:tab w:val="left" w:pos="540"/>
        </w:tabs>
        <w:ind w:left="540" w:hanging="540"/>
        <w:rPr>
          <w:sz w:val="24"/>
          <w:szCs w:val="24"/>
        </w:rPr>
      </w:pPr>
    </w:p>
    <w:p w:rsidR="00BF7C47" w:rsidRPr="00BF7C47" w:rsidP="00493868" w14:paraId="7570E0B6" w14:textId="2848B6F4">
      <w:pPr>
        <w:tabs>
          <w:tab w:val="left" w:pos="540"/>
        </w:tabs>
        <w:ind w:left="540" w:hanging="540"/>
        <w:rPr>
          <w:b/>
          <w:sz w:val="24"/>
          <w:szCs w:val="24"/>
        </w:rPr>
      </w:pPr>
      <w:r w:rsidRPr="00BF7C47">
        <w:rPr>
          <w:b/>
          <w:sz w:val="24"/>
          <w:szCs w:val="24"/>
        </w:rPr>
        <w:t>Justification</w:t>
      </w:r>
    </w:p>
    <w:p w:rsidR="00BF7C47" w:rsidRPr="00BD7237" w:rsidP="00BF7C47" w14:paraId="5EF800D8"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Pr>
          <w:b/>
          <w:sz w:val="24"/>
          <w:szCs w:val="24"/>
        </w:rPr>
        <w:t>Explain the circumstances that make the collection of information necessary. Identify any legal or administrative r</w:t>
      </w:r>
      <w:r w:rsidRPr="00BD7237">
        <w:rPr>
          <w:b/>
          <w:sz w:val="24"/>
          <w:szCs w:val="24"/>
        </w:rPr>
        <w:t>equirements that necessitate the collection. Attach a copy of the appropriate section of each statute and regulation mandating or authorizing the collection of information.</w:t>
      </w:r>
    </w:p>
    <w:p w:rsidR="00603D71" w:rsidP="0020448B" w14:paraId="12BC74AD" w14:textId="1FA9ACD7">
      <w:pPr>
        <w:rPr>
          <w:sz w:val="24"/>
          <w:szCs w:val="24"/>
        </w:rPr>
      </w:pPr>
    </w:p>
    <w:p w:rsidR="00603D71" w:rsidRPr="00603D71" w:rsidP="00603D71" w14:paraId="62D4DBB3" w14:textId="77777777">
      <w:pPr>
        <w:rPr>
          <w:sz w:val="24"/>
          <w:szCs w:val="24"/>
        </w:rPr>
      </w:pPr>
      <w:r w:rsidRPr="00603D71">
        <w:rPr>
          <w:sz w:val="24"/>
          <w:szCs w:val="24"/>
        </w:rPr>
        <w:t>The Magnuson-Stevens Fishery Conservation and Management Act (Magnuson-Stevens Act</w:t>
      </w:r>
      <w:r w:rsidRPr="00603D71">
        <w:rPr>
          <w:sz w:val="24"/>
          <w:szCs w:val="24"/>
        </w:rPr>
        <w:t>) requires that the National Marine Fisheries Service (NMFS) and regional fishery management councils prevent overfishing and achieve the optimum yield from federally managed fish stocks on a continuing basis. These mandates are intended to ensure that fis</w:t>
      </w:r>
      <w:r w:rsidRPr="00603D71">
        <w:rPr>
          <w:sz w:val="24"/>
          <w:szCs w:val="24"/>
        </w:rPr>
        <w:t xml:space="preserve">hery resources are managed for the greatest overall benefit to the nation, particularly with respect to providing food production and recreational opportunities, and protecting marine ecosystems. To further this goal, the Magnuson-Stevens Act requires the </w:t>
      </w:r>
      <w:r w:rsidRPr="00603D71">
        <w:rPr>
          <w:sz w:val="24"/>
          <w:szCs w:val="24"/>
        </w:rPr>
        <w:t xml:space="preserve">collection of reliable data essential to the effective conservation, management, and scientific understanding of the nation’s fishery resources. </w:t>
      </w:r>
    </w:p>
    <w:p w:rsidR="00603D71" w:rsidRPr="00603D71" w:rsidP="00603D71" w14:paraId="1AFD4D7A" w14:textId="77777777">
      <w:pPr>
        <w:rPr>
          <w:sz w:val="24"/>
          <w:szCs w:val="24"/>
        </w:rPr>
      </w:pPr>
    </w:p>
    <w:p w:rsidR="00603D71" w:rsidRPr="00603D71" w:rsidP="00603D71" w14:paraId="5C8E4BA8" w14:textId="6E37F303">
      <w:pPr>
        <w:rPr>
          <w:sz w:val="24"/>
          <w:szCs w:val="24"/>
        </w:rPr>
      </w:pPr>
      <w:r>
        <w:rPr>
          <w:sz w:val="24"/>
          <w:szCs w:val="24"/>
        </w:rPr>
        <w:t>50 CFR Subpart Q</w:t>
      </w:r>
      <w:r w:rsidRPr="00603D71">
        <w:rPr>
          <w:sz w:val="24"/>
          <w:szCs w:val="24"/>
        </w:rPr>
        <w:t xml:space="preserve"> </w:t>
      </w:r>
      <w:r>
        <w:rPr>
          <w:sz w:val="24"/>
          <w:szCs w:val="24"/>
        </w:rPr>
        <w:t>establishes</w:t>
      </w:r>
      <w:r w:rsidRPr="00603D71">
        <w:rPr>
          <w:sz w:val="24"/>
          <w:szCs w:val="24"/>
        </w:rPr>
        <w:t xml:space="preserve"> the process and requirements for type-approval by NMFS of cellular </w:t>
      </w:r>
      <w:r w:rsidRPr="00603D71">
        <w:rPr>
          <w:sz w:val="24"/>
          <w:szCs w:val="24"/>
        </w:rPr>
        <w:t>transceiver</w:t>
      </w:r>
      <w:r w:rsidRPr="00603D71">
        <w:rPr>
          <w:sz w:val="24"/>
          <w:szCs w:val="24"/>
        </w:rPr>
        <w:t xml:space="preserve"> units that </w:t>
      </w:r>
      <w:r>
        <w:rPr>
          <w:sz w:val="24"/>
          <w:szCs w:val="24"/>
        </w:rPr>
        <w:t>will</w:t>
      </w:r>
      <w:r w:rsidRPr="00603D71">
        <w:rPr>
          <w:sz w:val="24"/>
          <w:szCs w:val="24"/>
        </w:rPr>
        <w:t xml:space="preserve"> transmit vessel tracking data in the U.S. vessel monitoring system (VMS). To accomplish this, the NMFS Office of Law Enforcement (OLE) </w:t>
      </w:r>
      <w:r>
        <w:rPr>
          <w:sz w:val="24"/>
          <w:szCs w:val="24"/>
        </w:rPr>
        <w:t>has developed</w:t>
      </w:r>
      <w:r w:rsidRPr="00603D71">
        <w:rPr>
          <w:sz w:val="24"/>
          <w:szCs w:val="24"/>
        </w:rPr>
        <w:t xml:space="preserve"> a type-appr</w:t>
      </w:r>
      <w:r w:rsidRPr="00603D71">
        <w:rPr>
          <w:sz w:val="24"/>
          <w:szCs w:val="24"/>
        </w:rPr>
        <w:t xml:space="preserve">oval process for cellular based transceiver units that is similar to the </w:t>
      </w:r>
      <w:r>
        <w:rPr>
          <w:sz w:val="24"/>
          <w:szCs w:val="24"/>
        </w:rPr>
        <w:t>existing</w:t>
      </w:r>
      <w:r w:rsidRPr="00603D71">
        <w:rPr>
          <w:sz w:val="24"/>
          <w:szCs w:val="24"/>
        </w:rPr>
        <w:t xml:space="preserve"> type-approval process for satellite-based transceiver units. The vendor-companies who sell the units and associated communication services are the respondents and the parties</w:t>
      </w:r>
      <w:r w:rsidRPr="00603D71">
        <w:rPr>
          <w:sz w:val="24"/>
          <w:szCs w:val="24"/>
        </w:rPr>
        <w:t xml:space="preserve"> that </w:t>
      </w:r>
      <w:r>
        <w:rPr>
          <w:sz w:val="24"/>
          <w:szCs w:val="24"/>
        </w:rPr>
        <w:t>will</w:t>
      </w:r>
      <w:r w:rsidRPr="00603D71">
        <w:rPr>
          <w:sz w:val="24"/>
          <w:szCs w:val="24"/>
        </w:rPr>
        <w:t xml:space="preserve"> submit applications for type-approval. Respondents </w:t>
      </w:r>
      <w:r>
        <w:rPr>
          <w:sz w:val="24"/>
          <w:szCs w:val="24"/>
        </w:rPr>
        <w:t>are</w:t>
      </w:r>
      <w:r w:rsidRPr="00603D71">
        <w:rPr>
          <w:sz w:val="24"/>
          <w:szCs w:val="24"/>
        </w:rPr>
        <w:t xml:space="preserve"> also the vendor-companies that have received type-approval for hardware, software, and/or mobile communications services, and are referred to in </w:t>
      </w:r>
      <w:r>
        <w:rPr>
          <w:sz w:val="24"/>
          <w:szCs w:val="24"/>
        </w:rPr>
        <w:t>50 CFR Subpart Q</w:t>
      </w:r>
      <w:r w:rsidRPr="00603D71">
        <w:rPr>
          <w:sz w:val="24"/>
          <w:szCs w:val="24"/>
        </w:rPr>
        <w:t xml:space="preserve"> as type-approval holders.</w:t>
      </w:r>
    </w:p>
    <w:p w:rsidR="00603D71" w:rsidRPr="00603D71" w:rsidP="00603D71" w14:paraId="17744405" w14:textId="77777777">
      <w:pPr>
        <w:rPr>
          <w:sz w:val="24"/>
          <w:szCs w:val="24"/>
        </w:rPr>
      </w:pPr>
    </w:p>
    <w:p w:rsidR="004F26E9" w:rsidP="0020448B" w14:paraId="6A95B966" w14:textId="60C11F78">
      <w:pPr>
        <w:rPr>
          <w:sz w:val="24"/>
          <w:szCs w:val="24"/>
        </w:rPr>
      </w:pPr>
      <w:r>
        <w:rPr>
          <w:sz w:val="24"/>
          <w:szCs w:val="24"/>
        </w:rPr>
        <w:t>5</w:t>
      </w:r>
      <w:r>
        <w:rPr>
          <w:sz w:val="24"/>
          <w:szCs w:val="24"/>
        </w:rPr>
        <w:t>0 CFR Subpart Q</w:t>
      </w:r>
      <w:r w:rsidRPr="00603D71">
        <w:rPr>
          <w:sz w:val="24"/>
          <w:szCs w:val="24"/>
        </w:rPr>
        <w:t xml:space="preserve"> </w:t>
      </w:r>
      <w:r w:rsidRPr="00603D71" w:rsidR="00603D71">
        <w:rPr>
          <w:sz w:val="24"/>
          <w:szCs w:val="24"/>
        </w:rPr>
        <w:t xml:space="preserve">applies to the NMFS type-approval process for satellite-linked EMTUs </w:t>
      </w:r>
      <w:r>
        <w:rPr>
          <w:sz w:val="24"/>
          <w:szCs w:val="24"/>
        </w:rPr>
        <w:t xml:space="preserve">and </w:t>
      </w:r>
      <w:r w:rsidRPr="00603D71">
        <w:rPr>
          <w:sz w:val="24"/>
          <w:szCs w:val="24"/>
        </w:rPr>
        <w:t>cellular-based VMS transceiver units</w:t>
      </w:r>
      <w:r>
        <w:rPr>
          <w:sz w:val="24"/>
          <w:szCs w:val="24"/>
        </w:rPr>
        <w:t xml:space="preserve"> (EMTU-Cs)</w:t>
      </w:r>
      <w:r w:rsidRPr="00603D71">
        <w:rPr>
          <w:sz w:val="24"/>
          <w:szCs w:val="24"/>
        </w:rPr>
        <w:t xml:space="preserve"> </w:t>
      </w:r>
      <w:r w:rsidRPr="00603D71" w:rsidR="00603D71">
        <w:rPr>
          <w:sz w:val="24"/>
          <w:szCs w:val="24"/>
        </w:rPr>
        <w:t xml:space="preserve">for use in federal fisheries programs nation-wide. </w:t>
      </w:r>
    </w:p>
    <w:p w:rsidR="00BF7C47" w:rsidRPr="00BD7237" w:rsidP="00BF7C47" w14:paraId="792468B7" w14:textId="04D22939">
      <w:pPr>
        <w:pStyle w:val="Heading1"/>
        <w:tabs>
          <w:tab w:val="left" w:pos="360"/>
        </w:tabs>
        <w:spacing w:before="197"/>
        <w:ind w:left="0"/>
        <w:rPr>
          <w:rFonts w:ascii="Times New Roman" w:hAnsi="Times New Roman"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separate"/>
      </w:r>
      <w:r w:rsidRPr="000A0540" w:rsidR="004F26E9">
        <w:rPr>
          <w:lang w:val="en-CA"/>
        </w:rPr>
        <w:fldChar w:fldCharType="end"/>
      </w:r>
      <w:r w:rsidRPr="00BF7C47">
        <w:rPr>
          <w:rFonts w:ascii="Times New Roman" w:hAnsi="Times New Roman" w:cs="Times New Roman"/>
        </w:rPr>
        <w:t xml:space="preserve"> </w:t>
      </w:r>
      <w:r w:rsidRPr="00BD7237">
        <w:rPr>
          <w:rFonts w:ascii="Times New Roman" w:hAnsi="Times New Roman" w:cs="Times New Roman"/>
          <w:bCs w:val="0"/>
        </w:rPr>
        <w:t xml:space="preserve">Indicate how, by whom, and for what </w:t>
      </w:r>
      <w:r w:rsidRPr="00BD7237">
        <w:rPr>
          <w:rFonts w:ascii="Times New Roman" w:hAnsi="Times New Roman" w:cs="Times New Roman"/>
          <w:bCs w:val="0"/>
        </w:rPr>
        <w:t>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 xml:space="preserve">new collection, indicate the actual use the agency has made of the information received from </w:t>
      </w:r>
      <w:r w:rsidRPr="00BD7237">
        <w:rPr>
          <w:rFonts w:ascii="Times New Roman" w:hAnsi="Times New Roman" w:cs="Times New Roman"/>
          <w:bCs w:val="0"/>
        </w:rPr>
        <w:t>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4F26E9" w:rsidP="0020448B" w14:paraId="64CCD8E0" w14:textId="239D53E0">
      <w:pPr>
        <w:rPr>
          <w:sz w:val="24"/>
          <w:szCs w:val="24"/>
        </w:rPr>
      </w:pPr>
    </w:p>
    <w:p w:rsidR="00261361" w:rsidRPr="00D74B5B" w:rsidP="00261361" w14:paraId="21A8ED68" w14:textId="65C96015">
      <w:pPr>
        <w:rPr>
          <w:sz w:val="24"/>
          <w:szCs w:val="24"/>
        </w:rPr>
      </w:pPr>
      <w:r>
        <w:rPr>
          <w:sz w:val="24"/>
          <w:szCs w:val="24"/>
        </w:rPr>
        <w:t>Respondents</w:t>
      </w:r>
      <w:r w:rsidRPr="00D74B5B">
        <w:rPr>
          <w:sz w:val="24"/>
          <w:szCs w:val="24"/>
        </w:rPr>
        <w:t xml:space="preserve"> </w:t>
      </w:r>
      <w:r>
        <w:rPr>
          <w:sz w:val="24"/>
          <w:szCs w:val="24"/>
        </w:rPr>
        <w:t xml:space="preserve">for type-approval of VMS satellite- or cellular-based systems </w:t>
      </w:r>
      <w:r w:rsidRPr="00D74B5B">
        <w:rPr>
          <w:sz w:val="24"/>
          <w:szCs w:val="24"/>
        </w:rPr>
        <w:t xml:space="preserve">must submit </w:t>
      </w:r>
      <w:r w:rsidRPr="00D74B5B">
        <w:rPr>
          <w:sz w:val="24"/>
          <w:szCs w:val="24"/>
        </w:rPr>
        <w:t xml:space="preserve">a written type-approval request and electronic copies of supporting materials that include </w:t>
      </w:r>
      <w:r>
        <w:rPr>
          <w:sz w:val="24"/>
          <w:szCs w:val="24"/>
        </w:rPr>
        <w:t>certain required</w:t>
      </w:r>
      <w:r w:rsidRPr="00D74B5B">
        <w:rPr>
          <w:sz w:val="24"/>
          <w:szCs w:val="24"/>
        </w:rPr>
        <w:t xml:space="preserve"> information. </w:t>
      </w:r>
      <w:r>
        <w:rPr>
          <w:sz w:val="24"/>
          <w:szCs w:val="24"/>
        </w:rPr>
        <w:t xml:space="preserve">The NMFS OLE uses the information submitted to assess whether an EMTU or EMTU-C meets </w:t>
      </w:r>
      <w:r w:rsidRPr="00A71403">
        <w:rPr>
          <w:sz w:val="24"/>
          <w:szCs w:val="24"/>
        </w:rPr>
        <w:t>minimum technical specifications and can be appro</w:t>
      </w:r>
      <w:r w:rsidRPr="00A71403">
        <w:rPr>
          <w:sz w:val="24"/>
          <w:szCs w:val="24"/>
        </w:rPr>
        <w:t>ved for use in the NMFS VMS program.</w:t>
      </w:r>
      <w:r>
        <w:rPr>
          <w:sz w:val="24"/>
          <w:szCs w:val="24"/>
        </w:rPr>
        <w:t xml:space="preserve"> </w:t>
      </w:r>
      <w:r w:rsidRPr="00A71403">
        <w:rPr>
          <w:sz w:val="24"/>
          <w:szCs w:val="24"/>
        </w:rPr>
        <w:t xml:space="preserve">The information currently required to accompany an application for type-approval of VMS </w:t>
      </w:r>
      <w:r w:rsidR="0001624A">
        <w:rPr>
          <w:sz w:val="24"/>
          <w:szCs w:val="24"/>
        </w:rPr>
        <w:t>units</w:t>
      </w:r>
      <w:r w:rsidRPr="00A71403">
        <w:rPr>
          <w:sz w:val="24"/>
          <w:szCs w:val="24"/>
        </w:rPr>
        <w:t xml:space="preserve"> is set forth at 50 CFR </w:t>
      </w:r>
      <w:r w:rsidR="0001624A">
        <w:rPr>
          <w:sz w:val="24"/>
          <w:szCs w:val="24"/>
        </w:rPr>
        <w:t>Subpart Q</w:t>
      </w:r>
      <w:r w:rsidRPr="00A71403">
        <w:rPr>
          <w:sz w:val="24"/>
          <w:szCs w:val="24"/>
        </w:rPr>
        <w:t>.</w:t>
      </w:r>
      <w:r>
        <w:rPr>
          <w:sz w:val="24"/>
          <w:szCs w:val="24"/>
        </w:rPr>
        <w:t xml:space="preserve"> </w:t>
      </w:r>
      <w:r w:rsidRPr="00A71403">
        <w:rPr>
          <w:sz w:val="24"/>
          <w:szCs w:val="24"/>
        </w:rPr>
        <w:t>The information required for type-approval of VMS cellular-based system</w:t>
      </w:r>
      <w:r>
        <w:rPr>
          <w:sz w:val="24"/>
          <w:szCs w:val="24"/>
        </w:rPr>
        <w:t xml:space="preserve">s </w:t>
      </w:r>
      <w:r w:rsidR="0001624A">
        <w:rPr>
          <w:sz w:val="24"/>
          <w:szCs w:val="24"/>
        </w:rPr>
        <w:t>is</w:t>
      </w:r>
      <w:r>
        <w:rPr>
          <w:sz w:val="24"/>
          <w:szCs w:val="24"/>
        </w:rPr>
        <w:t xml:space="preserve"> substantially similar</w:t>
      </w:r>
      <w:r w:rsidRPr="00A71403">
        <w:rPr>
          <w:sz w:val="24"/>
          <w:szCs w:val="24"/>
        </w:rPr>
        <w:t xml:space="preserve"> and identical except where specifically indicated (e.g.</w:t>
      </w:r>
      <w:r>
        <w:rPr>
          <w:sz w:val="24"/>
          <w:szCs w:val="24"/>
        </w:rPr>
        <w:t>,</w:t>
      </w:r>
      <w:r w:rsidRPr="00A71403">
        <w:rPr>
          <w:sz w:val="24"/>
          <w:szCs w:val="24"/>
        </w:rPr>
        <w:t xml:space="preserve"> EMTU-Cs </w:t>
      </w:r>
      <w:r w:rsidR="0001624A">
        <w:rPr>
          <w:sz w:val="24"/>
          <w:szCs w:val="24"/>
        </w:rPr>
        <w:t>are</w:t>
      </w:r>
      <w:r w:rsidRPr="00A71403" w:rsidR="0001624A">
        <w:rPr>
          <w:sz w:val="24"/>
          <w:szCs w:val="24"/>
        </w:rPr>
        <w:t xml:space="preserve"> </w:t>
      </w:r>
      <w:r w:rsidRPr="00A71403">
        <w:rPr>
          <w:sz w:val="24"/>
          <w:szCs w:val="24"/>
        </w:rPr>
        <w:t xml:space="preserve">not required to report </w:t>
      </w:r>
      <w:r>
        <w:rPr>
          <w:sz w:val="24"/>
          <w:szCs w:val="24"/>
        </w:rPr>
        <w:t xml:space="preserve">the at-sea loss of communications </w:t>
      </w:r>
      <w:r w:rsidRPr="009D7CC3">
        <w:rPr>
          <w:sz w:val="24"/>
          <w:szCs w:val="24"/>
        </w:rPr>
        <w:t xml:space="preserve">signals, </w:t>
      </w:r>
      <w:r>
        <w:rPr>
          <w:sz w:val="24"/>
          <w:szCs w:val="24"/>
        </w:rPr>
        <w:t xml:space="preserve">as proposed in 50 CFR </w:t>
      </w:r>
      <w:r w:rsidRPr="00D0123F">
        <w:rPr>
          <w:sz w:val="24"/>
          <w:szCs w:val="24"/>
        </w:rPr>
        <w:t>600.1503(e)(5)</w:t>
      </w:r>
      <w:r w:rsidRPr="009D7CC3">
        <w:rPr>
          <w:sz w:val="24"/>
          <w:szCs w:val="24"/>
        </w:rPr>
        <w:t>).</w:t>
      </w:r>
      <w:r>
        <w:rPr>
          <w:sz w:val="24"/>
          <w:szCs w:val="24"/>
        </w:rPr>
        <w:t xml:space="preserve"> </w:t>
      </w:r>
    </w:p>
    <w:p w:rsidR="00261361" w:rsidP="00261361" w14:paraId="68A87510" w14:textId="77777777">
      <w:pPr>
        <w:rPr>
          <w:sz w:val="24"/>
          <w:szCs w:val="24"/>
        </w:rPr>
      </w:pPr>
    </w:p>
    <w:p w:rsidR="00261361" w:rsidP="00261361" w14:paraId="219FCF31" w14:textId="77777777">
      <w:pPr>
        <w:rPr>
          <w:sz w:val="24"/>
          <w:szCs w:val="24"/>
        </w:rPr>
      </w:pPr>
      <w:r>
        <w:rPr>
          <w:sz w:val="24"/>
          <w:szCs w:val="24"/>
        </w:rPr>
        <w:t>The information collected will not be disseminated to the</w:t>
      </w:r>
      <w:r>
        <w:rPr>
          <w:sz w:val="24"/>
          <w:szCs w:val="24"/>
        </w:rPr>
        <w:t xml:space="preserve"> public or used to support information that will be disseminated to the public.</w:t>
      </w:r>
    </w:p>
    <w:p w:rsidR="00261361" w:rsidRPr="00D74B5B" w:rsidP="00261361" w14:paraId="0ADC3F41" w14:textId="77777777">
      <w:pPr>
        <w:rPr>
          <w:sz w:val="24"/>
          <w:szCs w:val="24"/>
        </w:rPr>
      </w:pPr>
    </w:p>
    <w:p w:rsidR="00261361" w:rsidP="00261361" w14:paraId="3E7359C9" w14:textId="3CB21EC0">
      <w:pPr>
        <w:rPr>
          <w:sz w:val="24"/>
          <w:szCs w:val="24"/>
        </w:rPr>
      </w:pPr>
      <w:r w:rsidRPr="00074677">
        <w:rPr>
          <w:sz w:val="24"/>
          <w:szCs w:val="24"/>
        </w:rPr>
        <w:t xml:space="preserve">Information requested </w:t>
      </w:r>
      <w:r>
        <w:rPr>
          <w:sz w:val="24"/>
          <w:szCs w:val="24"/>
        </w:rPr>
        <w:t xml:space="preserve">in the type-approval application for EMTU-Cs and EMTUs </w:t>
      </w:r>
      <w:r w:rsidRPr="00074677">
        <w:rPr>
          <w:sz w:val="24"/>
          <w:szCs w:val="24"/>
        </w:rPr>
        <w:t>includes</w:t>
      </w:r>
      <w:r>
        <w:rPr>
          <w:sz w:val="24"/>
          <w:szCs w:val="24"/>
        </w:rPr>
        <w:t xml:space="preserve"> the information identified in </w:t>
      </w:r>
      <w:hyperlink r:id="rId6" w:history="1">
        <w:r w:rsidRPr="006200EE">
          <w:rPr>
            <w:rStyle w:val="Hyperlink"/>
            <w:sz w:val="24"/>
            <w:szCs w:val="24"/>
          </w:rPr>
          <w:t>50 CFR 600, subpart Q</w:t>
        </w:r>
      </w:hyperlink>
      <w:r>
        <w:rPr>
          <w:sz w:val="24"/>
          <w:szCs w:val="24"/>
        </w:rPr>
        <w:t>, more specifically, 50 CFR 600.1501 through 600.1509. This identified information is also embodied in the Type-Approval Matrix form that can be used by a respondent t</w:t>
      </w:r>
      <w:r>
        <w:rPr>
          <w:sz w:val="24"/>
          <w:szCs w:val="24"/>
        </w:rPr>
        <w:t>o more easily organize and submit the required information in their type-approval request to NMFS OLE (</w:t>
      </w:r>
      <w:r w:rsidRPr="00BA24B9">
        <w:rPr>
          <w:i/>
          <w:sz w:val="24"/>
          <w:szCs w:val="24"/>
        </w:rPr>
        <w:t>see Type-Approval Matrix</w:t>
      </w:r>
      <w:r>
        <w:rPr>
          <w:i/>
          <w:sz w:val="24"/>
          <w:szCs w:val="24"/>
        </w:rPr>
        <w:t xml:space="preserve"> form</w:t>
      </w:r>
      <w:r w:rsidRPr="00BA24B9">
        <w:rPr>
          <w:i/>
          <w:sz w:val="24"/>
          <w:szCs w:val="24"/>
        </w:rPr>
        <w:t>, attached</w:t>
      </w:r>
      <w:r>
        <w:rPr>
          <w:sz w:val="24"/>
          <w:szCs w:val="24"/>
        </w:rPr>
        <w:t xml:space="preserve">). The information </w:t>
      </w:r>
      <w:r w:rsidR="00C4556A">
        <w:rPr>
          <w:sz w:val="24"/>
          <w:szCs w:val="24"/>
        </w:rPr>
        <w:t xml:space="preserve">includes </w:t>
      </w:r>
      <w:r>
        <w:rPr>
          <w:sz w:val="24"/>
          <w:szCs w:val="24"/>
        </w:rPr>
        <w:t>information regarding:</w:t>
      </w:r>
    </w:p>
    <w:p w:rsidR="00261361" w:rsidRPr="00082925" w:rsidP="00261361" w14:paraId="6A483E32" w14:textId="77777777">
      <w:pPr>
        <w:pStyle w:val="ListParagraph"/>
        <w:numPr>
          <w:ilvl w:val="0"/>
          <w:numId w:val="4"/>
        </w:numPr>
        <w:rPr>
          <w:sz w:val="24"/>
          <w:szCs w:val="24"/>
        </w:rPr>
      </w:pPr>
      <w:r w:rsidRPr="00082925">
        <w:rPr>
          <w:sz w:val="24"/>
          <w:szCs w:val="24"/>
        </w:rPr>
        <w:t xml:space="preserve">Characteristics of the </w:t>
      </w:r>
      <w:r>
        <w:rPr>
          <w:sz w:val="24"/>
          <w:szCs w:val="24"/>
        </w:rPr>
        <w:t>EMTU-C or EMTU</w:t>
      </w:r>
    </w:p>
    <w:p w:rsidR="00261361" w:rsidRPr="00082925" w:rsidP="00261361" w14:paraId="7086FD9F" w14:textId="77777777">
      <w:pPr>
        <w:pStyle w:val="ListParagraph"/>
        <w:numPr>
          <w:ilvl w:val="0"/>
          <w:numId w:val="4"/>
        </w:numPr>
        <w:rPr>
          <w:sz w:val="24"/>
          <w:szCs w:val="24"/>
        </w:rPr>
      </w:pPr>
      <w:r w:rsidRPr="00082925">
        <w:rPr>
          <w:sz w:val="24"/>
          <w:szCs w:val="24"/>
        </w:rPr>
        <w:t>Associated entities inclu</w:t>
      </w:r>
      <w:r w:rsidRPr="00082925">
        <w:rPr>
          <w:sz w:val="24"/>
          <w:szCs w:val="24"/>
        </w:rPr>
        <w:t>ding manufacturer and sellers</w:t>
      </w:r>
    </w:p>
    <w:p w:rsidR="00261361" w:rsidRPr="00082925" w:rsidP="00261361" w14:paraId="05BCA777" w14:textId="77777777">
      <w:pPr>
        <w:pStyle w:val="ListParagraph"/>
        <w:numPr>
          <w:ilvl w:val="0"/>
          <w:numId w:val="4"/>
        </w:numPr>
        <w:rPr>
          <w:sz w:val="24"/>
          <w:szCs w:val="24"/>
        </w:rPr>
      </w:pPr>
      <w:r w:rsidRPr="00082925">
        <w:rPr>
          <w:sz w:val="24"/>
          <w:szCs w:val="24"/>
        </w:rPr>
        <w:t>Communication functionalities</w:t>
      </w:r>
    </w:p>
    <w:p w:rsidR="00261361" w:rsidRPr="00DD179A" w:rsidP="00261361" w14:paraId="31712685" w14:textId="77777777">
      <w:pPr>
        <w:pStyle w:val="ListParagraph"/>
        <w:numPr>
          <w:ilvl w:val="0"/>
          <w:numId w:val="4"/>
        </w:numPr>
        <w:rPr>
          <w:sz w:val="24"/>
          <w:szCs w:val="24"/>
        </w:rPr>
      </w:pPr>
      <w:r w:rsidRPr="00DD179A">
        <w:rPr>
          <w:sz w:val="24"/>
          <w:szCs w:val="24"/>
        </w:rPr>
        <w:t>Data formats</w:t>
      </w:r>
    </w:p>
    <w:p w:rsidR="00261361" w:rsidRPr="00DD179A" w:rsidP="00261361" w14:paraId="5CDF8F30" w14:textId="77777777">
      <w:pPr>
        <w:pStyle w:val="ListParagraph"/>
        <w:numPr>
          <w:ilvl w:val="0"/>
          <w:numId w:val="4"/>
        </w:numPr>
        <w:rPr>
          <w:sz w:val="24"/>
          <w:szCs w:val="24"/>
        </w:rPr>
      </w:pPr>
      <w:r w:rsidRPr="00DD179A">
        <w:rPr>
          <w:sz w:val="24"/>
          <w:szCs w:val="24"/>
        </w:rPr>
        <w:t>Data transmission details</w:t>
      </w:r>
    </w:p>
    <w:p w:rsidR="00261361" w:rsidRPr="00DD179A" w:rsidP="00261361" w14:paraId="0784FA3C" w14:textId="77777777">
      <w:pPr>
        <w:pStyle w:val="ListParagraph"/>
        <w:numPr>
          <w:ilvl w:val="0"/>
          <w:numId w:val="4"/>
        </w:numPr>
        <w:rPr>
          <w:sz w:val="24"/>
          <w:szCs w:val="24"/>
        </w:rPr>
      </w:pPr>
      <w:r w:rsidRPr="00DD179A">
        <w:rPr>
          <w:sz w:val="24"/>
          <w:szCs w:val="24"/>
        </w:rPr>
        <w:t>Latency requirements</w:t>
      </w:r>
    </w:p>
    <w:p w:rsidR="00261361" w:rsidRPr="00DD179A" w:rsidP="00261361" w14:paraId="13808274" w14:textId="77777777">
      <w:pPr>
        <w:pStyle w:val="ListParagraph"/>
        <w:numPr>
          <w:ilvl w:val="0"/>
          <w:numId w:val="4"/>
        </w:numPr>
        <w:rPr>
          <w:sz w:val="24"/>
          <w:szCs w:val="24"/>
        </w:rPr>
      </w:pPr>
      <w:r w:rsidRPr="00DD179A">
        <w:rPr>
          <w:sz w:val="24"/>
          <w:szCs w:val="24"/>
        </w:rPr>
        <w:t xml:space="preserve">Messaging formats and transmission details </w:t>
      </w:r>
    </w:p>
    <w:p w:rsidR="00261361" w:rsidRPr="00DD179A" w:rsidP="00261361" w14:paraId="44194786" w14:textId="77777777">
      <w:pPr>
        <w:pStyle w:val="ListParagraph"/>
        <w:numPr>
          <w:ilvl w:val="0"/>
          <w:numId w:val="4"/>
        </w:numPr>
        <w:rPr>
          <w:sz w:val="24"/>
          <w:szCs w:val="24"/>
        </w:rPr>
      </w:pPr>
      <w:r w:rsidRPr="00DD179A">
        <w:rPr>
          <w:sz w:val="24"/>
          <w:szCs w:val="24"/>
        </w:rPr>
        <w:t>Electronic forms</w:t>
      </w:r>
    </w:p>
    <w:p w:rsidR="00261361" w:rsidRPr="00DD179A" w:rsidP="00261361" w14:paraId="18D9C00A" w14:textId="77777777">
      <w:pPr>
        <w:pStyle w:val="ListParagraph"/>
        <w:numPr>
          <w:ilvl w:val="0"/>
          <w:numId w:val="4"/>
        </w:numPr>
        <w:rPr>
          <w:sz w:val="24"/>
          <w:szCs w:val="24"/>
        </w:rPr>
      </w:pPr>
      <w:r w:rsidRPr="00DD179A">
        <w:rPr>
          <w:sz w:val="24"/>
          <w:szCs w:val="24"/>
        </w:rPr>
        <w:t>Data security</w:t>
      </w:r>
    </w:p>
    <w:p w:rsidR="00261361" w:rsidRPr="00DD179A" w:rsidP="00261361" w14:paraId="74A909BC" w14:textId="77777777">
      <w:pPr>
        <w:pStyle w:val="ListParagraph"/>
        <w:numPr>
          <w:ilvl w:val="0"/>
          <w:numId w:val="4"/>
        </w:numPr>
        <w:rPr>
          <w:sz w:val="24"/>
          <w:szCs w:val="24"/>
        </w:rPr>
      </w:pPr>
      <w:r w:rsidRPr="00DD179A">
        <w:rPr>
          <w:sz w:val="24"/>
          <w:szCs w:val="24"/>
        </w:rPr>
        <w:t>Customer service</w:t>
      </w:r>
    </w:p>
    <w:p w:rsidR="00261361" w:rsidP="00261361" w14:paraId="13E763CA" w14:textId="77777777">
      <w:pPr>
        <w:pStyle w:val="ListParagraph"/>
        <w:numPr>
          <w:ilvl w:val="0"/>
          <w:numId w:val="4"/>
        </w:numPr>
        <w:rPr>
          <w:sz w:val="24"/>
          <w:szCs w:val="24"/>
        </w:rPr>
      </w:pPr>
      <w:r w:rsidRPr="00DD179A">
        <w:rPr>
          <w:sz w:val="24"/>
          <w:szCs w:val="24"/>
        </w:rPr>
        <w:t xml:space="preserve">Durability </w:t>
      </w:r>
    </w:p>
    <w:p w:rsidR="004F26E9" w:rsidRPr="00BF7C47" w:rsidP="0020448B" w14:paraId="2F827862" w14:textId="2E10C14C">
      <w:pPr>
        <w:pStyle w:val="ListParagraph"/>
        <w:numPr>
          <w:ilvl w:val="0"/>
          <w:numId w:val="4"/>
        </w:numPr>
        <w:rPr>
          <w:sz w:val="24"/>
          <w:szCs w:val="24"/>
        </w:rPr>
      </w:pPr>
      <w:r w:rsidRPr="00261361">
        <w:rPr>
          <w:sz w:val="24"/>
          <w:szCs w:val="24"/>
        </w:rPr>
        <w:t xml:space="preserve">Applicant’s data handling </w:t>
      </w:r>
      <w:r w:rsidRPr="00261361">
        <w:rPr>
          <w:sz w:val="24"/>
          <w:szCs w:val="24"/>
        </w:rPr>
        <w:t>requirements</w:t>
      </w:r>
    </w:p>
    <w:p w:rsidR="004F26E9" w:rsidRPr="00BF7C47" w:rsidP="00BF7C47" w14:paraId="3B511DFF" w14:textId="47FDA96D">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BD7237" w:rsidR="00BF7C4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BF7C47">
        <w:rPr>
          <w:b/>
          <w:spacing w:val="-6"/>
          <w:sz w:val="24"/>
          <w:szCs w:val="24"/>
        </w:rPr>
        <w:t xml:space="preserve"> </w:t>
      </w:r>
      <w:r w:rsidRPr="00BD7237" w:rsidR="00BF7C47">
        <w:rPr>
          <w:b/>
          <w:sz w:val="24"/>
          <w:szCs w:val="24"/>
        </w:rPr>
        <w:t>burden.</w:t>
      </w:r>
    </w:p>
    <w:p w:rsidR="004F26E9" w:rsidP="0020448B" w14:paraId="31F883AC" w14:textId="77777777">
      <w:pPr>
        <w:rPr>
          <w:sz w:val="24"/>
          <w:szCs w:val="24"/>
        </w:rPr>
      </w:pPr>
    </w:p>
    <w:p w:rsidR="009D0616" w:rsidP="009D0616" w14:paraId="25E034A1" w14:textId="4934F84B">
      <w:pPr>
        <w:rPr>
          <w:sz w:val="24"/>
          <w:szCs w:val="24"/>
        </w:rPr>
      </w:pPr>
      <w:r>
        <w:rPr>
          <w:sz w:val="24"/>
          <w:szCs w:val="24"/>
        </w:rPr>
        <w:t xml:space="preserve">50 CFR Subpart Q </w:t>
      </w:r>
      <w:r w:rsidRPr="00D74B5B">
        <w:rPr>
          <w:sz w:val="24"/>
          <w:szCs w:val="24"/>
        </w:rPr>
        <w:t>require</w:t>
      </w:r>
      <w:r w:rsidR="00F94046">
        <w:rPr>
          <w:sz w:val="24"/>
          <w:szCs w:val="24"/>
        </w:rPr>
        <w:t>s</w:t>
      </w:r>
      <w:r w:rsidRPr="00D74B5B">
        <w:rPr>
          <w:sz w:val="24"/>
          <w:szCs w:val="24"/>
        </w:rPr>
        <w:t xml:space="preserve"> potential </w:t>
      </w:r>
      <w:r>
        <w:rPr>
          <w:sz w:val="24"/>
          <w:szCs w:val="24"/>
        </w:rPr>
        <w:t>respondents</w:t>
      </w:r>
      <w:r w:rsidRPr="00D74B5B">
        <w:rPr>
          <w:sz w:val="24"/>
          <w:szCs w:val="24"/>
        </w:rPr>
        <w:t xml:space="preserve"> to submit a</w:t>
      </w:r>
      <w:r>
        <w:rPr>
          <w:sz w:val="24"/>
          <w:szCs w:val="24"/>
        </w:rPr>
        <w:t xml:space="preserve"> written</w:t>
      </w:r>
      <w:r w:rsidRPr="00D74B5B">
        <w:rPr>
          <w:sz w:val="24"/>
          <w:szCs w:val="24"/>
        </w:rPr>
        <w:t xml:space="preserve"> application </w:t>
      </w:r>
      <w:r w:rsidRPr="00D74B5B">
        <w:rPr>
          <w:sz w:val="24"/>
          <w:szCs w:val="24"/>
        </w:rPr>
        <w:t xml:space="preserve">for their </w:t>
      </w:r>
      <w:r>
        <w:rPr>
          <w:sz w:val="24"/>
          <w:szCs w:val="24"/>
        </w:rPr>
        <w:t>VMS unit</w:t>
      </w:r>
      <w:r w:rsidRPr="00D74B5B">
        <w:rPr>
          <w:sz w:val="24"/>
          <w:szCs w:val="24"/>
        </w:rPr>
        <w:t xml:space="preserve"> to NMFS for review and approval.</w:t>
      </w:r>
      <w:r>
        <w:rPr>
          <w:sz w:val="24"/>
          <w:szCs w:val="24"/>
        </w:rPr>
        <w:t xml:space="preserve"> The application include</w:t>
      </w:r>
      <w:r w:rsidR="00F94046">
        <w:rPr>
          <w:sz w:val="24"/>
          <w:szCs w:val="24"/>
        </w:rPr>
        <w:t>s</w:t>
      </w:r>
      <w:r>
        <w:rPr>
          <w:sz w:val="24"/>
          <w:szCs w:val="24"/>
        </w:rPr>
        <w:t xml:space="preserve"> a letter to NMFS indicating the respondent’s request for type-approval, a description of the unit, a list of if and how each of the type-approval requirements are or are not met (</w:t>
      </w:r>
      <w:r>
        <w:rPr>
          <w:sz w:val="24"/>
          <w:szCs w:val="24"/>
        </w:rPr>
        <w:t xml:space="preserve">respondent may opt to use the electronic Type-Approval Matrix form available from OLE), and any supporting documentation that may be helpful for the particular unit. The application </w:t>
      </w:r>
      <w:r w:rsidR="00F94046">
        <w:rPr>
          <w:sz w:val="24"/>
          <w:szCs w:val="24"/>
        </w:rPr>
        <w:t xml:space="preserve">needs to </w:t>
      </w:r>
      <w:r>
        <w:rPr>
          <w:sz w:val="24"/>
          <w:szCs w:val="24"/>
        </w:rPr>
        <w:t xml:space="preserve">be </w:t>
      </w:r>
      <w:r w:rsidR="00C4556A">
        <w:rPr>
          <w:sz w:val="24"/>
          <w:szCs w:val="24"/>
        </w:rPr>
        <w:t>emailed</w:t>
      </w:r>
      <w:r>
        <w:rPr>
          <w:sz w:val="24"/>
          <w:szCs w:val="24"/>
        </w:rPr>
        <w:t xml:space="preserve"> to the given NMFS OLE email </w:t>
      </w:r>
      <w:r>
        <w:rPr>
          <w:sz w:val="24"/>
          <w:szCs w:val="24"/>
        </w:rPr>
        <w:t xml:space="preserve">address.  </w:t>
      </w:r>
    </w:p>
    <w:p w:rsidR="009D0616" w:rsidP="009D0616" w14:paraId="254FC17B" w14:textId="77777777">
      <w:pPr>
        <w:rPr>
          <w:sz w:val="24"/>
          <w:szCs w:val="24"/>
        </w:rPr>
      </w:pPr>
    </w:p>
    <w:p w:rsidR="009D0616" w:rsidP="009D0616" w14:paraId="7FBE5FF9" w14:textId="77777777">
      <w:pPr>
        <w:rPr>
          <w:sz w:val="24"/>
          <w:szCs w:val="24"/>
        </w:rPr>
      </w:pPr>
      <w:r>
        <w:rPr>
          <w:sz w:val="24"/>
          <w:szCs w:val="24"/>
        </w:rPr>
        <w:t>As stated in the response to Question 2, the Type-Approval Matrix form will be electronically available to an applicant upon written request (electronic or hard copy) to NMFS OLE. Using the Type-Approval Matrix form is discretionary; a respondent may choos</w:t>
      </w:r>
      <w:r>
        <w:rPr>
          <w:sz w:val="24"/>
          <w:szCs w:val="24"/>
        </w:rPr>
        <w:t xml:space="preserve">e to develop their own documentation as long as it provides the same required information. </w:t>
      </w:r>
    </w:p>
    <w:p w:rsidR="009D0616" w:rsidP="009D0616" w14:paraId="4574E0EC" w14:textId="77777777">
      <w:pPr>
        <w:rPr>
          <w:sz w:val="24"/>
          <w:szCs w:val="24"/>
        </w:rPr>
      </w:pPr>
    </w:p>
    <w:p w:rsidR="009D0616" w:rsidP="009D0616" w14:paraId="2FE5952D" w14:textId="77777777">
      <w:pPr>
        <w:rPr>
          <w:sz w:val="24"/>
          <w:szCs w:val="24"/>
        </w:rPr>
      </w:pPr>
      <w:r>
        <w:rPr>
          <w:sz w:val="24"/>
          <w:szCs w:val="24"/>
        </w:rPr>
        <w:t>For changes to type-approvals, r</w:t>
      </w:r>
      <w:r w:rsidRPr="003255E2">
        <w:rPr>
          <w:sz w:val="24"/>
          <w:szCs w:val="24"/>
        </w:rPr>
        <w:t>evocation response</w:t>
      </w:r>
      <w:r>
        <w:rPr>
          <w:sz w:val="24"/>
          <w:szCs w:val="24"/>
        </w:rPr>
        <w:t>, and di</w:t>
      </w:r>
      <w:r w:rsidRPr="003255E2">
        <w:rPr>
          <w:sz w:val="24"/>
          <w:szCs w:val="24"/>
        </w:rPr>
        <w:t>agnostic and troubleshooting support</w:t>
      </w:r>
      <w:r>
        <w:rPr>
          <w:sz w:val="24"/>
          <w:szCs w:val="24"/>
        </w:rPr>
        <w:t xml:space="preserve"> the use of technology would vary based on the specific circumstance </w:t>
      </w:r>
      <w:r>
        <w:rPr>
          <w:sz w:val="24"/>
          <w:szCs w:val="24"/>
        </w:rPr>
        <w:t>and, if applicable, how each respondent chooses to respond.</w:t>
      </w:r>
    </w:p>
    <w:p w:rsidR="009D0616" w:rsidP="009D0616" w14:paraId="1598B837" w14:textId="77777777">
      <w:pPr>
        <w:rPr>
          <w:sz w:val="24"/>
          <w:szCs w:val="24"/>
        </w:rPr>
      </w:pPr>
    </w:p>
    <w:p w:rsidR="009D0616" w:rsidP="009D0616" w14:paraId="1EDFD9CB" w14:textId="7EF6D360">
      <w:pPr>
        <w:rPr>
          <w:sz w:val="24"/>
          <w:szCs w:val="24"/>
        </w:rPr>
      </w:pPr>
      <w:r>
        <w:rPr>
          <w:sz w:val="24"/>
          <w:szCs w:val="24"/>
        </w:rPr>
        <w:t xml:space="preserve">As stated in </w:t>
      </w:r>
      <w:r w:rsidR="0001624A">
        <w:rPr>
          <w:sz w:val="24"/>
          <w:szCs w:val="24"/>
        </w:rPr>
        <w:t>50 CFR Subpart Q</w:t>
      </w:r>
      <w:r>
        <w:rPr>
          <w:sz w:val="24"/>
          <w:szCs w:val="24"/>
        </w:rPr>
        <w:t>, a primary purpose of this information collection is t</w:t>
      </w:r>
      <w:r w:rsidRPr="003A6974">
        <w:rPr>
          <w:sz w:val="24"/>
          <w:szCs w:val="24"/>
        </w:rPr>
        <w:t xml:space="preserve">o allow for the use of </w:t>
      </w:r>
      <w:r w:rsidR="002F41B5">
        <w:rPr>
          <w:sz w:val="24"/>
          <w:szCs w:val="24"/>
        </w:rPr>
        <w:t>VMS units and the associated</w:t>
      </w:r>
      <w:r w:rsidRPr="003A6974">
        <w:rPr>
          <w:sz w:val="24"/>
          <w:szCs w:val="24"/>
        </w:rPr>
        <w:t xml:space="preserve"> communication service</w:t>
      </w:r>
      <w:r w:rsidR="00C4556A">
        <w:rPr>
          <w:sz w:val="24"/>
          <w:szCs w:val="24"/>
        </w:rPr>
        <w:t xml:space="preserve"> </w:t>
      </w:r>
      <w:r w:rsidRPr="003A6974">
        <w:rPr>
          <w:sz w:val="24"/>
          <w:szCs w:val="24"/>
        </w:rPr>
        <w:t>in federally managed fisheries.</w:t>
      </w:r>
      <w:r w:rsidRPr="007F663D">
        <w:t xml:space="preserve"> </w:t>
      </w:r>
    </w:p>
    <w:p w:rsidR="004F26E9" w:rsidP="0020448B" w14:paraId="0CB302FC" w14:textId="77777777">
      <w:pPr>
        <w:rPr>
          <w:sz w:val="24"/>
          <w:szCs w:val="24"/>
        </w:rPr>
      </w:pPr>
    </w:p>
    <w:p w:rsidR="00BF7C47" w:rsidRPr="00BD7237" w:rsidP="00BF7C47" w14:paraId="6ADC3353"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4F26E9" w:rsidP="0020448B" w14:paraId="1C5ADF17" w14:textId="6C6B7689">
      <w:pPr>
        <w:rPr>
          <w:sz w:val="24"/>
          <w:szCs w:val="24"/>
        </w:rPr>
      </w:pPr>
    </w:p>
    <w:p w:rsidR="00F94046" w:rsidP="009D0616" w14:paraId="0FE0294F" w14:textId="0047083F">
      <w:pPr>
        <w:rPr>
          <w:sz w:val="24"/>
          <w:szCs w:val="24"/>
        </w:rPr>
      </w:pPr>
      <w:r>
        <w:rPr>
          <w:sz w:val="24"/>
          <w:szCs w:val="24"/>
        </w:rPr>
        <w:t>50 CFR Subpart Q specifies</w:t>
      </w:r>
      <w:r w:rsidR="008370A9">
        <w:rPr>
          <w:sz w:val="24"/>
          <w:szCs w:val="24"/>
        </w:rPr>
        <w:t xml:space="preserve"> </w:t>
      </w:r>
      <w:r>
        <w:rPr>
          <w:sz w:val="24"/>
          <w:szCs w:val="24"/>
        </w:rPr>
        <w:t xml:space="preserve">nationwide requirements for </w:t>
      </w:r>
      <w:r w:rsidRPr="008370A9" w:rsidR="008370A9">
        <w:rPr>
          <w:sz w:val="24"/>
          <w:szCs w:val="24"/>
        </w:rPr>
        <w:t>the type-approval by NMFS of cellular</w:t>
      </w:r>
      <w:r w:rsidR="008370A9">
        <w:rPr>
          <w:sz w:val="24"/>
          <w:szCs w:val="24"/>
        </w:rPr>
        <w:t xml:space="preserve"> and satellite</w:t>
      </w:r>
      <w:r w:rsidRPr="008370A9" w:rsidR="008370A9">
        <w:rPr>
          <w:sz w:val="24"/>
          <w:szCs w:val="24"/>
        </w:rPr>
        <w:t xml:space="preserve"> transceiver units that </w:t>
      </w:r>
      <w:r w:rsidR="008370A9">
        <w:rPr>
          <w:sz w:val="24"/>
          <w:szCs w:val="24"/>
        </w:rPr>
        <w:t>transmit fishing vessel tracking data</w:t>
      </w:r>
      <w:r w:rsidR="0095230E">
        <w:rPr>
          <w:sz w:val="24"/>
          <w:szCs w:val="24"/>
        </w:rPr>
        <w:t>. N</w:t>
      </w:r>
      <w:r w:rsidR="008370A9">
        <w:rPr>
          <w:sz w:val="24"/>
          <w:szCs w:val="24"/>
        </w:rPr>
        <w:t xml:space="preserve">o </w:t>
      </w:r>
      <w:r w:rsidR="0095230E">
        <w:rPr>
          <w:sz w:val="24"/>
          <w:szCs w:val="24"/>
        </w:rPr>
        <w:t xml:space="preserve">similar type-approval </w:t>
      </w:r>
      <w:r w:rsidR="008370A9">
        <w:rPr>
          <w:sz w:val="24"/>
          <w:szCs w:val="24"/>
        </w:rPr>
        <w:t>requirements exist</w:t>
      </w:r>
      <w:r w:rsidR="0095230E">
        <w:rPr>
          <w:sz w:val="24"/>
          <w:szCs w:val="24"/>
        </w:rPr>
        <w:t xml:space="preserve"> elsewhere in federal regulations</w:t>
      </w:r>
      <w:r w:rsidR="008370A9">
        <w:rPr>
          <w:sz w:val="24"/>
          <w:szCs w:val="24"/>
        </w:rPr>
        <w:t>.</w:t>
      </w:r>
    </w:p>
    <w:p w:rsidR="00F94046" w:rsidP="009D0616" w14:paraId="63F6EFCB" w14:textId="77777777">
      <w:pPr>
        <w:rPr>
          <w:sz w:val="24"/>
          <w:szCs w:val="24"/>
        </w:rPr>
      </w:pPr>
    </w:p>
    <w:p w:rsidR="009D0616" w:rsidRPr="00D74B5B" w:rsidP="009D0616" w14:paraId="652D40A8" w14:textId="2C73B1C8">
      <w:pPr>
        <w:rPr>
          <w:sz w:val="24"/>
          <w:szCs w:val="24"/>
        </w:rPr>
      </w:pPr>
      <w:r>
        <w:rPr>
          <w:sz w:val="24"/>
          <w:szCs w:val="24"/>
        </w:rPr>
        <w:t>In addition, t</w:t>
      </w:r>
      <w:r w:rsidRPr="00D74B5B">
        <w:rPr>
          <w:sz w:val="24"/>
          <w:szCs w:val="24"/>
        </w:rPr>
        <w:t>he Magnuson-Stevens Act's operational guidelines require each FMP and FMP amendment to evaluate existing state and federal laws that govern the fisheries in question, and the findings are made part of each FMP. The membership of each fishery management cou</w:t>
      </w:r>
      <w:r w:rsidRPr="00D74B5B">
        <w:rPr>
          <w:sz w:val="24"/>
          <w:szCs w:val="24"/>
        </w:rPr>
        <w:t xml:space="preserve">ncil is comprised of state and federal officials responsible for resource management in their area. This joint participation enables identification of other collections that may be gathering the same or similar information. </w:t>
      </w:r>
    </w:p>
    <w:p w:rsidR="004F26E9" w:rsidP="0020448B" w14:paraId="14165BEE" w14:textId="77777777">
      <w:pPr>
        <w:rPr>
          <w:sz w:val="24"/>
          <w:szCs w:val="24"/>
        </w:rPr>
      </w:pPr>
    </w:p>
    <w:p w:rsidR="00BF7C47" w:rsidRPr="00BD7237" w:rsidP="00BF7C47" w14:paraId="4C44598D"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Pr>
          <w:b/>
          <w:sz w:val="24"/>
          <w:szCs w:val="24"/>
        </w:rPr>
        <w:t>If the collection of inform</w:t>
      </w:r>
      <w:r w:rsidRPr="00BD7237">
        <w:rPr>
          <w:b/>
          <w:sz w:val="24"/>
          <w:szCs w:val="24"/>
        </w:rPr>
        <w:t>ation impacts small businesses or other small entities, describe any methods used to minimize burden.</w:t>
      </w:r>
    </w:p>
    <w:p w:rsidR="004F26E9" w:rsidP="0020448B" w14:paraId="5450103D" w14:textId="5ED6DAEF">
      <w:pPr>
        <w:rPr>
          <w:sz w:val="24"/>
          <w:szCs w:val="24"/>
        </w:rPr>
      </w:pPr>
    </w:p>
    <w:p w:rsidR="009D0616" w:rsidRPr="00886C14" w:rsidP="009D0616" w14:paraId="1E8BDEEF" w14:textId="77777777">
      <w:pPr>
        <w:rPr>
          <w:sz w:val="24"/>
          <w:szCs w:val="24"/>
        </w:rPr>
      </w:pPr>
      <w:r w:rsidRPr="00886C14">
        <w:rPr>
          <w:sz w:val="24"/>
          <w:szCs w:val="24"/>
        </w:rPr>
        <w:t xml:space="preserve">There are a limited number of </w:t>
      </w:r>
      <w:r>
        <w:rPr>
          <w:sz w:val="24"/>
          <w:szCs w:val="24"/>
        </w:rPr>
        <w:t>respondents</w:t>
      </w:r>
      <w:r w:rsidRPr="00886C14">
        <w:rPr>
          <w:sz w:val="24"/>
          <w:szCs w:val="24"/>
        </w:rPr>
        <w:t xml:space="preserve"> that have expressed interest or </w:t>
      </w:r>
      <w:r>
        <w:rPr>
          <w:sz w:val="24"/>
          <w:szCs w:val="24"/>
        </w:rPr>
        <w:t>have actually applied to NMFS for</w:t>
      </w:r>
      <w:r w:rsidRPr="00886C14">
        <w:rPr>
          <w:sz w:val="24"/>
          <w:szCs w:val="24"/>
        </w:rPr>
        <w:t xml:space="preserve"> type-approval of </w:t>
      </w:r>
      <w:r w:rsidRPr="00F5581B">
        <w:rPr>
          <w:sz w:val="24"/>
          <w:szCs w:val="24"/>
        </w:rPr>
        <w:t xml:space="preserve">EMTU-Cs </w:t>
      </w:r>
      <w:r>
        <w:rPr>
          <w:sz w:val="24"/>
          <w:szCs w:val="24"/>
        </w:rPr>
        <w:t>or</w:t>
      </w:r>
      <w:r w:rsidRPr="00F5581B">
        <w:rPr>
          <w:sz w:val="24"/>
          <w:szCs w:val="24"/>
        </w:rPr>
        <w:t xml:space="preserve"> EMTUs</w:t>
      </w:r>
      <w:r w:rsidRPr="00886C14">
        <w:rPr>
          <w:sz w:val="24"/>
          <w:szCs w:val="24"/>
        </w:rPr>
        <w:t>.</w:t>
      </w:r>
      <w:r>
        <w:rPr>
          <w:sz w:val="24"/>
          <w:szCs w:val="24"/>
        </w:rPr>
        <w:t xml:space="preserve"> </w:t>
      </w:r>
      <w:r w:rsidRPr="00886C14">
        <w:rPr>
          <w:sz w:val="24"/>
          <w:szCs w:val="24"/>
        </w:rPr>
        <w:t xml:space="preserve">Given the </w:t>
      </w:r>
      <w:r w:rsidRPr="00886C14">
        <w:rPr>
          <w:sz w:val="24"/>
          <w:szCs w:val="24"/>
        </w:rPr>
        <w:t xml:space="preserve">small number of </w:t>
      </w:r>
      <w:r>
        <w:rPr>
          <w:sz w:val="24"/>
          <w:szCs w:val="24"/>
        </w:rPr>
        <w:t>respondents</w:t>
      </w:r>
      <w:r w:rsidRPr="00886C14">
        <w:rPr>
          <w:sz w:val="24"/>
          <w:szCs w:val="24"/>
        </w:rPr>
        <w:t xml:space="preserve"> involved and the need to </w:t>
      </w:r>
      <w:r>
        <w:rPr>
          <w:sz w:val="24"/>
          <w:szCs w:val="24"/>
        </w:rPr>
        <w:t>use a required set of data in order to perform adequate testing and analysis for type-approval</w:t>
      </w:r>
      <w:r w:rsidRPr="00886C14">
        <w:rPr>
          <w:sz w:val="24"/>
          <w:szCs w:val="24"/>
        </w:rPr>
        <w:t xml:space="preserve">, NMFS has not set out </w:t>
      </w:r>
      <w:r>
        <w:rPr>
          <w:sz w:val="24"/>
          <w:szCs w:val="24"/>
        </w:rPr>
        <w:t>separate</w:t>
      </w:r>
      <w:r w:rsidRPr="00886C14">
        <w:rPr>
          <w:sz w:val="24"/>
          <w:szCs w:val="24"/>
        </w:rPr>
        <w:t xml:space="preserve"> requirements</w:t>
      </w:r>
      <w:r>
        <w:rPr>
          <w:sz w:val="24"/>
          <w:szCs w:val="24"/>
        </w:rPr>
        <w:t xml:space="preserve"> for small businesses. </w:t>
      </w:r>
      <w:r w:rsidRPr="00886C14">
        <w:rPr>
          <w:sz w:val="24"/>
          <w:szCs w:val="24"/>
        </w:rPr>
        <w:t xml:space="preserve">However, </w:t>
      </w:r>
      <w:r>
        <w:rPr>
          <w:sz w:val="24"/>
          <w:szCs w:val="24"/>
        </w:rPr>
        <w:t xml:space="preserve">NMFS would </w:t>
      </w:r>
      <w:r w:rsidRPr="00886C14">
        <w:rPr>
          <w:sz w:val="24"/>
          <w:szCs w:val="24"/>
        </w:rPr>
        <w:t>only</w:t>
      </w:r>
      <w:r>
        <w:rPr>
          <w:sz w:val="24"/>
          <w:szCs w:val="24"/>
        </w:rPr>
        <w:t xml:space="preserve"> request</w:t>
      </w:r>
      <w:r w:rsidRPr="00886C14">
        <w:rPr>
          <w:sz w:val="24"/>
          <w:szCs w:val="24"/>
        </w:rPr>
        <w:t xml:space="preserve"> the minim</w:t>
      </w:r>
      <w:r w:rsidRPr="00886C14">
        <w:rPr>
          <w:sz w:val="24"/>
          <w:szCs w:val="24"/>
        </w:rPr>
        <w:t xml:space="preserve">um data needed to determine eligibility for type-approval from </w:t>
      </w:r>
      <w:r>
        <w:rPr>
          <w:sz w:val="24"/>
          <w:szCs w:val="24"/>
        </w:rPr>
        <w:t>respondents</w:t>
      </w:r>
      <w:r w:rsidRPr="00886C14">
        <w:rPr>
          <w:sz w:val="24"/>
          <w:szCs w:val="24"/>
        </w:rPr>
        <w:t>.</w:t>
      </w:r>
    </w:p>
    <w:p w:rsidR="004F26E9" w:rsidP="0020448B" w14:paraId="76F44A71" w14:textId="77777777">
      <w:pPr>
        <w:rPr>
          <w:sz w:val="24"/>
          <w:szCs w:val="24"/>
        </w:rPr>
      </w:pPr>
    </w:p>
    <w:p w:rsidR="00BF7C47" w:rsidRPr="00BD7237" w:rsidP="00BF7C47" w14:paraId="2EC9D5BB"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Pr>
          <w:b/>
          <w:sz w:val="24"/>
          <w:szCs w:val="24"/>
        </w:rPr>
        <w:t>Describe the consequence to Federal program or policy activities if the collection is not conducted or is conducted less frequently, as well as any technical or legal obstacles</w:t>
      </w:r>
      <w:r w:rsidRPr="00BD7237">
        <w:rPr>
          <w:b/>
          <w:sz w:val="24"/>
          <w:szCs w:val="24"/>
        </w:rPr>
        <w:t xml:space="preserve"> to reducing burden.</w:t>
      </w:r>
    </w:p>
    <w:p w:rsidR="009D0616" w:rsidRPr="00E65571" w:rsidP="009D0616" w14:paraId="2C9F25C1" w14:textId="1A309728">
      <w:pPr>
        <w:rPr>
          <w:sz w:val="24"/>
          <w:szCs w:val="24"/>
        </w:rPr>
      </w:pPr>
    </w:p>
    <w:p w:rsidR="009D0616" w:rsidP="009D0616" w14:paraId="7078195A" w14:textId="31640571">
      <w:pPr>
        <w:rPr>
          <w:sz w:val="24"/>
          <w:szCs w:val="24"/>
        </w:rPr>
      </w:pPr>
      <w:r w:rsidRPr="00E65571">
        <w:rPr>
          <w:sz w:val="24"/>
          <w:szCs w:val="24"/>
        </w:rPr>
        <w:t xml:space="preserve">If the </w:t>
      </w:r>
      <w:r>
        <w:rPr>
          <w:sz w:val="24"/>
          <w:szCs w:val="24"/>
        </w:rPr>
        <w:t xml:space="preserve">information collection for </w:t>
      </w:r>
      <w:r w:rsidR="002F41B5">
        <w:rPr>
          <w:sz w:val="24"/>
          <w:szCs w:val="24"/>
        </w:rPr>
        <w:t xml:space="preserve">50 CFR Subpart Q </w:t>
      </w:r>
      <w:r w:rsidRPr="00E65571">
        <w:rPr>
          <w:sz w:val="24"/>
          <w:szCs w:val="24"/>
        </w:rPr>
        <w:t xml:space="preserve">is not </w:t>
      </w:r>
      <w:r w:rsidR="002F41B5">
        <w:rPr>
          <w:sz w:val="24"/>
          <w:szCs w:val="24"/>
        </w:rPr>
        <w:t xml:space="preserve">conducted </w:t>
      </w:r>
      <w:r>
        <w:rPr>
          <w:sz w:val="24"/>
          <w:szCs w:val="24"/>
        </w:rPr>
        <w:t xml:space="preserve">or is only partially </w:t>
      </w:r>
      <w:r w:rsidR="002F41B5">
        <w:rPr>
          <w:sz w:val="24"/>
          <w:szCs w:val="24"/>
        </w:rPr>
        <w:t>conducted</w:t>
      </w:r>
      <w:r>
        <w:rPr>
          <w:sz w:val="24"/>
          <w:szCs w:val="24"/>
        </w:rPr>
        <w:t>, respondents would be unable to seek type-approval for cellular-based VMS units and communication services, and</w:t>
      </w:r>
      <w:r w:rsidRPr="00E65571">
        <w:rPr>
          <w:sz w:val="24"/>
          <w:szCs w:val="24"/>
        </w:rPr>
        <w:t xml:space="preserve"> fisherm</w:t>
      </w:r>
      <w:r>
        <w:rPr>
          <w:sz w:val="24"/>
          <w:szCs w:val="24"/>
        </w:rPr>
        <w:t>e</w:t>
      </w:r>
      <w:r w:rsidRPr="00E65571">
        <w:rPr>
          <w:sz w:val="24"/>
          <w:szCs w:val="24"/>
        </w:rPr>
        <w:t xml:space="preserve">n </w:t>
      </w:r>
      <w:r>
        <w:rPr>
          <w:sz w:val="24"/>
          <w:szCs w:val="24"/>
        </w:rPr>
        <w:t xml:space="preserve">and NMFS </w:t>
      </w:r>
      <w:r w:rsidRPr="00E65571">
        <w:rPr>
          <w:sz w:val="24"/>
          <w:szCs w:val="24"/>
        </w:rPr>
        <w:t>w</w:t>
      </w:r>
      <w:r>
        <w:rPr>
          <w:sz w:val="24"/>
          <w:szCs w:val="24"/>
        </w:rPr>
        <w:t>ould</w:t>
      </w:r>
      <w:r w:rsidRPr="00E65571">
        <w:rPr>
          <w:sz w:val="24"/>
          <w:szCs w:val="24"/>
        </w:rPr>
        <w:t xml:space="preserve"> be restricted to using </w:t>
      </w:r>
      <w:r w:rsidR="002F41B5">
        <w:rPr>
          <w:sz w:val="24"/>
          <w:szCs w:val="24"/>
        </w:rPr>
        <w:t xml:space="preserve">already type-approved units, which may not keep up with technologies and/or will eventually reach end-of-life. It will also obstruct companies from entering the already limited market and decrease competition, which could increase fishermen’s costs.  </w:t>
      </w:r>
      <w:r>
        <w:rPr>
          <w:sz w:val="24"/>
          <w:szCs w:val="24"/>
        </w:rPr>
        <w:t xml:space="preserve"> </w:t>
      </w:r>
    </w:p>
    <w:p w:rsidR="009D0616" w:rsidP="009D0616" w14:paraId="4A719365" w14:textId="77777777">
      <w:pPr>
        <w:rPr>
          <w:sz w:val="24"/>
          <w:szCs w:val="24"/>
        </w:rPr>
      </w:pPr>
    </w:p>
    <w:p w:rsidR="009D0616" w:rsidRPr="00D74B5B" w:rsidP="009D0616" w14:paraId="023073B8" w14:textId="5858C8B0">
      <w:pPr>
        <w:rPr>
          <w:sz w:val="24"/>
          <w:szCs w:val="24"/>
        </w:rPr>
      </w:pPr>
      <w:r>
        <w:rPr>
          <w:sz w:val="24"/>
          <w:szCs w:val="24"/>
        </w:rPr>
        <w:t>Furthermore, NMFS would be unable to continue implementing existing federal regulations at 50 CFR 600, subpart Q for VMS</w:t>
      </w:r>
      <w:r w:rsidR="002F41B5">
        <w:rPr>
          <w:sz w:val="24"/>
          <w:szCs w:val="24"/>
        </w:rPr>
        <w:t xml:space="preserve"> units</w:t>
      </w:r>
      <w:r>
        <w:rPr>
          <w:sz w:val="24"/>
          <w:szCs w:val="24"/>
        </w:rPr>
        <w:t xml:space="preserve">. </w:t>
      </w:r>
    </w:p>
    <w:p w:rsidR="004F26E9" w:rsidP="0020448B" w14:paraId="17D40E25" w14:textId="77777777">
      <w:pPr>
        <w:rPr>
          <w:sz w:val="24"/>
          <w:szCs w:val="24"/>
        </w:rPr>
      </w:pPr>
    </w:p>
    <w:p w:rsidR="00BF7C47" w:rsidRPr="00BD7237" w:rsidP="00BF7C47" w14:paraId="454C7F4D" w14:textId="56F2C810">
      <w:pPr>
        <w:pStyle w:val="ListParagraph"/>
        <w:tabs>
          <w:tab w:val="left" w:pos="360"/>
        </w:tabs>
        <w:adjustRightInd/>
        <w:spacing w:before="80"/>
        <w:ind w:left="0"/>
        <w:contextualSpacing w:val="0"/>
        <w:rPr>
          <w:b/>
          <w:sz w:val="24"/>
          <w:szCs w:val="24"/>
        </w:rPr>
      </w:pPr>
      <w:r>
        <w:rPr>
          <w:b/>
          <w:bCs/>
          <w:sz w:val="24"/>
          <w:szCs w:val="24"/>
        </w:rPr>
        <w:t>7.</w:t>
      </w:r>
      <w:r>
        <w:rPr>
          <w:b/>
          <w:bCs/>
          <w:sz w:val="24"/>
          <w:szCs w:val="24"/>
        </w:rPr>
        <w:tab/>
      </w:r>
      <w:r w:rsidRPr="00BD7237">
        <w:rPr>
          <w:b/>
          <w:sz w:val="24"/>
          <w:szCs w:val="24"/>
        </w:rPr>
        <w:t>Explain any special circumstances that would cause an information collect</w:t>
      </w:r>
      <w:r>
        <w:rPr>
          <w:b/>
          <w:sz w:val="24"/>
          <w:szCs w:val="24"/>
        </w:rPr>
        <w:t>ion to be conducted in a</w:t>
      </w:r>
      <w:r>
        <w:rPr>
          <w:b/>
          <w:sz w:val="24"/>
          <w:szCs w:val="24"/>
        </w:rPr>
        <w:t xml:space="preserve"> manner inconsistent with OMB guidelines.</w:t>
      </w:r>
    </w:p>
    <w:p w:rsidR="004F26E9" w:rsidP="00BF7C47" w14:paraId="605D300E" w14:textId="3DECECFD">
      <w:pPr>
        <w:tabs>
          <w:tab w:val="left" w:pos="540"/>
        </w:tabs>
        <w:ind w:left="540" w:hanging="540"/>
        <w:rPr>
          <w:sz w:val="24"/>
          <w:szCs w:val="24"/>
        </w:rPr>
      </w:pPr>
    </w:p>
    <w:p w:rsidR="004F26E9" w:rsidP="00CD5390" w14:paraId="720978BA" w14:textId="77777777">
      <w:pPr>
        <w:rPr>
          <w:sz w:val="24"/>
          <w:szCs w:val="24"/>
        </w:rPr>
      </w:pPr>
      <w:r w:rsidRPr="00D74B5B">
        <w:rPr>
          <w:sz w:val="24"/>
          <w:szCs w:val="24"/>
        </w:rPr>
        <w:t>No special circumstances are associated with this information collection.</w:t>
      </w:r>
    </w:p>
    <w:p w:rsidR="00725C5C" w:rsidP="00CD5390" w14:paraId="70696A22" w14:textId="77777777">
      <w:pPr>
        <w:rPr>
          <w:b/>
          <w:bCs/>
          <w:sz w:val="24"/>
          <w:szCs w:val="24"/>
        </w:rPr>
      </w:pPr>
    </w:p>
    <w:p w:rsidR="00BF7C47" w:rsidRPr="00BD7237" w:rsidP="00BF7C47" w14:paraId="22A9B041" w14:textId="77777777">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Pr>
          <w:b/>
          <w:sz w:val="24"/>
          <w:szCs w:val="24"/>
        </w:rPr>
        <w:t xml:space="preserve">If applicable, provide a copy and identify the date and page number of publications in the Federal Register of the agency's notice, </w:t>
      </w:r>
      <w:r w:rsidRPr="00BD7237">
        <w:rPr>
          <w:b/>
          <w:sz w:val="24"/>
          <w:szCs w:val="24"/>
        </w:rPr>
        <w:t>required by 5 CFR 1320.8 (d), soliciting comments on the information collection prior to submission to OMB. Summarize public comments received in response to that notice and describe actions taken by the agency in response to these comments. Specifically a</w:t>
      </w:r>
      <w:r w:rsidRPr="00BD7237">
        <w:rPr>
          <w:b/>
          <w:sz w:val="24"/>
          <w:szCs w:val="24"/>
        </w:rPr>
        <w:t>ddress comments received on cost and hour burden.</w:t>
      </w:r>
    </w:p>
    <w:p w:rsidR="00136DC0" w:rsidP="00CD5390" w14:paraId="18E97477" w14:textId="2D75D0EE">
      <w:pPr>
        <w:rPr>
          <w:sz w:val="24"/>
          <w:szCs w:val="24"/>
        </w:rPr>
      </w:pPr>
    </w:p>
    <w:p w:rsidR="00136DC0" w:rsidP="00136DC0" w14:paraId="3B7030F6" w14:textId="5DF86126">
      <w:pPr>
        <w:pStyle w:val="Default"/>
        <w:widowControl/>
        <w:rPr>
          <w:rFonts w:ascii="Times New Roman" w:hAnsi="Times New Roman"/>
          <w:szCs w:val="24"/>
        </w:rPr>
      </w:pPr>
      <w:r w:rsidRPr="00E25B8F">
        <w:rPr>
          <w:rFonts w:ascii="Times New Roman" w:hAnsi="Times New Roman"/>
          <w:szCs w:val="24"/>
        </w:rPr>
        <w:t>A</w:t>
      </w:r>
      <w:r>
        <w:rPr>
          <w:rFonts w:ascii="Times New Roman" w:hAnsi="Times New Roman"/>
          <w:szCs w:val="24"/>
        </w:rPr>
        <w:t xml:space="preserve"> Federal Register </w:t>
      </w:r>
      <w:r w:rsidRPr="00E25B8F">
        <w:rPr>
          <w:rFonts w:ascii="Times New Roman" w:hAnsi="Times New Roman"/>
          <w:szCs w:val="24"/>
        </w:rPr>
        <w:t xml:space="preserve">Notice published on </w:t>
      </w:r>
      <w:r>
        <w:rPr>
          <w:rFonts w:ascii="Times New Roman" w:hAnsi="Times New Roman"/>
          <w:szCs w:val="24"/>
        </w:rPr>
        <w:t>February</w:t>
      </w:r>
      <w:r w:rsidRPr="00E25B8F">
        <w:rPr>
          <w:rFonts w:ascii="Times New Roman" w:hAnsi="Times New Roman"/>
          <w:szCs w:val="24"/>
        </w:rPr>
        <w:t xml:space="preserve"> </w:t>
      </w:r>
      <w:r>
        <w:rPr>
          <w:rFonts w:ascii="Times New Roman" w:hAnsi="Times New Roman"/>
          <w:szCs w:val="24"/>
        </w:rPr>
        <w:t>13, 2023</w:t>
      </w:r>
      <w:r w:rsidRPr="00E25B8F">
        <w:rPr>
          <w:rFonts w:ascii="Times New Roman" w:hAnsi="Times New Roman"/>
          <w:szCs w:val="24"/>
        </w:rPr>
        <w:t xml:space="preserve"> (8</w:t>
      </w:r>
      <w:r>
        <w:rPr>
          <w:rFonts w:ascii="Times New Roman" w:hAnsi="Times New Roman"/>
          <w:szCs w:val="24"/>
        </w:rPr>
        <w:t>8</w:t>
      </w:r>
      <w:r w:rsidRPr="00E25B8F">
        <w:rPr>
          <w:rFonts w:ascii="Times New Roman" w:hAnsi="Times New Roman"/>
          <w:szCs w:val="24"/>
        </w:rPr>
        <w:t xml:space="preserve"> FR </w:t>
      </w:r>
      <w:r>
        <w:rPr>
          <w:rFonts w:ascii="Times New Roman" w:hAnsi="Times New Roman"/>
          <w:szCs w:val="24"/>
        </w:rPr>
        <w:t>9255</w:t>
      </w:r>
      <w:r w:rsidRPr="00E25B8F">
        <w:rPr>
          <w:rFonts w:ascii="Times New Roman" w:hAnsi="Times New Roman"/>
          <w:szCs w:val="24"/>
        </w:rPr>
        <w:t>) solicited public comments.</w:t>
      </w:r>
      <w:r>
        <w:rPr>
          <w:rFonts w:ascii="Times New Roman" w:hAnsi="Times New Roman"/>
          <w:szCs w:val="24"/>
        </w:rPr>
        <w:t xml:space="preserve"> No comments were received during the comment period.</w:t>
      </w:r>
      <w:r w:rsidRPr="00E25B8F">
        <w:rPr>
          <w:rFonts w:ascii="Times New Roman" w:hAnsi="Times New Roman"/>
          <w:szCs w:val="24"/>
        </w:rPr>
        <w:t xml:space="preserve"> </w:t>
      </w:r>
    </w:p>
    <w:p w:rsidR="00136DC0" w:rsidP="00CD5390" w14:paraId="2E317822" w14:textId="77777777">
      <w:pPr>
        <w:rPr>
          <w:sz w:val="24"/>
          <w:szCs w:val="24"/>
        </w:rPr>
      </w:pPr>
    </w:p>
    <w:p w:rsidR="00493868" w:rsidP="00CD5390" w14:paraId="1DE8ED73" w14:textId="2B86C792">
      <w:pPr>
        <w:rPr>
          <w:color w:val="000000"/>
          <w:sz w:val="24"/>
          <w:szCs w:val="24"/>
        </w:rPr>
      </w:pPr>
      <w:r w:rsidRPr="00136DC0">
        <w:rPr>
          <w:color w:val="000000"/>
          <w:sz w:val="24"/>
          <w:szCs w:val="24"/>
        </w:rPr>
        <w:t xml:space="preserve">NMFS reached out to several </w:t>
      </w:r>
      <w:r>
        <w:rPr>
          <w:color w:val="000000"/>
          <w:sz w:val="24"/>
          <w:szCs w:val="24"/>
        </w:rPr>
        <w:t>stakeholders</w:t>
      </w:r>
      <w:r w:rsidRPr="00136DC0">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w:t>
      </w:r>
      <w:r w:rsidRPr="00136DC0">
        <w:rPr>
          <w:color w:val="000000"/>
          <w:sz w:val="24"/>
          <w:szCs w:val="24"/>
        </w:rPr>
        <w:t>s were received.</w:t>
      </w:r>
    </w:p>
    <w:p w:rsidR="00136DC0" w:rsidRPr="00136DC0" w:rsidP="00CD5390" w14:paraId="6CA30739" w14:textId="77777777">
      <w:pPr>
        <w:rPr>
          <w:sz w:val="24"/>
          <w:szCs w:val="24"/>
        </w:rPr>
      </w:pPr>
    </w:p>
    <w:p w:rsidR="00BF7C47" w:rsidRPr="00BD7237" w:rsidP="00BF7C47" w14:paraId="44373E1D"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Pr>
          <w:b/>
          <w:sz w:val="24"/>
          <w:szCs w:val="24"/>
        </w:rPr>
        <w:t>Explain any decision to provide any payment or gift to respondents, other than remuneration of contractors or grantees.</w:t>
      </w:r>
    </w:p>
    <w:p w:rsidR="004F26E9" w:rsidP="00CD5390" w14:paraId="2C7F34F5" w14:textId="7D185E72">
      <w:pPr>
        <w:rPr>
          <w:sz w:val="24"/>
          <w:szCs w:val="24"/>
        </w:rPr>
      </w:pPr>
    </w:p>
    <w:p w:rsidR="007148DE" w:rsidRPr="00D74B5B" w:rsidP="007148DE" w14:paraId="285B9A6A" w14:textId="77777777">
      <w:pPr>
        <w:rPr>
          <w:sz w:val="24"/>
          <w:szCs w:val="24"/>
        </w:rPr>
      </w:pPr>
      <w:r w:rsidRPr="00D74B5B">
        <w:rPr>
          <w:sz w:val="24"/>
          <w:szCs w:val="24"/>
        </w:rPr>
        <w:t>There are no payments or other remunerations to respondents.</w:t>
      </w:r>
    </w:p>
    <w:p w:rsidR="004F26E9" w:rsidP="00CD5390" w14:paraId="3BA65768" w14:textId="77777777">
      <w:pPr>
        <w:rPr>
          <w:sz w:val="24"/>
          <w:szCs w:val="24"/>
        </w:rPr>
      </w:pPr>
    </w:p>
    <w:p w:rsidR="00BF7C47" w:rsidRPr="00BD7237" w:rsidP="00BF7C47" w14:paraId="6D43309A"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Pr>
          <w:b/>
          <w:sz w:val="24"/>
          <w:szCs w:val="24"/>
        </w:rPr>
        <w:t>Describe any assurance of confidentiality provid</w:t>
      </w:r>
      <w:r w:rsidRPr="00BD7237">
        <w:rPr>
          <w:b/>
          <w:sz w:val="24"/>
          <w:szCs w:val="24"/>
        </w:rPr>
        <w:t>ed to respondents and the basis for the assurance in statute, regulation, or agency policy. If the collection requires a systems of records notice (SORN) or privacy impact assessment (PIA), those should be cited and described here.</w:t>
      </w:r>
    </w:p>
    <w:p w:rsidR="004F26E9" w:rsidP="00BF7C47" w14:paraId="39A0093F" w14:textId="4D9521EC">
      <w:pPr>
        <w:tabs>
          <w:tab w:val="left" w:pos="540"/>
        </w:tabs>
        <w:ind w:left="540" w:hanging="540"/>
        <w:rPr>
          <w:sz w:val="24"/>
          <w:szCs w:val="24"/>
        </w:rPr>
      </w:pPr>
    </w:p>
    <w:p w:rsidR="007148DE" w:rsidRPr="00D74B5B" w:rsidP="007148DE" w14:paraId="3BC69F3F" w14:textId="77777777">
      <w:pPr>
        <w:rPr>
          <w:sz w:val="24"/>
          <w:szCs w:val="24"/>
        </w:rPr>
      </w:pPr>
      <w:r w:rsidRPr="00D74B5B">
        <w:rPr>
          <w:sz w:val="24"/>
          <w:szCs w:val="24"/>
        </w:rPr>
        <w:t xml:space="preserve">As stated on the </w:t>
      </w:r>
      <w:r>
        <w:rPr>
          <w:sz w:val="24"/>
          <w:szCs w:val="24"/>
        </w:rPr>
        <w:t>Type-A</w:t>
      </w:r>
      <w:r>
        <w:rPr>
          <w:sz w:val="24"/>
          <w:szCs w:val="24"/>
        </w:rPr>
        <w:t xml:space="preserve">pproval Matrix </w:t>
      </w:r>
      <w:r w:rsidRPr="00D74B5B">
        <w:rPr>
          <w:sz w:val="24"/>
          <w:szCs w:val="24"/>
        </w:rPr>
        <w:t xml:space="preserve">form, data collected for this new information collection are treated as confidential in accordance with </w:t>
      </w:r>
      <w:r>
        <w:rPr>
          <w:sz w:val="24"/>
          <w:szCs w:val="24"/>
        </w:rPr>
        <w:t xml:space="preserve">the Magnuson-Stevens Act (16 U.S.C. 1881a) and </w:t>
      </w:r>
      <w:hyperlink r:id="rId7" w:history="1">
        <w:r w:rsidRPr="00D74B5B">
          <w:rPr>
            <w:rStyle w:val="Hyperlink"/>
            <w:sz w:val="24"/>
            <w:szCs w:val="24"/>
          </w:rPr>
          <w:t>NOAA Administrative Order 216-100</w:t>
        </w:r>
      </w:hyperlink>
      <w:r>
        <w:rPr>
          <w:rStyle w:val="Hyperlink"/>
          <w:sz w:val="24"/>
          <w:szCs w:val="24"/>
        </w:rPr>
        <w:t xml:space="preserve">. </w:t>
      </w:r>
      <w:r w:rsidRPr="00D74B5B">
        <w:rPr>
          <w:sz w:val="24"/>
          <w:szCs w:val="24"/>
        </w:rPr>
        <w:t>It is NMFS’ policy that confidential data are not to be released to non-authorized users, other than in aggregate form, as the Magnuson-Stevens Act protects (in perpetuity) the confidentiality of those sub</w:t>
      </w:r>
      <w:r w:rsidRPr="00D74B5B">
        <w:rPr>
          <w:sz w:val="24"/>
          <w:szCs w:val="24"/>
        </w:rPr>
        <w:t xml:space="preserve">mitting data. </w:t>
      </w:r>
    </w:p>
    <w:p w:rsidR="004F26E9" w:rsidP="00CD5390" w14:paraId="04EB2C58" w14:textId="77777777">
      <w:pPr>
        <w:rPr>
          <w:sz w:val="24"/>
          <w:szCs w:val="24"/>
        </w:rPr>
      </w:pPr>
    </w:p>
    <w:p w:rsidR="00BF7C47" w:rsidRPr="00BD7237" w:rsidP="00BF7C47" w14:paraId="1FB794EB"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Pr>
          <w:b/>
          <w:sz w:val="24"/>
          <w:szCs w:val="24"/>
        </w:rPr>
        <w:t>Provide additional justification for any questions of a sensitive nature, such as sexual behavior or attitudes, religious beliefs, and other matters that are commonly considered private. This justification should include the reasons why</w:t>
      </w:r>
      <w:r w:rsidRPr="00BD7237">
        <w:rPr>
          <w:b/>
          <w:sz w:val="24"/>
          <w:szCs w:val="24"/>
        </w:rPr>
        <w:t xml:space="preserve"> the agency considers the questions necessary, the specific uses to be made of the information, the explanation to be given to persons from whom the information is requested, and any steps to be taken to obtain their consent.</w:t>
      </w:r>
    </w:p>
    <w:p w:rsidR="004F26E9" w:rsidP="00CD5390" w14:paraId="1C41BF9D" w14:textId="58A73298">
      <w:pPr>
        <w:rPr>
          <w:sz w:val="24"/>
          <w:szCs w:val="24"/>
        </w:rPr>
      </w:pPr>
    </w:p>
    <w:p w:rsidR="007148DE" w:rsidRPr="00D74B5B" w:rsidP="007148DE" w14:paraId="5B0CFA15" w14:textId="1CCE6C59">
      <w:pPr>
        <w:rPr>
          <w:sz w:val="24"/>
          <w:szCs w:val="24"/>
        </w:rPr>
      </w:pPr>
      <w:r w:rsidRPr="00D74B5B">
        <w:rPr>
          <w:sz w:val="24"/>
          <w:szCs w:val="24"/>
        </w:rPr>
        <w:t>This information collection d</w:t>
      </w:r>
      <w:r w:rsidR="00972E2F">
        <w:rPr>
          <w:sz w:val="24"/>
          <w:szCs w:val="24"/>
        </w:rPr>
        <w:t>oes</w:t>
      </w:r>
      <w:r w:rsidRPr="00D74B5B">
        <w:rPr>
          <w:sz w:val="24"/>
          <w:szCs w:val="24"/>
        </w:rPr>
        <w:t xml:space="preserve"> not collect sensitive information.</w:t>
      </w:r>
    </w:p>
    <w:p w:rsidR="00BF7C47" w:rsidP="00CD5390" w14:paraId="217FBBA0" w14:textId="72E3B598">
      <w:pPr>
        <w:rPr>
          <w:sz w:val="24"/>
          <w:szCs w:val="24"/>
        </w:rPr>
      </w:pPr>
    </w:p>
    <w:p w:rsidR="00BF7C47" w:rsidRPr="00BD7237" w:rsidP="00BF7C47" w14:paraId="452421F9" w14:textId="77777777">
      <w:pPr>
        <w:pStyle w:val="ListParagraph"/>
        <w:tabs>
          <w:tab w:val="left" w:pos="360"/>
        </w:tabs>
        <w:adjustRightInd/>
        <w:spacing w:before="80"/>
        <w:ind w:left="0"/>
        <w:contextualSpacing w:val="0"/>
        <w:rPr>
          <w:b/>
          <w:sz w:val="24"/>
          <w:szCs w:val="24"/>
        </w:rPr>
      </w:pPr>
      <w:r>
        <w:rPr>
          <w:b/>
          <w:bCs/>
          <w:sz w:val="24"/>
          <w:szCs w:val="24"/>
        </w:rPr>
        <w:t>12.</w:t>
      </w:r>
      <w:r>
        <w:rPr>
          <w:b/>
          <w:bCs/>
          <w:sz w:val="24"/>
          <w:szCs w:val="24"/>
        </w:rPr>
        <w:tab/>
      </w:r>
      <w:r w:rsidRPr="00BD7237">
        <w:rPr>
          <w:b/>
          <w:sz w:val="24"/>
          <w:szCs w:val="24"/>
        </w:rPr>
        <w:t>Provide estimates of the hour burden of the collection of information.</w:t>
      </w:r>
    </w:p>
    <w:p w:rsidR="001F78DB" w:rsidRPr="00A61187" w:rsidP="00BF7C47" w14:paraId="1A2DEA2C" w14:textId="53B3E857">
      <w:pPr>
        <w:tabs>
          <w:tab w:val="left" w:pos="540"/>
        </w:tabs>
        <w:rPr>
          <w:bCs/>
          <w:sz w:val="24"/>
          <w:szCs w:val="24"/>
        </w:rPr>
      </w:pPr>
    </w:p>
    <w:p w:rsidR="001F78DB" w:rsidRPr="0017680C" w:rsidP="001F78DB" w14:paraId="16793985" w14:textId="594BF92D">
      <w:pPr>
        <w:rPr>
          <w:sz w:val="24"/>
          <w:szCs w:val="24"/>
        </w:rPr>
      </w:pPr>
      <w:r w:rsidRPr="0017680C">
        <w:rPr>
          <w:sz w:val="24"/>
          <w:szCs w:val="24"/>
        </w:rPr>
        <w:t xml:space="preserve">For the </w:t>
      </w:r>
      <w:r w:rsidRPr="009E4783">
        <w:rPr>
          <w:sz w:val="24"/>
          <w:szCs w:val="24"/>
        </w:rPr>
        <w:t>purposes of this analysis, NMFS estimates th</w:t>
      </w:r>
      <w:r>
        <w:rPr>
          <w:sz w:val="24"/>
          <w:szCs w:val="24"/>
        </w:rPr>
        <w:t xml:space="preserve">at </w:t>
      </w:r>
      <w:r w:rsidR="00296DF8">
        <w:rPr>
          <w:sz w:val="24"/>
          <w:szCs w:val="24"/>
        </w:rPr>
        <w:t>no</w:t>
      </w:r>
      <w:r w:rsidR="00D5073E">
        <w:rPr>
          <w:sz w:val="24"/>
          <w:szCs w:val="24"/>
        </w:rPr>
        <w:t xml:space="preserve"> </w:t>
      </w:r>
      <w:r>
        <w:rPr>
          <w:sz w:val="24"/>
          <w:szCs w:val="24"/>
        </w:rPr>
        <w:t>EMTU-C respondents will apply for type-approval over the three-year period of this</w:t>
      </w:r>
      <w:r>
        <w:rPr>
          <w:sz w:val="24"/>
          <w:szCs w:val="24"/>
        </w:rPr>
        <w:t xml:space="preserve"> information collection</w:t>
      </w:r>
      <w:r>
        <w:rPr>
          <w:rStyle w:val="FootnoteReference"/>
          <w:sz w:val="24"/>
          <w:szCs w:val="24"/>
        </w:rPr>
        <w:footnoteReference w:id="2"/>
      </w:r>
      <w:r>
        <w:rPr>
          <w:sz w:val="24"/>
          <w:szCs w:val="24"/>
        </w:rPr>
        <w:t xml:space="preserve">. </w:t>
      </w:r>
      <w:r w:rsidRPr="0017680C">
        <w:rPr>
          <w:sz w:val="24"/>
          <w:szCs w:val="24"/>
        </w:rPr>
        <w:t xml:space="preserve">NMFS estimates the number of </w:t>
      </w:r>
      <w:r>
        <w:rPr>
          <w:sz w:val="24"/>
          <w:szCs w:val="24"/>
        </w:rPr>
        <w:t xml:space="preserve">EMTU </w:t>
      </w:r>
      <w:r w:rsidRPr="0017680C">
        <w:rPr>
          <w:sz w:val="24"/>
          <w:szCs w:val="24"/>
        </w:rPr>
        <w:t xml:space="preserve">respondents is expected to be the eight current </w:t>
      </w:r>
      <w:r>
        <w:rPr>
          <w:sz w:val="24"/>
          <w:szCs w:val="24"/>
        </w:rPr>
        <w:t>t</w:t>
      </w:r>
      <w:r w:rsidRPr="0017680C">
        <w:rPr>
          <w:sz w:val="24"/>
          <w:szCs w:val="24"/>
        </w:rPr>
        <w:t>ype-</w:t>
      </w:r>
      <w:r>
        <w:rPr>
          <w:sz w:val="24"/>
          <w:szCs w:val="24"/>
        </w:rPr>
        <w:t>a</w:t>
      </w:r>
      <w:r w:rsidRPr="0017680C">
        <w:rPr>
          <w:sz w:val="24"/>
          <w:szCs w:val="24"/>
        </w:rPr>
        <w:t xml:space="preserve">pproved </w:t>
      </w:r>
      <w:r>
        <w:rPr>
          <w:sz w:val="24"/>
          <w:szCs w:val="24"/>
        </w:rPr>
        <w:t>EMTU respondents nationwide</w:t>
      </w:r>
      <w:r w:rsidR="00296DF8">
        <w:rPr>
          <w:sz w:val="24"/>
          <w:szCs w:val="24"/>
        </w:rPr>
        <w:t>, with one additional application annually</w:t>
      </w:r>
      <w:r>
        <w:rPr>
          <w:sz w:val="24"/>
          <w:szCs w:val="24"/>
        </w:rPr>
        <w:t>.</w:t>
      </w:r>
      <w:r w:rsidRPr="0017680C">
        <w:rPr>
          <w:sz w:val="24"/>
          <w:szCs w:val="24"/>
        </w:rPr>
        <w:t xml:space="preserve"> </w:t>
      </w:r>
      <w:r>
        <w:rPr>
          <w:sz w:val="24"/>
          <w:szCs w:val="24"/>
        </w:rPr>
        <w:t xml:space="preserve">Any individual respondent may seek type-approval for multiple </w:t>
      </w:r>
      <w:r w:rsidRPr="00F5581B">
        <w:rPr>
          <w:sz w:val="24"/>
          <w:szCs w:val="24"/>
        </w:rPr>
        <w:t>E</w:t>
      </w:r>
      <w:r w:rsidRPr="00F5581B">
        <w:rPr>
          <w:sz w:val="24"/>
          <w:szCs w:val="24"/>
        </w:rPr>
        <w:t xml:space="preserve">MTU-Cs </w:t>
      </w:r>
      <w:r>
        <w:rPr>
          <w:sz w:val="24"/>
          <w:szCs w:val="24"/>
        </w:rPr>
        <w:t>or</w:t>
      </w:r>
      <w:r w:rsidRPr="00F5581B">
        <w:rPr>
          <w:sz w:val="24"/>
          <w:szCs w:val="24"/>
        </w:rPr>
        <w:t xml:space="preserve"> EMTUs</w:t>
      </w:r>
      <w:r>
        <w:rPr>
          <w:sz w:val="24"/>
          <w:szCs w:val="24"/>
        </w:rPr>
        <w:t xml:space="preserve">; however, each type-approval application would be a separate response. </w:t>
      </w:r>
    </w:p>
    <w:p w:rsidR="001F78DB" w:rsidRPr="0017680C" w:rsidP="001F78DB" w14:paraId="43A05F2F" w14:textId="77777777">
      <w:pPr>
        <w:rPr>
          <w:sz w:val="24"/>
          <w:szCs w:val="24"/>
        </w:rPr>
      </w:pPr>
    </w:p>
    <w:p w:rsidR="00580714" w:rsidP="001F78DB" w14:paraId="47D046E4" w14:textId="422F85FA">
      <w:pPr>
        <w:rPr>
          <w:b/>
          <w:bCs/>
          <w:sz w:val="24"/>
          <w:szCs w:val="24"/>
        </w:rPr>
      </w:pPr>
      <w:r>
        <w:rPr>
          <w:sz w:val="24"/>
          <w:szCs w:val="24"/>
        </w:rPr>
        <w:t xml:space="preserve">A </w:t>
      </w:r>
      <w:r w:rsidRPr="009570B8">
        <w:rPr>
          <w:sz w:val="24"/>
          <w:szCs w:val="24"/>
        </w:rPr>
        <w:t xml:space="preserve">potential </w:t>
      </w:r>
      <w:r>
        <w:rPr>
          <w:sz w:val="24"/>
          <w:szCs w:val="24"/>
        </w:rPr>
        <w:t>respondent</w:t>
      </w:r>
      <w:r w:rsidRPr="009570B8">
        <w:rPr>
          <w:sz w:val="24"/>
          <w:szCs w:val="24"/>
        </w:rPr>
        <w:t xml:space="preserve"> </w:t>
      </w:r>
      <w:r>
        <w:rPr>
          <w:sz w:val="24"/>
          <w:szCs w:val="24"/>
        </w:rPr>
        <w:t>will</w:t>
      </w:r>
      <w:r w:rsidRPr="009570B8">
        <w:rPr>
          <w:sz w:val="24"/>
          <w:szCs w:val="24"/>
        </w:rPr>
        <w:t xml:space="preserve"> need</w:t>
      </w:r>
      <w:r>
        <w:rPr>
          <w:sz w:val="24"/>
          <w:szCs w:val="24"/>
        </w:rPr>
        <w:t xml:space="preserve"> to complete the t</w:t>
      </w:r>
      <w:r w:rsidRPr="009570B8">
        <w:rPr>
          <w:sz w:val="24"/>
          <w:szCs w:val="24"/>
        </w:rPr>
        <w:t>ype-</w:t>
      </w:r>
      <w:r>
        <w:rPr>
          <w:sz w:val="24"/>
          <w:szCs w:val="24"/>
        </w:rPr>
        <w:t>a</w:t>
      </w:r>
      <w:r w:rsidRPr="009570B8">
        <w:rPr>
          <w:sz w:val="24"/>
          <w:szCs w:val="24"/>
        </w:rPr>
        <w:t xml:space="preserve">pproval </w:t>
      </w:r>
      <w:r>
        <w:rPr>
          <w:sz w:val="24"/>
          <w:szCs w:val="24"/>
        </w:rPr>
        <w:t>a</w:t>
      </w:r>
      <w:r w:rsidRPr="009570B8">
        <w:rPr>
          <w:sz w:val="24"/>
          <w:szCs w:val="24"/>
        </w:rPr>
        <w:t>pplication and maintain a 24-hour answering service</w:t>
      </w:r>
      <w:r>
        <w:rPr>
          <w:sz w:val="24"/>
          <w:szCs w:val="24"/>
        </w:rPr>
        <w:t xml:space="preserve"> if NMFS grants approval</w:t>
      </w:r>
      <w:r w:rsidRPr="009570B8">
        <w:rPr>
          <w:sz w:val="24"/>
          <w:szCs w:val="24"/>
        </w:rPr>
        <w:t>.</w:t>
      </w:r>
      <w:r>
        <w:rPr>
          <w:b/>
          <w:bCs/>
          <w:sz w:val="24"/>
          <w:szCs w:val="24"/>
        </w:rPr>
        <w:t xml:space="preserve"> </w:t>
      </w:r>
    </w:p>
    <w:p w:rsidR="00220229" w:rsidP="001F78DB" w14:paraId="3433B0CC" w14:textId="7E9E40E8">
      <w:pPr>
        <w:rPr>
          <w:b/>
          <w:bCs/>
          <w:sz w:val="24"/>
          <w:szCs w:val="24"/>
        </w:rPr>
      </w:pPr>
    </w:p>
    <w:p w:rsidR="00220229" w:rsidRPr="00220229" w:rsidP="001F78DB" w14:paraId="182CFB7F" w14:textId="2B7CF7EA">
      <w:pPr>
        <w:rPr>
          <w:sz w:val="24"/>
          <w:szCs w:val="24"/>
        </w:rPr>
      </w:pPr>
      <w:r>
        <w:rPr>
          <w:sz w:val="24"/>
          <w:szCs w:val="24"/>
        </w:rPr>
        <w:t>For diagnostic and troub</w:t>
      </w:r>
      <w:r>
        <w:rPr>
          <w:sz w:val="24"/>
          <w:szCs w:val="24"/>
        </w:rPr>
        <w:t>leshooting support, NMFS estimates the annual wage costs for each EMTU respondent would be $30,900. NMFS has previously reimbursed respondent costs for services provided to NMFS, and therefore, assuming half of the annual support and troubleshooting servic</w:t>
      </w:r>
      <w:r>
        <w:rPr>
          <w:sz w:val="24"/>
          <w:szCs w:val="24"/>
        </w:rPr>
        <w:t>es are provided to NMFS, then the total annual wage cost of $15,450 would be reimbursed for each of the eight EMTU respondents.</w:t>
      </w:r>
    </w:p>
    <w:p w:rsidR="00877710" w:rsidRPr="00F95F9D" w:rsidP="00877710" w14:paraId="679C0027" w14:textId="5893171E">
      <w:pPr>
        <w:rPr>
          <w:sz w:val="24"/>
          <w:szCs w:val="24"/>
        </w:rPr>
      </w:pPr>
    </w:p>
    <w:p w:rsidR="00877710" w:rsidRPr="009C34C5" w:rsidP="00877710" w14:paraId="66BEC9AF" w14:textId="1D02B8C5">
      <w:pPr>
        <w:keepNext/>
        <w:keepLines/>
        <w:rPr>
          <w:i/>
          <w:sz w:val="24"/>
          <w:szCs w:val="24"/>
        </w:rPr>
      </w:pPr>
      <w:r>
        <w:rPr>
          <w:i/>
          <w:sz w:val="24"/>
          <w:szCs w:val="24"/>
        </w:rPr>
        <w:t xml:space="preserve">Table </w:t>
      </w:r>
      <w:r w:rsidR="005710F9">
        <w:rPr>
          <w:i/>
          <w:sz w:val="24"/>
          <w:szCs w:val="24"/>
        </w:rPr>
        <w:t>1</w:t>
      </w:r>
    </w:p>
    <w:tbl>
      <w:tblPr>
        <w:tblW w:w="10705" w:type="dxa"/>
        <w:tblLook w:val="04A0"/>
      </w:tblPr>
      <w:tblGrid>
        <w:gridCol w:w="2875"/>
        <w:gridCol w:w="1890"/>
        <w:gridCol w:w="1710"/>
        <w:gridCol w:w="1710"/>
        <w:gridCol w:w="2520"/>
      </w:tblGrid>
      <w:tr w14:paraId="25BB3B40" w14:textId="77777777" w:rsidTr="00244DDA">
        <w:tblPrEx>
          <w:tblW w:w="10705" w:type="dxa"/>
          <w:tblLook w:val="04A0"/>
        </w:tblPrEx>
        <w:trPr>
          <w:trHeight w:val="1052"/>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877710" w:rsidRPr="00244DDA" w:rsidP="00840612" w14:paraId="404C1F88" w14:textId="3E86F4FD">
            <w:pPr>
              <w:keepNext/>
              <w:keepLines/>
              <w:widowControl/>
              <w:autoSpaceDE/>
              <w:autoSpaceDN/>
              <w:adjustRightInd/>
              <w:rPr>
                <w:rFonts w:asciiTheme="minorHAnsi" w:hAnsiTheme="minorHAnsi" w:cstheme="minorHAnsi"/>
                <w:color w:val="000000"/>
              </w:rPr>
            </w:pPr>
            <w:r>
              <w:rPr>
                <w:rFonts w:asciiTheme="minorHAnsi" w:hAnsiTheme="minorHAnsi" w:cstheme="minorHAnsi"/>
                <w:b/>
                <w:color w:val="000000"/>
              </w:rPr>
              <w:t>VMS</w:t>
            </w:r>
            <w:r w:rsidRPr="00797D3F">
              <w:rPr>
                <w:rFonts w:asciiTheme="minorHAnsi" w:hAnsiTheme="minorHAnsi" w:cstheme="minorHAnsi"/>
                <w:b/>
                <w:color w:val="000000"/>
              </w:rPr>
              <w:t xml:space="preserve"> type-approval labor estimates, per respondent </w:t>
            </w:r>
            <w:r w:rsidR="00244DDA">
              <w:rPr>
                <w:rFonts w:asciiTheme="minorHAnsi" w:hAnsiTheme="minorHAnsi" w:cstheme="minorHAnsi"/>
                <w:b/>
              </w:rPr>
              <w:t>($/</w:t>
            </w:r>
            <w:r w:rsidR="00244DDA">
              <w:rPr>
                <w:rFonts w:asciiTheme="minorHAnsi" w:hAnsiTheme="minorHAnsi" w:cstheme="minorHAnsi"/>
                <w:b/>
              </w:rPr>
              <w:t>hr</w:t>
            </w:r>
            <w:r w:rsidR="00244DDA">
              <w:rPr>
                <w:rFonts w:asciiTheme="minorHAnsi" w:hAnsiTheme="minorHAnsi" w:cstheme="minorHAnsi"/>
                <w:b/>
              </w:rPr>
              <w:t xml:space="preserve"> wage rate)</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hideMark/>
          </w:tcPr>
          <w:p w:rsidR="00877710" w:rsidRPr="00797D3F" w:rsidP="00840612" w14:paraId="43627FE5"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Application completion (</w:t>
            </w:r>
            <w:r w:rsidRPr="00797D3F">
              <w:rPr>
                <w:rFonts w:asciiTheme="minorHAnsi" w:hAnsiTheme="minorHAnsi" w:cstheme="minorHAnsi"/>
                <w:b/>
                <w:bCs/>
                <w:color w:val="000000"/>
              </w:rPr>
              <w:t>hr</w:t>
            </w:r>
            <w:r w:rsidRPr="00797D3F">
              <w:rPr>
                <w:rFonts w:asciiTheme="minorHAnsi" w:hAnsiTheme="minorHAnsi" w:cstheme="minorHAnsi"/>
                <w:b/>
                <w:bCs/>
                <w:color w:val="000000"/>
              </w:rPr>
              <w:t xml:space="preserve"> per application)</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hideMark/>
          </w:tcPr>
          <w:p w:rsidR="00877710" w:rsidRPr="00797D3F" w:rsidP="00840612" w14:paraId="34D145B7"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Changes </w:t>
            </w:r>
            <w:r w:rsidRPr="00797D3F">
              <w:rPr>
                <w:rFonts w:asciiTheme="minorHAnsi" w:hAnsiTheme="minorHAnsi" w:cstheme="minorHAnsi"/>
                <w:b/>
                <w:bCs/>
                <w:color w:val="000000"/>
              </w:rPr>
              <w:t xml:space="preserve">to type-approvals (labor </w:t>
            </w:r>
            <w:r w:rsidRPr="00797D3F">
              <w:rPr>
                <w:rFonts w:asciiTheme="minorHAnsi" w:hAnsiTheme="minorHAnsi" w:cstheme="minorHAnsi"/>
                <w:b/>
                <w:bCs/>
                <w:color w:val="000000"/>
              </w:rPr>
              <w:t>hr</w:t>
            </w:r>
            <w:r w:rsidRPr="00797D3F">
              <w:rPr>
                <w:rFonts w:asciiTheme="minorHAnsi" w:hAnsiTheme="minorHAnsi" w:cstheme="minorHAnsi"/>
                <w:b/>
                <w:bCs/>
                <w:color w:val="000000"/>
              </w:rPr>
              <w:t xml:space="preserve"> per instance)</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hideMark/>
          </w:tcPr>
          <w:p w:rsidR="00877710" w:rsidRPr="00797D3F" w:rsidP="00840612" w14:paraId="5B6C48EF" w14:textId="77777777">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Revocation responses (labor </w:t>
            </w:r>
            <w:r w:rsidRPr="00797D3F">
              <w:rPr>
                <w:rFonts w:asciiTheme="minorHAnsi" w:hAnsiTheme="minorHAnsi" w:cstheme="minorHAnsi"/>
                <w:b/>
                <w:bCs/>
                <w:color w:val="000000"/>
              </w:rPr>
              <w:t>hr</w:t>
            </w:r>
            <w:r w:rsidRPr="00797D3F">
              <w:rPr>
                <w:rFonts w:asciiTheme="minorHAnsi" w:hAnsiTheme="minorHAnsi" w:cstheme="minorHAnsi"/>
                <w:b/>
                <w:bCs/>
                <w:color w:val="000000"/>
              </w:rPr>
              <w:t xml:space="preserve"> per instance)</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hideMark/>
          </w:tcPr>
          <w:p w:rsidR="00877710" w:rsidRPr="00797D3F" w:rsidP="00840612" w14:paraId="6436CF4A" w14:textId="7F13C256">
            <w:pPr>
              <w:keepNext/>
              <w:keepLines/>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 xml:space="preserve">Diagnostic and troubleshooting </w:t>
            </w:r>
            <w:r w:rsidR="00244DDA">
              <w:rPr>
                <w:rFonts w:asciiTheme="minorHAnsi" w:hAnsiTheme="minorHAnsi" w:cstheme="minorHAnsi"/>
                <w:b/>
                <w:bCs/>
                <w:color w:val="000000"/>
              </w:rPr>
              <w:t>support to NMFS and fishers, 24-</w:t>
            </w:r>
            <w:r w:rsidRPr="00797D3F">
              <w:rPr>
                <w:rFonts w:asciiTheme="minorHAnsi" w:hAnsiTheme="minorHAnsi" w:cstheme="minorHAnsi"/>
                <w:b/>
                <w:bCs/>
                <w:color w:val="000000"/>
              </w:rPr>
              <w:t>hr, year-round (</w:t>
            </w:r>
            <w:r w:rsidRPr="00797D3F">
              <w:rPr>
                <w:rFonts w:asciiTheme="minorHAnsi" w:hAnsiTheme="minorHAnsi" w:cstheme="minorHAnsi"/>
                <w:b/>
                <w:bCs/>
                <w:color w:val="000000"/>
              </w:rPr>
              <w:t>hr</w:t>
            </w:r>
            <w:r w:rsidRPr="00797D3F">
              <w:rPr>
                <w:rFonts w:asciiTheme="minorHAnsi" w:hAnsiTheme="minorHAnsi" w:cstheme="minorHAnsi"/>
                <w:b/>
                <w:bCs/>
                <w:color w:val="000000"/>
              </w:rPr>
              <w:t xml:space="preserve">) </w:t>
            </w:r>
          </w:p>
        </w:tc>
      </w:tr>
      <w:tr w14:paraId="5AB365AE" w14:textId="77777777" w:rsidTr="00244DDA">
        <w:tblPrEx>
          <w:tblW w:w="10705" w:type="dxa"/>
          <w:tblLook w:val="04A0"/>
        </w:tblPrEx>
        <w:trPr>
          <w:trHeight w:val="360"/>
        </w:trPr>
        <w:tc>
          <w:tcPr>
            <w:tcW w:w="287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77710" w:rsidRPr="00797D3F" w:rsidP="00840612" w14:paraId="1ADCD946" w14:textId="77777777">
            <w:pPr>
              <w:widowControl/>
              <w:autoSpaceDE/>
              <w:autoSpaceDN/>
              <w:adjustRightInd/>
              <w:rPr>
                <w:rFonts w:asciiTheme="minorHAnsi" w:hAnsiTheme="minorHAnsi" w:cstheme="minorHAnsi"/>
                <w:b/>
                <w:bCs/>
                <w:color w:val="000000"/>
              </w:rPr>
            </w:pPr>
            <w:r w:rsidRPr="00797D3F">
              <w:rPr>
                <w:rFonts w:asciiTheme="minorHAnsi" w:hAnsiTheme="minorHAnsi" w:cstheme="minorHAnsi"/>
                <w:b/>
                <w:bCs/>
                <w:color w:val="000000"/>
              </w:rPr>
              <w:t>Type of support</w:t>
            </w:r>
          </w:p>
        </w:tc>
        <w:tc>
          <w:tcPr>
            <w:tcW w:w="1890" w:type="dxa"/>
            <w:tcBorders>
              <w:top w:val="nil"/>
              <w:left w:val="nil"/>
              <w:bottom w:val="single" w:sz="4" w:space="0" w:color="auto"/>
              <w:right w:val="single" w:sz="4" w:space="0" w:color="auto"/>
            </w:tcBorders>
            <w:shd w:val="clear" w:color="auto" w:fill="D9D9D9" w:themeFill="background1" w:themeFillShade="D9"/>
            <w:hideMark/>
          </w:tcPr>
          <w:p w:rsidR="00877710" w:rsidRPr="00797D3F" w:rsidP="00840612" w14:paraId="25880FCC" w14:textId="77777777">
            <w:pPr>
              <w:widowControl/>
              <w:autoSpaceDE/>
              <w:autoSpaceDN/>
              <w:adjustRightInd/>
              <w:rPr>
                <w:rFonts w:asciiTheme="minorHAnsi" w:hAnsiTheme="minorHAnsi" w:cstheme="minorHAnsi"/>
                <w:color w:val="000000"/>
              </w:rPr>
            </w:pPr>
          </w:p>
        </w:tc>
        <w:tc>
          <w:tcPr>
            <w:tcW w:w="1710" w:type="dxa"/>
            <w:tcBorders>
              <w:top w:val="nil"/>
              <w:left w:val="nil"/>
              <w:bottom w:val="single" w:sz="4" w:space="0" w:color="auto"/>
              <w:right w:val="single" w:sz="4" w:space="0" w:color="auto"/>
            </w:tcBorders>
            <w:shd w:val="clear" w:color="auto" w:fill="D9D9D9" w:themeFill="background1" w:themeFillShade="D9"/>
            <w:hideMark/>
          </w:tcPr>
          <w:p w:rsidR="00877710" w:rsidRPr="00797D3F" w:rsidP="00840612" w14:paraId="6FD2D5E1" w14:textId="77777777">
            <w:pPr>
              <w:widowControl/>
              <w:autoSpaceDE/>
              <w:autoSpaceDN/>
              <w:adjustRightInd/>
              <w:rPr>
                <w:rFonts w:asciiTheme="minorHAnsi" w:hAnsiTheme="minorHAnsi" w:cstheme="minorHAnsi"/>
                <w:color w:val="000000"/>
              </w:rPr>
            </w:pPr>
          </w:p>
        </w:tc>
        <w:tc>
          <w:tcPr>
            <w:tcW w:w="1710" w:type="dxa"/>
            <w:tcBorders>
              <w:top w:val="nil"/>
              <w:left w:val="nil"/>
              <w:bottom w:val="single" w:sz="4" w:space="0" w:color="auto"/>
              <w:right w:val="single" w:sz="4" w:space="0" w:color="auto"/>
            </w:tcBorders>
            <w:shd w:val="clear" w:color="auto" w:fill="D9D9D9" w:themeFill="background1" w:themeFillShade="D9"/>
            <w:hideMark/>
          </w:tcPr>
          <w:p w:rsidR="00877710" w:rsidRPr="00797D3F" w:rsidP="00840612" w14:paraId="0664119A" w14:textId="77777777">
            <w:pPr>
              <w:widowControl/>
              <w:autoSpaceDE/>
              <w:autoSpaceDN/>
              <w:adjustRightInd/>
              <w:rPr>
                <w:rFonts w:asciiTheme="minorHAnsi" w:hAnsiTheme="minorHAnsi" w:cstheme="minorHAnsi"/>
                <w:color w:val="000000"/>
              </w:rPr>
            </w:pPr>
          </w:p>
        </w:tc>
        <w:tc>
          <w:tcPr>
            <w:tcW w:w="2520" w:type="dxa"/>
            <w:tcBorders>
              <w:top w:val="nil"/>
              <w:left w:val="nil"/>
              <w:bottom w:val="single" w:sz="4" w:space="0" w:color="auto"/>
              <w:right w:val="single" w:sz="4" w:space="0" w:color="auto"/>
            </w:tcBorders>
            <w:shd w:val="clear" w:color="auto" w:fill="D9D9D9" w:themeFill="background1" w:themeFillShade="D9"/>
            <w:hideMark/>
          </w:tcPr>
          <w:p w:rsidR="00877710" w:rsidRPr="00797D3F" w:rsidP="00840612" w14:paraId="4803F3F9" w14:textId="77777777">
            <w:pPr>
              <w:widowControl/>
              <w:autoSpaceDE/>
              <w:autoSpaceDN/>
              <w:adjustRightInd/>
              <w:rPr>
                <w:rFonts w:asciiTheme="minorHAnsi" w:hAnsiTheme="minorHAnsi" w:cstheme="minorHAnsi"/>
                <w:color w:val="000000"/>
              </w:rPr>
            </w:pPr>
          </w:p>
        </w:tc>
      </w:tr>
      <w:tr w14:paraId="3A5280BA" w14:textId="77777777" w:rsidTr="00244DDA">
        <w:tblPrEx>
          <w:tblW w:w="10705"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77710" w:rsidRPr="00797D3F" w:rsidP="00296DF8" w14:paraId="2F50B654" w14:textId="074BAEDB">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Engineer</w:t>
            </w:r>
            <w:r>
              <w:rPr>
                <w:rFonts w:asciiTheme="minorHAnsi" w:hAnsiTheme="minorHAnsi" w:cstheme="minorHAnsi"/>
                <w:color w:val="000000"/>
              </w:rPr>
              <w:t xml:space="preserve"> ($</w:t>
            </w:r>
            <w:r w:rsidR="00296DF8">
              <w:rPr>
                <w:rFonts w:asciiTheme="minorHAnsi" w:hAnsiTheme="minorHAnsi" w:cstheme="minorHAnsi"/>
                <w:color w:val="000000"/>
              </w:rPr>
              <w:t>51.53</w:t>
            </w:r>
            <w:r>
              <w:rPr>
                <w:rFonts w:asciiTheme="minorHAnsi" w:hAnsiTheme="minorHAnsi" w:cstheme="minorHAnsi"/>
                <w:color w:val="000000"/>
              </w:rPr>
              <w:t>)</w:t>
            </w:r>
          </w:p>
        </w:tc>
        <w:tc>
          <w:tcPr>
            <w:tcW w:w="189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466F807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3EA142A8"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4B86FB8D"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c>
          <w:tcPr>
            <w:tcW w:w="252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146D25D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16</w:t>
            </w:r>
          </w:p>
        </w:tc>
      </w:tr>
      <w:tr w14:paraId="6371BD06" w14:textId="77777777" w:rsidTr="00244DDA">
        <w:tblPrEx>
          <w:tblW w:w="10705"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77710" w:rsidRPr="00797D3F" w:rsidP="00F75630" w14:paraId="0A213990" w14:textId="683D3ED8">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Project Manager</w:t>
            </w:r>
            <w:r>
              <w:rPr>
                <w:rFonts w:asciiTheme="minorHAnsi" w:hAnsiTheme="minorHAnsi" w:cstheme="minorHAnsi"/>
                <w:color w:val="000000"/>
              </w:rPr>
              <w:t xml:space="preserve"> ($</w:t>
            </w:r>
            <w:r w:rsidR="00F75630">
              <w:rPr>
                <w:rFonts w:asciiTheme="minorHAnsi" w:hAnsiTheme="minorHAnsi" w:cstheme="minorHAnsi"/>
                <w:color w:val="000000"/>
              </w:rPr>
              <w:t>48.85</w:t>
            </w:r>
            <w:r>
              <w:rPr>
                <w:rFonts w:asciiTheme="minorHAnsi" w:hAnsiTheme="minorHAnsi" w:cstheme="minorHAnsi"/>
                <w:color w:val="000000"/>
              </w:rPr>
              <w:t>)</w:t>
            </w:r>
          </w:p>
        </w:tc>
        <w:tc>
          <w:tcPr>
            <w:tcW w:w="189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37AA028F"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40</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1030F91A"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41D1030F"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8</w:t>
            </w:r>
          </w:p>
        </w:tc>
        <w:tc>
          <w:tcPr>
            <w:tcW w:w="252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0A6F1B29"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60</w:t>
            </w:r>
          </w:p>
        </w:tc>
      </w:tr>
      <w:tr w14:paraId="54B17D29" w14:textId="77777777" w:rsidTr="00244DDA">
        <w:tblPrEx>
          <w:tblW w:w="10705" w:type="dxa"/>
          <w:tblLook w:val="04A0"/>
        </w:tblPrEx>
        <w:trPr>
          <w:trHeight w:val="300"/>
        </w:trPr>
        <w:tc>
          <w:tcPr>
            <w:tcW w:w="2875"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877710" w:rsidRPr="00797D3F" w:rsidP="00F75630" w14:paraId="1D6D73D0" w14:textId="74FC53D9">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Customer Service Rep</w:t>
            </w:r>
            <w:r>
              <w:rPr>
                <w:rFonts w:asciiTheme="minorHAnsi" w:hAnsiTheme="minorHAnsi" w:cstheme="minorHAnsi"/>
                <w:color w:val="000000"/>
              </w:rPr>
              <w:t xml:space="preserve"> ($</w:t>
            </w:r>
            <w:r w:rsidR="00F75630">
              <w:rPr>
                <w:rFonts w:asciiTheme="minorHAnsi" w:hAnsiTheme="minorHAnsi" w:cstheme="minorHAnsi"/>
                <w:color w:val="000000"/>
              </w:rPr>
              <w:t>19.80</w:t>
            </w:r>
            <w:r>
              <w:rPr>
                <w:rFonts w:asciiTheme="minorHAnsi" w:hAnsiTheme="minorHAnsi" w:cstheme="minorHAnsi"/>
                <w:color w:val="000000"/>
              </w:rPr>
              <w:t>)</w:t>
            </w:r>
          </w:p>
        </w:tc>
        <w:tc>
          <w:tcPr>
            <w:tcW w:w="189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0B00A3D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329B430E"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09684DE6"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sz="4" w:space="0" w:color="auto"/>
              <w:right w:val="single" w:sz="4" w:space="0" w:color="auto"/>
            </w:tcBorders>
            <w:shd w:val="clear" w:color="auto" w:fill="auto"/>
            <w:noWrap/>
            <w:vAlign w:val="bottom"/>
            <w:hideMark/>
          </w:tcPr>
          <w:p w:rsidR="00877710" w:rsidRPr="00797D3F" w:rsidP="00840612" w14:paraId="018133EB"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14:paraId="3EC2855E" w14:textId="77777777" w:rsidTr="00244DDA">
        <w:tblPrEx>
          <w:tblW w:w="10705" w:type="dxa"/>
          <w:tblLook w:val="04A0"/>
        </w:tblPrEx>
        <w:trPr>
          <w:trHeight w:val="300"/>
        </w:trPr>
        <w:tc>
          <w:tcPr>
            <w:tcW w:w="2875" w:type="dxa"/>
            <w:tcBorders>
              <w:top w:val="nil"/>
              <w:left w:val="single" w:sz="4" w:space="0" w:color="auto"/>
              <w:bottom w:val="single" w:sz="12" w:space="0" w:color="auto"/>
              <w:right w:val="single" w:sz="4" w:space="0" w:color="auto"/>
            </w:tcBorders>
            <w:shd w:val="clear" w:color="auto" w:fill="F2F2F2" w:themeFill="background1" w:themeFillShade="F2"/>
            <w:noWrap/>
            <w:vAlign w:val="bottom"/>
            <w:hideMark/>
          </w:tcPr>
          <w:p w:rsidR="00877710" w:rsidRPr="00797D3F" w:rsidP="00F75630" w14:paraId="381B6FFA" w14:textId="0C91A810">
            <w:pPr>
              <w:widowControl/>
              <w:autoSpaceDE/>
              <w:autoSpaceDN/>
              <w:adjustRightInd/>
              <w:rPr>
                <w:rFonts w:asciiTheme="minorHAnsi" w:hAnsiTheme="minorHAnsi" w:cstheme="minorHAnsi"/>
                <w:color w:val="000000"/>
              </w:rPr>
            </w:pPr>
            <w:r w:rsidRPr="00797D3F">
              <w:rPr>
                <w:rFonts w:asciiTheme="minorHAnsi" w:hAnsiTheme="minorHAnsi" w:cstheme="minorHAnsi"/>
                <w:color w:val="000000"/>
              </w:rPr>
              <w:t>Electronics Technician</w:t>
            </w:r>
            <w:r>
              <w:rPr>
                <w:rFonts w:asciiTheme="minorHAnsi" w:hAnsiTheme="minorHAnsi" w:cstheme="minorHAnsi"/>
                <w:color w:val="000000"/>
              </w:rPr>
              <w:t xml:space="preserve"> ($</w:t>
            </w:r>
            <w:r w:rsidR="00F75630">
              <w:rPr>
                <w:rFonts w:asciiTheme="minorHAnsi" w:hAnsiTheme="minorHAnsi" w:cstheme="minorHAnsi"/>
                <w:color w:val="000000"/>
              </w:rPr>
              <w:t>34.49</w:t>
            </w:r>
            <w:r>
              <w:rPr>
                <w:rFonts w:asciiTheme="minorHAnsi" w:hAnsiTheme="minorHAnsi" w:cstheme="minorHAnsi"/>
                <w:color w:val="000000"/>
              </w:rPr>
              <w:t>)</w:t>
            </w:r>
          </w:p>
        </w:tc>
        <w:tc>
          <w:tcPr>
            <w:tcW w:w="1890" w:type="dxa"/>
            <w:tcBorders>
              <w:top w:val="nil"/>
              <w:left w:val="nil"/>
              <w:bottom w:val="single" w:sz="12" w:space="0" w:color="auto"/>
              <w:right w:val="single" w:sz="4" w:space="0" w:color="auto"/>
            </w:tcBorders>
            <w:shd w:val="clear" w:color="auto" w:fill="auto"/>
            <w:noWrap/>
            <w:vAlign w:val="bottom"/>
            <w:hideMark/>
          </w:tcPr>
          <w:p w:rsidR="00877710" w:rsidRPr="00797D3F" w:rsidP="00840612" w14:paraId="0FA3A636"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sz="12" w:space="0" w:color="auto"/>
              <w:right w:val="single" w:sz="4" w:space="0" w:color="auto"/>
            </w:tcBorders>
            <w:shd w:val="clear" w:color="auto" w:fill="auto"/>
            <w:noWrap/>
            <w:vAlign w:val="bottom"/>
            <w:hideMark/>
          </w:tcPr>
          <w:p w:rsidR="00877710" w:rsidRPr="00797D3F" w:rsidP="00840612" w14:paraId="142C17AC"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1710" w:type="dxa"/>
            <w:tcBorders>
              <w:top w:val="nil"/>
              <w:left w:val="nil"/>
              <w:bottom w:val="single" w:sz="12" w:space="0" w:color="auto"/>
              <w:right w:val="single" w:sz="4" w:space="0" w:color="auto"/>
            </w:tcBorders>
            <w:shd w:val="clear" w:color="auto" w:fill="auto"/>
            <w:noWrap/>
            <w:vAlign w:val="bottom"/>
            <w:hideMark/>
          </w:tcPr>
          <w:p w:rsidR="00877710" w:rsidRPr="00797D3F" w:rsidP="00840612" w14:paraId="7A94E1D8"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0</w:t>
            </w:r>
          </w:p>
        </w:tc>
        <w:tc>
          <w:tcPr>
            <w:tcW w:w="2520" w:type="dxa"/>
            <w:tcBorders>
              <w:top w:val="nil"/>
              <w:left w:val="nil"/>
              <w:bottom w:val="single" w:sz="12" w:space="0" w:color="auto"/>
              <w:right w:val="single" w:sz="4" w:space="0" w:color="auto"/>
            </w:tcBorders>
            <w:shd w:val="clear" w:color="auto" w:fill="auto"/>
            <w:noWrap/>
            <w:vAlign w:val="bottom"/>
            <w:hideMark/>
          </w:tcPr>
          <w:p w:rsidR="00877710" w:rsidRPr="00797D3F" w:rsidP="00840612" w14:paraId="3CA91CCC" w14:textId="77777777">
            <w:pPr>
              <w:widowControl/>
              <w:autoSpaceDE/>
              <w:autoSpaceDN/>
              <w:adjustRightInd/>
              <w:jc w:val="center"/>
              <w:rPr>
                <w:rFonts w:asciiTheme="minorHAnsi" w:hAnsiTheme="minorHAnsi" w:cstheme="minorHAnsi"/>
                <w:color w:val="000000"/>
              </w:rPr>
            </w:pPr>
            <w:r w:rsidRPr="00797D3F">
              <w:rPr>
                <w:rFonts w:asciiTheme="minorHAnsi" w:hAnsiTheme="minorHAnsi" w:cstheme="minorHAnsi"/>
                <w:color w:val="000000"/>
              </w:rPr>
              <w:t>500</w:t>
            </w:r>
          </w:p>
        </w:tc>
      </w:tr>
      <w:tr w14:paraId="416E28D2" w14:textId="77777777" w:rsidTr="00244DDA">
        <w:tblPrEx>
          <w:tblW w:w="10705" w:type="dxa"/>
          <w:tblLook w:val="04A0"/>
        </w:tblPrEx>
        <w:trPr>
          <w:trHeight w:val="300"/>
        </w:trPr>
        <w:tc>
          <w:tcPr>
            <w:tcW w:w="287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tcPr>
          <w:p w:rsidR="00877710" w:rsidRPr="00797D3F" w:rsidP="00840612" w14:paraId="47833706" w14:textId="77777777">
            <w:pPr>
              <w:widowControl/>
              <w:autoSpaceDE/>
              <w:autoSpaceDN/>
              <w:adjustRightInd/>
              <w:rPr>
                <w:rFonts w:asciiTheme="minorHAnsi" w:hAnsiTheme="minorHAnsi" w:cstheme="minorHAnsi"/>
                <w:b/>
                <w:color w:val="000000"/>
              </w:rPr>
            </w:pPr>
            <w:r w:rsidRPr="00797D3F">
              <w:rPr>
                <w:rFonts w:asciiTheme="minorHAnsi" w:hAnsiTheme="minorHAnsi" w:cstheme="minorHAnsi"/>
                <w:b/>
                <w:color w:val="000000"/>
              </w:rPr>
              <w:t>Subtotal</w:t>
            </w:r>
          </w:p>
        </w:tc>
        <w:tc>
          <w:tcPr>
            <w:tcW w:w="189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877710" w:rsidRPr="00797D3F" w:rsidP="00840612" w14:paraId="0FE2ACC9"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80</w:t>
            </w:r>
          </w:p>
        </w:tc>
        <w:tc>
          <w:tcPr>
            <w:tcW w:w="171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877710" w:rsidRPr="00797D3F" w:rsidP="00840612" w14:paraId="060B5910"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171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877710" w:rsidRPr="00797D3F" w:rsidP="00840612" w14:paraId="7C647D92"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24</w:t>
            </w:r>
          </w:p>
        </w:tc>
        <w:tc>
          <w:tcPr>
            <w:tcW w:w="2520"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877710" w:rsidRPr="00797D3F" w:rsidP="00840612" w14:paraId="3632442C" w14:textId="77777777">
            <w:pPr>
              <w:widowControl/>
              <w:autoSpaceDE/>
              <w:autoSpaceDN/>
              <w:adjustRightInd/>
              <w:jc w:val="center"/>
              <w:rPr>
                <w:rFonts w:asciiTheme="minorHAnsi" w:hAnsiTheme="minorHAnsi" w:cstheme="minorHAnsi"/>
                <w:b/>
                <w:color w:val="000000"/>
              </w:rPr>
            </w:pPr>
            <w:r w:rsidRPr="00797D3F">
              <w:rPr>
                <w:rFonts w:asciiTheme="minorHAnsi" w:hAnsiTheme="minorHAnsi" w:cstheme="minorHAnsi"/>
                <w:b/>
                <w:color w:val="000000"/>
              </w:rPr>
              <w:t>1,066</w:t>
            </w:r>
          </w:p>
        </w:tc>
      </w:tr>
    </w:tbl>
    <w:p w:rsidR="00877710" w:rsidP="00877710" w14:paraId="3A20DC27" w14:textId="77777777">
      <w:pPr>
        <w:rPr>
          <w:sz w:val="24"/>
          <w:szCs w:val="24"/>
        </w:rPr>
      </w:pPr>
    </w:p>
    <w:p w:rsidR="00877710" w:rsidRPr="00EC7F50" w:rsidP="00877710" w14:paraId="19AA922C" w14:textId="78FAFF23">
      <w:pPr>
        <w:keepNext/>
        <w:keepLines/>
        <w:contextualSpacing/>
        <w:rPr>
          <w:i/>
          <w:sz w:val="22"/>
          <w:szCs w:val="22"/>
        </w:rPr>
      </w:pPr>
      <w:r w:rsidRPr="00EC7F50">
        <w:rPr>
          <w:i/>
          <w:sz w:val="22"/>
          <w:szCs w:val="22"/>
        </w:rPr>
        <w:t xml:space="preserve">Table </w:t>
      </w:r>
      <w:r w:rsidR="005710F9">
        <w:rPr>
          <w:i/>
          <w:sz w:val="22"/>
          <w:szCs w:val="22"/>
        </w:rPr>
        <w:t>2</w:t>
      </w:r>
    </w:p>
    <w:tbl>
      <w:tblPr>
        <w:tblStyle w:val="TableGrid"/>
        <w:tblW w:w="9715" w:type="dxa"/>
        <w:tblLook w:val="04A0"/>
      </w:tblPr>
      <w:tblGrid>
        <w:gridCol w:w="3504"/>
        <w:gridCol w:w="1621"/>
        <w:gridCol w:w="1440"/>
        <w:gridCol w:w="1620"/>
        <w:gridCol w:w="1530"/>
      </w:tblGrid>
      <w:tr w14:paraId="061C5DE9" w14:textId="77777777" w:rsidTr="00E5780B">
        <w:tblPrEx>
          <w:tblW w:w="9715" w:type="dxa"/>
          <w:tblLook w:val="04A0"/>
        </w:tblPrEx>
        <w:tc>
          <w:tcPr>
            <w:tcW w:w="3504" w:type="dxa"/>
            <w:shd w:val="clear" w:color="auto" w:fill="D9D9D9" w:themeFill="background1" w:themeFillShade="D9"/>
          </w:tcPr>
          <w:p w:rsidR="00877710" w:rsidRPr="00797D3F" w:rsidP="00244DDA" w14:paraId="3FB658D5" w14:textId="78C5CF92">
            <w:pPr>
              <w:keepNext/>
              <w:keepLines/>
              <w:rPr>
                <w:rFonts w:asciiTheme="minorHAnsi" w:hAnsiTheme="minorHAnsi" w:cstheme="minorHAnsi"/>
                <w:b/>
              </w:rPr>
            </w:pPr>
            <w:r>
              <w:rPr>
                <w:rFonts w:asciiTheme="minorHAnsi" w:hAnsiTheme="minorHAnsi" w:cstheme="minorHAnsi"/>
                <w:b/>
              </w:rPr>
              <w:t xml:space="preserve">VMS </w:t>
            </w:r>
            <w:r w:rsidRPr="00797D3F">
              <w:rPr>
                <w:rFonts w:asciiTheme="minorHAnsi" w:hAnsiTheme="minorHAnsi" w:cstheme="minorHAnsi"/>
                <w:b/>
              </w:rPr>
              <w:t>type-approval labor estimates, per year, industry-wid</w:t>
            </w:r>
            <w:r w:rsidR="00244DDA">
              <w:rPr>
                <w:rFonts w:asciiTheme="minorHAnsi" w:hAnsiTheme="minorHAnsi" w:cstheme="minorHAnsi"/>
                <w:b/>
              </w:rPr>
              <w:t>e</w:t>
            </w:r>
            <w:r w:rsidRPr="00797D3F">
              <w:rPr>
                <w:rFonts w:asciiTheme="minorHAnsi" w:hAnsiTheme="minorHAnsi" w:cstheme="minorHAnsi"/>
                <w:b/>
              </w:rPr>
              <w:t xml:space="preserve"> </w:t>
            </w:r>
          </w:p>
        </w:tc>
        <w:tc>
          <w:tcPr>
            <w:tcW w:w="1621" w:type="dxa"/>
            <w:shd w:val="clear" w:color="auto" w:fill="D9D9D9" w:themeFill="background1" w:themeFillShade="D9"/>
          </w:tcPr>
          <w:p w:rsidR="00877710" w:rsidRPr="00797D3F" w:rsidP="00E5780B" w14:paraId="517ABBB8" w14:textId="77777777">
            <w:pPr>
              <w:keepNext/>
              <w:keepLines/>
              <w:jc w:val="center"/>
              <w:rPr>
                <w:rFonts w:asciiTheme="minorHAnsi" w:hAnsiTheme="minorHAnsi" w:cstheme="minorHAnsi"/>
                <w:b/>
              </w:rPr>
            </w:pPr>
            <w:r w:rsidRPr="00797D3F">
              <w:rPr>
                <w:rFonts w:asciiTheme="minorHAnsi" w:hAnsiTheme="minorHAnsi" w:cstheme="minorHAnsi"/>
                <w:b/>
                <w:bCs/>
                <w:color w:val="000000"/>
              </w:rPr>
              <w:t>Affected respondents (n)</w:t>
            </w:r>
          </w:p>
        </w:tc>
        <w:tc>
          <w:tcPr>
            <w:tcW w:w="1440" w:type="dxa"/>
            <w:shd w:val="clear" w:color="auto" w:fill="D9D9D9" w:themeFill="background1" w:themeFillShade="D9"/>
          </w:tcPr>
          <w:p w:rsidR="00877710" w:rsidRPr="00797D3F" w:rsidP="00E5780B" w14:paraId="6C80619A" w14:textId="77777777">
            <w:pPr>
              <w:keepNext/>
              <w:keepLines/>
              <w:jc w:val="center"/>
              <w:rPr>
                <w:rFonts w:asciiTheme="minorHAnsi" w:hAnsiTheme="minorHAnsi" w:cstheme="minorHAnsi"/>
                <w:b/>
              </w:rPr>
            </w:pPr>
            <w:r w:rsidRPr="00797D3F">
              <w:rPr>
                <w:rFonts w:asciiTheme="minorHAnsi" w:hAnsiTheme="minorHAnsi" w:cstheme="minorHAnsi"/>
                <w:b/>
                <w:bCs/>
                <w:color w:val="000000"/>
              </w:rPr>
              <w:t>Responses (n)</w:t>
            </w:r>
          </w:p>
        </w:tc>
        <w:tc>
          <w:tcPr>
            <w:tcW w:w="1620" w:type="dxa"/>
            <w:shd w:val="clear" w:color="auto" w:fill="D9D9D9" w:themeFill="background1" w:themeFillShade="D9"/>
          </w:tcPr>
          <w:p w:rsidR="00877710" w:rsidRPr="00797D3F" w:rsidP="00244DDA" w14:paraId="142D3008" w14:textId="77777777">
            <w:pPr>
              <w:keepNext/>
              <w:keepLines/>
              <w:jc w:val="center"/>
              <w:rPr>
                <w:rFonts w:asciiTheme="minorHAnsi" w:hAnsiTheme="minorHAnsi" w:cstheme="minorHAnsi"/>
                <w:b/>
              </w:rPr>
            </w:pPr>
            <w:r w:rsidRPr="00797D3F">
              <w:rPr>
                <w:rFonts w:asciiTheme="minorHAnsi" w:hAnsiTheme="minorHAnsi" w:cstheme="minorHAnsi"/>
                <w:b/>
                <w:bCs/>
                <w:color w:val="000000"/>
              </w:rPr>
              <w:t>Time per response (</w:t>
            </w:r>
            <w:r w:rsidRPr="00797D3F">
              <w:rPr>
                <w:rFonts w:asciiTheme="minorHAnsi" w:hAnsiTheme="minorHAnsi" w:cstheme="minorHAnsi"/>
                <w:b/>
                <w:bCs/>
                <w:color w:val="000000"/>
              </w:rPr>
              <w:t>hr</w:t>
            </w:r>
            <w:r w:rsidRPr="00797D3F">
              <w:rPr>
                <w:rFonts w:asciiTheme="minorHAnsi" w:hAnsiTheme="minorHAnsi" w:cstheme="minorHAnsi"/>
                <w:b/>
                <w:bCs/>
                <w:color w:val="000000"/>
              </w:rPr>
              <w:t>)</w:t>
            </w:r>
          </w:p>
        </w:tc>
        <w:tc>
          <w:tcPr>
            <w:tcW w:w="1530" w:type="dxa"/>
            <w:shd w:val="clear" w:color="auto" w:fill="D9D9D9" w:themeFill="background1" w:themeFillShade="D9"/>
          </w:tcPr>
          <w:p w:rsidR="00877710" w:rsidRPr="00797D3F" w:rsidP="00840612" w14:paraId="249869B7" w14:textId="77777777">
            <w:pPr>
              <w:keepNext/>
              <w:keepLines/>
              <w:rPr>
                <w:rFonts w:asciiTheme="minorHAnsi" w:hAnsiTheme="minorHAnsi" w:cstheme="minorHAnsi"/>
                <w:b/>
              </w:rPr>
            </w:pPr>
            <w:r w:rsidRPr="00797D3F">
              <w:rPr>
                <w:rFonts w:asciiTheme="minorHAnsi" w:hAnsiTheme="minorHAnsi" w:cstheme="minorHAnsi"/>
                <w:b/>
                <w:bCs/>
                <w:color w:val="000000"/>
              </w:rPr>
              <w:t xml:space="preserve">Total time </w:t>
            </w:r>
            <w:r w:rsidRPr="00797D3F">
              <w:rPr>
                <w:rFonts w:asciiTheme="minorHAnsi" w:hAnsiTheme="minorHAnsi" w:cstheme="minorHAnsi"/>
                <w:b/>
                <w:bCs/>
                <w:color w:val="000000"/>
              </w:rPr>
              <w:t>(</w:t>
            </w:r>
            <w:r w:rsidRPr="00797D3F">
              <w:rPr>
                <w:rFonts w:asciiTheme="minorHAnsi" w:hAnsiTheme="minorHAnsi" w:cstheme="minorHAnsi"/>
                <w:b/>
                <w:bCs/>
                <w:color w:val="000000"/>
              </w:rPr>
              <w:t>hr</w:t>
            </w:r>
            <w:r w:rsidRPr="00797D3F">
              <w:rPr>
                <w:rFonts w:asciiTheme="minorHAnsi" w:hAnsiTheme="minorHAnsi" w:cstheme="minorHAnsi"/>
                <w:b/>
                <w:bCs/>
                <w:color w:val="000000"/>
              </w:rPr>
              <w:t>)</w:t>
            </w:r>
          </w:p>
        </w:tc>
      </w:tr>
      <w:tr w14:paraId="65E3C79B" w14:textId="77777777" w:rsidTr="00E5780B">
        <w:tblPrEx>
          <w:tblW w:w="9715" w:type="dxa"/>
          <w:tblLook w:val="04A0"/>
        </w:tblPrEx>
        <w:tc>
          <w:tcPr>
            <w:tcW w:w="3504" w:type="dxa"/>
            <w:shd w:val="clear" w:color="auto" w:fill="F2F2F2" w:themeFill="background1" w:themeFillShade="F2"/>
          </w:tcPr>
          <w:p w:rsidR="00877710" w:rsidRPr="00797D3F" w:rsidP="00840612" w14:paraId="094B719D" w14:textId="77777777">
            <w:pPr>
              <w:rPr>
                <w:rFonts w:asciiTheme="minorHAnsi" w:hAnsiTheme="minorHAnsi" w:cstheme="minorHAnsi"/>
              </w:rPr>
            </w:pPr>
            <w:r w:rsidRPr="00797D3F">
              <w:rPr>
                <w:rFonts w:asciiTheme="minorHAnsi" w:hAnsiTheme="minorHAnsi" w:cstheme="minorHAnsi"/>
              </w:rPr>
              <w:t xml:space="preserve">Application </w:t>
            </w:r>
          </w:p>
        </w:tc>
        <w:tc>
          <w:tcPr>
            <w:tcW w:w="1621" w:type="dxa"/>
          </w:tcPr>
          <w:p w:rsidR="00877710" w:rsidRPr="00797D3F" w:rsidP="00840612" w14:paraId="2E524FD4" w14:textId="77777777">
            <w:pPr>
              <w:jc w:val="center"/>
              <w:rPr>
                <w:rFonts w:asciiTheme="minorHAnsi" w:hAnsiTheme="minorHAnsi" w:cstheme="minorHAnsi"/>
              </w:rPr>
            </w:pPr>
            <w:r w:rsidRPr="00797D3F">
              <w:rPr>
                <w:rFonts w:asciiTheme="minorHAnsi" w:hAnsiTheme="minorHAnsi" w:cstheme="minorHAnsi"/>
              </w:rPr>
              <w:t>1</w:t>
            </w:r>
          </w:p>
        </w:tc>
        <w:tc>
          <w:tcPr>
            <w:tcW w:w="1440" w:type="dxa"/>
          </w:tcPr>
          <w:p w:rsidR="00877710" w:rsidRPr="00797D3F" w:rsidP="00840612" w14:paraId="26CD4FE9" w14:textId="77777777">
            <w:pPr>
              <w:tabs>
                <w:tab w:val="center" w:pos="900"/>
              </w:tabs>
              <w:jc w:val="center"/>
              <w:rPr>
                <w:rFonts w:asciiTheme="minorHAnsi" w:hAnsiTheme="minorHAnsi" w:cstheme="minorHAnsi"/>
              </w:rPr>
            </w:pPr>
            <w:r w:rsidRPr="00797D3F">
              <w:rPr>
                <w:rFonts w:asciiTheme="minorHAnsi" w:hAnsiTheme="minorHAnsi" w:cstheme="minorHAnsi"/>
              </w:rPr>
              <w:t>1</w:t>
            </w:r>
          </w:p>
        </w:tc>
        <w:tc>
          <w:tcPr>
            <w:tcW w:w="1620" w:type="dxa"/>
          </w:tcPr>
          <w:p w:rsidR="00877710" w:rsidRPr="00797D3F" w:rsidP="00840612" w14:paraId="2D7F5398" w14:textId="77777777">
            <w:pPr>
              <w:jc w:val="center"/>
              <w:rPr>
                <w:rFonts w:asciiTheme="minorHAnsi" w:hAnsiTheme="minorHAnsi" w:cstheme="minorHAnsi"/>
              </w:rPr>
            </w:pPr>
            <w:r w:rsidRPr="00797D3F">
              <w:rPr>
                <w:rFonts w:asciiTheme="minorHAnsi" w:hAnsiTheme="minorHAnsi" w:cstheme="minorHAnsi"/>
              </w:rPr>
              <w:t>80</w:t>
            </w:r>
          </w:p>
        </w:tc>
        <w:tc>
          <w:tcPr>
            <w:tcW w:w="1530" w:type="dxa"/>
          </w:tcPr>
          <w:p w:rsidR="00877710" w:rsidRPr="00797D3F" w:rsidP="00840612" w14:paraId="08B6BFAB" w14:textId="77777777">
            <w:pPr>
              <w:jc w:val="right"/>
              <w:rPr>
                <w:rFonts w:asciiTheme="minorHAnsi" w:hAnsiTheme="minorHAnsi" w:cstheme="minorHAnsi"/>
              </w:rPr>
            </w:pPr>
            <w:r w:rsidRPr="00797D3F">
              <w:rPr>
                <w:rFonts w:asciiTheme="minorHAnsi" w:hAnsiTheme="minorHAnsi" w:cstheme="minorHAnsi"/>
              </w:rPr>
              <w:t>80</w:t>
            </w:r>
          </w:p>
        </w:tc>
      </w:tr>
      <w:tr w14:paraId="7E95FA23" w14:textId="77777777" w:rsidTr="00E5780B">
        <w:tblPrEx>
          <w:tblW w:w="9715" w:type="dxa"/>
          <w:tblLook w:val="04A0"/>
        </w:tblPrEx>
        <w:tc>
          <w:tcPr>
            <w:tcW w:w="3504" w:type="dxa"/>
            <w:shd w:val="clear" w:color="auto" w:fill="F2F2F2" w:themeFill="background1" w:themeFillShade="F2"/>
          </w:tcPr>
          <w:p w:rsidR="00877710" w:rsidRPr="00797D3F" w:rsidP="00840612" w14:paraId="6E6D5FE5" w14:textId="77777777">
            <w:pPr>
              <w:rPr>
                <w:rFonts w:asciiTheme="minorHAnsi" w:hAnsiTheme="minorHAnsi" w:cstheme="minorHAnsi"/>
              </w:rPr>
            </w:pPr>
            <w:r w:rsidRPr="00797D3F">
              <w:rPr>
                <w:rFonts w:asciiTheme="minorHAnsi" w:hAnsiTheme="minorHAnsi" w:cstheme="minorHAnsi"/>
              </w:rPr>
              <w:t xml:space="preserve">Changes to type-approvals </w:t>
            </w:r>
          </w:p>
        </w:tc>
        <w:tc>
          <w:tcPr>
            <w:tcW w:w="1621" w:type="dxa"/>
          </w:tcPr>
          <w:p w:rsidR="00877710" w:rsidRPr="00797D3F" w:rsidP="00840612" w14:paraId="7504C52E" w14:textId="77777777">
            <w:pPr>
              <w:jc w:val="center"/>
              <w:rPr>
                <w:rFonts w:asciiTheme="minorHAnsi" w:hAnsiTheme="minorHAnsi" w:cstheme="minorHAnsi"/>
              </w:rPr>
            </w:pPr>
            <w:r w:rsidRPr="00797D3F">
              <w:rPr>
                <w:rFonts w:asciiTheme="minorHAnsi" w:hAnsiTheme="minorHAnsi" w:cstheme="minorHAnsi"/>
              </w:rPr>
              <w:t>2</w:t>
            </w:r>
          </w:p>
        </w:tc>
        <w:tc>
          <w:tcPr>
            <w:tcW w:w="1440" w:type="dxa"/>
          </w:tcPr>
          <w:p w:rsidR="00877710" w:rsidRPr="00797D3F" w:rsidP="00840612" w14:paraId="530D729E" w14:textId="77777777">
            <w:pPr>
              <w:tabs>
                <w:tab w:val="center" w:pos="900"/>
              </w:tabs>
              <w:jc w:val="center"/>
              <w:rPr>
                <w:rFonts w:asciiTheme="minorHAnsi" w:hAnsiTheme="minorHAnsi" w:cstheme="minorHAnsi"/>
              </w:rPr>
            </w:pPr>
            <w:r w:rsidRPr="00797D3F">
              <w:rPr>
                <w:rFonts w:asciiTheme="minorHAnsi" w:hAnsiTheme="minorHAnsi" w:cstheme="minorHAnsi"/>
              </w:rPr>
              <w:t>1</w:t>
            </w:r>
          </w:p>
        </w:tc>
        <w:tc>
          <w:tcPr>
            <w:tcW w:w="1620" w:type="dxa"/>
          </w:tcPr>
          <w:p w:rsidR="00877710" w:rsidRPr="00797D3F" w:rsidP="00840612" w14:paraId="45F2E972" w14:textId="77777777">
            <w:pPr>
              <w:jc w:val="center"/>
              <w:rPr>
                <w:rFonts w:asciiTheme="minorHAnsi" w:hAnsiTheme="minorHAnsi" w:cstheme="minorHAnsi"/>
              </w:rPr>
            </w:pPr>
            <w:r w:rsidRPr="00797D3F">
              <w:rPr>
                <w:rFonts w:asciiTheme="minorHAnsi" w:hAnsiTheme="minorHAnsi" w:cstheme="minorHAnsi"/>
              </w:rPr>
              <w:t>24</w:t>
            </w:r>
          </w:p>
        </w:tc>
        <w:tc>
          <w:tcPr>
            <w:tcW w:w="1530" w:type="dxa"/>
          </w:tcPr>
          <w:p w:rsidR="00877710" w:rsidRPr="00797D3F" w:rsidP="00840612" w14:paraId="12F29049" w14:textId="77777777">
            <w:pPr>
              <w:jc w:val="right"/>
              <w:rPr>
                <w:rFonts w:asciiTheme="minorHAnsi" w:hAnsiTheme="minorHAnsi" w:cstheme="minorHAnsi"/>
              </w:rPr>
            </w:pPr>
            <w:r w:rsidRPr="00797D3F">
              <w:rPr>
                <w:rFonts w:asciiTheme="minorHAnsi" w:hAnsiTheme="minorHAnsi" w:cstheme="minorHAnsi"/>
              </w:rPr>
              <w:t>48</w:t>
            </w:r>
          </w:p>
        </w:tc>
      </w:tr>
      <w:tr w14:paraId="42D798D0" w14:textId="77777777" w:rsidTr="00E5780B">
        <w:tblPrEx>
          <w:tblW w:w="9715" w:type="dxa"/>
          <w:tblLook w:val="04A0"/>
        </w:tblPrEx>
        <w:tc>
          <w:tcPr>
            <w:tcW w:w="3504" w:type="dxa"/>
            <w:shd w:val="clear" w:color="auto" w:fill="F2F2F2" w:themeFill="background1" w:themeFillShade="F2"/>
          </w:tcPr>
          <w:p w:rsidR="00877710" w:rsidRPr="00797D3F" w:rsidP="00840612" w14:paraId="5AAA04B4" w14:textId="77777777">
            <w:pPr>
              <w:rPr>
                <w:rFonts w:asciiTheme="minorHAnsi" w:hAnsiTheme="minorHAnsi" w:cstheme="minorHAnsi"/>
              </w:rPr>
            </w:pPr>
            <w:r w:rsidRPr="00797D3F">
              <w:rPr>
                <w:rFonts w:asciiTheme="minorHAnsi" w:hAnsiTheme="minorHAnsi" w:cstheme="minorHAnsi"/>
              </w:rPr>
              <w:t>Revocation response</w:t>
            </w:r>
          </w:p>
        </w:tc>
        <w:tc>
          <w:tcPr>
            <w:tcW w:w="1621" w:type="dxa"/>
          </w:tcPr>
          <w:p w:rsidR="00877710" w:rsidRPr="00797D3F" w:rsidP="00840612" w14:paraId="47834E1F" w14:textId="77777777">
            <w:pPr>
              <w:jc w:val="center"/>
              <w:rPr>
                <w:rFonts w:asciiTheme="minorHAnsi" w:hAnsiTheme="minorHAnsi" w:cstheme="minorHAnsi"/>
              </w:rPr>
            </w:pPr>
            <w:r w:rsidRPr="00797D3F">
              <w:rPr>
                <w:rFonts w:asciiTheme="minorHAnsi" w:hAnsiTheme="minorHAnsi" w:cstheme="minorHAnsi"/>
              </w:rPr>
              <w:t>1</w:t>
            </w:r>
          </w:p>
        </w:tc>
        <w:tc>
          <w:tcPr>
            <w:tcW w:w="1440" w:type="dxa"/>
          </w:tcPr>
          <w:p w:rsidR="00877710" w:rsidRPr="00797D3F" w:rsidP="00840612" w14:paraId="1358E836" w14:textId="77777777">
            <w:pPr>
              <w:jc w:val="center"/>
              <w:rPr>
                <w:rFonts w:asciiTheme="minorHAnsi" w:hAnsiTheme="minorHAnsi" w:cstheme="minorHAnsi"/>
              </w:rPr>
            </w:pPr>
            <w:r w:rsidRPr="00797D3F">
              <w:rPr>
                <w:rFonts w:asciiTheme="minorHAnsi" w:hAnsiTheme="minorHAnsi" w:cstheme="minorHAnsi"/>
              </w:rPr>
              <w:t>1</w:t>
            </w:r>
          </w:p>
        </w:tc>
        <w:tc>
          <w:tcPr>
            <w:tcW w:w="1620" w:type="dxa"/>
          </w:tcPr>
          <w:p w:rsidR="00877710" w:rsidRPr="00797D3F" w:rsidP="00840612" w14:paraId="54D11723" w14:textId="77777777">
            <w:pPr>
              <w:jc w:val="center"/>
              <w:rPr>
                <w:rFonts w:asciiTheme="minorHAnsi" w:hAnsiTheme="minorHAnsi" w:cstheme="minorHAnsi"/>
              </w:rPr>
            </w:pPr>
            <w:r w:rsidRPr="00797D3F">
              <w:rPr>
                <w:rFonts w:asciiTheme="minorHAnsi" w:hAnsiTheme="minorHAnsi" w:cstheme="minorHAnsi"/>
              </w:rPr>
              <w:t>24</w:t>
            </w:r>
          </w:p>
        </w:tc>
        <w:tc>
          <w:tcPr>
            <w:tcW w:w="1530" w:type="dxa"/>
          </w:tcPr>
          <w:p w:rsidR="00877710" w:rsidRPr="00797D3F" w:rsidP="00840612" w14:paraId="74718A67" w14:textId="77777777">
            <w:pPr>
              <w:jc w:val="right"/>
              <w:rPr>
                <w:rFonts w:asciiTheme="minorHAnsi" w:hAnsiTheme="minorHAnsi" w:cstheme="minorHAnsi"/>
              </w:rPr>
            </w:pPr>
            <w:r w:rsidRPr="00797D3F">
              <w:rPr>
                <w:rFonts w:asciiTheme="minorHAnsi" w:hAnsiTheme="minorHAnsi" w:cstheme="minorHAnsi"/>
              </w:rPr>
              <w:t>24</w:t>
            </w:r>
          </w:p>
        </w:tc>
      </w:tr>
      <w:tr w14:paraId="24FAC282" w14:textId="77777777" w:rsidTr="00E5780B">
        <w:tblPrEx>
          <w:tblW w:w="9715" w:type="dxa"/>
          <w:tblLook w:val="04A0"/>
        </w:tblPrEx>
        <w:tc>
          <w:tcPr>
            <w:tcW w:w="3504" w:type="dxa"/>
            <w:tcBorders>
              <w:bottom w:val="single" w:sz="12" w:space="0" w:color="auto"/>
            </w:tcBorders>
            <w:shd w:val="clear" w:color="auto" w:fill="F2F2F2" w:themeFill="background1" w:themeFillShade="F2"/>
          </w:tcPr>
          <w:p w:rsidR="00877710" w:rsidRPr="00797D3F" w:rsidP="00840612" w14:paraId="640E4617" w14:textId="77777777">
            <w:pPr>
              <w:rPr>
                <w:rFonts w:asciiTheme="minorHAnsi" w:hAnsiTheme="minorHAnsi" w:cstheme="minorHAnsi"/>
              </w:rPr>
            </w:pPr>
            <w:r w:rsidRPr="00797D3F">
              <w:rPr>
                <w:rFonts w:asciiTheme="minorHAnsi" w:hAnsiTheme="minorHAnsi" w:cstheme="minorHAnsi"/>
              </w:rPr>
              <w:t>Diagnostic and troubleshooting support</w:t>
            </w:r>
          </w:p>
        </w:tc>
        <w:tc>
          <w:tcPr>
            <w:tcW w:w="1621" w:type="dxa"/>
            <w:tcBorders>
              <w:bottom w:val="single" w:sz="12" w:space="0" w:color="auto"/>
            </w:tcBorders>
          </w:tcPr>
          <w:p w:rsidR="00877710" w:rsidRPr="00797D3F" w:rsidP="00840612" w14:paraId="12A3DB17" w14:textId="77777777">
            <w:pPr>
              <w:jc w:val="center"/>
              <w:rPr>
                <w:rFonts w:asciiTheme="minorHAnsi" w:hAnsiTheme="minorHAnsi" w:cstheme="minorHAnsi"/>
              </w:rPr>
            </w:pPr>
            <w:r w:rsidRPr="00797D3F">
              <w:rPr>
                <w:rFonts w:asciiTheme="minorHAnsi" w:hAnsiTheme="minorHAnsi" w:cstheme="minorHAnsi"/>
              </w:rPr>
              <w:t>8</w:t>
            </w:r>
          </w:p>
        </w:tc>
        <w:tc>
          <w:tcPr>
            <w:tcW w:w="1440" w:type="dxa"/>
            <w:tcBorders>
              <w:bottom w:val="single" w:sz="12" w:space="0" w:color="auto"/>
            </w:tcBorders>
          </w:tcPr>
          <w:p w:rsidR="00877710" w:rsidRPr="00797D3F" w:rsidP="00840612" w14:paraId="3318C910" w14:textId="77777777">
            <w:pPr>
              <w:jc w:val="center"/>
              <w:rPr>
                <w:rFonts w:asciiTheme="minorHAnsi" w:hAnsiTheme="minorHAnsi" w:cstheme="minorHAnsi"/>
              </w:rPr>
            </w:pPr>
            <w:r w:rsidRPr="00797D3F">
              <w:rPr>
                <w:rFonts w:asciiTheme="minorHAnsi" w:hAnsiTheme="minorHAnsi" w:cstheme="minorHAnsi"/>
              </w:rPr>
              <w:t>1</w:t>
            </w:r>
          </w:p>
        </w:tc>
        <w:tc>
          <w:tcPr>
            <w:tcW w:w="1620" w:type="dxa"/>
            <w:tcBorders>
              <w:bottom w:val="single" w:sz="12" w:space="0" w:color="auto"/>
            </w:tcBorders>
          </w:tcPr>
          <w:p w:rsidR="00877710" w:rsidRPr="00797D3F" w:rsidP="00840612" w14:paraId="58E63E22" w14:textId="77777777">
            <w:pPr>
              <w:jc w:val="center"/>
              <w:rPr>
                <w:rFonts w:asciiTheme="minorHAnsi" w:hAnsiTheme="minorHAnsi" w:cstheme="minorHAnsi"/>
              </w:rPr>
            </w:pPr>
            <w:r w:rsidRPr="00797D3F">
              <w:rPr>
                <w:rFonts w:asciiTheme="minorHAnsi" w:hAnsiTheme="minorHAnsi" w:cstheme="minorHAnsi"/>
              </w:rPr>
              <w:t>1,066 (annually)</w:t>
            </w:r>
          </w:p>
        </w:tc>
        <w:tc>
          <w:tcPr>
            <w:tcW w:w="1530" w:type="dxa"/>
            <w:tcBorders>
              <w:bottom w:val="single" w:sz="12" w:space="0" w:color="auto"/>
            </w:tcBorders>
          </w:tcPr>
          <w:p w:rsidR="00877710" w:rsidRPr="00797D3F" w:rsidP="00840612" w14:paraId="13EA7798" w14:textId="77777777">
            <w:pPr>
              <w:jc w:val="right"/>
              <w:rPr>
                <w:rFonts w:asciiTheme="minorHAnsi" w:hAnsiTheme="minorHAnsi" w:cstheme="minorHAnsi"/>
              </w:rPr>
            </w:pPr>
            <w:r w:rsidRPr="00797D3F">
              <w:rPr>
                <w:rFonts w:asciiTheme="minorHAnsi" w:hAnsiTheme="minorHAnsi" w:cstheme="minorHAnsi"/>
              </w:rPr>
              <w:t>8,528</w:t>
            </w:r>
          </w:p>
        </w:tc>
      </w:tr>
      <w:tr w14:paraId="7045C10A" w14:textId="77777777" w:rsidTr="00E5780B">
        <w:tblPrEx>
          <w:tblW w:w="9715" w:type="dxa"/>
          <w:tblLook w:val="04A0"/>
        </w:tblPrEx>
        <w:tc>
          <w:tcPr>
            <w:tcW w:w="350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877710" w:rsidRPr="00797D3F" w:rsidP="00840612" w14:paraId="4304C939" w14:textId="77777777">
            <w:pPr>
              <w:rPr>
                <w:rFonts w:asciiTheme="minorHAnsi" w:hAnsiTheme="minorHAnsi" w:cstheme="minorHAnsi"/>
                <w:b/>
              </w:rPr>
            </w:pPr>
            <w:r w:rsidRPr="00797D3F">
              <w:rPr>
                <w:rFonts w:asciiTheme="minorHAnsi" w:hAnsiTheme="minorHAnsi" w:cstheme="minorHAnsi"/>
                <w:b/>
              </w:rPr>
              <w:t>Subtotal</w:t>
            </w:r>
          </w:p>
        </w:tc>
        <w:tc>
          <w:tcPr>
            <w:tcW w:w="1621"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877710" w:rsidRPr="00797D3F" w:rsidP="00840612" w14:paraId="29A85AF0" w14:textId="77777777">
            <w:pPr>
              <w:jc w:val="right"/>
              <w:rPr>
                <w:rFonts w:asciiTheme="minorHAnsi" w:hAnsiTheme="minorHAnsi" w:cstheme="minorHAnsi"/>
                <w:b/>
              </w:rPr>
            </w:pPr>
          </w:p>
        </w:tc>
        <w:tc>
          <w:tcPr>
            <w:tcW w:w="144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877710" w:rsidRPr="00797D3F" w:rsidP="00840612" w14:paraId="3AB56AC0" w14:textId="77777777">
            <w:pPr>
              <w:jc w:val="right"/>
              <w:rPr>
                <w:rFonts w:asciiTheme="minorHAnsi" w:hAnsiTheme="minorHAnsi" w:cstheme="minorHAnsi"/>
                <w:b/>
              </w:rPr>
            </w:pPr>
          </w:p>
        </w:tc>
        <w:tc>
          <w:tcPr>
            <w:tcW w:w="162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877710" w:rsidRPr="00797D3F" w:rsidP="00840612" w14:paraId="5CCD1F1D" w14:textId="77777777">
            <w:pPr>
              <w:jc w:val="right"/>
              <w:rPr>
                <w:rFonts w:asciiTheme="minorHAnsi" w:hAnsiTheme="minorHAnsi" w:cstheme="minorHAnsi"/>
                <w:b/>
              </w:rPr>
            </w:pPr>
          </w:p>
        </w:tc>
        <w:tc>
          <w:tcPr>
            <w:tcW w:w="1530" w:type="dxa"/>
            <w:tcBorders>
              <w:top w:val="single" w:sz="12" w:space="0" w:color="auto"/>
              <w:left w:val="single" w:sz="12" w:space="0" w:color="auto"/>
              <w:bottom w:val="single" w:sz="12" w:space="0" w:color="auto"/>
              <w:right w:val="single" w:sz="12" w:space="0" w:color="auto"/>
            </w:tcBorders>
          </w:tcPr>
          <w:p w:rsidR="00877710" w:rsidRPr="00797D3F" w:rsidP="00840612" w14:paraId="442F93CC" w14:textId="77777777">
            <w:pPr>
              <w:jc w:val="right"/>
              <w:rPr>
                <w:rFonts w:asciiTheme="minorHAnsi" w:hAnsiTheme="minorHAnsi" w:cstheme="minorHAnsi"/>
                <w:b/>
              </w:rPr>
            </w:pPr>
            <w:r w:rsidRPr="00797D3F">
              <w:rPr>
                <w:rFonts w:asciiTheme="minorHAnsi" w:hAnsiTheme="minorHAnsi" w:cstheme="minorHAnsi"/>
                <w:b/>
              </w:rPr>
              <w:t>8,680</w:t>
            </w:r>
          </w:p>
        </w:tc>
      </w:tr>
    </w:tbl>
    <w:p w:rsidR="00877710" w:rsidRPr="00EC7F50" w:rsidP="00877710" w14:paraId="3F0B84DC" w14:textId="77777777">
      <w:pPr>
        <w:contextualSpacing/>
        <w:rPr>
          <w:sz w:val="16"/>
          <w:szCs w:val="16"/>
        </w:rPr>
      </w:pPr>
    </w:p>
    <w:p w:rsidR="00877710" w:rsidRPr="009570B8" w:rsidP="00877710" w14:paraId="14E88D89" w14:textId="154E7FDF">
      <w:pPr>
        <w:rPr>
          <w:sz w:val="24"/>
          <w:szCs w:val="24"/>
        </w:rPr>
      </w:pPr>
      <w:r>
        <w:rPr>
          <w:i/>
          <w:sz w:val="22"/>
          <w:szCs w:val="22"/>
        </w:rPr>
        <w:t xml:space="preserve">Note for </w:t>
      </w:r>
      <w:r w:rsidRPr="00EC7F50">
        <w:rPr>
          <w:i/>
          <w:sz w:val="22"/>
          <w:szCs w:val="22"/>
        </w:rPr>
        <w:t>Tables</w:t>
      </w:r>
      <w:r>
        <w:rPr>
          <w:i/>
          <w:sz w:val="22"/>
          <w:szCs w:val="22"/>
        </w:rPr>
        <w:t xml:space="preserve"> 1-</w:t>
      </w:r>
      <w:r w:rsidR="00BD2E41">
        <w:rPr>
          <w:i/>
          <w:sz w:val="22"/>
          <w:szCs w:val="22"/>
        </w:rPr>
        <w:t>2</w:t>
      </w:r>
      <w:r w:rsidRPr="00EC7F50">
        <w:rPr>
          <w:i/>
          <w:sz w:val="22"/>
          <w:szCs w:val="22"/>
        </w:rPr>
        <w:t xml:space="preserve">: The application refers to the process to </w:t>
      </w:r>
      <w:r w:rsidRPr="00EC7F50">
        <w:rPr>
          <w:i/>
          <w:sz w:val="22"/>
          <w:szCs w:val="22"/>
        </w:rPr>
        <w:t>initially apply for type-approval (see 50 CFR 600.1501). Changes to type-approvals refers to the process to apply to make changes to the type-approved units</w:t>
      </w:r>
      <w:r>
        <w:rPr>
          <w:i/>
          <w:sz w:val="22"/>
          <w:szCs w:val="22"/>
        </w:rPr>
        <w:t xml:space="preserve">, </w:t>
      </w:r>
      <w:r w:rsidRPr="00EC7F50">
        <w:rPr>
          <w:i/>
          <w:sz w:val="22"/>
          <w:szCs w:val="22"/>
        </w:rPr>
        <w:t>features</w:t>
      </w:r>
      <w:r>
        <w:rPr>
          <w:i/>
          <w:sz w:val="22"/>
          <w:szCs w:val="22"/>
        </w:rPr>
        <w:t xml:space="preserve">, or </w:t>
      </w:r>
      <w:r w:rsidRPr="00EC7F50">
        <w:rPr>
          <w:i/>
          <w:sz w:val="22"/>
          <w:szCs w:val="22"/>
        </w:rPr>
        <w:t>service (see 50 CFR 600.1511). Revocations refer to the process of responding to noti</w:t>
      </w:r>
      <w:r w:rsidRPr="00EC7F50">
        <w:rPr>
          <w:i/>
          <w:sz w:val="22"/>
          <w:szCs w:val="22"/>
        </w:rPr>
        <w:t>ce of NMFS intent to revoke a type-approval (see 50 CFR 600.1512). Diagnostic services refer to the year-</w:t>
      </w:r>
      <w:r>
        <w:rPr>
          <w:i/>
          <w:sz w:val="22"/>
          <w:szCs w:val="22"/>
        </w:rPr>
        <w:t>round</w:t>
      </w:r>
      <w:r w:rsidRPr="00EC7F50">
        <w:rPr>
          <w:i/>
          <w:sz w:val="22"/>
          <w:szCs w:val="22"/>
        </w:rPr>
        <w:t xml:space="preserve"> services provided by the respondents.</w:t>
      </w:r>
    </w:p>
    <w:p w:rsidR="00877710" w:rsidP="00296DF8" w14:paraId="4A746AE9" w14:textId="04FFC470">
      <w:pPr>
        <w:rPr>
          <w:sz w:val="24"/>
          <w:szCs w:val="24"/>
        </w:rPr>
      </w:pPr>
      <w:r>
        <w:rPr>
          <w:sz w:val="24"/>
          <w:szCs w:val="24"/>
        </w:rPr>
        <w:t>Because NMFS has already type-approved nationwide, the application burden would not apply to most EMTU resp</w:t>
      </w:r>
      <w:r>
        <w:rPr>
          <w:sz w:val="24"/>
          <w:szCs w:val="24"/>
        </w:rPr>
        <w:t>ondents, except for an estimated one new respondent annually. For EMTU respondents,</w:t>
      </w:r>
      <w:r w:rsidRPr="009570B8">
        <w:rPr>
          <w:sz w:val="24"/>
          <w:szCs w:val="24"/>
        </w:rPr>
        <w:t xml:space="preserve"> </w:t>
      </w:r>
      <w:r>
        <w:rPr>
          <w:sz w:val="24"/>
          <w:szCs w:val="24"/>
        </w:rPr>
        <w:t>i</w:t>
      </w:r>
      <w:r w:rsidRPr="009570B8">
        <w:rPr>
          <w:sz w:val="24"/>
          <w:szCs w:val="24"/>
        </w:rPr>
        <w:t xml:space="preserve">f OMB approves this new information collection request, the estimated </w:t>
      </w:r>
      <w:r>
        <w:rPr>
          <w:sz w:val="24"/>
          <w:szCs w:val="24"/>
        </w:rPr>
        <w:t xml:space="preserve">total </w:t>
      </w:r>
      <w:r w:rsidRPr="009570B8">
        <w:rPr>
          <w:sz w:val="24"/>
          <w:szCs w:val="24"/>
        </w:rPr>
        <w:t>annual time burden</w:t>
      </w:r>
      <w:r w:rsidRPr="00F2747C">
        <w:rPr>
          <w:sz w:val="24"/>
          <w:szCs w:val="24"/>
        </w:rPr>
        <w:t xml:space="preserve"> would be </w:t>
      </w:r>
      <w:r>
        <w:rPr>
          <w:sz w:val="24"/>
          <w:szCs w:val="24"/>
        </w:rPr>
        <w:t>8,680</w:t>
      </w:r>
      <w:r w:rsidRPr="00F2747C">
        <w:rPr>
          <w:sz w:val="24"/>
          <w:szCs w:val="24"/>
        </w:rPr>
        <w:t xml:space="preserve"> hours. </w:t>
      </w:r>
    </w:p>
    <w:p w:rsidR="004F26E9" w:rsidP="00CA2B37" w14:paraId="1C3C6688" w14:textId="77777777">
      <w:pPr>
        <w:ind w:left="-360"/>
        <w:rPr>
          <w:sz w:val="24"/>
          <w:szCs w:val="24"/>
        </w:rPr>
      </w:pPr>
    </w:p>
    <w:tbl>
      <w:tblPr>
        <w:tblW w:w="10342" w:type="dxa"/>
        <w:tblLook w:val="04A0"/>
      </w:tblPr>
      <w:tblGrid>
        <w:gridCol w:w="1284"/>
        <w:gridCol w:w="1260"/>
        <w:gridCol w:w="1188"/>
        <w:gridCol w:w="1116"/>
        <w:gridCol w:w="1004"/>
        <w:gridCol w:w="933"/>
        <w:gridCol w:w="762"/>
        <w:gridCol w:w="1443"/>
        <w:gridCol w:w="1352"/>
      </w:tblGrid>
      <w:tr w14:paraId="24C79C65" w14:textId="77777777" w:rsidTr="00F75630">
        <w:tblPrEx>
          <w:tblW w:w="10342" w:type="dxa"/>
          <w:tblLook w:val="04A0"/>
        </w:tblPrEx>
        <w:trPr>
          <w:trHeight w:val="952"/>
        </w:trPr>
        <w:tc>
          <w:tcPr>
            <w:tcW w:w="1284" w:type="dxa"/>
            <w:tcBorders>
              <w:top w:val="single" w:sz="8" w:space="0" w:color="auto"/>
              <w:left w:val="single" w:sz="8" w:space="0" w:color="auto"/>
              <w:bottom w:val="single" w:sz="8" w:space="0" w:color="auto"/>
              <w:right w:val="single" w:sz="8" w:space="0" w:color="000000"/>
            </w:tcBorders>
            <w:shd w:val="clear" w:color="auto" w:fill="BDD6EE" w:themeFill="accent1" w:themeFillTint="66"/>
            <w:vAlign w:val="center"/>
            <w:hideMark/>
          </w:tcPr>
          <w:p w:rsidR="00CA2B37" w:rsidRPr="00CA2B37" w:rsidP="00CA2B37" w14:paraId="543630BE"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60" w:type="dxa"/>
            <w:tcBorders>
              <w:top w:val="single" w:sz="8" w:space="0" w:color="auto"/>
              <w:left w:val="nil"/>
              <w:bottom w:val="single" w:sz="8" w:space="0" w:color="auto"/>
              <w:right w:val="single" w:sz="8" w:space="0" w:color="000000"/>
            </w:tcBorders>
            <w:shd w:val="clear" w:color="auto" w:fill="BDD6EE" w:themeFill="accent1" w:themeFillTint="66"/>
            <w:vAlign w:val="center"/>
            <w:hideMark/>
          </w:tcPr>
          <w:p w:rsidR="00CA2B37" w:rsidRPr="00CA2B37" w:rsidP="00580714" w14:paraId="3DF8D1D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sz="8" w:space="0" w:color="auto"/>
              <w:left w:val="nil"/>
              <w:bottom w:val="single" w:sz="8" w:space="0" w:color="auto"/>
              <w:right w:val="single" w:sz="8" w:space="0" w:color="000000"/>
            </w:tcBorders>
            <w:shd w:val="clear" w:color="auto" w:fill="BDD6EE" w:themeFill="accent1" w:themeFillTint="66"/>
            <w:vAlign w:val="center"/>
            <w:hideMark/>
          </w:tcPr>
          <w:p w:rsidR="00CA2B37" w:rsidP="00CA2B37" w14:paraId="0D97501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00F160E2" w:rsidRPr="00CA2B37" w:rsidP="00CA2B37" w14:paraId="00E86F8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16"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CA2B37" w:rsidP="00CA2B37" w14:paraId="700B5A7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00F160E2" w:rsidRPr="00CA2B37" w:rsidP="00CA2B37" w14:paraId="7E9A91E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004"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F160E2" w:rsidP="00CA2B37" w14:paraId="0ADCF88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00CA2B37" w:rsidRPr="00CA2B37" w:rsidP="00F160E2" w14:paraId="5A364AB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93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CA2B37" w:rsidP="00CA2B37" w14:paraId="6FDE7214" w14:textId="73A81706">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Burden </w:t>
            </w:r>
            <w:r>
              <w:rPr>
                <w:rFonts w:ascii="Calibri" w:hAnsi="Calibri" w:cs="Calibri"/>
                <w:b/>
                <w:bCs/>
                <w:color w:val="000000"/>
                <w:sz w:val="18"/>
                <w:szCs w:val="18"/>
              </w:rPr>
              <w:t>Hr</w:t>
            </w:r>
            <w:r w:rsidRPr="00CA2B37">
              <w:rPr>
                <w:rFonts w:ascii="Calibri" w:hAnsi="Calibri" w:cs="Calibri"/>
                <w:b/>
                <w:bCs/>
                <w:color w:val="000000"/>
                <w:sz w:val="18"/>
                <w:szCs w:val="18"/>
              </w:rPr>
              <w:t xml:space="preserve"> / Response</w:t>
            </w:r>
          </w:p>
          <w:p w:rsidR="00F160E2" w:rsidRPr="00CA2B37" w:rsidP="00CA2B37" w14:paraId="43CB4A4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76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CA2B37" w:rsidP="00F160E2" w14:paraId="68EE2823" w14:textId="75CD483D">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Total Annual Burden </w:t>
            </w:r>
            <w:r>
              <w:rPr>
                <w:rFonts w:ascii="Calibri" w:hAnsi="Calibri" w:cs="Calibri"/>
                <w:b/>
                <w:bCs/>
                <w:color w:val="000000"/>
                <w:sz w:val="18"/>
                <w:szCs w:val="18"/>
              </w:rPr>
              <w:t>Hr</w:t>
            </w:r>
          </w:p>
          <w:p w:rsidR="00F160E2" w:rsidRPr="00CA2B37" w:rsidP="00F160E2" w14:paraId="1386C17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443"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CA2B37" w:rsidP="00CA2B37" w14:paraId="33B8207C" w14:textId="6D37326E">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00383F6D">
              <w:rPr>
                <w:rFonts w:ascii="Calibri" w:hAnsi="Calibri" w:cs="Calibri"/>
                <w:b/>
                <w:bCs/>
                <w:color w:val="000000"/>
                <w:sz w:val="18"/>
                <w:szCs w:val="18"/>
              </w:rPr>
              <w:t>Hourly Wage Rate</w:t>
            </w:r>
            <w:r w:rsidRPr="00CA2B37">
              <w:rPr>
                <w:rFonts w:ascii="Calibri" w:hAnsi="Calibri" w:cs="Calibri"/>
                <w:b/>
                <w:bCs/>
                <w:color w:val="000000"/>
                <w:sz w:val="18"/>
                <w:szCs w:val="18"/>
              </w:rPr>
              <w:t xml:space="preserve"> (for Type of Respondent)</w:t>
            </w:r>
          </w:p>
          <w:p w:rsidR="00F160E2" w:rsidRPr="00CA2B37" w:rsidP="00CA2B37" w14:paraId="39C3085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2"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CA2B37" w:rsidP="00CA2B37" w14:paraId="0A24D76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w:t>
            </w:r>
            <w:r w:rsidRPr="00CA2B37">
              <w:rPr>
                <w:rFonts w:ascii="Calibri" w:hAnsi="Calibri" w:cs="Calibri"/>
                <w:b/>
                <w:bCs/>
                <w:color w:val="000000"/>
                <w:sz w:val="18"/>
                <w:szCs w:val="18"/>
              </w:rPr>
              <w:t>Wage Burden Costs</w:t>
            </w:r>
          </w:p>
          <w:p w:rsidR="00F160E2" w:rsidRPr="00CA2B37" w:rsidP="00CA2B37" w14:paraId="4267D79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14:paraId="4E463668" w14:textId="77777777" w:rsidTr="00F75630">
        <w:tblPrEx>
          <w:tblW w:w="10342" w:type="dxa"/>
          <w:tblLook w:val="04A0"/>
        </w:tblPrEx>
        <w:trPr>
          <w:trHeight w:val="250"/>
        </w:trPr>
        <w:tc>
          <w:tcPr>
            <w:tcW w:w="10342" w:type="dxa"/>
            <w:gridSpan w:val="9"/>
            <w:tcBorders>
              <w:top w:val="nil"/>
              <w:left w:val="single" w:sz="8" w:space="0" w:color="auto"/>
              <w:bottom w:val="single" w:sz="4" w:space="0" w:color="auto"/>
              <w:right w:val="single" w:sz="8" w:space="0" w:color="auto"/>
            </w:tcBorders>
            <w:shd w:val="clear" w:color="auto" w:fill="auto"/>
            <w:vAlign w:val="center"/>
          </w:tcPr>
          <w:p w:rsidR="00877710" w:rsidRPr="00CA2B37" w:rsidP="00877710" w14:paraId="3375EE5D" w14:textId="73094188">
            <w:pPr>
              <w:widowControl/>
              <w:autoSpaceDE/>
              <w:autoSpaceDN/>
              <w:adjustRightInd/>
              <w:rPr>
                <w:rFonts w:ascii="Calibri" w:hAnsi="Calibri" w:cs="Calibri"/>
                <w:color w:val="000000"/>
                <w:sz w:val="16"/>
                <w:szCs w:val="16"/>
              </w:rPr>
            </w:pPr>
            <w:r>
              <w:rPr>
                <w:rFonts w:ascii="Calibri" w:hAnsi="Calibri" w:cs="Calibri"/>
                <w:b/>
                <w:bCs/>
                <w:color w:val="000000"/>
                <w:sz w:val="16"/>
                <w:szCs w:val="16"/>
              </w:rPr>
              <w:t>EMTU Type-</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14:paraId="0D4BD98E" w14:textId="77777777" w:rsidTr="00F75630">
        <w:tblPrEx>
          <w:tblW w:w="10342" w:type="dxa"/>
          <w:tblLook w:val="04A0"/>
        </w:tblPrEx>
        <w:trPr>
          <w:trHeight w:val="250"/>
        </w:trPr>
        <w:tc>
          <w:tcPr>
            <w:tcW w:w="1284" w:type="dxa"/>
            <w:tcBorders>
              <w:top w:val="nil"/>
              <w:left w:val="single" w:sz="8" w:space="0" w:color="auto"/>
              <w:bottom w:val="single" w:sz="4" w:space="0" w:color="auto"/>
              <w:right w:val="single" w:sz="4" w:space="0" w:color="auto"/>
            </w:tcBorders>
            <w:shd w:val="clear" w:color="auto" w:fill="auto"/>
            <w:vAlign w:val="center"/>
          </w:tcPr>
          <w:p w:rsidR="00877710" w:rsidRPr="00CA2B37" w:rsidP="00877710" w14:paraId="76A21EB3" w14:textId="1DFA401B">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260" w:type="dxa"/>
            <w:tcBorders>
              <w:top w:val="nil"/>
              <w:left w:val="nil"/>
              <w:bottom w:val="single" w:sz="4" w:space="0" w:color="auto"/>
              <w:right w:val="single" w:sz="4" w:space="0" w:color="auto"/>
            </w:tcBorders>
            <w:shd w:val="clear" w:color="auto" w:fill="auto"/>
            <w:vAlign w:val="center"/>
          </w:tcPr>
          <w:p w:rsidR="00877710" w:rsidRPr="00CA2B37" w:rsidP="00877710" w14:paraId="4480C0F3" w14:textId="247A1EE8">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188" w:type="dxa"/>
            <w:tcBorders>
              <w:top w:val="nil"/>
              <w:left w:val="nil"/>
              <w:bottom w:val="single" w:sz="4" w:space="0" w:color="auto"/>
              <w:right w:val="single" w:sz="4" w:space="0" w:color="auto"/>
            </w:tcBorders>
            <w:shd w:val="clear" w:color="auto" w:fill="auto"/>
            <w:vAlign w:val="center"/>
          </w:tcPr>
          <w:p w:rsidR="00877710" w:rsidRPr="00CA2B37" w:rsidP="00877710" w14:paraId="1A76F0F0" w14:textId="7C006E9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116" w:type="dxa"/>
            <w:tcBorders>
              <w:top w:val="nil"/>
              <w:left w:val="nil"/>
              <w:bottom w:val="single" w:sz="4" w:space="0" w:color="auto"/>
              <w:right w:val="single" w:sz="4" w:space="0" w:color="auto"/>
            </w:tcBorders>
            <w:shd w:val="clear" w:color="auto" w:fill="auto"/>
            <w:vAlign w:val="center"/>
          </w:tcPr>
          <w:p w:rsidR="00877710" w:rsidRPr="00CA2B37" w:rsidP="00877710" w14:paraId="6005E5AD" w14:textId="37A0700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004" w:type="dxa"/>
            <w:tcBorders>
              <w:top w:val="nil"/>
              <w:left w:val="nil"/>
              <w:bottom w:val="single" w:sz="4" w:space="0" w:color="auto"/>
              <w:right w:val="single" w:sz="4" w:space="0" w:color="auto"/>
            </w:tcBorders>
            <w:shd w:val="clear" w:color="auto" w:fill="auto"/>
            <w:vAlign w:val="center"/>
          </w:tcPr>
          <w:p w:rsidR="00877710" w:rsidRPr="00CA2B37" w:rsidP="00877710" w14:paraId="5D490A6B" w14:textId="20F775A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933" w:type="dxa"/>
            <w:tcBorders>
              <w:top w:val="nil"/>
              <w:left w:val="nil"/>
              <w:bottom w:val="single" w:sz="4" w:space="0" w:color="auto"/>
              <w:right w:val="single" w:sz="4" w:space="0" w:color="auto"/>
            </w:tcBorders>
            <w:shd w:val="clear" w:color="auto" w:fill="auto"/>
            <w:vAlign w:val="center"/>
          </w:tcPr>
          <w:p w:rsidR="00877710" w:rsidRPr="00CA2B37" w:rsidP="00877710" w14:paraId="56218C47" w14:textId="5069FDE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762" w:type="dxa"/>
            <w:tcBorders>
              <w:top w:val="nil"/>
              <w:left w:val="nil"/>
              <w:bottom w:val="single" w:sz="4" w:space="0" w:color="auto"/>
              <w:right w:val="single" w:sz="4" w:space="0" w:color="auto"/>
            </w:tcBorders>
            <w:shd w:val="clear" w:color="auto" w:fill="auto"/>
            <w:vAlign w:val="center"/>
          </w:tcPr>
          <w:p w:rsidR="00877710" w:rsidRPr="00CA2B37" w:rsidP="00877710" w14:paraId="600F5EBA" w14:textId="0D3D9C0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80</w:t>
            </w:r>
          </w:p>
        </w:tc>
        <w:tc>
          <w:tcPr>
            <w:tcW w:w="1443" w:type="dxa"/>
            <w:tcBorders>
              <w:top w:val="nil"/>
              <w:left w:val="nil"/>
              <w:bottom w:val="single" w:sz="4" w:space="0" w:color="auto"/>
              <w:right w:val="single" w:sz="4" w:space="0" w:color="auto"/>
            </w:tcBorders>
            <w:shd w:val="clear" w:color="auto" w:fill="auto"/>
            <w:noWrap/>
            <w:vAlign w:val="bottom"/>
          </w:tcPr>
          <w:p w:rsidR="00877710" w:rsidRPr="00CA2B37" w:rsidP="00F75630" w14:paraId="48B1E4BB" w14:textId="17866D5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296DF8">
              <w:rPr>
                <w:rFonts w:ascii="Calibri" w:hAnsi="Calibri" w:cs="Calibri"/>
                <w:color w:val="000000"/>
                <w:sz w:val="16"/>
                <w:szCs w:val="16"/>
              </w:rPr>
              <w:t>51.53</w:t>
            </w:r>
            <w:r w:rsidR="00F75630">
              <w:rPr>
                <w:rFonts w:ascii="Calibri" w:hAnsi="Calibri" w:cs="Calibri"/>
                <w:color w:val="000000"/>
                <w:sz w:val="16"/>
                <w:szCs w:val="16"/>
              </w:rPr>
              <w:t xml:space="preserve"> (20)</w:t>
            </w:r>
            <w:r w:rsidRPr="004824B8">
              <w:rPr>
                <w:rFonts w:ascii="Calibri" w:hAnsi="Calibri" w:cs="Calibri"/>
                <w:color w:val="000000"/>
                <w:sz w:val="16"/>
                <w:szCs w:val="16"/>
              </w:rPr>
              <w:br/>
              <w:t>$</w:t>
            </w:r>
            <w:r w:rsidR="00F75630">
              <w:rPr>
                <w:rFonts w:ascii="Calibri" w:hAnsi="Calibri" w:cs="Calibri"/>
                <w:color w:val="000000"/>
                <w:sz w:val="16"/>
                <w:szCs w:val="16"/>
              </w:rPr>
              <w:t>48.85 (20)</w:t>
            </w:r>
          </w:p>
        </w:tc>
        <w:tc>
          <w:tcPr>
            <w:tcW w:w="1352" w:type="dxa"/>
            <w:tcBorders>
              <w:top w:val="nil"/>
              <w:left w:val="nil"/>
              <w:bottom w:val="single" w:sz="4" w:space="0" w:color="auto"/>
              <w:right w:val="single" w:sz="8" w:space="0" w:color="auto"/>
            </w:tcBorders>
            <w:shd w:val="clear" w:color="auto" w:fill="auto"/>
            <w:noWrap/>
            <w:vAlign w:val="bottom"/>
          </w:tcPr>
          <w:p w:rsidR="00877710" w:rsidRPr="00CA2B37" w:rsidP="00F75630" w14:paraId="6BA0A7A2" w14:textId="387F438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F75630">
              <w:rPr>
                <w:rFonts w:ascii="Calibri" w:hAnsi="Calibri" w:cs="Calibri"/>
                <w:color w:val="000000"/>
                <w:sz w:val="16"/>
                <w:szCs w:val="16"/>
              </w:rPr>
              <w:t>2,061</w:t>
            </w:r>
            <w:r w:rsidRPr="004824B8">
              <w:rPr>
                <w:rFonts w:ascii="Calibri" w:hAnsi="Calibri" w:cs="Calibri"/>
                <w:color w:val="000000"/>
                <w:sz w:val="16"/>
                <w:szCs w:val="16"/>
              </w:rPr>
              <w:br/>
              <w:t>$</w:t>
            </w:r>
            <w:r w:rsidR="00F75630">
              <w:rPr>
                <w:rFonts w:ascii="Calibri" w:hAnsi="Calibri" w:cs="Calibri"/>
                <w:color w:val="000000"/>
                <w:sz w:val="16"/>
                <w:szCs w:val="16"/>
              </w:rPr>
              <w:t>1,954</w:t>
            </w:r>
          </w:p>
        </w:tc>
      </w:tr>
      <w:tr w14:paraId="0F462B93" w14:textId="77777777" w:rsidTr="00F75630">
        <w:tblPrEx>
          <w:tblW w:w="10342" w:type="dxa"/>
          <w:tblLook w:val="04A0"/>
        </w:tblPrEx>
        <w:trPr>
          <w:trHeight w:val="25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7710" w:rsidRPr="00CA2B37" w:rsidP="00877710" w14:paraId="31E5DF0C" w14:textId="5713FAEC">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260"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5AAAAD9E" w14:textId="348E2419">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188"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60D37391" w14:textId="4C0BB04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116"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2B057478" w14:textId="7777059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004"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0B51DD90" w14:textId="2C1E2B4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933"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5EAD991B" w14:textId="1C6E157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762"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44D778B3" w14:textId="463B0AB7">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48</w:t>
            </w:r>
          </w:p>
        </w:tc>
        <w:tc>
          <w:tcPr>
            <w:tcW w:w="1443"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193E4757" w14:textId="2E56EDA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296DF8">
              <w:rPr>
                <w:rFonts w:ascii="Calibri" w:hAnsi="Calibri" w:cs="Calibri"/>
                <w:color w:val="000000"/>
                <w:sz w:val="16"/>
                <w:szCs w:val="16"/>
              </w:rPr>
              <w:t>51.53</w:t>
            </w:r>
            <w:r w:rsidR="00F75630">
              <w:rPr>
                <w:rFonts w:ascii="Calibri" w:hAnsi="Calibri" w:cs="Calibri"/>
                <w:color w:val="000000"/>
                <w:sz w:val="16"/>
                <w:szCs w:val="16"/>
              </w:rPr>
              <w:t xml:space="preserve"> (32)</w:t>
            </w:r>
            <w:r w:rsidRPr="004824B8">
              <w:rPr>
                <w:rFonts w:ascii="Calibri" w:hAnsi="Calibri" w:cs="Calibri"/>
                <w:color w:val="000000"/>
                <w:sz w:val="16"/>
                <w:szCs w:val="16"/>
              </w:rPr>
              <w:br/>
              <w:t>$</w:t>
            </w:r>
            <w:r w:rsidR="00F75630">
              <w:rPr>
                <w:rFonts w:ascii="Calibri" w:hAnsi="Calibri" w:cs="Calibri"/>
                <w:color w:val="000000"/>
                <w:sz w:val="16"/>
                <w:szCs w:val="16"/>
              </w:rPr>
              <w:t>48.85 (16)</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0543A60E" w14:textId="32A6583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F75630">
              <w:rPr>
                <w:rFonts w:ascii="Calibri" w:hAnsi="Calibri" w:cs="Calibri"/>
                <w:color w:val="000000"/>
                <w:sz w:val="16"/>
                <w:szCs w:val="16"/>
              </w:rPr>
              <w:t>1,649</w:t>
            </w:r>
            <w:r w:rsidRPr="004824B8">
              <w:rPr>
                <w:rFonts w:ascii="Calibri" w:hAnsi="Calibri" w:cs="Calibri"/>
                <w:color w:val="000000"/>
                <w:sz w:val="16"/>
                <w:szCs w:val="16"/>
              </w:rPr>
              <w:br/>
              <w:t>$</w:t>
            </w:r>
            <w:r w:rsidR="00F75630">
              <w:rPr>
                <w:rFonts w:ascii="Calibri" w:hAnsi="Calibri" w:cs="Calibri"/>
                <w:color w:val="000000"/>
                <w:sz w:val="16"/>
                <w:szCs w:val="16"/>
              </w:rPr>
              <w:t>782</w:t>
            </w:r>
          </w:p>
        </w:tc>
      </w:tr>
      <w:tr w14:paraId="671DCF6D" w14:textId="77777777" w:rsidTr="00F75630">
        <w:tblPrEx>
          <w:tblW w:w="10342" w:type="dxa"/>
          <w:tblLook w:val="04A0"/>
        </w:tblPrEx>
        <w:trPr>
          <w:trHeight w:val="25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7710" w:rsidRPr="00CA2B37" w:rsidP="00877710" w14:paraId="12025AA1" w14:textId="3245450B">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260"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7F5B9D1D" w14:textId="26768F90">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p>
        </w:tc>
        <w:tc>
          <w:tcPr>
            <w:tcW w:w="1188"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78A75E70" w14:textId="2D6E559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116"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47DEE719" w14:textId="7CD73AC1">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004"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4D548006" w14:textId="67F5EC5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933"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3DC04D22" w14:textId="60785A3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762"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155BDADC" w14:textId="0429A19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24</w:t>
            </w:r>
          </w:p>
        </w:tc>
        <w:tc>
          <w:tcPr>
            <w:tcW w:w="1443"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7FE7E4A9" w14:textId="714F240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296DF8">
              <w:rPr>
                <w:rFonts w:ascii="Calibri" w:hAnsi="Calibri" w:cs="Calibri"/>
                <w:color w:val="000000"/>
                <w:sz w:val="16"/>
                <w:szCs w:val="16"/>
              </w:rPr>
              <w:t>51.53</w:t>
            </w:r>
            <w:r w:rsidR="00F75630">
              <w:rPr>
                <w:rFonts w:ascii="Calibri" w:hAnsi="Calibri" w:cs="Calibri"/>
                <w:color w:val="000000"/>
                <w:sz w:val="16"/>
                <w:szCs w:val="16"/>
              </w:rPr>
              <w:t xml:space="preserve"> (16)</w:t>
            </w:r>
            <w:r w:rsidRPr="004824B8">
              <w:rPr>
                <w:rFonts w:ascii="Calibri" w:hAnsi="Calibri" w:cs="Calibri"/>
                <w:color w:val="000000"/>
                <w:sz w:val="16"/>
                <w:szCs w:val="16"/>
              </w:rPr>
              <w:br/>
              <w:t>$</w:t>
            </w:r>
            <w:r w:rsidR="00F75630">
              <w:rPr>
                <w:rFonts w:ascii="Calibri" w:hAnsi="Calibri" w:cs="Calibri"/>
                <w:color w:val="000000"/>
                <w:sz w:val="16"/>
                <w:szCs w:val="16"/>
              </w:rPr>
              <w:t>48.85 (8)</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7E3C372E" w14:textId="7A15F3A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F75630">
              <w:rPr>
                <w:rFonts w:ascii="Calibri" w:hAnsi="Calibri" w:cs="Calibri"/>
                <w:color w:val="000000"/>
                <w:sz w:val="16"/>
                <w:szCs w:val="16"/>
              </w:rPr>
              <w:t>825</w:t>
            </w:r>
            <w:r w:rsidRPr="004824B8">
              <w:rPr>
                <w:rFonts w:ascii="Calibri" w:hAnsi="Calibri" w:cs="Calibri"/>
                <w:color w:val="000000"/>
                <w:sz w:val="16"/>
                <w:szCs w:val="16"/>
              </w:rPr>
              <w:br/>
              <w:t>$</w:t>
            </w:r>
            <w:r w:rsidR="00F75630">
              <w:rPr>
                <w:rFonts w:ascii="Calibri" w:hAnsi="Calibri" w:cs="Calibri"/>
                <w:color w:val="000000"/>
                <w:sz w:val="16"/>
                <w:szCs w:val="16"/>
              </w:rPr>
              <w:t>391</w:t>
            </w:r>
          </w:p>
        </w:tc>
      </w:tr>
      <w:tr w14:paraId="463FA886" w14:textId="77777777" w:rsidTr="00F75630">
        <w:tblPrEx>
          <w:tblW w:w="10342" w:type="dxa"/>
          <w:tblLook w:val="04A0"/>
        </w:tblPrEx>
        <w:trPr>
          <w:trHeight w:val="250"/>
        </w:trPr>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877710" w:rsidRPr="00CA2B37" w:rsidP="00877710" w14:paraId="7DAB8234" w14:textId="55ABFFD1">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260"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37AEFD87" w14:textId="4281CBFE">
            <w:pPr>
              <w:widowControl/>
              <w:autoSpaceDE/>
              <w:autoSpaceDN/>
              <w:adjustRightInd/>
              <w:jc w:val="center"/>
              <w:rPr>
                <w:rFonts w:ascii="Calibri" w:hAnsi="Calibri" w:cs="Calibri"/>
                <w:color w:val="000000"/>
                <w:sz w:val="16"/>
                <w:szCs w:val="16"/>
              </w:rPr>
            </w:pPr>
            <w:r w:rsidRPr="004824B8">
              <w:rPr>
                <w:rFonts w:ascii="Calibri" w:hAnsi="Calibri" w:cs="Calibri"/>
                <w:color w:val="000000"/>
                <w:sz w:val="16"/>
                <w:szCs w:val="16"/>
              </w:rPr>
              <w:t>Engineer</w:t>
            </w:r>
            <w:r w:rsidRPr="004824B8">
              <w:rPr>
                <w:rFonts w:ascii="Calibri" w:hAnsi="Calibri" w:cs="Calibri"/>
                <w:color w:val="000000"/>
                <w:sz w:val="16"/>
                <w:szCs w:val="16"/>
              </w:rPr>
              <w:br/>
              <w:t>Project Manager</w:t>
            </w:r>
            <w:r w:rsidRPr="004824B8">
              <w:rPr>
                <w:rFonts w:ascii="Calibri" w:hAnsi="Calibri" w:cs="Calibri"/>
                <w:color w:val="000000"/>
                <w:sz w:val="16"/>
                <w:szCs w:val="16"/>
              </w:rPr>
              <w:br/>
              <w:t>Customer Service Rep</w:t>
            </w:r>
            <w:r w:rsidRPr="004824B8">
              <w:rPr>
                <w:rFonts w:ascii="Calibri" w:hAnsi="Calibri" w:cs="Calibri"/>
                <w:color w:val="000000"/>
                <w:sz w:val="16"/>
                <w:szCs w:val="16"/>
              </w:rPr>
              <w:br/>
              <w:t>Electronics Technician</w:t>
            </w:r>
          </w:p>
        </w:tc>
        <w:tc>
          <w:tcPr>
            <w:tcW w:w="1188"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4F40E89A" w14:textId="087BABAA">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116"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08283D81" w14:textId="0B754AD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004"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0ACC4460" w14:textId="2DC3CDED">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933"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5967C76D" w14:textId="4BBFD80F">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1,066</w:t>
            </w:r>
          </w:p>
        </w:tc>
        <w:tc>
          <w:tcPr>
            <w:tcW w:w="762" w:type="dxa"/>
            <w:tcBorders>
              <w:top w:val="single" w:sz="4" w:space="0" w:color="auto"/>
              <w:left w:val="nil"/>
              <w:bottom w:val="single" w:sz="4" w:space="0" w:color="auto"/>
              <w:right w:val="single" w:sz="4" w:space="0" w:color="auto"/>
            </w:tcBorders>
            <w:shd w:val="clear" w:color="auto" w:fill="auto"/>
            <w:vAlign w:val="center"/>
          </w:tcPr>
          <w:p w:rsidR="00877710" w:rsidRPr="00CA2B37" w:rsidP="00877710" w14:paraId="7D5A9568" w14:textId="19D0A4E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8,528</w:t>
            </w:r>
          </w:p>
        </w:tc>
        <w:tc>
          <w:tcPr>
            <w:tcW w:w="1443"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1722BDCE" w14:textId="356FE45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w:t>
            </w:r>
            <w:r w:rsidR="00296DF8">
              <w:rPr>
                <w:rFonts w:ascii="Calibri" w:hAnsi="Calibri" w:cs="Calibri"/>
                <w:color w:val="000000"/>
                <w:sz w:val="16"/>
                <w:szCs w:val="16"/>
              </w:rPr>
              <w:t>51.53</w:t>
            </w:r>
            <w:r w:rsidR="00F75630">
              <w:rPr>
                <w:rFonts w:ascii="Calibri" w:hAnsi="Calibri" w:cs="Calibri"/>
                <w:color w:val="000000"/>
                <w:sz w:val="16"/>
                <w:szCs w:val="16"/>
              </w:rPr>
              <w:t xml:space="preserve"> (128)</w:t>
            </w:r>
            <w:r w:rsidRPr="004824B8">
              <w:rPr>
                <w:rFonts w:ascii="Calibri" w:hAnsi="Calibri" w:cs="Calibri"/>
                <w:color w:val="000000"/>
                <w:sz w:val="16"/>
                <w:szCs w:val="16"/>
              </w:rPr>
              <w:br/>
              <w:t>$</w:t>
            </w:r>
            <w:r w:rsidR="00F75630">
              <w:rPr>
                <w:rFonts w:ascii="Calibri" w:hAnsi="Calibri" w:cs="Calibri"/>
                <w:color w:val="000000"/>
                <w:sz w:val="16"/>
                <w:szCs w:val="16"/>
              </w:rPr>
              <w:t>48.85 (480)</w:t>
            </w:r>
            <w:r w:rsidRPr="004824B8">
              <w:rPr>
                <w:rFonts w:ascii="Calibri" w:hAnsi="Calibri" w:cs="Calibri"/>
                <w:color w:val="000000"/>
                <w:sz w:val="16"/>
                <w:szCs w:val="16"/>
              </w:rPr>
              <w:br/>
              <w:t>$</w:t>
            </w:r>
            <w:r w:rsidR="00F75630">
              <w:rPr>
                <w:rFonts w:ascii="Calibri" w:hAnsi="Calibri" w:cs="Calibri"/>
                <w:color w:val="000000"/>
                <w:sz w:val="16"/>
                <w:szCs w:val="16"/>
              </w:rPr>
              <w:t>19.80 (4,000)</w:t>
            </w:r>
            <w:r w:rsidRPr="004824B8">
              <w:rPr>
                <w:rFonts w:ascii="Calibri" w:hAnsi="Calibri" w:cs="Calibri"/>
                <w:color w:val="000000"/>
                <w:sz w:val="16"/>
                <w:szCs w:val="16"/>
              </w:rPr>
              <w:br/>
              <w:t>$</w:t>
            </w:r>
            <w:r w:rsidR="00F75630">
              <w:rPr>
                <w:rFonts w:ascii="Calibri" w:hAnsi="Calibri" w:cs="Calibri"/>
                <w:color w:val="000000"/>
                <w:sz w:val="16"/>
                <w:szCs w:val="16"/>
              </w:rPr>
              <w:t>34.49 (4,000)</w:t>
            </w:r>
          </w:p>
        </w:tc>
        <w:tc>
          <w:tcPr>
            <w:tcW w:w="1352" w:type="dxa"/>
            <w:tcBorders>
              <w:top w:val="single" w:sz="4" w:space="0" w:color="auto"/>
              <w:left w:val="nil"/>
              <w:bottom w:val="single" w:sz="4" w:space="0" w:color="auto"/>
              <w:right w:val="single" w:sz="4" w:space="0" w:color="auto"/>
            </w:tcBorders>
            <w:shd w:val="clear" w:color="auto" w:fill="auto"/>
            <w:noWrap/>
            <w:vAlign w:val="bottom"/>
          </w:tcPr>
          <w:p w:rsidR="00877710" w:rsidRPr="00CA2B37" w:rsidP="00F75630" w14:paraId="2AD8479A" w14:textId="20917E6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$6</w:t>
            </w:r>
            <w:r w:rsidR="00F75630">
              <w:rPr>
                <w:rFonts w:ascii="Calibri" w:hAnsi="Calibri" w:cs="Calibri"/>
                <w:color w:val="000000"/>
                <w:sz w:val="16"/>
                <w:szCs w:val="16"/>
              </w:rPr>
              <w:t>,596</w:t>
            </w:r>
            <w:r w:rsidRPr="004824B8">
              <w:rPr>
                <w:rFonts w:ascii="Calibri" w:hAnsi="Calibri" w:cs="Calibri"/>
                <w:color w:val="000000"/>
                <w:sz w:val="16"/>
                <w:szCs w:val="16"/>
              </w:rPr>
              <w:br/>
              <w:t>$</w:t>
            </w:r>
            <w:r w:rsidR="00F75630">
              <w:rPr>
                <w:rFonts w:ascii="Calibri" w:hAnsi="Calibri" w:cs="Calibri"/>
                <w:color w:val="000000"/>
                <w:sz w:val="16"/>
                <w:szCs w:val="16"/>
              </w:rPr>
              <w:t>23,448</w:t>
            </w:r>
            <w:r w:rsidRPr="004824B8">
              <w:rPr>
                <w:rFonts w:ascii="Calibri" w:hAnsi="Calibri" w:cs="Calibri"/>
                <w:color w:val="000000"/>
                <w:sz w:val="16"/>
                <w:szCs w:val="16"/>
              </w:rPr>
              <w:br/>
              <w:t>$</w:t>
            </w:r>
            <w:r w:rsidR="00F75630">
              <w:rPr>
                <w:rFonts w:ascii="Calibri" w:hAnsi="Calibri" w:cs="Calibri"/>
                <w:color w:val="000000"/>
                <w:sz w:val="16"/>
                <w:szCs w:val="16"/>
              </w:rPr>
              <w:t>79,200</w:t>
            </w:r>
            <w:r w:rsidRPr="004824B8">
              <w:rPr>
                <w:rFonts w:ascii="Calibri" w:hAnsi="Calibri" w:cs="Calibri"/>
                <w:color w:val="000000"/>
                <w:sz w:val="16"/>
                <w:szCs w:val="16"/>
              </w:rPr>
              <w:br/>
              <w:t>$</w:t>
            </w:r>
            <w:r w:rsidR="00F75630">
              <w:rPr>
                <w:rFonts w:ascii="Calibri" w:hAnsi="Calibri" w:cs="Calibri"/>
                <w:color w:val="000000"/>
                <w:sz w:val="16"/>
                <w:szCs w:val="16"/>
              </w:rPr>
              <w:t>137,960</w:t>
            </w:r>
          </w:p>
        </w:tc>
      </w:tr>
      <w:tr w14:paraId="65E1083C" w14:textId="77777777" w:rsidTr="00F75630">
        <w:tblPrEx>
          <w:tblW w:w="10342" w:type="dxa"/>
          <w:tblLook w:val="04A0"/>
        </w:tblPrEx>
        <w:trPr>
          <w:trHeight w:val="263"/>
        </w:trPr>
        <w:tc>
          <w:tcPr>
            <w:tcW w:w="1284"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77710" w:rsidRPr="00CA2B37" w:rsidP="00877710" w14:paraId="750C03C8"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77710" w:rsidRPr="00CA2B37" w:rsidP="00877710" w14:paraId="68F9FF2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77710" w:rsidRPr="00CA2B37" w:rsidP="00877710" w14:paraId="59BE396F"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1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77710" w:rsidRPr="00CA2B37" w:rsidP="00877710" w14:paraId="71AE2EF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04"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77710" w:rsidRPr="00CA2B37" w:rsidP="00877710" w14:paraId="424D8DAE" w14:textId="05DA9BA3">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12</w:t>
            </w:r>
          </w:p>
        </w:tc>
        <w:tc>
          <w:tcPr>
            <w:tcW w:w="93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77710" w:rsidRPr="00CA2B37" w:rsidP="00877710" w14:paraId="34412A1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76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77710" w:rsidRPr="00CA2B37" w:rsidP="00877710" w14:paraId="42F8CB69" w14:textId="623B8658">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8,680</w:t>
            </w:r>
          </w:p>
        </w:tc>
        <w:tc>
          <w:tcPr>
            <w:tcW w:w="1443"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77710" w:rsidRPr="00CA2B37" w:rsidP="00877710" w14:paraId="5DA05C2D"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2"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877710" w:rsidRPr="00CA2B37" w:rsidP="002E55E3" w14:paraId="6BFD0CCD" w14:textId="0CC9AD4E">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002E55E3">
              <w:rPr>
                <w:rFonts w:ascii="Calibri" w:hAnsi="Calibri" w:cs="Calibri"/>
                <w:b/>
                <w:bCs/>
                <w:color w:val="000000"/>
                <w:sz w:val="22"/>
                <w:szCs w:val="22"/>
              </w:rPr>
              <w:t>254,866</w:t>
            </w:r>
          </w:p>
        </w:tc>
      </w:tr>
    </w:tbl>
    <w:p w:rsidR="00CA2B37" w:rsidP="00CA2B37" w14:paraId="0505D811" w14:textId="77777777">
      <w:pPr>
        <w:ind w:left="-360"/>
        <w:rPr>
          <w:sz w:val="24"/>
          <w:szCs w:val="24"/>
        </w:rPr>
      </w:pPr>
    </w:p>
    <w:p w:rsidR="004F26E9" w:rsidP="00CA2B37" w14:paraId="4C3EB7BA" w14:textId="77777777">
      <w:pPr>
        <w:ind w:left="-360"/>
        <w:rPr>
          <w:sz w:val="24"/>
          <w:szCs w:val="24"/>
        </w:rPr>
      </w:pPr>
    </w:p>
    <w:p w:rsidR="004F26E9" w:rsidRPr="00BF7C47" w:rsidP="00BF7C47" w14:paraId="08D29A11" w14:textId="27F9A0E3">
      <w:pPr>
        <w:pStyle w:val="ListParagraph"/>
        <w:tabs>
          <w:tab w:val="left" w:pos="360"/>
        </w:tabs>
        <w:adjustRightInd/>
        <w:spacing w:before="80"/>
        <w:ind w:left="0"/>
        <w:contextualSpacing w:val="0"/>
        <w:rPr>
          <w:b/>
          <w:sz w:val="24"/>
          <w:szCs w:val="24"/>
        </w:rPr>
      </w:pPr>
      <w:r>
        <w:rPr>
          <w:b/>
          <w:bCs/>
          <w:sz w:val="24"/>
          <w:szCs w:val="24"/>
        </w:rPr>
        <w:t>13.</w:t>
      </w:r>
      <w:r w:rsidRPr="00BF7C47" w:rsidR="00BF7C47">
        <w:rPr>
          <w:b/>
        </w:rPr>
        <w:t xml:space="preserve"> </w:t>
      </w:r>
      <w:r w:rsidRPr="00BD7237" w:rsidR="00BF7C47">
        <w:rPr>
          <w:b/>
          <w:sz w:val="24"/>
          <w:szCs w:val="24"/>
        </w:rPr>
        <w:t>Provide an estimate for the total annual cost burden to respondents or record keepers resulting from the collection of information. (Do not include the cost of any hour burden already reflected on the burden worksheet).</w:t>
      </w:r>
    </w:p>
    <w:p w:rsidR="00840612" w:rsidRPr="00840612" w:rsidP="00943130" w14:paraId="1BE22C2F" w14:textId="09251C68">
      <w:pPr>
        <w:tabs>
          <w:tab w:val="left" w:pos="540"/>
        </w:tabs>
        <w:ind w:left="540"/>
        <w:rPr>
          <w:bCs/>
          <w:sz w:val="24"/>
          <w:szCs w:val="24"/>
        </w:rPr>
      </w:pPr>
    </w:p>
    <w:p w:rsidR="00840612" w:rsidP="00943130" w14:paraId="14BFDFE0" w14:textId="29D1990A">
      <w:pPr>
        <w:rPr>
          <w:sz w:val="24"/>
          <w:szCs w:val="24"/>
        </w:rPr>
      </w:pPr>
      <w:r>
        <w:rPr>
          <w:sz w:val="24"/>
          <w:szCs w:val="24"/>
        </w:rPr>
        <w:t>The</w:t>
      </w:r>
      <w:r w:rsidRPr="00814E3F">
        <w:rPr>
          <w:sz w:val="24"/>
          <w:szCs w:val="24"/>
        </w:rPr>
        <w:t xml:space="preserve"> estimated </w:t>
      </w:r>
      <w:r>
        <w:rPr>
          <w:sz w:val="24"/>
          <w:szCs w:val="24"/>
        </w:rPr>
        <w:t xml:space="preserve">cost burden to </w:t>
      </w:r>
      <w:r w:rsidR="009C0E8F">
        <w:rPr>
          <w:sz w:val="24"/>
          <w:szCs w:val="24"/>
        </w:rPr>
        <w:t>VMS</w:t>
      </w:r>
      <w:r>
        <w:rPr>
          <w:sz w:val="24"/>
          <w:szCs w:val="24"/>
        </w:rPr>
        <w:t xml:space="preserve"> respondents for the </w:t>
      </w:r>
      <w:r w:rsidRPr="00814E3F">
        <w:rPr>
          <w:sz w:val="24"/>
          <w:szCs w:val="24"/>
        </w:rPr>
        <w:t>VMS type-approval application process is estimated to be $</w:t>
      </w:r>
      <w:r w:rsidR="00025239">
        <w:rPr>
          <w:sz w:val="24"/>
          <w:szCs w:val="24"/>
        </w:rPr>
        <w:t>1300</w:t>
      </w:r>
      <w:r>
        <w:rPr>
          <w:sz w:val="24"/>
          <w:szCs w:val="24"/>
        </w:rPr>
        <w:t xml:space="preserve"> per application</w:t>
      </w:r>
      <w:r>
        <w:rPr>
          <w:rStyle w:val="FootnoteReference"/>
          <w:sz w:val="24"/>
          <w:szCs w:val="24"/>
        </w:rPr>
        <w:footnoteReference w:id="3"/>
      </w:r>
      <w:r>
        <w:rPr>
          <w:sz w:val="24"/>
          <w:szCs w:val="24"/>
        </w:rPr>
        <w:t xml:space="preserve">. </w:t>
      </w:r>
    </w:p>
    <w:p w:rsidR="00840612" w:rsidP="00943130" w14:paraId="1FFC5291" w14:textId="77777777">
      <w:pPr>
        <w:rPr>
          <w:sz w:val="24"/>
          <w:szCs w:val="24"/>
        </w:rPr>
      </w:pPr>
    </w:p>
    <w:p w:rsidR="00840612" w:rsidRPr="00840612" w:rsidP="00943130" w14:paraId="6FBF7B19" w14:textId="4970955C">
      <w:pPr>
        <w:rPr>
          <w:bCs/>
          <w:sz w:val="24"/>
          <w:szCs w:val="24"/>
          <w:highlight w:val="yellow"/>
        </w:rPr>
      </w:pPr>
      <w:r w:rsidRPr="0015515F">
        <w:rPr>
          <w:sz w:val="24"/>
          <w:szCs w:val="24"/>
        </w:rPr>
        <w:t xml:space="preserve">For the purposes of this analysis, NMFS estimates that </w:t>
      </w:r>
      <w:r w:rsidR="00704D5A">
        <w:rPr>
          <w:sz w:val="24"/>
          <w:szCs w:val="24"/>
        </w:rPr>
        <w:t>zero</w:t>
      </w:r>
      <w:r w:rsidRPr="0015515F" w:rsidR="00704D5A">
        <w:rPr>
          <w:sz w:val="24"/>
          <w:szCs w:val="24"/>
        </w:rPr>
        <w:t xml:space="preserve"> </w:t>
      </w:r>
      <w:r w:rsidRPr="0015515F">
        <w:rPr>
          <w:sz w:val="24"/>
          <w:szCs w:val="24"/>
        </w:rPr>
        <w:t xml:space="preserve">EMTU-C respondents would apply for type-approval over the three-year period of this information collection. NMFS estimates the number of EMTU respondents is expected to be the eight current type-approved EMTU respondents nationwide, plus </w:t>
      </w:r>
      <w:r>
        <w:rPr>
          <w:sz w:val="24"/>
          <w:szCs w:val="24"/>
        </w:rPr>
        <w:t>one</w:t>
      </w:r>
      <w:r w:rsidRPr="0015515F">
        <w:rPr>
          <w:sz w:val="24"/>
          <w:szCs w:val="24"/>
        </w:rPr>
        <w:t xml:space="preserve"> additional res</w:t>
      </w:r>
      <w:r w:rsidRPr="0015515F">
        <w:rPr>
          <w:sz w:val="24"/>
          <w:szCs w:val="24"/>
        </w:rPr>
        <w:t xml:space="preserve">pondent annually. Any individual respondent may seek type-approval for multiple EMTU-Cs or EMTUs; however, each type-approval application would be a separate response. </w:t>
      </w:r>
      <w:r>
        <w:rPr>
          <w:sz w:val="24"/>
          <w:szCs w:val="24"/>
        </w:rPr>
        <w:t>Because NMFS has already type-approved EMTUs nationwide, the application burden would no</w:t>
      </w:r>
      <w:r>
        <w:rPr>
          <w:sz w:val="24"/>
          <w:szCs w:val="24"/>
        </w:rPr>
        <w:t>t apply to most EMTU respondents, except for an estimated one new respondent annually.</w:t>
      </w:r>
      <w:r w:rsidRPr="0015515F">
        <w:rPr>
          <w:sz w:val="24"/>
          <w:szCs w:val="24"/>
        </w:rPr>
        <w:t xml:space="preserve"> </w:t>
      </w:r>
      <w:r>
        <w:rPr>
          <w:sz w:val="24"/>
          <w:szCs w:val="24"/>
        </w:rPr>
        <w:t xml:space="preserve">NMFS </w:t>
      </w:r>
      <w:r w:rsidRPr="000737FF">
        <w:rPr>
          <w:sz w:val="24"/>
          <w:szCs w:val="24"/>
        </w:rPr>
        <w:t xml:space="preserve">expects </w:t>
      </w:r>
      <w:r>
        <w:rPr>
          <w:sz w:val="24"/>
          <w:szCs w:val="24"/>
        </w:rPr>
        <w:t xml:space="preserve">approximately </w:t>
      </w:r>
      <w:r w:rsidR="00CA157B">
        <w:rPr>
          <w:sz w:val="24"/>
          <w:szCs w:val="24"/>
        </w:rPr>
        <w:t>one</w:t>
      </w:r>
      <w:r>
        <w:rPr>
          <w:sz w:val="24"/>
          <w:szCs w:val="24"/>
        </w:rPr>
        <w:t xml:space="preserve"> </w:t>
      </w:r>
      <w:r w:rsidRPr="000737FF">
        <w:rPr>
          <w:sz w:val="24"/>
          <w:szCs w:val="24"/>
        </w:rPr>
        <w:t xml:space="preserve">type-approval applications </w:t>
      </w:r>
      <w:r>
        <w:rPr>
          <w:sz w:val="24"/>
          <w:szCs w:val="24"/>
        </w:rPr>
        <w:t>annually for a cost burden of $</w:t>
      </w:r>
      <w:r w:rsidR="00025239">
        <w:rPr>
          <w:sz w:val="24"/>
          <w:szCs w:val="24"/>
        </w:rPr>
        <w:t>1300</w:t>
      </w:r>
      <w:r w:rsidR="00CA157B">
        <w:rPr>
          <w:sz w:val="24"/>
          <w:szCs w:val="24"/>
        </w:rPr>
        <w:t xml:space="preserve"> per year.</w:t>
      </w:r>
      <w:r w:rsidRPr="002A785E">
        <w:rPr>
          <w:sz w:val="24"/>
          <w:szCs w:val="24"/>
        </w:rPr>
        <w:t xml:space="preserve"> </w:t>
      </w:r>
    </w:p>
    <w:p w:rsidR="004F26E9" w:rsidP="00493868" w14:paraId="126D4669" w14:textId="77777777">
      <w:pPr>
        <w:tabs>
          <w:tab w:val="left" w:pos="540"/>
        </w:tabs>
        <w:ind w:left="540"/>
        <w:rPr>
          <w:sz w:val="24"/>
          <w:szCs w:val="24"/>
        </w:rPr>
      </w:pPr>
    </w:p>
    <w:tbl>
      <w:tblPr>
        <w:tblW w:w="9360" w:type="dxa"/>
        <w:tblLook w:val="04A0"/>
      </w:tblPr>
      <w:tblGrid>
        <w:gridCol w:w="2817"/>
        <w:gridCol w:w="1188"/>
        <w:gridCol w:w="1295"/>
        <w:gridCol w:w="1530"/>
        <w:gridCol w:w="1260"/>
        <w:gridCol w:w="1270"/>
      </w:tblGrid>
      <w:tr w14:paraId="2311FCFC" w14:textId="77777777" w:rsidTr="00840612">
        <w:tblPrEx>
          <w:tblW w:w="9360" w:type="dxa"/>
          <w:tblLook w:val="04A0"/>
        </w:tblPrEx>
        <w:trPr>
          <w:trHeight w:val="690"/>
        </w:trPr>
        <w:tc>
          <w:tcPr>
            <w:tcW w:w="2817" w:type="dxa"/>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hideMark/>
          </w:tcPr>
          <w:p w:rsidR="00185785" w:rsidRPr="00185785" w:rsidP="00185785" w14:paraId="0532E185"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P="00185785" w14:paraId="0C0267B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00D37919" w:rsidRPr="00185785" w:rsidP="00185785" w14:paraId="5351740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295"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P="00185785" w14:paraId="76DD12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w:t>
            </w:r>
            <w:r w:rsidRPr="00185785">
              <w:rPr>
                <w:rFonts w:ascii="Calibri" w:hAnsi="Calibri" w:cs="Calibri"/>
                <w:b/>
                <w:bCs/>
                <w:color w:val="000000"/>
                <w:sz w:val="18"/>
                <w:szCs w:val="18"/>
              </w:rPr>
              <w:t>es / Respondent</w:t>
            </w:r>
          </w:p>
          <w:p w:rsidR="00D37919" w:rsidRPr="00185785" w:rsidP="00185785" w14:paraId="1A11F5B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53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P="00185785" w14:paraId="3E0B7C6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00D37919" w:rsidRPr="00185785" w:rsidP="00185785" w14:paraId="59B0C4A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P="00185785" w14:paraId="6D75F65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00D37919" w:rsidRPr="00185785" w:rsidP="00185785" w14:paraId="61784B1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2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185785" w:rsidP="00185785" w14:paraId="5EE6536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00D37919" w:rsidRPr="00185785" w:rsidP="00185785" w14:paraId="451A75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r>
              <w:rPr>
                <w:rFonts w:ascii="Calibri" w:hAnsi="Calibri" w:cs="Calibri"/>
                <w:b/>
                <w:bCs/>
                <w:color w:val="000000"/>
                <w:sz w:val="18"/>
                <w:szCs w:val="18"/>
              </w:rPr>
              <w:t>i</w:t>
            </w:r>
            <w:r>
              <w:rPr>
                <w:rFonts w:ascii="Calibri" w:hAnsi="Calibri" w:cs="Calibri"/>
                <w:b/>
                <w:bCs/>
                <w:color w:val="000000"/>
                <w:sz w:val="18"/>
                <w:szCs w:val="18"/>
              </w:rPr>
              <w:t>) = (c) x (h)</w:t>
            </w:r>
          </w:p>
        </w:tc>
      </w:tr>
      <w:tr w14:paraId="246F6365" w14:textId="77777777" w:rsidTr="00F94046">
        <w:tblPrEx>
          <w:tblW w:w="9360" w:type="dxa"/>
          <w:tblLook w:val="04A0"/>
        </w:tblPrEx>
        <w:trPr>
          <w:trHeight w:val="300"/>
        </w:trPr>
        <w:tc>
          <w:tcPr>
            <w:tcW w:w="9360" w:type="dxa"/>
            <w:gridSpan w:val="6"/>
            <w:tcBorders>
              <w:top w:val="nil"/>
              <w:left w:val="single" w:sz="4" w:space="0" w:color="auto"/>
              <w:bottom w:val="single" w:sz="4" w:space="0" w:color="auto"/>
              <w:right w:val="single" w:sz="8" w:space="0" w:color="auto"/>
            </w:tcBorders>
            <w:shd w:val="clear" w:color="auto" w:fill="auto"/>
            <w:vAlign w:val="bottom"/>
          </w:tcPr>
          <w:p w:rsidR="00972E2F" w:rsidRPr="00185785" w:rsidP="00972E2F" w14:paraId="372869CB" w14:textId="3F3BC488">
            <w:pPr>
              <w:widowControl/>
              <w:autoSpaceDE/>
              <w:autoSpaceDN/>
              <w:adjustRightInd/>
              <w:rPr>
                <w:rFonts w:ascii="Calibri" w:hAnsi="Calibri" w:cs="Calibri"/>
                <w:color w:val="000000"/>
                <w:sz w:val="16"/>
                <w:szCs w:val="16"/>
              </w:rPr>
            </w:pPr>
            <w:r>
              <w:rPr>
                <w:rFonts w:ascii="Calibri" w:hAnsi="Calibri" w:cs="Calibri"/>
                <w:b/>
                <w:bCs/>
                <w:color w:val="000000"/>
                <w:sz w:val="16"/>
                <w:szCs w:val="16"/>
              </w:rPr>
              <w:t>Type-</w:t>
            </w:r>
            <w:r w:rsidRPr="004824B8">
              <w:rPr>
                <w:rFonts w:ascii="Calibri" w:hAnsi="Calibri" w:cs="Calibri"/>
                <w:b/>
                <w:bCs/>
                <w:color w:val="000000"/>
                <w:sz w:val="16"/>
                <w:szCs w:val="16"/>
              </w:rPr>
              <w:t>Approval</w:t>
            </w:r>
            <w:r>
              <w:rPr>
                <w:rFonts w:ascii="Calibri" w:hAnsi="Calibri" w:cs="Calibri"/>
                <w:b/>
                <w:bCs/>
                <w:color w:val="000000"/>
                <w:sz w:val="16"/>
                <w:szCs w:val="16"/>
              </w:rPr>
              <w:t>, Industry-Wide</w:t>
            </w:r>
          </w:p>
        </w:tc>
      </w:tr>
      <w:tr w14:paraId="64175D17" w14:textId="77777777" w:rsidTr="00840612">
        <w:tblPrEx>
          <w:tblW w:w="9360" w:type="dxa"/>
          <w:tblLook w:val="04A0"/>
        </w:tblPrEx>
        <w:trPr>
          <w:trHeight w:val="300"/>
        </w:trPr>
        <w:tc>
          <w:tcPr>
            <w:tcW w:w="2817" w:type="dxa"/>
            <w:tcBorders>
              <w:top w:val="nil"/>
              <w:left w:val="single" w:sz="4" w:space="0" w:color="auto"/>
              <w:bottom w:val="single" w:sz="4" w:space="0" w:color="auto"/>
              <w:right w:val="single" w:sz="4" w:space="0" w:color="auto"/>
            </w:tcBorders>
            <w:shd w:val="clear" w:color="auto" w:fill="auto"/>
            <w:vAlign w:val="center"/>
          </w:tcPr>
          <w:p w:rsidR="00840612" w:rsidRPr="00185785" w:rsidP="00840612" w14:paraId="6044DA94" w14:textId="11531C72">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Application</w:t>
            </w:r>
          </w:p>
        </w:tc>
        <w:tc>
          <w:tcPr>
            <w:tcW w:w="1188" w:type="dxa"/>
            <w:tcBorders>
              <w:top w:val="nil"/>
              <w:left w:val="nil"/>
              <w:bottom w:val="single" w:sz="4" w:space="0" w:color="auto"/>
              <w:right w:val="single" w:sz="4" w:space="0" w:color="auto"/>
            </w:tcBorders>
            <w:shd w:val="clear" w:color="000000" w:fill="FFFFFF"/>
            <w:vAlign w:val="center"/>
          </w:tcPr>
          <w:p w:rsidR="00840612" w:rsidRPr="00185785" w:rsidP="00840612" w14:paraId="4C824525" w14:textId="3C76F484">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95" w:type="dxa"/>
            <w:tcBorders>
              <w:top w:val="nil"/>
              <w:left w:val="nil"/>
              <w:bottom w:val="single" w:sz="4" w:space="0" w:color="auto"/>
              <w:right w:val="single" w:sz="4" w:space="0" w:color="auto"/>
            </w:tcBorders>
            <w:shd w:val="clear" w:color="000000" w:fill="FFFFFF"/>
            <w:vAlign w:val="center"/>
          </w:tcPr>
          <w:p w:rsidR="00840612" w:rsidRPr="00185785" w:rsidP="00840612" w14:paraId="3CA36D11" w14:textId="3A8F412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840612" w:rsidRPr="00185785" w:rsidP="00840612" w14:paraId="649BE9BC" w14:textId="24C31670">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center"/>
          </w:tcPr>
          <w:p w:rsidR="00840612" w:rsidRPr="00185785" w:rsidP="00025239" w14:paraId="4C62B2DA" w14:textId="5C33ACB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025239">
              <w:rPr>
                <w:rFonts w:ascii="Calibri" w:hAnsi="Calibri" w:cs="Calibri"/>
                <w:color w:val="000000"/>
                <w:sz w:val="16"/>
                <w:szCs w:val="16"/>
              </w:rPr>
              <w:t>1300</w:t>
            </w:r>
            <w:r w:rsidRPr="004824B8">
              <w:rPr>
                <w:rFonts w:ascii="Calibri" w:hAnsi="Calibri" w:cs="Calibri"/>
                <w:color w:val="000000"/>
                <w:sz w:val="16"/>
                <w:szCs w:val="16"/>
              </w:rPr>
              <w:t> </w:t>
            </w:r>
          </w:p>
        </w:tc>
        <w:tc>
          <w:tcPr>
            <w:tcW w:w="1270" w:type="dxa"/>
            <w:tcBorders>
              <w:top w:val="nil"/>
              <w:left w:val="nil"/>
              <w:bottom w:val="single" w:sz="4" w:space="0" w:color="auto"/>
              <w:right w:val="single" w:sz="8" w:space="0" w:color="auto"/>
            </w:tcBorders>
            <w:shd w:val="clear" w:color="000000" w:fill="FFFFFF"/>
            <w:vAlign w:val="center"/>
          </w:tcPr>
          <w:p w:rsidR="00840612" w:rsidRPr="00185785" w:rsidP="00025239" w14:paraId="01744212" w14:textId="7889322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w:t>
            </w:r>
            <w:r w:rsidR="00025239">
              <w:rPr>
                <w:rFonts w:ascii="Calibri" w:hAnsi="Calibri" w:cs="Calibri"/>
                <w:color w:val="000000"/>
                <w:sz w:val="16"/>
                <w:szCs w:val="16"/>
              </w:rPr>
              <w:t>1300</w:t>
            </w:r>
            <w:r w:rsidRPr="004824B8">
              <w:rPr>
                <w:rFonts w:ascii="Calibri" w:hAnsi="Calibri" w:cs="Calibri"/>
                <w:color w:val="000000"/>
                <w:sz w:val="16"/>
                <w:szCs w:val="16"/>
              </w:rPr>
              <w:t xml:space="preserve">   </w:t>
            </w:r>
          </w:p>
        </w:tc>
      </w:tr>
      <w:tr w14:paraId="48D7C5CA" w14:textId="77777777" w:rsidTr="00840612">
        <w:tblPrEx>
          <w:tblW w:w="9360" w:type="dxa"/>
          <w:tblLook w:val="04A0"/>
        </w:tblPrEx>
        <w:trPr>
          <w:trHeight w:val="300"/>
        </w:trPr>
        <w:tc>
          <w:tcPr>
            <w:tcW w:w="2817" w:type="dxa"/>
            <w:tcBorders>
              <w:top w:val="nil"/>
              <w:left w:val="single" w:sz="4" w:space="0" w:color="auto"/>
              <w:bottom w:val="single" w:sz="4" w:space="0" w:color="auto"/>
              <w:right w:val="single" w:sz="4" w:space="0" w:color="auto"/>
            </w:tcBorders>
            <w:shd w:val="clear" w:color="auto" w:fill="auto"/>
            <w:vAlign w:val="center"/>
          </w:tcPr>
          <w:p w:rsidR="00840612" w:rsidRPr="00185785" w:rsidP="00840612" w14:paraId="6F5B302B" w14:textId="204CCDB4">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Changes to Type-Approvals</w:t>
            </w:r>
          </w:p>
        </w:tc>
        <w:tc>
          <w:tcPr>
            <w:tcW w:w="1188" w:type="dxa"/>
            <w:tcBorders>
              <w:top w:val="nil"/>
              <w:left w:val="nil"/>
              <w:bottom w:val="single" w:sz="4" w:space="0" w:color="auto"/>
              <w:right w:val="single" w:sz="4" w:space="0" w:color="auto"/>
            </w:tcBorders>
            <w:shd w:val="clear" w:color="000000" w:fill="FFFFFF"/>
            <w:vAlign w:val="center"/>
          </w:tcPr>
          <w:p w:rsidR="00840612" w:rsidRPr="00185785" w:rsidP="00840612" w14:paraId="1853CDBF" w14:textId="3D7C317B">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95" w:type="dxa"/>
            <w:tcBorders>
              <w:top w:val="nil"/>
              <w:left w:val="nil"/>
              <w:bottom w:val="single" w:sz="4" w:space="0" w:color="auto"/>
              <w:right w:val="single" w:sz="4" w:space="0" w:color="auto"/>
            </w:tcBorders>
            <w:shd w:val="clear" w:color="000000" w:fill="FFFFFF"/>
            <w:vAlign w:val="center"/>
          </w:tcPr>
          <w:p w:rsidR="00840612" w:rsidRPr="00185785" w:rsidP="00840612" w14:paraId="6208D00F" w14:textId="6083134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840612" w:rsidRPr="00185785" w:rsidP="00840612" w14:paraId="0722A7B8" w14:textId="1F874B3C">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2</w:t>
            </w:r>
          </w:p>
        </w:tc>
        <w:tc>
          <w:tcPr>
            <w:tcW w:w="1260" w:type="dxa"/>
            <w:tcBorders>
              <w:top w:val="nil"/>
              <w:left w:val="nil"/>
              <w:bottom w:val="single" w:sz="4" w:space="0" w:color="auto"/>
              <w:right w:val="single" w:sz="4" w:space="0" w:color="auto"/>
            </w:tcBorders>
            <w:shd w:val="clear" w:color="000000" w:fill="FFFFFF"/>
            <w:vAlign w:val="center"/>
          </w:tcPr>
          <w:p w:rsidR="00840612" w:rsidRPr="00185785" w:rsidP="00840612" w14:paraId="5788F045" w14:textId="245DF85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sz="4" w:space="0" w:color="auto"/>
              <w:right w:val="single" w:sz="8" w:space="0" w:color="auto"/>
            </w:tcBorders>
            <w:shd w:val="clear" w:color="000000" w:fill="FFFFFF"/>
            <w:vAlign w:val="center"/>
          </w:tcPr>
          <w:p w:rsidR="00840612" w:rsidRPr="00185785" w:rsidP="00840612" w14:paraId="3B766A46" w14:textId="440DF12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14:paraId="634B6AE0" w14:textId="77777777" w:rsidTr="00840612">
        <w:tblPrEx>
          <w:tblW w:w="9360" w:type="dxa"/>
          <w:tblLook w:val="04A0"/>
        </w:tblPrEx>
        <w:trPr>
          <w:trHeight w:val="300"/>
        </w:trPr>
        <w:tc>
          <w:tcPr>
            <w:tcW w:w="2817" w:type="dxa"/>
            <w:tcBorders>
              <w:top w:val="nil"/>
              <w:left w:val="single" w:sz="4" w:space="0" w:color="auto"/>
              <w:bottom w:val="single" w:sz="4" w:space="0" w:color="auto"/>
              <w:right w:val="single" w:sz="4" w:space="0" w:color="auto"/>
            </w:tcBorders>
            <w:shd w:val="clear" w:color="auto" w:fill="auto"/>
            <w:vAlign w:val="center"/>
          </w:tcPr>
          <w:p w:rsidR="00840612" w:rsidRPr="00185785" w:rsidP="00840612" w14:paraId="18CB9F5E" w14:textId="65E88E06">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Revocation Response</w:t>
            </w:r>
          </w:p>
        </w:tc>
        <w:tc>
          <w:tcPr>
            <w:tcW w:w="1188" w:type="dxa"/>
            <w:tcBorders>
              <w:top w:val="nil"/>
              <w:left w:val="nil"/>
              <w:bottom w:val="single" w:sz="4" w:space="0" w:color="auto"/>
              <w:right w:val="single" w:sz="4" w:space="0" w:color="auto"/>
            </w:tcBorders>
            <w:shd w:val="clear" w:color="000000" w:fill="FFFFFF"/>
            <w:vAlign w:val="center"/>
          </w:tcPr>
          <w:p w:rsidR="00840612" w:rsidRPr="00185785" w:rsidP="00840612" w14:paraId="56AD897A" w14:textId="259D72D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95" w:type="dxa"/>
            <w:tcBorders>
              <w:top w:val="nil"/>
              <w:left w:val="nil"/>
              <w:bottom w:val="single" w:sz="4" w:space="0" w:color="auto"/>
              <w:right w:val="single" w:sz="4" w:space="0" w:color="auto"/>
            </w:tcBorders>
            <w:shd w:val="clear" w:color="000000" w:fill="FFFFFF"/>
            <w:vAlign w:val="center"/>
          </w:tcPr>
          <w:p w:rsidR="00840612" w:rsidRPr="00185785" w:rsidP="00840612" w14:paraId="5A7FED3A" w14:textId="244C7DB3">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840612" w:rsidRPr="00185785" w:rsidP="00840612" w14:paraId="78BCB716" w14:textId="257F07B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260" w:type="dxa"/>
            <w:tcBorders>
              <w:top w:val="nil"/>
              <w:left w:val="nil"/>
              <w:bottom w:val="single" w:sz="4" w:space="0" w:color="auto"/>
              <w:right w:val="single" w:sz="4" w:space="0" w:color="auto"/>
            </w:tcBorders>
            <w:shd w:val="clear" w:color="000000" w:fill="FFFFFF"/>
            <w:vAlign w:val="center"/>
          </w:tcPr>
          <w:p w:rsidR="00840612" w:rsidRPr="00185785" w:rsidP="00840612" w14:paraId="7AC8D235" w14:textId="15576F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sz="4" w:space="0" w:color="auto"/>
              <w:right w:val="single" w:sz="8" w:space="0" w:color="auto"/>
            </w:tcBorders>
            <w:shd w:val="clear" w:color="000000" w:fill="FFFFFF"/>
            <w:vAlign w:val="center"/>
          </w:tcPr>
          <w:p w:rsidR="00840612" w:rsidRPr="00185785" w:rsidP="00840612" w14:paraId="053527FB" w14:textId="566770D8">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14:paraId="02132A80" w14:textId="77777777" w:rsidTr="00840612">
        <w:tblPrEx>
          <w:tblW w:w="9360" w:type="dxa"/>
          <w:tblLook w:val="04A0"/>
        </w:tblPrEx>
        <w:trPr>
          <w:trHeight w:val="300"/>
        </w:trPr>
        <w:tc>
          <w:tcPr>
            <w:tcW w:w="2817" w:type="dxa"/>
            <w:tcBorders>
              <w:top w:val="nil"/>
              <w:left w:val="single" w:sz="4" w:space="0" w:color="auto"/>
              <w:bottom w:val="single" w:sz="4" w:space="0" w:color="auto"/>
              <w:right w:val="single" w:sz="4" w:space="0" w:color="auto"/>
            </w:tcBorders>
            <w:shd w:val="clear" w:color="auto" w:fill="auto"/>
            <w:vAlign w:val="center"/>
          </w:tcPr>
          <w:p w:rsidR="00840612" w:rsidRPr="00185785" w:rsidP="00840612" w14:paraId="5F4FF109" w14:textId="5960E29D">
            <w:pPr>
              <w:widowControl/>
              <w:autoSpaceDE/>
              <w:autoSpaceDN/>
              <w:adjustRightInd/>
              <w:rPr>
                <w:rFonts w:ascii="Calibri" w:hAnsi="Calibri" w:cs="Calibri"/>
                <w:color w:val="000000"/>
                <w:sz w:val="16"/>
                <w:szCs w:val="16"/>
              </w:rPr>
            </w:pPr>
            <w:r w:rsidRPr="004824B8">
              <w:rPr>
                <w:rFonts w:ascii="Calibri" w:hAnsi="Calibri" w:cs="Calibri"/>
                <w:color w:val="000000"/>
                <w:sz w:val="16"/>
                <w:szCs w:val="16"/>
              </w:rPr>
              <w:t>Maintenance / Diagnostic &amp; Troubleshooting Support</w:t>
            </w:r>
          </w:p>
        </w:tc>
        <w:tc>
          <w:tcPr>
            <w:tcW w:w="1188" w:type="dxa"/>
            <w:tcBorders>
              <w:top w:val="nil"/>
              <w:left w:val="nil"/>
              <w:bottom w:val="single" w:sz="4" w:space="0" w:color="auto"/>
              <w:right w:val="single" w:sz="4" w:space="0" w:color="auto"/>
            </w:tcBorders>
            <w:shd w:val="clear" w:color="000000" w:fill="FFFFFF"/>
            <w:vAlign w:val="center"/>
          </w:tcPr>
          <w:p w:rsidR="00840612" w:rsidRPr="00185785" w:rsidP="00840612" w14:paraId="18DEC20F" w14:textId="74E27A32">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95" w:type="dxa"/>
            <w:tcBorders>
              <w:top w:val="nil"/>
              <w:left w:val="nil"/>
              <w:bottom w:val="single" w:sz="4" w:space="0" w:color="auto"/>
              <w:right w:val="single" w:sz="4" w:space="0" w:color="auto"/>
            </w:tcBorders>
            <w:shd w:val="clear" w:color="000000" w:fill="FFFFFF"/>
            <w:vAlign w:val="center"/>
          </w:tcPr>
          <w:p w:rsidR="00840612" w:rsidRPr="00185785" w:rsidP="00840612" w14:paraId="34C7807B" w14:textId="2F76D636">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000000" w:fill="FFFFFF"/>
            <w:vAlign w:val="center"/>
          </w:tcPr>
          <w:p w:rsidR="00840612" w:rsidRPr="00185785" w:rsidP="00840612" w14:paraId="6498D003" w14:textId="7D04ADCE">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8</w:t>
            </w:r>
          </w:p>
        </w:tc>
        <w:tc>
          <w:tcPr>
            <w:tcW w:w="1260" w:type="dxa"/>
            <w:tcBorders>
              <w:top w:val="nil"/>
              <w:left w:val="nil"/>
              <w:bottom w:val="single" w:sz="4" w:space="0" w:color="auto"/>
              <w:right w:val="single" w:sz="4" w:space="0" w:color="auto"/>
            </w:tcBorders>
            <w:shd w:val="clear" w:color="000000" w:fill="FFFFFF"/>
            <w:vAlign w:val="center"/>
          </w:tcPr>
          <w:p w:rsidR="00840612" w:rsidRPr="00185785" w:rsidP="00840612" w14:paraId="5571016B" w14:textId="378CB00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4824B8">
              <w:rPr>
                <w:rFonts w:ascii="Calibri" w:hAnsi="Calibri" w:cs="Calibri"/>
                <w:color w:val="000000"/>
                <w:sz w:val="16"/>
                <w:szCs w:val="16"/>
              </w:rPr>
              <w:t> </w:t>
            </w:r>
          </w:p>
        </w:tc>
        <w:tc>
          <w:tcPr>
            <w:tcW w:w="1270" w:type="dxa"/>
            <w:tcBorders>
              <w:top w:val="nil"/>
              <w:left w:val="nil"/>
              <w:bottom w:val="single" w:sz="4" w:space="0" w:color="auto"/>
              <w:right w:val="single" w:sz="8" w:space="0" w:color="auto"/>
            </w:tcBorders>
            <w:shd w:val="clear" w:color="000000" w:fill="FFFFFF"/>
            <w:vAlign w:val="center"/>
          </w:tcPr>
          <w:p w:rsidR="00840612" w:rsidRPr="00185785" w:rsidP="00840612" w14:paraId="6B504926" w14:textId="2B499725">
            <w:pPr>
              <w:widowControl/>
              <w:autoSpaceDE/>
              <w:autoSpaceDN/>
              <w:adjustRightInd/>
              <w:jc w:val="right"/>
              <w:rPr>
                <w:rFonts w:ascii="Calibri" w:hAnsi="Calibri" w:cs="Calibri"/>
                <w:color w:val="000000"/>
                <w:sz w:val="16"/>
                <w:szCs w:val="16"/>
              </w:rPr>
            </w:pPr>
            <w:r w:rsidRPr="004824B8">
              <w:rPr>
                <w:rFonts w:ascii="Calibri" w:hAnsi="Calibri" w:cs="Calibri"/>
                <w:color w:val="000000"/>
                <w:sz w:val="16"/>
                <w:szCs w:val="16"/>
              </w:rPr>
              <w:t xml:space="preserve"> $                     -   </w:t>
            </w:r>
          </w:p>
        </w:tc>
      </w:tr>
      <w:tr w14:paraId="20F640D1" w14:textId="77777777" w:rsidTr="00840612">
        <w:tblPrEx>
          <w:tblW w:w="9360" w:type="dxa"/>
          <w:tblLook w:val="04A0"/>
        </w:tblPrEx>
        <w:trPr>
          <w:trHeight w:val="315"/>
        </w:trPr>
        <w:tc>
          <w:tcPr>
            <w:tcW w:w="2817" w:type="dxa"/>
            <w:tcBorders>
              <w:top w:val="single" w:sz="8" w:space="0" w:color="auto"/>
              <w:left w:val="single" w:sz="8" w:space="0" w:color="auto"/>
              <w:bottom w:val="single" w:sz="8" w:space="0" w:color="auto"/>
              <w:right w:val="single" w:sz="4" w:space="0" w:color="auto"/>
            </w:tcBorders>
            <w:shd w:val="clear" w:color="auto" w:fill="BDD6EE" w:themeFill="accent1" w:themeFillTint="66"/>
            <w:vAlign w:val="center"/>
            <w:hideMark/>
          </w:tcPr>
          <w:p w:rsidR="00840612" w:rsidRPr="00185785" w:rsidP="00840612" w14:paraId="5C2AD7F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840612" w:rsidRPr="00185785" w:rsidP="00840612" w14:paraId="72AC1F74"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95"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840612" w:rsidRPr="00185785" w:rsidP="00840612" w14:paraId="503FA797"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auto" w:fill="BDD6EE" w:themeFill="accent1" w:themeFillTint="66"/>
            <w:vAlign w:val="center"/>
          </w:tcPr>
          <w:p w:rsidR="00840612" w:rsidRPr="00185785" w:rsidP="00840612" w14:paraId="350D2ED6" w14:textId="5C8ADE78">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12</w:t>
            </w:r>
          </w:p>
        </w:tc>
        <w:tc>
          <w:tcPr>
            <w:tcW w:w="1260" w:type="dxa"/>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840612" w:rsidRPr="00185785" w:rsidP="00840612" w14:paraId="55CA9F8F"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70" w:type="dxa"/>
            <w:tcBorders>
              <w:top w:val="single" w:sz="8" w:space="0" w:color="auto"/>
              <w:left w:val="nil"/>
              <w:bottom w:val="single" w:sz="8" w:space="0" w:color="auto"/>
              <w:right w:val="single" w:sz="8" w:space="0" w:color="auto"/>
            </w:tcBorders>
            <w:shd w:val="clear" w:color="auto" w:fill="BDD6EE" w:themeFill="accent1" w:themeFillTint="66"/>
            <w:vAlign w:val="center"/>
            <w:hideMark/>
          </w:tcPr>
          <w:p w:rsidR="00840612" w:rsidRPr="00185785" w:rsidP="00025239" w14:paraId="5958064B" w14:textId="199FBF42">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025239">
              <w:rPr>
                <w:rFonts w:ascii="Calibri" w:hAnsi="Calibri" w:cs="Calibri"/>
                <w:b/>
                <w:bCs/>
                <w:color w:val="000000"/>
                <w:sz w:val="16"/>
                <w:szCs w:val="16"/>
              </w:rPr>
              <w:t>1300</w:t>
            </w:r>
          </w:p>
        </w:tc>
      </w:tr>
    </w:tbl>
    <w:p w:rsidR="00943130" w:rsidP="00BF7C47" w14:paraId="4245CBC0" w14:textId="3EB10515">
      <w:pPr>
        <w:tabs>
          <w:tab w:val="left" w:pos="540"/>
        </w:tabs>
        <w:rPr>
          <w:sz w:val="24"/>
          <w:szCs w:val="24"/>
        </w:rPr>
      </w:pPr>
    </w:p>
    <w:p w:rsidR="00BF7C47" w:rsidRPr="00BD7237" w:rsidP="00BF7C47" w14:paraId="571F3DCB" w14:textId="77777777">
      <w:pPr>
        <w:pStyle w:val="ListParagraph"/>
        <w:tabs>
          <w:tab w:val="left" w:pos="360"/>
        </w:tabs>
        <w:adjustRightInd/>
        <w:spacing w:before="80"/>
        <w:ind w:left="0"/>
        <w:contextualSpacing w:val="0"/>
        <w:rPr>
          <w:b/>
          <w:sz w:val="24"/>
          <w:szCs w:val="24"/>
        </w:rPr>
      </w:pPr>
      <w:r>
        <w:rPr>
          <w:b/>
          <w:bCs/>
          <w:sz w:val="24"/>
          <w:szCs w:val="24"/>
        </w:rPr>
        <w:t>14.</w:t>
      </w:r>
      <w:r>
        <w:rPr>
          <w:b/>
          <w:bCs/>
          <w:sz w:val="24"/>
          <w:szCs w:val="24"/>
        </w:rPr>
        <w:tab/>
      </w:r>
      <w:r w:rsidRPr="00BD7237">
        <w:rPr>
          <w:b/>
          <w:sz w:val="24"/>
          <w:szCs w:val="24"/>
        </w:rPr>
        <w:t xml:space="preserve">Provide estimates of annualized cost to the Federal </w:t>
      </w:r>
      <w:r w:rsidRPr="00BD7237">
        <w:rPr>
          <w:b/>
          <w:sz w:val="24"/>
          <w:szCs w:val="24"/>
        </w:rPr>
        <w:t>government. Also, provide a description of the method used to estimate cost, which should include quantification of hours, operational expenses (such as equipment, overhead, printing, and support staff), and any other expense that would not have been incur</w:t>
      </w:r>
      <w:r w:rsidRPr="00BD7237">
        <w:rPr>
          <w:b/>
          <w:sz w:val="24"/>
          <w:szCs w:val="24"/>
        </w:rPr>
        <w:t>red without this collection of information.</w:t>
      </w:r>
    </w:p>
    <w:p w:rsidR="00A61187" w:rsidP="00AC448C" w14:paraId="482F0004" w14:textId="4F7D0216">
      <w:pPr>
        <w:rPr>
          <w:sz w:val="24"/>
          <w:szCs w:val="24"/>
        </w:rPr>
      </w:pPr>
    </w:p>
    <w:p w:rsidR="00AC448C" w:rsidP="00AC448C" w14:paraId="34255F7A" w14:textId="1886DE91">
      <w:pPr>
        <w:rPr>
          <w:sz w:val="24"/>
          <w:szCs w:val="24"/>
        </w:rPr>
      </w:pPr>
      <w:r w:rsidRPr="00A71403">
        <w:rPr>
          <w:sz w:val="24"/>
          <w:szCs w:val="24"/>
        </w:rPr>
        <w:t>NMFS estimates it would need a customer service contractor for 1,040 hours per year at $2</w:t>
      </w:r>
      <w:r w:rsidR="00825940">
        <w:rPr>
          <w:sz w:val="24"/>
          <w:szCs w:val="24"/>
        </w:rPr>
        <w:t>8.37</w:t>
      </w:r>
      <w:r w:rsidRPr="00A71403">
        <w:rPr>
          <w:sz w:val="24"/>
          <w:szCs w:val="24"/>
        </w:rPr>
        <w:t xml:space="preserve"> per hour or $2</w:t>
      </w:r>
      <w:r w:rsidR="00825940">
        <w:rPr>
          <w:sz w:val="24"/>
          <w:szCs w:val="24"/>
        </w:rPr>
        <w:t>9,</w:t>
      </w:r>
      <w:r w:rsidR="004C150B">
        <w:rPr>
          <w:sz w:val="24"/>
          <w:szCs w:val="24"/>
        </w:rPr>
        <w:t>504.80</w:t>
      </w:r>
      <w:r w:rsidRPr="00A71403">
        <w:rPr>
          <w:sz w:val="24"/>
          <w:szCs w:val="24"/>
        </w:rPr>
        <w:t xml:space="preserve"> per year, and a federal program manager for 320 hours per year at $</w:t>
      </w:r>
      <w:r w:rsidR="00825940">
        <w:rPr>
          <w:sz w:val="24"/>
          <w:szCs w:val="24"/>
        </w:rPr>
        <w:t>7</w:t>
      </w:r>
      <w:r w:rsidRPr="00A71403">
        <w:rPr>
          <w:sz w:val="24"/>
          <w:szCs w:val="24"/>
        </w:rPr>
        <w:t>7.</w:t>
      </w:r>
      <w:r w:rsidR="00825940">
        <w:rPr>
          <w:sz w:val="24"/>
          <w:szCs w:val="24"/>
        </w:rPr>
        <w:t>76</w:t>
      </w:r>
      <w:r w:rsidRPr="00A71403">
        <w:rPr>
          <w:sz w:val="24"/>
          <w:szCs w:val="24"/>
        </w:rPr>
        <w:t xml:space="preserve"> per hour or $2</w:t>
      </w:r>
      <w:r w:rsidR="00825940">
        <w:rPr>
          <w:sz w:val="24"/>
          <w:szCs w:val="24"/>
        </w:rPr>
        <w:t>4,883.20</w:t>
      </w:r>
      <w:r w:rsidRPr="00A71403">
        <w:rPr>
          <w:sz w:val="24"/>
          <w:szCs w:val="24"/>
        </w:rPr>
        <w:t>, both totaling $</w:t>
      </w:r>
      <w:r w:rsidR="00825940">
        <w:rPr>
          <w:sz w:val="24"/>
          <w:szCs w:val="24"/>
        </w:rPr>
        <w:t>54,</w:t>
      </w:r>
      <w:r w:rsidR="004C150B">
        <w:rPr>
          <w:sz w:val="24"/>
          <w:szCs w:val="24"/>
        </w:rPr>
        <w:t>388.</w:t>
      </w:r>
      <w:r>
        <w:rPr>
          <w:sz w:val="24"/>
          <w:szCs w:val="24"/>
        </w:rPr>
        <w:t xml:space="preserve"> </w:t>
      </w:r>
      <w:r w:rsidRPr="00A71403">
        <w:rPr>
          <w:sz w:val="24"/>
          <w:szCs w:val="24"/>
        </w:rPr>
        <w:t>As provided in section 1</w:t>
      </w:r>
      <w:r>
        <w:rPr>
          <w:sz w:val="24"/>
          <w:szCs w:val="24"/>
        </w:rPr>
        <w:t>2</w:t>
      </w:r>
      <w:r w:rsidRPr="00A71403">
        <w:rPr>
          <w:sz w:val="24"/>
          <w:szCs w:val="24"/>
        </w:rPr>
        <w:t xml:space="preserve"> above, it is estimated that NMFS will compensate </w:t>
      </w:r>
      <w:r w:rsidR="00220229">
        <w:rPr>
          <w:sz w:val="24"/>
          <w:szCs w:val="24"/>
        </w:rPr>
        <w:t>each respondent</w:t>
      </w:r>
      <w:r w:rsidRPr="00A71403">
        <w:rPr>
          <w:sz w:val="24"/>
          <w:szCs w:val="24"/>
        </w:rPr>
        <w:t xml:space="preserve"> a total of $</w:t>
      </w:r>
      <w:r w:rsidR="00220229">
        <w:rPr>
          <w:sz w:val="24"/>
          <w:szCs w:val="24"/>
        </w:rPr>
        <w:t>15,450 for services provided to NMFS</w:t>
      </w:r>
      <w:r w:rsidR="004C150B">
        <w:rPr>
          <w:sz w:val="24"/>
          <w:szCs w:val="24"/>
        </w:rPr>
        <w:t>, totaling $123,600</w:t>
      </w:r>
      <w:r w:rsidRPr="00A71403">
        <w:rPr>
          <w:sz w:val="24"/>
          <w:szCs w:val="24"/>
        </w:rPr>
        <w:t xml:space="preserve">. </w:t>
      </w:r>
    </w:p>
    <w:p w:rsidR="00AC448C" w:rsidP="00AC448C" w14:paraId="18CCA6F6" w14:textId="77777777">
      <w:pPr>
        <w:rPr>
          <w:sz w:val="24"/>
          <w:szCs w:val="24"/>
        </w:rPr>
      </w:pPr>
    </w:p>
    <w:tbl>
      <w:tblPr>
        <w:tblW w:w="8360" w:type="dxa"/>
        <w:tblLook w:val="04A0"/>
      </w:tblPr>
      <w:tblGrid>
        <w:gridCol w:w="2280"/>
        <w:gridCol w:w="1120"/>
        <w:gridCol w:w="1360"/>
        <w:gridCol w:w="900"/>
        <w:gridCol w:w="1170"/>
        <w:gridCol w:w="1530"/>
      </w:tblGrid>
      <w:tr w14:paraId="3F4A6E71" w14:textId="77777777" w:rsidTr="00220229">
        <w:tblPrEx>
          <w:tblW w:w="8360" w:type="dxa"/>
          <w:tblLook w:val="04A0"/>
        </w:tblPrEx>
        <w:trPr>
          <w:trHeight w:val="583"/>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AC448C" w:rsidRPr="00ED0433" w:rsidP="00840612" w14:paraId="7E2DE476"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AC448C" w:rsidRPr="00ED0433" w:rsidP="00840612" w14:paraId="41A26C71"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Grade/Step</w:t>
            </w:r>
          </w:p>
        </w:tc>
        <w:tc>
          <w:tcPr>
            <w:tcW w:w="1360" w:type="dxa"/>
            <w:tcBorders>
              <w:top w:val="single" w:sz="8" w:space="0" w:color="auto"/>
              <w:left w:val="nil"/>
              <w:bottom w:val="nil"/>
              <w:right w:val="single" w:sz="8" w:space="0" w:color="auto"/>
            </w:tcBorders>
            <w:shd w:val="clear" w:color="000000" w:fill="BDD7EE"/>
            <w:vAlign w:val="center"/>
            <w:hideMark/>
          </w:tcPr>
          <w:p w:rsidR="00AC448C" w:rsidRPr="00ED0433" w:rsidP="00840612" w14:paraId="0F270258"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Loaded Salary /Cost</w:t>
            </w:r>
          </w:p>
        </w:tc>
        <w:tc>
          <w:tcPr>
            <w:tcW w:w="900" w:type="dxa"/>
            <w:tcBorders>
              <w:top w:val="single" w:sz="8" w:space="0" w:color="auto"/>
              <w:left w:val="nil"/>
              <w:bottom w:val="nil"/>
              <w:right w:val="single" w:sz="8" w:space="0" w:color="auto"/>
            </w:tcBorders>
            <w:shd w:val="clear" w:color="000000" w:fill="BDD7EE"/>
            <w:vAlign w:val="center"/>
            <w:hideMark/>
          </w:tcPr>
          <w:p w:rsidR="00AC448C" w:rsidRPr="00ED0433" w:rsidP="00840612" w14:paraId="6691B4E5"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 of Effort</w:t>
            </w:r>
          </w:p>
        </w:tc>
        <w:tc>
          <w:tcPr>
            <w:tcW w:w="1170" w:type="dxa"/>
            <w:tcBorders>
              <w:top w:val="single" w:sz="8" w:space="0" w:color="auto"/>
              <w:left w:val="nil"/>
              <w:bottom w:val="nil"/>
              <w:right w:val="single" w:sz="8" w:space="0" w:color="auto"/>
            </w:tcBorders>
            <w:shd w:val="clear" w:color="000000" w:fill="BDD7EE"/>
            <w:vAlign w:val="center"/>
            <w:hideMark/>
          </w:tcPr>
          <w:p w:rsidR="00AC448C" w:rsidRPr="00ED0433" w:rsidP="00840612" w14:paraId="7ED5A79A"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Fringe (if Applicable)</w:t>
            </w:r>
          </w:p>
        </w:tc>
        <w:tc>
          <w:tcPr>
            <w:tcW w:w="1530" w:type="dxa"/>
            <w:tcBorders>
              <w:top w:val="single" w:sz="8" w:space="0" w:color="auto"/>
              <w:left w:val="nil"/>
              <w:bottom w:val="nil"/>
              <w:right w:val="single" w:sz="8" w:space="0" w:color="auto"/>
            </w:tcBorders>
            <w:shd w:val="clear" w:color="000000" w:fill="BDD7EE"/>
            <w:vAlign w:val="center"/>
            <w:hideMark/>
          </w:tcPr>
          <w:p w:rsidR="00AC448C" w:rsidRPr="00ED0433" w:rsidP="00840612" w14:paraId="658BCD28" w14:textId="77777777">
            <w:pPr>
              <w:widowControl/>
              <w:autoSpaceDE/>
              <w:autoSpaceDN/>
              <w:adjustRightInd/>
              <w:jc w:val="center"/>
              <w:rPr>
                <w:rFonts w:ascii="Calibri" w:hAnsi="Calibri" w:cs="Calibri"/>
                <w:b/>
                <w:bCs/>
                <w:color w:val="000000"/>
                <w:sz w:val="16"/>
                <w:szCs w:val="16"/>
              </w:rPr>
            </w:pPr>
            <w:r w:rsidRPr="00ED0433">
              <w:rPr>
                <w:rFonts w:ascii="Calibri" w:hAnsi="Calibri" w:cs="Calibri"/>
                <w:b/>
                <w:bCs/>
                <w:color w:val="000000"/>
                <w:sz w:val="16"/>
                <w:szCs w:val="16"/>
              </w:rPr>
              <w:t>Total Cost to Government</w:t>
            </w:r>
          </w:p>
        </w:tc>
      </w:tr>
      <w:tr w14:paraId="2467585E" w14:textId="77777777" w:rsidTr="00220229">
        <w:tblPrEx>
          <w:tblW w:w="8360" w:type="dxa"/>
          <w:tblLook w:val="04A0"/>
        </w:tblPrEx>
        <w:trPr>
          <w:trHeight w:val="300"/>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AC448C" w:rsidRPr="00ED0433" w:rsidP="00840612" w14:paraId="257BC902"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AC448C" w:rsidRPr="00ED0433" w:rsidP="00AC448C" w14:paraId="18DB110B"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AC448C" w:rsidRPr="00ED0433" w:rsidP="00F4779E" w14:paraId="27299921" w14:textId="1D863C4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$161,740.80</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AC448C" w:rsidRPr="00ED0433" w:rsidP="00220229" w14:paraId="01E4616E" w14:textId="3B873C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r w:rsidRPr="00ED0433">
              <w:rPr>
                <w:rFonts w:ascii="Calibri" w:hAnsi="Calibri" w:cs="Calibri"/>
                <w:color w:val="000000"/>
                <w:sz w:val="16"/>
                <w:szCs w:val="16"/>
              </w:rPr>
              <w:t>%</w:t>
            </w:r>
          </w:p>
        </w:tc>
        <w:tc>
          <w:tcPr>
            <w:tcW w:w="117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AC448C" w:rsidRPr="00ED0433" w:rsidP="00AC448C" w14:paraId="317A75A7"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530" w:type="dxa"/>
            <w:tcBorders>
              <w:top w:val="single" w:sz="4" w:space="0" w:color="auto"/>
              <w:left w:val="nil"/>
              <w:bottom w:val="single" w:sz="4" w:space="0" w:color="auto"/>
              <w:right w:val="single" w:sz="8" w:space="0" w:color="auto"/>
            </w:tcBorders>
            <w:shd w:val="clear" w:color="auto" w:fill="auto"/>
            <w:noWrap/>
            <w:vAlign w:val="bottom"/>
            <w:hideMark/>
          </w:tcPr>
          <w:p w:rsidR="00AC448C" w:rsidRPr="00ED0433" w:rsidP="00F4779E" w14:paraId="42006674" w14:textId="55C86553">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w:t>
            </w:r>
            <w:r w:rsidR="00220229">
              <w:rPr>
                <w:rFonts w:ascii="Calibri" w:hAnsi="Calibri" w:cs="Calibri"/>
                <w:color w:val="000000"/>
                <w:sz w:val="16"/>
                <w:szCs w:val="16"/>
              </w:rPr>
              <w:t>24</w:t>
            </w:r>
            <w:r>
              <w:rPr>
                <w:rFonts w:ascii="Calibri" w:hAnsi="Calibri" w:cs="Calibri"/>
                <w:color w:val="000000"/>
                <w:sz w:val="16"/>
                <w:szCs w:val="16"/>
              </w:rPr>
              <w:t>,261</w:t>
            </w:r>
          </w:p>
        </w:tc>
      </w:tr>
      <w:tr w14:paraId="20C5CF20" w14:textId="77777777" w:rsidTr="00220229">
        <w:tblPrEx>
          <w:tblW w:w="836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AC448C" w:rsidRPr="00ED0433" w:rsidP="00840612" w14:paraId="2BB5DB07"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ED0433" w:rsidP="00AC448C" w14:paraId="7AA05CF4"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sz="4" w:space="0" w:color="auto"/>
              <w:right w:val="single" w:sz="4" w:space="0" w:color="auto"/>
            </w:tcBorders>
            <w:shd w:val="clear" w:color="auto" w:fill="auto"/>
            <w:noWrap/>
            <w:vAlign w:val="bottom"/>
            <w:hideMark/>
          </w:tcPr>
          <w:p w:rsidR="00AC448C" w:rsidRPr="00ED0433" w:rsidP="00386A6A" w14:paraId="751AEC6E" w14:textId="770415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86A6A">
              <w:rPr>
                <w:rFonts w:ascii="Calibri" w:hAnsi="Calibri" w:cs="Calibri"/>
                <w:color w:val="000000"/>
                <w:sz w:val="16"/>
                <w:szCs w:val="16"/>
              </w:rPr>
              <w:t>59,009.60</w:t>
            </w:r>
            <w:r w:rsidRPr="00ED0433">
              <w:rPr>
                <w:rFonts w:ascii="Calibri" w:hAnsi="Calibri" w:cs="Calibri"/>
                <w:color w:val="000000"/>
                <w:sz w:val="16"/>
                <w:szCs w:val="16"/>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AC448C" w:rsidRPr="00ED0433" w:rsidP="00F4779E" w14:paraId="24ED3877" w14:textId="7F2A8BF3">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5</w:t>
            </w:r>
            <w:r>
              <w:rPr>
                <w:rFonts w:ascii="Calibri" w:hAnsi="Calibri" w:cs="Calibri"/>
                <w:color w:val="000000"/>
                <w:sz w:val="16"/>
                <w:szCs w:val="16"/>
              </w:rPr>
              <w:t>0</w:t>
            </w:r>
            <w:r w:rsidRPr="00ED0433">
              <w:rPr>
                <w:rFonts w:ascii="Calibri" w:hAnsi="Calibri" w:cs="Calibri"/>
                <w:color w:val="000000"/>
                <w:sz w:val="16"/>
                <w:szCs w:val="16"/>
              </w:rPr>
              <w:t>%</w:t>
            </w:r>
          </w:p>
        </w:tc>
        <w:tc>
          <w:tcPr>
            <w:tcW w:w="1170" w:type="dxa"/>
            <w:tcBorders>
              <w:top w:val="nil"/>
              <w:left w:val="nil"/>
              <w:bottom w:val="single" w:sz="4" w:space="0" w:color="auto"/>
              <w:right w:val="single" w:sz="4" w:space="0" w:color="auto"/>
            </w:tcBorders>
            <w:shd w:val="clear" w:color="auto" w:fill="auto"/>
            <w:noWrap/>
            <w:vAlign w:val="bottom"/>
            <w:hideMark/>
          </w:tcPr>
          <w:p w:rsidR="00AC448C" w:rsidRPr="00ED0433" w:rsidP="00AC448C" w14:paraId="3B9BF47D"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AC448C" w:rsidRPr="00ED0433" w:rsidP="00F4779E" w14:paraId="68FF2F48" w14:textId="13C55C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20229">
              <w:rPr>
                <w:rFonts w:ascii="Calibri" w:hAnsi="Calibri" w:cs="Calibri"/>
                <w:color w:val="000000"/>
                <w:sz w:val="16"/>
                <w:szCs w:val="16"/>
              </w:rPr>
              <w:t>29</w:t>
            </w:r>
            <w:r w:rsidR="00386A6A">
              <w:rPr>
                <w:rFonts w:ascii="Calibri" w:hAnsi="Calibri" w:cs="Calibri"/>
                <w:color w:val="000000"/>
                <w:sz w:val="16"/>
                <w:szCs w:val="16"/>
              </w:rPr>
              <w:t>,</w:t>
            </w:r>
            <w:r w:rsidR="004C150B">
              <w:rPr>
                <w:rFonts w:ascii="Calibri" w:hAnsi="Calibri" w:cs="Calibri"/>
                <w:color w:val="000000"/>
                <w:sz w:val="16"/>
                <w:szCs w:val="16"/>
              </w:rPr>
              <w:t>50</w:t>
            </w:r>
            <w:r>
              <w:rPr>
                <w:rFonts w:ascii="Calibri" w:hAnsi="Calibri" w:cs="Calibri"/>
                <w:color w:val="000000"/>
                <w:sz w:val="16"/>
                <w:szCs w:val="16"/>
              </w:rPr>
              <w:t>5</w:t>
            </w:r>
            <w:bookmarkStart w:id="0" w:name="_GoBack"/>
            <w:bookmarkEnd w:id="0"/>
            <w:r w:rsidRPr="00ED0433">
              <w:rPr>
                <w:rFonts w:ascii="Calibri" w:hAnsi="Calibri" w:cs="Calibri"/>
                <w:color w:val="000000"/>
                <w:sz w:val="16"/>
                <w:szCs w:val="16"/>
              </w:rPr>
              <w:t xml:space="preserve"> </w:t>
            </w:r>
          </w:p>
        </w:tc>
      </w:tr>
      <w:tr w14:paraId="4DD86290" w14:textId="77777777" w:rsidTr="00220229">
        <w:tblPrEx>
          <w:tblW w:w="8360"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AC448C" w:rsidRPr="00ED0433" w:rsidP="00840612" w14:paraId="5FA7BCAA"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ED0433" w:rsidP="00AC448C" w14:paraId="40FDAEE2"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5F2AE7DF"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0C0E32B4"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17BBCAF5"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AC448C" w:rsidRPr="00ED0433" w:rsidP="00AC448C" w14:paraId="1A65C8E3" w14:textId="1F710AF7">
            <w:pPr>
              <w:widowControl/>
              <w:autoSpaceDE/>
              <w:autoSpaceDN/>
              <w:adjustRightInd/>
              <w:jc w:val="right"/>
              <w:rPr>
                <w:rFonts w:ascii="Calibri" w:hAnsi="Calibri" w:cs="Calibri"/>
                <w:color w:val="000000"/>
                <w:sz w:val="16"/>
                <w:szCs w:val="16"/>
              </w:rPr>
            </w:pPr>
          </w:p>
        </w:tc>
      </w:tr>
      <w:tr w14:paraId="5A0EF1A9" w14:textId="77777777" w:rsidTr="00220229">
        <w:tblPrEx>
          <w:tblW w:w="8360" w:type="dxa"/>
          <w:tblLook w:val="04A0"/>
        </w:tblPrEx>
        <w:trPr>
          <w:trHeight w:val="683"/>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448C" w:rsidRPr="00ED0433" w:rsidP="00840612" w14:paraId="014A0DB3"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Other Costs: Reimbursement to EMTU and EMTU-C service providers</w:t>
            </w:r>
          </w:p>
        </w:tc>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C448C" w:rsidRPr="00ED0433" w:rsidP="00AC448C" w14:paraId="10FC4846"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396D5A68"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90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333216DF"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170" w:type="dxa"/>
            <w:tcBorders>
              <w:top w:val="nil"/>
              <w:left w:val="nil"/>
              <w:bottom w:val="single" w:sz="4" w:space="0" w:color="auto"/>
              <w:right w:val="single" w:sz="4" w:space="0" w:color="auto"/>
            </w:tcBorders>
            <w:shd w:val="clear" w:color="auto" w:fill="BFBFBF" w:themeFill="background1" w:themeFillShade="BF"/>
            <w:noWrap/>
            <w:vAlign w:val="bottom"/>
            <w:hideMark/>
          </w:tcPr>
          <w:p w:rsidR="00AC448C" w:rsidRPr="009D13B5" w:rsidP="00AC448C" w14:paraId="23A424F5" w14:textId="77777777">
            <w:pPr>
              <w:widowControl/>
              <w:autoSpaceDE/>
              <w:autoSpaceDN/>
              <w:adjustRightInd/>
              <w:jc w:val="right"/>
              <w:rPr>
                <w:rFonts w:ascii="Calibri" w:hAnsi="Calibri" w:cs="Calibri"/>
                <w:color w:val="000000"/>
                <w:sz w:val="16"/>
                <w:szCs w:val="16"/>
              </w:rPr>
            </w:pPr>
            <w:r w:rsidRPr="009D13B5">
              <w:rPr>
                <w:rFonts w:ascii="Calibri" w:hAnsi="Calibri" w:cs="Calibri"/>
                <w:color w:val="000000"/>
                <w:sz w:val="16"/>
                <w:szCs w:val="16"/>
              </w:rPr>
              <w:t> </w:t>
            </w:r>
          </w:p>
        </w:tc>
        <w:tc>
          <w:tcPr>
            <w:tcW w:w="1530" w:type="dxa"/>
            <w:tcBorders>
              <w:top w:val="nil"/>
              <w:left w:val="nil"/>
              <w:bottom w:val="single" w:sz="4" w:space="0" w:color="auto"/>
              <w:right w:val="single" w:sz="8" w:space="0" w:color="auto"/>
            </w:tcBorders>
            <w:shd w:val="clear" w:color="auto" w:fill="auto"/>
            <w:noWrap/>
            <w:vAlign w:val="bottom"/>
            <w:hideMark/>
          </w:tcPr>
          <w:p w:rsidR="00AC448C" w:rsidRPr="00ED0433" w:rsidP="00220229" w14:paraId="6B2A8A77" w14:textId="032D1B8A">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w:t>
            </w:r>
            <w:r w:rsidR="00220229">
              <w:rPr>
                <w:rFonts w:ascii="Calibri" w:hAnsi="Calibri" w:cs="Calibri"/>
                <w:color w:val="000000"/>
                <w:sz w:val="16"/>
                <w:szCs w:val="16"/>
              </w:rPr>
              <w:t>123,600</w:t>
            </w:r>
            <w:r w:rsidRPr="00ED0433">
              <w:rPr>
                <w:rFonts w:ascii="Calibri" w:hAnsi="Calibri" w:cs="Calibri"/>
                <w:color w:val="000000"/>
                <w:sz w:val="16"/>
                <w:szCs w:val="16"/>
              </w:rPr>
              <w:t xml:space="preserve"> </w:t>
            </w:r>
          </w:p>
        </w:tc>
      </w:tr>
      <w:tr w14:paraId="3C7837BE" w14:textId="77777777" w:rsidTr="00220229">
        <w:tblPrEx>
          <w:tblW w:w="8360" w:type="dxa"/>
          <w:tblLook w:val="04A0"/>
        </w:tblPrEx>
        <w:trPr>
          <w:trHeight w:val="315"/>
        </w:trPr>
        <w:tc>
          <w:tcPr>
            <w:tcW w:w="2280" w:type="dxa"/>
            <w:tcBorders>
              <w:top w:val="single" w:sz="4" w:space="0" w:color="auto"/>
              <w:left w:val="single" w:sz="8" w:space="0" w:color="auto"/>
              <w:bottom w:val="single" w:sz="8" w:space="0" w:color="auto"/>
              <w:right w:val="single" w:sz="8" w:space="0" w:color="auto"/>
            </w:tcBorders>
            <w:shd w:val="clear" w:color="000000" w:fill="DDEBF7"/>
            <w:noWrap/>
            <w:vAlign w:val="bottom"/>
            <w:hideMark/>
          </w:tcPr>
          <w:p w:rsidR="00AC448C" w:rsidRPr="00ED0433" w:rsidP="00840612" w14:paraId="0A59D91C" w14:textId="77777777">
            <w:pPr>
              <w:widowControl/>
              <w:autoSpaceDE/>
              <w:autoSpaceDN/>
              <w:adjustRightInd/>
              <w:rPr>
                <w:rFonts w:ascii="Calibri" w:hAnsi="Calibri" w:cs="Calibri"/>
                <w:b/>
                <w:bCs/>
                <w:color w:val="000000"/>
                <w:sz w:val="16"/>
                <w:szCs w:val="16"/>
              </w:rPr>
            </w:pPr>
            <w:r w:rsidRPr="00ED0433">
              <w:rPr>
                <w:rFonts w:ascii="Calibri" w:hAnsi="Calibri" w:cs="Calibri"/>
                <w:b/>
                <w:bCs/>
                <w:color w:val="000000"/>
                <w:sz w:val="16"/>
                <w:szCs w:val="16"/>
              </w:rPr>
              <w:t>TOTAL</w:t>
            </w:r>
          </w:p>
        </w:tc>
        <w:tc>
          <w:tcPr>
            <w:tcW w:w="1120" w:type="dxa"/>
            <w:tcBorders>
              <w:top w:val="single" w:sz="4" w:space="0" w:color="auto"/>
              <w:left w:val="nil"/>
              <w:bottom w:val="single" w:sz="8" w:space="0" w:color="auto"/>
              <w:right w:val="single" w:sz="8" w:space="0" w:color="auto"/>
            </w:tcBorders>
            <w:shd w:val="clear" w:color="auto" w:fill="BFBFBF" w:themeFill="background1" w:themeFillShade="BF"/>
            <w:noWrap/>
            <w:vAlign w:val="bottom"/>
            <w:hideMark/>
          </w:tcPr>
          <w:p w:rsidR="00AC448C" w:rsidRPr="00ED0433" w:rsidP="00AC448C" w14:paraId="33EAAC30"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360" w:type="dxa"/>
            <w:tcBorders>
              <w:top w:val="single" w:sz="8" w:space="0" w:color="auto"/>
              <w:left w:val="nil"/>
              <w:bottom w:val="single" w:sz="8" w:space="0" w:color="auto"/>
              <w:right w:val="single" w:sz="8" w:space="0" w:color="auto"/>
            </w:tcBorders>
            <w:shd w:val="clear" w:color="000000" w:fill="DDEBF7"/>
            <w:noWrap/>
            <w:vAlign w:val="bottom"/>
            <w:hideMark/>
          </w:tcPr>
          <w:p w:rsidR="00AC448C" w:rsidRPr="00ED0433" w:rsidP="00AC448C" w14:paraId="4CDC7CF0" w14:textId="4ADF591F">
            <w:pPr>
              <w:widowControl/>
              <w:autoSpaceDE/>
              <w:autoSpaceDN/>
              <w:adjustRightInd/>
              <w:jc w:val="right"/>
              <w:rPr>
                <w:rFonts w:ascii="Calibri" w:hAnsi="Calibri" w:cs="Calibri"/>
                <w:color w:val="000000"/>
                <w:sz w:val="16"/>
                <w:szCs w:val="16"/>
              </w:rPr>
            </w:pPr>
          </w:p>
        </w:tc>
        <w:tc>
          <w:tcPr>
            <w:tcW w:w="90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AC448C" w:rsidRPr="00ED0433" w:rsidP="00AC448C" w14:paraId="41B1D250"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170" w:type="dxa"/>
            <w:tcBorders>
              <w:top w:val="single" w:sz="8" w:space="0" w:color="auto"/>
              <w:left w:val="nil"/>
              <w:bottom w:val="single" w:sz="8" w:space="0" w:color="auto"/>
              <w:right w:val="single" w:sz="8" w:space="0" w:color="auto"/>
            </w:tcBorders>
            <w:shd w:val="clear" w:color="000000" w:fill="DDEBF7"/>
            <w:noWrap/>
            <w:vAlign w:val="bottom"/>
            <w:hideMark/>
          </w:tcPr>
          <w:p w:rsidR="00AC448C" w:rsidRPr="00ED0433" w:rsidP="00AC448C" w14:paraId="5DDE19B5" w14:textId="77777777">
            <w:pPr>
              <w:widowControl/>
              <w:autoSpaceDE/>
              <w:autoSpaceDN/>
              <w:adjustRightInd/>
              <w:jc w:val="right"/>
              <w:rPr>
                <w:rFonts w:ascii="Calibri" w:hAnsi="Calibri" w:cs="Calibri"/>
                <w:color w:val="000000"/>
                <w:sz w:val="16"/>
                <w:szCs w:val="16"/>
              </w:rPr>
            </w:pPr>
            <w:r w:rsidRPr="00ED0433">
              <w:rPr>
                <w:rFonts w:ascii="Calibri" w:hAnsi="Calibri" w:cs="Calibri"/>
                <w:color w:val="000000"/>
                <w:sz w:val="16"/>
                <w:szCs w:val="16"/>
              </w:rPr>
              <w:t> </w:t>
            </w:r>
          </w:p>
        </w:tc>
        <w:tc>
          <w:tcPr>
            <w:tcW w:w="1530" w:type="dxa"/>
            <w:tcBorders>
              <w:top w:val="single" w:sz="8" w:space="0" w:color="auto"/>
              <w:left w:val="nil"/>
              <w:bottom w:val="single" w:sz="8" w:space="0" w:color="auto"/>
              <w:right w:val="single" w:sz="8" w:space="0" w:color="auto"/>
            </w:tcBorders>
            <w:shd w:val="clear" w:color="000000" w:fill="DDEBF7"/>
            <w:noWrap/>
            <w:vAlign w:val="bottom"/>
            <w:hideMark/>
          </w:tcPr>
          <w:p w:rsidR="00AC448C" w:rsidRPr="00ED0433" w:rsidP="00F4779E" w14:paraId="2C8D1C02" w14:textId="2516A88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220229">
              <w:rPr>
                <w:rFonts w:ascii="Calibri" w:hAnsi="Calibri" w:cs="Calibri"/>
                <w:b/>
                <w:bCs/>
                <w:color w:val="000000"/>
                <w:sz w:val="16"/>
                <w:szCs w:val="16"/>
              </w:rPr>
              <w:t>177,</w:t>
            </w:r>
            <w:r>
              <w:rPr>
                <w:rFonts w:ascii="Calibri" w:hAnsi="Calibri" w:cs="Calibri"/>
                <w:b/>
                <w:bCs/>
                <w:color w:val="000000"/>
                <w:sz w:val="16"/>
                <w:szCs w:val="16"/>
              </w:rPr>
              <w:t>366</w:t>
            </w:r>
            <w:r w:rsidRPr="00ED0433">
              <w:rPr>
                <w:rFonts w:ascii="Calibri" w:hAnsi="Calibri" w:cs="Calibri"/>
                <w:b/>
                <w:bCs/>
                <w:color w:val="000000"/>
                <w:sz w:val="16"/>
                <w:szCs w:val="16"/>
              </w:rPr>
              <w:t xml:space="preserve"> </w:t>
            </w:r>
          </w:p>
        </w:tc>
      </w:tr>
    </w:tbl>
    <w:p w:rsidR="00AC448C" w:rsidRPr="00AC448C" w:rsidP="00493868" w14:paraId="312A8515" w14:textId="77777777">
      <w:pPr>
        <w:tabs>
          <w:tab w:val="left" w:pos="540"/>
        </w:tabs>
        <w:ind w:left="540" w:hanging="540"/>
        <w:rPr>
          <w:bCs/>
          <w:sz w:val="24"/>
          <w:szCs w:val="24"/>
        </w:rPr>
      </w:pPr>
    </w:p>
    <w:p w:rsidR="00BF7C47" w:rsidRPr="00BD7237" w:rsidP="00BF7C47" w14:paraId="13209DD8" w14:textId="77777777">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Pr>
          <w:b/>
          <w:sz w:val="24"/>
          <w:szCs w:val="24"/>
        </w:rPr>
        <w:t>Explain the reasons for any program changes or adjustments reported in ROCIS.</w:t>
      </w:r>
    </w:p>
    <w:p w:rsidR="004F26E9" w:rsidP="00493868" w14:paraId="02020257" w14:textId="6945EE69">
      <w:pPr>
        <w:tabs>
          <w:tab w:val="left" w:pos="540"/>
        </w:tabs>
        <w:ind w:left="540" w:hanging="540"/>
        <w:rPr>
          <w:sz w:val="24"/>
          <w:szCs w:val="24"/>
        </w:rPr>
      </w:pPr>
    </w:p>
    <w:p w:rsidR="004C150B" w:rsidP="00493868" w14:paraId="3AD82516" w14:textId="30859A5C">
      <w:pPr>
        <w:tabs>
          <w:tab w:val="left" w:pos="540"/>
        </w:tabs>
        <w:ind w:left="540" w:hanging="540"/>
        <w:rPr>
          <w:sz w:val="24"/>
          <w:szCs w:val="24"/>
        </w:rPr>
      </w:pPr>
      <w:r w:rsidRPr="00A71403">
        <w:rPr>
          <w:sz w:val="24"/>
          <w:szCs w:val="24"/>
        </w:rPr>
        <w:t xml:space="preserve">NMFS expects </w:t>
      </w:r>
      <w:r>
        <w:rPr>
          <w:sz w:val="24"/>
          <w:szCs w:val="24"/>
        </w:rPr>
        <w:t>costs to decrease under this PRA approval</w:t>
      </w:r>
      <w:r w:rsidRPr="00A71403">
        <w:rPr>
          <w:sz w:val="24"/>
          <w:szCs w:val="24"/>
        </w:rPr>
        <w:t xml:space="preserve">, because </w:t>
      </w:r>
      <w:r>
        <w:rPr>
          <w:sz w:val="24"/>
          <w:szCs w:val="24"/>
        </w:rPr>
        <w:t xml:space="preserve">the only federal fishery that allowed for EMTU-C has been revoked. There are currently no </w:t>
      </w:r>
      <w:r>
        <w:rPr>
          <w:sz w:val="24"/>
          <w:szCs w:val="24"/>
        </w:rPr>
        <w:t>federal fisheries for EMTU-C respondents to apply for type-approval.</w:t>
      </w:r>
    </w:p>
    <w:p w:rsidR="004C150B" w:rsidP="00493868" w14:paraId="107F8621" w14:textId="77777777">
      <w:pPr>
        <w:tabs>
          <w:tab w:val="left" w:pos="540"/>
        </w:tabs>
        <w:ind w:left="540" w:hanging="540"/>
        <w:rPr>
          <w:sz w:val="24"/>
          <w:szCs w:val="24"/>
        </w:rPr>
      </w:pPr>
    </w:p>
    <w:tbl>
      <w:tblPr>
        <w:tblW w:w="11115" w:type="dxa"/>
        <w:tblInd w:w="-712" w:type="dxa"/>
        <w:tblLook w:val="04A0"/>
      </w:tblPr>
      <w:tblGrid>
        <w:gridCol w:w="2055"/>
        <w:gridCol w:w="915"/>
        <w:gridCol w:w="1080"/>
        <w:gridCol w:w="990"/>
        <w:gridCol w:w="1080"/>
        <w:gridCol w:w="1080"/>
        <w:gridCol w:w="1170"/>
        <w:gridCol w:w="2745"/>
      </w:tblGrid>
      <w:tr w14:paraId="19B74495" w14:textId="77777777" w:rsidTr="00BF7C47">
        <w:tblPrEx>
          <w:tblW w:w="11115" w:type="dxa"/>
          <w:tblInd w:w="-712" w:type="dxa"/>
          <w:tblLook w:val="04A0"/>
        </w:tblPrEx>
        <w:trPr>
          <w:trHeight w:val="315"/>
        </w:trPr>
        <w:tc>
          <w:tcPr>
            <w:tcW w:w="205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BF7C47" w:rsidRPr="00DF0CE3" w:rsidP="00296DF8" w14:paraId="25927D4F"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BF7C47" w:rsidRPr="00DF0CE3" w:rsidP="00296DF8" w14:paraId="7FDE0DD9"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BF7C47" w:rsidRPr="00DF0CE3" w:rsidP="00296DF8" w14:paraId="04C628FC"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BF7C47" w:rsidRPr="00DF0CE3" w:rsidP="00296DF8" w14:paraId="411EF56F"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Burden Hours</w:t>
            </w:r>
          </w:p>
        </w:tc>
        <w:tc>
          <w:tcPr>
            <w:tcW w:w="274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BF7C47" w:rsidRPr="00DF0CE3" w:rsidP="00296DF8" w14:paraId="5BBA6B67"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0D56189C" w14:textId="77777777" w:rsidTr="00BF7C47">
        <w:tblPrEx>
          <w:tblW w:w="11115" w:type="dxa"/>
          <w:tblInd w:w="-712" w:type="dxa"/>
          <w:tblLook w:val="04A0"/>
        </w:tblPrEx>
        <w:trPr>
          <w:trHeight w:val="690"/>
        </w:trPr>
        <w:tc>
          <w:tcPr>
            <w:tcW w:w="2055" w:type="dxa"/>
            <w:vMerge/>
            <w:tcBorders>
              <w:top w:val="single" w:sz="8" w:space="0" w:color="auto"/>
              <w:left w:val="single" w:sz="8" w:space="0" w:color="auto"/>
              <w:bottom w:val="single" w:sz="8" w:space="0" w:color="000000"/>
              <w:right w:val="single" w:sz="8" w:space="0" w:color="auto"/>
            </w:tcBorders>
            <w:vAlign w:val="center"/>
            <w:hideMark/>
          </w:tcPr>
          <w:p w:rsidR="00BF7C47" w:rsidRPr="00DF0CE3" w:rsidP="00296DF8" w14:paraId="26CECCC4" w14:textId="77777777">
            <w:pPr>
              <w:widowControl/>
              <w:autoSpaceDE/>
              <w:autoSpaceDN/>
              <w:rPr>
                <w:rFonts w:ascii="Calibri" w:hAnsi="Calibri" w:cs="Calibri"/>
                <w:b/>
                <w:bCs/>
                <w:color w:val="000000"/>
                <w:sz w:val="16"/>
                <w:szCs w:val="16"/>
              </w:rPr>
            </w:pPr>
          </w:p>
        </w:tc>
        <w:tc>
          <w:tcPr>
            <w:tcW w:w="915" w:type="dxa"/>
            <w:tcBorders>
              <w:top w:val="nil"/>
              <w:left w:val="nil"/>
              <w:bottom w:val="single" w:sz="8" w:space="0" w:color="auto"/>
              <w:right w:val="dashed" w:sz="8" w:space="0" w:color="auto"/>
            </w:tcBorders>
            <w:shd w:val="clear" w:color="000000" w:fill="FBE4D5"/>
            <w:vAlign w:val="center"/>
            <w:hideMark/>
          </w:tcPr>
          <w:p w:rsidR="00BF7C47" w:rsidRPr="00DF0CE3" w:rsidP="00296DF8" w14:paraId="66923D5D"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BF7C47" w:rsidRPr="00DF0CE3" w:rsidP="00296DF8" w14:paraId="1349018A"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BF7C47" w:rsidRPr="00DF0CE3" w:rsidP="00296DF8" w14:paraId="72CCBC0F"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BF7C47" w:rsidRPr="00DF0CE3" w:rsidP="00296DF8" w14:paraId="33577CBE"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xml:space="preserve">Previous </w:t>
            </w:r>
            <w:r w:rsidRPr="00DF0CE3">
              <w:rPr>
                <w:rFonts w:ascii="Calibri" w:hAnsi="Calibri" w:cs="Calibri"/>
                <w:color w:val="000000"/>
                <w:sz w:val="16"/>
                <w:szCs w:val="16"/>
              </w:rPr>
              <w:t>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BF7C47" w:rsidRPr="00DF0CE3" w:rsidP="00296DF8" w14:paraId="3E595113"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BF7C47" w:rsidRPr="00DF0CE3" w:rsidP="00296DF8" w14:paraId="03882DC2"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 Renewal / Revision</w:t>
            </w:r>
          </w:p>
        </w:tc>
        <w:tc>
          <w:tcPr>
            <w:tcW w:w="2745" w:type="dxa"/>
            <w:vMerge/>
            <w:tcBorders>
              <w:top w:val="single" w:sz="8" w:space="0" w:color="auto"/>
              <w:left w:val="single" w:sz="8" w:space="0" w:color="auto"/>
              <w:bottom w:val="single" w:sz="8" w:space="0" w:color="000000"/>
              <w:right w:val="single" w:sz="8" w:space="0" w:color="auto"/>
            </w:tcBorders>
            <w:vAlign w:val="center"/>
            <w:hideMark/>
          </w:tcPr>
          <w:p w:rsidR="00BF7C47" w:rsidRPr="00DF0CE3" w:rsidP="00296DF8" w14:paraId="1A501584" w14:textId="77777777">
            <w:pPr>
              <w:widowControl/>
              <w:autoSpaceDE/>
              <w:autoSpaceDN/>
              <w:rPr>
                <w:rFonts w:ascii="Calibri" w:hAnsi="Calibri" w:cs="Calibri"/>
                <w:b/>
                <w:bCs/>
                <w:color w:val="000000"/>
                <w:sz w:val="16"/>
                <w:szCs w:val="16"/>
              </w:rPr>
            </w:pPr>
          </w:p>
        </w:tc>
      </w:tr>
      <w:tr w14:paraId="39C81A58" w14:textId="77777777" w:rsidTr="00025239">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3AFAE03B" w14:textId="7451F127">
            <w:pPr>
              <w:widowControl/>
              <w:autoSpaceDE/>
              <w:autoSpaceDN/>
              <w:rPr>
                <w:rFonts w:ascii="Arial" w:hAnsi="Arial" w:cs="Arial"/>
                <w:color w:val="000000"/>
                <w:sz w:val="16"/>
                <w:szCs w:val="16"/>
              </w:rPr>
            </w:pPr>
            <w:r w:rsidRPr="00BD2E41">
              <w:rPr>
                <w:rFonts w:ascii="Arial" w:hAnsi="Arial" w:cs="Arial"/>
                <w:color w:val="000000"/>
                <w:sz w:val="16"/>
                <w:szCs w:val="16"/>
              </w:rPr>
              <w:t>EMTU-C Application</w:t>
            </w:r>
          </w:p>
        </w:tc>
        <w:tc>
          <w:tcPr>
            <w:tcW w:w="915" w:type="dxa"/>
            <w:tcBorders>
              <w:top w:val="nil"/>
              <w:left w:val="nil"/>
              <w:bottom w:val="dotted" w:sz="4" w:space="0" w:color="auto"/>
              <w:right w:val="dashed" w:sz="8" w:space="0" w:color="auto"/>
            </w:tcBorders>
            <w:shd w:val="clear" w:color="auto" w:fill="auto"/>
            <w:vAlign w:val="center"/>
            <w:hideMark/>
          </w:tcPr>
          <w:p w:rsidR="00C2107D" w:rsidRPr="00DF0CE3" w:rsidP="00296DF8" w14:paraId="4578FCD1" w14:textId="7389C18F">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4D87BF68" w14:textId="496B47C5">
            <w:pPr>
              <w:widowControl/>
              <w:autoSpaceDE/>
              <w:autoSpaceDN/>
              <w:jc w:val="center"/>
              <w:rPr>
                <w:rFonts w:ascii="Calibri" w:hAnsi="Calibri" w:cs="Calibri"/>
                <w:color w:val="000000"/>
                <w:sz w:val="16"/>
                <w:szCs w:val="16"/>
              </w:rPr>
            </w:pPr>
            <w:r>
              <w:rPr>
                <w:rFonts w:ascii="Calibri" w:hAnsi="Calibri" w:cs="Calibri"/>
                <w:color w:val="000000"/>
                <w:sz w:val="16"/>
                <w:szCs w:val="16"/>
              </w:rPr>
              <w:t>3</w:t>
            </w:r>
            <w:r w:rsidRPr="00DF0CE3">
              <w:rPr>
                <w:rFonts w:ascii="Calibri" w:hAnsi="Calibri" w:cs="Calibri"/>
                <w:color w:val="000000"/>
                <w:sz w:val="16"/>
                <w:szCs w:val="16"/>
              </w:rPr>
              <w:t> </w:t>
            </w:r>
          </w:p>
        </w:tc>
        <w:tc>
          <w:tcPr>
            <w:tcW w:w="990" w:type="dxa"/>
            <w:tcBorders>
              <w:top w:val="nil"/>
              <w:left w:val="nil"/>
              <w:bottom w:val="dotted" w:sz="4" w:space="0" w:color="auto"/>
              <w:right w:val="dashed" w:sz="8" w:space="0" w:color="auto"/>
            </w:tcBorders>
            <w:shd w:val="clear" w:color="auto" w:fill="auto"/>
            <w:vAlign w:val="center"/>
            <w:hideMark/>
          </w:tcPr>
          <w:p w:rsidR="00C2107D" w:rsidRPr="00DF0CE3" w:rsidP="00296DF8" w14:paraId="6BC6DEAE" w14:textId="7767422C">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4759BA9D" w14:textId="1002509E">
            <w:pPr>
              <w:widowControl/>
              <w:autoSpaceDE/>
              <w:autoSpaceDN/>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5858E72F" w14:textId="6233869F">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65A9E138" w14:textId="0063967F">
            <w:pPr>
              <w:widowControl/>
              <w:autoSpaceDE/>
              <w:autoSpaceDN/>
              <w:jc w:val="center"/>
              <w:rPr>
                <w:rFonts w:ascii="Calibri" w:hAnsi="Calibri" w:cs="Calibri"/>
                <w:color w:val="000000"/>
                <w:sz w:val="16"/>
                <w:szCs w:val="16"/>
              </w:rPr>
            </w:pPr>
            <w:r>
              <w:rPr>
                <w:rFonts w:ascii="Calibri" w:hAnsi="Calibri" w:cs="Calibri"/>
                <w:color w:val="000000"/>
                <w:sz w:val="16"/>
                <w:szCs w:val="16"/>
              </w:rPr>
              <w:t>240</w:t>
            </w:r>
          </w:p>
        </w:tc>
        <w:tc>
          <w:tcPr>
            <w:tcW w:w="2745" w:type="dxa"/>
            <w:vMerge w:val="restart"/>
            <w:tcBorders>
              <w:top w:val="nil"/>
              <w:left w:val="nil"/>
              <w:right w:val="single" w:sz="8" w:space="0" w:color="auto"/>
            </w:tcBorders>
            <w:shd w:val="clear" w:color="auto" w:fill="auto"/>
            <w:vAlign w:val="center"/>
            <w:hideMark/>
          </w:tcPr>
          <w:p w:rsidR="00C2107D" w:rsidRPr="00C2107D" w:rsidP="00C2107D" w14:paraId="413217CE" w14:textId="1F69E4BD">
            <w:pPr>
              <w:widowControl/>
              <w:autoSpaceDE/>
              <w:autoSpaceDN/>
              <w:rPr>
                <w:rFonts w:ascii="Calibri" w:hAnsi="Calibri" w:cs="Calibri"/>
                <w:color w:val="000000"/>
                <w:sz w:val="16"/>
                <w:szCs w:val="16"/>
              </w:rPr>
            </w:pPr>
            <w:r w:rsidRPr="00C2107D">
              <w:rPr>
                <w:sz w:val="16"/>
                <w:szCs w:val="16"/>
              </w:rPr>
              <w:t>There are currently no federal fisheries for EMTU-C respondents to apply for type-approval.</w:t>
            </w:r>
          </w:p>
        </w:tc>
      </w:tr>
      <w:tr w14:paraId="4717BE76" w14:textId="77777777" w:rsidTr="00025239">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4CA77A02" w14:textId="0643D525">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Changes to Type-Approvals</w:t>
            </w:r>
          </w:p>
        </w:tc>
        <w:tc>
          <w:tcPr>
            <w:tcW w:w="915" w:type="dxa"/>
            <w:tcBorders>
              <w:top w:val="nil"/>
              <w:left w:val="nil"/>
              <w:bottom w:val="dotted" w:sz="4" w:space="0" w:color="auto"/>
              <w:right w:val="dashed" w:sz="8" w:space="0" w:color="auto"/>
            </w:tcBorders>
            <w:shd w:val="clear" w:color="auto" w:fill="auto"/>
            <w:vAlign w:val="center"/>
            <w:hideMark/>
          </w:tcPr>
          <w:p w:rsidR="00C2107D" w:rsidRPr="00DF0CE3" w:rsidP="00296DF8" w14:paraId="500088F9" w14:textId="42E78571">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3F93A807" w14:textId="266ADE7A">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2</w:t>
            </w:r>
          </w:p>
        </w:tc>
        <w:tc>
          <w:tcPr>
            <w:tcW w:w="990" w:type="dxa"/>
            <w:tcBorders>
              <w:top w:val="nil"/>
              <w:left w:val="nil"/>
              <w:bottom w:val="dotted" w:sz="4" w:space="0" w:color="auto"/>
              <w:right w:val="dashed" w:sz="8" w:space="0" w:color="auto"/>
            </w:tcBorders>
            <w:shd w:val="clear" w:color="auto" w:fill="auto"/>
            <w:vAlign w:val="center"/>
            <w:hideMark/>
          </w:tcPr>
          <w:p w:rsidR="00C2107D" w:rsidRPr="00DF0CE3" w:rsidP="00296DF8" w14:paraId="1EA1D9C7" w14:textId="245009F4">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422C7AD7" w14:textId="751E2FD1">
            <w:pPr>
              <w:widowControl/>
              <w:autoSpaceDE/>
              <w:autoSpaceDN/>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3F7151E3" w14:textId="70070F7E">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795F4BC0" w14:textId="7CA41A07">
            <w:pPr>
              <w:widowControl/>
              <w:autoSpaceDE/>
              <w:autoSpaceDN/>
              <w:jc w:val="center"/>
              <w:rPr>
                <w:rFonts w:ascii="Calibri" w:hAnsi="Calibri" w:cs="Calibri"/>
                <w:color w:val="000000"/>
                <w:sz w:val="16"/>
                <w:szCs w:val="16"/>
              </w:rPr>
            </w:pPr>
            <w:r>
              <w:rPr>
                <w:rFonts w:ascii="Calibri" w:hAnsi="Calibri" w:cs="Calibri"/>
                <w:color w:val="000000"/>
                <w:sz w:val="16"/>
                <w:szCs w:val="16"/>
              </w:rPr>
              <w:t>16</w:t>
            </w:r>
          </w:p>
        </w:tc>
        <w:tc>
          <w:tcPr>
            <w:tcW w:w="2745" w:type="dxa"/>
            <w:vMerge/>
            <w:tcBorders>
              <w:left w:val="nil"/>
              <w:right w:val="single" w:sz="8" w:space="0" w:color="auto"/>
            </w:tcBorders>
            <w:shd w:val="clear" w:color="auto" w:fill="auto"/>
            <w:vAlign w:val="center"/>
            <w:hideMark/>
          </w:tcPr>
          <w:p w:rsidR="00C2107D" w:rsidRPr="00DF0CE3" w:rsidP="00296DF8" w14:paraId="57EA003B" w14:textId="05F94C99">
            <w:pPr>
              <w:rPr>
                <w:rFonts w:ascii="Calibri" w:hAnsi="Calibri" w:cs="Calibri"/>
                <w:color w:val="000000"/>
                <w:sz w:val="16"/>
                <w:szCs w:val="16"/>
              </w:rPr>
            </w:pPr>
          </w:p>
        </w:tc>
      </w:tr>
      <w:tr w14:paraId="40A4C7AF" w14:textId="77777777" w:rsidTr="00025239">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74F28556" w14:textId="596C52CE">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Revocation Response</w:t>
            </w:r>
          </w:p>
        </w:tc>
        <w:tc>
          <w:tcPr>
            <w:tcW w:w="915" w:type="dxa"/>
            <w:tcBorders>
              <w:top w:val="nil"/>
              <w:left w:val="nil"/>
              <w:bottom w:val="dotted" w:sz="4" w:space="0" w:color="auto"/>
              <w:right w:val="dashed" w:sz="8" w:space="0" w:color="auto"/>
            </w:tcBorders>
            <w:shd w:val="clear" w:color="auto" w:fill="auto"/>
            <w:vAlign w:val="center"/>
            <w:hideMark/>
          </w:tcPr>
          <w:p w:rsidR="00C2107D" w:rsidRPr="00DF0CE3" w:rsidP="00296DF8" w14:paraId="16F23798" w14:textId="1F0A3786">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654B85BA" w14:textId="74A52C61">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hideMark/>
          </w:tcPr>
          <w:p w:rsidR="00C2107D" w:rsidRPr="00DF0CE3" w:rsidP="00296DF8" w14:paraId="1D5623AA" w14:textId="318E3B93">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0CA2E43D" w14:textId="4D4CA9FD">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601AA378" w14:textId="4647B27D">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78FE0BFB" w14:textId="1B1382C2">
            <w:pPr>
              <w:widowControl/>
              <w:autoSpaceDE/>
              <w:autoSpaceDN/>
              <w:jc w:val="center"/>
              <w:rPr>
                <w:rFonts w:ascii="Calibri" w:hAnsi="Calibri" w:cs="Calibri"/>
                <w:color w:val="000000"/>
                <w:sz w:val="16"/>
                <w:szCs w:val="16"/>
              </w:rPr>
            </w:pPr>
            <w:r>
              <w:rPr>
                <w:rFonts w:ascii="Calibri" w:hAnsi="Calibri" w:cs="Calibri"/>
                <w:color w:val="000000"/>
                <w:sz w:val="16"/>
                <w:szCs w:val="16"/>
              </w:rPr>
              <w:t>24</w:t>
            </w:r>
          </w:p>
        </w:tc>
        <w:tc>
          <w:tcPr>
            <w:tcW w:w="2745" w:type="dxa"/>
            <w:vMerge/>
            <w:tcBorders>
              <w:left w:val="nil"/>
              <w:right w:val="single" w:sz="8" w:space="0" w:color="auto"/>
            </w:tcBorders>
            <w:shd w:val="clear" w:color="auto" w:fill="auto"/>
            <w:vAlign w:val="center"/>
            <w:hideMark/>
          </w:tcPr>
          <w:p w:rsidR="00C2107D" w:rsidRPr="00DF0CE3" w:rsidP="00296DF8" w14:paraId="451E90C6" w14:textId="1A247785">
            <w:pPr>
              <w:rPr>
                <w:rFonts w:ascii="Calibri" w:hAnsi="Calibri" w:cs="Calibri"/>
                <w:color w:val="000000"/>
                <w:sz w:val="16"/>
                <w:szCs w:val="16"/>
              </w:rPr>
            </w:pPr>
          </w:p>
        </w:tc>
      </w:tr>
      <w:tr w14:paraId="2EED24E6" w14:textId="77777777" w:rsidTr="00025239">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0C8D508E" w14:textId="6584251B">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Maintenance / Diagnostic &amp; Troubleshooting Support</w:t>
            </w:r>
          </w:p>
        </w:tc>
        <w:tc>
          <w:tcPr>
            <w:tcW w:w="915" w:type="dxa"/>
            <w:tcBorders>
              <w:top w:val="nil"/>
              <w:left w:val="nil"/>
              <w:bottom w:val="dotted" w:sz="4" w:space="0" w:color="auto"/>
              <w:right w:val="dashed" w:sz="8" w:space="0" w:color="auto"/>
            </w:tcBorders>
            <w:shd w:val="clear" w:color="auto" w:fill="auto"/>
            <w:vAlign w:val="center"/>
            <w:hideMark/>
          </w:tcPr>
          <w:p w:rsidR="00C2107D" w:rsidRPr="00DF0CE3" w:rsidP="00296DF8" w14:paraId="2458121B" w14:textId="1D051CBF">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61BB6A53" w14:textId="633C791E">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3</w:t>
            </w:r>
          </w:p>
        </w:tc>
        <w:tc>
          <w:tcPr>
            <w:tcW w:w="990" w:type="dxa"/>
            <w:tcBorders>
              <w:top w:val="nil"/>
              <w:left w:val="nil"/>
              <w:bottom w:val="dotted" w:sz="4" w:space="0" w:color="auto"/>
              <w:right w:val="dashed" w:sz="8" w:space="0" w:color="auto"/>
            </w:tcBorders>
            <w:shd w:val="clear" w:color="auto" w:fill="auto"/>
            <w:vAlign w:val="center"/>
            <w:hideMark/>
          </w:tcPr>
          <w:p w:rsidR="00C2107D" w:rsidRPr="00DF0CE3" w:rsidP="00296DF8" w14:paraId="6DEAEE28" w14:textId="482E969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080" w:type="dxa"/>
            <w:tcBorders>
              <w:top w:val="nil"/>
              <w:left w:val="nil"/>
              <w:bottom w:val="dotted" w:sz="4" w:space="0" w:color="auto"/>
              <w:right w:val="single" w:sz="8" w:space="0" w:color="auto"/>
            </w:tcBorders>
            <w:shd w:val="clear" w:color="auto" w:fill="auto"/>
            <w:vAlign w:val="center"/>
            <w:hideMark/>
          </w:tcPr>
          <w:p w:rsidR="00C2107D" w:rsidRPr="00DF0CE3" w:rsidP="00296DF8" w14:paraId="68BF65F8" w14:textId="63934E6E">
            <w:pPr>
              <w:widowControl/>
              <w:autoSpaceDE/>
              <w:autoSpaceDN/>
              <w:jc w:val="center"/>
              <w:rPr>
                <w:rFonts w:ascii="Calibri" w:hAnsi="Calibri" w:cs="Calibri"/>
                <w:color w:val="000000"/>
                <w:sz w:val="16"/>
                <w:szCs w:val="16"/>
              </w:rPr>
            </w:pPr>
            <w:r>
              <w:rPr>
                <w:rFonts w:ascii="Calibri" w:hAnsi="Calibri" w:cs="Calibri"/>
                <w:color w:val="000000"/>
                <w:sz w:val="16"/>
                <w:szCs w:val="16"/>
              </w:rPr>
              <w:t>3</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11B7DB99" w14:textId="70AA9206">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557043C3" w14:textId="50C5E66E">
            <w:pPr>
              <w:widowControl/>
              <w:autoSpaceDE/>
              <w:autoSpaceDN/>
              <w:jc w:val="center"/>
              <w:rPr>
                <w:rFonts w:ascii="Calibri" w:hAnsi="Calibri" w:cs="Calibri"/>
                <w:color w:val="000000"/>
                <w:sz w:val="16"/>
                <w:szCs w:val="16"/>
              </w:rPr>
            </w:pPr>
            <w:r>
              <w:rPr>
                <w:rFonts w:ascii="Calibri" w:hAnsi="Calibri" w:cs="Calibri"/>
                <w:color w:val="000000"/>
                <w:sz w:val="16"/>
                <w:szCs w:val="16"/>
              </w:rPr>
              <w:t>498</w:t>
            </w:r>
          </w:p>
        </w:tc>
        <w:tc>
          <w:tcPr>
            <w:tcW w:w="2745" w:type="dxa"/>
            <w:vMerge/>
            <w:tcBorders>
              <w:left w:val="nil"/>
              <w:bottom w:val="dotted" w:sz="4" w:space="0" w:color="auto"/>
              <w:right w:val="single" w:sz="8" w:space="0" w:color="auto"/>
            </w:tcBorders>
            <w:shd w:val="clear" w:color="auto" w:fill="auto"/>
            <w:vAlign w:val="center"/>
            <w:hideMark/>
          </w:tcPr>
          <w:p w:rsidR="00C2107D" w:rsidRPr="00DF0CE3" w:rsidP="00296DF8" w14:paraId="4EE47F1C" w14:textId="33E8DBC7">
            <w:pPr>
              <w:widowControl/>
              <w:autoSpaceDE/>
              <w:autoSpaceDN/>
              <w:rPr>
                <w:rFonts w:ascii="Calibri" w:hAnsi="Calibri" w:cs="Calibri"/>
                <w:color w:val="000000"/>
                <w:sz w:val="16"/>
                <w:szCs w:val="16"/>
              </w:rPr>
            </w:pPr>
          </w:p>
        </w:tc>
      </w:tr>
      <w:tr w14:paraId="6A900693" w14:textId="77777777" w:rsidTr="00BF7C47">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tcPr>
          <w:p w:rsidR="00F75630" w:rsidRPr="00BD2E41" w:rsidP="00F75630" w14:paraId="6D84DA9C" w14:textId="7161760C">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Application</w:t>
            </w:r>
          </w:p>
        </w:tc>
        <w:tc>
          <w:tcPr>
            <w:tcW w:w="915" w:type="dxa"/>
            <w:tcBorders>
              <w:top w:val="nil"/>
              <w:left w:val="nil"/>
              <w:bottom w:val="dotted" w:sz="4" w:space="0" w:color="auto"/>
              <w:right w:val="dashed" w:sz="8" w:space="0" w:color="auto"/>
            </w:tcBorders>
            <w:shd w:val="clear" w:color="auto" w:fill="auto"/>
            <w:vAlign w:val="center"/>
          </w:tcPr>
          <w:p w:rsidR="00F75630" w:rsidRPr="00DF0CE3" w:rsidP="00F75630" w14:paraId="1CC396D9" w14:textId="3665B44F">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167EC632" w14:textId="33B577AF">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tcPr>
          <w:p w:rsidR="00F75630" w:rsidRPr="00DF0CE3" w:rsidP="00F75630" w14:paraId="18862AF5" w14:textId="715E71B3">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6E2AB4B8" w14:textId="54443846">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dashed" w:sz="8" w:space="0" w:color="auto"/>
            </w:tcBorders>
            <w:shd w:val="clear" w:color="auto" w:fill="auto"/>
            <w:vAlign w:val="center"/>
          </w:tcPr>
          <w:p w:rsidR="00F75630" w:rsidRPr="00DF0CE3" w:rsidP="00F75630" w14:paraId="7763EE20" w14:textId="72798A83">
            <w:pPr>
              <w:widowControl/>
              <w:autoSpaceDE/>
              <w:autoSpaceDN/>
              <w:jc w:val="center"/>
              <w:rPr>
                <w:rFonts w:ascii="Calibri" w:hAnsi="Calibri" w:cs="Calibri"/>
                <w:color w:val="000000"/>
                <w:sz w:val="16"/>
                <w:szCs w:val="16"/>
              </w:rPr>
            </w:pPr>
            <w:r>
              <w:rPr>
                <w:rFonts w:ascii="Calibri" w:hAnsi="Calibri" w:cs="Calibri"/>
                <w:color w:val="000000"/>
                <w:sz w:val="16"/>
                <w:szCs w:val="16"/>
              </w:rPr>
              <w:t>80</w:t>
            </w:r>
          </w:p>
        </w:tc>
        <w:tc>
          <w:tcPr>
            <w:tcW w:w="1170" w:type="dxa"/>
            <w:tcBorders>
              <w:top w:val="nil"/>
              <w:left w:val="nil"/>
              <w:bottom w:val="dotted" w:sz="4" w:space="0" w:color="auto"/>
              <w:right w:val="single" w:sz="8" w:space="0" w:color="auto"/>
            </w:tcBorders>
            <w:shd w:val="clear" w:color="auto" w:fill="auto"/>
            <w:vAlign w:val="center"/>
          </w:tcPr>
          <w:p w:rsidR="00F75630" w:rsidRPr="00DF0CE3" w:rsidP="00F75630" w14:paraId="4FB3486C" w14:textId="11BC75DC">
            <w:pPr>
              <w:widowControl/>
              <w:autoSpaceDE/>
              <w:autoSpaceDN/>
              <w:jc w:val="center"/>
              <w:rPr>
                <w:rFonts w:ascii="Calibri" w:hAnsi="Calibri" w:cs="Calibri"/>
                <w:color w:val="000000"/>
                <w:sz w:val="16"/>
                <w:szCs w:val="16"/>
              </w:rPr>
            </w:pPr>
            <w:r>
              <w:rPr>
                <w:rFonts w:ascii="Calibri" w:hAnsi="Calibri" w:cs="Calibri"/>
                <w:color w:val="000000"/>
                <w:sz w:val="16"/>
                <w:szCs w:val="16"/>
              </w:rPr>
              <w:t>80</w:t>
            </w:r>
          </w:p>
        </w:tc>
        <w:tc>
          <w:tcPr>
            <w:tcW w:w="2745" w:type="dxa"/>
            <w:tcBorders>
              <w:top w:val="nil"/>
              <w:left w:val="nil"/>
              <w:bottom w:val="dotted" w:sz="4" w:space="0" w:color="auto"/>
              <w:right w:val="single" w:sz="8" w:space="0" w:color="auto"/>
            </w:tcBorders>
            <w:shd w:val="clear" w:color="auto" w:fill="auto"/>
            <w:vAlign w:val="center"/>
          </w:tcPr>
          <w:p w:rsidR="00F75630" w:rsidRPr="00DF0CE3" w:rsidP="00F75630" w14:paraId="2BEE2862" w14:textId="77777777">
            <w:pPr>
              <w:widowControl/>
              <w:autoSpaceDE/>
              <w:autoSpaceDN/>
              <w:rPr>
                <w:rFonts w:ascii="Calibri" w:hAnsi="Calibri" w:cs="Calibri"/>
                <w:color w:val="000000"/>
                <w:sz w:val="16"/>
                <w:szCs w:val="16"/>
              </w:rPr>
            </w:pPr>
          </w:p>
        </w:tc>
      </w:tr>
      <w:tr w14:paraId="6EEE1FEA" w14:textId="77777777" w:rsidTr="00BF7C47">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tcPr>
          <w:p w:rsidR="00F75630" w:rsidRPr="00BD2E41" w:rsidP="00F75630" w14:paraId="3259207A" w14:textId="74755CC3">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Changes to Type-Approvals</w:t>
            </w:r>
          </w:p>
        </w:tc>
        <w:tc>
          <w:tcPr>
            <w:tcW w:w="915" w:type="dxa"/>
            <w:tcBorders>
              <w:top w:val="nil"/>
              <w:left w:val="nil"/>
              <w:bottom w:val="dotted" w:sz="4" w:space="0" w:color="auto"/>
              <w:right w:val="dashed" w:sz="8" w:space="0" w:color="auto"/>
            </w:tcBorders>
            <w:shd w:val="clear" w:color="auto" w:fill="auto"/>
            <w:vAlign w:val="center"/>
          </w:tcPr>
          <w:p w:rsidR="00F75630" w:rsidRPr="00DF0CE3" w:rsidP="00F75630" w14:paraId="203FB174" w14:textId="52385F9F">
            <w:pPr>
              <w:widowControl/>
              <w:autoSpaceDE/>
              <w:autoSpaceDN/>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46876D68" w14:textId="59C280A8">
            <w:pPr>
              <w:widowControl/>
              <w:autoSpaceDE/>
              <w:autoSpaceDN/>
              <w:jc w:val="center"/>
              <w:rPr>
                <w:rFonts w:ascii="Calibri" w:hAnsi="Calibri" w:cs="Calibri"/>
                <w:color w:val="000000"/>
                <w:sz w:val="16"/>
                <w:szCs w:val="16"/>
              </w:rPr>
            </w:pPr>
            <w:r>
              <w:rPr>
                <w:rFonts w:ascii="Calibri" w:hAnsi="Calibri" w:cs="Calibri"/>
                <w:color w:val="000000"/>
                <w:sz w:val="16"/>
                <w:szCs w:val="16"/>
              </w:rPr>
              <w:t>2</w:t>
            </w:r>
          </w:p>
        </w:tc>
        <w:tc>
          <w:tcPr>
            <w:tcW w:w="990" w:type="dxa"/>
            <w:tcBorders>
              <w:top w:val="nil"/>
              <w:left w:val="nil"/>
              <w:bottom w:val="dotted" w:sz="4" w:space="0" w:color="auto"/>
              <w:right w:val="dashed" w:sz="8" w:space="0" w:color="auto"/>
            </w:tcBorders>
            <w:shd w:val="clear" w:color="auto" w:fill="auto"/>
            <w:vAlign w:val="center"/>
          </w:tcPr>
          <w:p w:rsidR="00F75630" w:rsidRPr="00DF0CE3" w:rsidP="00F75630" w14:paraId="547D0672" w14:textId="31B149C7">
            <w:pPr>
              <w:widowControl/>
              <w:autoSpaceDE/>
              <w:autoSpaceDN/>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5B6D312F" w14:textId="4898B2F3">
            <w:pPr>
              <w:widowControl/>
              <w:autoSpaceDE/>
              <w:autoSpaceDN/>
              <w:jc w:val="center"/>
              <w:rPr>
                <w:rFonts w:ascii="Calibri" w:hAnsi="Calibri" w:cs="Calibri"/>
                <w:color w:val="000000"/>
                <w:sz w:val="16"/>
                <w:szCs w:val="16"/>
              </w:rPr>
            </w:pPr>
            <w:r>
              <w:rPr>
                <w:rFonts w:ascii="Calibri" w:hAnsi="Calibri" w:cs="Calibri"/>
                <w:color w:val="000000"/>
                <w:sz w:val="16"/>
                <w:szCs w:val="16"/>
              </w:rPr>
              <w:t>2</w:t>
            </w:r>
          </w:p>
        </w:tc>
        <w:tc>
          <w:tcPr>
            <w:tcW w:w="1080" w:type="dxa"/>
            <w:tcBorders>
              <w:top w:val="nil"/>
              <w:left w:val="nil"/>
              <w:bottom w:val="dotted" w:sz="4" w:space="0" w:color="auto"/>
              <w:right w:val="dashed" w:sz="8" w:space="0" w:color="auto"/>
            </w:tcBorders>
            <w:shd w:val="clear" w:color="auto" w:fill="auto"/>
            <w:vAlign w:val="center"/>
          </w:tcPr>
          <w:p w:rsidR="00F75630" w:rsidRPr="00DF0CE3" w:rsidP="00F75630" w14:paraId="0704B5E3" w14:textId="3BC3B99A">
            <w:pPr>
              <w:widowControl/>
              <w:autoSpaceDE/>
              <w:autoSpaceDN/>
              <w:jc w:val="center"/>
              <w:rPr>
                <w:rFonts w:ascii="Calibri" w:hAnsi="Calibri" w:cs="Calibri"/>
                <w:color w:val="000000"/>
                <w:sz w:val="16"/>
                <w:szCs w:val="16"/>
              </w:rPr>
            </w:pPr>
            <w:r>
              <w:rPr>
                <w:rFonts w:ascii="Calibri" w:hAnsi="Calibri" w:cs="Calibri"/>
                <w:color w:val="000000"/>
                <w:sz w:val="16"/>
                <w:szCs w:val="16"/>
              </w:rPr>
              <w:t>48</w:t>
            </w:r>
          </w:p>
        </w:tc>
        <w:tc>
          <w:tcPr>
            <w:tcW w:w="1170" w:type="dxa"/>
            <w:tcBorders>
              <w:top w:val="nil"/>
              <w:left w:val="nil"/>
              <w:bottom w:val="dotted" w:sz="4" w:space="0" w:color="auto"/>
              <w:right w:val="single" w:sz="8" w:space="0" w:color="auto"/>
            </w:tcBorders>
            <w:shd w:val="clear" w:color="auto" w:fill="auto"/>
            <w:vAlign w:val="center"/>
          </w:tcPr>
          <w:p w:rsidR="00F75630" w:rsidRPr="00DF0CE3" w:rsidP="00F75630" w14:paraId="5AC288D3" w14:textId="66622B30">
            <w:pPr>
              <w:widowControl/>
              <w:autoSpaceDE/>
              <w:autoSpaceDN/>
              <w:jc w:val="center"/>
              <w:rPr>
                <w:rFonts w:ascii="Calibri" w:hAnsi="Calibri" w:cs="Calibri"/>
                <w:color w:val="000000"/>
                <w:sz w:val="16"/>
                <w:szCs w:val="16"/>
              </w:rPr>
            </w:pPr>
            <w:r>
              <w:rPr>
                <w:rFonts w:ascii="Calibri" w:hAnsi="Calibri" w:cs="Calibri"/>
                <w:color w:val="000000"/>
                <w:sz w:val="16"/>
                <w:szCs w:val="16"/>
              </w:rPr>
              <w:t>48</w:t>
            </w:r>
          </w:p>
        </w:tc>
        <w:tc>
          <w:tcPr>
            <w:tcW w:w="2745" w:type="dxa"/>
            <w:tcBorders>
              <w:top w:val="nil"/>
              <w:left w:val="nil"/>
              <w:bottom w:val="dotted" w:sz="4" w:space="0" w:color="auto"/>
              <w:right w:val="single" w:sz="8" w:space="0" w:color="auto"/>
            </w:tcBorders>
            <w:shd w:val="clear" w:color="auto" w:fill="auto"/>
            <w:vAlign w:val="center"/>
          </w:tcPr>
          <w:p w:rsidR="00F75630" w:rsidRPr="00DF0CE3" w:rsidP="00F75630" w14:paraId="7407EBCD" w14:textId="77777777">
            <w:pPr>
              <w:widowControl/>
              <w:autoSpaceDE/>
              <w:autoSpaceDN/>
              <w:rPr>
                <w:rFonts w:ascii="Calibri" w:hAnsi="Calibri" w:cs="Calibri"/>
                <w:color w:val="000000"/>
                <w:sz w:val="16"/>
                <w:szCs w:val="16"/>
              </w:rPr>
            </w:pPr>
          </w:p>
        </w:tc>
      </w:tr>
      <w:tr w14:paraId="541CE288" w14:textId="77777777" w:rsidTr="00BF7C47">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tcPr>
          <w:p w:rsidR="00F75630" w:rsidRPr="00BD2E41" w:rsidP="00F75630" w14:paraId="404B4B5E" w14:textId="13EE6B9C">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Revocation Response</w:t>
            </w:r>
          </w:p>
        </w:tc>
        <w:tc>
          <w:tcPr>
            <w:tcW w:w="915" w:type="dxa"/>
            <w:tcBorders>
              <w:top w:val="nil"/>
              <w:left w:val="nil"/>
              <w:bottom w:val="dotted" w:sz="4" w:space="0" w:color="auto"/>
              <w:right w:val="dashed" w:sz="8" w:space="0" w:color="auto"/>
            </w:tcBorders>
            <w:shd w:val="clear" w:color="auto" w:fill="auto"/>
            <w:vAlign w:val="center"/>
          </w:tcPr>
          <w:p w:rsidR="00F75630" w:rsidRPr="00DF0CE3" w:rsidP="00F75630" w14:paraId="23973CA0" w14:textId="6FFDB638">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7BFD9A0B" w14:textId="684758EF">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990" w:type="dxa"/>
            <w:tcBorders>
              <w:top w:val="nil"/>
              <w:left w:val="nil"/>
              <w:bottom w:val="dotted" w:sz="4" w:space="0" w:color="auto"/>
              <w:right w:val="dashed" w:sz="8" w:space="0" w:color="auto"/>
            </w:tcBorders>
            <w:shd w:val="clear" w:color="auto" w:fill="auto"/>
            <w:vAlign w:val="center"/>
          </w:tcPr>
          <w:p w:rsidR="00F75630" w:rsidRPr="00DF0CE3" w:rsidP="00F75630" w14:paraId="4B0B829E" w14:textId="643C8870">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139ED386" w14:textId="278A5B6B">
            <w:pPr>
              <w:widowControl/>
              <w:autoSpaceDE/>
              <w:autoSpaceDN/>
              <w:jc w:val="center"/>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dotted" w:sz="4" w:space="0" w:color="auto"/>
              <w:right w:val="dashed" w:sz="8" w:space="0" w:color="auto"/>
            </w:tcBorders>
            <w:shd w:val="clear" w:color="auto" w:fill="auto"/>
            <w:vAlign w:val="center"/>
          </w:tcPr>
          <w:p w:rsidR="00F75630" w:rsidRPr="00DF0CE3" w:rsidP="00F75630" w14:paraId="4F257347" w14:textId="5EB42614">
            <w:pPr>
              <w:widowControl/>
              <w:autoSpaceDE/>
              <w:autoSpaceDN/>
              <w:jc w:val="center"/>
              <w:rPr>
                <w:rFonts w:ascii="Calibri" w:hAnsi="Calibri" w:cs="Calibri"/>
                <w:color w:val="000000"/>
                <w:sz w:val="16"/>
                <w:szCs w:val="16"/>
              </w:rPr>
            </w:pPr>
            <w:r>
              <w:rPr>
                <w:rFonts w:ascii="Calibri" w:hAnsi="Calibri" w:cs="Calibri"/>
                <w:color w:val="000000"/>
                <w:sz w:val="16"/>
                <w:szCs w:val="16"/>
              </w:rPr>
              <w:t>24</w:t>
            </w:r>
          </w:p>
        </w:tc>
        <w:tc>
          <w:tcPr>
            <w:tcW w:w="1170" w:type="dxa"/>
            <w:tcBorders>
              <w:top w:val="nil"/>
              <w:left w:val="nil"/>
              <w:bottom w:val="dotted" w:sz="4" w:space="0" w:color="auto"/>
              <w:right w:val="single" w:sz="8" w:space="0" w:color="auto"/>
            </w:tcBorders>
            <w:shd w:val="clear" w:color="auto" w:fill="auto"/>
            <w:vAlign w:val="center"/>
          </w:tcPr>
          <w:p w:rsidR="00F75630" w:rsidRPr="00DF0CE3" w:rsidP="00F75630" w14:paraId="6AC43C16" w14:textId="477CC648">
            <w:pPr>
              <w:widowControl/>
              <w:autoSpaceDE/>
              <w:autoSpaceDN/>
              <w:jc w:val="center"/>
              <w:rPr>
                <w:rFonts w:ascii="Calibri" w:hAnsi="Calibri" w:cs="Calibri"/>
                <w:color w:val="000000"/>
                <w:sz w:val="16"/>
                <w:szCs w:val="16"/>
              </w:rPr>
            </w:pPr>
            <w:r>
              <w:rPr>
                <w:rFonts w:ascii="Calibri" w:hAnsi="Calibri" w:cs="Calibri"/>
                <w:color w:val="000000"/>
                <w:sz w:val="16"/>
                <w:szCs w:val="16"/>
              </w:rPr>
              <w:t>24</w:t>
            </w:r>
          </w:p>
        </w:tc>
        <w:tc>
          <w:tcPr>
            <w:tcW w:w="2745" w:type="dxa"/>
            <w:tcBorders>
              <w:top w:val="nil"/>
              <w:left w:val="nil"/>
              <w:bottom w:val="dotted" w:sz="4" w:space="0" w:color="auto"/>
              <w:right w:val="single" w:sz="8" w:space="0" w:color="auto"/>
            </w:tcBorders>
            <w:shd w:val="clear" w:color="auto" w:fill="auto"/>
            <w:vAlign w:val="center"/>
          </w:tcPr>
          <w:p w:rsidR="00F75630" w:rsidRPr="00DF0CE3" w:rsidP="00F75630" w14:paraId="05421B45" w14:textId="77777777">
            <w:pPr>
              <w:widowControl/>
              <w:autoSpaceDE/>
              <w:autoSpaceDN/>
              <w:rPr>
                <w:rFonts w:ascii="Calibri" w:hAnsi="Calibri" w:cs="Calibri"/>
                <w:color w:val="000000"/>
                <w:sz w:val="16"/>
                <w:szCs w:val="16"/>
              </w:rPr>
            </w:pPr>
          </w:p>
        </w:tc>
      </w:tr>
      <w:tr w14:paraId="4C6C1513" w14:textId="77777777" w:rsidTr="00BF7C47">
        <w:tblPrEx>
          <w:tblW w:w="11115" w:type="dxa"/>
          <w:tblInd w:w="-712" w:type="dxa"/>
          <w:tblLook w:val="04A0"/>
        </w:tblPrEx>
        <w:trPr>
          <w:trHeight w:val="315"/>
        </w:trPr>
        <w:tc>
          <w:tcPr>
            <w:tcW w:w="2055" w:type="dxa"/>
            <w:tcBorders>
              <w:top w:val="nil"/>
              <w:left w:val="single" w:sz="8" w:space="0" w:color="auto"/>
              <w:bottom w:val="single" w:sz="8" w:space="0" w:color="auto"/>
              <w:right w:val="single" w:sz="8" w:space="0" w:color="auto"/>
            </w:tcBorders>
            <w:shd w:val="clear" w:color="auto" w:fill="auto"/>
            <w:vAlign w:val="center"/>
          </w:tcPr>
          <w:p w:rsidR="00F75630" w:rsidRPr="00BD2E41" w:rsidP="00F75630" w14:paraId="732B6BA5" w14:textId="60B61707">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Maintenance / Diagnostic &amp; Troubleshooting Support</w:t>
            </w:r>
          </w:p>
        </w:tc>
        <w:tc>
          <w:tcPr>
            <w:tcW w:w="915" w:type="dxa"/>
            <w:tcBorders>
              <w:top w:val="nil"/>
              <w:left w:val="nil"/>
              <w:bottom w:val="dotted" w:sz="4" w:space="0" w:color="auto"/>
              <w:right w:val="dashed" w:sz="8" w:space="0" w:color="auto"/>
            </w:tcBorders>
            <w:shd w:val="clear" w:color="auto" w:fill="auto"/>
            <w:vAlign w:val="center"/>
          </w:tcPr>
          <w:p w:rsidR="00F75630" w:rsidRPr="00DF0CE3" w:rsidP="00F75630" w14:paraId="63CD9CE3" w14:textId="30EE292F">
            <w:pPr>
              <w:widowControl/>
              <w:autoSpaceDE/>
              <w:autoSpaceDN/>
              <w:jc w:val="center"/>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6208ABB8" w14:textId="0DCA7CD0">
            <w:pPr>
              <w:widowControl/>
              <w:autoSpaceDE/>
              <w:autoSpaceDN/>
              <w:jc w:val="center"/>
              <w:rPr>
                <w:rFonts w:ascii="Calibri" w:hAnsi="Calibri" w:cs="Calibri"/>
                <w:color w:val="000000"/>
                <w:sz w:val="16"/>
                <w:szCs w:val="16"/>
              </w:rPr>
            </w:pPr>
            <w:r>
              <w:rPr>
                <w:rFonts w:ascii="Calibri" w:hAnsi="Calibri" w:cs="Calibri"/>
                <w:color w:val="000000"/>
                <w:sz w:val="16"/>
                <w:szCs w:val="16"/>
              </w:rPr>
              <w:t>8</w:t>
            </w:r>
          </w:p>
        </w:tc>
        <w:tc>
          <w:tcPr>
            <w:tcW w:w="990" w:type="dxa"/>
            <w:tcBorders>
              <w:top w:val="nil"/>
              <w:left w:val="nil"/>
              <w:bottom w:val="dotted" w:sz="4" w:space="0" w:color="auto"/>
              <w:right w:val="dashed" w:sz="8" w:space="0" w:color="auto"/>
            </w:tcBorders>
            <w:shd w:val="clear" w:color="auto" w:fill="auto"/>
            <w:vAlign w:val="center"/>
          </w:tcPr>
          <w:p w:rsidR="00F75630" w:rsidRPr="00DF0CE3" w:rsidP="00F75630" w14:paraId="01B0AA55" w14:textId="69C91595">
            <w:pPr>
              <w:widowControl/>
              <w:autoSpaceDE/>
              <w:autoSpaceDN/>
              <w:jc w:val="center"/>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dotted" w:sz="4" w:space="0" w:color="auto"/>
              <w:right w:val="single" w:sz="8" w:space="0" w:color="auto"/>
            </w:tcBorders>
            <w:shd w:val="clear" w:color="auto" w:fill="auto"/>
            <w:vAlign w:val="center"/>
          </w:tcPr>
          <w:p w:rsidR="00F75630" w:rsidRPr="00DF0CE3" w:rsidP="00F75630" w14:paraId="71833559" w14:textId="1E1D41CD">
            <w:pPr>
              <w:widowControl/>
              <w:autoSpaceDE/>
              <w:autoSpaceDN/>
              <w:jc w:val="center"/>
              <w:rPr>
                <w:rFonts w:ascii="Calibri" w:hAnsi="Calibri" w:cs="Calibri"/>
                <w:color w:val="000000"/>
                <w:sz w:val="16"/>
                <w:szCs w:val="16"/>
              </w:rPr>
            </w:pPr>
            <w:r>
              <w:rPr>
                <w:rFonts w:ascii="Calibri" w:hAnsi="Calibri" w:cs="Calibri"/>
                <w:color w:val="000000"/>
                <w:sz w:val="16"/>
                <w:szCs w:val="16"/>
              </w:rPr>
              <w:t>8</w:t>
            </w:r>
          </w:p>
        </w:tc>
        <w:tc>
          <w:tcPr>
            <w:tcW w:w="1080" w:type="dxa"/>
            <w:tcBorders>
              <w:top w:val="nil"/>
              <w:left w:val="nil"/>
              <w:bottom w:val="dotted" w:sz="4" w:space="0" w:color="auto"/>
              <w:right w:val="dashed" w:sz="8" w:space="0" w:color="auto"/>
            </w:tcBorders>
            <w:shd w:val="clear" w:color="auto" w:fill="auto"/>
            <w:vAlign w:val="center"/>
          </w:tcPr>
          <w:p w:rsidR="00F75630" w:rsidRPr="00DF0CE3" w:rsidP="00F75630" w14:paraId="51A2998F" w14:textId="4025C500">
            <w:pPr>
              <w:widowControl/>
              <w:autoSpaceDE/>
              <w:autoSpaceDN/>
              <w:jc w:val="center"/>
              <w:rPr>
                <w:rFonts w:ascii="Calibri" w:hAnsi="Calibri" w:cs="Calibri"/>
                <w:color w:val="000000"/>
                <w:sz w:val="16"/>
                <w:szCs w:val="16"/>
              </w:rPr>
            </w:pPr>
            <w:r>
              <w:rPr>
                <w:rFonts w:ascii="Calibri" w:hAnsi="Calibri" w:cs="Calibri"/>
                <w:color w:val="000000"/>
                <w:sz w:val="16"/>
                <w:szCs w:val="16"/>
              </w:rPr>
              <w:t>8,528</w:t>
            </w:r>
          </w:p>
        </w:tc>
        <w:tc>
          <w:tcPr>
            <w:tcW w:w="1170" w:type="dxa"/>
            <w:tcBorders>
              <w:top w:val="nil"/>
              <w:left w:val="nil"/>
              <w:bottom w:val="dotted" w:sz="4" w:space="0" w:color="auto"/>
              <w:right w:val="single" w:sz="8" w:space="0" w:color="auto"/>
            </w:tcBorders>
            <w:shd w:val="clear" w:color="auto" w:fill="auto"/>
            <w:vAlign w:val="center"/>
          </w:tcPr>
          <w:p w:rsidR="00F75630" w:rsidRPr="00DF0CE3" w:rsidP="00F75630" w14:paraId="65E9E807" w14:textId="52CF3EE6">
            <w:pPr>
              <w:widowControl/>
              <w:autoSpaceDE/>
              <w:autoSpaceDN/>
              <w:jc w:val="center"/>
              <w:rPr>
                <w:rFonts w:ascii="Calibri" w:hAnsi="Calibri" w:cs="Calibri"/>
                <w:color w:val="000000"/>
                <w:sz w:val="16"/>
                <w:szCs w:val="16"/>
              </w:rPr>
            </w:pPr>
            <w:r>
              <w:rPr>
                <w:rFonts w:ascii="Calibri" w:hAnsi="Calibri" w:cs="Calibri"/>
                <w:color w:val="000000"/>
                <w:sz w:val="16"/>
                <w:szCs w:val="16"/>
              </w:rPr>
              <w:t>8,528</w:t>
            </w:r>
          </w:p>
        </w:tc>
        <w:tc>
          <w:tcPr>
            <w:tcW w:w="2745" w:type="dxa"/>
            <w:tcBorders>
              <w:top w:val="nil"/>
              <w:left w:val="nil"/>
              <w:bottom w:val="dotted" w:sz="4" w:space="0" w:color="auto"/>
              <w:right w:val="single" w:sz="8" w:space="0" w:color="auto"/>
            </w:tcBorders>
            <w:shd w:val="clear" w:color="auto" w:fill="auto"/>
            <w:vAlign w:val="center"/>
          </w:tcPr>
          <w:p w:rsidR="00F75630" w:rsidRPr="00DF0CE3" w:rsidP="00F75630" w14:paraId="59772FA8" w14:textId="77777777">
            <w:pPr>
              <w:widowControl/>
              <w:autoSpaceDE/>
              <w:autoSpaceDN/>
              <w:rPr>
                <w:rFonts w:ascii="Calibri" w:hAnsi="Calibri" w:cs="Calibri"/>
                <w:color w:val="000000"/>
                <w:sz w:val="16"/>
                <w:szCs w:val="16"/>
              </w:rPr>
            </w:pPr>
          </w:p>
        </w:tc>
      </w:tr>
      <w:tr w14:paraId="75503CF5" w14:textId="77777777" w:rsidTr="00BF7C47">
        <w:tblPrEx>
          <w:tblW w:w="11115" w:type="dxa"/>
          <w:tblInd w:w="-712" w:type="dxa"/>
          <w:tblLook w:val="04A0"/>
        </w:tblPrEx>
        <w:trPr>
          <w:trHeight w:val="465"/>
        </w:trPr>
        <w:tc>
          <w:tcPr>
            <w:tcW w:w="2055" w:type="dxa"/>
            <w:tcBorders>
              <w:top w:val="nil"/>
              <w:left w:val="single" w:sz="8" w:space="0" w:color="auto"/>
              <w:bottom w:val="nil"/>
              <w:right w:val="single" w:sz="8" w:space="0" w:color="auto"/>
            </w:tcBorders>
            <w:shd w:val="clear" w:color="000000" w:fill="BDD6EE"/>
            <w:vAlign w:val="center"/>
            <w:hideMark/>
          </w:tcPr>
          <w:p w:rsidR="00F75630" w:rsidRPr="00DF0CE3" w:rsidP="00F75630" w14:paraId="5AAD4938"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15" w:type="dxa"/>
            <w:tcBorders>
              <w:top w:val="nil"/>
              <w:left w:val="nil"/>
              <w:bottom w:val="nil"/>
              <w:right w:val="dashed" w:sz="8" w:space="0" w:color="auto"/>
            </w:tcBorders>
            <w:shd w:val="clear" w:color="000000" w:fill="BDD6EE"/>
            <w:vAlign w:val="center"/>
            <w:hideMark/>
          </w:tcPr>
          <w:p w:rsidR="00F75630" w:rsidRPr="00DF0CE3" w:rsidP="00F75630" w14:paraId="44DED5FD" w14:textId="0A9256B4">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9*</w:t>
            </w:r>
          </w:p>
        </w:tc>
        <w:tc>
          <w:tcPr>
            <w:tcW w:w="1080" w:type="dxa"/>
            <w:tcBorders>
              <w:top w:val="nil"/>
              <w:left w:val="nil"/>
              <w:bottom w:val="nil"/>
              <w:right w:val="single" w:sz="8" w:space="0" w:color="auto"/>
            </w:tcBorders>
            <w:shd w:val="clear" w:color="000000" w:fill="BDD6EE"/>
            <w:vAlign w:val="center"/>
            <w:hideMark/>
          </w:tcPr>
          <w:p w:rsidR="00F75630" w:rsidRPr="00DF0CE3" w:rsidP="00F75630" w14:paraId="33C43349" w14:textId="2B9BC933">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Pr>
                <w:rFonts w:ascii="Calibri" w:hAnsi="Calibri" w:cs="Calibri"/>
                <w:b/>
                <w:bCs/>
                <w:color w:val="000000"/>
                <w:sz w:val="16"/>
                <w:szCs w:val="16"/>
              </w:rPr>
              <w:t>11*</w:t>
            </w:r>
          </w:p>
        </w:tc>
        <w:tc>
          <w:tcPr>
            <w:tcW w:w="990" w:type="dxa"/>
            <w:tcBorders>
              <w:top w:val="nil"/>
              <w:left w:val="nil"/>
              <w:bottom w:val="nil"/>
              <w:right w:val="dashed" w:sz="8" w:space="0" w:color="auto"/>
            </w:tcBorders>
            <w:shd w:val="clear" w:color="000000" w:fill="BDD6EE"/>
            <w:vAlign w:val="center"/>
            <w:hideMark/>
          </w:tcPr>
          <w:p w:rsidR="00F75630" w:rsidRPr="00DF0CE3" w:rsidP="00F75630" w14:paraId="08F05256" w14:textId="732FBCB7">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12</w:t>
            </w:r>
            <w:r w:rsidRPr="00DF0CE3">
              <w:rPr>
                <w:rFonts w:ascii="Calibri" w:hAnsi="Calibri" w:cs="Calibri"/>
                <w:b/>
                <w:bCs/>
                <w:color w:val="000000"/>
                <w:sz w:val="16"/>
                <w:szCs w:val="16"/>
              </w:rPr>
              <w:t> </w:t>
            </w:r>
          </w:p>
        </w:tc>
        <w:tc>
          <w:tcPr>
            <w:tcW w:w="1080" w:type="dxa"/>
            <w:tcBorders>
              <w:top w:val="nil"/>
              <w:left w:val="nil"/>
              <w:bottom w:val="nil"/>
              <w:right w:val="single" w:sz="8" w:space="0" w:color="auto"/>
            </w:tcBorders>
            <w:shd w:val="clear" w:color="000000" w:fill="BDD6EE"/>
            <w:vAlign w:val="center"/>
            <w:hideMark/>
          </w:tcPr>
          <w:p w:rsidR="00F75630" w:rsidRPr="00DF0CE3" w:rsidP="00F75630" w14:paraId="0693666B" w14:textId="39726015">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21</w:t>
            </w:r>
            <w:r w:rsidRPr="00DF0CE3">
              <w:rPr>
                <w:rFonts w:ascii="Calibri" w:hAnsi="Calibri" w:cs="Calibri"/>
                <w:b/>
                <w:bCs/>
                <w:color w:val="000000"/>
                <w:sz w:val="16"/>
                <w:szCs w:val="16"/>
              </w:rPr>
              <w:t> </w:t>
            </w:r>
          </w:p>
        </w:tc>
        <w:tc>
          <w:tcPr>
            <w:tcW w:w="1080" w:type="dxa"/>
            <w:tcBorders>
              <w:top w:val="nil"/>
              <w:left w:val="nil"/>
              <w:bottom w:val="nil"/>
              <w:right w:val="dashed" w:sz="8" w:space="0" w:color="auto"/>
            </w:tcBorders>
            <w:shd w:val="clear" w:color="000000" w:fill="BDD6EE"/>
            <w:vAlign w:val="center"/>
            <w:hideMark/>
          </w:tcPr>
          <w:p w:rsidR="00F75630" w:rsidRPr="00DF0CE3" w:rsidP="00F75630" w14:paraId="5FCCBAAF" w14:textId="1C034E48">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8,680</w:t>
            </w:r>
            <w:r w:rsidRPr="00DF0CE3">
              <w:rPr>
                <w:rFonts w:ascii="Calibri" w:hAnsi="Calibri" w:cs="Calibri"/>
                <w:b/>
                <w:bCs/>
                <w:color w:val="000000"/>
                <w:sz w:val="16"/>
                <w:szCs w:val="16"/>
              </w:rPr>
              <w:t> </w:t>
            </w:r>
          </w:p>
        </w:tc>
        <w:tc>
          <w:tcPr>
            <w:tcW w:w="1170" w:type="dxa"/>
            <w:tcBorders>
              <w:top w:val="nil"/>
              <w:left w:val="nil"/>
              <w:bottom w:val="nil"/>
              <w:right w:val="single" w:sz="8" w:space="0" w:color="auto"/>
            </w:tcBorders>
            <w:shd w:val="clear" w:color="000000" w:fill="BDD6EE"/>
            <w:vAlign w:val="center"/>
            <w:hideMark/>
          </w:tcPr>
          <w:p w:rsidR="00F75630" w:rsidRPr="00DF0CE3" w:rsidP="00F75630" w14:paraId="4C22C508" w14:textId="2EA78985">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9,458</w:t>
            </w:r>
          </w:p>
        </w:tc>
        <w:tc>
          <w:tcPr>
            <w:tcW w:w="2745" w:type="dxa"/>
            <w:tcBorders>
              <w:top w:val="nil"/>
              <w:left w:val="nil"/>
              <w:bottom w:val="nil"/>
              <w:right w:val="single" w:sz="8" w:space="0" w:color="auto"/>
            </w:tcBorders>
            <w:shd w:val="clear" w:color="000000" w:fill="000000"/>
            <w:vAlign w:val="center"/>
            <w:hideMark/>
          </w:tcPr>
          <w:p w:rsidR="00F75630" w:rsidRPr="00DF0CE3" w:rsidP="00F75630" w14:paraId="6CEDAE9A"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37F6F8FB" w14:textId="77777777" w:rsidTr="00BF7C47">
        <w:tblPrEx>
          <w:tblW w:w="11115" w:type="dxa"/>
          <w:tblInd w:w="-712" w:type="dxa"/>
          <w:tblLook w:val="04A0"/>
        </w:tblPrEx>
        <w:trPr>
          <w:trHeight w:val="315"/>
        </w:trPr>
        <w:tc>
          <w:tcPr>
            <w:tcW w:w="2055" w:type="dxa"/>
            <w:tcBorders>
              <w:top w:val="single" w:sz="8" w:space="0" w:color="auto"/>
              <w:left w:val="single" w:sz="8" w:space="0" w:color="auto"/>
              <w:bottom w:val="single" w:sz="8" w:space="0" w:color="auto"/>
              <w:right w:val="nil"/>
            </w:tcBorders>
            <w:shd w:val="clear" w:color="000000" w:fill="FCE4D6"/>
            <w:noWrap/>
            <w:vAlign w:val="bottom"/>
            <w:hideMark/>
          </w:tcPr>
          <w:p w:rsidR="00F75630" w:rsidRPr="00DF0CE3" w:rsidP="00F75630" w14:paraId="223F7C51"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F75630" w:rsidRPr="00DF0CE3" w:rsidP="00973C22" w14:paraId="7890E5E5" w14:textId="79E95A27">
            <w:pPr>
              <w:widowControl/>
              <w:autoSpaceDE/>
              <w:autoSpaceDN/>
              <w:jc w:val="center"/>
              <w:rPr>
                <w:rFonts w:ascii="Calibri" w:hAnsi="Calibri" w:cs="Calibri"/>
                <w:color w:val="000000"/>
              </w:rPr>
            </w:pPr>
            <w:r>
              <w:rPr>
                <w:rFonts w:ascii="Calibri" w:hAnsi="Calibri" w:cs="Calibri"/>
                <w:color w:val="000000"/>
              </w:rPr>
              <w:t>-</w:t>
            </w:r>
            <w:r w:rsidR="00973C22">
              <w:rPr>
                <w:rFonts w:ascii="Calibri" w:hAnsi="Calibri" w:cs="Calibri"/>
                <w:color w:val="000000"/>
              </w:rPr>
              <w:t>2</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F75630" w:rsidRPr="00DF0CE3" w:rsidP="00F75630" w14:paraId="69D0846A" w14:textId="2B102F80">
            <w:pPr>
              <w:widowControl/>
              <w:autoSpaceDE/>
              <w:autoSpaceDN/>
              <w:jc w:val="center"/>
              <w:rPr>
                <w:rFonts w:ascii="Calibri" w:hAnsi="Calibri" w:cs="Calibri"/>
                <w:color w:val="000000"/>
              </w:rPr>
            </w:pPr>
            <w:r>
              <w:rPr>
                <w:rFonts w:ascii="Calibri" w:hAnsi="Calibri" w:cs="Calibri"/>
                <w:color w:val="000000"/>
              </w:rPr>
              <w:t>-9</w:t>
            </w:r>
            <w:r w:rsidRPr="00DF0CE3">
              <w:rPr>
                <w:rFonts w:ascii="Calibri" w:hAnsi="Calibri" w:cs="Calibri"/>
                <w:color w:val="000000"/>
              </w:rPr>
              <w:t> </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F75630" w:rsidRPr="00DF0CE3" w:rsidP="00F75630" w14:paraId="7F74CB05" w14:textId="5583DA4C">
            <w:pPr>
              <w:widowControl/>
              <w:autoSpaceDE/>
              <w:autoSpaceDN/>
              <w:jc w:val="center"/>
              <w:rPr>
                <w:rFonts w:ascii="Calibri" w:hAnsi="Calibri" w:cs="Calibri"/>
                <w:color w:val="000000"/>
              </w:rPr>
            </w:pPr>
            <w:r w:rsidRPr="00DF0CE3">
              <w:rPr>
                <w:rFonts w:ascii="Calibri" w:hAnsi="Calibri" w:cs="Calibri"/>
                <w:color w:val="000000"/>
              </w:rPr>
              <w:t> </w:t>
            </w:r>
            <w:r>
              <w:rPr>
                <w:rFonts w:ascii="Calibri" w:hAnsi="Calibri" w:cs="Calibri"/>
                <w:color w:val="000000"/>
              </w:rPr>
              <w:t>-778</w:t>
            </w:r>
          </w:p>
        </w:tc>
        <w:tc>
          <w:tcPr>
            <w:tcW w:w="2745" w:type="dxa"/>
            <w:tcBorders>
              <w:top w:val="single" w:sz="8" w:space="0" w:color="auto"/>
              <w:left w:val="nil"/>
              <w:bottom w:val="single" w:sz="8" w:space="0" w:color="auto"/>
              <w:right w:val="single" w:sz="8" w:space="0" w:color="auto"/>
            </w:tcBorders>
            <w:shd w:val="clear" w:color="000000" w:fill="000000"/>
            <w:noWrap/>
            <w:vAlign w:val="bottom"/>
            <w:hideMark/>
          </w:tcPr>
          <w:p w:rsidR="00F75630" w:rsidRPr="00DF0CE3" w:rsidP="00F75630" w14:paraId="3E9D69F7" w14:textId="77777777">
            <w:pPr>
              <w:widowControl/>
              <w:autoSpaceDE/>
              <w:autoSpaceDN/>
              <w:rPr>
                <w:rFonts w:ascii="Calibri" w:hAnsi="Calibri" w:cs="Calibri"/>
                <w:color w:val="000000"/>
              </w:rPr>
            </w:pPr>
            <w:r w:rsidRPr="00DF0CE3">
              <w:rPr>
                <w:rFonts w:ascii="Calibri" w:hAnsi="Calibri" w:cs="Calibri"/>
                <w:color w:val="000000"/>
              </w:rPr>
              <w:t> </w:t>
            </w:r>
          </w:p>
        </w:tc>
      </w:tr>
    </w:tbl>
    <w:p w:rsidR="00A110F0" w:rsidP="00732713" w14:paraId="222081CC" w14:textId="77777777">
      <w:pPr>
        <w:rPr>
          <w:sz w:val="24"/>
          <w:szCs w:val="24"/>
        </w:rPr>
      </w:pPr>
    </w:p>
    <w:tbl>
      <w:tblPr>
        <w:tblW w:w="11160" w:type="dxa"/>
        <w:tblInd w:w="-730" w:type="dxa"/>
        <w:tblLook w:val="04A0"/>
      </w:tblPr>
      <w:tblGrid>
        <w:gridCol w:w="2880"/>
        <w:gridCol w:w="905"/>
        <w:gridCol w:w="985"/>
        <w:gridCol w:w="1080"/>
        <w:gridCol w:w="1170"/>
        <w:gridCol w:w="4140"/>
      </w:tblGrid>
      <w:tr w14:paraId="2CC393FB" w14:textId="77777777" w:rsidTr="00BF7C47">
        <w:tblPrEx>
          <w:tblW w:w="11160" w:type="dxa"/>
          <w:tblInd w:w="-730" w:type="dxa"/>
          <w:tblLook w:val="04A0"/>
        </w:tblPrEx>
        <w:trPr>
          <w:trHeight w:val="315"/>
        </w:trPr>
        <w:tc>
          <w:tcPr>
            <w:tcW w:w="28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BF7C47" w:rsidRPr="00DF0CE3" w:rsidP="00296DF8" w14:paraId="7EFA5C30"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BF7C47" w:rsidRPr="00DF0CE3" w:rsidP="00296DF8" w14:paraId="65AF8FB4"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BF7C47" w:rsidRPr="00DF0CE3" w:rsidP="00296DF8" w14:paraId="1B28C662"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Miscellaneous Costs</w:t>
            </w:r>
          </w:p>
        </w:tc>
        <w:tc>
          <w:tcPr>
            <w:tcW w:w="414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BF7C47" w:rsidRPr="00DF0CE3" w:rsidP="00296DF8" w14:paraId="064F56DA"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Reason for change or adjustment</w:t>
            </w:r>
          </w:p>
        </w:tc>
      </w:tr>
      <w:tr w14:paraId="423AC06F" w14:textId="77777777" w:rsidTr="00BF7C47">
        <w:tblPrEx>
          <w:tblW w:w="11160" w:type="dxa"/>
          <w:tblInd w:w="-730" w:type="dxa"/>
          <w:tblLook w:val="04A0"/>
        </w:tblPrEx>
        <w:trPr>
          <w:trHeight w:val="690"/>
        </w:trPr>
        <w:tc>
          <w:tcPr>
            <w:tcW w:w="2880" w:type="dxa"/>
            <w:vMerge/>
            <w:tcBorders>
              <w:top w:val="single" w:sz="8" w:space="0" w:color="auto"/>
              <w:left w:val="single" w:sz="8" w:space="0" w:color="auto"/>
              <w:bottom w:val="single" w:sz="8" w:space="0" w:color="000000"/>
              <w:right w:val="single" w:sz="8" w:space="0" w:color="auto"/>
            </w:tcBorders>
            <w:vAlign w:val="center"/>
            <w:hideMark/>
          </w:tcPr>
          <w:p w:rsidR="00BF7C47" w:rsidRPr="00DF0CE3" w:rsidP="00296DF8" w14:paraId="6610D328" w14:textId="77777777">
            <w:pPr>
              <w:widowControl/>
              <w:autoSpaceDE/>
              <w:autoSpaceDN/>
              <w:rPr>
                <w:rFonts w:ascii="Calibri" w:hAnsi="Calibri" w:cs="Calibri"/>
                <w:b/>
                <w:bCs/>
                <w:color w:val="000000"/>
                <w:sz w:val="16"/>
                <w:szCs w:val="16"/>
              </w:rPr>
            </w:pPr>
          </w:p>
        </w:tc>
        <w:tc>
          <w:tcPr>
            <w:tcW w:w="925" w:type="dxa"/>
            <w:tcBorders>
              <w:top w:val="nil"/>
              <w:left w:val="nil"/>
              <w:bottom w:val="single" w:sz="8" w:space="0" w:color="auto"/>
              <w:right w:val="dashed" w:sz="8" w:space="0" w:color="auto"/>
            </w:tcBorders>
            <w:shd w:val="clear" w:color="000000" w:fill="FBE4D5"/>
            <w:vAlign w:val="center"/>
            <w:hideMark/>
          </w:tcPr>
          <w:p w:rsidR="00BF7C47" w:rsidRPr="00DF0CE3" w:rsidP="00296DF8" w14:paraId="2E81909B"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965" w:type="dxa"/>
            <w:tcBorders>
              <w:top w:val="nil"/>
              <w:left w:val="nil"/>
              <w:bottom w:val="single" w:sz="8" w:space="0" w:color="auto"/>
              <w:right w:val="single" w:sz="8" w:space="0" w:color="auto"/>
            </w:tcBorders>
            <w:shd w:val="clear" w:color="000000" w:fill="FBE4D5"/>
            <w:vAlign w:val="center"/>
            <w:hideMark/>
          </w:tcPr>
          <w:p w:rsidR="00BF7C47" w:rsidRPr="00DF0CE3" w:rsidP="00296DF8" w14:paraId="3B955370"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BF7C47" w:rsidRPr="00DF0CE3" w:rsidP="00296DF8" w14:paraId="6AAED450"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Current</w:t>
            </w:r>
          </w:p>
        </w:tc>
        <w:tc>
          <w:tcPr>
            <w:tcW w:w="1170" w:type="dxa"/>
            <w:tcBorders>
              <w:top w:val="nil"/>
              <w:left w:val="nil"/>
              <w:bottom w:val="single" w:sz="8" w:space="0" w:color="auto"/>
              <w:right w:val="single" w:sz="8" w:space="0" w:color="auto"/>
            </w:tcBorders>
            <w:shd w:val="clear" w:color="000000" w:fill="FBE4D5"/>
            <w:vAlign w:val="center"/>
            <w:hideMark/>
          </w:tcPr>
          <w:p w:rsidR="00BF7C47" w:rsidRPr="00DF0CE3" w:rsidP="00296DF8" w14:paraId="5013FF17" w14:textId="7777777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Previous</w:t>
            </w:r>
          </w:p>
        </w:tc>
        <w:tc>
          <w:tcPr>
            <w:tcW w:w="4140" w:type="dxa"/>
            <w:vMerge/>
            <w:tcBorders>
              <w:top w:val="single" w:sz="8" w:space="0" w:color="auto"/>
              <w:left w:val="single" w:sz="8" w:space="0" w:color="auto"/>
              <w:bottom w:val="single" w:sz="8" w:space="0" w:color="000000"/>
              <w:right w:val="single" w:sz="8" w:space="0" w:color="auto"/>
            </w:tcBorders>
            <w:vAlign w:val="center"/>
            <w:hideMark/>
          </w:tcPr>
          <w:p w:rsidR="00BF7C47" w:rsidRPr="00DF0CE3" w:rsidP="00296DF8" w14:paraId="2A2E0321" w14:textId="77777777">
            <w:pPr>
              <w:widowControl/>
              <w:autoSpaceDE/>
              <w:autoSpaceDN/>
              <w:rPr>
                <w:rFonts w:ascii="Calibri" w:hAnsi="Calibri" w:cs="Calibri"/>
                <w:b/>
                <w:bCs/>
                <w:color w:val="000000"/>
                <w:sz w:val="16"/>
                <w:szCs w:val="16"/>
              </w:rPr>
            </w:pPr>
          </w:p>
        </w:tc>
      </w:tr>
      <w:tr w14:paraId="40F5794C" w14:textId="77777777" w:rsidTr="00025239">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62F54C0C" w14:textId="7465106C">
            <w:pPr>
              <w:widowControl/>
              <w:autoSpaceDE/>
              <w:autoSpaceDN/>
              <w:rPr>
                <w:rFonts w:ascii="Arial" w:hAnsi="Arial" w:cs="Arial"/>
                <w:color w:val="000000"/>
                <w:sz w:val="16"/>
                <w:szCs w:val="16"/>
              </w:rPr>
            </w:pPr>
            <w:r w:rsidRPr="00BD2E41">
              <w:rPr>
                <w:rFonts w:ascii="Arial" w:hAnsi="Arial" w:cs="Arial"/>
                <w:color w:val="000000"/>
                <w:sz w:val="16"/>
                <w:szCs w:val="16"/>
              </w:rPr>
              <w:t> EMTU-C Application</w:t>
            </w:r>
          </w:p>
        </w:tc>
        <w:tc>
          <w:tcPr>
            <w:tcW w:w="925" w:type="dxa"/>
            <w:tcBorders>
              <w:top w:val="nil"/>
              <w:left w:val="nil"/>
              <w:bottom w:val="dotted" w:sz="4" w:space="0" w:color="auto"/>
              <w:right w:val="dashed" w:sz="8" w:space="0" w:color="auto"/>
            </w:tcBorders>
            <w:shd w:val="clear" w:color="auto" w:fill="auto"/>
            <w:vAlign w:val="center"/>
            <w:hideMark/>
          </w:tcPr>
          <w:p w:rsidR="00C2107D" w:rsidRPr="00DF0CE3" w:rsidP="00296DF8" w14:paraId="77734D82" w14:textId="3DB97209">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965" w:type="dxa"/>
            <w:tcBorders>
              <w:top w:val="nil"/>
              <w:left w:val="nil"/>
              <w:bottom w:val="dotted" w:sz="4" w:space="0" w:color="auto"/>
              <w:right w:val="single" w:sz="8" w:space="0" w:color="auto"/>
            </w:tcBorders>
            <w:shd w:val="clear" w:color="auto" w:fill="auto"/>
            <w:vAlign w:val="center"/>
            <w:hideMark/>
          </w:tcPr>
          <w:p w:rsidR="00C2107D" w:rsidRPr="00DF0CE3" w:rsidP="00296DF8" w14:paraId="1D717CAC" w14:textId="598748DD">
            <w:pPr>
              <w:widowControl/>
              <w:autoSpaceDE/>
              <w:autoSpaceDN/>
              <w:jc w:val="center"/>
              <w:rPr>
                <w:rFonts w:ascii="Calibri" w:hAnsi="Calibri" w:cs="Calibri"/>
                <w:color w:val="000000"/>
                <w:sz w:val="16"/>
                <w:szCs w:val="16"/>
              </w:rPr>
            </w:pPr>
            <w:r>
              <w:rPr>
                <w:rFonts w:ascii="Calibri" w:hAnsi="Calibri" w:cs="Calibri"/>
                <w:color w:val="000000"/>
                <w:sz w:val="16"/>
                <w:szCs w:val="16"/>
              </w:rPr>
              <w:t>12,872.40</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25C8A37C" w14:textId="75CFB754">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1D348D16" w14:textId="62793FFA">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3,900</w:t>
            </w:r>
          </w:p>
        </w:tc>
        <w:tc>
          <w:tcPr>
            <w:tcW w:w="4140" w:type="dxa"/>
            <w:vMerge w:val="restart"/>
            <w:tcBorders>
              <w:top w:val="nil"/>
              <w:left w:val="nil"/>
              <w:right w:val="single" w:sz="8" w:space="0" w:color="auto"/>
            </w:tcBorders>
            <w:shd w:val="clear" w:color="auto" w:fill="auto"/>
            <w:vAlign w:val="center"/>
            <w:hideMark/>
          </w:tcPr>
          <w:p w:rsidR="00C2107D" w:rsidRPr="00DF0CE3" w:rsidP="00296DF8" w14:paraId="77D20624" w14:textId="77777777">
            <w:pPr>
              <w:widowControl/>
              <w:autoSpaceDE/>
              <w:autoSpaceDN/>
              <w:rPr>
                <w:rFonts w:ascii="Calibri" w:hAnsi="Calibri" w:cs="Calibri"/>
                <w:color w:val="000000"/>
                <w:sz w:val="16"/>
                <w:szCs w:val="16"/>
              </w:rPr>
            </w:pPr>
            <w:r w:rsidRPr="00DF0CE3">
              <w:rPr>
                <w:rFonts w:ascii="Calibri" w:hAnsi="Calibri" w:cs="Calibri"/>
                <w:color w:val="000000"/>
                <w:sz w:val="16"/>
                <w:szCs w:val="16"/>
              </w:rPr>
              <w:t> </w:t>
            </w:r>
          </w:p>
          <w:p w:rsidR="00C2107D" w:rsidRPr="00DF0CE3" w:rsidP="00296DF8" w14:paraId="4858400F" w14:textId="69F9C764">
            <w:pPr>
              <w:widowControl/>
              <w:autoSpaceDE/>
              <w:autoSpaceDN/>
              <w:rPr>
                <w:rFonts w:ascii="Calibri" w:hAnsi="Calibri" w:cs="Calibri"/>
                <w:color w:val="000000"/>
                <w:sz w:val="16"/>
                <w:szCs w:val="16"/>
              </w:rPr>
            </w:pPr>
            <w:r w:rsidRPr="00C2107D">
              <w:rPr>
                <w:sz w:val="16"/>
                <w:szCs w:val="16"/>
              </w:rPr>
              <w:t>There are currently no federal fisheries for EMTU-C respondents to apply for type-approval.</w:t>
            </w:r>
          </w:p>
          <w:p w:rsidR="00C2107D" w:rsidRPr="00DF0CE3" w:rsidP="00296DF8" w14:paraId="041551F3" w14:textId="7C9E51DE">
            <w:pPr>
              <w:rPr>
                <w:rFonts w:ascii="Calibri" w:hAnsi="Calibri" w:cs="Calibri"/>
                <w:color w:val="000000"/>
                <w:sz w:val="16"/>
                <w:szCs w:val="16"/>
              </w:rPr>
            </w:pPr>
            <w:r w:rsidRPr="00DF0CE3">
              <w:rPr>
                <w:rFonts w:ascii="Calibri" w:hAnsi="Calibri" w:cs="Calibri"/>
                <w:color w:val="000000"/>
                <w:sz w:val="16"/>
                <w:szCs w:val="16"/>
              </w:rPr>
              <w:t> </w:t>
            </w:r>
          </w:p>
        </w:tc>
      </w:tr>
      <w:tr w14:paraId="6C21BB27"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243B1DEC" w14:textId="7F6F1A2B">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Changes to Type-Approvals</w:t>
            </w:r>
          </w:p>
        </w:tc>
        <w:tc>
          <w:tcPr>
            <w:tcW w:w="905" w:type="dxa"/>
            <w:tcBorders>
              <w:top w:val="nil"/>
              <w:left w:val="nil"/>
              <w:bottom w:val="dotted" w:sz="4" w:space="0" w:color="auto"/>
              <w:right w:val="dashed" w:sz="8" w:space="0" w:color="auto"/>
            </w:tcBorders>
            <w:shd w:val="clear" w:color="auto" w:fill="auto"/>
            <w:vAlign w:val="center"/>
            <w:hideMark/>
          </w:tcPr>
          <w:p w:rsidR="00C2107D" w:rsidRPr="00DF0CE3" w:rsidP="00296DF8" w14:paraId="0AF79AE3" w14:textId="149CDB0B">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985" w:type="dxa"/>
            <w:tcBorders>
              <w:top w:val="nil"/>
              <w:left w:val="nil"/>
              <w:bottom w:val="dotted" w:sz="4" w:space="0" w:color="auto"/>
              <w:right w:val="single" w:sz="8" w:space="0" w:color="auto"/>
            </w:tcBorders>
            <w:shd w:val="clear" w:color="auto" w:fill="auto"/>
            <w:vAlign w:val="center"/>
            <w:hideMark/>
          </w:tcPr>
          <w:p w:rsidR="00C2107D" w:rsidRPr="00DF0CE3" w:rsidP="00296DF8" w14:paraId="57FDBA20" w14:textId="21691F47">
            <w:pPr>
              <w:widowControl/>
              <w:autoSpaceDE/>
              <w:autoSpaceDN/>
              <w:jc w:val="center"/>
              <w:rPr>
                <w:rFonts w:ascii="Calibri" w:hAnsi="Calibri" w:cs="Calibri"/>
                <w:color w:val="000000"/>
                <w:sz w:val="16"/>
                <w:szCs w:val="16"/>
              </w:rPr>
            </w:pPr>
            <w:r>
              <w:rPr>
                <w:rFonts w:ascii="Calibri" w:hAnsi="Calibri" w:cs="Calibri"/>
                <w:color w:val="000000"/>
                <w:sz w:val="16"/>
                <w:szCs w:val="16"/>
              </w:rPr>
              <w:t>858.16</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3BDA384A" w14:textId="44D9179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3DAE407B" w14:textId="10BAECAE">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4140" w:type="dxa"/>
            <w:vMerge/>
            <w:tcBorders>
              <w:left w:val="nil"/>
              <w:right w:val="single" w:sz="8" w:space="0" w:color="auto"/>
            </w:tcBorders>
            <w:shd w:val="clear" w:color="auto" w:fill="auto"/>
            <w:vAlign w:val="center"/>
            <w:hideMark/>
          </w:tcPr>
          <w:p w:rsidR="00C2107D" w:rsidRPr="00DF0CE3" w:rsidP="00296DF8" w14:paraId="60EC811A" w14:textId="38F706F0">
            <w:pPr>
              <w:rPr>
                <w:rFonts w:ascii="Calibri" w:hAnsi="Calibri" w:cs="Calibri"/>
                <w:color w:val="000000"/>
                <w:sz w:val="16"/>
                <w:szCs w:val="16"/>
              </w:rPr>
            </w:pPr>
          </w:p>
        </w:tc>
      </w:tr>
      <w:tr w14:paraId="4B73589A"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6515B8E8" w14:textId="1265B331">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Revocation Response</w:t>
            </w:r>
          </w:p>
        </w:tc>
        <w:tc>
          <w:tcPr>
            <w:tcW w:w="905" w:type="dxa"/>
            <w:tcBorders>
              <w:top w:val="nil"/>
              <w:left w:val="nil"/>
              <w:bottom w:val="dotted" w:sz="4" w:space="0" w:color="auto"/>
              <w:right w:val="dashed" w:sz="8" w:space="0" w:color="auto"/>
            </w:tcBorders>
            <w:shd w:val="clear" w:color="auto" w:fill="auto"/>
            <w:vAlign w:val="center"/>
            <w:hideMark/>
          </w:tcPr>
          <w:p w:rsidR="00C2107D" w:rsidRPr="00DF0CE3" w:rsidP="00296DF8" w14:paraId="0D63924C" w14:textId="1AC10217">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985" w:type="dxa"/>
            <w:tcBorders>
              <w:top w:val="nil"/>
              <w:left w:val="nil"/>
              <w:bottom w:val="dotted" w:sz="4" w:space="0" w:color="auto"/>
              <w:right w:val="single" w:sz="8" w:space="0" w:color="auto"/>
            </w:tcBorders>
            <w:shd w:val="clear" w:color="auto" w:fill="auto"/>
            <w:vAlign w:val="center"/>
            <w:hideMark/>
          </w:tcPr>
          <w:p w:rsidR="00C2107D" w:rsidRPr="00DF0CE3" w:rsidP="00296DF8" w14:paraId="3FF0244F" w14:textId="797D0FA9">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1,239.84</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7AADB51A" w14:textId="6B1EE164">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75098E71" w14:textId="0D5E3CE3">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4140" w:type="dxa"/>
            <w:vMerge/>
            <w:tcBorders>
              <w:left w:val="nil"/>
              <w:right w:val="single" w:sz="8" w:space="0" w:color="auto"/>
            </w:tcBorders>
            <w:shd w:val="clear" w:color="auto" w:fill="auto"/>
            <w:vAlign w:val="center"/>
            <w:hideMark/>
          </w:tcPr>
          <w:p w:rsidR="00C2107D" w:rsidRPr="00DF0CE3" w:rsidP="00296DF8" w14:paraId="0AAA89C1" w14:textId="2AE4012C">
            <w:pPr>
              <w:rPr>
                <w:rFonts w:ascii="Calibri" w:hAnsi="Calibri" w:cs="Calibri"/>
                <w:color w:val="000000"/>
                <w:sz w:val="16"/>
                <w:szCs w:val="16"/>
              </w:rPr>
            </w:pPr>
          </w:p>
        </w:tc>
      </w:tr>
      <w:tr w14:paraId="3725F32C"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hideMark/>
          </w:tcPr>
          <w:p w:rsidR="00C2107D" w:rsidRPr="00BD2E41" w:rsidP="00296DF8" w14:paraId="231ADB39" w14:textId="60CF2975">
            <w:pPr>
              <w:widowControl/>
              <w:autoSpaceDE/>
              <w:autoSpaceDN/>
              <w:rPr>
                <w:rFonts w:ascii="Arial" w:hAnsi="Arial" w:cs="Arial"/>
                <w:color w:val="000000"/>
                <w:sz w:val="16"/>
                <w:szCs w:val="16"/>
              </w:rPr>
            </w:pPr>
            <w:r w:rsidRPr="00BD2E41">
              <w:rPr>
                <w:rFonts w:ascii="Arial" w:hAnsi="Arial" w:cs="Arial"/>
                <w:color w:val="000000"/>
                <w:sz w:val="16"/>
                <w:szCs w:val="16"/>
              </w:rPr>
              <w:t> </w:t>
            </w:r>
            <w:r w:rsidRPr="00BD2E41">
              <w:rPr>
                <w:rFonts w:ascii="Arial" w:hAnsi="Arial" w:cs="Arial"/>
                <w:color w:val="000000"/>
                <w:sz w:val="16"/>
                <w:szCs w:val="16"/>
                <w:shd w:val="clear" w:color="auto" w:fill="FFFFFF"/>
              </w:rPr>
              <w:t>EMTU-C: Maintenance / Diagnostic &amp; Troubleshooting Support</w:t>
            </w:r>
          </w:p>
        </w:tc>
        <w:tc>
          <w:tcPr>
            <w:tcW w:w="905" w:type="dxa"/>
            <w:tcBorders>
              <w:top w:val="nil"/>
              <w:left w:val="nil"/>
              <w:bottom w:val="dotted" w:sz="4" w:space="0" w:color="auto"/>
              <w:right w:val="dashed" w:sz="8" w:space="0" w:color="auto"/>
            </w:tcBorders>
            <w:shd w:val="clear" w:color="auto" w:fill="auto"/>
            <w:vAlign w:val="center"/>
            <w:hideMark/>
          </w:tcPr>
          <w:p w:rsidR="00C2107D" w:rsidRPr="00DF0CE3" w:rsidP="00296DF8" w14:paraId="5858D3ED" w14:textId="345520CC">
            <w:pPr>
              <w:widowControl/>
              <w:autoSpaceDE/>
              <w:autoSpaceDN/>
              <w:jc w:val="center"/>
              <w:rPr>
                <w:rFonts w:ascii="Calibri" w:hAnsi="Calibri" w:cs="Calibri"/>
                <w:color w:val="000000"/>
                <w:sz w:val="16"/>
                <w:szCs w:val="16"/>
              </w:rPr>
            </w:pPr>
            <w:r w:rsidRPr="00DF0CE3">
              <w:rPr>
                <w:rFonts w:ascii="Calibri" w:hAnsi="Calibri" w:cs="Calibri"/>
                <w:color w:val="000000"/>
                <w:sz w:val="16"/>
                <w:szCs w:val="16"/>
              </w:rPr>
              <w:t> </w:t>
            </w:r>
            <w:r>
              <w:rPr>
                <w:rFonts w:ascii="Calibri" w:hAnsi="Calibri" w:cs="Calibri"/>
                <w:color w:val="000000"/>
                <w:sz w:val="16"/>
                <w:szCs w:val="16"/>
              </w:rPr>
              <w:t>0</w:t>
            </w:r>
          </w:p>
        </w:tc>
        <w:tc>
          <w:tcPr>
            <w:tcW w:w="985" w:type="dxa"/>
            <w:tcBorders>
              <w:top w:val="nil"/>
              <w:left w:val="nil"/>
              <w:bottom w:val="dotted" w:sz="4" w:space="0" w:color="auto"/>
              <w:right w:val="single" w:sz="8" w:space="0" w:color="auto"/>
            </w:tcBorders>
            <w:shd w:val="clear" w:color="auto" w:fill="auto"/>
            <w:vAlign w:val="center"/>
            <w:hideMark/>
          </w:tcPr>
          <w:p w:rsidR="00C2107D" w:rsidRPr="00DF0CE3" w:rsidP="00296DF8" w14:paraId="62C70A1B" w14:textId="645BC0D2">
            <w:pPr>
              <w:widowControl/>
              <w:autoSpaceDE/>
              <w:autoSpaceDN/>
              <w:jc w:val="center"/>
              <w:rPr>
                <w:rFonts w:ascii="Calibri" w:hAnsi="Calibri" w:cs="Calibri"/>
                <w:color w:val="000000"/>
                <w:sz w:val="16"/>
                <w:szCs w:val="16"/>
              </w:rPr>
            </w:pPr>
            <w:r>
              <w:rPr>
                <w:rFonts w:ascii="Calibri" w:hAnsi="Calibri" w:cs="Calibri"/>
                <w:color w:val="000000"/>
                <w:sz w:val="16"/>
                <w:szCs w:val="16"/>
              </w:rPr>
              <w:t>19,067.58</w:t>
            </w:r>
            <w:r w:rsidRPr="00DF0CE3">
              <w:rPr>
                <w:rFonts w:ascii="Calibri" w:hAnsi="Calibri" w:cs="Calibri"/>
                <w:color w:val="000000"/>
                <w:sz w:val="16"/>
                <w:szCs w:val="16"/>
              </w:rPr>
              <w:t> </w:t>
            </w:r>
          </w:p>
        </w:tc>
        <w:tc>
          <w:tcPr>
            <w:tcW w:w="1080" w:type="dxa"/>
            <w:tcBorders>
              <w:top w:val="nil"/>
              <w:left w:val="nil"/>
              <w:bottom w:val="dotted" w:sz="4" w:space="0" w:color="auto"/>
              <w:right w:val="dashed" w:sz="8" w:space="0" w:color="auto"/>
            </w:tcBorders>
            <w:shd w:val="clear" w:color="auto" w:fill="auto"/>
            <w:vAlign w:val="center"/>
            <w:hideMark/>
          </w:tcPr>
          <w:p w:rsidR="00C2107D" w:rsidRPr="00DF0CE3" w:rsidP="00296DF8" w14:paraId="08DB93F1" w14:textId="7A340E6F">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1170" w:type="dxa"/>
            <w:tcBorders>
              <w:top w:val="nil"/>
              <w:left w:val="nil"/>
              <w:bottom w:val="dotted" w:sz="4" w:space="0" w:color="auto"/>
              <w:right w:val="single" w:sz="8" w:space="0" w:color="auto"/>
            </w:tcBorders>
            <w:shd w:val="clear" w:color="auto" w:fill="auto"/>
            <w:vAlign w:val="center"/>
            <w:hideMark/>
          </w:tcPr>
          <w:p w:rsidR="00C2107D" w:rsidRPr="00DF0CE3" w:rsidP="00296DF8" w14:paraId="6AC727C4" w14:textId="0A742881">
            <w:pPr>
              <w:widowControl/>
              <w:autoSpaceDE/>
              <w:autoSpaceDN/>
              <w:jc w:val="center"/>
              <w:rPr>
                <w:rFonts w:ascii="Calibri" w:hAnsi="Calibri" w:cs="Calibri"/>
                <w:color w:val="000000"/>
                <w:sz w:val="16"/>
                <w:szCs w:val="16"/>
              </w:rPr>
            </w:pPr>
            <w:r>
              <w:rPr>
                <w:rFonts w:ascii="Calibri" w:hAnsi="Calibri" w:cs="Calibri"/>
                <w:color w:val="000000"/>
                <w:sz w:val="16"/>
                <w:szCs w:val="16"/>
              </w:rPr>
              <w:t>0</w:t>
            </w:r>
            <w:r w:rsidRPr="00DF0CE3">
              <w:rPr>
                <w:rFonts w:ascii="Calibri" w:hAnsi="Calibri" w:cs="Calibri"/>
                <w:color w:val="000000"/>
                <w:sz w:val="16"/>
                <w:szCs w:val="16"/>
              </w:rPr>
              <w:t> </w:t>
            </w:r>
          </w:p>
        </w:tc>
        <w:tc>
          <w:tcPr>
            <w:tcW w:w="4140" w:type="dxa"/>
            <w:vMerge/>
            <w:tcBorders>
              <w:left w:val="nil"/>
              <w:bottom w:val="dotted" w:sz="4" w:space="0" w:color="auto"/>
              <w:right w:val="single" w:sz="8" w:space="0" w:color="auto"/>
            </w:tcBorders>
            <w:shd w:val="clear" w:color="auto" w:fill="auto"/>
            <w:vAlign w:val="center"/>
            <w:hideMark/>
          </w:tcPr>
          <w:p w:rsidR="00C2107D" w:rsidRPr="00DF0CE3" w:rsidP="00296DF8" w14:paraId="754D7247" w14:textId="34134EFF">
            <w:pPr>
              <w:widowControl/>
              <w:autoSpaceDE/>
              <w:autoSpaceDN/>
              <w:rPr>
                <w:rFonts w:ascii="Calibri" w:hAnsi="Calibri" w:cs="Calibri"/>
                <w:color w:val="000000"/>
                <w:sz w:val="16"/>
                <w:szCs w:val="16"/>
              </w:rPr>
            </w:pPr>
          </w:p>
        </w:tc>
      </w:tr>
      <w:tr w14:paraId="0A55C604"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tcPr>
          <w:p w:rsidR="00923C6F" w:rsidRPr="00BD2E41" w:rsidP="00296DF8" w14:paraId="2F61EE56" w14:textId="22494E95">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Application</w:t>
            </w:r>
          </w:p>
        </w:tc>
        <w:tc>
          <w:tcPr>
            <w:tcW w:w="905" w:type="dxa"/>
            <w:tcBorders>
              <w:top w:val="nil"/>
              <w:left w:val="nil"/>
              <w:bottom w:val="dotted" w:sz="4" w:space="0" w:color="auto"/>
              <w:right w:val="dashed" w:sz="8" w:space="0" w:color="auto"/>
            </w:tcBorders>
            <w:shd w:val="clear" w:color="auto" w:fill="auto"/>
            <w:vAlign w:val="center"/>
          </w:tcPr>
          <w:p w:rsidR="00923C6F" w:rsidRPr="00DF0CE3" w:rsidP="00296DF8" w14:paraId="5B012837" w14:textId="0D3A6F0E">
            <w:pPr>
              <w:widowControl/>
              <w:autoSpaceDE/>
              <w:autoSpaceDN/>
              <w:jc w:val="center"/>
              <w:rPr>
                <w:rFonts w:ascii="Calibri" w:hAnsi="Calibri" w:cs="Calibri"/>
                <w:color w:val="000000"/>
                <w:sz w:val="16"/>
                <w:szCs w:val="16"/>
              </w:rPr>
            </w:pPr>
            <w:r>
              <w:rPr>
                <w:rFonts w:ascii="Calibri" w:hAnsi="Calibri" w:cs="Calibri"/>
                <w:color w:val="000000"/>
                <w:sz w:val="16"/>
                <w:szCs w:val="16"/>
              </w:rPr>
              <w:t>4,015</w:t>
            </w:r>
          </w:p>
        </w:tc>
        <w:tc>
          <w:tcPr>
            <w:tcW w:w="985" w:type="dxa"/>
            <w:tcBorders>
              <w:top w:val="nil"/>
              <w:left w:val="nil"/>
              <w:bottom w:val="dotted" w:sz="4" w:space="0" w:color="auto"/>
              <w:right w:val="single" w:sz="8" w:space="0" w:color="auto"/>
            </w:tcBorders>
            <w:shd w:val="clear" w:color="auto" w:fill="auto"/>
            <w:vAlign w:val="center"/>
          </w:tcPr>
          <w:p w:rsidR="00923C6F" w:rsidRPr="00DF0CE3" w:rsidP="00296DF8" w14:paraId="5670B10D" w14:textId="15AA4F39">
            <w:pPr>
              <w:widowControl/>
              <w:autoSpaceDE/>
              <w:autoSpaceDN/>
              <w:jc w:val="center"/>
              <w:rPr>
                <w:rFonts w:ascii="Calibri" w:hAnsi="Calibri" w:cs="Calibri"/>
                <w:color w:val="000000"/>
                <w:sz w:val="16"/>
                <w:szCs w:val="16"/>
              </w:rPr>
            </w:pPr>
            <w:r>
              <w:rPr>
                <w:rFonts w:ascii="Calibri" w:hAnsi="Calibri" w:cs="Calibri"/>
                <w:color w:val="000000"/>
                <w:sz w:val="16"/>
                <w:szCs w:val="16"/>
              </w:rPr>
              <w:t>4,290.80</w:t>
            </w:r>
          </w:p>
        </w:tc>
        <w:tc>
          <w:tcPr>
            <w:tcW w:w="1080" w:type="dxa"/>
            <w:tcBorders>
              <w:top w:val="nil"/>
              <w:left w:val="nil"/>
              <w:bottom w:val="dotted" w:sz="4" w:space="0" w:color="auto"/>
              <w:right w:val="dashed" w:sz="8" w:space="0" w:color="auto"/>
            </w:tcBorders>
            <w:shd w:val="clear" w:color="auto" w:fill="auto"/>
            <w:vAlign w:val="center"/>
          </w:tcPr>
          <w:p w:rsidR="00923C6F" w:rsidRPr="00DF0CE3" w:rsidP="00296DF8" w14:paraId="3C452F37" w14:textId="03D8D1AF">
            <w:pPr>
              <w:widowControl/>
              <w:autoSpaceDE/>
              <w:autoSpaceDN/>
              <w:jc w:val="center"/>
              <w:rPr>
                <w:rFonts w:ascii="Calibri" w:hAnsi="Calibri" w:cs="Calibri"/>
                <w:color w:val="000000"/>
                <w:sz w:val="16"/>
                <w:szCs w:val="16"/>
              </w:rPr>
            </w:pPr>
            <w:r>
              <w:rPr>
                <w:rFonts w:ascii="Calibri" w:hAnsi="Calibri" w:cs="Calibri"/>
                <w:color w:val="000000"/>
                <w:sz w:val="16"/>
                <w:szCs w:val="16"/>
              </w:rPr>
              <w:t>1,300</w:t>
            </w:r>
          </w:p>
        </w:tc>
        <w:tc>
          <w:tcPr>
            <w:tcW w:w="1170" w:type="dxa"/>
            <w:tcBorders>
              <w:top w:val="nil"/>
              <w:left w:val="nil"/>
              <w:bottom w:val="dotted" w:sz="4" w:space="0" w:color="auto"/>
              <w:right w:val="single" w:sz="8" w:space="0" w:color="auto"/>
            </w:tcBorders>
            <w:shd w:val="clear" w:color="auto" w:fill="auto"/>
            <w:vAlign w:val="center"/>
          </w:tcPr>
          <w:p w:rsidR="00923C6F" w:rsidRPr="00DF0CE3" w:rsidP="00296DF8" w14:paraId="4531359C" w14:textId="644631E6">
            <w:pPr>
              <w:widowControl/>
              <w:autoSpaceDE/>
              <w:autoSpaceDN/>
              <w:jc w:val="center"/>
              <w:rPr>
                <w:rFonts w:ascii="Calibri" w:hAnsi="Calibri" w:cs="Calibri"/>
                <w:color w:val="000000"/>
                <w:sz w:val="16"/>
                <w:szCs w:val="16"/>
              </w:rPr>
            </w:pPr>
            <w:r>
              <w:rPr>
                <w:rFonts w:ascii="Calibri" w:hAnsi="Calibri" w:cs="Calibri"/>
                <w:color w:val="000000"/>
                <w:sz w:val="16"/>
                <w:szCs w:val="16"/>
              </w:rPr>
              <w:t>1,300</w:t>
            </w:r>
          </w:p>
        </w:tc>
        <w:tc>
          <w:tcPr>
            <w:tcW w:w="4140" w:type="dxa"/>
            <w:tcBorders>
              <w:top w:val="nil"/>
              <w:left w:val="nil"/>
              <w:bottom w:val="dotted" w:sz="4" w:space="0" w:color="auto"/>
              <w:right w:val="single" w:sz="8" w:space="0" w:color="auto"/>
            </w:tcBorders>
            <w:shd w:val="clear" w:color="auto" w:fill="auto"/>
            <w:vAlign w:val="center"/>
          </w:tcPr>
          <w:p w:rsidR="00923C6F" w:rsidRPr="00DF0CE3" w:rsidP="00296DF8" w14:paraId="0BE27957" w14:textId="77777777">
            <w:pPr>
              <w:widowControl/>
              <w:autoSpaceDE/>
              <w:autoSpaceDN/>
              <w:rPr>
                <w:rFonts w:ascii="Calibri" w:hAnsi="Calibri" w:cs="Calibri"/>
                <w:color w:val="000000"/>
                <w:sz w:val="16"/>
                <w:szCs w:val="16"/>
              </w:rPr>
            </w:pPr>
          </w:p>
        </w:tc>
      </w:tr>
      <w:tr w14:paraId="0AB5F1C1"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tcPr>
          <w:p w:rsidR="00923C6F" w:rsidRPr="00BD2E41" w:rsidP="00296DF8" w14:paraId="179A3EE7" w14:textId="32C0FC54">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Changes to Type-Approvals</w:t>
            </w:r>
          </w:p>
        </w:tc>
        <w:tc>
          <w:tcPr>
            <w:tcW w:w="905" w:type="dxa"/>
            <w:tcBorders>
              <w:top w:val="nil"/>
              <w:left w:val="nil"/>
              <w:bottom w:val="dotted" w:sz="4" w:space="0" w:color="auto"/>
              <w:right w:val="dashed" w:sz="8" w:space="0" w:color="auto"/>
            </w:tcBorders>
            <w:shd w:val="clear" w:color="auto" w:fill="auto"/>
            <w:vAlign w:val="center"/>
          </w:tcPr>
          <w:p w:rsidR="00923C6F" w:rsidRPr="00DF0CE3" w:rsidP="00296DF8" w14:paraId="136BE748" w14:textId="6469D776">
            <w:pPr>
              <w:widowControl/>
              <w:autoSpaceDE/>
              <w:autoSpaceDN/>
              <w:jc w:val="center"/>
              <w:rPr>
                <w:rFonts w:ascii="Calibri" w:hAnsi="Calibri" w:cs="Calibri"/>
                <w:color w:val="000000"/>
                <w:sz w:val="16"/>
                <w:szCs w:val="16"/>
              </w:rPr>
            </w:pPr>
            <w:r>
              <w:rPr>
                <w:rFonts w:ascii="Calibri" w:hAnsi="Calibri" w:cs="Calibri"/>
                <w:color w:val="000000"/>
                <w:sz w:val="16"/>
                <w:szCs w:val="16"/>
              </w:rPr>
              <w:t>2,431</w:t>
            </w:r>
          </w:p>
        </w:tc>
        <w:tc>
          <w:tcPr>
            <w:tcW w:w="985" w:type="dxa"/>
            <w:tcBorders>
              <w:top w:val="nil"/>
              <w:left w:val="nil"/>
              <w:bottom w:val="dotted" w:sz="4" w:space="0" w:color="auto"/>
              <w:right w:val="single" w:sz="8" w:space="0" w:color="auto"/>
            </w:tcBorders>
            <w:shd w:val="clear" w:color="auto" w:fill="auto"/>
            <w:vAlign w:val="center"/>
          </w:tcPr>
          <w:p w:rsidR="00923C6F" w:rsidRPr="00DF0CE3" w:rsidP="00296DF8" w14:paraId="2D9473F3" w14:textId="7A5239F4">
            <w:pPr>
              <w:widowControl/>
              <w:autoSpaceDE/>
              <w:autoSpaceDN/>
              <w:jc w:val="center"/>
              <w:rPr>
                <w:rFonts w:ascii="Calibri" w:hAnsi="Calibri" w:cs="Calibri"/>
                <w:color w:val="000000"/>
                <w:sz w:val="16"/>
                <w:szCs w:val="16"/>
              </w:rPr>
            </w:pPr>
            <w:r>
              <w:rPr>
                <w:rFonts w:ascii="Calibri" w:hAnsi="Calibri" w:cs="Calibri"/>
                <w:color w:val="000000"/>
                <w:sz w:val="16"/>
                <w:szCs w:val="16"/>
              </w:rPr>
              <w:t>2,479.68</w:t>
            </w:r>
          </w:p>
        </w:tc>
        <w:tc>
          <w:tcPr>
            <w:tcW w:w="1080" w:type="dxa"/>
            <w:tcBorders>
              <w:top w:val="nil"/>
              <w:left w:val="nil"/>
              <w:bottom w:val="dotted" w:sz="4" w:space="0" w:color="auto"/>
              <w:right w:val="dashed" w:sz="8" w:space="0" w:color="auto"/>
            </w:tcBorders>
            <w:shd w:val="clear" w:color="auto" w:fill="auto"/>
            <w:vAlign w:val="center"/>
          </w:tcPr>
          <w:p w:rsidR="00923C6F" w:rsidRPr="00DF0CE3" w:rsidP="00296DF8" w14:paraId="3330ECFF" w14:textId="4CB692DF">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tcPr>
          <w:p w:rsidR="00923C6F" w:rsidRPr="00DF0CE3" w:rsidP="00296DF8" w14:paraId="7700C38E" w14:textId="558C94F3">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4140" w:type="dxa"/>
            <w:tcBorders>
              <w:top w:val="nil"/>
              <w:left w:val="nil"/>
              <w:bottom w:val="dotted" w:sz="4" w:space="0" w:color="auto"/>
              <w:right w:val="single" w:sz="8" w:space="0" w:color="auto"/>
            </w:tcBorders>
            <w:shd w:val="clear" w:color="auto" w:fill="auto"/>
            <w:vAlign w:val="center"/>
          </w:tcPr>
          <w:p w:rsidR="00923C6F" w:rsidRPr="00DF0CE3" w:rsidP="00296DF8" w14:paraId="735B2561" w14:textId="13C3B2D9">
            <w:pPr>
              <w:widowControl/>
              <w:autoSpaceDE/>
              <w:autoSpaceDN/>
              <w:rPr>
                <w:rFonts w:ascii="Calibri" w:hAnsi="Calibri" w:cs="Calibri"/>
                <w:color w:val="000000"/>
                <w:sz w:val="16"/>
                <w:szCs w:val="16"/>
              </w:rPr>
            </w:pPr>
            <w:r>
              <w:rPr>
                <w:rFonts w:ascii="Calibri" w:hAnsi="Calibri" w:cs="Calibri"/>
                <w:color w:val="000000"/>
                <w:sz w:val="16"/>
                <w:szCs w:val="16"/>
              </w:rPr>
              <w:t>Updated wage rates</w:t>
            </w:r>
          </w:p>
        </w:tc>
      </w:tr>
      <w:tr w14:paraId="2FBFDEEE"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tcPr>
          <w:p w:rsidR="00923C6F" w:rsidRPr="00BD2E41" w:rsidP="00296DF8" w14:paraId="010821CE" w14:textId="1D52D393">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Revocation Response</w:t>
            </w:r>
          </w:p>
        </w:tc>
        <w:tc>
          <w:tcPr>
            <w:tcW w:w="905" w:type="dxa"/>
            <w:tcBorders>
              <w:top w:val="nil"/>
              <w:left w:val="nil"/>
              <w:bottom w:val="dotted" w:sz="4" w:space="0" w:color="auto"/>
              <w:right w:val="dashed" w:sz="8" w:space="0" w:color="auto"/>
            </w:tcBorders>
            <w:shd w:val="clear" w:color="auto" w:fill="auto"/>
            <w:vAlign w:val="center"/>
          </w:tcPr>
          <w:p w:rsidR="00923C6F" w:rsidRPr="00DF0CE3" w:rsidP="00296DF8" w14:paraId="30058127" w14:textId="3B195303">
            <w:pPr>
              <w:widowControl/>
              <w:autoSpaceDE/>
              <w:autoSpaceDN/>
              <w:jc w:val="center"/>
              <w:rPr>
                <w:rFonts w:ascii="Calibri" w:hAnsi="Calibri" w:cs="Calibri"/>
                <w:color w:val="000000"/>
                <w:sz w:val="16"/>
                <w:szCs w:val="16"/>
              </w:rPr>
            </w:pPr>
            <w:r>
              <w:rPr>
                <w:rFonts w:ascii="Calibri" w:hAnsi="Calibri" w:cs="Calibri"/>
                <w:color w:val="000000"/>
                <w:sz w:val="16"/>
                <w:szCs w:val="16"/>
              </w:rPr>
              <w:t>1,216</w:t>
            </w:r>
          </w:p>
        </w:tc>
        <w:tc>
          <w:tcPr>
            <w:tcW w:w="985" w:type="dxa"/>
            <w:tcBorders>
              <w:top w:val="nil"/>
              <w:left w:val="nil"/>
              <w:bottom w:val="dotted" w:sz="4" w:space="0" w:color="auto"/>
              <w:right w:val="single" w:sz="8" w:space="0" w:color="auto"/>
            </w:tcBorders>
            <w:shd w:val="clear" w:color="auto" w:fill="auto"/>
            <w:vAlign w:val="center"/>
          </w:tcPr>
          <w:p w:rsidR="00923C6F" w:rsidRPr="00DF0CE3" w:rsidP="00296DF8" w14:paraId="5E387A2D" w14:textId="789C292F">
            <w:pPr>
              <w:widowControl/>
              <w:autoSpaceDE/>
              <w:autoSpaceDN/>
              <w:jc w:val="center"/>
              <w:rPr>
                <w:rFonts w:ascii="Calibri" w:hAnsi="Calibri" w:cs="Calibri"/>
                <w:color w:val="000000"/>
                <w:sz w:val="16"/>
                <w:szCs w:val="16"/>
              </w:rPr>
            </w:pPr>
            <w:r>
              <w:rPr>
                <w:rFonts w:ascii="Calibri" w:hAnsi="Calibri" w:cs="Calibri"/>
                <w:color w:val="000000"/>
                <w:sz w:val="16"/>
                <w:szCs w:val="16"/>
              </w:rPr>
              <w:t>1,239.84</w:t>
            </w:r>
          </w:p>
        </w:tc>
        <w:tc>
          <w:tcPr>
            <w:tcW w:w="1080" w:type="dxa"/>
            <w:tcBorders>
              <w:top w:val="nil"/>
              <w:left w:val="nil"/>
              <w:bottom w:val="dotted" w:sz="4" w:space="0" w:color="auto"/>
              <w:right w:val="dashed" w:sz="8" w:space="0" w:color="auto"/>
            </w:tcBorders>
            <w:shd w:val="clear" w:color="auto" w:fill="auto"/>
            <w:vAlign w:val="center"/>
          </w:tcPr>
          <w:p w:rsidR="00923C6F" w:rsidRPr="00DF0CE3" w:rsidP="00296DF8" w14:paraId="37B400DA" w14:textId="4BEF799B">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tcPr>
          <w:p w:rsidR="00923C6F" w:rsidRPr="00DF0CE3" w:rsidP="00296DF8" w14:paraId="0F918DF4" w14:textId="07D69756">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4140" w:type="dxa"/>
            <w:tcBorders>
              <w:top w:val="nil"/>
              <w:left w:val="nil"/>
              <w:bottom w:val="dotted" w:sz="4" w:space="0" w:color="auto"/>
              <w:right w:val="single" w:sz="8" w:space="0" w:color="auto"/>
            </w:tcBorders>
            <w:shd w:val="clear" w:color="auto" w:fill="auto"/>
            <w:vAlign w:val="center"/>
          </w:tcPr>
          <w:p w:rsidR="00923C6F" w:rsidRPr="00DF0CE3" w:rsidP="00296DF8" w14:paraId="5DFF8C8D" w14:textId="74D8FFF2">
            <w:pPr>
              <w:widowControl/>
              <w:autoSpaceDE/>
              <w:autoSpaceDN/>
              <w:rPr>
                <w:rFonts w:ascii="Calibri" w:hAnsi="Calibri" w:cs="Calibri"/>
                <w:color w:val="000000"/>
                <w:sz w:val="16"/>
                <w:szCs w:val="16"/>
              </w:rPr>
            </w:pPr>
            <w:r>
              <w:rPr>
                <w:rFonts w:ascii="Calibri" w:hAnsi="Calibri" w:cs="Calibri"/>
                <w:color w:val="000000"/>
                <w:sz w:val="16"/>
                <w:szCs w:val="16"/>
              </w:rPr>
              <w:t>Updated wage rates</w:t>
            </w:r>
          </w:p>
        </w:tc>
      </w:tr>
      <w:tr w14:paraId="6BC159AB" w14:textId="77777777" w:rsidTr="00C2107D">
        <w:tblPrEx>
          <w:tblW w:w="11160" w:type="dxa"/>
          <w:tblInd w:w="-730" w:type="dxa"/>
          <w:tblLook w:val="04A0"/>
        </w:tblPrEx>
        <w:trPr>
          <w:trHeight w:val="315"/>
        </w:trPr>
        <w:tc>
          <w:tcPr>
            <w:tcW w:w="2880" w:type="dxa"/>
            <w:tcBorders>
              <w:top w:val="nil"/>
              <w:left w:val="single" w:sz="8" w:space="0" w:color="auto"/>
              <w:bottom w:val="single" w:sz="8" w:space="0" w:color="auto"/>
              <w:right w:val="single" w:sz="8" w:space="0" w:color="auto"/>
            </w:tcBorders>
            <w:shd w:val="clear" w:color="auto" w:fill="auto"/>
            <w:vAlign w:val="center"/>
          </w:tcPr>
          <w:p w:rsidR="00923C6F" w:rsidRPr="00BD2E41" w:rsidP="00296DF8" w14:paraId="6ED824E7" w14:textId="4FDAB568">
            <w:pPr>
              <w:widowControl/>
              <w:autoSpaceDE/>
              <w:autoSpaceDN/>
              <w:rPr>
                <w:rFonts w:ascii="Arial" w:hAnsi="Arial" w:cs="Arial"/>
                <w:color w:val="000000"/>
                <w:sz w:val="16"/>
                <w:szCs w:val="16"/>
              </w:rPr>
            </w:pPr>
            <w:r w:rsidRPr="00BD2E41">
              <w:rPr>
                <w:rFonts w:ascii="Arial" w:hAnsi="Arial" w:cs="Arial"/>
                <w:color w:val="000000"/>
                <w:sz w:val="16"/>
                <w:szCs w:val="16"/>
                <w:shd w:val="clear" w:color="auto" w:fill="FFFFFF"/>
              </w:rPr>
              <w:t>EMTU: Maintenance / Diagnostic &amp; Troubleshooting Support</w:t>
            </w:r>
          </w:p>
        </w:tc>
        <w:tc>
          <w:tcPr>
            <w:tcW w:w="905" w:type="dxa"/>
            <w:tcBorders>
              <w:top w:val="nil"/>
              <w:left w:val="nil"/>
              <w:bottom w:val="dotted" w:sz="4" w:space="0" w:color="auto"/>
              <w:right w:val="dashed" w:sz="8" w:space="0" w:color="auto"/>
            </w:tcBorders>
            <w:shd w:val="clear" w:color="auto" w:fill="auto"/>
            <w:vAlign w:val="center"/>
          </w:tcPr>
          <w:p w:rsidR="00923C6F" w:rsidRPr="00DF0CE3" w:rsidP="00296DF8" w14:paraId="750CA6F4" w14:textId="0D0079A6">
            <w:pPr>
              <w:widowControl/>
              <w:autoSpaceDE/>
              <w:autoSpaceDN/>
              <w:jc w:val="center"/>
              <w:rPr>
                <w:rFonts w:ascii="Calibri" w:hAnsi="Calibri" w:cs="Calibri"/>
                <w:color w:val="000000"/>
                <w:sz w:val="16"/>
                <w:szCs w:val="16"/>
              </w:rPr>
            </w:pPr>
            <w:r>
              <w:rPr>
                <w:rFonts w:ascii="Calibri" w:hAnsi="Calibri" w:cs="Calibri"/>
                <w:color w:val="000000"/>
                <w:sz w:val="16"/>
                <w:szCs w:val="16"/>
              </w:rPr>
              <w:t>247,204</w:t>
            </w:r>
          </w:p>
        </w:tc>
        <w:tc>
          <w:tcPr>
            <w:tcW w:w="985" w:type="dxa"/>
            <w:tcBorders>
              <w:top w:val="nil"/>
              <w:left w:val="nil"/>
              <w:bottom w:val="dotted" w:sz="4" w:space="0" w:color="auto"/>
              <w:right w:val="single" w:sz="8" w:space="0" w:color="auto"/>
            </w:tcBorders>
            <w:shd w:val="clear" w:color="auto" w:fill="auto"/>
            <w:vAlign w:val="center"/>
          </w:tcPr>
          <w:p w:rsidR="00923C6F" w:rsidRPr="00DF0CE3" w:rsidP="00296DF8" w14:paraId="016DD45B" w14:textId="70977F50">
            <w:pPr>
              <w:widowControl/>
              <w:autoSpaceDE/>
              <w:autoSpaceDN/>
              <w:jc w:val="center"/>
              <w:rPr>
                <w:rFonts w:ascii="Calibri" w:hAnsi="Calibri" w:cs="Calibri"/>
                <w:color w:val="000000"/>
                <w:sz w:val="16"/>
                <w:szCs w:val="16"/>
              </w:rPr>
            </w:pPr>
            <w:r>
              <w:rPr>
                <w:rFonts w:ascii="Calibri" w:hAnsi="Calibri" w:cs="Calibri"/>
                <w:color w:val="000000"/>
                <w:sz w:val="16"/>
                <w:szCs w:val="16"/>
              </w:rPr>
              <w:t>243,855.68</w:t>
            </w:r>
          </w:p>
        </w:tc>
        <w:tc>
          <w:tcPr>
            <w:tcW w:w="1080" w:type="dxa"/>
            <w:tcBorders>
              <w:top w:val="nil"/>
              <w:left w:val="nil"/>
              <w:bottom w:val="dotted" w:sz="4" w:space="0" w:color="auto"/>
              <w:right w:val="dashed" w:sz="8" w:space="0" w:color="auto"/>
            </w:tcBorders>
            <w:shd w:val="clear" w:color="auto" w:fill="auto"/>
            <w:vAlign w:val="center"/>
          </w:tcPr>
          <w:p w:rsidR="00923C6F" w:rsidRPr="00DF0CE3" w:rsidP="00296DF8" w14:paraId="6D786852" w14:textId="00B9ABC4">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dotted" w:sz="4" w:space="0" w:color="auto"/>
              <w:right w:val="single" w:sz="8" w:space="0" w:color="auto"/>
            </w:tcBorders>
            <w:shd w:val="clear" w:color="auto" w:fill="auto"/>
            <w:vAlign w:val="center"/>
          </w:tcPr>
          <w:p w:rsidR="00923C6F" w:rsidRPr="00DF0CE3" w:rsidP="00296DF8" w14:paraId="3F46F3A6" w14:textId="4FEBCC22">
            <w:pPr>
              <w:widowControl/>
              <w:autoSpaceDE/>
              <w:autoSpaceDN/>
              <w:jc w:val="center"/>
              <w:rPr>
                <w:rFonts w:ascii="Calibri" w:hAnsi="Calibri" w:cs="Calibri"/>
                <w:color w:val="000000"/>
                <w:sz w:val="16"/>
                <w:szCs w:val="16"/>
              </w:rPr>
            </w:pPr>
            <w:r>
              <w:rPr>
                <w:rFonts w:ascii="Calibri" w:hAnsi="Calibri" w:cs="Calibri"/>
                <w:color w:val="000000"/>
                <w:sz w:val="16"/>
                <w:szCs w:val="16"/>
              </w:rPr>
              <w:t>0</w:t>
            </w:r>
          </w:p>
        </w:tc>
        <w:tc>
          <w:tcPr>
            <w:tcW w:w="4140" w:type="dxa"/>
            <w:tcBorders>
              <w:top w:val="nil"/>
              <w:left w:val="nil"/>
              <w:bottom w:val="dotted" w:sz="4" w:space="0" w:color="auto"/>
              <w:right w:val="single" w:sz="8" w:space="0" w:color="auto"/>
            </w:tcBorders>
            <w:shd w:val="clear" w:color="auto" w:fill="auto"/>
            <w:vAlign w:val="center"/>
          </w:tcPr>
          <w:p w:rsidR="00923C6F" w:rsidRPr="00DF0CE3" w:rsidP="00296DF8" w14:paraId="1FFDEEDD" w14:textId="4D2F8548">
            <w:pPr>
              <w:widowControl/>
              <w:autoSpaceDE/>
              <w:autoSpaceDN/>
              <w:rPr>
                <w:rFonts w:ascii="Calibri" w:hAnsi="Calibri" w:cs="Calibri"/>
                <w:color w:val="000000"/>
                <w:sz w:val="16"/>
                <w:szCs w:val="16"/>
              </w:rPr>
            </w:pPr>
            <w:r>
              <w:rPr>
                <w:rFonts w:ascii="Calibri" w:hAnsi="Calibri" w:cs="Calibri"/>
                <w:color w:val="000000"/>
                <w:sz w:val="16"/>
                <w:szCs w:val="16"/>
              </w:rPr>
              <w:t>Updated wage rates</w:t>
            </w:r>
          </w:p>
        </w:tc>
      </w:tr>
      <w:tr w14:paraId="699CAC19" w14:textId="77777777" w:rsidTr="00C2107D">
        <w:tblPrEx>
          <w:tblW w:w="11160" w:type="dxa"/>
          <w:tblInd w:w="-730" w:type="dxa"/>
          <w:tblLook w:val="04A0"/>
        </w:tblPrEx>
        <w:trPr>
          <w:trHeight w:val="465"/>
        </w:trPr>
        <w:tc>
          <w:tcPr>
            <w:tcW w:w="2880" w:type="dxa"/>
            <w:tcBorders>
              <w:top w:val="nil"/>
              <w:left w:val="single" w:sz="8" w:space="0" w:color="auto"/>
              <w:bottom w:val="nil"/>
              <w:right w:val="single" w:sz="8" w:space="0" w:color="auto"/>
            </w:tcBorders>
            <w:shd w:val="clear" w:color="000000" w:fill="BDD6EE"/>
            <w:vAlign w:val="center"/>
            <w:hideMark/>
          </w:tcPr>
          <w:p w:rsidR="00BF7C47" w:rsidRPr="00DF0CE3" w:rsidP="00296DF8" w14:paraId="45EEAFAF"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Total for Collection</w:t>
            </w:r>
          </w:p>
        </w:tc>
        <w:tc>
          <w:tcPr>
            <w:tcW w:w="905" w:type="dxa"/>
            <w:tcBorders>
              <w:top w:val="nil"/>
              <w:left w:val="nil"/>
              <w:bottom w:val="nil"/>
              <w:right w:val="dashed" w:sz="8" w:space="0" w:color="auto"/>
            </w:tcBorders>
            <w:shd w:val="clear" w:color="000000" w:fill="BDD6EE"/>
            <w:vAlign w:val="center"/>
            <w:hideMark/>
          </w:tcPr>
          <w:p w:rsidR="00BF7C47" w:rsidRPr="00DF0CE3" w:rsidP="00296DF8" w14:paraId="70D69819" w14:textId="04C0F65C">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254,866</w:t>
            </w:r>
            <w:r w:rsidRPr="00DF0CE3">
              <w:rPr>
                <w:rFonts w:ascii="Calibri" w:hAnsi="Calibri" w:cs="Calibri"/>
                <w:b/>
                <w:bCs/>
                <w:color w:val="000000"/>
                <w:sz w:val="16"/>
                <w:szCs w:val="16"/>
              </w:rPr>
              <w:t> </w:t>
            </w:r>
          </w:p>
        </w:tc>
        <w:tc>
          <w:tcPr>
            <w:tcW w:w="985" w:type="dxa"/>
            <w:tcBorders>
              <w:top w:val="nil"/>
              <w:left w:val="nil"/>
              <w:bottom w:val="nil"/>
              <w:right w:val="single" w:sz="8" w:space="0" w:color="auto"/>
            </w:tcBorders>
            <w:shd w:val="clear" w:color="000000" w:fill="BDD6EE"/>
            <w:vAlign w:val="center"/>
            <w:hideMark/>
          </w:tcPr>
          <w:p w:rsidR="00BF7C47" w:rsidRPr="00DF0CE3" w:rsidP="00296DF8" w14:paraId="7395FAE1" w14:textId="1388C90E">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r w:rsidR="00F75630">
              <w:rPr>
                <w:rFonts w:ascii="Calibri" w:hAnsi="Calibri" w:cs="Calibri"/>
                <w:b/>
                <w:bCs/>
                <w:color w:val="000000"/>
                <w:sz w:val="16"/>
                <w:szCs w:val="16"/>
              </w:rPr>
              <w:t>285,903.98</w:t>
            </w:r>
          </w:p>
        </w:tc>
        <w:tc>
          <w:tcPr>
            <w:tcW w:w="1080" w:type="dxa"/>
            <w:tcBorders>
              <w:top w:val="nil"/>
              <w:left w:val="nil"/>
              <w:bottom w:val="nil"/>
              <w:right w:val="dashed" w:sz="8" w:space="0" w:color="auto"/>
            </w:tcBorders>
            <w:shd w:val="clear" w:color="000000" w:fill="BDD6EE"/>
            <w:vAlign w:val="center"/>
            <w:hideMark/>
          </w:tcPr>
          <w:p w:rsidR="00BF7C47" w:rsidRPr="00DF0CE3" w:rsidP="00296DF8" w14:paraId="5BC6770F" w14:textId="2ADDA97C">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1,300</w:t>
            </w:r>
          </w:p>
        </w:tc>
        <w:tc>
          <w:tcPr>
            <w:tcW w:w="1170" w:type="dxa"/>
            <w:tcBorders>
              <w:top w:val="nil"/>
              <w:left w:val="nil"/>
              <w:bottom w:val="nil"/>
              <w:right w:val="single" w:sz="8" w:space="0" w:color="auto"/>
            </w:tcBorders>
            <w:shd w:val="clear" w:color="000000" w:fill="BDD6EE"/>
            <w:vAlign w:val="center"/>
            <w:hideMark/>
          </w:tcPr>
          <w:p w:rsidR="00BF7C47" w:rsidRPr="00DF0CE3" w:rsidP="00296DF8" w14:paraId="67D254E3" w14:textId="65FFF1AE">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5,200</w:t>
            </w:r>
            <w:r w:rsidRPr="00DF0CE3">
              <w:rPr>
                <w:rFonts w:ascii="Calibri" w:hAnsi="Calibri" w:cs="Calibri"/>
                <w:b/>
                <w:bCs/>
                <w:color w:val="000000"/>
                <w:sz w:val="16"/>
                <w:szCs w:val="16"/>
              </w:rPr>
              <w:t> </w:t>
            </w:r>
          </w:p>
        </w:tc>
        <w:tc>
          <w:tcPr>
            <w:tcW w:w="4140" w:type="dxa"/>
            <w:tcBorders>
              <w:top w:val="nil"/>
              <w:left w:val="nil"/>
              <w:bottom w:val="nil"/>
              <w:right w:val="single" w:sz="8" w:space="0" w:color="auto"/>
            </w:tcBorders>
            <w:shd w:val="clear" w:color="000000" w:fill="000000"/>
            <w:vAlign w:val="center"/>
            <w:hideMark/>
          </w:tcPr>
          <w:p w:rsidR="00BF7C47" w:rsidRPr="00DF0CE3" w:rsidP="00296DF8" w14:paraId="0B0F6B86"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 </w:t>
            </w:r>
          </w:p>
        </w:tc>
      </w:tr>
      <w:tr w14:paraId="1DB154DD" w14:textId="77777777" w:rsidTr="00BF7C47">
        <w:tblPrEx>
          <w:tblW w:w="11160" w:type="dxa"/>
          <w:tblInd w:w="-730" w:type="dxa"/>
          <w:tblLook w:val="04A0"/>
        </w:tblPrEx>
        <w:trPr>
          <w:trHeight w:val="315"/>
        </w:trPr>
        <w:tc>
          <w:tcPr>
            <w:tcW w:w="2880" w:type="dxa"/>
            <w:tcBorders>
              <w:top w:val="single" w:sz="8" w:space="0" w:color="auto"/>
              <w:left w:val="single" w:sz="8" w:space="0" w:color="auto"/>
              <w:bottom w:val="single" w:sz="8" w:space="0" w:color="auto"/>
              <w:right w:val="nil"/>
            </w:tcBorders>
            <w:shd w:val="clear" w:color="000000" w:fill="FCE4D6"/>
            <w:noWrap/>
            <w:vAlign w:val="bottom"/>
            <w:hideMark/>
          </w:tcPr>
          <w:p w:rsidR="00BF7C47" w:rsidRPr="00DF0CE3" w:rsidP="00296DF8" w14:paraId="3A8332AB" w14:textId="77777777">
            <w:pPr>
              <w:widowControl/>
              <w:autoSpaceDE/>
              <w:autoSpaceDN/>
              <w:jc w:val="center"/>
              <w:rPr>
                <w:rFonts w:ascii="Calibri" w:hAnsi="Calibri" w:cs="Calibri"/>
                <w:b/>
                <w:bCs/>
                <w:color w:val="000000"/>
                <w:sz w:val="16"/>
                <w:szCs w:val="16"/>
              </w:rPr>
            </w:pPr>
            <w:r w:rsidRPr="00DF0CE3">
              <w:rPr>
                <w:rFonts w:ascii="Calibri" w:hAnsi="Calibri" w:cs="Calibri"/>
                <w:b/>
                <w:bCs/>
                <w:color w:val="000000"/>
                <w:sz w:val="16"/>
                <w:szCs w:val="16"/>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BF7C47" w:rsidRPr="00DF0CE3" w:rsidP="00296DF8" w14:paraId="563BA010" w14:textId="7D1389B2">
            <w:pPr>
              <w:widowControl/>
              <w:autoSpaceDE/>
              <w:autoSpaceDN/>
              <w:jc w:val="center"/>
              <w:rPr>
                <w:rFonts w:ascii="Calibri" w:hAnsi="Calibri" w:cs="Calibri"/>
                <w:color w:val="000000"/>
              </w:rPr>
            </w:pPr>
            <w:r w:rsidRPr="00DF0CE3">
              <w:rPr>
                <w:rFonts w:ascii="Calibri" w:hAnsi="Calibri" w:cs="Calibri"/>
                <w:color w:val="000000"/>
              </w:rPr>
              <w:t> </w:t>
            </w:r>
            <w:r w:rsidR="00B17B73">
              <w:rPr>
                <w:rFonts w:ascii="Calibri" w:hAnsi="Calibri" w:cs="Calibri"/>
                <w:color w:val="000000"/>
              </w:rPr>
              <w:t>-31,037.98</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BF7C47" w:rsidRPr="00DF0CE3" w:rsidP="00EA47E7" w14:paraId="48786CC4" w14:textId="3B5A8870">
            <w:pPr>
              <w:widowControl/>
              <w:autoSpaceDE/>
              <w:autoSpaceDN/>
              <w:jc w:val="center"/>
              <w:rPr>
                <w:rFonts w:ascii="Calibri" w:hAnsi="Calibri" w:cs="Calibri"/>
                <w:color w:val="000000"/>
              </w:rPr>
            </w:pPr>
            <w:r>
              <w:rPr>
                <w:rFonts w:ascii="Calibri" w:hAnsi="Calibri" w:cs="Calibri"/>
                <w:color w:val="000000"/>
              </w:rPr>
              <w:t>-</w:t>
            </w:r>
            <w:r w:rsidR="00EA47E7">
              <w:rPr>
                <w:rFonts w:ascii="Calibri" w:hAnsi="Calibri" w:cs="Calibri"/>
                <w:color w:val="000000"/>
              </w:rPr>
              <w:t>3,900</w:t>
            </w:r>
            <w:r w:rsidRPr="00DF0CE3">
              <w:rPr>
                <w:rFonts w:ascii="Calibri" w:hAnsi="Calibri" w:cs="Calibri"/>
                <w:color w:val="000000"/>
              </w:rPr>
              <w:t> </w:t>
            </w:r>
          </w:p>
        </w:tc>
        <w:tc>
          <w:tcPr>
            <w:tcW w:w="4140" w:type="dxa"/>
            <w:tcBorders>
              <w:top w:val="single" w:sz="8" w:space="0" w:color="auto"/>
              <w:left w:val="nil"/>
              <w:bottom w:val="single" w:sz="8" w:space="0" w:color="auto"/>
              <w:right w:val="single" w:sz="8" w:space="0" w:color="auto"/>
            </w:tcBorders>
            <w:shd w:val="clear" w:color="000000" w:fill="000000"/>
            <w:noWrap/>
            <w:vAlign w:val="bottom"/>
            <w:hideMark/>
          </w:tcPr>
          <w:p w:rsidR="00BF7C47" w:rsidRPr="00DF0CE3" w:rsidP="00296DF8" w14:paraId="4EF164B5" w14:textId="77777777">
            <w:pPr>
              <w:widowControl/>
              <w:autoSpaceDE/>
              <w:autoSpaceDN/>
              <w:rPr>
                <w:rFonts w:ascii="Calibri" w:hAnsi="Calibri" w:cs="Calibri"/>
                <w:color w:val="000000"/>
              </w:rPr>
            </w:pPr>
            <w:r w:rsidRPr="00DF0CE3">
              <w:rPr>
                <w:rFonts w:ascii="Calibri" w:hAnsi="Calibri" w:cs="Calibri"/>
                <w:color w:val="000000"/>
              </w:rPr>
              <w:t> </w:t>
            </w:r>
          </w:p>
        </w:tc>
      </w:tr>
    </w:tbl>
    <w:p w:rsidR="00AC448C" w:rsidRPr="00D74B5B" w:rsidP="00AC448C" w14:paraId="120E3AAE" w14:textId="19BD5156">
      <w:pPr>
        <w:rPr>
          <w:sz w:val="24"/>
          <w:szCs w:val="24"/>
        </w:rPr>
      </w:pPr>
    </w:p>
    <w:p w:rsidR="004F26E9" w:rsidP="00CD5390" w14:paraId="47B8F4EF" w14:textId="77777777">
      <w:pPr>
        <w:rPr>
          <w:sz w:val="24"/>
          <w:szCs w:val="24"/>
        </w:rPr>
      </w:pPr>
    </w:p>
    <w:p w:rsidR="00BF7C47" w:rsidRPr="00BD7237" w:rsidP="00BF7C47" w14:paraId="6310F38E"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Pr>
          <w:b/>
          <w:sz w:val="24"/>
          <w:szCs w:val="24"/>
        </w:rPr>
        <w:t xml:space="preserve">For collections of </w:t>
      </w:r>
      <w:r w:rsidRPr="00BD7237">
        <w:rPr>
          <w:b/>
          <w:sz w:val="24"/>
          <w:szCs w:val="24"/>
        </w:rPr>
        <w:t>information whose results will be published, outline plans for tabulation and publication. Address any complex analytical techniques that will be used. Provide the time schedule for the entire project, including beginning and ending dates of the collection</w:t>
      </w:r>
      <w:r w:rsidRPr="00BD7237">
        <w:rPr>
          <w:b/>
          <w:sz w:val="24"/>
          <w:szCs w:val="24"/>
        </w:rPr>
        <w:t xml:space="preserve"> of information, completion of report, publication dates, and other actions.</w:t>
      </w:r>
    </w:p>
    <w:p w:rsidR="004F26E9" w:rsidP="00CD5390" w14:paraId="1E0F7A0F" w14:textId="7BD429B6">
      <w:pPr>
        <w:rPr>
          <w:sz w:val="24"/>
          <w:szCs w:val="24"/>
        </w:rPr>
      </w:pPr>
    </w:p>
    <w:p w:rsidR="00AC448C" w:rsidRPr="00D74B5B" w:rsidP="00AC448C" w14:paraId="093EE5F7" w14:textId="6EF6F835">
      <w:pPr>
        <w:rPr>
          <w:sz w:val="24"/>
          <w:szCs w:val="24"/>
        </w:rPr>
      </w:pPr>
      <w:r w:rsidRPr="00D74B5B">
        <w:rPr>
          <w:sz w:val="24"/>
          <w:szCs w:val="24"/>
        </w:rPr>
        <w:t>The results from this information collection are not expected to be published, but</w:t>
      </w:r>
      <w:r>
        <w:rPr>
          <w:sz w:val="24"/>
          <w:szCs w:val="24"/>
        </w:rPr>
        <w:t xml:space="preserve"> NMFS OLE will publish on its website a list of VMS respondents that have been type-approved for</w:t>
      </w:r>
      <w:r>
        <w:rPr>
          <w:sz w:val="24"/>
          <w:szCs w:val="24"/>
        </w:rPr>
        <w:t xml:space="preserve"> use in federally managed fisheries where VMS use is required.</w:t>
      </w:r>
    </w:p>
    <w:p w:rsidR="004F26E9" w:rsidP="00CD5390" w14:paraId="0D33E186" w14:textId="77777777">
      <w:pPr>
        <w:rPr>
          <w:sz w:val="24"/>
          <w:szCs w:val="24"/>
        </w:rPr>
      </w:pPr>
    </w:p>
    <w:p w:rsidR="00BF7C47" w:rsidRPr="00BD7237" w:rsidP="00BF7C47" w14:paraId="2E8ABDD4" w14:textId="77777777">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Pr>
          <w:b/>
          <w:sz w:val="24"/>
          <w:szCs w:val="24"/>
        </w:rPr>
        <w:t>If seeking approval to not display the expiration date for OMB approval of the information collection, explain the reasons that display would be inappropriate.</w:t>
      </w:r>
    </w:p>
    <w:p w:rsidR="004F26E9" w:rsidP="00CD5390" w14:paraId="5DA69FA6" w14:textId="55060AB4">
      <w:pPr>
        <w:rPr>
          <w:sz w:val="24"/>
          <w:szCs w:val="24"/>
        </w:rPr>
      </w:pPr>
    </w:p>
    <w:p w:rsidR="00493868" w:rsidP="00CD5390" w14:paraId="5C4797F7" w14:textId="7506966D">
      <w:pPr>
        <w:rPr>
          <w:sz w:val="24"/>
          <w:szCs w:val="24"/>
        </w:rPr>
      </w:pPr>
      <w:r>
        <w:rPr>
          <w:sz w:val="24"/>
          <w:szCs w:val="24"/>
        </w:rPr>
        <w:t>The expiration date will be</w:t>
      </w:r>
      <w:r>
        <w:rPr>
          <w:sz w:val="24"/>
          <w:szCs w:val="24"/>
        </w:rPr>
        <w:t xml:space="preserve"> displayed on the OLE furnished Type-Approval Matrix</w:t>
      </w:r>
      <w:r w:rsidR="00AC448C">
        <w:rPr>
          <w:sz w:val="24"/>
          <w:szCs w:val="24"/>
        </w:rPr>
        <w:t>.</w:t>
      </w:r>
    </w:p>
    <w:p w:rsidR="004F26E9" w:rsidP="00CD5390" w14:paraId="419DD7D1" w14:textId="77777777">
      <w:pPr>
        <w:rPr>
          <w:sz w:val="24"/>
          <w:szCs w:val="24"/>
        </w:rPr>
      </w:pPr>
    </w:p>
    <w:p w:rsidR="00BF7C47" w:rsidRPr="00BD7237" w:rsidP="00BF7C47" w14:paraId="6CFBE18A"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Pr>
          <w:b/>
          <w:sz w:val="24"/>
          <w:szCs w:val="24"/>
        </w:rPr>
        <w:t>Explain each exception to the certification statement identified in “Certification for Paperwork Reduction Act Submissions."</w:t>
      </w:r>
    </w:p>
    <w:p w:rsidR="004F26E9" w:rsidP="00CD5390" w14:paraId="2E188B02" w14:textId="20449E6C">
      <w:pPr>
        <w:rPr>
          <w:sz w:val="24"/>
          <w:szCs w:val="24"/>
        </w:rPr>
      </w:pPr>
    </w:p>
    <w:p w:rsidR="00946AB0" w:rsidRPr="00BF7C47" w:rsidP="00BF7C47" w14:paraId="114EB24C" w14:textId="164F7ABC">
      <w:pPr>
        <w:rPr>
          <w:sz w:val="24"/>
          <w:szCs w:val="24"/>
        </w:rPr>
      </w:pPr>
      <w:r w:rsidRPr="00BF7C47">
        <w:rPr>
          <w:sz w:val="24"/>
          <w:szCs w:val="24"/>
        </w:rPr>
        <w:t xml:space="preserve">The agency certifies compliance with </w:t>
      </w:r>
      <w:hyperlink r:id="rId8">
        <w:r w:rsidRPr="00BF7C47">
          <w:rPr>
            <w:color w:val="0563C1"/>
            <w:sz w:val="24"/>
            <w:szCs w:val="24"/>
            <w:u w:val="thick" w:color="0563C1"/>
          </w:rPr>
          <w:t>5 CFR 1320.9</w:t>
        </w:r>
        <w:r w:rsidRPr="00BF7C47">
          <w:rPr>
            <w:color w:val="0563C1"/>
            <w:sz w:val="24"/>
            <w:szCs w:val="24"/>
          </w:rPr>
          <w:t xml:space="preserve"> </w:t>
        </w:r>
      </w:hyperlink>
      <w:r w:rsidRPr="00BF7C47">
        <w:rPr>
          <w:sz w:val="24"/>
          <w:szCs w:val="24"/>
        </w:rPr>
        <w:t xml:space="preserve">and the related provisions of </w:t>
      </w:r>
      <w:hyperlink r:id="rId9">
        <w:r w:rsidRPr="00BF7C47">
          <w:rPr>
            <w:color w:val="0563C1"/>
            <w:sz w:val="24"/>
            <w:szCs w:val="24"/>
            <w:u w:val="thick" w:color="0563C1"/>
          </w:rPr>
          <w:t>5</w:t>
        </w:r>
        <w:r w:rsidRPr="00BF7C47">
          <w:rPr>
            <w:color w:val="0563C1"/>
            <w:spacing w:val="-42"/>
            <w:sz w:val="24"/>
            <w:szCs w:val="24"/>
            <w:u w:val="thick" w:color="0563C1"/>
          </w:rPr>
          <w:t xml:space="preserve"> </w:t>
        </w:r>
        <w:r w:rsidRPr="00BF7C47">
          <w:rPr>
            <w:color w:val="0563C1"/>
            <w:sz w:val="24"/>
            <w:szCs w:val="24"/>
            <w:u w:val="thick" w:color="0563C1"/>
          </w:rPr>
          <w:t>CFR</w:t>
        </w:r>
      </w:hyperlink>
      <w:r w:rsidRPr="00BF7C47">
        <w:rPr>
          <w:color w:val="0563C1"/>
          <w:sz w:val="24"/>
          <w:szCs w:val="24"/>
        </w:rPr>
        <w:t xml:space="preserve"> </w:t>
      </w:r>
      <w:hyperlink r:id="rId9">
        <w:r w:rsidRPr="00BF7C47">
          <w:rPr>
            <w:color w:val="0563C1"/>
            <w:sz w:val="24"/>
            <w:szCs w:val="24"/>
            <w:u w:val="thick" w:color="0563C1"/>
          </w:rPr>
          <w:t>1320.8(b</w:t>
        </w:r>
        <w:r w:rsidRPr="00BF7C47">
          <w:rPr>
            <w:color w:val="0563C1"/>
            <w:sz w:val="24"/>
            <w:szCs w:val="24"/>
            <w:u w:val="thick" w:color="0563C1"/>
          </w:rPr>
          <w:t>)(</w:t>
        </w:r>
        <w:r w:rsidRPr="00BF7C47">
          <w:rPr>
            <w:color w:val="0563C1"/>
            <w:sz w:val="24"/>
            <w:szCs w:val="24"/>
            <w:u w:val="thick" w:color="0563C1"/>
          </w:rPr>
          <w:t>3)</w:t>
        </w:r>
      </w:hyperlink>
      <w:r w:rsidRPr="00BF7C47">
        <w:rPr>
          <w:sz w:val="24"/>
          <w:szCs w:val="24"/>
        </w:rPr>
        <w:t>.</w:t>
      </w:r>
    </w:p>
    <w:sectPr w:rsidSect="00943130">
      <w:footerReference w:type="default" r:id="rId10"/>
      <w:footnotePr>
        <w:numRestart w:val="eachSect"/>
      </w:footnotePr>
      <w:endnotePr>
        <w:numFmt w:val="decimal"/>
      </w:endnotePr>
      <w:pgSz w:w="12240" w:h="15840"/>
      <w:pgMar w:top="1440" w:right="1440" w:bottom="1350" w:left="126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0362192"/>
      <w:docPartObj>
        <w:docPartGallery w:val="Page Numbers (Bottom of Page)"/>
        <w:docPartUnique/>
      </w:docPartObj>
    </w:sdtPr>
    <w:sdtEndPr>
      <w:rPr>
        <w:noProof/>
      </w:rPr>
    </w:sdtEndPr>
    <w:sdtContent>
      <w:p w:rsidR="00025239" w14:paraId="27C03162" w14:textId="1EEF5BF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025239" w14:paraId="0439286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17467" w14:paraId="64DF5445" w14:textId="77777777">
      <w:r>
        <w:separator/>
      </w:r>
    </w:p>
  </w:footnote>
  <w:footnote w:type="continuationSeparator" w:id="1">
    <w:p w:rsidR="00717467" w14:paraId="25216E0F" w14:textId="77777777">
      <w:r>
        <w:continuationSeparator/>
      </w:r>
    </w:p>
  </w:footnote>
  <w:footnote w:id="2">
    <w:p w:rsidR="00025239" w14:paraId="720CD2FC" w14:textId="7B98F075">
      <w:pPr>
        <w:pStyle w:val="FootnoteText"/>
      </w:pPr>
      <w:r>
        <w:rPr>
          <w:rStyle w:val="FootnoteReference"/>
        </w:rPr>
        <w:footnoteRef/>
      </w:r>
      <w:r w:rsidRPr="004E3347">
        <w:rPr>
          <w:sz w:val="16"/>
          <w:szCs w:val="16"/>
        </w:rPr>
        <w:t xml:space="preserve"> The one federal fishery that allowed EMTU-Cs to be used has been revoked. There are currently no federal fisheries that allow for the use of EMTU-Cs; they all require real-time reporting, which is accomplished by the use of EMTUs</w:t>
      </w:r>
      <w:r>
        <w:t xml:space="preserve">. </w:t>
      </w:r>
    </w:p>
  </w:footnote>
  <w:footnote w:id="3">
    <w:p w:rsidR="00025239" w:rsidRPr="00677E19" w:rsidP="00840612" w14:paraId="2AF00F68" w14:textId="5EE4C5E9">
      <w:pPr>
        <w:pStyle w:val="FootnoteText"/>
      </w:pPr>
      <w:r w:rsidRPr="00677E19">
        <w:rPr>
          <w:rStyle w:val="FootnoteReference"/>
        </w:rPr>
        <w:footnoteRef/>
      </w:r>
      <w:r w:rsidRPr="00677E19">
        <w:t xml:space="preserve"> </w:t>
      </w:r>
      <w:r w:rsidRPr="004E3347">
        <w:rPr>
          <w:sz w:val="16"/>
          <w:szCs w:val="16"/>
          <w:u w:val="single"/>
        </w:rPr>
        <w:t xml:space="preserve">Per </w:t>
      </w:r>
      <w:r>
        <w:rPr>
          <w:sz w:val="16"/>
          <w:szCs w:val="16"/>
          <w:u w:val="single"/>
        </w:rPr>
        <w:t>application</w:t>
      </w:r>
      <w:r>
        <w:rPr>
          <w:sz w:val="16"/>
          <w:szCs w:val="16"/>
        </w:rPr>
        <w:t xml:space="preserve"> </w:t>
      </w:r>
      <w:r w:rsidRPr="004E3347">
        <w:rPr>
          <w:sz w:val="16"/>
          <w:szCs w:val="16"/>
        </w:rPr>
        <w:t>Posta</w:t>
      </w:r>
      <w:r w:rsidRPr="004E3347">
        <w:rPr>
          <w:sz w:val="16"/>
          <w:szCs w:val="16"/>
        </w:rPr>
        <w:t xml:space="preserve">ge: </w:t>
      </w:r>
      <w:r>
        <w:rPr>
          <w:sz w:val="16"/>
          <w:szCs w:val="16"/>
        </w:rPr>
        <w:t>10</w:t>
      </w:r>
      <w:r w:rsidRPr="004E3347">
        <w:rPr>
          <w:sz w:val="16"/>
          <w:szCs w:val="16"/>
        </w:rPr>
        <w:t xml:space="preserve"> units x $50/unit = $</w:t>
      </w:r>
      <w:r>
        <w:rPr>
          <w:sz w:val="16"/>
          <w:szCs w:val="16"/>
        </w:rPr>
        <w:t>500</w:t>
      </w:r>
      <w:r w:rsidRPr="004E3347">
        <w:rPr>
          <w:sz w:val="16"/>
          <w:szCs w:val="16"/>
        </w:rPr>
        <w:t xml:space="preserve">/application; shipping packaging: </w:t>
      </w:r>
      <w:r>
        <w:rPr>
          <w:sz w:val="16"/>
          <w:szCs w:val="16"/>
        </w:rPr>
        <w:t>10</w:t>
      </w:r>
      <w:r w:rsidRPr="004E3347">
        <w:rPr>
          <w:sz w:val="16"/>
          <w:szCs w:val="16"/>
        </w:rPr>
        <w:t xml:space="preserve"> units x $5/unit = $</w:t>
      </w:r>
      <w:r>
        <w:rPr>
          <w:sz w:val="16"/>
          <w:szCs w:val="16"/>
        </w:rPr>
        <w:t>50</w:t>
      </w:r>
      <w:r w:rsidRPr="004E3347">
        <w:rPr>
          <w:sz w:val="16"/>
          <w:szCs w:val="16"/>
        </w:rPr>
        <w:t xml:space="preserve">/application; communication services during testing: $25 per month x 3 months x </w:t>
      </w:r>
      <w:r>
        <w:rPr>
          <w:sz w:val="16"/>
          <w:szCs w:val="16"/>
        </w:rPr>
        <w:t>10</w:t>
      </w:r>
      <w:r w:rsidRPr="004E3347">
        <w:rPr>
          <w:sz w:val="16"/>
          <w:szCs w:val="16"/>
        </w:rPr>
        <w:t xml:space="preserve"> units = $</w:t>
      </w:r>
      <w:r>
        <w:rPr>
          <w:sz w:val="16"/>
          <w:szCs w:val="16"/>
        </w:rPr>
        <w:t>750</w:t>
      </w:r>
      <w:r w:rsidRPr="004E3347">
        <w:rPr>
          <w:sz w:val="16"/>
          <w:szCs w:val="16"/>
        </w:rPr>
        <w:t>. TOTAL: $</w:t>
      </w:r>
      <w:r>
        <w:rPr>
          <w:sz w:val="16"/>
          <w:szCs w:val="16"/>
        </w:rPr>
        <w:t>1300</w:t>
      </w:r>
      <w:r w:rsidRPr="004E3347">
        <w:rPr>
          <w:sz w:val="16"/>
          <w:szCs w:val="16"/>
        </w:rPr>
        <w:t xml:space="preserve"> per application.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
    <w:nsid w:val="378D4E5F"/>
    <w:multiLevelType w:val="hybridMultilevel"/>
    <w:tmpl w:val="AAFE5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5811B5"/>
    <w:multiLevelType w:val="hybridMultilevel"/>
    <w:tmpl w:val="44AE4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E649DB"/>
    <w:multiLevelType w:val="hybridMultilevel"/>
    <w:tmpl w:val="23DC10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E704E9"/>
    <w:multiLevelType w:val="hybridMultilevel"/>
    <w:tmpl w:val="F6F0F7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624A"/>
    <w:rsid w:val="000223DE"/>
    <w:rsid w:val="00025239"/>
    <w:rsid w:val="00025FD1"/>
    <w:rsid w:val="00066544"/>
    <w:rsid w:val="000737FF"/>
    <w:rsid w:val="000741CA"/>
    <w:rsid w:val="00074677"/>
    <w:rsid w:val="00082925"/>
    <w:rsid w:val="00086007"/>
    <w:rsid w:val="000A0540"/>
    <w:rsid w:val="000B3888"/>
    <w:rsid w:val="000D49BA"/>
    <w:rsid w:val="00107F5D"/>
    <w:rsid w:val="00114E29"/>
    <w:rsid w:val="001222A1"/>
    <w:rsid w:val="00134D80"/>
    <w:rsid w:val="00136DC0"/>
    <w:rsid w:val="001438BA"/>
    <w:rsid w:val="0015515F"/>
    <w:rsid w:val="0017680C"/>
    <w:rsid w:val="00185785"/>
    <w:rsid w:val="00193F97"/>
    <w:rsid w:val="001A46F7"/>
    <w:rsid w:val="001A68BE"/>
    <w:rsid w:val="001E6F72"/>
    <w:rsid w:val="001F78DB"/>
    <w:rsid w:val="00201DC3"/>
    <w:rsid w:val="0020448B"/>
    <w:rsid w:val="00220229"/>
    <w:rsid w:val="00244DDA"/>
    <w:rsid w:val="002557C2"/>
    <w:rsid w:val="00261361"/>
    <w:rsid w:val="00296DF8"/>
    <w:rsid w:val="002A0B3A"/>
    <w:rsid w:val="002A785E"/>
    <w:rsid w:val="002C02DB"/>
    <w:rsid w:val="002C148E"/>
    <w:rsid w:val="002E55E3"/>
    <w:rsid w:val="002F41B5"/>
    <w:rsid w:val="003255E2"/>
    <w:rsid w:val="003340D8"/>
    <w:rsid w:val="003666C0"/>
    <w:rsid w:val="00382FB9"/>
    <w:rsid w:val="00383F6D"/>
    <w:rsid w:val="00386A6A"/>
    <w:rsid w:val="003A6974"/>
    <w:rsid w:val="003F2E12"/>
    <w:rsid w:val="00405AA3"/>
    <w:rsid w:val="004124DF"/>
    <w:rsid w:val="00470982"/>
    <w:rsid w:val="004824B8"/>
    <w:rsid w:val="00490A98"/>
    <w:rsid w:val="00493868"/>
    <w:rsid w:val="00495CBB"/>
    <w:rsid w:val="004A76F5"/>
    <w:rsid w:val="004C150B"/>
    <w:rsid w:val="004E3347"/>
    <w:rsid w:val="004F26E9"/>
    <w:rsid w:val="004F7B41"/>
    <w:rsid w:val="00511ADA"/>
    <w:rsid w:val="00532DD5"/>
    <w:rsid w:val="00557696"/>
    <w:rsid w:val="005643CC"/>
    <w:rsid w:val="005710F9"/>
    <w:rsid w:val="00580714"/>
    <w:rsid w:val="00581C79"/>
    <w:rsid w:val="005B4C31"/>
    <w:rsid w:val="005C6849"/>
    <w:rsid w:val="005D0128"/>
    <w:rsid w:val="00603D71"/>
    <w:rsid w:val="00612ED1"/>
    <w:rsid w:val="006200EE"/>
    <w:rsid w:val="00640B76"/>
    <w:rsid w:val="00677E19"/>
    <w:rsid w:val="00685831"/>
    <w:rsid w:val="006D76FE"/>
    <w:rsid w:val="00704D5A"/>
    <w:rsid w:val="007148DE"/>
    <w:rsid w:val="00717467"/>
    <w:rsid w:val="00725C5C"/>
    <w:rsid w:val="00732713"/>
    <w:rsid w:val="00772FFC"/>
    <w:rsid w:val="00784D9F"/>
    <w:rsid w:val="00797D3F"/>
    <w:rsid w:val="007B442E"/>
    <w:rsid w:val="007F663D"/>
    <w:rsid w:val="0080749F"/>
    <w:rsid w:val="00814E3F"/>
    <w:rsid w:val="00825940"/>
    <w:rsid w:val="008370A9"/>
    <w:rsid w:val="00840612"/>
    <w:rsid w:val="00846C18"/>
    <w:rsid w:val="00855631"/>
    <w:rsid w:val="00877710"/>
    <w:rsid w:val="00886C14"/>
    <w:rsid w:val="008A025F"/>
    <w:rsid w:val="008E6382"/>
    <w:rsid w:val="0090431D"/>
    <w:rsid w:val="00923C6F"/>
    <w:rsid w:val="00943130"/>
    <w:rsid w:val="00946591"/>
    <w:rsid w:val="00946AB0"/>
    <w:rsid w:val="0095230E"/>
    <w:rsid w:val="009570B8"/>
    <w:rsid w:val="00972E2F"/>
    <w:rsid w:val="00973C22"/>
    <w:rsid w:val="00984CDB"/>
    <w:rsid w:val="009C0E8F"/>
    <w:rsid w:val="009C34C5"/>
    <w:rsid w:val="009D0616"/>
    <w:rsid w:val="009D13B5"/>
    <w:rsid w:val="009D7CC3"/>
    <w:rsid w:val="009E4783"/>
    <w:rsid w:val="009F499F"/>
    <w:rsid w:val="00A0724B"/>
    <w:rsid w:val="00A110F0"/>
    <w:rsid w:val="00A4379A"/>
    <w:rsid w:val="00A479A8"/>
    <w:rsid w:val="00A52249"/>
    <w:rsid w:val="00A61187"/>
    <w:rsid w:val="00A71403"/>
    <w:rsid w:val="00AB0547"/>
    <w:rsid w:val="00AB643A"/>
    <w:rsid w:val="00AB6635"/>
    <w:rsid w:val="00AC448C"/>
    <w:rsid w:val="00AD3F53"/>
    <w:rsid w:val="00AE7E8A"/>
    <w:rsid w:val="00AF4B65"/>
    <w:rsid w:val="00B17B73"/>
    <w:rsid w:val="00B701E8"/>
    <w:rsid w:val="00BA24B9"/>
    <w:rsid w:val="00BB7E74"/>
    <w:rsid w:val="00BC0E02"/>
    <w:rsid w:val="00BD2E41"/>
    <w:rsid w:val="00BD7237"/>
    <w:rsid w:val="00BF7C47"/>
    <w:rsid w:val="00C2107D"/>
    <w:rsid w:val="00C334A8"/>
    <w:rsid w:val="00C4556A"/>
    <w:rsid w:val="00C77C78"/>
    <w:rsid w:val="00CA157B"/>
    <w:rsid w:val="00CA2B37"/>
    <w:rsid w:val="00CD5390"/>
    <w:rsid w:val="00CE1E61"/>
    <w:rsid w:val="00CF29D5"/>
    <w:rsid w:val="00CF5CC5"/>
    <w:rsid w:val="00D0123F"/>
    <w:rsid w:val="00D20BBD"/>
    <w:rsid w:val="00D37919"/>
    <w:rsid w:val="00D5073E"/>
    <w:rsid w:val="00D74B5B"/>
    <w:rsid w:val="00D878A4"/>
    <w:rsid w:val="00D9308B"/>
    <w:rsid w:val="00DA47B6"/>
    <w:rsid w:val="00DC4374"/>
    <w:rsid w:val="00DD179A"/>
    <w:rsid w:val="00DF0CE3"/>
    <w:rsid w:val="00DF7B97"/>
    <w:rsid w:val="00E166E6"/>
    <w:rsid w:val="00E25B8F"/>
    <w:rsid w:val="00E26E0E"/>
    <w:rsid w:val="00E5780B"/>
    <w:rsid w:val="00E6174B"/>
    <w:rsid w:val="00E65571"/>
    <w:rsid w:val="00EA47E7"/>
    <w:rsid w:val="00EC7F50"/>
    <w:rsid w:val="00ED0433"/>
    <w:rsid w:val="00F0427E"/>
    <w:rsid w:val="00F160E2"/>
    <w:rsid w:val="00F16BFA"/>
    <w:rsid w:val="00F2747C"/>
    <w:rsid w:val="00F37052"/>
    <w:rsid w:val="00F413AC"/>
    <w:rsid w:val="00F4779E"/>
    <w:rsid w:val="00F5581B"/>
    <w:rsid w:val="00F75630"/>
    <w:rsid w:val="00F94046"/>
    <w:rsid w:val="00F95F9D"/>
    <w:rsid w:val="00FB6864"/>
    <w:rsid w:val="00FC6AC0"/>
    <w:rsid w:val="00FD3D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88856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BF7C47"/>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FC6AC0"/>
    <w:rPr>
      <w:sz w:val="16"/>
      <w:szCs w:val="16"/>
    </w:rPr>
  </w:style>
  <w:style w:type="paragraph" w:styleId="CommentText">
    <w:name w:val="annotation text"/>
    <w:basedOn w:val="Normal"/>
    <w:link w:val="CommentTextChar"/>
    <w:rsid w:val="00FC6AC0"/>
  </w:style>
  <w:style w:type="character" w:customStyle="1" w:styleId="CommentTextChar">
    <w:name w:val="Comment Text Char"/>
    <w:basedOn w:val="DefaultParagraphFont"/>
    <w:link w:val="CommentText"/>
    <w:rsid w:val="00FC6AC0"/>
  </w:style>
  <w:style w:type="paragraph" w:styleId="CommentSubject">
    <w:name w:val="annotation subject"/>
    <w:basedOn w:val="CommentText"/>
    <w:next w:val="CommentText"/>
    <w:link w:val="CommentSubjectChar"/>
    <w:rsid w:val="00FC6AC0"/>
    <w:rPr>
      <w:b/>
      <w:bCs/>
    </w:rPr>
  </w:style>
  <w:style w:type="character" w:customStyle="1" w:styleId="CommentSubjectChar">
    <w:name w:val="Comment Subject Char"/>
    <w:basedOn w:val="CommentTextChar"/>
    <w:link w:val="CommentSubject"/>
    <w:rsid w:val="00FC6AC0"/>
    <w:rPr>
      <w:b/>
      <w:bCs/>
    </w:rPr>
  </w:style>
  <w:style w:type="paragraph" w:styleId="BalloonText">
    <w:name w:val="Balloon Text"/>
    <w:basedOn w:val="Normal"/>
    <w:link w:val="BalloonTextChar"/>
    <w:rsid w:val="00FC6AC0"/>
    <w:rPr>
      <w:rFonts w:ascii="Segoe UI" w:hAnsi="Segoe UI" w:cs="Segoe UI"/>
      <w:sz w:val="18"/>
      <w:szCs w:val="18"/>
    </w:rPr>
  </w:style>
  <w:style w:type="character" w:customStyle="1" w:styleId="BalloonTextChar">
    <w:name w:val="Balloon Text Char"/>
    <w:basedOn w:val="DefaultParagraphFont"/>
    <w:link w:val="BalloonText"/>
    <w:rsid w:val="00FC6AC0"/>
    <w:rPr>
      <w:rFonts w:ascii="Segoe UI" w:hAnsi="Segoe UI" w:cs="Segoe UI"/>
      <w:sz w:val="18"/>
      <w:szCs w:val="18"/>
    </w:rPr>
  </w:style>
  <w:style w:type="table" w:styleId="TableGrid">
    <w:name w:val="Table Grid"/>
    <w:basedOn w:val="TableNormal"/>
    <w:rsid w:val="00877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3F6D"/>
  </w:style>
  <w:style w:type="paragraph" w:styleId="FootnoteText">
    <w:name w:val="footnote text"/>
    <w:basedOn w:val="Normal"/>
    <w:link w:val="FootnoteTextChar"/>
    <w:rsid w:val="00840612"/>
    <w:rPr>
      <w:rFonts w:ascii="Courier 10cpi" w:hAnsi="Courier 10cpi" w:cs="Courier 10cpi"/>
    </w:rPr>
  </w:style>
  <w:style w:type="character" w:customStyle="1" w:styleId="FootnoteTextChar">
    <w:name w:val="Footnote Text Char"/>
    <w:basedOn w:val="DefaultParagraphFont"/>
    <w:link w:val="FootnoteText"/>
    <w:rsid w:val="00840612"/>
    <w:rPr>
      <w:rFonts w:ascii="Courier 10cpi" w:hAnsi="Courier 10cpi" w:cs="Courier 10cpi"/>
    </w:rPr>
  </w:style>
  <w:style w:type="character" w:styleId="FootnoteReference">
    <w:name w:val="footnote reference"/>
    <w:rsid w:val="00840612"/>
    <w:rPr>
      <w:vertAlign w:val="superscript"/>
    </w:rPr>
  </w:style>
  <w:style w:type="character" w:customStyle="1" w:styleId="Heading1Char">
    <w:name w:val="Heading 1 Char"/>
    <w:basedOn w:val="DefaultParagraphFont"/>
    <w:link w:val="Heading1"/>
    <w:uiPriority w:val="1"/>
    <w:rsid w:val="00BF7C47"/>
    <w:rPr>
      <w:rFonts w:ascii="Arial" w:eastAsia="Arial" w:hAnsi="Arial" w:cs="Arial"/>
      <w:b/>
      <w:bCs/>
      <w:sz w:val="24"/>
      <w:szCs w:val="24"/>
      <w:lang w:bidi="en-US"/>
    </w:rPr>
  </w:style>
  <w:style w:type="paragraph" w:customStyle="1" w:styleId="Default">
    <w:name w:val="Default"/>
    <w:rsid w:val="00136DC0"/>
    <w:pPr>
      <w:widowControl w:val="0"/>
      <w:autoSpaceDE w:val="0"/>
      <w:autoSpaceDN w:val="0"/>
      <w:adjustRightInd w:val="0"/>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cfr.gov/cgi-bin/text-idx?SID=4f8c513920acef0ac64d76de4707e47b&amp;mc=true&amp;node=sp50.12.600.q&amp;rgn=div6" TargetMode="External" /><Relationship Id="rId7" Type="http://schemas.openxmlformats.org/officeDocument/2006/relationships/hyperlink" Target="http://www.corporateservices.noaa.gov/ames/administrative_orders/chapter_216/216-100.html" TargetMode="External" /><Relationship Id="rId8" Type="http://schemas.openxmlformats.org/officeDocument/2006/relationships/hyperlink" Target="http://www.gpo.gov/fdsys/pkg/CFR-2014-title5-vol3/pdf/CFR-2014-title5-vol3-sec1320-9.pdf" TargetMode="External" /><Relationship Id="rId9" Type="http://schemas.openxmlformats.org/officeDocument/2006/relationships/hyperlink" Target="http://www.gpo.gov/fdsys/pkg/CFR-2014-title5-vol3/pdf/CFR-2014-title5-vol3-sec132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97AE2-1C55-4345-88F8-9DD278C7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3182</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Adrienne.Thomas</cp:lastModifiedBy>
  <cp:revision>3</cp:revision>
  <cp:lastPrinted>2001-03-13T13:05:00Z</cp:lastPrinted>
  <dcterms:created xsi:type="dcterms:W3CDTF">2023-06-16T16:50:00Z</dcterms:created>
  <dcterms:modified xsi:type="dcterms:W3CDTF">2023-06-16T16:55:00Z</dcterms:modified>
</cp:coreProperties>
</file>