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7F0C" w14:paraId="754FDEBE" w14:textId="77777777">
      <w:pPr>
        <w:spacing w:line="240" w:lineRule="auto"/>
        <w:jc w:val="center"/>
        <w:rPr>
          <w:b/>
        </w:rPr>
      </w:pPr>
      <w:bookmarkStart w:id="0" w:name="_gjdgxs" w:colFirst="0" w:colLast="0"/>
      <w:bookmarkEnd w:id="0"/>
      <w:r>
        <w:rPr>
          <w:b/>
        </w:rPr>
        <w:t>SUPPORTING STATEMENT</w:t>
      </w:r>
    </w:p>
    <w:p w:rsidR="00037F0C" w14:paraId="14211257" w14:textId="77777777">
      <w:pPr>
        <w:spacing w:line="240" w:lineRule="auto"/>
        <w:jc w:val="center"/>
        <w:rPr>
          <w:b/>
        </w:rPr>
      </w:pPr>
      <w:r>
        <w:rPr>
          <w:b/>
        </w:rPr>
        <w:t>U.S. Department of Commerce</w:t>
      </w:r>
    </w:p>
    <w:p w:rsidR="00037F0C" w14:paraId="53C95C0F" w14:textId="77777777">
      <w:pPr>
        <w:spacing w:line="240" w:lineRule="auto"/>
        <w:jc w:val="center"/>
        <w:rPr>
          <w:b/>
        </w:rPr>
      </w:pPr>
      <w:r>
        <w:rPr>
          <w:b/>
        </w:rPr>
        <w:t>National Oceanic &amp; Atmospheric Administration</w:t>
      </w:r>
    </w:p>
    <w:p w:rsidR="00037F0C" w14:paraId="6EDD9E16" w14:textId="77777777">
      <w:pPr>
        <w:spacing w:line="240" w:lineRule="auto"/>
        <w:jc w:val="center"/>
        <w:rPr>
          <w:b/>
        </w:rPr>
      </w:pPr>
      <w:r>
        <w:rPr>
          <w:b/>
        </w:rPr>
        <w:t>Marine Recreational Information Program Fishing Effort Survey</w:t>
      </w:r>
    </w:p>
    <w:p w:rsidR="00037F0C" w14:paraId="4706AEBF" w14:textId="77777777">
      <w:pPr>
        <w:spacing w:line="240" w:lineRule="auto"/>
        <w:jc w:val="center"/>
        <w:rPr>
          <w:b/>
        </w:rPr>
      </w:pPr>
      <w:r>
        <w:rPr>
          <w:b/>
        </w:rPr>
        <w:t>OMB Control No. 0648-0652</w:t>
      </w:r>
    </w:p>
    <w:p w:rsidR="00037F0C" w14:paraId="666ABFDC" w14:textId="77777777">
      <w:pPr>
        <w:widowControl w:val="0"/>
        <w:pBdr>
          <w:top w:val="nil"/>
          <w:left w:val="nil"/>
          <w:bottom w:val="nil"/>
          <w:right w:val="nil"/>
          <w:between w:val="nil"/>
        </w:pBdr>
        <w:spacing w:line="240" w:lineRule="auto"/>
        <w:jc w:val="center"/>
        <w:rPr>
          <w:color w:val="000000"/>
        </w:rPr>
      </w:pPr>
    </w:p>
    <w:p w:rsidR="00037F0C" w14:paraId="284F3909" w14:textId="77777777">
      <w:pPr>
        <w:widowControl w:val="0"/>
        <w:pBdr>
          <w:top w:val="nil"/>
          <w:left w:val="nil"/>
          <w:bottom w:val="nil"/>
          <w:right w:val="nil"/>
          <w:between w:val="nil"/>
        </w:pBdr>
        <w:spacing w:line="240" w:lineRule="auto"/>
        <w:jc w:val="center"/>
        <w:rPr>
          <w:color w:val="000000"/>
        </w:rPr>
      </w:pPr>
    </w:p>
    <w:p w:rsidR="00037F0C" w14:paraId="024BC725" w14:textId="77777777">
      <w:pPr>
        <w:widowControl w:val="0"/>
        <w:numPr>
          <w:ilvl w:val="0"/>
          <w:numId w:val="1"/>
        </w:numPr>
        <w:pBdr>
          <w:top w:val="nil"/>
          <w:left w:val="nil"/>
          <w:bottom w:val="nil"/>
          <w:right w:val="nil"/>
          <w:between w:val="nil"/>
        </w:pBdr>
        <w:tabs>
          <w:tab w:val="left" w:pos="540"/>
        </w:tabs>
        <w:spacing w:line="240" w:lineRule="auto"/>
        <w:ind w:left="540" w:hanging="540"/>
        <w:rPr>
          <w:b/>
          <w:color w:val="000000"/>
        </w:rPr>
      </w:pPr>
      <w:r>
        <w:rPr>
          <w:b/>
          <w:color w:val="000000"/>
        </w:rPr>
        <w:t xml:space="preserve">COLLECTIONS OF INFORMATION EMPLOYING STATISTICAL METHODS </w:t>
      </w:r>
    </w:p>
    <w:p w:rsidR="00037F0C" w14:paraId="302384C0" w14:textId="77777777">
      <w:pPr>
        <w:widowControl w:val="0"/>
        <w:pBdr>
          <w:top w:val="nil"/>
          <w:left w:val="nil"/>
          <w:bottom w:val="nil"/>
          <w:right w:val="nil"/>
          <w:between w:val="nil"/>
        </w:pBdr>
        <w:spacing w:line="240" w:lineRule="auto"/>
        <w:ind w:left="720"/>
        <w:rPr>
          <w:color w:val="000000"/>
        </w:rPr>
      </w:pPr>
    </w:p>
    <w:p w:rsidR="00037F0C" w14:paraId="5DA876F8" w14:textId="77777777">
      <w:pPr>
        <w:widowControl w:val="0"/>
        <w:pBdr>
          <w:top w:val="nil"/>
          <w:left w:val="nil"/>
          <w:bottom w:val="nil"/>
          <w:right w:val="nil"/>
          <w:between w:val="nil"/>
        </w:pBdr>
        <w:spacing w:line="240" w:lineRule="auto"/>
        <w:ind w:right="280"/>
        <w:rPr>
          <w:b/>
          <w:color w:val="000000"/>
        </w:rPr>
      </w:pPr>
      <w:r>
        <w:rPr>
          <w:b/>
          <w:color w:val="000000"/>
        </w:rPr>
        <w:t xml:space="preserve">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 </w:t>
      </w:r>
    </w:p>
    <w:p w:rsidR="00037F0C" w14:paraId="22E8E1EF" w14:textId="77777777">
      <w:pPr>
        <w:widowControl w:val="0"/>
        <w:pBdr>
          <w:top w:val="nil"/>
          <w:left w:val="nil"/>
          <w:bottom w:val="nil"/>
          <w:right w:val="nil"/>
          <w:between w:val="nil"/>
        </w:pBdr>
        <w:spacing w:line="240" w:lineRule="auto"/>
        <w:rPr>
          <w:color w:val="000000"/>
        </w:rPr>
      </w:pPr>
    </w:p>
    <w:p w:rsidR="00037F0C" w14:paraId="5B305F7F" w14:textId="77777777">
      <w:pPr>
        <w:spacing w:line="240" w:lineRule="auto"/>
      </w:pPr>
      <w:r>
        <w:t>The MRIP Fishing Effort Survey (FES) is a bi-monthly (wave), cross-sectional mail survey designed to estimate the total number of private boat and shore-based recreational, saltwater fishing trips taken by residents of coastal states.  For each administration, t</w:t>
      </w:r>
      <w:r>
        <w:rPr>
          <w:color w:val="000000"/>
        </w:rPr>
        <w:t>he FES utilizes address-based samples (ABS) covering Hawaii and 16 coastal states along the Atlantic coast and Gulf of Mexico (Maine through Alabama). The sample frame is derived from the USPS Computerized Delivery Sequence File (CDS) and includes all full-time (non-seasonal), residential addresses, with the exception of PO boxes that are not flagged as the only way to get mail.  Sampling is stratified both geographically and by angler license status.  Within each state, sampling is stratified into coastal and non-coastal sub-state regions defined by geographic proximity to the coast.  For the purpose of the FES, counties with borders that are within 25 miles of the coast are in the “coastal” stratum and all other counties are in the “non-coastal” stratum.</w:t>
      </w:r>
      <w:r>
        <w:t xml:space="preserve"> Rhode Island, Connecticut, Delaware, and Florida are not geographically stratified due to relatively consistent rates of fishing among counties.</w:t>
      </w:r>
    </w:p>
    <w:p w:rsidR="00037F0C" w14:paraId="69CC6486" w14:textId="77777777">
      <w:pPr>
        <w:spacing w:line="240" w:lineRule="auto"/>
      </w:pPr>
      <w:bookmarkStart w:id="1" w:name="30j0zll" w:colFirst="0" w:colLast="0"/>
      <w:bookmarkEnd w:id="1"/>
    </w:p>
    <w:p w:rsidR="00037F0C" w14:paraId="61395D44" w14:textId="77777777">
      <w:pPr>
        <w:spacing w:line="240" w:lineRule="auto"/>
      </w:pPr>
      <w:r>
        <w:t xml:space="preserve">Within the geographic strata, addresses are matched to the National Saltwater Angler Registry (NSAR), which consists of state lists of licensed saltwater anglers.  This creates two additional strata; license matched (households with one or more licensed anglers) and license unmatched (households that cannot be matched to NSAR).  This stratification provides additional information to optimize sampling.  Within each stratum, addresses are selected in a single stage using simple random sampling. </w:t>
      </w:r>
    </w:p>
    <w:p w:rsidR="00037F0C" w14:paraId="70BBEBD1" w14:textId="77777777">
      <w:pPr>
        <w:widowControl w:val="0"/>
        <w:pBdr>
          <w:top w:val="nil"/>
          <w:left w:val="nil"/>
          <w:bottom w:val="nil"/>
          <w:right w:val="nil"/>
          <w:between w:val="nil"/>
        </w:pBdr>
        <w:spacing w:line="240" w:lineRule="auto"/>
        <w:rPr>
          <w:color w:val="000000"/>
        </w:rPr>
      </w:pPr>
    </w:p>
    <w:p w:rsidR="00037F0C" w14:paraId="7452A343" w14:textId="77777777">
      <w:pPr>
        <w:widowControl w:val="0"/>
        <w:pBdr>
          <w:top w:val="nil"/>
          <w:left w:val="nil"/>
          <w:bottom w:val="nil"/>
          <w:right w:val="nil"/>
          <w:between w:val="nil"/>
        </w:pBdr>
        <w:spacing w:line="240" w:lineRule="auto"/>
        <w:rPr>
          <w:color w:val="000000"/>
        </w:rPr>
      </w:pPr>
      <w:r>
        <w:rPr>
          <w:color w:val="000000"/>
        </w:rPr>
        <w:t xml:space="preserve">Table 1 provides the sample universe, annual target sample sizes, and estimated number of completed household interviews for each state.  The sample sizes for each state and wave are expected to result in estimates of total fishing effort with coefficients of variation of 0.20 or less. Within each state and wave, sample are allocated using a Neyman approach, where the sample is distributed among strata in proportion to the product of the population size and the standard deviation.  Standard deviations are based upon historical FES data and estimates.  </w:t>
      </w:r>
    </w:p>
    <w:p w:rsidR="00037F0C" w14:paraId="214E48BD" w14:textId="77777777">
      <w:pPr>
        <w:widowControl w:val="0"/>
        <w:pBdr>
          <w:top w:val="nil"/>
          <w:left w:val="nil"/>
          <w:bottom w:val="nil"/>
          <w:right w:val="nil"/>
          <w:between w:val="nil"/>
        </w:pBdr>
        <w:spacing w:line="240" w:lineRule="auto"/>
        <w:rPr>
          <w:color w:val="000000"/>
        </w:rPr>
      </w:pPr>
    </w:p>
    <w:p w:rsidR="00037F0C" w14:paraId="534936D4" w14:textId="77777777">
      <w:pPr>
        <w:spacing w:after="200" w:line="276" w:lineRule="auto"/>
        <w:rPr>
          <w:color w:val="000000"/>
        </w:rPr>
      </w:pPr>
      <w:r>
        <w:br w:type="page"/>
      </w:r>
    </w:p>
    <w:p w:rsidR="00037F0C" w14:paraId="3AC93763" w14:textId="77777777">
      <w:pPr>
        <w:widowControl w:val="0"/>
        <w:pBdr>
          <w:top w:val="nil"/>
          <w:left w:val="nil"/>
          <w:bottom w:val="nil"/>
          <w:right w:val="nil"/>
          <w:between w:val="nil"/>
        </w:pBdr>
        <w:spacing w:line="240" w:lineRule="auto"/>
        <w:rPr>
          <w:color w:val="000000"/>
        </w:rPr>
      </w:pPr>
      <w:r>
        <w:rPr>
          <w:color w:val="000000"/>
        </w:rPr>
        <w:t xml:space="preserve">Table 1.  Estimated size of the sample universe, annual target sample sizes, expected response rates and estimated number of completed household surveys.  </w:t>
      </w:r>
    </w:p>
    <w:p w:rsidR="00037F0C" w14:paraId="545E98AC" w14:textId="77777777">
      <w:pPr>
        <w:widowControl w:val="0"/>
        <w:pBdr>
          <w:top w:val="nil"/>
          <w:left w:val="nil"/>
          <w:bottom w:val="nil"/>
          <w:right w:val="nil"/>
          <w:between w:val="nil"/>
        </w:pBdr>
        <w:spacing w:line="240" w:lineRule="auto"/>
        <w:rPr>
          <w:color w:val="000000"/>
          <w:sz w:val="22"/>
          <w:szCs w:val="22"/>
        </w:rPr>
      </w:pPr>
    </w:p>
    <w:tbl>
      <w:tblPr>
        <w:tblStyle w:val="a"/>
        <w:tblW w:w="9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80"/>
        <w:gridCol w:w="1960"/>
        <w:gridCol w:w="1640"/>
        <w:gridCol w:w="2220"/>
        <w:gridCol w:w="1900"/>
      </w:tblGrid>
      <w:tr w14:paraId="5F4170FC" w14:textId="77777777">
        <w:tblPrEx>
          <w:tblW w:w="9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550"/>
        </w:trPr>
        <w:tc>
          <w:tcPr>
            <w:tcW w:w="1680" w:type="dxa"/>
            <w:tcBorders>
              <w:top w:val="single" w:sz="4" w:space="0" w:color="000000"/>
              <w:left w:val="nil"/>
              <w:bottom w:val="single" w:sz="4" w:space="0" w:color="000000"/>
              <w:right w:val="nil"/>
            </w:tcBorders>
            <w:shd w:val="clear" w:color="auto" w:fill="auto"/>
            <w:vAlign w:val="bottom"/>
          </w:tcPr>
          <w:p w:rsidR="00037F0C" w14:paraId="4C13D1CE" w14:textId="77777777">
            <w:pPr>
              <w:jc w:val="center"/>
              <w:rPr>
                <w:rFonts w:ascii="Calibri" w:eastAsia="Calibri" w:hAnsi="Calibri" w:cs="Calibri"/>
              </w:rPr>
            </w:pPr>
            <w:r>
              <w:rPr>
                <w:rFonts w:ascii="Calibri" w:eastAsia="Calibri" w:hAnsi="Calibri" w:cs="Calibri"/>
              </w:rPr>
              <w:t>State</w:t>
            </w:r>
          </w:p>
        </w:tc>
        <w:tc>
          <w:tcPr>
            <w:tcW w:w="1960" w:type="dxa"/>
            <w:tcBorders>
              <w:top w:val="single" w:sz="4" w:space="0" w:color="000000"/>
              <w:left w:val="nil"/>
              <w:bottom w:val="single" w:sz="4" w:space="0" w:color="000000"/>
              <w:right w:val="nil"/>
            </w:tcBorders>
            <w:shd w:val="clear" w:color="auto" w:fill="auto"/>
            <w:vAlign w:val="bottom"/>
          </w:tcPr>
          <w:p w:rsidR="00037F0C" w14:paraId="2F64A514" w14:textId="77777777">
            <w:pPr>
              <w:jc w:val="center"/>
              <w:rPr>
                <w:rFonts w:ascii="Calibri" w:eastAsia="Calibri" w:hAnsi="Calibri" w:cs="Calibri"/>
              </w:rPr>
            </w:pPr>
            <w:r>
              <w:rPr>
                <w:rFonts w:ascii="Calibri" w:eastAsia="Calibri" w:hAnsi="Calibri" w:cs="Calibri"/>
              </w:rPr>
              <w:t>Estimated Number of Households</w:t>
            </w:r>
            <w:r>
              <w:rPr>
                <w:rFonts w:ascii="Calibri" w:eastAsia="Calibri" w:hAnsi="Calibri" w:cs="Calibri"/>
                <w:vertAlign w:val="superscript"/>
              </w:rPr>
              <w:footnoteReference w:id="2"/>
            </w:r>
          </w:p>
        </w:tc>
        <w:tc>
          <w:tcPr>
            <w:tcW w:w="1640" w:type="dxa"/>
            <w:tcBorders>
              <w:top w:val="single" w:sz="4" w:space="0" w:color="000000"/>
              <w:left w:val="nil"/>
              <w:bottom w:val="single" w:sz="4" w:space="0" w:color="000000"/>
              <w:right w:val="nil"/>
            </w:tcBorders>
            <w:shd w:val="clear" w:color="auto" w:fill="auto"/>
            <w:vAlign w:val="bottom"/>
          </w:tcPr>
          <w:p w:rsidR="00037F0C" w14:paraId="431DB08E" w14:textId="77777777">
            <w:pPr>
              <w:jc w:val="center"/>
              <w:rPr>
                <w:rFonts w:ascii="Calibri" w:eastAsia="Calibri" w:hAnsi="Calibri" w:cs="Calibri"/>
              </w:rPr>
            </w:pPr>
            <w:r>
              <w:rPr>
                <w:rFonts w:ascii="Calibri" w:eastAsia="Calibri" w:hAnsi="Calibri" w:cs="Calibri"/>
              </w:rPr>
              <w:t>Target FES Sample Size</w:t>
            </w:r>
          </w:p>
        </w:tc>
        <w:tc>
          <w:tcPr>
            <w:tcW w:w="2220" w:type="dxa"/>
            <w:tcBorders>
              <w:top w:val="single" w:sz="4" w:space="0" w:color="000000"/>
              <w:left w:val="nil"/>
              <w:bottom w:val="single" w:sz="4" w:space="0" w:color="000000"/>
              <w:right w:val="nil"/>
            </w:tcBorders>
            <w:shd w:val="clear" w:color="auto" w:fill="auto"/>
            <w:vAlign w:val="bottom"/>
          </w:tcPr>
          <w:p w:rsidR="00037F0C" w14:paraId="650B0B94" w14:textId="77777777">
            <w:pPr>
              <w:jc w:val="center"/>
              <w:rPr>
                <w:rFonts w:ascii="Calibri" w:eastAsia="Calibri" w:hAnsi="Calibri" w:cs="Calibri"/>
              </w:rPr>
            </w:pPr>
            <w:r>
              <w:rPr>
                <w:rFonts w:ascii="Calibri" w:eastAsia="Calibri" w:hAnsi="Calibri" w:cs="Calibri"/>
              </w:rPr>
              <w:t>Expected Response Rate (%)</w:t>
            </w:r>
          </w:p>
        </w:tc>
        <w:tc>
          <w:tcPr>
            <w:tcW w:w="1900" w:type="dxa"/>
            <w:tcBorders>
              <w:top w:val="single" w:sz="4" w:space="0" w:color="000000"/>
              <w:left w:val="nil"/>
              <w:bottom w:val="single" w:sz="4" w:space="0" w:color="000000"/>
              <w:right w:val="nil"/>
            </w:tcBorders>
            <w:shd w:val="clear" w:color="auto" w:fill="auto"/>
            <w:vAlign w:val="bottom"/>
          </w:tcPr>
          <w:p w:rsidR="00037F0C" w14:paraId="73C81E5B" w14:textId="77777777">
            <w:pPr>
              <w:jc w:val="center"/>
              <w:rPr>
                <w:rFonts w:ascii="Calibri" w:eastAsia="Calibri" w:hAnsi="Calibri" w:cs="Calibri"/>
              </w:rPr>
            </w:pPr>
            <w:r>
              <w:rPr>
                <w:rFonts w:ascii="Calibri" w:eastAsia="Calibri" w:hAnsi="Calibri" w:cs="Calibri"/>
              </w:rPr>
              <w:t>Estimated Completed Interviews</w:t>
            </w:r>
            <w:r>
              <w:rPr>
                <w:rFonts w:ascii="Calibri" w:eastAsia="Calibri" w:hAnsi="Calibri" w:cs="Calibri"/>
                <w:vertAlign w:val="superscript"/>
              </w:rPr>
              <w:footnoteReference w:id="3"/>
            </w:r>
          </w:p>
        </w:tc>
      </w:tr>
      <w:tr w14:paraId="755050DF" w14:textId="77777777">
        <w:tblPrEx>
          <w:tblW w:w="9400" w:type="dxa"/>
          <w:tblLayout w:type="fixed"/>
          <w:tblLook w:val="0400"/>
        </w:tblPrEx>
        <w:trPr>
          <w:trHeight w:val="260"/>
        </w:trPr>
        <w:tc>
          <w:tcPr>
            <w:tcW w:w="1680" w:type="dxa"/>
            <w:tcBorders>
              <w:top w:val="nil"/>
              <w:left w:val="nil"/>
              <w:bottom w:val="nil"/>
              <w:right w:val="nil"/>
            </w:tcBorders>
            <w:shd w:val="clear" w:color="auto" w:fill="auto"/>
            <w:vAlign w:val="bottom"/>
          </w:tcPr>
          <w:p w:rsidR="00037F0C" w14:paraId="6C984AFC" w14:textId="77777777">
            <w:pPr>
              <w:jc w:val="center"/>
              <w:rPr>
                <w:rFonts w:ascii="Calibri" w:eastAsia="Calibri" w:hAnsi="Calibri" w:cs="Calibri"/>
              </w:rPr>
            </w:pPr>
            <w:r>
              <w:rPr>
                <w:rFonts w:ascii="Calibri" w:eastAsia="Calibri" w:hAnsi="Calibri" w:cs="Calibri"/>
              </w:rPr>
              <w:t>AL</w:t>
            </w:r>
          </w:p>
        </w:tc>
        <w:tc>
          <w:tcPr>
            <w:tcW w:w="1960" w:type="dxa"/>
            <w:tcBorders>
              <w:top w:val="nil"/>
              <w:left w:val="nil"/>
              <w:bottom w:val="nil"/>
              <w:right w:val="nil"/>
            </w:tcBorders>
            <w:shd w:val="clear" w:color="auto" w:fill="auto"/>
            <w:vAlign w:val="bottom"/>
          </w:tcPr>
          <w:p w:rsidR="00037F0C" w14:paraId="2981A4C7" w14:textId="77777777">
            <w:pPr>
              <w:jc w:val="center"/>
              <w:rPr>
                <w:rFonts w:ascii="Calibri" w:eastAsia="Calibri" w:hAnsi="Calibri" w:cs="Calibri"/>
                <w:color w:val="000000"/>
              </w:rPr>
            </w:pPr>
            <w:r>
              <w:rPr>
                <w:rFonts w:ascii="Calibri" w:eastAsia="Calibri" w:hAnsi="Calibri" w:cs="Calibri"/>
                <w:color w:val="000000"/>
              </w:rPr>
              <w:t>1,861,977</w:t>
            </w:r>
          </w:p>
        </w:tc>
        <w:tc>
          <w:tcPr>
            <w:tcW w:w="1640" w:type="dxa"/>
            <w:tcBorders>
              <w:top w:val="nil"/>
              <w:left w:val="nil"/>
              <w:bottom w:val="nil"/>
              <w:right w:val="nil"/>
            </w:tcBorders>
            <w:shd w:val="clear" w:color="auto" w:fill="auto"/>
            <w:vAlign w:val="bottom"/>
          </w:tcPr>
          <w:p w:rsidR="00037F0C" w14:paraId="6D9B2A40" w14:textId="77777777">
            <w:pPr>
              <w:jc w:val="center"/>
              <w:rPr>
                <w:rFonts w:ascii="Calibri" w:eastAsia="Calibri" w:hAnsi="Calibri" w:cs="Calibri"/>
              </w:rPr>
            </w:pPr>
            <w:r>
              <w:rPr>
                <w:rFonts w:ascii="Calibri" w:eastAsia="Calibri" w:hAnsi="Calibri" w:cs="Calibri"/>
              </w:rPr>
              <w:t>23,815</w:t>
            </w:r>
          </w:p>
        </w:tc>
        <w:tc>
          <w:tcPr>
            <w:tcW w:w="2220" w:type="dxa"/>
            <w:tcBorders>
              <w:top w:val="nil"/>
              <w:left w:val="nil"/>
              <w:bottom w:val="nil"/>
              <w:right w:val="nil"/>
            </w:tcBorders>
            <w:shd w:val="clear" w:color="auto" w:fill="auto"/>
            <w:vAlign w:val="bottom"/>
          </w:tcPr>
          <w:p w:rsidR="00037F0C" w14:paraId="74B0CFC9" w14:textId="77777777">
            <w:pPr>
              <w:jc w:val="center"/>
              <w:rPr>
                <w:rFonts w:ascii="Calibri" w:eastAsia="Calibri" w:hAnsi="Calibri" w:cs="Calibri"/>
              </w:rPr>
            </w:pPr>
            <w:r>
              <w:rPr>
                <w:rFonts w:ascii="Calibri" w:eastAsia="Calibri" w:hAnsi="Calibri" w:cs="Calibri"/>
              </w:rPr>
              <w:t>30.7</w:t>
            </w:r>
          </w:p>
        </w:tc>
        <w:tc>
          <w:tcPr>
            <w:tcW w:w="1900" w:type="dxa"/>
            <w:tcBorders>
              <w:top w:val="nil"/>
              <w:left w:val="nil"/>
              <w:bottom w:val="nil"/>
              <w:right w:val="nil"/>
            </w:tcBorders>
            <w:shd w:val="clear" w:color="auto" w:fill="auto"/>
            <w:vAlign w:val="bottom"/>
          </w:tcPr>
          <w:p w:rsidR="00037F0C" w14:paraId="3E2039A5" w14:textId="77777777">
            <w:pPr>
              <w:jc w:val="center"/>
              <w:rPr>
                <w:rFonts w:ascii="Calibri" w:eastAsia="Calibri" w:hAnsi="Calibri" w:cs="Calibri"/>
              </w:rPr>
            </w:pPr>
            <w:r>
              <w:rPr>
                <w:rFonts w:ascii="Calibri" w:eastAsia="Calibri" w:hAnsi="Calibri" w:cs="Calibri"/>
              </w:rPr>
              <w:t>7,321</w:t>
            </w:r>
          </w:p>
        </w:tc>
      </w:tr>
      <w:tr w14:paraId="624436FA" w14:textId="77777777">
        <w:tblPrEx>
          <w:tblW w:w="9400" w:type="dxa"/>
          <w:tblLayout w:type="fixed"/>
          <w:tblLook w:val="0400"/>
        </w:tblPrEx>
        <w:trPr>
          <w:trHeight w:val="260"/>
        </w:trPr>
        <w:tc>
          <w:tcPr>
            <w:tcW w:w="1680" w:type="dxa"/>
            <w:tcBorders>
              <w:top w:val="nil"/>
              <w:left w:val="nil"/>
              <w:bottom w:val="nil"/>
              <w:right w:val="nil"/>
            </w:tcBorders>
            <w:shd w:val="clear" w:color="auto" w:fill="auto"/>
            <w:vAlign w:val="bottom"/>
          </w:tcPr>
          <w:p w:rsidR="00037F0C" w14:paraId="253B645D" w14:textId="77777777">
            <w:pPr>
              <w:jc w:val="center"/>
              <w:rPr>
                <w:rFonts w:ascii="Calibri" w:eastAsia="Calibri" w:hAnsi="Calibri" w:cs="Calibri"/>
              </w:rPr>
            </w:pPr>
            <w:r>
              <w:rPr>
                <w:rFonts w:ascii="Calibri" w:eastAsia="Calibri" w:hAnsi="Calibri" w:cs="Calibri"/>
              </w:rPr>
              <w:t>CT</w:t>
            </w:r>
          </w:p>
        </w:tc>
        <w:tc>
          <w:tcPr>
            <w:tcW w:w="1960" w:type="dxa"/>
            <w:tcBorders>
              <w:top w:val="nil"/>
              <w:left w:val="nil"/>
              <w:bottom w:val="nil"/>
              <w:right w:val="nil"/>
            </w:tcBorders>
            <w:shd w:val="clear" w:color="auto" w:fill="auto"/>
            <w:vAlign w:val="bottom"/>
          </w:tcPr>
          <w:p w:rsidR="00037F0C" w14:paraId="7286063E" w14:textId="77777777">
            <w:pPr>
              <w:jc w:val="center"/>
              <w:rPr>
                <w:rFonts w:ascii="Calibri" w:eastAsia="Calibri" w:hAnsi="Calibri" w:cs="Calibri"/>
                <w:color w:val="000000"/>
              </w:rPr>
            </w:pPr>
            <w:r>
              <w:rPr>
                <w:rFonts w:ascii="Calibri" w:eastAsia="Calibri" w:hAnsi="Calibri" w:cs="Calibri"/>
                <w:color w:val="000000"/>
              </w:rPr>
              <w:t>1,356,762</w:t>
            </w:r>
          </w:p>
        </w:tc>
        <w:tc>
          <w:tcPr>
            <w:tcW w:w="1640" w:type="dxa"/>
            <w:tcBorders>
              <w:top w:val="nil"/>
              <w:left w:val="nil"/>
              <w:bottom w:val="nil"/>
              <w:right w:val="nil"/>
            </w:tcBorders>
            <w:shd w:val="clear" w:color="auto" w:fill="auto"/>
            <w:vAlign w:val="bottom"/>
          </w:tcPr>
          <w:p w:rsidR="00037F0C" w14:paraId="1AAA7D26" w14:textId="77777777">
            <w:pPr>
              <w:jc w:val="center"/>
              <w:rPr>
                <w:rFonts w:ascii="Calibri" w:eastAsia="Calibri" w:hAnsi="Calibri" w:cs="Calibri"/>
              </w:rPr>
            </w:pPr>
            <w:r>
              <w:rPr>
                <w:rFonts w:ascii="Calibri" w:eastAsia="Calibri" w:hAnsi="Calibri" w:cs="Calibri"/>
              </w:rPr>
              <w:t>20,161</w:t>
            </w:r>
          </w:p>
        </w:tc>
        <w:tc>
          <w:tcPr>
            <w:tcW w:w="2220" w:type="dxa"/>
            <w:tcBorders>
              <w:top w:val="nil"/>
              <w:left w:val="nil"/>
              <w:bottom w:val="nil"/>
              <w:right w:val="nil"/>
            </w:tcBorders>
            <w:shd w:val="clear" w:color="auto" w:fill="auto"/>
            <w:vAlign w:val="bottom"/>
          </w:tcPr>
          <w:p w:rsidR="00037F0C" w14:paraId="198FE1C4" w14:textId="77777777">
            <w:pPr>
              <w:jc w:val="center"/>
              <w:rPr>
                <w:rFonts w:ascii="Calibri" w:eastAsia="Calibri" w:hAnsi="Calibri" w:cs="Calibri"/>
              </w:rPr>
            </w:pPr>
            <w:r>
              <w:rPr>
                <w:rFonts w:ascii="Calibri" w:eastAsia="Calibri" w:hAnsi="Calibri" w:cs="Calibri"/>
              </w:rPr>
              <w:t>32.7</w:t>
            </w:r>
          </w:p>
        </w:tc>
        <w:tc>
          <w:tcPr>
            <w:tcW w:w="1900" w:type="dxa"/>
            <w:tcBorders>
              <w:top w:val="nil"/>
              <w:left w:val="nil"/>
              <w:bottom w:val="nil"/>
              <w:right w:val="nil"/>
            </w:tcBorders>
            <w:shd w:val="clear" w:color="auto" w:fill="auto"/>
            <w:vAlign w:val="bottom"/>
          </w:tcPr>
          <w:p w:rsidR="00037F0C" w14:paraId="3FD4D034" w14:textId="77777777">
            <w:pPr>
              <w:jc w:val="center"/>
              <w:rPr>
                <w:rFonts w:ascii="Calibri" w:eastAsia="Calibri" w:hAnsi="Calibri" w:cs="Calibri"/>
              </w:rPr>
            </w:pPr>
            <w:r>
              <w:rPr>
                <w:rFonts w:ascii="Calibri" w:eastAsia="Calibri" w:hAnsi="Calibri" w:cs="Calibri"/>
              </w:rPr>
              <w:t>6,588</w:t>
            </w:r>
          </w:p>
        </w:tc>
      </w:tr>
      <w:tr w14:paraId="0835F359" w14:textId="77777777">
        <w:tblPrEx>
          <w:tblW w:w="9400" w:type="dxa"/>
          <w:tblLayout w:type="fixed"/>
          <w:tblLook w:val="0400"/>
        </w:tblPrEx>
        <w:trPr>
          <w:trHeight w:val="260"/>
        </w:trPr>
        <w:tc>
          <w:tcPr>
            <w:tcW w:w="1680" w:type="dxa"/>
            <w:tcBorders>
              <w:top w:val="nil"/>
              <w:left w:val="nil"/>
              <w:bottom w:val="nil"/>
              <w:right w:val="nil"/>
            </w:tcBorders>
            <w:shd w:val="clear" w:color="auto" w:fill="auto"/>
            <w:vAlign w:val="bottom"/>
          </w:tcPr>
          <w:p w:rsidR="00037F0C" w14:paraId="6DFDF7B9" w14:textId="77777777">
            <w:pPr>
              <w:jc w:val="center"/>
              <w:rPr>
                <w:rFonts w:ascii="Calibri" w:eastAsia="Calibri" w:hAnsi="Calibri" w:cs="Calibri"/>
              </w:rPr>
            </w:pPr>
            <w:r>
              <w:rPr>
                <w:rFonts w:ascii="Calibri" w:eastAsia="Calibri" w:hAnsi="Calibri" w:cs="Calibri"/>
              </w:rPr>
              <w:t>DE</w:t>
            </w:r>
          </w:p>
        </w:tc>
        <w:tc>
          <w:tcPr>
            <w:tcW w:w="1960" w:type="dxa"/>
            <w:tcBorders>
              <w:top w:val="nil"/>
              <w:left w:val="nil"/>
              <w:bottom w:val="nil"/>
              <w:right w:val="nil"/>
            </w:tcBorders>
            <w:shd w:val="clear" w:color="auto" w:fill="auto"/>
            <w:vAlign w:val="bottom"/>
          </w:tcPr>
          <w:p w:rsidR="00037F0C" w14:paraId="43156B6B" w14:textId="77777777">
            <w:pPr>
              <w:jc w:val="center"/>
              <w:rPr>
                <w:rFonts w:ascii="Calibri" w:eastAsia="Calibri" w:hAnsi="Calibri" w:cs="Calibri"/>
                <w:color w:val="000000"/>
              </w:rPr>
            </w:pPr>
            <w:r>
              <w:rPr>
                <w:rFonts w:ascii="Calibri" w:eastAsia="Calibri" w:hAnsi="Calibri" w:cs="Calibri"/>
                <w:color w:val="000000"/>
              </w:rPr>
              <w:t>357,937</w:t>
            </w:r>
          </w:p>
        </w:tc>
        <w:tc>
          <w:tcPr>
            <w:tcW w:w="1640" w:type="dxa"/>
            <w:tcBorders>
              <w:top w:val="nil"/>
              <w:left w:val="nil"/>
              <w:bottom w:val="nil"/>
              <w:right w:val="nil"/>
            </w:tcBorders>
            <w:shd w:val="clear" w:color="auto" w:fill="auto"/>
            <w:vAlign w:val="bottom"/>
          </w:tcPr>
          <w:p w:rsidR="00037F0C" w14:paraId="27C6C16A" w14:textId="77777777">
            <w:pPr>
              <w:jc w:val="center"/>
              <w:rPr>
                <w:rFonts w:ascii="Calibri" w:eastAsia="Calibri" w:hAnsi="Calibri" w:cs="Calibri"/>
              </w:rPr>
            </w:pPr>
            <w:r>
              <w:rPr>
                <w:rFonts w:ascii="Calibri" w:eastAsia="Calibri" w:hAnsi="Calibri" w:cs="Calibri"/>
              </w:rPr>
              <w:t>16,128</w:t>
            </w:r>
          </w:p>
        </w:tc>
        <w:tc>
          <w:tcPr>
            <w:tcW w:w="2220" w:type="dxa"/>
            <w:tcBorders>
              <w:top w:val="nil"/>
              <w:left w:val="nil"/>
              <w:bottom w:val="nil"/>
              <w:right w:val="nil"/>
            </w:tcBorders>
            <w:shd w:val="clear" w:color="auto" w:fill="auto"/>
            <w:vAlign w:val="bottom"/>
          </w:tcPr>
          <w:p w:rsidR="00037F0C" w14:paraId="0EF6B54F" w14:textId="77777777">
            <w:pPr>
              <w:jc w:val="center"/>
              <w:rPr>
                <w:rFonts w:ascii="Calibri" w:eastAsia="Calibri" w:hAnsi="Calibri" w:cs="Calibri"/>
              </w:rPr>
            </w:pPr>
            <w:r>
              <w:rPr>
                <w:rFonts w:ascii="Calibri" w:eastAsia="Calibri" w:hAnsi="Calibri" w:cs="Calibri"/>
              </w:rPr>
              <w:t>34.1</w:t>
            </w:r>
          </w:p>
        </w:tc>
        <w:tc>
          <w:tcPr>
            <w:tcW w:w="1900" w:type="dxa"/>
            <w:tcBorders>
              <w:top w:val="nil"/>
              <w:left w:val="nil"/>
              <w:bottom w:val="nil"/>
              <w:right w:val="nil"/>
            </w:tcBorders>
            <w:shd w:val="clear" w:color="auto" w:fill="auto"/>
            <w:vAlign w:val="bottom"/>
          </w:tcPr>
          <w:p w:rsidR="00037F0C" w14:paraId="29965B36" w14:textId="77777777">
            <w:pPr>
              <w:jc w:val="center"/>
              <w:rPr>
                <w:rFonts w:ascii="Calibri" w:eastAsia="Calibri" w:hAnsi="Calibri" w:cs="Calibri"/>
              </w:rPr>
            </w:pPr>
            <w:r>
              <w:rPr>
                <w:rFonts w:ascii="Calibri" w:eastAsia="Calibri" w:hAnsi="Calibri" w:cs="Calibri"/>
              </w:rPr>
              <w:t>5,492</w:t>
            </w:r>
          </w:p>
        </w:tc>
      </w:tr>
      <w:tr w14:paraId="2F11C8A5" w14:textId="77777777">
        <w:tblPrEx>
          <w:tblW w:w="9400" w:type="dxa"/>
          <w:tblLayout w:type="fixed"/>
          <w:tblLook w:val="0400"/>
        </w:tblPrEx>
        <w:trPr>
          <w:trHeight w:val="260"/>
        </w:trPr>
        <w:tc>
          <w:tcPr>
            <w:tcW w:w="1680" w:type="dxa"/>
            <w:tcBorders>
              <w:top w:val="nil"/>
              <w:left w:val="nil"/>
              <w:bottom w:val="nil"/>
              <w:right w:val="nil"/>
            </w:tcBorders>
            <w:shd w:val="clear" w:color="auto" w:fill="auto"/>
            <w:vAlign w:val="bottom"/>
          </w:tcPr>
          <w:p w:rsidR="00037F0C" w14:paraId="18C550CF" w14:textId="77777777">
            <w:pPr>
              <w:jc w:val="center"/>
              <w:rPr>
                <w:rFonts w:ascii="Calibri" w:eastAsia="Calibri" w:hAnsi="Calibri" w:cs="Calibri"/>
              </w:rPr>
            </w:pPr>
            <w:r>
              <w:rPr>
                <w:rFonts w:ascii="Calibri" w:eastAsia="Calibri" w:hAnsi="Calibri" w:cs="Calibri"/>
              </w:rPr>
              <w:t>FL</w:t>
            </w:r>
          </w:p>
        </w:tc>
        <w:tc>
          <w:tcPr>
            <w:tcW w:w="1960" w:type="dxa"/>
            <w:tcBorders>
              <w:top w:val="nil"/>
              <w:left w:val="nil"/>
              <w:bottom w:val="nil"/>
              <w:right w:val="nil"/>
            </w:tcBorders>
            <w:shd w:val="clear" w:color="auto" w:fill="auto"/>
            <w:vAlign w:val="bottom"/>
          </w:tcPr>
          <w:p w:rsidR="00037F0C" w14:paraId="64B9E6DF" w14:textId="77777777">
            <w:pPr>
              <w:jc w:val="center"/>
              <w:rPr>
                <w:rFonts w:ascii="Calibri" w:eastAsia="Calibri" w:hAnsi="Calibri" w:cs="Calibri"/>
                <w:color w:val="000000"/>
              </w:rPr>
            </w:pPr>
            <w:r>
              <w:rPr>
                <w:rFonts w:ascii="Calibri" w:eastAsia="Calibri" w:hAnsi="Calibri" w:cs="Calibri"/>
                <w:color w:val="000000"/>
              </w:rPr>
              <w:t>7,694,069</w:t>
            </w:r>
          </w:p>
        </w:tc>
        <w:tc>
          <w:tcPr>
            <w:tcW w:w="1640" w:type="dxa"/>
            <w:tcBorders>
              <w:top w:val="nil"/>
              <w:left w:val="nil"/>
              <w:bottom w:val="nil"/>
              <w:right w:val="nil"/>
            </w:tcBorders>
            <w:shd w:val="clear" w:color="auto" w:fill="auto"/>
            <w:vAlign w:val="bottom"/>
          </w:tcPr>
          <w:p w:rsidR="00037F0C" w14:paraId="4ADAD267" w14:textId="77777777">
            <w:pPr>
              <w:jc w:val="center"/>
              <w:rPr>
                <w:rFonts w:ascii="Calibri" w:eastAsia="Calibri" w:hAnsi="Calibri" w:cs="Calibri"/>
              </w:rPr>
            </w:pPr>
            <w:r>
              <w:rPr>
                <w:rFonts w:ascii="Calibri" w:eastAsia="Calibri" w:hAnsi="Calibri" w:cs="Calibri"/>
              </w:rPr>
              <w:t>10,116</w:t>
            </w:r>
          </w:p>
        </w:tc>
        <w:tc>
          <w:tcPr>
            <w:tcW w:w="2220" w:type="dxa"/>
            <w:tcBorders>
              <w:top w:val="nil"/>
              <w:left w:val="nil"/>
              <w:bottom w:val="nil"/>
              <w:right w:val="nil"/>
            </w:tcBorders>
            <w:shd w:val="clear" w:color="auto" w:fill="auto"/>
            <w:vAlign w:val="bottom"/>
          </w:tcPr>
          <w:p w:rsidR="00037F0C" w14:paraId="47C687A5" w14:textId="77777777">
            <w:pPr>
              <w:jc w:val="center"/>
              <w:rPr>
                <w:rFonts w:ascii="Calibri" w:eastAsia="Calibri" w:hAnsi="Calibri" w:cs="Calibri"/>
              </w:rPr>
            </w:pPr>
            <w:r>
              <w:rPr>
                <w:rFonts w:ascii="Calibri" w:eastAsia="Calibri" w:hAnsi="Calibri" w:cs="Calibri"/>
              </w:rPr>
              <w:t>30.7</w:t>
            </w:r>
          </w:p>
        </w:tc>
        <w:tc>
          <w:tcPr>
            <w:tcW w:w="1900" w:type="dxa"/>
            <w:tcBorders>
              <w:top w:val="nil"/>
              <w:left w:val="nil"/>
              <w:bottom w:val="nil"/>
              <w:right w:val="nil"/>
            </w:tcBorders>
            <w:shd w:val="clear" w:color="auto" w:fill="auto"/>
            <w:vAlign w:val="bottom"/>
          </w:tcPr>
          <w:p w:rsidR="00037F0C" w14:paraId="264E90B2" w14:textId="77777777">
            <w:pPr>
              <w:jc w:val="center"/>
              <w:rPr>
                <w:rFonts w:ascii="Calibri" w:eastAsia="Calibri" w:hAnsi="Calibri" w:cs="Calibri"/>
              </w:rPr>
            </w:pPr>
            <w:r>
              <w:rPr>
                <w:rFonts w:ascii="Calibri" w:eastAsia="Calibri" w:hAnsi="Calibri" w:cs="Calibri"/>
              </w:rPr>
              <w:t>3,108</w:t>
            </w:r>
          </w:p>
        </w:tc>
      </w:tr>
      <w:tr w14:paraId="0DDFEE46" w14:textId="77777777">
        <w:tblPrEx>
          <w:tblW w:w="9400" w:type="dxa"/>
          <w:tblLayout w:type="fixed"/>
          <w:tblLook w:val="0400"/>
        </w:tblPrEx>
        <w:trPr>
          <w:trHeight w:val="260"/>
        </w:trPr>
        <w:tc>
          <w:tcPr>
            <w:tcW w:w="1680" w:type="dxa"/>
            <w:tcBorders>
              <w:top w:val="nil"/>
              <w:left w:val="nil"/>
              <w:bottom w:val="nil"/>
              <w:right w:val="nil"/>
            </w:tcBorders>
            <w:shd w:val="clear" w:color="auto" w:fill="auto"/>
            <w:vAlign w:val="bottom"/>
          </w:tcPr>
          <w:p w:rsidR="00037F0C" w14:paraId="584B1C76" w14:textId="77777777">
            <w:pPr>
              <w:jc w:val="center"/>
              <w:rPr>
                <w:rFonts w:ascii="Calibri" w:eastAsia="Calibri" w:hAnsi="Calibri" w:cs="Calibri"/>
              </w:rPr>
            </w:pPr>
            <w:r>
              <w:rPr>
                <w:rFonts w:ascii="Calibri" w:eastAsia="Calibri" w:hAnsi="Calibri" w:cs="Calibri"/>
              </w:rPr>
              <w:t>GA</w:t>
            </w:r>
          </w:p>
        </w:tc>
        <w:tc>
          <w:tcPr>
            <w:tcW w:w="1960" w:type="dxa"/>
            <w:tcBorders>
              <w:top w:val="nil"/>
              <w:left w:val="nil"/>
              <w:bottom w:val="nil"/>
              <w:right w:val="nil"/>
            </w:tcBorders>
            <w:shd w:val="clear" w:color="auto" w:fill="auto"/>
            <w:vAlign w:val="bottom"/>
          </w:tcPr>
          <w:p w:rsidR="00037F0C" w14:paraId="548FAF63" w14:textId="77777777">
            <w:pPr>
              <w:jc w:val="center"/>
              <w:rPr>
                <w:rFonts w:ascii="Calibri" w:eastAsia="Calibri" w:hAnsi="Calibri" w:cs="Calibri"/>
                <w:color w:val="000000"/>
              </w:rPr>
            </w:pPr>
            <w:r>
              <w:rPr>
                <w:rFonts w:ascii="Calibri" w:eastAsia="Calibri" w:hAnsi="Calibri" w:cs="Calibri"/>
                <w:color w:val="000000"/>
              </w:rPr>
              <w:t>3,740,163</w:t>
            </w:r>
          </w:p>
        </w:tc>
        <w:tc>
          <w:tcPr>
            <w:tcW w:w="1640" w:type="dxa"/>
            <w:tcBorders>
              <w:top w:val="nil"/>
              <w:left w:val="nil"/>
              <w:bottom w:val="nil"/>
              <w:right w:val="nil"/>
            </w:tcBorders>
            <w:shd w:val="clear" w:color="auto" w:fill="auto"/>
            <w:vAlign w:val="bottom"/>
          </w:tcPr>
          <w:p w:rsidR="00037F0C" w14:paraId="27483E9C" w14:textId="77777777">
            <w:pPr>
              <w:jc w:val="center"/>
              <w:rPr>
                <w:rFonts w:ascii="Calibri" w:eastAsia="Calibri" w:hAnsi="Calibri" w:cs="Calibri"/>
              </w:rPr>
            </w:pPr>
            <w:r>
              <w:rPr>
                <w:rFonts w:ascii="Calibri" w:eastAsia="Calibri" w:hAnsi="Calibri" w:cs="Calibri"/>
              </w:rPr>
              <w:t>33,800</w:t>
            </w:r>
          </w:p>
        </w:tc>
        <w:tc>
          <w:tcPr>
            <w:tcW w:w="2220" w:type="dxa"/>
            <w:tcBorders>
              <w:top w:val="nil"/>
              <w:left w:val="nil"/>
              <w:bottom w:val="nil"/>
              <w:right w:val="nil"/>
            </w:tcBorders>
            <w:shd w:val="clear" w:color="auto" w:fill="auto"/>
            <w:vAlign w:val="bottom"/>
          </w:tcPr>
          <w:p w:rsidR="00037F0C" w14:paraId="1996B1C1" w14:textId="77777777">
            <w:pPr>
              <w:jc w:val="center"/>
              <w:rPr>
                <w:rFonts w:ascii="Calibri" w:eastAsia="Calibri" w:hAnsi="Calibri" w:cs="Calibri"/>
              </w:rPr>
            </w:pPr>
            <w:r>
              <w:rPr>
                <w:rFonts w:ascii="Calibri" w:eastAsia="Calibri" w:hAnsi="Calibri" w:cs="Calibri"/>
              </w:rPr>
              <w:t>26.6</w:t>
            </w:r>
          </w:p>
        </w:tc>
        <w:tc>
          <w:tcPr>
            <w:tcW w:w="1900" w:type="dxa"/>
            <w:tcBorders>
              <w:top w:val="nil"/>
              <w:left w:val="nil"/>
              <w:bottom w:val="nil"/>
              <w:right w:val="nil"/>
            </w:tcBorders>
            <w:shd w:val="clear" w:color="auto" w:fill="auto"/>
            <w:vAlign w:val="bottom"/>
          </w:tcPr>
          <w:p w:rsidR="00037F0C" w14:paraId="452DECBD" w14:textId="77777777">
            <w:pPr>
              <w:jc w:val="center"/>
              <w:rPr>
                <w:rFonts w:ascii="Calibri" w:eastAsia="Calibri" w:hAnsi="Calibri" w:cs="Calibri"/>
              </w:rPr>
            </w:pPr>
            <w:r>
              <w:rPr>
                <w:rFonts w:ascii="Calibri" w:eastAsia="Calibri" w:hAnsi="Calibri" w:cs="Calibri"/>
              </w:rPr>
              <w:t>9,007</w:t>
            </w:r>
          </w:p>
        </w:tc>
      </w:tr>
      <w:tr w14:paraId="435688A4" w14:textId="77777777">
        <w:tblPrEx>
          <w:tblW w:w="9400" w:type="dxa"/>
          <w:tblLayout w:type="fixed"/>
          <w:tblLook w:val="0400"/>
        </w:tblPrEx>
        <w:trPr>
          <w:trHeight w:val="260"/>
        </w:trPr>
        <w:tc>
          <w:tcPr>
            <w:tcW w:w="1680" w:type="dxa"/>
            <w:tcBorders>
              <w:top w:val="nil"/>
              <w:left w:val="nil"/>
              <w:bottom w:val="nil"/>
              <w:right w:val="nil"/>
            </w:tcBorders>
            <w:shd w:val="clear" w:color="auto" w:fill="auto"/>
            <w:vAlign w:val="bottom"/>
          </w:tcPr>
          <w:p w:rsidR="00037F0C" w14:paraId="62C49E36" w14:textId="77777777">
            <w:pPr>
              <w:jc w:val="center"/>
              <w:rPr>
                <w:rFonts w:ascii="Calibri" w:eastAsia="Calibri" w:hAnsi="Calibri" w:cs="Calibri"/>
              </w:rPr>
            </w:pPr>
            <w:r>
              <w:rPr>
                <w:rFonts w:ascii="Calibri" w:eastAsia="Calibri" w:hAnsi="Calibri" w:cs="Calibri"/>
              </w:rPr>
              <w:t>HI</w:t>
            </w:r>
          </w:p>
        </w:tc>
        <w:tc>
          <w:tcPr>
            <w:tcW w:w="1960" w:type="dxa"/>
            <w:tcBorders>
              <w:top w:val="nil"/>
              <w:left w:val="nil"/>
              <w:bottom w:val="nil"/>
              <w:right w:val="nil"/>
            </w:tcBorders>
            <w:shd w:val="clear" w:color="auto" w:fill="auto"/>
            <w:vAlign w:val="bottom"/>
          </w:tcPr>
          <w:p w:rsidR="00037F0C" w14:paraId="2BF672F5" w14:textId="77777777">
            <w:pPr>
              <w:jc w:val="center"/>
              <w:rPr>
                <w:rFonts w:ascii="Calibri" w:eastAsia="Calibri" w:hAnsi="Calibri" w:cs="Calibri"/>
                <w:color w:val="000000"/>
              </w:rPr>
            </w:pPr>
            <w:r>
              <w:rPr>
                <w:rFonts w:ascii="Calibri" w:eastAsia="Calibri" w:hAnsi="Calibri" w:cs="Calibri"/>
                <w:color w:val="000000"/>
              </w:rPr>
              <w:t>458,075</w:t>
            </w:r>
          </w:p>
        </w:tc>
        <w:tc>
          <w:tcPr>
            <w:tcW w:w="1640" w:type="dxa"/>
            <w:tcBorders>
              <w:top w:val="nil"/>
              <w:left w:val="nil"/>
              <w:bottom w:val="nil"/>
              <w:right w:val="nil"/>
            </w:tcBorders>
            <w:shd w:val="clear" w:color="auto" w:fill="auto"/>
            <w:vAlign w:val="bottom"/>
          </w:tcPr>
          <w:p w:rsidR="00037F0C" w14:paraId="28A4E5B7" w14:textId="77777777">
            <w:pPr>
              <w:jc w:val="center"/>
              <w:rPr>
                <w:rFonts w:ascii="Calibri" w:eastAsia="Calibri" w:hAnsi="Calibri" w:cs="Calibri"/>
              </w:rPr>
            </w:pPr>
            <w:r>
              <w:rPr>
                <w:rFonts w:ascii="Calibri" w:eastAsia="Calibri" w:hAnsi="Calibri" w:cs="Calibri"/>
              </w:rPr>
              <w:t>15,458</w:t>
            </w:r>
          </w:p>
        </w:tc>
        <w:tc>
          <w:tcPr>
            <w:tcW w:w="2220" w:type="dxa"/>
            <w:tcBorders>
              <w:top w:val="nil"/>
              <w:left w:val="nil"/>
              <w:bottom w:val="nil"/>
              <w:right w:val="nil"/>
            </w:tcBorders>
            <w:shd w:val="clear" w:color="auto" w:fill="auto"/>
            <w:vAlign w:val="bottom"/>
          </w:tcPr>
          <w:p w:rsidR="00037F0C" w14:paraId="590D669C" w14:textId="77777777">
            <w:pPr>
              <w:jc w:val="center"/>
              <w:rPr>
                <w:rFonts w:ascii="Calibri" w:eastAsia="Calibri" w:hAnsi="Calibri" w:cs="Calibri"/>
              </w:rPr>
            </w:pPr>
            <w:r>
              <w:rPr>
                <w:rFonts w:ascii="Calibri" w:eastAsia="Calibri" w:hAnsi="Calibri" w:cs="Calibri"/>
              </w:rPr>
              <w:t>39.6</w:t>
            </w:r>
          </w:p>
        </w:tc>
        <w:tc>
          <w:tcPr>
            <w:tcW w:w="1900" w:type="dxa"/>
            <w:tcBorders>
              <w:top w:val="nil"/>
              <w:left w:val="nil"/>
              <w:bottom w:val="nil"/>
              <w:right w:val="nil"/>
            </w:tcBorders>
            <w:shd w:val="clear" w:color="auto" w:fill="auto"/>
            <w:vAlign w:val="bottom"/>
          </w:tcPr>
          <w:p w:rsidR="00037F0C" w14:paraId="7226534C" w14:textId="77777777">
            <w:pPr>
              <w:jc w:val="center"/>
              <w:rPr>
                <w:rFonts w:ascii="Calibri" w:eastAsia="Calibri" w:hAnsi="Calibri" w:cs="Calibri"/>
              </w:rPr>
            </w:pPr>
            <w:r>
              <w:rPr>
                <w:rFonts w:ascii="Calibri" w:eastAsia="Calibri" w:hAnsi="Calibri" w:cs="Calibri"/>
              </w:rPr>
              <w:t>6,128</w:t>
            </w:r>
          </w:p>
        </w:tc>
      </w:tr>
      <w:tr w14:paraId="0D9257F8" w14:textId="77777777">
        <w:tblPrEx>
          <w:tblW w:w="9400" w:type="dxa"/>
          <w:tblLayout w:type="fixed"/>
          <w:tblLook w:val="0400"/>
        </w:tblPrEx>
        <w:trPr>
          <w:trHeight w:val="260"/>
        </w:trPr>
        <w:tc>
          <w:tcPr>
            <w:tcW w:w="1680" w:type="dxa"/>
            <w:tcBorders>
              <w:top w:val="nil"/>
              <w:left w:val="nil"/>
              <w:bottom w:val="nil"/>
              <w:right w:val="nil"/>
            </w:tcBorders>
            <w:shd w:val="clear" w:color="auto" w:fill="auto"/>
            <w:vAlign w:val="bottom"/>
          </w:tcPr>
          <w:p w:rsidR="00037F0C" w14:paraId="69C4C322" w14:textId="77777777">
            <w:pPr>
              <w:jc w:val="center"/>
              <w:rPr>
                <w:rFonts w:ascii="Calibri" w:eastAsia="Calibri" w:hAnsi="Calibri" w:cs="Calibri"/>
              </w:rPr>
            </w:pPr>
            <w:r>
              <w:rPr>
                <w:rFonts w:ascii="Calibri" w:eastAsia="Calibri" w:hAnsi="Calibri" w:cs="Calibri"/>
              </w:rPr>
              <w:t>ME</w:t>
            </w:r>
          </w:p>
        </w:tc>
        <w:tc>
          <w:tcPr>
            <w:tcW w:w="1960" w:type="dxa"/>
            <w:tcBorders>
              <w:top w:val="nil"/>
              <w:left w:val="nil"/>
              <w:bottom w:val="nil"/>
              <w:right w:val="nil"/>
            </w:tcBorders>
            <w:shd w:val="clear" w:color="auto" w:fill="auto"/>
            <w:vAlign w:val="bottom"/>
          </w:tcPr>
          <w:p w:rsidR="00037F0C" w14:paraId="3C7EDB19" w14:textId="77777777">
            <w:pPr>
              <w:jc w:val="center"/>
              <w:rPr>
                <w:rFonts w:ascii="Calibri" w:eastAsia="Calibri" w:hAnsi="Calibri" w:cs="Calibri"/>
                <w:color w:val="000000"/>
              </w:rPr>
            </w:pPr>
            <w:r>
              <w:rPr>
                <w:rFonts w:ascii="Calibri" w:eastAsia="Calibri" w:hAnsi="Calibri" w:cs="Calibri"/>
                <w:color w:val="000000"/>
              </w:rPr>
              <w:t>549,870</w:t>
            </w:r>
          </w:p>
        </w:tc>
        <w:tc>
          <w:tcPr>
            <w:tcW w:w="1640" w:type="dxa"/>
            <w:tcBorders>
              <w:top w:val="nil"/>
              <w:left w:val="nil"/>
              <w:bottom w:val="nil"/>
              <w:right w:val="nil"/>
            </w:tcBorders>
            <w:shd w:val="clear" w:color="auto" w:fill="auto"/>
            <w:vAlign w:val="bottom"/>
          </w:tcPr>
          <w:p w:rsidR="00037F0C" w14:paraId="69A82F90" w14:textId="77777777">
            <w:pPr>
              <w:jc w:val="center"/>
              <w:rPr>
                <w:rFonts w:ascii="Calibri" w:eastAsia="Calibri" w:hAnsi="Calibri" w:cs="Calibri"/>
              </w:rPr>
            </w:pPr>
            <w:r>
              <w:rPr>
                <w:rFonts w:ascii="Calibri" w:eastAsia="Calibri" w:hAnsi="Calibri" w:cs="Calibri"/>
              </w:rPr>
              <w:t>9,055</w:t>
            </w:r>
          </w:p>
        </w:tc>
        <w:tc>
          <w:tcPr>
            <w:tcW w:w="2220" w:type="dxa"/>
            <w:tcBorders>
              <w:top w:val="nil"/>
              <w:left w:val="nil"/>
              <w:bottom w:val="nil"/>
              <w:right w:val="nil"/>
            </w:tcBorders>
            <w:shd w:val="clear" w:color="auto" w:fill="auto"/>
            <w:vAlign w:val="bottom"/>
          </w:tcPr>
          <w:p w:rsidR="00037F0C" w14:paraId="74358D36" w14:textId="77777777">
            <w:pPr>
              <w:jc w:val="center"/>
              <w:rPr>
                <w:rFonts w:ascii="Calibri" w:eastAsia="Calibri" w:hAnsi="Calibri" w:cs="Calibri"/>
              </w:rPr>
            </w:pPr>
            <w:r>
              <w:rPr>
                <w:rFonts w:ascii="Calibri" w:eastAsia="Calibri" w:hAnsi="Calibri" w:cs="Calibri"/>
              </w:rPr>
              <w:t>36.9</w:t>
            </w:r>
          </w:p>
        </w:tc>
        <w:tc>
          <w:tcPr>
            <w:tcW w:w="1900" w:type="dxa"/>
            <w:tcBorders>
              <w:top w:val="nil"/>
              <w:left w:val="nil"/>
              <w:bottom w:val="nil"/>
              <w:right w:val="nil"/>
            </w:tcBorders>
            <w:shd w:val="clear" w:color="auto" w:fill="auto"/>
            <w:vAlign w:val="bottom"/>
          </w:tcPr>
          <w:p w:rsidR="00037F0C" w14:paraId="45775205" w14:textId="77777777">
            <w:pPr>
              <w:jc w:val="center"/>
              <w:rPr>
                <w:rFonts w:ascii="Calibri" w:eastAsia="Calibri" w:hAnsi="Calibri" w:cs="Calibri"/>
              </w:rPr>
            </w:pPr>
            <w:r>
              <w:rPr>
                <w:rFonts w:ascii="Calibri" w:eastAsia="Calibri" w:hAnsi="Calibri" w:cs="Calibri"/>
              </w:rPr>
              <w:t>3,338</w:t>
            </w:r>
          </w:p>
        </w:tc>
      </w:tr>
      <w:tr w14:paraId="1777B784" w14:textId="77777777">
        <w:tblPrEx>
          <w:tblW w:w="9400" w:type="dxa"/>
          <w:tblLayout w:type="fixed"/>
          <w:tblLook w:val="0400"/>
        </w:tblPrEx>
        <w:trPr>
          <w:trHeight w:val="260"/>
        </w:trPr>
        <w:tc>
          <w:tcPr>
            <w:tcW w:w="1680" w:type="dxa"/>
            <w:tcBorders>
              <w:top w:val="nil"/>
              <w:left w:val="nil"/>
              <w:bottom w:val="nil"/>
              <w:right w:val="nil"/>
            </w:tcBorders>
            <w:shd w:val="clear" w:color="auto" w:fill="auto"/>
            <w:vAlign w:val="bottom"/>
          </w:tcPr>
          <w:p w:rsidR="00037F0C" w14:paraId="424589E1" w14:textId="77777777">
            <w:pPr>
              <w:jc w:val="center"/>
              <w:rPr>
                <w:rFonts w:ascii="Calibri" w:eastAsia="Calibri" w:hAnsi="Calibri" w:cs="Calibri"/>
              </w:rPr>
            </w:pPr>
            <w:r>
              <w:rPr>
                <w:rFonts w:ascii="Calibri" w:eastAsia="Calibri" w:hAnsi="Calibri" w:cs="Calibri"/>
              </w:rPr>
              <w:t>MD</w:t>
            </w:r>
          </w:p>
        </w:tc>
        <w:tc>
          <w:tcPr>
            <w:tcW w:w="1960" w:type="dxa"/>
            <w:tcBorders>
              <w:top w:val="nil"/>
              <w:left w:val="nil"/>
              <w:bottom w:val="nil"/>
              <w:right w:val="nil"/>
            </w:tcBorders>
            <w:shd w:val="clear" w:color="auto" w:fill="auto"/>
            <w:vAlign w:val="bottom"/>
          </w:tcPr>
          <w:p w:rsidR="00037F0C" w14:paraId="00C74CD7" w14:textId="77777777">
            <w:pPr>
              <w:jc w:val="center"/>
              <w:rPr>
                <w:rFonts w:ascii="Calibri" w:eastAsia="Calibri" w:hAnsi="Calibri" w:cs="Calibri"/>
                <w:color w:val="000000"/>
              </w:rPr>
            </w:pPr>
            <w:r>
              <w:rPr>
                <w:rFonts w:ascii="Calibri" w:eastAsia="Calibri" w:hAnsi="Calibri" w:cs="Calibri"/>
                <w:color w:val="000000"/>
              </w:rPr>
              <w:t>2,206,854</w:t>
            </w:r>
          </w:p>
        </w:tc>
        <w:tc>
          <w:tcPr>
            <w:tcW w:w="1640" w:type="dxa"/>
            <w:tcBorders>
              <w:top w:val="nil"/>
              <w:left w:val="nil"/>
              <w:bottom w:val="nil"/>
              <w:right w:val="nil"/>
            </w:tcBorders>
            <w:shd w:val="clear" w:color="auto" w:fill="auto"/>
            <w:vAlign w:val="bottom"/>
          </w:tcPr>
          <w:p w:rsidR="00037F0C" w14:paraId="78DB8E3F" w14:textId="77777777">
            <w:pPr>
              <w:jc w:val="center"/>
              <w:rPr>
                <w:rFonts w:ascii="Calibri" w:eastAsia="Calibri" w:hAnsi="Calibri" w:cs="Calibri"/>
              </w:rPr>
            </w:pPr>
            <w:r>
              <w:rPr>
                <w:rFonts w:ascii="Calibri" w:eastAsia="Calibri" w:hAnsi="Calibri" w:cs="Calibri"/>
              </w:rPr>
              <w:t>19,151</w:t>
            </w:r>
          </w:p>
        </w:tc>
        <w:tc>
          <w:tcPr>
            <w:tcW w:w="2220" w:type="dxa"/>
            <w:tcBorders>
              <w:top w:val="nil"/>
              <w:left w:val="nil"/>
              <w:bottom w:val="nil"/>
              <w:right w:val="nil"/>
            </w:tcBorders>
            <w:shd w:val="clear" w:color="auto" w:fill="auto"/>
            <w:vAlign w:val="bottom"/>
          </w:tcPr>
          <w:p w:rsidR="00037F0C" w14:paraId="19ED054B" w14:textId="77777777">
            <w:pPr>
              <w:jc w:val="center"/>
              <w:rPr>
                <w:rFonts w:ascii="Calibri" w:eastAsia="Calibri" w:hAnsi="Calibri" w:cs="Calibri"/>
              </w:rPr>
            </w:pPr>
            <w:r>
              <w:rPr>
                <w:rFonts w:ascii="Calibri" w:eastAsia="Calibri" w:hAnsi="Calibri" w:cs="Calibri"/>
              </w:rPr>
              <w:t>32.2</w:t>
            </w:r>
          </w:p>
        </w:tc>
        <w:tc>
          <w:tcPr>
            <w:tcW w:w="1900" w:type="dxa"/>
            <w:tcBorders>
              <w:top w:val="nil"/>
              <w:left w:val="nil"/>
              <w:bottom w:val="nil"/>
              <w:right w:val="nil"/>
            </w:tcBorders>
            <w:shd w:val="clear" w:color="auto" w:fill="auto"/>
            <w:vAlign w:val="bottom"/>
          </w:tcPr>
          <w:p w:rsidR="00037F0C" w14:paraId="34F0DDBF" w14:textId="77777777">
            <w:pPr>
              <w:jc w:val="center"/>
              <w:rPr>
                <w:rFonts w:ascii="Calibri" w:eastAsia="Calibri" w:hAnsi="Calibri" w:cs="Calibri"/>
              </w:rPr>
            </w:pPr>
            <w:r>
              <w:rPr>
                <w:rFonts w:ascii="Calibri" w:eastAsia="Calibri" w:hAnsi="Calibri" w:cs="Calibri"/>
              </w:rPr>
              <w:t>6,168</w:t>
            </w:r>
          </w:p>
        </w:tc>
      </w:tr>
      <w:tr w14:paraId="23DEC9D3" w14:textId="77777777">
        <w:tblPrEx>
          <w:tblW w:w="9400" w:type="dxa"/>
          <w:tblLayout w:type="fixed"/>
          <w:tblLook w:val="0400"/>
        </w:tblPrEx>
        <w:trPr>
          <w:trHeight w:val="260"/>
        </w:trPr>
        <w:tc>
          <w:tcPr>
            <w:tcW w:w="1680" w:type="dxa"/>
            <w:tcBorders>
              <w:top w:val="nil"/>
              <w:left w:val="nil"/>
              <w:bottom w:val="nil"/>
              <w:right w:val="nil"/>
            </w:tcBorders>
            <w:shd w:val="clear" w:color="auto" w:fill="auto"/>
            <w:vAlign w:val="bottom"/>
          </w:tcPr>
          <w:p w:rsidR="00037F0C" w14:paraId="66C7EF3C" w14:textId="77777777">
            <w:pPr>
              <w:jc w:val="center"/>
              <w:rPr>
                <w:rFonts w:ascii="Calibri" w:eastAsia="Calibri" w:hAnsi="Calibri" w:cs="Calibri"/>
              </w:rPr>
            </w:pPr>
            <w:r>
              <w:rPr>
                <w:rFonts w:ascii="Calibri" w:eastAsia="Calibri" w:hAnsi="Calibri" w:cs="Calibri"/>
              </w:rPr>
              <w:t>MA</w:t>
            </w:r>
          </w:p>
        </w:tc>
        <w:tc>
          <w:tcPr>
            <w:tcW w:w="1960" w:type="dxa"/>
            <w:tcBorders>
              <w:top w:val="nil"/>
              <w:left w:val="nil"/>
              <w:bottom w:val="nil"/>
              <w:right w:val="nil"/>
            </w:tcBorders>
            <w:shd w:val="clear" w:color="auto" w:fill="auto"/>
            <w:vAlign w:val="bottom"/>
          </w:tcPr>
          <w:p w:rsidR="00037F0C" w14:paraId="1F31B80D" w14:textId="77777777">
            <w:pPr>
              <w:jc w:val="center"/>
              <w:rPr>
                <w:rFonts w:ascii="Calibri" w:eastAsia="Calibri" w:hAnsi="Calibri" w:cs="Calibri"/>
                <w:color w:val="000000"/>
              </w:rPr>
            </w:pPr>
            <w:r>
              <w:rPr>
                <w:rFonts w:ascii="Calibri" w:eastAsia="Calibri" w:hAnsi="Calibri" w:cs="Calibri"/>
                <w:color w:val="000000"/>
              </w:rPr>
              <w:t>2,605,314</w:t>
            </w:r>
          </w:p>
        </w:tc>
        <w:tc>
          <w:tcPr>
            <w:tcW w:w="1640" w:type="dxa"/>
            <w:tcBorders>
              <w:top w:val="nil"/>
              <w:left w:val="nil"/>
              <w:bottom w:val="nil"/>
              <w:right w:val="nil"/>
            </w:tcBorders>
            <w:shd w:val="clear" w:color="auto" w:fill="auto"/>
            <w:vAlign w:val="bottom"/>
          </w:tcPr>
          <w:p w:rsidR="00037F0C" w14:paraId="516E89BD" w14:textId="77777777">
            <w:pPr>
              <w:jc w:val="center"/>
              <w:rPr>
                <w:rFonts w:ascii="Calibri" w:eastAsia="Calibri" w:hAnsi="Calibri" w:cs="Calibri"/>
              </w:rPr>
            </w:pPr>
            <w:r>
              <w:rPr>
                <w:rFonts w:ascii="Calibri" w:eastAsia="Calibri" w:hAnsi="Calibri" w:cs="Calibri"/>
              </w:rPr>
              <w:t>30,280</w:t>
            </w:r>
          </w:p>
        </w:tc>
        <w:tc>
          <w:tcPr>
            <w:tcW w:w="2220" w:type="dxa"/>
            <w:tcBorders>
              <w:top w:val="nil"/>
              <w:left w:val="nil"/>
              <w:bottom w:val="nil"/>
              <w:right w:val="nil"/>
            </w:tcBorders>
            <w:shd w:val="clear" w:color="auto" w:fill="auto"/>
            <w:vAlign w:val="bottom"/>
          </w:tcPr>
          <w:p w:rsidR="00037F0C" w14:paraId="18A6E849" w14:textId="77777777">
            <w:pPr>
              <w:jc w:val="center"/>
              <w:rPr>
                <w:rFonts w:ascii="Calibri" w:eastAsia="Calibri" w:hAnsi="Calibri" w:cs="Calibri"/>
              </w:rPr>
            </w:pPr>
            <w:r>
              <w:rPr>
                <w:rFonts w:ascii="Calibri" w:eastAsia="Calibri" w:hAnsi="Calibri" w:cs="Calibri"/>
              </w:rPr>
              <w:t>32.8</w:t>
            </w:r>
          </w:p>
        </w:tc>
        <w:tc>
          <w:tcPr>
            <w:tcW w:w="1900" w:type="dxa"/>
            <w:tcBorders>
              <w:top w:val="nil"/>
              <w:left w:val="nil"/>
              <w:bottom w:val="nil"/>
              <w:right w:val="nil"/>
            </w:tcBorders>
            <w:shd w:val="clear" w:color="auto" w:fill="auto"/>
            <w:vAlign w:val="bottom"/>
          </w:tcPr>
          <w:p w:rsidR="00037F0C" w14:paraId="5629FD14" w14:textId="77777777">
            <w:pPr>
              <w:jc w:val="center"/>
              <w:rPr>
                <w:rFonts w:ascii="Calibri" w:eastAsia="Calibri" w:hAnsi="Calibri" w:cs="Calibri"/>
              </w:rPr>
            </w:pPr>
            <w:r>
              <w:rPr>
                <w:rFonts w:ascii="Calibri" w:eastAsia="Calibri" w:hAnsi="Calibri" w:cs="Calibri"/>
              </w:rPr>
              <w:t>9,943</w:t>
            </w:r>
          </w:p>
        </w:tc>
      </w:tr>
      <w:tr w14:paraId="0BAA3CCB" w14:textId="77777777">
        <w:tblPrEx>
          <w:tblW w:w="9400" w:type="dxa"/>
          <w:tblLayout w:type="fixed"/>
          <w:tblLook w:val="0400"/>
        </w:tblPrEx>
        <w:trPr>
          <w:trHeight w:val="260"/>
        </w:trPr>
        <w:tc>
          <w:tcPr>
            <w:tcW w:w="1680" w:type="dxa"/>
            <w:tcBorders>
              <w:top w:val="nil"/>
              <w:left w:val="nil"/>
              <w:bottom w:val="nil"/>
              <w:right w:val="nil"/>
            </w:tcBorders>
            <w:shd w:val="clear" w:color="auto" w:fill="auto"/>
            <w:vAlign w:val="bottom"/>
          </w:tcPr>
          <w:p w:rsidR="00037F0C" w14:paraId="34F16A29" w14:textId="77777777">
            <w:pPr>
              <w:jc w:val="center"/>
              <w:rPr>
                <w:rFonts w:ascii="Calibri" w:eastAsia="Calibri" w:hAnsi="Calibri" w:cs="Calibri"/>
              </w:rPr>
            </w:pPr>
            <w:r>
              <w:rPr>
                <w:rFonts w:ascii="Calibri" w:eastAsia="Calibri" w:hAnsi="Calibri" w:cs="Calibri"/>
              </w:rPr>
              <w:t>MS</w:t>
            </w:r>
          </w:p>
        </w:tc>
        <w:tc>
          <w:tcPr>
            <w:tcW w:w="1960" w:type="dxa"/>
            <w:tcBorders>
              <w:top w:val="nil"/>
              <w:left w:val="nil"/>
              <w:bottom w:val="nil"/>
              <w:right w:val="nil"/>
            </w:tcBorders>
            <w:shd w:val="clear" w:color="auto" w:fill="auto"/>
            <w:vAlign w:val="bottom"/>
          </w:tcPr>
          <w:p w:rsidR="00037F0C" w14:paraId="2C827DD0" w14:textId="77777777">
            <w:pPr>
              <w:jc w:val="center"/>
              <w:rPr>
                <w:rFonts w:ascii="Calibri" w:eastAsia="Calibri" w:hAnsi="Calibri" w:cs="Calibri"/>
                <w:color w:val="000000"/>
              </w:rPr>
            </w:pPr>
            <w:r>
              <w:rPr>
                <w:rFonts w:ascii="Calibri" w:eastAsia="Calibri" w:hAnsi="Calibri" w:cs="Calibri"/>
                <w:color w:val="000000"/>
              </w:rPr>
              <w:t>1,106,063</w:t>
            </w:r>
          </w:p>
        </w:tc>
        <w:tc>
          <w:tcPr>
            <w:tcW w:w="1640" w:type="dxa"/>
            <w:tcBorders>
              <w:top w:val="nil"/>
              <w:left w:val="nil"/>
              <w:bottom w:val="nil"/>
              <w:right w:val="nil"/>
            </w:tcBorders>
            <w:shd w:val="clear" w:color="auto" w:fill="auto"/>
            <w:vAlign w:val="bottom"/>
          </w:tcPr>
          <w:p w:rsidR="00037F0C" w14:paraId="25216304" w14:textId="77777777">
            <w:pPr>
              <w:jc w:val="center"/>
              <w:rPr>
                <w:rFonts w:ascii="Calibri" w:eastAsia="Calibri" w:hAnsi="Calibri" w:cs="Calibri"/>
              </w:rPr>
            </w:pPr>
            <w:r>
              <w:rPr>
                <w:rFonts w:ascii="Calibri" w:eastAsia="Calibri" w:hAnsi="Calibri" w:cs="Calibri"/>
              </w:rPr>
              <w:t>21,598</w:t>
            </w:r>
          </w:p>
        </w:tc>
        <w:tc>
          <w:tcPr>
            <w:tcW w:w="2220" w:type="dxa"/>
            <w:tcBorders>
              <w:top w:val="nil"/>
              <w:left w:val="nil"/>
              <w:bottom w:val="nil"/>
              <w:right w:val="nil"/>
            </w:tcBorders>
            <w:shd w:val="clear" w:color="auto" w:fill="auto"/>
            <w:vAlign w:val="bottom"/>
          </w:tcPr>
          <w:p w:rsidR="00037F0C" w14:paraId="0CE04AC0" w14:textId="77777777">
            <w:pPr>
              <w:jc w:val="center"/>
              <w:rPr>
                <w:rFonts w:ascii="Calibri" w:eastAsia="Calibri" w:hAnsi="Calibri" w:cs="Calibri"/>
              </w:rPr>
            </w:pPr>
            <w:r>
              <w:rPr>
                <w:rFonts w:ascii="Calibri" w:eastAsia="Calibri" w:hAnsi="Calibri" w:cs="Calibri"/>
              </w:rPr>
              <w:t>30.9</w:t>
            </w:r>
          </w:p>
        </w:tc>
        <w:tc>
          <w:tcPr>
            <w:tcW w:w="1900" w:type="dxa"/>
            <w:tcBorders>
              <w:top w:val="nil"/>
              <w:left w:val="nil"/>
              <w:bottom w:val="nil"/>
              <w:right w:val="nil"/>
            </w:tcBorders>
            <w:shd w:val="clear" w:color="auto" w:fill="auto"/>
            <w:vAlign w:val="bottom"/>
          </w:tcPr>
          <w:p w:rsidR="00037F0C" w14:paraId="13A0675E" w14:textId="77777777">
            <w:pPr>
              <w:jc w:val="center"/>
              <w:rPr>
                <w:rFonts w:ascii="Calibri" w:eastAsia="Calibri" w:hAnsi="Calibri" w:cs="Calibri"/>
              </w:rPr>
            </w:pPr>
            <w:r>
              <w:rPr>
                <w:rFonts w:ascii="Calibri" w:eastAsia="Calibri" w:hAnsi="Calibri" w:cs="Calibri"/>
              </w:rPr>
              <w:t>6,677</w:t>
            </w:r>
          </w:p>
        </w:tc>
      </w:tr>
      <w:tr w14:paraId="47706699" w14:textId="77777777">
        <w:tblPrEx>
          <w:tblW w:w="9400" w:type="dxa"/>
          <w:tblLayout w:type="fixed"/>
          <w:tblLook w:val="0400"/>
        </w:tblPrEx>
        <w:trPr>
          <w:trHeight w:val="260"/>
        </w:trPr>
        <w:tc>
          <w:tcPr>
            <w:tcW w:w="1680" w:type="dxa"/>
            <w:tcBorders>
              <w:top w:val="nil"/>
              <w:left w:val="nil"/>
              <w:bottom w:val="nil"/>
              <w:right w:val="nil"/>
            </w:tcBorders>
            <w:shd w:val="clear" w:color="auto" w:fill="auto"/>
            <w:vAlign w:val="bottom"/>
          </w:tcPr>
          <w:p w:rsidR="00037F0C" w14:paraId="1CEB01B4" w14:textId="77777777">
            <w:pPr>
              <w:jc w:val="center"/>
              <w:rPr>
                <w:rFonts w:ascii="Calibri" w:eastAsia="Calibri" w:hAnsi="Calibri" w:cs="Calibri"/>
              </w:rPr>
            </w:pPr>
            <w:r>
              <w:rPr>
                <w:rFonts w:ascii="Calibri" w:eastAsia="Calibri" w:hAnsi="Calibri" w:cs="Calibri"/>
              </w:rPr>
              <w:t>NH</w:t>
            </w:r>
          </w:p>
        </w:tc>
        <w:tc>
          <w:tcPr>
            <w:tcW w:w="1960" w:type="dxa"/>
            <w:tcBorders>
              <w:top w:val="nil"/>
              <w:left w:val="nil"/>
              <w:bottom w:val="nil"/>
              <w:right w:val="nil"/>
            </w:tcBorders>
            <w:shd w:val="clear" w:color="auto" w:fill="auto"/>
            <w:vAlign w:val="bottom"/>
          </w:tcPr>
          <w:p w:rsidR="00037F0C" w14:paraId="7EAD1494" w14:textId="77777777">
            <w:pPr>
              <w:jc w:val="center"/>
              <w:rPr>
                <w:rFonts w:ascii="Calibri" w:eastAsia="Calibri" w:hAnsi="Calibri" w:cs="Calibri"/>
                <w:color w:val="000000"/>
              </w:rPr>
            </w:pPr>
            <w:r>
              <w:rPr>
                <w:rFonts w:ascii="Calibri" w:eastAsia="Calibri" w:hAnsi="Calibri" w:cs="Calibri"/>
                <w:color w:val="000000"/>
              </w:rPr>
              <w:t>529,216</w:t>
            </w:r>
          </w:p>
        </w:tc>
        <w:tc>
          <w:tcPr>
            <w:tcW w:w="1640" w:type="dxa"/>
            <w:tcBorders>
              <w:top w:val="nil"/>
              <w:left w:val="nil"/>
              <w:bottom w:val="nil"/>
              <w:right w:val="nil"/>
            </w:tcBorders>
            <w:shd w:val="clear" w:color="auto" w:fill="auto"/>
            <w:vAlign w:val="bottom"/>
          </w:tcPr>
          <w:p w:rsidR="00037F0C" w14:paraId="50FB68D3" w14:textId="77777777">
            <w:pPr>
              <w:jc w:val="center"/>
              <w:rPr>
                <w:rFonts w:ascii="Calibri" w:eastAsia="Calibri" w:hAnsi="Calibri" w:cs="Calibri"/>
              </w:rPr>
            </w:pPr>
            <w:r>
              <w:rPr>
                <w:rFonts w:ascii="Calibri" w:eastAsia="Calibri" w:hAnsi="Calibri" w:cs="Calibri"/>
              </w:rPr>
              <w:t>12,751</w:t>
            </w:r>
          </w:p>
        </w:tc>
        <w:tc>
          <w:tcPr>
            <w:tcW w:w="2220" w:type="dxa"/>
            <w:tcBorders>
              <w:top w:val="nil"/>
              <w:left w:val="nil"/>
              <w:bottom w:val="nil"/>
              <w:right w:val="nil"/>
            </w:tcBorders>
            <w:shd w:val="clear" w:color="auto" w:fill="auto"/>
            <w:vAlign w:val="bottom"/>
          </w:tcPr>
          <w:p w:rsidR="00037F0C" w14:paraId="57F1589E" w14:textId="77777777">
            <w:pPr>
              <w:jc w:val="center"/>
              <w:rPr>
                <w:rFonts w:ascii="Calibri" w:eastAsia="Calibri" w:hAnsi="Calibri" w:cs="Calibri"/>
              </w:rPr>
            </w:pPr>
            <w:r>
              <w:rPr>
                <w:rFonts w:ascii="Calibri" w:eastAsia="Calibri" w:hAnsi="Calibri" w:cs="Calibri"/>
              </w:rPr>
              <w:t>34.6</w:t>
            </w:r>
          </w:p>
        </w:tc>
        <w:tc>
          <w:tcPr>
            <w:tcW w:w="1900" w:type="dxa"/>
            <w:tcBorders>
              <w:top w:val="nil"/>
              <w:left w:val="nil"/>
              <w:bottom w:val="nil"/>
              <w:right w:val="nil"/>
            </w:tcBorders>
            <w:shd w:val="clear" w:color="auto" w:fill="auto"/>
            <w:vAlign w:val="bottom"/>
          </w:tcPr>
          <w:p w:rsidR="00037F0C" w14:paraId="60E189CD" w14:textId="77777777">
            <w:pPr>
              <w:jc w:val="center"/>
              <w:rPr>
                <w:rFonts w:ascii="Calibri" w:eastAsia="Calibri" w:hAnsi="Calibri" w:cs="Calibri"/>
              </w:rPr>
            </w:pPr>
            <w:r>
              <w:rPr>
                <w:rFonts w:ascii="Calibri" w:eastAsia="Calibri" w:hAnsi="Calibri" w:cs="Calibri"/>
              </w:rPr>
              <w:t>4,407</w:t>
            </w:r>
          </w:p>
        </w:tc>
      </w:tr>
      <w:tr w14:paraId="1DD5AE92" w14:textId="77777777">
        <w:tblPrEx>
          <w:tblW w:w="9400" w:type="dxa"/>
          <w:tblLayout w:type="fixed"/>
          <w:tblLook w:val="0400"/>
        </w:tblPrEx>
        <w:trPr>
          <w:trHeight w:val="260"/>
        </w:trPr>
        <w:tc>
          <w:tcPr>
            <w:tcW w:w="1680" w:type="dxa"/>
            <w:tcBorders>
              <w:top w:val="nil"/>
              <w:left w:val="nil"/>
              <w:bottom w:val="nil"/>
              <w:right w:val="nil"/>
            </w:tcBorders>
            <w:shd w:val="clear" w:color="auto" w:fill="auto"/>
            <w:vAlign w:val="bottom"/>
          </w:tcPr>
          <w:p w:rsidR="00037F0C" w14:paraId="3E1CCF5A" w14:textId="77777777">
            <w:pPr>
              <w:jc w:val="center"/>
              <w:rPr>
                <w:rFonts w:ascii="Calibri" w:eastAsia="Calibri" w:hAnsi="Calibri" w:cs="Calibri"/>
              </w:rPr>
            </w:pPr>
            <w:r>
              <w:rPr>
                <w:rFonts w:ascii="Calibri" w:eastAsia="Calibri" w:hAnsi="Calibri" w:cs="Calibri"/>
              </w:rPr>
              <w:t>NJ</w:t>
            </w:r>
          </w:p>
        </w:tc>
        <w:tc>
          <w:tcPr>
            <w:tcW w:w="1960" w:type="dxa"/>
            <w:tcBorders>
              <w:top w:val="nil"/>
              <w:left w:val="nil"/>
              <w:bottom w:val="nil"/>
              <w:right w:val="nil"/>
            </w:tcBorders>
            <w:shd w:val="clear" w:color="auto" w:fill="auto"/>
            <w:vAlign w:val="bottom"/>
          </w:tcPr>
          <w:p w:rsidR="00037F0C" w14:paraId="724B8C61" w14:textId="77777777">
            <w:pPr>
              <w:jc w:val="center"/>
              <w:rPr>
                <w:rFonts w:ascii="Calibri" w:eastAsia="Calibri" w:hAnsi="Calibri" w:cs="Calibri"/>
                <w:color w:val="000000"/>
              </w:rPr>
            </w:pPr>
            <w:r>
              <w:rPr>
                <w:rFonts w:ascii="Calibri" w:eastAsia="Calibri" w:hAnsi="Calibri" w:cs="Calibri"/>
                <w:color w:val="000000"/>
              </w:rPr>
              <w:t>3,218,798</w:t>
            </w:r>
          </w:p>
        </w:tc>
        <w:tc>
          <w:tcPr>
            <w:tcW w:w="1640" w:type="dxa"/>
            <w:tcBorders>
              <w:top w:val="nil"/>
              <w:left w:val="nil"/>
              <w:bottom w:val="nil"/>
              <w:right w:val="nil"/>
            </w:tcBorders>
            <w:shd w:val="clear" w:color="auto" w:fill="auto"/>
            <w:vAlign w:val="bottom"/>
          </w:tcPr>
          <w:p w:rsidR="00037F0C" w14:paraId="57555987" w14:textId="77777777">
            <w:pPr>
              <w:jc w:val="center"/>
              <w:rPr>
                <w:rFonts w:ascii="Calibri" w:eastAsia="Calibri" w:hAnsi="Calibri" w:cs="Calibri"/>
              </w:rPr>
            </w:pPr>
            <w:r>
              <w:rPr>
                <w:rFonts w:ascii="Calibri" w:eastAsia="Calibri" w:hAnsi="Calibri" w:cs="Calibri"/>
              </w:rPr>
              <w:t>22,128</w:t>
            </w:r>
          </w:p>
        </w:tc>
        <w:tc>
          <w:tcPr>
            <w:tcW w:w="2220" w:type="dxa"/>
            <w:tcBorders>
              <w:top w:val="nil"/>
              <w:left w:val="nil"/>
              <w:bottom w:val="nil"/>
              <w:right w:val="nil"/>
            </w:tcBorders>
            <w:shd w:val="clear" w:color="auto" w:fill="auto"/>
            <w:vAlign w:val="bottom"/>
          </w:tcPr>
          <w:p w:rsidR="00037F0C" w14:paraId="0058664A" w14:textId="77777777">
            <w:pPr>
              <w:jc w:val="center"/>
              <w:rPr>
                <w:rFonts w:ascii="Calibri" w:eastAsia="Calibri" w:hAnsi="Calibri" w:cs="Calibri"/>
              </w:rPr>
            </w:pPr>
            <w:r>
              <w:rPr>
                <w:rFonts w:ascii="Calibri" w:eastAsia="Calibri" w:hAnsi="Calibri" w:cs="Calibri"/>
              </w:rPr>
              <w:t>28.5</w:t>
            </w:r>
          </w:p>
        </w:tc>
        <w:tc>
          <w:tcPr>
            <w:tcW w:w="1900" w:type="dxa"/>
            <w:tcBorders>
              <w:top w:val="nil"/>
              <w:left w:val="nil"/>
              <w:bottom w:val="nil"/>
              <w:right w:val="nil"/>
            </w:tcBorders>
            <w:shd w:val="clear" w:color="auto" w:fill="auto"/>
            <w:vAlign w:val="bottom"/>
          </w:tcPr>
          <w:p w:rsidR="00037F0C" w14:paraId="5A58DAFB" w14:textId="77777777">
            <w:pPr>
              <w:jc w:val="center"/>
              <w:rPr>
                <w:rFonts w:ascii="Calibri" w:eastAsia="Calibri" w:hAnsi="Calibri" w:cs="Calibri"/>
              </w:rPr>
            </w:pPr>
            <w:r>
              <w:rPr>
                <w:rFonts w:ascii="Calibri" w:eastAsia="Calibri" w:hAnsi="Calibri" w:cs="Calibri"/>
              </w:rPr>
              <w:t>6,307</w:t>
            </w:r>
          </w:p>
        </w:tc>
      </w:tr>
      <w:tr w14:paraId="27D5234D" w14:textId="77777777">
        <w:tblPrEx>
          <w:tblW w:w="9400" w:type="dxa"/>
          <w:tblLayout w:type="fixed"/>
          <w:tblLook w:val="0400"/>
        </w:tblPrEx>
        <w:trPr>
          <w:trHeight w:val="260"/>
        </w:trPr>
        <w:tc>
          <w:tcPr>
            <w:tcW w:w="1680" w:type="dxa"/>
            <w:tcBorders>
              <w:top w:val="nil"/>
              <w:left w:val="nil"/>
              <w:bottom w:val="nil"/>
              <w:right w:val="nil"/>
            </w:tcBorders>
            <w:shd w:val="clear" w:color="auto" w:fill="auto"/>
            <w:vAlign w:val="bottom"/>
          </w:tcPr>
          <w:p w:rsidR="00037F0C" w14:paraId="2996E1AB" w14:textId="77777777">
            <w:pPr>
              <w:jc w:val="center"/>
              <w:rPr>
                <w:rFonts w:ascii="Calibri" w:eastAsia="Calibri" w:hAnsi="Calibri" w:cs="Calibri"/>
              </w:rPr>
            </w:pPr>
            <w:r>
              <w:rPr>
                <w:rFonts w:ascii="Calibri" w:eastAsia="Calibri" w:hAnsi="Calibri" w:cs="Calibri"/>
              </w:rPr>
              <w:t>NY</w:t>
            </w:r>
          </w:p>
        </w:tc>
        <w:tc>
          <w:tcPr>
            <w:tcW w:w="1960" w:type="dxa"/>
            <w:tcBorders>
              <w:top w:val="nil"/>
              <w:left w:val="nil"/>
              <w:bottom w:val="nil"/>
              <w:right w:val="nil"/>
            </w:tcBorders>
            <w:shd w:val="clear" w:color="auto" w:fill="auto"/>
            <w:vAlign w:val="bottom"/>
          </w:tcPr>
          <w:p w:rsidR="00037F0C" w14:paraId="1C5C33AA" w14:textId="77777777">
            <w:pPr>
              <w:jc w:val="center"/>
              <w:rPr>
                <w:rFonts w:ascii="Calibri" w:eastAsia="Calibri" w:hAnsi="Calibri" w:cs="Calibri"/>
                <w:color w:val="000000"/>
              </w:rPr>
            </w:pPr>
            <w:r>
              <w:rPr>
                <w:rFonts w:ascii="Calibri" w:eastAsia="Calibri" w:hAnsi="Calibri" w:cs="Calibri"/>
                <w:color w:val="000000"/>
              </w:rPr>
              <w:t>7,311,723</w:t>
            </w:r>
          </w:p>
        </w:tc>
        <w:tc>
          <w:tcPr>
            <w:tcW w:w="1640" w:type="dxa"/>
            <w:tcBorders>
              <w:top w:val="nil"/>
              <w:left w:val="nil"/>
              <w:bottom w:val="nil"/>
              <w:right w:val="nil"/>
            </w:tcBorders>
            <w:shd w:val="clear" w:color="auto" w:fill="auto"/>
            <w:vAlign w:val="bottom"/>
          </w:tcPr>
          <w:p w:rsidR="00037F0C" w14:paraId="1836D2BB" w14:textId="77777777">
            <w:pPr>
              <w:jc w:val="center"/>
              <w:rPr>
                <w:rFonts w:ascii="Calibri" w:eastAsia="Calibri" w:hAnsi="Calibri" w:cs="Calibri"/>
              </w:rPr>
            </w:pPr>
            <w:r>
              <w:rPr>
                <w:rFonts w:ascii="Calibri" w:eastAsia="Calibri" w:hAnsi="Calibri" w:cs="Calibri"/>
              </w:rPr>
              <w:t>33,416</w:t>
            </w:r>
          </w:p>
        </w:tc>
        <w:tc>
          <w:tcPr>
            <w:tcW w:w="2220" w:type="dxa"/>
            <w:tcBorders>
              <w:top w:val="nil"/>
              <w:left w:val="nil"/>
              <w:bottom w:val="nil"/>
              <w:right w:val="nil"/>
            </w:tcBorders>
            <w:shd w:val="clear" w:color="auto" w:fill="auto"/>
            <w:vAlign w:val="bottom"/>
          </w:tcPr>
          <w:p w:rsidR="00037F0C" w14:paraId="0A3F1ED6" w14:textId="77777777">
            <w:pPr>
              <w:jc w:val="center"/>
              <w:rPr>
                <w:rFonts w:ascii="Calibri" w:eastAsia="Calibri" w:hAnsi="Calibri" w:cs="Calibri"/>
              </w:rPr>
            </w:pPr>
            <w:r>
              <w:rPr>
                <w:rFonts w:ascii="Calibri" w:eastAsia="Calibri" w:hAnsi="Calibri" w:cs="Calibri"/>
              </w:rPr>
              <w:t>23.1</w:t>
            </w:r>
          </w:p>
        </w:tc>
        <w:tc>
          <w:tcPr>
            <w:tcW w:w="1900" w:type="dxa"/>
            <w:tcBorders>
              <w:top w:val="nil"/>
              <w:left w:val="nil"/>
              <w:bottom w:val="nil"/>
              <w:right w:val="nil"/>
            </w:tcBorders>
            <w:shd w:val="clear" w:color="auto" w:fill="auto"/>
            <w:vAlign w:val="bottom"/>
          </w:tcPr>
          <w:p w:rsidR="00037F0C" w14:paraId="328EB57C" w14:textId="77777777">
            <w:pPr>
              <w:jc w:val="center"/>
              <w:rPr>
                <w:rFonts w:ascii="Calibri" w:eastAsia="Calibri" w:hAnsi="Calibri" w:cs="Calibri"/>
              </w:rPr>
            </w:pPr>
            <w:r>
              <w:rPr>
                <w:rFonts w:ascii="Calibri" w:eastAsia="Calibri" w:hAnsi="Calibri" w:cs="Calibri"/>
              </w:rPr>
              <w:t>7,716</w:t>
            </w:r>
          </w:p>
        </w:tc>
      </w:tr>
      <w:tr w14:paraId="45DE0B77" w14:textId="77777777">
        <w:tblPrEx>
          <w:tblW w:w="9400" w:type="dxa"/>
          <w:tblLayout w:type="fixed"/>
          <w:tblLook w:val="0400"/>
        </w:tblPrEx>
        <w:trPr>
          <w:trHeight w:val="260"/>
        </w:trPr>
        <w:tc>
          <w:tcPr>
            <w:tcW w:w="1680" w:type="dxa"/>
            <w:tcBorders>
              <w:top w:val="nil"/>
              <w:left w:val="nil"/>
              <w:bottom w:val="nil"/>
              <w:right w:val="nil"/>
            </w:tcBorders>
            <w:shd w:val="clear" w:color="auto" w:fill="auto"/>
            <w:vAlign w:val="bottom"/>
          </w:tcPr>
          <w:p w:rsidR="00037F0C" w14:paraId="36B7FEDD" w14:textId="77777777">
            <w:pPr>
              <w:jc w:val="center"/>
              <w:rPr>
                <w:rFonts w:ascii="Calibri" w:eastAsia="Calibri" w:hAnsi="Calibri" w:cs="Calibri"/>
              </w:rPr>
            </w:pPr>
            <w:r>
              <w:rPr>
                <w:rFonts w:ascii="Calibri" w:eastAsia="Calibri" w:hAnsi="Calibri" w:cs="Calibri"/>
              </w:rPr>
              <w:t>NC</w:t>
            </w:r>
          </w:p>
        </w:tc>
        <w:tc>
          <w:tcPr>
            <w:tcW w:w="1960" w:type="dxa"/>
            <w:tcBorders>
              <w:top w:val="nil"/>
              <w:left w:val="nil"/>
              <w:bottom w:val="nil"/>
              <w:right w:val="nil"/>
            </w:tcBorders>
            <w:shd w:val="clear" w:color="auto" w:fill="auto"/>
            <w:vAlign w:val="bottom"/>
          </w:tcPr>
          <w:p w:rsidR="00037F0C" w14:paraId="4BB93F79" w14:textId="77777777">
            <w:pPr>
              <w:jc w:val="center"/>
              <w:rPr>
                <w:rFonts w:ascii="Calibri" w:eastAsia="Calibri" w:hAnsi="Calibri" w:cs="Calibri"/>
                <w:color w:val="000000"/>
              </w:rPr>
            </w:pPr>
            <w:r>
              <w:rPr>
                <w:rFonts w:ascii="Calibri" w:eastAsia="Calibri" w:hAnsi="Calibri" w:cs="Calibri"/>
                <w:color w:val="000000"/>
              </w:rPr>
              <w:t>3,955,354</w:t>
            </w:r>
          </w:p>
        </w:tc>
        <w:tc>
          <w:tcPr>
            <w:tcW w:w="1640" w:type="dxa"/>
            <w:tcBorders>
              <w:top w:val="nil"/>
              <w:left w:val="nil"/>
              <w:bottom w:val="nil"/>
              <w:right w:val="nil"/>
            </w:tcBorders>
            <w:shd w:val="clear" w:color="auto" w:fill="auto"/>
            <w:vAlign w:val="bottom"/>
          </w:tcPr>
          <w:p w:rsidR="00037F0C" w14:paraId="1CC4E0F9" w14:textId="77777777">
            <w:pPr>
              <w:jc w:val="center"/>
              <w:rPr>
                <w:rFonts w:ascii="Calibri" w:eastAsia="Calibri" w:hAnsi="Calibri" w:cs="Calibri"/>
              </w:rPr>
            </w:pPr>
            <w:r>
              <w:rPr>
                <w:rFonts w:ascii="Calibri" w:eastAsia="Calibri" w:hAnsi="Calibri" w:cs="Calibri"/>
              </w:rPr>
              <w:t>20,368</w:t>
            </w:r>
          </w:p>
        </w:tc>
        <w:tc>
          <w:tcPr>
            <w:tcW w:w="2220" w:type="dxa"/>
            <w:tcBorders>
              <w:top w:val="nil"/>
              <w:left w:val="nil"/>
              <w:bottom w:val="nil"/>
              <w:right w:val="nil"/>
            </w:tcBorders>
            <w:shd w:val="clear" w:color="auto" w:fill="auto"/>
            <w:vAlign w:val="bottom"/>
          </w:tcPr>
          <w:p w:rsidR="00037F0C" w14:paraId="47F76608" w14:textId="77777777">
            <w:pPr>
              <w:jc w:val="center"/>
              <w:rPr>
                <w:rFonts w:ascii="Calibri" w:eastAsia="Calibri" w:hAnsi="Calibri" w:cs="Calibri"/>
              </w:rPr>
            </w:pPr>
            <w:r>
              <w:rPr>
                <w:rFonts w:ascii="Calibri" w:eastAsia="Calibri" w:hAnsi="Calibri" w:cs="Calibri"/>
              </w:rPr>
              <w:t>33.6</w:t>
            </w:r>
          </w:p>
        </w:tc>
        <w:tc>
          <w:tcPr>
            <w:tcW w:w="1900" w:type="dxa"/>
            <w:tcBorders>
              <w:top w:val="nil"/>
              <w:left w:val="nil"/>
              <w:bottom w:val="nil"/>
              <w:right w:val="nil"/>
            </w:tcBorders>
            <w:shd w:val="clear" w:color="auto" w:fill="auto"/>
            <w:vAlign w:val="bottom"/>
          </w:tcPr>
          <w:p w:rsidR="00037F0C" w14:paraId="791215DF" w14:textId="77777777">
            <w:pPr>
              <w:jc w:val="center"/>
              <w:rPr>
                <w:rFonts w:ascii="Calibri" w:eastAsia="Calibri" w:hAnsi="Calibri" w:cs="Calibri"/>
              </w:rPr>
            </w:pPr>
            <w:r>
              <w:rPr>
                <w:rFonts w:ascii="Calibri" w:eastAsia="Calibri" w:hAnsi="Calibri" w:cs="Calibri"/>
              </w:rPr>
              <w:t>6,838</w:t>
            </w:r>
          </w:p>
        </w:tc>
      </w:tr>
      <w:tr w14:paraId="1051E721" w14:textId="77777777">
        <w:tblPrEx>
          <w:tblW w:w="9400" w:type="dxa"/>
          <w:tblLayout w:type="fixed"/>
          <w:tblLook w:val="0400"/>
        </w:tblPrEx>
        <w:trPr>
          <w:trHeight w:val="260"/>
        </w:trPr>
        <w:tc>
          <w:tcPr>
            <w:tcW w:w="1680" w:type="dxa"/>
            <w:tcBorders>
              <w:top w:val="nil"/>
              <w:left w:val="nil"/>
              <w:bottom w:val="nil"/>
              <w:right w:val="nil"/>
            </w:tcBorders>
            <w:shd w:val="clear" w:color="auto" w:fill="auto"/>
            <w:vAlign w:val="bottom"/>
          </w:tcPr>
          <w:p w:rsidR="00037F0C" w14:paraId="726AAD05" w14:textId="77777777">
            <w:pPr>
              <w:jc w:val="center"/>
              <w:rPr>
                <w:rFonts w:ascii="Calibri" w:eastAsia="Calibri" w:hAnsi="Calibri" w:cs="Calibri"/>
              </w:rPr>
            </w:pPr>
            <w:r>
              <w:rPr>
                <w:rFonts w:ascii="Calibri" w:eastAsia="Calibri" w:hAnsi="Calibri" w:cs="Calibri"/>
              </w:rPr>
              <w:t>RI</w:t>
            </w:r>
          </w:p>
        </w:tc>
        <w:tc>
          <w:tcPr>
            <w:tcW w:w="1960" w:type="dxa"/>
            <w:tcBorders>
              <w:top w:val="nil"/>
              <w:left w:val="nil"/>
              <w:bottom w:val="nil"/>
              <w:right w:val="nil"/>
            </w:tcBorders>
            <w:shd w:val="clear" w:color="auto" w:fill="auto"/>
            <w:vAlign w:val="bottom"/>
          </w:tcPr>
          <w:p w:rsidR="00037F0C" w14:paraId="017C7C07" w14:textId="77777777">
            <w:pPr>
              <w:jc w:val="center"/>
              <w:rPr>
                <w:rFonts w:ascii="Calibri" w:eastAsia="Calibri" w:hAnsi="Calibri" w:cs="Calibri"/>
                <w:color w:val="000000"/>
              </w:rPr>
            </w:pPr>
            <w:r>
              <w:rPr>
                <w:rFonts w:ascii="Calibri" w:eastAsia="Calibri" w:hAnsi="Calibri" w:cs="Calibri"/>
                <w:color w:val="000000"/>
              </w:rPr>
              <w:t>408,675</w:t>
            </w:r>
          </w:p>
        </w:tc>
        <w:tc>
          <w:tcPr>
            <w:tcW w:w="1640" w:type="dxa"/>
            <w:tcBorders>
              <w:top w:val="nil"/>
              <w:left w:val="nil"/>
              <w:bottom w:val="nil"/>
              <w:right w:val="nil"/>
            </w:tcBorders>
            <w:shd w:val="clear" w:color="auto" w:fill="auto"/>
            <w:vAlign w:val="bottom"/>
          </w:tcPr>
          <w:p w:rsidR="00037F0C" w14:paraId="1FAEB88A" w14:textId="77777777">
            <w:pPr>
              <w:jc w:val="center"/>
              <w:rPr>
                <w:rFonts w:ascii="Calibri" w:eastAsia="Calibri" w:hAnsi="Calibri" w:cs="Calibri"/>
              </w:rPr>
            </w:pPr>
            <w:r>
              <w:rPr>
                <w:rFonts w:ascii="Calibri" w:eastAsia="Calibri" w:hAnsi="Calibri" w:cs="Calibri"/>
              </w:rPr>
              <w:t>20,624</w:t>
            </w:r>
          </w:p>
        </w:tc>
        <w:tc>
          <w:tcPr>
            <w:tcW w:w="2220" w:type="dxa"/>
            <w:tcBorders>
              <w:top w:val="nil"/>
              <w:left w:val="nil"/>
              <w:bottom w:val="nil"/>
              <w:right w:val="nil"/>
            </w:tcBorders>
            <w:shd w:val="clear" w:color="auto" w:fill="auto"/>
            <w:vAlign w:val="bottom"/>
          </w:tcPr>
          <w:p w:rsidR="00037F0C" w14:paraId="0CEA4F1E" w14:textId="77777777">
            <w:pPr>
              <w:jc w:val="center"/>
              <w:rPr>
                <w:rFonts w:ascii="Calibri" w:eastAsia="Calibri" w:hAnsi="Calibri" w:cs="Calibri"/>
              </w:rPr>
            </w:pPr>
            <w:r>
              <w:rPr>
                <w:rFonts w:ascii="Calibri" w:eastAsia="Calibri" w:hAnsi="Calibri" w:cs="Calibri"/>
              </w:rPr>
              <w:t>34.3</w:t>
            </w:r>
          </w:p>
        </w:tc>
        <w:tc>
          <w:tcPr>
            <w:tcW w:w="1900" w:type="dxa"/>
            <w:tcBorders>
              <w:top w:val="nil"/>
              <w:left w:val="nil"/>
              <w:bottom w:val="nil"/>
              <w:right w:val="nil"/>
            </w:tcBorders>
            <w:shd w:val="clear" w:color="auto" w:fill="auto"/>
            <w:vAlign w:val="bottom"/>
          </w:tcPr>
          <w:p w:rsidR="00037F0C" w14:paraId="13E9EDBB" w14:textId="77777777">
            <w:pPr>
              <w:jc w:val="center"/>
              <w:rPr>
                <w:rFonts w:ascii="Calibri" w:eastAsia="Calibri" w:hAnsi="Calibri" w:cs="Calibri"/>
              </w:rPr>
            </w:pPr>
            <w:r>
              <w:rPr>
                <w:rFonts w:ascii="Calibri" w:eastAsia="Calibri" w:hAnsi="Calibri" w:cs="Calibri"/>
              </w:rPr>
              <w:t>7,080</w:t>
            </w:r>
          </w:p>
        </w:tc>
      </w:tr>
      <w:tr w14:paraId="2B3AFF46" w14:textId="77777777">
        <w:tblPrEx>
          <w:tblW w:w="9400" w:type="dxa"/>
          <w:tblLayout w:type="fixed"/>
          <w:tblLook w:val="0400"/>
        </w:tblPrEx>
        <w:trPr>
          <w:trHeight w:val="260"/>
        </w:trPr>
        <w:tc>
          <w:tcPr>
            <w:tcW w:w="1680" w:type="dxa"/>
            <w:tcBorders>
              <w:top w:val="nil"/>
              <w:left w:val="nil"/>
              <w:bottom w:val="nil"/>
              <w:right w:val="nil"/>
            </w:tcBorders>
            <w:shd w:val="clear" w:color="auto" w:fill="auto"/>
            <w:vAlign w:val="bottom"/>
          </w:tcPr>
          <w:p w:rsidR="00037F0C" w14:paraId="311CA40F" w14:textId="77777777">
            <w:pPr>
              <w:jc w:val="center"/>
              <w:rPr>
                <w:rFonts w:ascii="Calibri" w:eastAsia="Calibri" w:hAnsi="Calibri" w:cs="Calibri"/>
              </w:rPr>
            </w:pPr>
            <w:r>
              <w:rPr>
                <w:rFonts w:ascii="Calibri" w:eastAsia="Calibri" w:hAnsi="Calibri" w:cs="Calibri"/>
              </w:rPr>
              <w:t xml:space="preserve">SC </w:t>
            </w:r>
          </w:p>
        </w:tc>
        <w:tc>
          <w:tcPr>
            <w:tcW w:w="1960" w:type="dxa"/>
            <w:tcBorders>
              <w:top w:val="nil"/>
              <w:left w:val="nil"/>
              <w:bottom w:val="nil"/>
              <w:right w:val="nil"/>
            </w:tcBorders>
            <w:shd w:val="clear" w:color="auto" w:fill="auto"/>
            <w:vAlign w:val="bottom"/>
          </w:tcPr>
          <w:p w:rsidR="00037F0C" w14:paraId="32CEA516" w14:textId="77777777">
            <w:pPr>
              <w:jc w:val="center"/>
              <w:rPr>
                <w:rFonts w:ascii="Calibri" w:eastAsia="Calibri" w:hAnsi="Calibri" w:cs="Calibri"/>
                <w:color w:val="000000"/>
              </w:rPr>
            </w:pPr>
            <w:r>
              <w:rPr>
                <w:rFonts w:ascii="Calibri" w:eastAsia="Calibri" w:hAnsi="Calibri" w:cs="Calibri"/>
                <w:color w:val="000000"/>
              </w:rPr>
              <w:t>1,910,576</w:t>
            </w:r>
          </w:p>
        </w:tc>
        <w:tc>
          <w:tcPr>
            <w:tcW w:w="1640" w:type="dxa"/>
            <w:tcBorders>
              <w:top w:val="nil"/>
              <w:left w:val="nil"/>
              <w:bottom w:val="nil"/>
              <w:right w:val="nil"/>
            </w:tcBorders>
            <w:shd w:val="clear" w:color="auto" w:fill="auto"/>
            <w:vAlign w:val="bottom"/>
          </w:tcPr>
          <w:p w:rsidR="00037F0C" w14:paraId="3C9FFFB7" w14:textId="77777777">
            <w:pPr>
              <w:jc w:val="center"/>
              <w:rPr>
                <w:rFonts w:ascii="Calibri" w:eastAsia="Calibri" w:hAnsi="Calibri" w:cs="Calibri"/>
              </w:rPr>
            </w:pPr>
            <w:r>
              <w:rPr>
                <w:rFonts w:ascii="Calibri" w:eastAsia="Calibri" w:hAnsi="Calibri" w:cs="Calibri"/>
              </w:rPr>
              <w:t>19,518</w:t>
            </w:r>
          </w:p>
        </w:tc>
        <w:tc>
          <w:tcPr>
            <w:tcW w:w="2220" w:type="dxa"/>
            <w:tcBorders>
              <w:top w:val="nil"/>
              <w:left w:val="nil"/>
              <w:bottom w:val="nil"/>
              <w:right w:val="nil"/>
            </w:tcBorders>
            <w:shd w:val="clear" w:color="auto" w:fill="auto"/>
            <w:vAlign w:val="bottom"/>
          </w:tcPr>
          <w:p w:rsidR="00037F0C" w14:paraId="6121F2F2" w14:textId="77777777">
            <w:pPr>
              <w:jc w:val="center"/>
              <w:rPr>
                <w:rFonts w:ascii="Calibri" w:eastAsia="Calibri" w:hAnsi="Calibri" w:cs="Calibri"/>
              </w:rPr>
            </w:pPr>
            <w:r>
              <w:rPr>
                <w:rFonts w:ascii="Calibri" w:eastAsia="Calibri" w:hAnsi="Calibri" w:cs="Calibri"/>
              </w:rPr>
              <w:t>34.5</w:t>
            </w:r>
          </w:p>
        </w:tc>
        <w:tc>
          <w:tcPr>
            <w:tcW w:w="1900" w:type="dxa"/>
            <w:tcBorders>
              <w:top w:val="nil"/>
              <w:left w:val="nil"/>
              <w:bottom w:val="nil"/>
              <w:right w:val="nil"/>
            </w:tcBorders>
            <w:shd w:val="clear" w:color="auto" w:fill="auto"/>
            <w:vAlign w:val="bottom"/>
          </w:tcPr>
          <w:p w:rsidR="00037F0C" w14:paraId="6E721FCD" w14:textId="77777777">
            <w:pPr>
              <w:jc w:val="center"/>
              <w:rPr>
                <w:rFonts w:ascii="Calibri" w:eastAsia="Calibri" w:hAnsi="Calibri" w:cs="Calibri"/>
              </w:rPr>
            </w:pPr>
            <w:r>
              <w:rPr>
                <w:rFonts w:ascii="Calibri" w:eastAsia="Calibri" w:hAnsi="Calibri" w:cs="Calibri"/>
              </w:rPr>
              <w:t>6,725</w:t>
            </w:r>
          </w:p>
        </w:tc>
      </w:tr>
      <w:tr w14:paraId="4A3D7689" w14:textId="77777777">
        <w:tblPrEx>
          <w:tblW w:w="9400" w:type="dxa"/>
          <w:tblLayout w:type="fixed"/>
          <w:tblLook w:val="0400"/>
        </w:tblPrEx>
        <w:trPr>
          <w:trHeight w:val="260"/>
        </w:trPr>
        <w:tc>
          <w:tcPr>
            <w:tcW w:w="1680" w:type="dxa"/>
            <w:tcBorders>
              <w:top w:val="nil"/>
              <w:left w:val="nil"/>
              <w:bottom w:val="single" w:sz="4" w:space="0" w:color="000000"/>
              <w:right w:val="nil"/>
            </w:tcBorders>
            <w:shd w:val="clear" w:color="auto" w:fill="auto"/>
            <w:vAlign w:val="bottom"/>
          </w:tcPr>
          <w:p w:rsidR="00037F0C" w14:paraId="115FE764" w14:textId="77777777">
            <w:pPr>
              <w:jc w:val="center"/>
              <w:rPr>
                <w:rFonts w:ascii="Calibri" w:eastAsia="Calibri" w:hAnsi="Calibri" w:cs="Calibri"/>
              </w:rPr>
            </w:pPr>
            <w:r>
              <w:rPr>
                <w:rFonts w:ascii="Calibri" w:eastAsia="Calibri" w:hAnsi="Calibri" w:cs="Calibri"/>
              </w:rPr>
              <w:t>VA</w:t>
            </w:r>
          </w:p>
        </w:tc>
        <w:tc>
          <w:tcPr>
            <w:tcW w:w="1960" w:type="dxa"/>
            <w:tcBorders>
              <w:top w:val="nil"/>
              <w:left w:val="nil"/>
              <w:bottom w:val="single" w:sz="4" w:space="0" w:color="000000"/>
              <w:right w:val="nil"/>
            </w:tcBorders>
            <w:shd w:val="clear" w:color="auto" w:fill="auto"/>
            <w:vAlign w:val="bottom"/>
          </w:tcPr>
          <w:p w:rsidR="00037F0C" w14:paraId="273C9B55" w14:textId="77777777">
            <w:pPr>
              <w:jc w:val="center"/>
              <w:rPr>
                <w:rFonts w:ascii="Calibri" w:eastAsia="Calibri" w:hAnsi="Calibri" w:cs="Calibri"/>
                <w:color w:val="000000"/>
              </w:rPr>
            </w:pPr>
            <w:r>
              <w:rPr>
                <w:rFonts w:ascii="Calibri" w:eastAsia="Calibri" w:hAnsi="Calibri" w:cs="Calibri"/>
                <w:color w:val="000000"/>
              </w:rPr>
              <w:t>3,133,590</w:t>
            </w:r>
          </w:p>
        </w:tc>
        <w:tc>
          <w:tcPr>
            <w:tcW w:w="1640" w:type="dxa"/>
            <w:tcBorders>
              <w:top w:val="nil"/>
              <w:left w:val="nil"/>
              <w:bottom w:val="single" w:sz="4" w:space="0" w:color="000000"/>
              <w:right w:val="nil"/>
            </w:tcBorders>
            <w:shd w:val="clear" w:color="auto" w:fill="auto"/>
            <w:vAlign w:val="bottom"/>
          </w:tcPr>
          <w:p w:rsidR="00037F0C" w14:paraId="5B1FC19A" w14:textId="77777777">
            <w:pPr>
              <w:jc w:val="center"/>
              <w:rPr>
                <w:rFonts w:ascii="Calibri" w:eastAsia="Calibri" w:hAnsi="Calibri" w:cs="Calibri"/>
              </w:rPr>
            </w:pPr>
            <w:r>
              <w:rPr>
                <w:rFonts w:ascii="Calibri" w:eastAsia="Calibri" w:hAnsi="Calibri" w:cs="Calibri"/>
              </w:rPr>
              <w:t>21,700</w:t>
            </w:r>
          </w:p>
        </w:tc>
        <w:tc>
          <w:tcPr>
            <w:tcW w:w="2220" w:type="dxa"/>
            <w:tcBorders>
              <w:top w:val="nil"/>
              <w:left w:val="nil"/>
              <w:bottom w:val="single" w:sz="4" w:space="0" w:color="000000"/>
              <w:right w:val="nil"/>
            </w:tcBorders>
            <w:shd w:val="clear" w:color="auto" w:fill="auto"/>
            <w:vAlign w:val="bottom"/>
          </w:tcPr>
          <w:p w:rsidR="00037F0C" w14:paraId="6C5313D9" w14:textId="77777777">
            <w:pPr>
              <w:jc w:val="center"/>
              <w:rPr>
                <w:rFonts w:ascii="Calibri" w:eastAsia="Calibri" w:hAnsi="Calibri" w:cs="Calibri"/>
              </w:rPr>
            </w:pPr>
            <w:r>
              <w:rPr>
                <w:rFonts w:ascii="Calibri" w:eastAsia="Calibri" w:hAnsi="Calibri" w:cs="Calibri"/>
              </w:rPr>
              <w:t>33.0</w:t>
            </w:r>
          </w:p>
        </w:tc>
        <w:tc>
          <w:tcPr>
            <w:tcW w:w="1900" w:type="dxa"/>
            <w:tcBorders>
              <w:top w:val="nil"/>
              <w:left w:val="nil"/>
              <w:bottom w:val="single" w:sz="4" w:space="0" w:color="000000"/>
              <w:right w:val="nil"/>
            </w:tcBorders>
            <w:shd w:val="clear" w:color="auto" w:fill="auto"/>
            <w:vAlign w:val="bottom"/>
          </w:tcPr>
          <w:p w:rsidR="00037F0C" w14:paraId="4A2D630B" w14:textId="77777777">
            <w:pPr>
              <w:jc w:val="center"/>
              <w:rPr>
                <w:rFonts w:ascii="Calibri" w:eastAsia="Calibri" w:hAnsi="Calibri" w:cs="Calibri"/>
              </w:rPr>
            </w:pPr>
            <w:r>
              <w:rPr>
                <w:rFonts w:ascii="Calibri" w:eastAsia="Calibri" w:hAnsi="Calibri" w:cs="Calibri"/>
              </w:rPr>
              <w:t>7,156</w:t>
            </w:r>
          </w:p>
        </w:tc>
      </w:tr>
      <w:tr w14:paraId="353C8287" w14:textId="77777777">
        <w:tblPrEx>
          <w:tblW w:w="9400" w:type="dxa"/>
          <w:tblLayout w:type="fixed"/>
          <w:tblLook w:val="0400"/>
        </w:tblPrEx>
        <w:trPr>
          <w:trHeight w:val="260"/>
        </w:trPr>
        <w:tc>
          <w:tcPr>
            <w:tcW w:w="1680" w:type="dxa"/>
            <w:tcBorders>
              <w:top w:val="nil"/>
              <w:left w:val="nil"/>
              <w:bottom w:val="single" w:sz="4" w:space="0" w:color="000000"/>
              <w:right w:val="nil"/>
            </w:tcBorders>
            <w:shd w:val="clear" w:color="auto" w:fill="auto"/>
            <w:vAlign w:val="bottom"/>
          </w:tcPr>
          <w:p w:rsidR="00037F0C" w14:paraId="32F941EF" w14:textId="77777777">
            <w:pPr>
              <w:jc w:val="center"/>
              <w:rPr>
                <w:rFonts w:ascii="Calibri" w:eastAsia="Calibri" w:hAnsi="Calibri" w:cs="Calibri"/>
              </w:rPr>
            </w:pPr>
            <w:r>
              <w:rPr>
                <w:rFonts w:ascii="Calibri" w:eastAsia="Calibri" w:hAnsi="Calibri" w:cs="Calibri"/>
              </w:rPr>
              <w:t>Overall</w:t>
            </w:r>
          </w:p>
        </w:tc>
        <w:tc>
          <w:tcPr>
            <w:tcW w:w="1960" w:type="dxa"/>
            <w:tcBorders>
              <w:top w:val="nil"/>
              <w:left w:val="nil"/>
              <w:bottom w:val="single" w:sz="4" w:space="0" w:color="000000"/>
              <w:right w:val="nil"/>
            </w:tcBorders>
            <w:shd w:val="clear" w:color="auto" w:fill="auto"/>
            <w:vAlign w:val="bottom"/>
          </w:tcPr>
          <w:p w:rsidR="00037F0C" w14:paraId="1F633156" w14:textId="77777777">
            <w:pPr>
              <w:jc w:val="center"/>
              <w:rPr>
                <w:rFonts w:ascii="Calibri" w:eastAsia="Calibri" w:hAnsi="Calibri" w:cs="Calibri"/>
              </w:rPr>
            </w:pPr>
            <w:r>
              <w:rPr>
                <w:rFonts w:ascii="Calibri" w:eastAsia="Calibri" w:hAnsi="Calibri" w:cs="Calibri"/>
              </w:rPr>
              <w:t>42,405,016</w:t>
            </w:r>
          </w:p>
        </w:tc>
        <w:tc>
          <w:tcPr>
            <w:tcW w:w="1640" w:type="dxa"/>
            <w:tcBorders>
              <w:top w:val="nil"/>
              <w:left w:val="nil"/>
              <w:bottom w:val="single" w:sz="4" w:space="0" w:color="000000"/>
              <w:right w:val="nil"/>
            </w:tcBorders>
            <w:shd w:val="clear" w:color="auto" w:fill="auto"/>
            <w:vAlign w:val="bottom"/>
          </w:tcPr>
          <w:p w:rsidR="00037F0C" w14:paraId="3B687CF8" w14:textId="77777777">
            <w:pPr>
              <w:jc w:val="center"/>
              <w:rPr>
                <w:rFonts w:ascii="Calibri" w:eastAsia="Calibri" w:hAnsi="Calibri" w:cs="Calibri"/>
              </w:rPr>
            </w:pPr>
            <w:r>
              <w:rPr>
                <w:rFonts w:ascii="Calibri" w:eastAsia="Calibri" w:hAnsi="Calibri" w:cs="Calibri"/>
              </w:rPr>
              <w:t>350,065</w:t>
            </w:r>
          </w:p>
        </w:tc>
        <w:tc>
          <w:tcPr>
            <w:tcW w:w="2220" w:type="dxa"/>
            <w:tcBorders>
              <w:top w:val="nil"/>
              <w:left w:val="nil"/>
              <w:bottom w:val="single" w:sz="4" w:space="0" w:color="000000"/>
              <w:right w:val="nil"/>
            </w:tcBorders>
            <w:shd w:val="clear" w:color="auto" w:fill="auto"/>
            <w:vAlign w:val="bottom"/>
          </w:tcPr>
          <w:p w:rsidR="00037F0C" w14:paraId="328F0FEF" w14:textId="77777777">
            <w:pPr>
              <w:jc w:val="center"/>
              <w:rPr>
                <w:rFonts w:ascii="Calibri" w:eastAsia="Calibri" w:hAnsi="Calibri" w:cs="Calibri"/>
              </w:rPr>
            </w:pPr>
            <w:r>
              <w:rPr>
                <w:rFonts w:ascii="Calibri" w:eastAsia="Calibri" w:hAnsi="Calibri" w:cs="Calibri"/>
              </w:rPr>
              <w:t>31.4</w:t>
            </w:r>
          </w:p>
        </w:tc>
        <w:tc>
          <w:tcPr>
            <w:tcW w:w="1900" w:type="dxa"/>
            <w:tcBorders>
              <w:top w:val="nil"/>
              <w:left w:val="nil"/>
              <w:bottom w:val="single" w:sz="4" w:space="0" w:color="000000"/>
              <w:right w:val="nil"/>
            </w:tcBorders>
            <w:shd w:val="clear" w:color="auto" w:fill="auto"/>
            <w:vAlign w:val="bottom"/>
          </w:tcPr>
          <w:p w:rsidR="00037F0C" w14:paraId="3563157F" w14:textId="77777777">
            <w:pPr>
              <w:jc w:val="center"/>
              <w:rPr>
                <w:rFonts w:ascii="Calibri" w:eastAsia="Calibri" w:hAnsi="Calibri" w:cs="Calibri"/>
              </w:rPr>
            </w:pPr>
            <w:r>
              <w:rPr>
                <w:rFonts w:ascii="Calibri" w:eastAsia="Calibri" w:hAnsi="Calibri" w:cs="Calibri"/>
              </w:rPr>
              <w:t>110,000</w:t>
            </w:r>
          </w:p>
        </w:tc>
      </w:tr>
    </w:tbl>
    <w:p w:rsidR="00037F0C" w14:paraId="6D684344" w14:textId="77777777">
      <w:pPr>
        <w:widowControl w:val="0"/>
        <w:pBdr>
          <w:top w:val="nil"/>
          <w:left w:val="nil"/>
          <w:bottom w:val="nil"/>
          <w:right w:val="nil"/>
          <w:between w:val="nil"/>
        </w:pBdr>
        <w:spacing w:line="240" w:lineRule="auto"/>
        <w:rPr>
          <w:color w:val="000000"/>
        </w:rPr>
      </w:pPr>
    </w:p>
    <w:p w:rsidR="00037F0C" w14:paraId="53E979D1" w14:textId="77777777">
      <w:pPr>
        <w:widowControl w:val="0"/>
        <w:pBdr>
          <w:top w:val="nil"/>
          <w:left w:val="nil"/>
          <w:bottom w:val="nil"/>
          <w:right w:val="nil"/>
          <w:between w:val="nil"/>
        </w:pBdr>
        <w:spacing w:line="240" w:lineRule="auto"/>
        <w:rPr>
          <w:color w:val="000000"/>
        </w:rPr>
      </w:pPr>
      <w:r>
        <w:rPr>
          <w:color w:val="000000"/>
        </w:rPr>
        <w:t>*The denominator for the calculation of response rates includes all addresses, including those returned by the postal service as non-deliverable.  Based upon historical FES administrations, approximately 6% of addresses will be returned as non-deliverable.  In 2020, the overall response rate, excluding non-deliverable addresses, was approximately 33.3%.</w:t>
      </w:r>
    </w:p>
    <w:p w:rsidR="00037F0C" w14:paraId="3EF33957" w14:textId="77777777">
      <w:pPr>
        <w:widowControl w:val="0"/>
        <w:pBdr>
          <w:top w:val="nil"/>
          <w:left w:val="nil"/>
          <w:bottom w:val="nil"/>
          <w:right w:val="nil"/>
          <w:between w:val="nil"/>
        </w:pBdr>
        <w:spacing w:line="240" w:lineRule="auto"/>
        <w:rPr>
          <w:color w:val="000000"/>
        </w:rPr>
      </w:pPr>
    </w:p>
    <w:p w:rsidR="00037F0C" w14:paraId="13EBA676" w14:textId="77777777">
      <w:pPr>
        <w:widowControl w:val="0"/>
        <w:pBdr>
          <w:top w:val="nil"/>
          <w:left w:val="nil"/>
          <w:bottom w:val="nil"/>
          <w:right w:val="nil"/>
          <w:between w:val="nil"/>
        </w:pBdr>
        <w:spacing w:line="240" w:lineRule="auto"/>
        <w:rPr>
          <w:color w:val="000000"/>
        </w:rPr>
      </w:pPr>
    </w:p>
    <w:p w:rsidR="00037F0C" w14:paraId="525DA6E7" w14:textId="77777777">
      <w:pPr>
        <w:widowControl w:val="0"/>
        <w:pBdr>
          <w:top w:val="nil"/>
          <w:left w:val="nil"/>
          <w:bottom w:val="nil"/>
          <w:right w:val="nil"/>
          <w:between w:val="nil"/>
        </w:pBdr>
        <w:spacing w:line="240" w:lineRule="auto"/>
        <w:rPr>
          <w:b/>
          <w:color w:val="000000"/>
        </w:rPr>
      </w:pPr>
      <w:r>
        <w:rPr>
          <w:b/>
          <w:color w:val="000000"/>
        </w:rPr>
        <w:t xml:space="preserve">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 </w:t>
      </w:r>
    </w:p>
    <w:p w:rsidR="00037F0C" w14:paraId="6DD8C1EF" w14:textId="77777777">
      <w:pPr>
        <w:widowControl w:val="0"/>
        <w:pBdr>
          <w:top w:val="nil"/>
          <w:left w:val="nil"/>
          <w:bottom w:val="nil"/>
          <w:right w:val="nil"/>
          <w:between w:val="nil"/>
        </w:pBdr>
        <w:spacing w:line="240" w:lineRule="auto"/>
        <w:rPr>
          <w:color w:val="000000"/>
        </w:rPr>
      </w:pPr>
    </w:p>
    <w:p w:rsidR="00037F0C" w14:paraId="2F94DBBF" w14:textId="77777777">
      <w:pPr>
        <w:widowControl w:val="0"/>
        <w:pBdr>
          <w:top w:val="nil"/>
          <w:left w:val="nil"/>
          <w:bottom w:val="nil"/>
          <w:right w:val="nil"/>
          <w:between w:val="nil"/>
        </w:pBdr>
        <w:spacing w:line="240" w:lineRule="auto"/>
        <w:rPr>
          <w:color w:val="000000"/>
        </w:rPr>
      </w:pPr>
      <w:r>
        <w:rPr>
          <w:color w:val="000000"/>
        </w:rPr>
        <w:t>2.1. Statistical Methodology and Data Collection Procedures</w:t>
      </w:r>
    </w:p>
    <w:p w:rsidR="00037F0C" w14:paraId="7CBEF3D8" w14:textId="77777777">
      <w:pPr>
        <w:widowControl w:val="0"/>
        <w:pBdr>
          <w:top w:val="nil"/>
          <w:left w:val="nil"/>
          <w:bottom w:val="nil"/>
          <w:right w:val="nil"/>
          <w:between w:val="nil"/>
        </w:pBdr>
        <w:spacing w:line="240" w:lineRule="auto"/>
        <w:rPr>
          <w:color w:val="000000"/>
        </w:rPr>
      </w:pPr>
    </w:p>
    <w:p w:rsidR="00037F0C" w14:paraId="449D8DEB" w14:textId="77777777">
      <w:pPr>
        <w:spacing w:line="240" w:lineRule="auto"/>
      </w:pPr>
      <w:r>
        <w:t xml:space="preserve">The FES is a self-administered mail survey.  As described in detail in Question 1, sample selection is based on stratification of the target population by geography and angler license status. Data collection procedures have been extensively tested through several pilot studies (Andrews et al. 2010, 2014; Brick et al. 2012a).  Each year, the survey is administered for six, two-month reference waves.  The data collection period for each wave begins one week prior to the end of the wave with an initial survey mailing.  The timing of the initial mailing is such that </w:t>
      </w:r>
      <w:r>
        <w:t>materials are received prior to the end of the reference wave.  The initial mailing is delivered by regular first class mail and includes a cover letter stating the purpose of the survey, a survey questionnaire, a post-paid return envelope, and a prepaid cash incentive (as described in section A.9).</w:t>
      </w:r>
    </w:p>
    <w:p w:rsidR="00037F0C" w14:paraId="6B5A524D" w14:textId="77777777">
      <w:pPr>
        <w:spacing w:line="240" w:lineRule="auto"/>
      </w:pPr>
    </w:p>
    <w:p w:rsidR="00037F0C" w14:paraId="03143D53" w14:textId="77777777">
      <w:pPr>
        <w:spacing w:line="240" w:lineRule="auto"/>
      </w:pPr>
      <w:r>
        <w:t xml:space="preserve">One week following the initial mailing, a thank you/reminder postcard is sent via first class mail to all sample units.  Three weeks after the initial survey mailing, a follow-up mailing is delivered to all sample units that have not responded to the survey.  The follow-up mailing is delivered via first class mail and includes a nonresponse conversion letter, a second questionnaire and a post-paid return envelope.       </w:t>
      </w:r>
    </w:p>
    <w:p w:rsidR="00037F0C" w14:paraId="3A815B9D" w14:textId="77777777">
      <w:pPr>
        <w:spacing w:line="240" w:lineRule="auto"/>
      </w:pPr>
    </w:p>
    <w:p w:rsidR="00037F0C" w14:paraId="0FA4744D" w14:textId="77777777">
      <w:pPr>
        <w:spacing w:line="240" w:lineRule="auto"/>
      </w:pPr>
      <w:r>
        <w:t>2.2. Estimation Procedures</w:t>
      </w:r>
    </w:p>
    <w:p w:rsidR="00037F0C" w14:paraId="330E656C" w14:textId="77777777">
      <w:pPr>
        <w:spacing w:line="240" w:lineRule="auto"/>
      </w:pPr>
    </w:p>
    <w:p w:rsidR="004C3C71" w:rsidP="004C3C71" w14:paraId="00EF3ADB" w14:textId="77777777">
      <w:pPr>
        <w:spacing w:line="240" w:lineRule="auto"/>
      </w:pPr>
      <w:r>
        <w:t>The FES estimates fishing effort (angler trips) by residents of sampled states.  An adjustment to account for non-resident fishing activity is derived from the MRIP Access-Point Angler Intercept Survey (APAIS, OMB Control No. 0648-0052).</w:t>
      </w:r>
    </w:p>
    <w:p w:rsidR="004C3C71" w:rsidP="004C3C71" w14:paraId="74B19096" w14:textId="77777777">
      <w:pPr>
        <w:spacing w:line="240" w:lineRule="auto"/>
      </w:pPr>
    </w:p>
    <w:p w:rsidR="004C3C71" w:rsidP="004C3C71" w14:paraId="5B04D110" w14:textId="77777777">
      <w:pPr>
        <w:spacing w:line="240" w:lineRule="auto"/>
      </w:pPr>
      <w:r>
        <w:t xml:space="preserve">Final FES weights are calculated in stages.  In the first stage, base weights </w:t>
      </w:r>
      <m:oMath>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i</m:t>
            </m:r>
          </m:sub>
        </m:sSub>
      </m:oMath>
      <w:r>
        <w:t>) for each sampled address within a given stratum are calculated as the inverse of the inclusion probabilities</w:t>
      </w:r>
    </w:p>
    <w:p w:rsidR="004C3C71" w:rsidP="004C3C71" w14:paraId="62D540E1" w14:textId="77777777">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i</m:t>
              </m:r>
            </m:sub>
          </m:sSub>
          <m:r>
            <w:rPr>
              <w:rFonts w:ascii="Cambria Math" w:eastAsia="Cambria Math" w:hAnsi="Cambria Math" w:cs="Cambria Math"/>
            </w:rPr>
            <m:t xml:space="preserve">= </m:t>
          </m:r>
          <m:f>
            <m:fPr>
              <m:ctrlPr>
                <w:rPr>
                  <w:rFonts w:ascii="Cambria Math" w:eastAsia="Cambria Math" w:hAnsi="Cambria Math" w:cs="Cambria Math"/>
                </w:rPr>
              </m:ctrlPr>
            </m:fPr>
            <m:num>
              <m:r>
                <w:rPr>
                  <w:rFonts w:ascii="Cambria Math" w:eastAsia="Cambria Math" w:hAnsi="Cambria Math" w:cs="Cambria Math"/>
                </w:rPr>
                <m:t>1</m:t>
              </m:r>
            </m:num>
            <m:den>
              <m:sSub>
                <m:sSubPr>
                  <m:ctrlPr>
                    <w:rPr>
                      <w:rFonts w:ascii="Cambria Math" w:eastAsia="Cambria Math" w:hAnsi="Cambria Math" w:cs="Cambria Math"/>
                    </w:rPr>
                  </m:ctrlPr>
                </m:sSubPr>
                <m:e>
                  <m:r>
                    <w:rPr>
                      <w:rFonts w:ascii="Cambria Math" w:eastAsia="Cambria Math" w:hAnsi="Cambria Math" w:cs="Cambria Math"/>
                    </w:rPr>
                    <m:t>π</m:t>
                  </m:r>
                </m:e>
                <m:sub>
                  <m:r>
                    <w:rPr>
                      <w:rFonts w:ascii="Cambria Math" w:eastAsia="Cambria Math" w:hAnsi="Cambria Math" w:cs="Cambria Math"/>
                    </w:rPr>
                    <m:t>i</m:t>
                  </m:r>
                </m:sub>
              </m:sSub>
            </m:den>
          </m:f>
        </m:oMath>
      </m:oMathPara>
    </w:p>
    <w:p w:rsidR="004C3C71" w:rsidP="004C3C71" w14:paraId="2A26F16C" w14:textId="77777777">
      <w:pPr>
        <w:spacing w:line="240" w:lineRule="auto"/>
      </w:pPr>
      <w:r>
        <w:t>where π</w:t>
      </w:r>
      <w:r>
        <w:rPr>
          <w:vertAlign w:val="subscript"/>
        </w:rPr>
        <w:t xml:space="preserve">i </w:t>
      </w:r>
      <w:r>
        <w:t xml:space="preserve">is the probability that unit </w:t>
      </w:r>
      <w:r>
        <w:rPr>
          <w:i/>
        </w:rPr>
        <w:t>i</w:t>
      </w:r>
      <w:r>
        <w:t xml:space="preserve"> is included in the sample.</w:t>
      </w:r>
    </w:p>
    <w:p w:rsidR="004C3C71" w:rsidP="004C3C71" w14:paraId="3308957A" w14:textId="77777777">
      <w:pPr>
        <w:spacing w:line="240" w:lineRule="auto"/>
      </w:pPr>
    </w:p>
    <w:p w:rsidR="004C3C71" w:rsidP="004C3C71" w14:paraId="6B5B299B" w14:textId="77777777">
      <w:pPr>
        <w:spacing w:line="240" w:lineRule="auto"/>
      </w:pPr>
      <w:r>
        <w:t>In the second stage, base weights are adjusted to compensate for unit nonresponse (e.g. when households fail to mail back the completed survey).  The sample is partitioned into nonresponse adjustment cells, or weighting classes, by state, sub-state region (coastal or non-coastal) and license match (matched or unmatched). In addition to these stratification variables, samples are matched by address to state lists of registered boats, which is subsequently included in the formation of nonresponse adjustment cells.  The base weights of the respondents in each adjustment cell (</w:t>
      </w:r>
      <m:oMath>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ci.r</m:t>
            </m:r>
          </m:sub>
        </m:sSub>
      </m:oMath>
      <w:r>
        <w:t>) are then divided by the response rate for that cell (</w:t>
      </w:r>
      <m:oMath>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m:t>
                </m:r>
              </m:e>
            </m:acc>
          </m:e>
          <m:sub>
            <m:r>
              <w:rPr>
                <w:rFonts w:ascii="Cambria Math" w:eastAsia="Cambria Math" w:hAnsi="Cambria Math" w:cs="Cambria Math"/>
              </w:rPr>
              <m:t>c</m:t>
            </m:r>
          </m:sub>
        </m:sSub>
      </m:oMath>
      <w:r>
        <w:t>) to calculate the adjusted weight (</w:t>
      </w:r>
      <m:oMath>
        <m:sSubSup>
          <m:sSubSupPr>
            <m:ctrlPr>
              <w:rPr>
                <w:rFonts w:ascii="Cambria Math" w:eastAsia="Cambria Math" w:hAnsi="Cambria Math" w:cs="Cambria Math"/>
              </w:rPr>
            </m:ctrlPr>
          </m:sSubSupPr>
          <m:e>
            <m:r>
              <w:rPr>
                <w:rFonts w:ascii="Cambria Math" w:eastAsia="Cambria Math" w:hAnsi="Cambria Math" w:cs="Cambria Math"/>
              </w:rPr>
              <m:t>w</m:t>
            </m:r>
          </m:e>
          <m:sub>
            <m:r>
              <w:rPr>
                <w:rFonts w:ascii="Cambria Math" w:eastAsia="Cambria Math" w:hAnsi="Cambria Math" w:cs="Cambria Math"/>
              </w:rPr>
              <m:t>ci</m:t>
            </m:r>
          </m:sub>
          <m:sup>
            <m:r>
              <w:rPr>
                <w:rFonts w:ascii="Cambria Math" w:eastAsia="Cambria Math" w:hAnsi="Cambria Math" w:cs="Cambria Math"/>
              </w:rPr>
              <m:t>*</m:t>
            </m:r>
          </m:sup>
        </m:sSubSup>
      </m:oMath>
      <w:r>
        <w:t>)</w:t>
      </w:r>
    </w:p>
    <w:p w:rsidR="004C3C71" w:rsidP="004C3C71" w14:paraId="235819AB" w14:textId="77777777">
      <w:pPr>
        <w:spacing w:line="240" w:lineRule="auto"/>
      </w:pPr>
    </w:p>
    <w:p w:rsidR="004C3C71" w:rsidP="004C3C71" w14:paraId="05DD806E" w14:textId="77777777">
      <w:pPr>
        <w:jc w:val="center"/>
        <w:rPr>
          <w:rFonts w:ascii="Cambria Math" w:eastAsia="Cambria Math" w:hAnsi="Cambria Math" w:cs="Cambria Math"/>
        </w:rPr>
      </w:pPr>
      <m:oMathPara>
        <m:oMath>
          <m:sSubSup>
            <m:sSubSupPr>
              <m:ctrlPr>
                <w:rPr>
                  <w:rFonts w:ascii="Cambria Math" w:eastAsia="Cambria Math" w:hAnsi="Cambria Math" w:cs="Cambria Math"/>
                </w:rPr>
              </m:ctrlPr>
            </m:sSubSupPr>
            <m:e>
              <m:r>
                <w:rPr>
                  <w:rFonts w:ascii="Cambria Math" w:eastAsia="Cambria Math" w:hAnsi="Cambria Math" w:cs="Cambria Math"/>
                </w:rPr>
                <m:t>w</m:t>
              </m:r>
            </m:e>
            <m:sub>
              <m:r>
                <w:rPr>
                  <w:rFonts w:ascii="Cambria Math" w:eastAsia="Cambria Math" w:hAnsi="Cambria Math" w:cs="Cambria Math"/>
                </w:rPr>
                <m:t>ci</m:t>
              </m:r>
            </m:sub>
            <m:sup>
              <m:r>
                <w:rPr>
                  <w:rFonts w:ascii="Cambria Math" w:eastAsia="Cambria Math" w:hAnsi="Cambria Math" w:cs="Cambria Math"/>
                </w:rPr>
                <m:t>*</m:t>
              </m:r>
            </m:sup>
          </m:sSubSup>
          <m:r>
            <w:rPr>
              <w:rFonts w:ascii="Cambria Math" w:eastAsia="Cambria Math" w:hAnsi="Cambria Math" w:cs="Cambria Math"/>
            </w:rPr>
            <m:t>=</m:t>
          </m:r>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ci.r</m:t>
                  </m:r>
                </m:sub>
              </m:sSub>
            </m:num>
            <m:den>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m:t>
                      </m:r>
                    </m:e>
                  </m:acc>
                </m:e>
                <m:sub>
                  <m:r>
                    <w:rPr>
                      <w:rFonts w:ascii="Cambria Math" w:eastAsia="Cambria Math" w:hAnsi="Cambria Math" w:cs="Cambria Math"/>
                    </w:rPr>
                    <m:t>c</m:t>
                  </m:r>
                </m:sub>
              </m:sSub>
            </m:den>
          </m:f>
        </m:oMath>
      </m:oMathPara>
    </w:p>
    <w:p w:rsidR="004C3C71" w:rsidP="004C3C71" w14:paraId="1D949E21" w14:textId="77777777">
      <w:pPr>
        <w:spacing w:line="240" w:lineRule="auto"/>
      </w:pPr>
    </w:p>
    <w:p w:rsidR="004C3C71" w:rsidP="004C3C71" w14:paraId="69832B3B" w14:textId="77777777">
      <w:pPr>
        <w:spacing w:line="240" w:lineRule="auto"/>
      </w:pPr>
      <w:r>
        <w:t xml:space="preserve">where  </w:t>
      </w:r>
      <m:oMath>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m:t>
                </m:r>
              </m:e>
            </m:acc>
          </m:e>
          <m:sub>
            <m:r>
              <w:rPr>
                <w:rFonts w:ascii="Cambria Math" w:eastAsia="Cambria Math" w:hAnsi="Cambria Math" w:cs="Cambria Math"/>
              </w:rPr>
              <m:t>c</m:t>
            </m:r>
          </m:sub>
        </m:sSub>
        <m:r>
          <w:rPr>
            <w:rFonts w:ascii="Cambria Math" w:eastAsia="Cambria Math" w:hAnsi="Cambria Math" w:cs="Cambria Math"/>
          </w:rPr>
          <m:t>=</m:t>
        </m:r>
        <m:f>
          <m:fPr>
            <m:ctrlPr>
              <w:rPr>
                <w:rFonts w:ascii="Cambria Math" w:eastAsia="Cambria Math" w:hAnsi="Cambria Math" w:cs="Cambria Math"/>
              </w:rPr>
            </m:ctrlPr>
          </m:fPr>
          <m:num>
            <m:nary>
              <m:naryPr>
                <m:chr m:val="∑"/>
                <m:limLoc m:val="undOvr"/>
                <m:subHide/>
                <m:supHide/>
                <m:ctrlPr>
                  <w:rPr>
                    <w:rFonts w:ascii="Cambria Math" w:eastAsia="Cambria Math" w:hAnsi="Cambria Math" w:cs="Cambria Math"/>
                  </w:rPr>
                </m:ctrlPr>
              </m:naryPr>
              <m:sub/>
              <m:sup/>
              <m:e>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ci.r</m:t>
                    </m:r>
                  </m:sub>
                </m:sSub>
              </m:e>
            </m:nary>
          </m:num>
          <m:den>
            <m:nary>
              <m:naryPr>
                <m:chr m:val="∑"/>
                <m:limLoc m:val="undOvr"/>
                <m:subHide/>
                <m:supHide/>
                <m:ctrlPr>
                  <w:rPr>
                    <w:rFonts w:ascii="Cambria Math" w:eastAsia="Cambria Math" w:hAnsi="Cambria Math" w:cs="Cambria Math"/>
                    <w:i/>
                  </w:rPr>
                </m:ctrlPr>
              </m:naryPr>
              <m:sub/>
              <m:sup/>
              <m:e>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ci.r</m:t>
                    </m:r>
                  </m:sub>
                </m:sSub>
              </m:e>
            </m:nary>
            <m:r>
              <w:rPr>
                <w:rFonts w:ascii="Cambria Math" w:eastAsia="Cambria Math" w:hAnsi="Cambria Math" w:cs="Cambria Math"/>
              </w:rPr>
              <m:t>+</m:t>
            </m:r>
            <m:nary>
              <m:naryPr>
                <m:chr m:val="∑"/>
                <m:limLoc m:val="undOvr"/>
                <m:subHide/>
                <m:supHide/>
                <m:ctrlPr>
                  <w:rPr>
                    <w:rFonts w:ascii="Cambria Math" w:eastAsia="Cambria Math" w:hAnsi="Cambria Math" w:cs="Cambria Math"/>
                    <w:i/>
                  </w:rPr>
                </m:ctrlPr>
              </m:naryPr>
              <m:sub/>
              <m:sup/>
              <m:e>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ci.nr</m:t>
                    </m:r>
                  </m:sub>
                </m:sSub>
              </m:e>
            </m:nary>
          </m:den>
        </m:f>
      </m:oMath>
      <w:r>
        <w:t>,</w:t>
      </w:r>
    </w:p>
    <w:p w:rsidR="004C3C71" w:rsidP="004C3C71" w14:paraId="681E6F11" w14:textId="77777777">
      <w:pPr>
        <w:spacing w:line="240" w:lineRule="auto"/>
        <w:ind w:firstLine="720"/>
        <w:rPr>
          <w:color w:val="000000"/>
        </w:rPr>
      </w:pPr>
      <m:oMath>
        <m:nary>
          <m:naryPr>
            <m:chr m:val="∑"/>
            <m:limLoc m:val="undOvr"/>
            <m:subHide/>
            <m:supHide/>
            <m:ctrlPr>
              <w:rPr>
                <w:rFonts w:ascii="Cambria Math" w:hAnsi="Cambria Math"/>
                <w:i/>
              </w:rPr>
            </m:ctrlPr>
          </m:naryPr>
          <m:sub/>
          <m:sup/>
          <m:e>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ci.r</m:t>
                </m:r>
              </m:sub>
            </m:sSub>
          </m:e>
        </m:nary>
        <m:r>
          <w:rPr>
            <w:rFonts w:ascii="Cambria Math" w:eastAsia="Cambria Math" w:hAnsi="Cambria Math" w:cs="Cambria Math"/>
            <w:color w:val="000000"/>
          </w:rPr>
          <m:t xml:space="preserve"> </m:t>
        </m:r>
      </m:oMath>
      <w:r>
        <w:rPr>
          <w:color w:val="000000"/>
        </w:rPr>
        <w:t>is the sum of the base weights of each respondent within adjustment cell c, and</w:t>
      </w:r>
    </w:p>
    <w:p w:rsidR="004C3C71" w:rsidP="004C3C71" w14:paraId="7297C9F2" w14:textId="77777777">
      <w:pPr>
        <w:spacing w:line="240" w:lineRule="auto"/>
        <w:ind w:firstLine="720"/>
      </w:pPr>
      <m:oMath>
        <m:nary>
          <m:naryPr>
            <m:chr m:val="∑"/>
            <m:limLoc m:val="undOvr"/>
            <m:subHide/>
            <m:supHide/>
            <m:ctrlPr>
              <w:rPr>
                <w:rFonts w:ascii="Cambria Math" w:hAnsi="Cambria Math"/>
                <w:i/>
              </w:rPr>
            </m:ctrlPr>
          </m:naryPr>
          <m:sub/>
          <m:sup/>
          <m:e>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ci.nr</m:t>
                </m:r>
              </m:sub>
            </m:sSub>
          </m:e>
        </m:nary>
      </m:oMath>
      <w:r>
        <w:t xml:space="preserve"> is the sum of the base weights of each nonrespondent within adjustment cell c.</w:t>
      </w:r>
    </w:p>
    <w:p w:rsidR="004C3C71" w:rsidP="004C3C71" w14:paraId="442B42E6" w14:textId="77777777">
      <w:pPr>
        <w:spacing w:line="240" w:lineRule="auto"/>
        <w:ind w:firstLine="720"/>
        <w:rPr>
          <w:color w:val="000000"/>
        </w:rPr>
      </w:pPr>
    </w:p>
    <w:p w:rsidR="004C3C71" w:rsidP="004C3C71" w14:paraId="4AB2404E" w14:textId="77777777">
      <w:pPr>
        <w:spacing w:line="240" w:lineRule="auto"/>
        <w:rPr>
          <w:color w:val="000000"/>
        </w:rPr>
      </w:pPr>
      <w:r>
        <w:rPr>
          <w:color w:val="000000"/>
        </w:rPr>
        <w:t xml:space="preserve">In the third stage, nonresponse weights are further adjusted through a process known as raking, which adjusts weights so that the separate or marginal distributions for select variables in the sample data conform to corresponding distributions from independent data sources (Brick and Kalton 1996).  For the FES, auxiliary variables are derived from the American Community Survey, Current Population Survey and National Health Interview Survey, and include households with seniors, households with children, household tenure (own/rent), households </w:t>
      </w:r>
      <w:r>
        <w:rPr>
          <w:color w:val="000000"/>
        </w:rPr>
        <w:t xml:space="preserve">with three or more household members, and wireless-only households.  Raking is an iterative procedure that sequentially adjusts weights to force sample distributions to match marginal distributions for each auxiliary variable.  The weights are repeatedly adjusted until the sample marginal distributions match the auxiliary marginal distributions for all selected variables.    Raked weights are calculated as </w:t>
      </w:r>
    </w:p>
    <w:p w:rsidR="004C3C71" w:rsidP="004C3C71" w14:paraId="3359C681" w14:textId="77777777">
      <w:pPr>
        <w:jc w:val="center"/>
        <w:rPr>
          <w:rFonts w:ascii="Cambria Math" w:eastAsia="Cambria Math" w:hAnsi="Cambria Math" w:cs="Cambria Math"/>
        </w:rPr>
      </w:pPr>
      <m:oMathPara>
        <m:oMath>
          <m:sSubSup>
            <m:sSubSupPr>
              <m:ctrlPr>
                <w:rPr>
                  <w:rFonts w:ascii="Cambria Math" w:eastAsia="Cambria Math" w:hAnsi="Cambria Math" w:cs="Cambria Math"/>
                </w:rPr>
              </m:ctrlPr>
            </m:sSubSupPr>
            <m:e>
              <m:r>
                <w:rPr>
                  <w:rFonts w:ascii="Cambria Math" w:eastAsia="Cambria Math" w:hAnsi="Cambria Math" w:cs="Cambria Math"/>
                </w:rPr>
                <m:t>w</m:t>
              </m:r>
            </m:e>
            <m:sub>
              <m:r>
                <w:rPr>
                  <w:rFonts w:ascii="Cambria Math" w:eastAsia="Cambria Math" w:hAnsi="Cambria Math" w:cs="Cambria Math"/>
                </w:rPr>
                <m:t>ri</m:t>
              </m:r>
            </m:sub>
            <m:sup>
              <m:r>
                <w:rPr>
                  <w:rFonts w:ascii="Cambria Math" w:eastAsia="Cambria Math" w:hAnsi="Cambria Math" w:cs="Cambria Math"/>
                </w:rPr>
                <m:t>*</m:t>
              </m:r>
            </m:sup>
          </m:sSubSup>
          <m:r>
            <w:rPr>
              <w:rFonts w:ascii="Cambria Math" w:eastAsia="Cambria Math" w:hAnsi="Cambria Math" w:cs="Cambria Math"/>
            </w:rPr>
            <m:t xml:space="preserve">= </m:t>
          </m:r>
          <m:sSubSup>
            <m:sSubSupPr>
              <m:ctrlPr>
                <w:rPr>
                  <w:rFonts w:ascii="Cambria Math" w:eastAsia="Cambria Math" w:hAnsi="Cambria Math" w:cs="Cambria Math"/>
                </w:rPr>
              </m:ctrlPr>
            </m:sSubSupPr>
            <m:e>
              <m:r>
                <w:rPr>
                  <w:rFonts w:ascii="Cambria Math" w:eastAsia="Cambria Math" w:hAnsi="Cambria Math" w:cs="Cambria Math"/>
                </w:rPr>
                <m:t>w</m:t>
              </m:r>
            </m:e>
            <m:sub>
              <m:r>
                <w:rPr>
                  <w:rFonts w:ascii="Cambria Math" w:eastAsia="Cambria Math" w:hAnsi="Cambria Math" w:cs="Cambria Math"/>
                </w:rPr>
                <m:t>ci</m:t>
              </m:r>
            </m:sub>
            <m:sup>
              <m:r>
                <w:rPr>
                  <w:rFonts w:ascii="Cambria Math" w:eastAsia="Cambria Math" w:hAnsi="Cambria Math" w:cs="Cambria Math"/>
                </w:rPr>
                <m:t>*</m:t>
              </m:r>
            </m:sup>
          </m:sSubSup>
          <m:sSub>
            <m:sSubPr>
              <m:ctrlPr>
                <w:rPr>
                  <w:rFonts w:ascii="Cambria Math" w:eastAsia="Cambria Math" w:hAnsi="Cambria Math" w:cs="Cambria Math"/>
                </w:rPr>
              </m:ctrlPr>
            </m:sSubPr>
            <m:e>
              <m:r>
                <w:rPr>
                  <w:rFonts w:ascii="Cambria Math" w:eastAsia="Cambria Math" w:hAnsi="Cambria Math" w:cs="Cambria Math"/>
                </w:rPr>
                <m:t>R</m:t>
              </m:r>
            </m:e>
            <m:sub>
              <m:r>
                <w:rPr>
                  <w:rFonts w:ascii="Cambria Math" w:eastAsia="Cambria Math" w:hAnsi="Cambria Math" w:cs="Cambria Math"/>
                </w:rPr>
                <m:t>s</m:t>
              </m:r>
            </m:sub>
          </m:sSub>
        </m:oMath>
      </m:oMathPara>
    </w:p>
    <w:p w:rsidR="004C3C71" w:rsidP="004C3C71" w14:paraId="1621185C" w14:textId="77777777">
      <w:pPr>
        <w:spacing w:line="240" w:lineRule="auto"/>
      </w:pPr>
    </w:p>
    <w:p w:rsidR="004C3C71" w:rsidP="004C3C71" w14:paraId="0EB03E91" w14:textId="77777777">
      <w:pPr>
        <w:spacing w:line="240" w:lineRule="auto"/>
      </w:pPr>
      <w:r>
        <w:t>where R</w:t>
      </w:r>
      <w:r>
        <w:rPr>
          <w:vertAlign w:val="subscript"/>
        </w:rPr>
        <w:t xml:space="preserve">s  </w:t>
      </w:r>
      <w:r>
        <w:t>is a generalized raking adjustment in state s.</w:t>
      </w:r>
    </w:p>
    <w:p w:rsidR="004C3C71" w:rsidP="004C3C71" w14:paraId="1A5CFC8C" w14:textId="77777777">
      <w:pPr>
        <w:spacing w:line="240" w:lineRule="auto"/>
        <w:rPr>
          <w:color w:val="000000"/>
        </w:rPr>
      </w:pPr>
      <w:r>
        <w:rPr>
          <w:color w:val="000000"/>
        </w:rPr>
        <w:t xml:space="preserve">    </w:t>
      </w:r>
      <w:r>
        <w:rPr>
          <w:color w:val="000000"/>
        </w:rPr>
        <w:tab/>
      </w:r>
    </w:p>
    <w:p w:rsidR="004C3C71" w:rsidP="004C3C71" w14:paraId="7C513F5A" w14:textId="77777777">
      <w:pPr>
        <w:spacing w:line="240" w:lineRule="auto"/>
        <w:rPr>
          <w:color w:val="000000"/>
        </w:rPr>
      </w:pPr>
      <w:r>
        <w:rPr>
          <w:color w:val="000000"/>
        </w:rPr>
        <w:t>During the fourth stage, raked weights are post-stratified to account for incomplete coverage of the target population.  Post-stratification is commonly used to make respondent data conform to target population totals from other sources independent from the survey (Brick and Kalton 1996).  The most recent estimates of the number of residential households available from the American Community Survey are used as population control totals.  Raked weights are post-stratified to household-level control totals within coastal and non-coastal strata.  The resulting post-stratified weight (</w:t>
      </w:r>
      <m:oMath>
        <m:sSubSup>
          <m:sSubSupPr>
            <m:ctrlPr>
              <w:rPr>
                <w:rFonts w:ascii="Cambria Math" w:eastAsia="Cambria Math" w:hAnsi="Cambria Math" w:cs="Cambria Math"/>
              </w:rPr>
            </m:ctrlPr>
          </m:sSubSupPr>
          <m:e>
            <m:r>
              <w:rPr>
                <w:rFonts w:ascii="Cambria Math" w:eastAsia="Cambria Math" w:hAnsi="Cambria Math" w:cs="Cambria Math"/>
              </w:rPr>
              <m:t>w</m:t>
            </m:r>
          </m:e>
          <m:sub>
            <m:r>
              <w:rPr>
                <w:rFonts w:ascii="Cambria Math" w:eastAsia="Cambria Math" w:hAnsi="Cambria Math" w:cs="Cambria Math"/>
              </w:rPr>
              <m:t>hi</m:t>
            </m:r>
          </m:sub>
          <m:sup>
            <m:r>
              <w:rPr>
                <w:rFonts w:ascii="Cambria Math" w:eastAsia="Cambria Math" w:hAnsi="Cambria Math" w:cs="Cambria Math"/>
              </w:rPr>
              <m:t>*</m:t>
            </m:r>
          </m:sup>
        </m:sSubSup>
      </m:oMath>
      <w:r>
        <w:rPr>
          <w:color w:val="000000"/>
        </w:rPr>
        <w:t xml:space="preserve">) of address </w:t>
      </w:r>
      <m:oMath>
        <m:r>
          <w:rPr>
            <w:rFonts w:ascii="Cambria Math" w:eastAsia="Cambria Math" w:hAnsi="Cambria Math" w:cs="Cambria Math"/>
            <w:color w:val="000000"/>
          </w:rPr>
          <m:t>i</m:t>
        </m:r>
      </m:oMath>
      <w:r>
        <w:rPr>
          <w:color w:val="000000"/>
        </w:rPr>
        <w:t xml:space="preserve"> in stratum </w:t>
      </w:r>
      <m:oMath>
        <m:r>
          <w:rPr>
            <w:rFonts w:ascii="Cambria Math" w:eastAsia="Cambria Math" w:hAnsi="Cambria Math" w:cs="Cambria Math"/>
            <w:color w:val="000000"/>
          </w:rPr>
          <m:t>h</m:t>
        </m:r>
      </m:oMath>
      <w:r>
        <w:rPr>
          <w:color w:val="000000"/>
        </w:rPr>
        <w:t xml:space="preserve"> is calculated as </w:t>
      </w:r>
    </w:p>
    <w:p w:rsidR="004C3C71" w:rsidP="004C3C71" w14:paraId="53F85E40" w14:textId="77777777">
      <w:pPr>
        <w:jc w:val="center"/>
        <w:rPr>
          <w:rFonts w:ascii="Cambria Math" w:eastAsia="Cambria Math" w:hAnsi="Cambria Math" w:cs="Cambria Math"/>
        </w:rPr>
      </w:pPr>
      <m:oMathPara>
        <m:oMath>
          <m:sSubSup>
            <m:sSubSupPr>
              <m:ctrlPr>
                <w:rPr>
                  <w:rFonts w:ascii="Cambria Math" w:eastAsia="Cambria Math" w:hAnsi="Cambria Math" w:cs="Cambria Math"/>
                </w:rPr>
              </m:ctrlPr>
            </m:sSubSupPr>
            <m:e>
              <m:r>
                <w:rPr>
                  <w:rFonts w:ascii="Cambria Math" w:eastAsia="Cambria Math" w:hAnsi="Cambria Math" w:cs="Cambria Math"/>
                </w:rPr>
                <m:t>w</m:t>
              </m:r>
            </m:e>
            <m:sub>
              <m:r>
                <w:rPr>
                  <w:rFonts w:ascii="Cambria Math" w:eastAsia="Cambria Math" w:hAnsi="Cambria Math" w:cs="Cambria Math"/>
                </w:rPr>
                <m:t>hi</m:t>
              </m:r>
            </m:sub>
            <m:sup>
              <m:r>
                <w:rPr>
                  <w:rFonts w:ascii="Cambria Math" w:eastAsia="Cambria Math" w:hAnsi="Cambria Math" w:cs="Cambria Math"/>
                </w:rPr>
                <m:t>*</m:t>
              </m:r>
            </m:sup>
          </m:sSubSup>
          <m:r>
            <w:rPr>
              <w:rFonts w:ascii="Cambria Math" w:eastAsia="Cambria Math" w:hAnsi="Cambria Math" w:cs="Cambria Math"/>
            </w:rPr>
            <m:t xml:space="preserve">= </m:t>
          </m:r>
          <m:sSubSup>
            <m:sSubSupPr>
              <m:ctrlPr>
                <w:rPr>
                  <w:rFonts w:ascii="Cambria Math" w:eastAsia="Cambria Math" w:hAnsi="Cambria Math" w:cs="Cambria Math"/>
                </w:rPr>
              </m:ctrlPr>
            </m:sSubSupPr>
            <m:e>
              <m:r>
                <w:rPr>
                  <w:rFonts w:ascii="Cambria Math" w:eastAsia="Cambria Math" w:hAnsi="Cambria Math" w:cs="Cambria Math"/>
                </w:rPr>
                <m:t>w</m:t>
              </m:r>
            </m:e>
            <m:sub>
              <m:r>
                <w:rPr>
                  <w:rFonts w:ascii="Cambria Math" w:eastAsia="Cambria Math" w:hAnsi="Cambria Math" w:cs="Cambria Math"/>
                </w:rPr>
                <m:t>ri</m:t>
              </m:r>
            </m:sub>
            <m:sup>
              <m:r>
                <w:rPr>
                  <w:rFonts w:ascii="Cambria Math" w:eastAsia="Cambria Math" w:hAnsi="Cambria Math" w:cs="Cambria Math"/>
                </w:rPr>
                <m:t>*</m:t>
              </m:r>
            </m:sup>
          </m:sSubSup>
          <m:d>
            <m:dPr>
              <m:ctrlPr>
                <w:rPr>
                  <w:rFonts w:ascii="Cambria Math" w:eastAsia="Cambria Math" w:hAnsi="Cambria Math" w:cs="Cambria Math"/>
                </w:rPr>
              </m:ctrlPr>
            </m:dPr>
            <m:e>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H</m:t>
                      </m:r>
                    </m:e>
                    <m:sub>
                      <m:r>
                        <w:rPr>
                          <w:rFonts w:ascii="Cambria Math" w:eastAsia="Cambria Math" w:hAnsi="Cambria Math" w:cs="Cambria Math"/>
                        </w:rPr>
                        <m:t>h</m:t>
                      </m:r>
                    </m:sub>
                  </m:sSub>
                </m:num>
                <m:den>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H</m:t>
                          </m:r>
                        </m:e>
                      </m:acc>
                    </m:e>
                    <m:sub>
                      <m:r>
                        <w:rPr>
                          <w:rFonts w:ascii="Cambria Math" w:eastAsia="Cambria Math" w:hAnsi="Cambria Math" w:cs="Cambria Math"/>
                        </w:rPr>
                        <m:t>h</m:t>
                      </m:r>
                    </m:sub>
                  </m:sSub>
                </m:den>
              </m:f>
            </m:e>
          </m:d>
        </m:oMath>
      </m:oMathPara>
    </w:p>
    <w:p w:rsidR="004C3C71" w:rsidP="004C3C71" w14:paraId="7A448F25" w14:textId="77777777">
      <w:pPr>
        <w:spacing w:line="240" w:lineRule="auto"/>
      </w:pPr>
    </w:p>
    <w:p w:rsidR="004C3C71" w:rsidP="004C3C71" w14:paraId="33346CBD" w14:textId="77777777">
      <w:pPr>
        <w:spacing w:line="240" w:lineRule="auto"/>
      </w:pPr>
      <w:r>
        <w:t>where the adjustment factor is equal to the ratio of the control total (</w:t>
      </w:r>
      <m:oMath>
        <m:sSub>
          <m:sSubPr>
            <m:ctrlPr>
              <w:rPr>
                <w:rFonts w:ascii="Cambria Math" w:eastAsia="Cambria Math" w:hAnsi="Cambria Math" w:cs="Cambria Math"/>
              </w:rPr>
            </m:ctrlPr>
          </m:sSubPr>
          <m:e>
            <m:r>
              <w:rPr>
                <w:rFonts w:ascii="Cambria Math" w:eastAsia="Cambria Math" w:hAnsi="Cambria Math" w:cs="Cambria Math"/>
              </w:rPr>
              <m:t>H</m:t>
            </m:r>
          </m:e>
          <m:sub>
            <m:r>
              <w:rPr>
                <w:rFonts w:ascii="Cambria Math" w:eastAsia="Cambria Math" w:hAnsi="Cambria Math" w:cs="Cambria Math"/>
              </w:rPr>
              <m:t>h</m:t>
            </m:r>
          </m:sub>
        </m:sSub>
      </m:oMath>
      <w:r>
        <w:t>, from the American Community Survey) to the estimated total based upon the sum of nonresponse adjusted weights  (</w:t>
      </w:r>
      <m:oMath>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H</m:t>
                </m:r>
              </m:e>
            </m:acc>
          </m:e>
          <m:sub>
            <m:r>
              <w:rPr>
                <w:rFonts w:ascii="Cambria Math" w:eastAsia="Cambria Math" w:hAnsi="Cambria Math" w:cs="Cambria Math"/>
              </w:rPr>
              <m:t>h</m:t>
            </m:r>
          </m:sub>
        </m:sSub>
      </m:oMath>
      <w:r>
        <w:t>).</w:t>
      </w:r>
    </w:p>
    <w:p w:rsidR="004C3C71" w:rsidP="004C3C71" w14:paraId="7D3C5085" w14:textId="77777777">
      <w:pPr>
        <w:spacing w:line="240" w:lineRule="auto"/>
      </w:pPr>
    </w:p>
    <w:p w:rsidR="004C3C71" w:rsidP="004C3C71" w14:paraId="0DE9F18F" w14:textId="77777777">
      <w:pPr>
        <w:spacing w:line="240" w:lineRule="auto"/>
      </w:pPr>
      <w:r>
        <w:t>Estimates of fishing effort by residents of coastal states, as well as associated estimates of variance, are calculated in SAS Version 9.4 using the survey means procedure.  For each state and wave, total resident effort is calculated as a weighted sum over the sample</w:t>
      </w:r>
    </w:p>
    <w:p w:rsidR="004C3C71" w:rsidP="004C3C71" w14:paraId="62E4BC82" w14:textId="77777777">
      <w:pPr>
        <w:spacing w:line="240" w:lineRule="auto"/>
        <w:jc w:val="center"/>
        <w:rPr>
          <w:vertAlign w:val="subscript"/>
        </w:rPr>
      </w:pPr>
      <w:r>
        <w:rPr>
          <w:vertAlign w:val="subscript"/>
        </w:rPr>
        <w:tab/>
      </w:r>
    </w:p>
    <w:p w:rsidR="004C3C71" w:rsidP="004C3C71" w14:paraId="7C20C4F4" w14:textId="77777777">
      <w:pPr>
        <w:jc w:val="center"/>
        <w:rPr>
          <w:rFonts w:ascii="Cambria Math" w:eastAsia="Cambria Math" w:hAnsi="Cambria Math" w:cs="Cambria Math"/>
          <w:vertAlign w:val="subscript"/>
        </w:rPr>
      </w:pPr>
      <m:oMathPara>
        <m:oMath>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Y</m:t>
                  </m:r>
                </m:e>
              </m:acc>
            </m:e>
            <m:sub>
              <m:r>
                <w:rPr>
                  <w:rFonts w:ascii="Cambria Math" w:eastAsia="Cambria Math" w:hAnsi="Cambria Math" w:cs="Cambria Math"/>
                </w:rPr>
                <m:t>r</m:t>
              </m:r>
            </m:sub>
          </m:sSub>
          <m:r>
            <w:rPr>
              <w:rFonts w:ascii="Cambria Math" w:eastAsia="Cambria Math" w:hAnsi="Cambria Math" w:cs="Cambria Math"/>
              <w:vertAlign w:val="subscript"/>
            </w:rPr>
            <m:t>=</m:t>
          </m:r>
          <m:nary>
            <m:naryPr>
              <m:chr m:val="∑"/>
              <m:limLoc m:val="undOvr"/>
              <m:subHide/>
              <m:supHide/>
              <m:ctrlPr>
                <w:rPr>
                  <w:rFonts w:ascii="Cambria Math" w:eastAsia="Cambria Math" w:hAnsi="Cambria Math" w:cs="Cambria Math"/>
                  <w:i/>
                  <w:vertAlign w:val="subscript"/>
                </w:rPr>
              </m:ctrlPr>
            </m:naryPr>
            <m:sub/>
            <m:sup/>
            <m:e>
              <m:nary>
                <m:naryPr>
                  <m:chr m:val="∑"/>
                  <m:limLoc m:val="undOvr"/>
                  <m:subHide/>
                  <m:supHide/>
                  <m:ctrlPr>
                    <w:rPr>
                      <w:rFonts w:ascii="Cambria Math" w:eastAsia="Cambria Math" w:hAnsi="Cambria Math" w:cs="Cambria Math"/>
                      <w:i/>
                      <w:vertAlign w:val="subscript"/>
                    </w:rPr>
                  </m:ctrlPr>
                </m:naryPr>
                <m:sub/>
                <m:sup/>
                <m:e>
                  <m:sSubSup>
                    <m:sSubSupPr>
                      <m:ctrlPr>
                        <w:rPr>
                          <w:rFonts w:ascii="Cambria Math" w:eastAsia="Cambria Math" w:hAnsi="Cambria Math" w:cs="Cambria Math"/>
                          <w:vertAlign w:val="subscript"/>
                        </w:rPr>
                      </m:ctrlPr>
                    </m:sSubSupPr>
                    <m:e>
                      <m:r>
                        <w:rPr>
                          <w:rFonts w:ascii="Cambria Math" w:eastAsia="Cambria Math" w:hAnsi="Cambria Math" w:cs="Cambria Math"/>
                          <w:vertAlign w:val="subscript"/>
                        </w:rPr>
                        <m:t>ω</m:t>
                      </m:r>
                    </m:e>
                    <m:sub>
                      <m:r>
                        <w:rPr>
                          <w:rFonts w:ascii="Cambria Math" w:eastAsia="Cambria Math" w:hAnsi="Cambria Math" w:cs="Cambria Math"/>
                          <w:vertAlign w:val="subscript"/>
                        </w:rPr>
                        <m:t>hi</m:t>
                      </m:r>
                    </m:sub>
                    <m:sup>
                      <m:r>
                        <w:rPr>
                          <w:rFonts w:ascii="Cambria Math" w:eastAsia="Cambria Math" w:hAnsi="Cambria Math" w:cs="Cambria Math"/>
                          <w:vertAlign w:val="subscript"/>
                        </w:rPr>
                        <m:t>*</m:t>
                      </m:r>
                    </m:sup>
                  </m:sSubSup>
                  <m:sSub>
                    <m:sSubPr>
                      <m:ctrlPr>
                        <w:rPr>
                          <w:rFonts w:ascii="Cambria Math" w:eastAsia="Cambria Math" w:hAnsi="Cambria Math" w:cs="Cambria Math"/>
                          <w:vertAlign w:val="subscript"/>
                        </w:rPr>
                      </m:ctrlPr>
                    </m:sSubPr>
                    <m:e>
                      <m:r>
                        <w:rPr>
                          <w:rFonts w:ascii="Cambria Math" w:eastAsia="Cambria Math" w:hAnsi="Cambria Math" w:cs="Cambria Math"/>
                          <w:vertAlign w:val="subscript"/>
                        </w:rPr>
                        <m:t>y</m:t>
                      </m:r>
                    </m:e>
                    <m:sub>
                      <m:r>
                        <w:rPr>
                          <w:rFonts w:ascii="Cambria Math" w:eastAsia="Cambria Math" w:hAnsi="Cambria Math" w:cs="Cambria Math"/>
                          <w:vertAlign w:val="subscript"/>
                        </w:rPr>
                        <m:t>hi</m:t>
                      </m:r>
                    </m:sub>
                  </m:sSub>
                </m:e>
              </m:nary>
            </m:e>
          </m:nary>
        </m:oMath>
      </m:oMathPara>
    </w:p>
    <w:p w:rsidR="004C3C71" w:rsidP="004C3C71" w14:paraId="1030BCE7" w14:textId="77777777">
      <w:pPr>
        <w:spacing w:line="240" w:lineRule="auto"/>
        <w:rPr>
          <w:vertAlign w:val="subscript"/>
        </w:rPr>
      </w:pPr>
    </w:p>
    <w:p w:rsidR="004C3C71" w:rsidP="004C3C71" w14:paraId="38CBB1ED" w14:textId="77777777">
      <w:pPr>
        <w:spacing w:line="240" w:lineRule="auto"/>
      </w:pPr>
      <w:r>
        <w:t xml:space="preserve">where </w:t>
      </w:r>
      <m:oMath>
        <m:sSubSup>
          <m:sSubSupPr>
            <m:ctrlPr>
              <w:rPr>
                <w:rFonts w:ascii="Cambria Math" w:eastAsia="Cambria Math" w:hAnsi="Cambria Math" w:cs="Cambria Math"/>
                <w:vertAlign w:val="subscript"/>
              </w:rPr>
            </m:ctrlPr>
          </m:sSubSupPr>
          <m:e>
            <m:r>
              <w:rPr>
                <w:rFonts w:ascii="Cambria Math" w:hAnsi="Cambria Math"/>
              </w:rPr>
              <m:t>ω</m:t>
            </m:r>
          </m:e>
          <m:sub>
            <m:r>
              <w:rPr>
                <w:rFonts w:ascii="Cambria Math" w:eastAsia="Cambria Math" w:hAnsi="Cambria Math" w:cs="Cambria Math"/>
                <w:vertAlign w:val="subscript"/>
              </w:rPr>
              <m:t>hi</m:t>
            </m:r>
          </m:sub>
          <m:sup>
            <m:r>
              <w:rPr>
                <w:rFonts w:ascii="Cambria Math" w:eastAsia="Cambria Math" w:hAnsi="Cambria Math" w:cs="Cambria Math"/>
                <w:vertAlign w:val="subscript"/>
              </w:rPr>
              <m:t>*</m:t>
            </m:r>
          </m:sup>
        </m:sSubSup>
      </m:oMath>
      <w:r>
        <w:rPr>
          <w:vertAlign w:val="subscript"/>
        </w:rPr>
        <w:t xml:space="preserve"> </w:t>
      </w:r>
      <w:r>
        <w:t xml:space="preserve">and </w:t>
      </w:r>
      <m:oMath>
        <m:sSub>
          <m:sSubPr>
            <m:ctrlPr>
              <w:rPr>
                <w:rFonts w:ascii="Cambria Math" w:eastAsia="Cambria Math" w:hAnsi="Cambria Math" w:cs="Cambria Math"/>
                <w:vertAlign w:val="subscript"/>
              </w:rPr>
            </m:ctrlPr>
          </m:sSubPr>
          <m:e>
            <m:r>
              <w:rPr>
                <w:rFonts w:ascii="Cambria Math" w:eastAsia="Cambria Math" w:hAnsi="Cambria Math" w:cs="Cambria Math"/>
                <w:vertAlign w:val="subscript"/>
              </w:rPr>
              <m:t>y</m:t>
            </m:r>
          </m:e>
          <m:sub>
            <m:r>
              <w:rPr>
                <w:rFonts w:ascii="Cambria Math" w:eastAsia="Cambria Math" w:hAnsi="Cambria Math" w:cs="Cambria Math"/>
                <w:vertAlign w:val="subscript"/>
              </w:rPr>
              <m:t>hi</m:t>
            </m:r>
          </m:sub>
        </m:sSub>
      </m:oMath>
      <w:r>
        <w:rPr>
          <w:vertAlign w:val="subscript"/>
        </w:rPr>
        <w:t xml:space="preserve"> </w:t>
      </w:r>
      <w:r>
        <w:t xml:space="preserve">are the final weight and reported number of recreational fishing trips, respectfully, for address </w:t>
      </w:r>
      <w:r>
        <w:rPr>
          <w:i/>
        </w:rPr>
        <w:t>i</w:t>
      </w:r>
      <w:r>
        <w:t xml:space="preserve"> in stratum </w:t>
      </w:r>
      <w:r>
        <w:rPr>
          <w:i/>
        </w:rPr>
        <w:t>h</w:t>
      </w:r>
      <w:r>
        <w:t>.</w:t>
      </w:r>
    </w:p>
    <w:p w:rsidR="004C3C71" w:rsidP="004C3C71" w14:paraId="797599ED" w14:textId="77777777">
      <w:pPr>
        <w:spacing w:line="240" w:lineRule="auto"/>
        <w:rPr>
          <w:vertAlign w:val="subscript"/>
        </w:rPr>
      </w:pPr>
    </w:p>
    <w:p w:rsidR="004C3C71" w:rsidP="004C3C71" w14:paraId="2F9F0838" w14:textId="77777777">
      <w:pPr>
        <w:spacing w:line="240" w:lineRule="auto"/>
      </w:pPr>
      <w:r>
        <w:t xml:space="preserve">Variance is estimated using the Taylor series linearization </w:t>
      </w:r>
    </w:p>
    <w:p w:rsidR="004C3C71" w:rsidP="004C3C71" w14:paraId="030B0E36" w14:textId="77777777">
      <w:pPr>
        <w:spacing w:line="240" w:lineRule="auto"/>
      </w:pPr>
    </w:p>
    <w:p w:rsidR="004C3C71" w:rsidP="004C3C71" w14:paraId="5A2CD421" w14:textId="77777777">
      <w:pPr>
        <w:spacing w:line="240" w:lineRule="auto"/>
      </w:pPr>
    </w:p>
    <w:p w:rsidR="004C3C71" w:rsidP="004C3C71" w14:paraId="04D2DDC5" w14:textId="77777777">
      <w:pPr>
        <w:jc w:val="center"/>
        <w:rPr>
          <w:rFonts w:ascii="Cambria Math" w:eastAsia="Cambria Math" w:hAnsi="Cambria Math" w:cs="Cambria Math"/>
          <w:vertAlign w:val="subscript"/>
        </w:rPr>
      </w:pPr>
      <m:oMathPara>
        <m:oMath>
          <m:acc>
            <m:accPr>
              <m:ctrlPr>
                <w:rPr>
                  <w:rFonts w:ascii="Cambria Math" w:eastAsia="Cambria Math" w:hAnsi="Cambria Math" w:cs="Cambria Math"/>
                </w:rPr>
              </m:ctrlPr>
            </m:accPr>
            <m:e>
              <m:r>
                <w:rPr>
                  <w:rFonts w:ascii="Cambria Math" w:eastAsia="Cambria Math" w:hAnsi="Cambria Math" w:cs="Cambria Math"/>
                </w:rPr>
                <m:t>V</m:t>
              </m:r>
            </m:e>
          </m:acc>
          <m:r>
            <w:rPr>
              <w:rFonts w:ascii="Cambria Math" w:eastAsia="Cambria Math" w:hAnsi="Cambria Math" w:cs="Cambria Math"/>
            </w:rPr>
            <m:t>(</m:t>
          </m:r>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Y</m:t>
                  </m:r>
                </m:e>
              </m:acc>
            </m:e>
            <m:sub>
              <m:r>
                <w:rPr>
                  <w:rFonts w:ascii="Cambria Math" w:eastAsia="Cambria Math" w:hAnsi="Cambria Math" w:cs="Cambria Math"/>
                </w:rPr>
                <m:t>r</m:t>
              </m:r>
            </m:sub>
          </m:sSub>
          <m:r>
            <w:rPr>
              <w:rFonts w:ascii="Cambria Math" w:eastAsia="Cambria Math" w:hAnsi="Cambria Math" w:cs="Cambria Math"/>
            </w:rPr>
            <m:t>)</m:t>
          </m:r>
          <m:r>
            <w:rPr>
              <w:rFonts w:ascii="Cambria Math" w:eastAsia="Cambria Math" w:hAnsi="Cambria Math" w:cs="Cambria Math"/>
              <w:vertAlign w:val="subscript"/>
            </w:rPr>
            <m:t>=</m:t>
          </m:r>
          <m:nary>
            <m:naryPr>
              <m:chr m:val="∑"/>
              <m:limLoc m:val="undOvr"/>
              <m:subHide/>
              <m:supHide/>
              <m:ctrlPr>
                <w:rPr>
                  <w:rFonts w:ascii="Cambria Math" w:eastAsia="Cambria Math" w:hAnsi="Cambria Math" w:cs="Cambria Math"/>
                  <w:i/>
                  <w:vertAlign w:val="subscript"/>
                </w:rPr>
              </m:ctrlPr>
            </m:naryPr>
            <m:sub/>
            <m:sup/>
            <m:e>
              <m:f>
                <m:fPr>
                  <m:ctrlPr>
                    <w:rPr>
                      <w:rFonts w:ascii="Cambria Math" w:eastAsia="Cambria Math" w:hAnsi="Cambria Math" w:cs="Cambria Math"/>
                      <w:vertAlign w:val="subscript"/>
                    </w:rPr>
                  </m:ctrlPr>
                </m:fPr>
                <m:num>
                  <m:sSub>
                    <m:sSubPr>
                      <m:ctrlPr>
                        <w:rPr>
                          <w:rFonts w:ascii="Cambria Math" w:eastAsia="Cambria Math" w:hAnsi="Cambria Math" w:cs="Cambria Math"/>
                          <w:vertAlign w:val="subscript"/>
                        </w:rPr>
                      </m:ctrlPr>
                    </m:sSubPr>
                    <m:e>
                      <m:r>
                        <w:rPr>
                          <w:rFonts w:ascii="Cambria Math" w:eastAsia="Cambria Math" w:hAnsi="Cambria Math" w:cs="Cambria Math"/>
                          <w:vertAlign w:val="subscript"/>
                        </w:rPr>
                        <m:t>n</m:t>
                      </m:r>
                    </m:e>
                    <m:sub>
                      <m:r>
                        <w:rPr>
                          <w:rFonts w:ascii="Cambria Math" w:eastAsia="Cambria Math" w:hAnsi="Cambria Math" w:cs="Cambria Math"/>
                          <w:vertAlign w:val="subscript"/>
                        </w:rPr>
                        <m:t>h</m:t>
                      </m:r>
                    </m:sub>
                  </m:sSub>
                </m:num>
                <m:den>
                  <m:sSub>
                    <m:sSubPr>
                      <m:ctrlPr>
                        <w:rPr>
                          <w:rFonts w:ascii="Cambria Math" w:eastAsia="Cambria Math" w:hAnsi="Cambria Math" w:cs="Cambria Math"/>
                          <w:vertAlign w:val="subscript"/>
                        </w:rPr>
                      </m:ctrlPr>
                    </m:sSubPr>
                    <m:e>
                      <m:r>
                        <w:rPr>
                          <w:rFonts w:ascii="Cambria Math" w:eastAsia="Cambria Math" w:hAnsi="Cambria Math" w:cs="Cambria Math"/>
                          <w:vertAlign w:val="subscript"/>
                        </w:rPr>
                        <m:t>n</m:t>
                      </m:r>
                    </m:e>
                    <m:sub>
                      <m:r>
                        <w:rPr>
                          <w:rFonts w:ascii="Cambria Math" w:eastAsia="Cambria Math" w:hAnsi="Cambria Math" w:cs="Cambria Math"/>
                          <w:vertAlign w:val="subscript"/>
                        </w:rPr>
                        <m:t>h</m:t>
                      </m:r>
                    </m:sub>
                  </m:sSub>
                  <m:r>
                    <w:rPr>
                      <w:rFonts w:ascii="Cambria Math" w:eastAsia="Cambria Math" w:hAnsi="Cambria Math" w:cs="Cambria Math"/>
                      <w:vertAlign w:val="subscript"/>
                    </w:rPr>
                    <m:t>-1</m:t>
                  </m:r>
                </m:den>
              </m:f>
            </m:e>
          </m:nary>
          <m:sSup>
            <m:sSupPr>
              <m:ctrlPr>
                <w:rPr>
                  <w:rFonts w:ascii="Cambria Math" w:eastAsia="Cambria Math" w:hAnsi="Cambria Math" w:cs="Cambria Math"/>
                  <w:vertAlign w:val="subscript"/>
                </w:rPr>
              </m:ctrlPr>
            </m:sSupPr>
            <m:e>
              <m:d>
                <m:dPr>
                  <m:ctrlPr>
                    <w:rPr>
                      <w:rFonts w:ascii="Cambria Math" w:eastAsia="Cambria Math" w:hAnsi="Cambria Math" w:cs="Cambria Math"/>
                      <w:vertAlign w:val="subscript"/>
                    </w:rPr>
                  </m:ctrlPr>
                </m:dPr>
                <m:e>
                  <m:nary>
                    <m:naryPr>
                      <m:chr m:val="∑"/>
                      <m:limLoc m:val="undOvr"/>
                      <m:subHide/>
                      <m:supHide/>
                      <m:ctrlPr>
                        <w:rPr>
                          <w:rFonts w:ascii="Cambria Math" w:eastAsia="Cambria Math" w:hAnsi="Cambria Math" w:cs="Cambria Math"/>
                          <w:i/>
                          <w:vertAlign w:val="subscript"/>
                        </w:rPr>
                      </m:ctrlPr>
                    </m:naryPr>
                    <m:sub/>
                    <m:sup/>
                    <m:e>
                      <m:sSubSup>
                        <m:sSubSupPr>
                          <m:ctrlPr>
                            <w:rPr>
                              <w:rFonts w:ascii="Cambria Math" w:eastAsia="Cambria Math" w:hAnsi="Cambria Math" w:cs="Cambria Math"/>
                              <w:vertAlign w:val="subscript"/>
                            </w:rPr>
                          </m:ctrlPr>
                        </m:sSubSupPr>
                        <m:e>
                          <m:r>
                            <w:rPr>
                              <w:rFonts w:ascii="Cambria Math" w:eastAsia="Cambria Math" w:hAnsi="Cambria Math" w:cs="Cambria Math"/>
                              <w:vertAlign w:val="subscript"/>
                            </w:rPr>
                            <m:t>w</m:t>
                          </m:r>
                        </m:e>
                        <m:sub>
                          <m:r>
                            <w:rPr>
                              <w:rFonts w:ascii="Cambria Math" w:eastAsia="Cambria Math" w:hAnsi="Cambria Math" w:cs="Cambria Math"/>
                              <w:vertAlign w:val="subscript"/>
                            </w:rPr>
                            <m:t>hi</m:t>
                          </m:r>
                        </m:sub>
                        <m:sup>
                          <m:r>
                            <w:rPr>
                              <w:rFonts w:ascii="Cambria Math" w:eastAsia="Cambria Math" w:hAnsi="Cambria Math" w:cs="Cambria Math"/>
                              <w:vertAlign w:val="subscript"/>
                            </w:rPr>
                            <m:t>*</m:t>
                          </m:r>
                        </m:sup>
                      </m:sSubSup>
                      <m:sSub>
                        <m:sSubPr>
                          <m:ctrlPr>
                            <w:rPr>
                              <w:rFonts w:ascii="Cambria Math" w:eastAsia="Cambria Math" w:hAnsi="Cambria Math" w:cs="Cambria Math"/>
                              <w:vertAlign w:val="subscript"/>
                            </w:rPr>
                          </m:ctrlPr>
                        </m:sSubPr>
                        <m:e>
                          <m:r>
                            <w:rPr>
                              <w:rFonts w:ascii="Cambria Math" w:eastAsia="Cambria Math" w:hAnsi="Cambria Math" w:cs="Cambria Math"/>
                              <w:vertAlign w:val="subscript"/>
                            </w:rPr>
                            <m:t>y</m:t>
                          </m:r>
                        </m:e>
                        <m:sub>
                          <m:r>
                            <w:rPr>
                              <w:rFonts w:ascii="Cambria Math" w:eastAsia="Cambria Math" w:hAnsi="Cambria Math" w:cs="Cambria Math"/>
                              <w:vertAlign w:val="subscript"/>
                            </w:rPr>
                            <m:t>hi</m:t>
                          </m:r>
                        </m:sub>
                      </m:sSub>
                    </m:e>
                  </m:nary>
                  <m:r>
                    <w:rPr>
                      <w:rFonts w:ascii="Cambria Math" w:eastAsia="Cambria Math" w:hAnsi="Cambria Math" w:cs="Cambria Math"/>
                      <w:vertAlign w:val="subscript"/>
                    </w:rPr>
                    <m:t>-</m:t>
                  </m:r>
                  <m:f>
                    <m:fPr>
                      <m:ctrlPr>
                        <w:rPr>
                          <w:rFonts w:ascii="Cambria Math" w:eastAsia="Cambria Math" w:hAnsi="Cambria Math" w:cs="Cambria Math"/>
                          <w:vertAlign w:val="subscript"/>
                        </w:rPr>
                      </m:ctrlPr>
                    </m:fPr>
                    <m:num>
                      <m:r>
                        <w:rPr>
                          <w:rFonts w:ascii="Cambria Math" w:eastAsia="Cambria Math" w:hAnsi="Cambria Math" w:cs="Cambria Math"/>
                          <w:vertAlign w:val="subscript"/>
                        </w:rPr>
                        <m:t>1</m:t>
                      </m:r>
                    </m:num>
                    <m:den>
                      <m:sSub>
                        <m:sSubPr>
                          <m:ctrlPr>
                            <w:rPr>
                              <w:rFonts w:ascii="Cambria Math" w:eastAsia="Cambria Math" w:hAnsi="Cambria Math" w:cs="Cambria Math"/>
                              <w:vertAlign w:val="subscript"/>
                            </w:rPr>
                          </m:ctrlPr>
                        </m:sSubPr>
                        <m:e>
                          <m:r>
                            <w:rPr>
                              <w:rFonts w:ascii="Cambria Math" w:eastAsia="Cambria Math" w:hAnsi="Cambria Math" w:cs="Cambria Math"/>
                              <w:vertAlign w:val="subscript"/>
                            </w:rPr>
                            <m:t>n</m:t>
                          </m:r>
                        </m:e>
                        <m:sub>
                          <m:r>
                            <w:rPr>
                              <w:rFonts w:ascii="Cambria Math" w:eastAsia="Cambria Math" w:hAnsi="Cambria Math" w:cs="Cambria Math"/>
                              <w:vertAlign w:val="subscript"/>
                            </w:rPr>
                            <m:t>h</m:t>
                          </m:r>
                        </m:sub>
                      </m:sSub>
                    </m:den>
                  </m:f>
                  <m:nary>
                    <m:naryPr>
                      <m:chr m:val="∑"/>
                      <m:limLoc m:val="undOvr"/>
                      <m:subHide/>
                      <m:supHide/>
                      <m:ctrlPr>
                        <w:rPr>
                          <w:rFonts w:ascii="Cambria Math" w:eastAsia="Cambria Math" w:hAnsi="Cambria Math" w:cs="Cambria Math"/>
                          <w:i/>
                          <w:vertAlign w:val="subscript"/>
                        </w:rPr>
                      </m:ctrlPr>
                    </m:naryPr>
                    <m:sub/>
                    <m:sup/>
                    <m:e>
                      <m:sSubSup>
                        <m:sSubSupPr>
                          <m:ctrlPr>
                            <w:rPr>
                              <w:rFonts w:ascii="Cambria Math" w:eastAsia="Cambria Math" w:hAnsi="Cambria Math" w:cs="Cambria Math"/>
                              <w:vertAlign w:val="subscript"/>
                            </w:rPr>
                          </m:ctrlPr>
                        </m:sSubSupPr>
                        <m:e>
                          <m:r>
                            <w:rPr>
                              <w:rFonts w:ascii="Cambria Math" w:eastAsia="Cambria Math" w:hAnsi="Cambria Math" w:cs="Cambria Math"/>
                              <w:vertAlign w:val="subscript"/>
                            </w:rPr>
                            <m:t>w</m:t>
                          </m:r>
                        </m:e>
                        <m:sub>
                          <m:r>
                            <w:rPr>
                              <w:rFonts w:ascii="Cambria Math" w:eastAsia="Cambria Math" w:hAnsi="Cambria Math" w:cs="Cambria Math"/>
                              <w:vertAlign w:val="subscript"/>
                            </w:rPr>
                            <m:t>hi</m:t>
                          </m:r>
                        </m:sub>
                        <m:sup>
                          <m:r>
                            <w:rPr>
                              <w:rFonts w:ascii="Cambria Math" w:eastAsia="Cambria Math" w:hAnsi="Cambria Math" w:cs="Cambria Math"/>
                              <w:vertAlign w:val="subscript"/>
                            </w:rPr>
                            <m:t>*</m:t>
                          </m:r>
                        </m:sup>
                      </m:sSubSup>
                      <m:sSub>
                        <m:sSubPr>
                          <m:ctrlPr>
                            <w:rPr>
                              <w:rFonts w:ascii="Cambria Math" w:eastAsia="Cambria Math" w:hAnsi="Cambria Math" w:cs="Cambria Math"/>
                              <w:vertAlign w:val="subscript"/>
                            </w:rPr>
                          </m:ctrlPr>
                        </m:sSubPr>
                        <m:e>
                          <m:r>
                            <w:rPr>
                              <w:rFonts w:ascii="Cambria Math" w:eastAsia="Cambria Math" w:hAnsi="Cambria Math" w:cs="Cambria Math"/>
                              <w:vertAlign w:val="subscript"/>
                            </w:rPr>
                            <m:t>y</m:t>
                          </m:r>
                        </m:e>
                        <m:sub>
                          <m:r>
                            <w:rPr>
                              <w:rFonts w:ascii="Cambria Math" w:eastAsia="Cambria Math" w:hAnsi="Cambria Math" w:cs="Cambria Math"/>
                              <w:vertAlign w:val="subscript"/>
                            </w:rPr>
                            <m:t>hi</m:t>
                          </m:r>
                        </m:sub>
                      </m:sSub>
                    </m:e>
                  </m:nary>
                </m:e>
              </m:d>
            </m:e>
            <m:sup>
              <m:r>
                <w:rPr>
                  <w:rFonts w:ascii="Cambria Math" w:eastAsia="Cambria Math" w:hAnsi="Cambria Math" w:cs="Cambria Math"/>
                  <w:vertAlign w:val="subscript"/>
                </w:rPr>
                <m:t>2</m:t>
              </m:r>
            </m:sup>
          </m:sSup>
        </m:oMath>
      </m:oMathPara>
    </w:p>
    <w:p w:rsidR="004C3C71" w:rsidP="004C3C71" w14:paraId="289288A3" w14:textId="77777777">
      <w:pPr>
        <w:spacing w:line="240" w:lineRule="auto"/>
      </w:pPr>
    </w:p>
    <w:p w:rsidR="004C3C71" w:rsidP="004C3C71" w14:paraId="1890A64A" w14:textId="77777777">
      <w:pPr>
        <w:spacing w:line="240" w:lineRule="auto"/>
      </w:pPr>
    </w:p>
    <w:p w:rsidR="004C3C71" w:rsidP="004C3C71" w14:paraId="00482CE5" w14:textId="77777777">
      <w:pPr>
        <w:spacing w:line="240" w:lineRule="auto"/>
      </w:pPr>
    </w:p>
    <w:p w:rsidR="004C3C71" w:rsidP="004C3C71" w14:paraId="6BEEEFA8" w14:textId="77777777">
      <w:pPr>
        <w:spacing w:line="240" w:lineRule="auto"/>
      </w:pPr>
      <w:r>
        <w:t>Adjustments to account for fishing activity by non-resident anglers are estimated from the APAIS.  For each coastal state and wave, resident effort is adjusted by the inverse of the estimated proportion of fishing trips taken by resident anglers (</w:t>
      </w:r>
      <m:oMath>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p</m:t>
                </m:r>
              </m:e>
            </m:acc>
          </m:e>
          <m:sub>
            <m:r>
              <w:rPr>
                <w:rFonts w:ascii="Cambria Math" w:eastAsia="Cambria Math" w:hAnsi="Cambria Math" w:cs="Cambria Math"/>
              </w:rPr>
              <m:t>r</m:t>
            </m:r>
          </m:sub>
        </m:sSub>
      </m:oMath>
      <w:r>
        <w:t>) to estimate total effort (</w:t>
      </w:r>
      <m:oMath>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Y</m:t>
                </m:r>
              </m:e>
            </m:acc>
          </m:e>
          <m:sub>
            <m:r>
              <w:rPr>
                <w:rFonts w:ascii="Cambria Math" w:eastAsia="Cambria Math" w:hAnsi="Cambria Math" w:cs="Cambria Math"/>
              </w:rPr>
              <m:t>t</m:t>
            </m:r>
          </m:sub>
        </m:sSub>
        <m:r>
          <w:rPr>
            <w:rFonts w:ascii="Cambria Math" w:eastAsia="Cambria Math" w:hAnsi="Cambria Math" w:cs="Cambria Math"/>
          </w:rPr>
          <m:t>)</m:t>
        </m:r>
      </m:oMath>
    </w:p>
    <w:p w:rsidR="004C3C71" w:rsidP="004C3C71" w14:paraId="486CEF27" w14:textId="77777777">
      <w:pPr>
        <w:spacing w:line="240" w:lineRule="auto"/>
      </w:pPr>
      <w:r>
        <w:t xml:space="preserve">    </w:t>
      </w:r>
    </w:p>
    <w:p w:rsidR="004C3C71" w:rsidP="004C3C71" w14:paraId="161F7B6B" w14:textId="77777777">
      <w:pPr>
        <w:jc w:val="center"/>
        <w:rPr>
          <w:rFonts w:ascii="Cambria Math" w:eastAsia="Cambria Math" w:hAnsi="Cambria Math" w:cs="Cambria Math"/>
        </w:rPr>
      </w:pPr>
      <m:oMathPara>
        <m:oMath>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Y</m:t>
                  </m:r>
                </m:e>
              </m:acc>
            </m:e>
            <m:sub>
              <m:r>
                <w:rPr>
                  <w:rFonts w:ascii="Cambria Math" w:eastAsia="Cambria Math" w:hAnsi="Cambria Math" w:cs="Cambria Math"/>
                </w:rPr>
                <m:t>t</m:t>
              </m:r>
            </m:sub>
          </m:sSub>
          <m:r>
            <w:rPr>
              <w:rFonts w:ascii="Cambria Math" w:eastAsia="Cambria Math" w:hAnsi="Cambria Math" w:cs="Cambria Math"/>
            </w:rPr>
            <m:t>=</m:t>
          </m:r>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Y</m:t>
                  </m:r>
                </m:e>
              </m:acc>
            </m:e>
            <m:sub>
              <m:r>
                <w:rPr>
                  <w:rFonts w:ascii="Cambria Math" w:eastAsia="Cambria Math" w:hAnsi="Cambria Math" w:cs="Cambria Math"/>
                </w:rPr>
                <m:t>r</m:t>
              </m:r>
            </m:sub>
          </m:sSub>
          <m:sSubSup>
            <m:sSubSupPr>
              <m:ctrlPr>
                <w:rPr>
                  <w:rFonts w:ascii="Cambria Math" w:eastAsia="Cambria Math" w:hAnsi="Cambria Math" w:cs="Cambria Math"/>
                </w:rPr>
              </m:ctrlPr>
            </m:sSubSupPr>
            <m:e>
              <m:acc>
                <m:accPr>
                  <m:ctrlPr>
                    <w:rPr>
                      <w:rFonts w:ascii="Cambria Math" w:eastAsia="Cambria Math" w:hAnsi="Cambria Math" w:cs="Cambria Math"/>
                    </w:rPr>
                  </m:ctrlPr>
                </m:accPr>
                <m:e>
                  <m:r>
                    <w:rPr>
                      <w:rFonts w:ascii="Cambria Math" w:eastAsia="Cambria Math" w:hAnsi="Cambria Math" w:cs="Cambria Math"/>
                    </w:rPr>
                    <m:t>p</m:t>
                  </m:r>
                </m:e>
              </m:acc>
            </m:e>
            <m:sub>
              <m:r>
                <w:rPr>
                  <w:rFonts w:ascii="Cambria Math" w:eastAsia="Cambria Math" w:hAnsi="Cambria Math" w:cs="Cambria Math"/>
                </w:rPr>
                <m:t>r</m:t>
              </m:r>
            </m:sub>
            <m:sup>
              <m:r>
                <w:rPr>
                  <w:rFonts w:ascii="Cambria Math" w:eastAsia="Cambria Math" w:hAnsi="Cambria Math" w:cs="Cambria Math"/>
                </w:rPr>
                <m:t>-1</m:t>
              </m:r>
            </m:sup>
          </m:sSubSup>
          <m:r>
            <w:rPr>
              <w:rFonts w:ascii="Cambria Math" w:eastAsia="Cambria Math" w:hAnsi="Cambria Math" w:cs="Cambria Math"/>
            </w:rPr>
            <m:t xml:space="preserve">  </m:t>
          </m:r>
        </m:oMath>
      </m:oMathPara>
    </w:p>
    <w:p w:rsidR="004C3C71" w:rsidP="004C3C71" w14:paraId="50CE7FF4" w14:textId="77777777">
      <w:pPr>
        <w:spacing w:line="240" w:lineRule="auto"/>
      </w:pPr>
    </w:p>
    <w:p w:rsidR="004C3C71" w:rsidP="004C3C71" w14:paraId="1D0F8371" w14:textId="77777777">
      <w:pPr>
        <w:spacing w:line="240" w:lineRule="auto"/>
      </w:pPr>
      <w:r>
        <w:t>and</w:t>
      </w:r>
    </w:p>
    <w:p w:rsidR="004C3C71" w:rsidP="004C3C71" w14:paraId="77324AAF" w14:textId="77777777">
      <w:pPr>
        <w:spacing w:line="240" w:lineRule="auto"/>
      </w:pPr>
    </w:p>
    <w:p w:rsidR="004C3C71" w:rsidP="004C3C71" w14:paraId="5F680419" w14:textId="77777777">
      <w:pPr>
        <w:jc w:val="center"/>
        <w:rPr>
          <w:rFonts w:ascii="Cambria Math" w:eastAsia="Cambria Math" w:hAnsi="Cambria Math" w:cs="Cambria Math"/>
        </w:rPr>
      </w:pPr>
      <m:oMathPara>
        <m:oMath>
          <m:acc>
            <m:accPr>
              <m:ctrlPr>
                <w:rPr>
                  <w:rFonts w:ascii="Cambria Math" w:eastAsia="Cambria Math" w:hAnsi="Cambria Math" w:cs="Cambria Math"/>
                </w:rPr>
              </m:ctrlPr>
            </m:accPr>
            <m:e>
              <m:r>
                <w:rPr>
                  <w:rFonts w:ascii="Cambria Math" w:eastAsia="Cambria Math" w:hAnsi="Cambria Math" w:cs="Cambria Math"/>
                </w:rPr>
                <m:t>V</m:t>
              </m:r>
            </m:e>
          </m:acc>
          <m:d>
            <m:dPr>
              <m:ctrlPr>
                <w:rPr>
                  <w:rFonts w:ascii="Cambria Math" w:eastAsia="Cambria Math" w:hAnsi="Cambria Math" w:cs="Cambria Math"/>
                </w:rPr>
              </m:ctrlPr>
            </m:dPr>
            <m:e>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Y</m:t>
                      </m:r>
                    </m:e>
                  </m:acc>
                </m:e>
                <m:sub>
                  <m:r>
                    <w:rPr>
                      <w:rFonts w:ascii="Cambria Math" w:eastAsia="Cambria Math" w:hAnsi="Cambria Math" w:cs="Cambria Math"/>
                    </w:rPr>
                    <m:t>t</m:t>
                  </m:r>
                </m:sub>
              </m:sSub>
            </m:e>
          </m:d>
          <m:r>
            <w:rPr>
              <w:rFonts w:ascii="Cambria Math" w:eastAsia="Cambria Math" w:hAnsi="Cambria Math" w:cs="Cambria Math"/>
            </w:rPr>
            <m:t>=</m:t>
          </m:r>
          <m:f>
            <m:fPr>
              <m:ctrlPr>
                <w:rPr>
                  <w:rFonts w:ascii="Cambria Math" w:eastAsia="Cambria Math" w:hAnsi="Cambria Math" w:cs="Cambria Math"/>
                </w:rPr>
              </m:ctrlPr>
            </m:fPr>
            <m:num>
              <m:acc>
                <m:accPr>
                  <m:ctrlPr>
                    <w:rPr>
                      <w:rFonts w:ascii="Cambria Math" w:eastAsia="Cambria Math" w:hAnsi="Cambria Math" w:cs="Cambria Math"/>
                    </w:rPr>
                  </m:ctrlPr>
                </m:accPr>
                <m:e>
                  <m:r>
                    <w:rPr>
                      <w:rFonts w:ascii="Cambria Math" w:eastAsia="Cambria Math" w:hAnsi="Cambria Math" w:cs="Cambria Math"/>
                    </w:rPr>
                    <m:t>V</m:t>
                  </m:r>
                </m:e>
              </m:acc>
              <m:d>
                <m:dPr>
                  <m:ctrlPr>
                    <w:rPr>
                      <w:rFonts w:ascii="Cambria Math" w:eastAsia="Cambria Math" w:hAnsi="Cambria Math" w:cs="Cambria Math"/>
                    </w:rPr>
                  </m:ctrlPr>
                </m:dPr>
                <m:e>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Y</m:t>
                          </m:r>
                        </m:e>
                      </m:acc>
                    </m:e>
                    <m:sub>
                      <m:r>
                        <w:rPr>
                          <w:rFonts w:ascii="Cambria Math" w:eastAsia="Cambria Math" w:hAnsi="Cambria Math" w:cs="Cambria Math"/>
                        </w:rPr>
                        <m:t>r</m:t>
                      </m:r>
                    </m:sub>
                  </m:sSub>
                </m:e>
              </m:d>
            </m:num>
            <m:den>
              <m:acc>
                <m:accPr>
                  <m:ctrlPr>
                    <w:rPr>
                      <w:rFonts w:ascii="Cambria Math" w:eastAsia="Cambria Math" w:hAnsi="Cambria Math" w:cs="Cambria Math"/>
                    </w:rPr>
                  </m:ctrlPr>
                </m:accPr>
                <m:e>
                  <m:r>
                    <w:rPr>
                      <w:rFonts w:ascii="Cambria Math" w:eastAsia="Cambria Math" w:hAnsi="Cambria Math" w:cs="Cambria Math"/>
                    </w:rPr>
                    <m:t>V</m:t>
                  </m:r>
                </m:e>
              </m:acc>
              <m:d>
                <m:dPr>
                  <m:ctrlPr>
                    <w:rPr>
                      <w:rFonts w:ascii="Cambria Math" w:eastAsia="Cambria Math" w:hAnsi="Cambria Math" w:cs="Cambria Math"/>
                    </w:rPr>
                  </m:ctrlPr>
                </m:dPr>
                <m:e>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p</m:t>
                          </m:r>
                        </m:e>
                      </m:acc>
                    </m:e>
                    <m:sub>
                      <m:r>
                        <w:rPr>
                          <w:rFonts w:ascii="Cambria Math" w:eastAsia="Cambria Math" w:hAnsi="Cambria Math" w:cs="Cambria Math"/>
                        </w:rPr>
                        <m:t>r</m:t>
                      </m:r>
                    </m:sub>
                  </m:sSub>
                </m:e>
              </m:d>
            </m:den>
          </m:f>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1</m:t>
              </m:r>
            </m:num>
            <m:den>
              <m:sSup>
                <m:sSupPr>
                  <m:ctrlPr>
                    <w:rPr>
                      <w:rFonts w:ascii="Cambria Math" w:eastAsia="Cambria Math" w:hAnsi="Cambria Math" w:cs="Cambria Math"/>
                    </w:rPr>
                  </m:ctrlPr>
                </m:sSupPr>
                <m:e>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p</m:t>
                          </m:r>
                        </m:e>
                      </m:acc>
                    </m:e>
                    <m:sub>
                      <m:r>
                        <w:rPr>
                          <w:rFonts w:ascii="Cambria Math" w:eastAsia="Cambria Math" w:hAnsi="Cambria Math" w:cs="Cambria Math"/>
                        </w:rPr>
                        <m:t>r</m:t>
                      </m:r>
                    </m:sub>
                  </m:sSub>
                </m:e>
                <m:sup>
                  <m:r>
                    <w:rPr>
                      <w:rFonts w:ascii="Cambria Math" w:eastAsia="Cambria Math" w:hAnsi="Cambria Math" w:cs="Cambria Math"/>
                    </w:rPr>
                    <m:t>2</m:t>
                  </m:r>
                </m:sup>
              </m:sSup>
            </m:den>
          </m:f>
          <m:acc>
            <m:accPr>
              <m:ctrlPr>
                <w:rPr>
                  <w:rFonts w:ascii="Cambria Math" w:eastAsia="Cambria Math" w:hAnsi="Cambria Math" w:cs="Cambria Math"/>
                </w:rPr>
              </m:ctrlPr>
            </m:accPr>
            <m:e>
              <m:r>
                <w:rPr>
                  <w:rFonts w:ascii="Cambria Math" w:eastAsia="Cambria Math" w:hAnsi="Cambria Math" w:cs="Cambria Math"/>
                </w:rPr>
                <m:t>V</m:t>
              </m:r>
            </m:e>
          </m:acc>
          <m:d>
            <m:dPr>
              <m:ctrlPr>
                <w:rPr>
                  <w:rFonts w:ascii="Cambria Math" w:eastAsia="Cambria Math" w:hAnsi="Cambria Math" w:cs="Cambria Math"/>
                </w:rPr>
              </m:ctrlPr>
            </m:dPr>
            <m:e>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Y</m:t>
                      </m:r>
                    </m:e>
                  </m:acc>
                </m:e>
                <m:sub>
                  <m:r>
                    <w:rPr>
                      <w:rFonts w:ascii="Cambria Math" w:eastAsia="Cambria Math" w:hAnsi="Cambria Math" w:cs="Cambria Math"/>
                    </w:rPr>
                    <m:t>r</m:t>
                  </m:r>
                </m:sub>
              </m:sSub>
            </m:e>
          </m:d>
          <m:r>
            <w:rPr>
              <w:rFonts w:ascii="Cambria Math" w:eastAsia="Cambria Math" w:hAnsi="Cambria Math" w:cs="Cambria Math"/>
            </w:rPr>
            <m:t>+</m:t>
          </m:r>
          <m:f>
            <m:fPr>
              <m:ctrlPr>
                <w:rPr>
                  <w:rFonts w:ascii="Cambria Math" w:eastAsia="Cambria Math" w:hAnsi="Cambria Math" w:cs="Cambria Math"/>
                </w:rPr>
              </m:ctrlPr>
            </m:fPr>
            <m:num>
              <m:sSubSup>
                <m:sSubSupPr>
                  <m:ctrlPr>
                    <w:rPr>
                      <w:rFonts w:ascii="Cambria Math" w:eastAsia="Cambria Math" w:hAnsi="Cambria Math" w:cs="Cambria Math"/>
                    </w:rPr>
                  </m:ctrlPr>
                </m:sSubSupPr>
                <m:e>
                  <m:acc>
                    <m:accPr>
                      <m:ctrlPr>
                        <w:rPr>
                          <w:rFonts w:ascii="Cambria Math" w:eastAsia="Cambria Math" w:hAnsi="Cambria Math" w:cs="Cambria Math"/>
                        </w:rPr>
                      </m:ctrlPr>
                    </m:accPr>
                    <m:e>
                      <m:r>
                        <w:rPr>
                          <w:rFonts w:ascii="Cambria Math" w:eastAsia="Cambria Math" w:hAnsi="Cambria Math" w:cs="Cambria Math"/>
                        </w:rPr>
                        <m:t>Y</m:t>
                      </m:r>
                    </m:e>
                  </m:acc>
                </m:e>
                <m:sub>
                  <m:r>
                    <w:rPr>
                      <w:rFonts w:ascii="Cambria Math" w:eastAsia="Cambria Math" w:hAnsi="Cambria Math" w:cs="Cambria Math"/>
                    </w:rPr>
                    <m:t>r</m:t>
                  </m:r>
                </m:sub>
                <m:sup>
                  <m:r>
                    <w:rPr>
                      <w:rFonts w:ascii="Cambria Math" w:eastAsia="Cambria Math" w:hAnsi="Cambria Math" w:cs="Cambria Math"/>
                    </w:rPr>
                    <m:t xml:space="preserve"> 2</m:t>
                  </m:r>
                </m:sup>
              </m:sSubSup>
            </m:num>
            <m:den>
              <m:sSubSup>
                <m:sSubSupPr>
                  <m:ctrlPr>
                    <w:rPr>
                      <w:rFonts w:ascii="Cambria Math" w:eastAsia="Cambria Math" w:hAnsi="Cambria Math" w:cs="Cambria Math"/>
                    </w:rPr>
                  </m:ctrlPr>
                </m:sSubSupPr>
                <m:e>
                  <m:acc>
                    <m:accPr>
                      <m:ctrlPr>
                        <w:rPr>
                          <w:rFonts w:ascii="Cambria Math" w:eastAsia="Cambria Math" w:hAnsi="Cambria Math" w:cs="Cambria Math"/>
                        </w:rPr>
                      </m:ctrlPr>
                    </m:accPr>
                    <m:e>
                      <m:r>
                        <w:rPr>
                          <w:rFonts w:ascii="Cambria Math" w:eastAsia="Cambria Math" w:hAnsi="Cambria Math" w:cs="Cambria Math"/>
                        </w:rPr>
                        <m:t>p</m:t>
                      </m:r>
                    </m:e>
                  </m:acc>
                </m:e>
                <m:sub>
                  <m:r>
                    <w:rPr>
                      <w:rFonts w:ascii="Cambria Math" w:eastAsia="Cambria Math" w:hAnsi="Cambria Math" w:cs="Cambria Math"/>
                    </w:rPr>
                    <m:t>r</m:t>
                  </m:r>
                </m:sub>
                <m:sup>
                  <m:r>
                    <w:rPr>
                      <w:rFonts w:ascii="Cambria Math" w:eastAsia="Cambria Math" w:hAnsi="Cambria Math" w:cs="Cambria Math"/>
                    </w:rPr>
                    <m:t xml:space="preserve"> 4</m:t>
                  </m:r>
                </m:sup>
              </m:sSubSup>
            </m:den>
          </m:f>
          <m:acc>
            <m:accPr>
              <m:ctrlPr>
                <w:rPr>
                  <w:rFonts w:ascii="Cambria Math" w:eastAsia="Cambria Math" w:hAnsi="Cambria Math" w:cs="Cambria Math"/>
                </w:rPr>
              </m:ctrlPr>
            </m:accPr>
            <m:e>
              <m:r>
                <w:rPr>
                  <w:rFonts w:ascii="Cambria Math" w:eastAsia="Cambria Math" w:hAnsi="Cambria Math" w:cs="Cambria Math"/>
                </w:rPr>
                <m:t>V</m:t>
              </m:r>
            </m:e>
          </m:acc>
          <m:d>
            <m:dPr>
              <m:ctrlPr>
                <w:rPr>
                  <w:rFonts w:ascii="Cambria Math" w:eastAsia="Cambria Math" w:hAnsi="Cambria Math" w:cs="Cambria Math"/>
                </w:rPr>
              </m:ctrlPr>
            </m:dPr>
            <m:e>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p</m:t>
                      </m:r>
                    </m:e>
                  </m:acc>
                </m:e>
                <m:sub>
                  <m:r>
                    <w:rPr>
                      <w:rFonts w:ascii="Cambria Math" w:eastAsia="Cambria Math" w:hAnsi="Cambria Math" w:cs="Cambria Math"/>
                    </w:rPr>
                    <m:t>r</m:t>
                  </m:r>
                </m:sub>
              </m:sSub>
            </m:e>
          </m:d>
        </m:oMath>
      </m:oMathPara>
    </w:p>
    <w:p w:rsidR="004C3C71" w:rsidP="004C3C71" w14:paraId="34721BE8" w14:textId="77777777">
      <w:pPr>
        <w:spacing w:line="240" w:lineRule="auto"/>
      </w:pPr>
    </w:p>
    <w:p w:rsidR="004C3C71" w:rsidP="004C3C71" w14:paraId="18A5718B" w14:textId="77777777">
      <w:r>
        <w:t>where the proportion is estimated from APAIS data as the weighted mean of an indicator variable.</w:t>
      </w:r>
    </w:p>
    <w:p w:rsidR="004C3C71" w:rsidP="004C3C71" w14:paraId="1E01A84E" w14:textId="77777777"/>
    <w:p w:rsidR="004C3C71" w:rsidP="004C3C71" w14:paraId="40A284C3" w14:textId="77777777">
      <w:pPr>
        <w:jc w:val="center"/>
        <w:rPr>
          <w:rFonts w:ascii="Cambria Math" w:eastAsia="Cambria Math" w:hAnsi="Cambria Math" w:cs="Cambria Math"/>
        </w:rPr>
      </w:pPr>
      <m:oMathPara>
        <m:oMath>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p</m:t>
                  </m:r>
                </m:e>
              </m:acc>
            </m:e>
            <m:sub>
              <m:r>
                <w:rPr>
                  <w:rFonts w:ascii="Cambria Math" w:eastAsia="Cambria Math" w:hAnsi="Cambria Math" w:cs="Cambria Math"/>
                </w:rPr>
                <m:t>r</m:t>
              </m:r>
            </m:sub>
          </m:sSub>
          <m:r>
            <w:rPr>
              <w:rFonts w:ascii="Cambria Math" w:eastAsia="Cambria Math" w:hAnsi="Cambria Math" w:cs="Cambria Math"/>
            </w:rPr>
            <m:t>=</m:t>
          </m:r>
          <m:f>
            <m:fPr>
              <m:ctrlPr>
                <w:rPr>
                  <w:rFonts w:ascii="Cambria Math" w:eastAsia="Cambria Math" w:hAnsi="Cambria Math" w:cs="Cambria Math"/>
                </w:rPr>
              </m:ctrlPr>
            </m:fPr>
            <m:num>
              <m:d>
                <m:dPr>
                  <m:ctrlPr>
                    <w:rPr>
                      <w:rFonts w:ascii="Cambria Math" w:eastAsia="Cambria Math" w:hAnsi="Cambria Math" w:cs="Cambria Math"/>
                    </w:rPr>
                  </m:ctrlPr>
                </m:dPr>
                <m:e>
                  <m:nary>
                    <m:naryPr>
                      <m:chr m:val="∑"/>
                      <m:limLoc m:val="subSup"/>
                      <m:supHide/>
                      <m:ctrlPr>
                        <w:rPr>
                          <w:rFonts w:ascii="Cambria Math" w:eastAsia="Cambria Math" w:hAnsi="Cambria Math" w:cs="Cambria Math"/>
                          <w:i/>
                        </w:rPr>
                      </m:ctrlPr>
                    </m:naryPr>
                    <m:sub>
                      <m:r>
                        <w:rPr>
                          <w:rFonts w:ascii="Cambria Math" w:eastAsia="Cambria Math" w:hAnsi="Cambria Math" w:cs="Cambria Math"/>
                        </w:rPr>
                        <m:t>h</m:t>
                      </m:r>
                    </m:sub>
                    <m:sup/>
                    <m:e>
                      <m:nary>
                        <m:naryPr>
                          <m:chr m:val="∑"/>
                          <m:limLoc m:val="undOvr"/>
                          <m:supHide/>
                          <m:ctrlPr>
                            <w:rPr>
                              <w:rFonts w:ascii="Cambria Math" w:eastAsia="Cambria Math" w:hAnsi="Cambria Math" w:cs="Cambria Math"/>
                              <w:i/>
                            </w:rPr>
                          </m:ctrlPr>
                        </m:naryPr>
                        <m:sub>
                          <m:r>
                            <w:rPr>
                              <w:rFonts w:ascii="Cambria Math" w:eastAsia="Cambria Math" w:hAnsi="Cambria Math" w:cs="Cambria Math"/>
                            </w:rPr>
                            <m:t>i</m:t>
                          </m:r>
                        </m:sub>
                        <m:sup/>
                        <m:e>
                          <m:nary>
                            <m:naryPr>
                              <m:chr m:val="∑"/>
                              <m:limLoc m:val="subSup"/>
                              <m:supHide/>
                              <m:ctrlPr>
                                <w:rPr>
                                  <w:rFonts w:ascii="Cambria Math" w:eastAsia="Cambria Math" w:hAnsi="Cambria Math" w:cs="Cambria Math"/>
                                  <w:i/>
                                </w:rPr>
                              </m:ctrlPr>
                            </m:naryPr>
                            <m:sub>
                              <m:r>
                                <w:rPr>
                                  <w:rFonts w:ascii="Cambria Math" w:eastAsia="Cambria Math" w:hAnsi="Cambria Math" w:cs="Cambria Math"/>
                                </w:rPr>
                                <m:t>j</m:t>
                              </m:r>
                            </m:sub>
                            <m:sup/>
                            <m:e>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hij</m:t>
                                  </m:r>
                                </m:sub>
                              </m:sSub>
                              <m:sSub>
                                <m:sSubPr>
                                  <m:ctrlPr>
                                    <w:rPr>
                                      <w:rFonts w:ascii="Cambria Math" w:eastAsia="Cambria Math" w:hAnsi="Cambria Math" w:cs="Cambria Math"/>
                                    </w:rPr>
                                  </m:ctrlPr>
                                </m:sSubPr>
                                <m:e>
                                  <m:r>
                                    <w:rPr>
                                      <w:rFonts w:ascii="Cambria Math" w:eastAsia="Cambria Math" w:hAnsi="Cambria Math" w:cs="Cambria Math"/>
                                    </w:rPr>
                                    <m:t>p</m:t>
                                  </m:r>
                                </m:e>
                                <m:sub>
                                  <m:r>
                                    <w:rPr>
                                      <w:rFonts w:ascii="Cambria Math" w:eastAsia="Cambria Math" w:hAnsi="Cambria Math" w:cs="Cambria Math"/>
                                    </w:rPr>
                                    <m:t>hij</m:t>
                                  </m:r>
                                </m:sub>
                              </m:sSub>
                            </m:e>
                          </m:nary>
                        </m:e>
                      </m:nary>
                    </m:e>
                  </m:nary>
                </m:e>
              </m:d>
            </m:num>
            <m:den>
              <m:nary>
                <m:naryPr>
                  <m:chr m:val="∑"/>
                  <m:limLoc m:val="subSup"/>
                  <m:supHide/>
                  <m:ctrlPr>
                    <w:rPr>
                      <w:rFonts w:ascii="Cambria Math" w:eastAsia="Cambria Math" w:hAnsi="Cambria Math" w:cs="Cambria Math"/>
                      <w:i/>
                    </w:rPr>
                  </m:ctrlPr>
                </m:naryPr>
                <m:sub>
                  <m:r>
                    <w:rPr>
                      <w:rFonts w:ascii="Cambria Math" w:eastAsia="Cambria Math" w:hAnsi="Cambria Math" w:cs="Cambria Math"/>
                    </w:rPr>
                    <m:t>h</m:t>
                  </m:r>
                </m:sub>
                <m:sup/>
                <m:e>
                  <m:nary>
                    <m:naryPr>
                      <m:chr m:val="∑"/>
                      <m:limLoc m:val="undOvr"/>
                      <m:supHide/>
                      <m:ctrlPr>
                        <w:rPr>
                          <w:rFonts w:ascii="Cambria Math" w:eastAsia="Cambria Math" w:hAnsi="Cambria Math" w:cs="Cambria Math"/>
                          <w:i/>
                        </w:rPr>
                      </m:ctrlPr>
                    </m:naryPr>
                    <m:sub>
                      <m:r>
                        <w:rPr>
                          <w:rFonts w:ascii="Cambria Math" w:eastAsia="Cambria Math" w:hAnsi="Cambria Math" w:cs="Cambria Math"/>
                        </w:rPr>
                        <m:t>i</m:t>
                      </m:r>
                    </m:sub>
                    <m:sup/>
                    <m:e>
                      <m:nary>
                        <m:naryPr>
                          <m:chr m:val="∑"/>
                          <m:limLoc m:val="subSup"/>
                          <m:supHide/>
                          <m:ctrlPr>
                            <w:rPr>
                              <w:rFonts w:ascii="Cambria Math" w:eastAsia="Cambria Math" w:hAnsi="Cambria Math" w:cs="Cambria Math"/>
                              <w:i/>
                            </w:rPr>
                          </m:ctrlPr>
                        </m:naryPr>
                        <m:sub>
                          <m:r>
                            <w:rPr>
                              <w:rFonts w:ascii="Cambria Math" w:eastAsia="Cambria Math" w:hAnsi="Cambria Math" w:cs="Cambria Math"/>
                            </w:rPr>
                            <m:t>j</m:t>
                          </m:r>
                        </m:sub>
                        <m:sup/>
                        <m:e>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hij</m:t>
                              </m:r>
                            </m:sub>
                          </m:sSub>
                        </m:e>
                      </m:nary>
                    </m:e>
                  </m:nary>
                </m:e>
              </m:nary>
            </m:den>
          </m:f>
        </m:oMath>
      </m:oMathPara>
    </w:p>
    <w:p w:rsidR="004C3C71" w:rsidP="004C3C71" w14:paraId="35CC112B" w14:textId="77777777">
      <w:bookmarkStart w:id="2" w:name="_GoBack"/>
      <w:bookmarkEnd w:id="2"/>
    </w:p>
    <w:p w:rsidR="004C3C71" w:rsidP="004C3C71" w14:paraId="70BB80C6" w14:textId="77777777"/>
    <w:p w:rsidR="004C3C71" w:rsidP="004C3C71" w14:paraId="64482A2F" w14:textId="77777777">
      <w:pPr>
        <w:jc w:val="center"/>
        <w:rPr>
          <w:rFonts w:ascii="Cambria Math" w:eastAsia="Cambria Math" w:hAnsi="Cambria Math" w:cs="Cambria Math"/>
        </w:rPr>
      </w:pPr>
      <m:oMathPara>
        <m:oMath>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p</m:t>
              </m:r>
            </m:e>
            <m:sub>
              <m:r>
                <w:rPr>
                  <w:rFonts w:ascii="Cambria Math" w:eastAsia="Cambria Math" w:hAnsi="Cambria Math" w:cs="Cambria Math"/>
                  <w:color w:val="000000"/>
                  <w:sz w:val="20"/>
                  <w:szCs w:val="20"/>
                </w:rPr>
                <m:t>hij</m:t>
              </m:r>
            </m:sub>
          </m:sSub>
          <m:r>
            <w:rPr>
              <w:rFonts w:ascii="Cambria Math" w:eastAsia="Cambria Math" w:hAnsi="Cambria Math" w:cs="Cambria Math"/>
              <w:color w:val="000000"/>
              <w:sz w:val="20"/>
              <w:szCs w:val="20"/>
            </w:rPr>
            <m:t>=</m:t>
          </m:r>
          <m:r>
            <w:rPr>
              <w:rFonts w:ascii="Cambria Math" w:eastAsia="Cambria Math" w:hAnsi="Cambria Math" w:cs="Cambria Math"/>
            </w:rPr>
            <m:t>{</m:t>
          </m:r>
          <m:r>
            <w:rPr>
              <w:rFonts w:ascii="Cambria Math" w:eastAsia="Cambria Math" w:hAnsi="Cambria Math" w:cs="Cambria Math"/>
              <w:color w:val="000000"/>
              <w:sz w:val="20"/>
              <w:szCs w:val="20"/>
            </w:rPr>
            <m:t>1, resident intercept</m:t>
          </m:r>
          <m:r>
            <w:rPr>
              <w:rFonts w:ascii="Cambria Math" w:eastAsia="Cambria Math" w:hAnsi="Cambria Math" w:cs="Cambria Math"/>
            </w:rPr>
            <m:t xml:space="preserve"> and </m:t>
          </m:r>
          <m:r>
            <w:rPr>
              <w:rFonts w:ascii="Cambria Math" w:eastAsia="Cambria Math" w:hAnsi="Cambria Math" w:cs="Cambria Math"/>
              <w:color w:val="000000"/>
              <w:sz w:val="20"/>
              <w:szCs w:val="20"/>
            </w:rPr>
            <m:t>0, non-resident intercept</m:t>
          </m:r>
          <m:r>
            <w:rPr>
              <w:rFonts w:ascii="Cambria Math" w:eastAsia="Cambria Math" w:hAnsi="Cambria Math" w:cs="Cambria Math"/>
            </w:rPr>
            <m:t xml:space="preserve"> </m:t>
          </m:r>
        </m:oMath>
      </m:oMathPara>
    </w:p>
    <w:p w:rsidR="004C3C71" w:rsidP="004C3C71" w14:paraId="3F872976" w14:textId="77777777">
      <w:r>
        <w:t>and</w:t>
      </w:r>
    </w:p>
    <w:p w:rsidR="004C3C71" w:rsidP="004C3C71" w14:paraId="3F4E6C48" w14:textId="77777777">
      <w:pPr>
        <w:spacing w:line="240" w:lineRule="auto"/>
      </w:pPr>
    </w:p>
    <w:p w:rsidR="004C3C71" w:rsidP="004C3C71" w14:paraId="3E9CECE2" w14:textId="77777777">
      <w:pPr>
        <w:spacing w:line="240" w:lineRule="auto"/>
      </w:pPr>
    </w:p>
    <w:p w:rsidR="004C3C71" w:rsidP="004C3C71" w14:paraId="25387511" w14:textId="77777777">
      <w:pPr>
        <w:spacing w:line="240" w:lineRule="auto"/>
      </w:pPr>
    </w:p>
    <w:p w:rsidR="00037F0C" w:rsidP="004C3C71" w14:paraId="292F320C" w14:textId="01EFD449">
      <w:pPr>
        <w:jc w:val="center"/>
        <w:rPr>
          <w:rFonts w:ascii="Cambria Math" w:eastAsia="Cambria Math" w:hAnsi="Cambria Math" w:cs="Cambria Math"/>
          <w:vertAlign w:val="subscript"/>
        </w:rPr>
      </w:pPr>
      <m:oMathPara>
        <m:oMath>
          <m:acc>
            <m:accPr>
              <m:ctrlPr>
                <w:rPr>
                  <w:rFonts w:ascii="Cambria Math" w:eastAsia="Cambria Math" w:hAnsi="Cambria Math" w:cs="Cambria Math"/>
                </w:rPr>
              </m:ctrlPr>
            </m:accPr>
            <m:e>
              <m:r>
                <w:rPr>
                  <w:rFonts w:ascii="Cambria Math" w:eastAsia="Cambria Math" w:hAnsi="Cambria Math" w:cs="Cambria Math"/>
                </w:rPr>
                <m:t>V</m:t>
              </m:r>
            </m:e>
          </m:acc>
          <m:r>
            <w:rPr>
              <w:rFonts w:ascii="Cambria Math" w:eastAsia="Cambria Math" w:hAnsi="Cambria Math" w:cs="Cambria Math"/>
            </w:rPr>
            <m:t>(</m:t>
          </m:r>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p</m:t>
                  </m:r>
                </m:e>
              </m:acc>
            </m:e>
            <m:sub>
              <m:r>
                <w:rPr>
                  <w:rFonts w:ascii="Cambria Math" w:eastAsia="Cambria Math" w:hAnsi="Cambria Math" w:cs="Cambria Math"/>
                </w:rPr>
                <m:t>r</m:t>
              </m:r>
            </m:sub>
          </m:sSub>
          <m:r>
            <w:rPr>
              <w:rFonts w:ascii="Cambria Math" w:eastAsia="Cambria Math" w:hAnsi="Cambria Math" w:cs="Cambria Math"/>
            </w:rPr>
            <m:t>)</m:t>
          </m:r>
          <m:r>
            <w:rPr>
              <w:rFonts w:ascii="Cambria Math" w:eastAsia="Cambria Math" w:hAnsi="Cambria Math" w:cs="Cambria Math"/>
              <w:vertAlign w:val="subscript"/>
            </w:rPr>
            <m:t>=</m:t>
          </m:r>
          <m:nary>
            <m:naryPr>
              <m:chr m:val="∑"/>
              <m:limLoc m:val="undOvr"/>
              <m:supHide/>
              <m:ctrlPr>
                <w:rPr>
                  <w:rFonts w:ascii="Cambria Math" w:eastAsia="Cambria Math" w:hAnsi="Cambria Math" w:cs="Cambria Math"/>
                  <w:i/>
                  <w:sz w:val="22"/>
                  <w:szCs w:val="22"/>
                  <w:vertAlign w:val="subscript"/>
                </w:rPr>
              </m:ctrlPr>
            </m:naryPr>
            <m:sub>
              <m:r>
                <w:rPr>
                  <w:rFonts w:ascii="Cambria Math" w:eastAsia="Cambria Math" w:hAnsi="Cambria Math" w:cs="Cambria Math"/>
                  <w:sz w:val="22"/>
                  <w:szCs w:val="22"/>
                  <w:vertAlign w:val="subscript"/>
                </w:rPr>
                <m:t>h</m:t>
              </m:r>
            </m:sub>
            <m:sup/>
            <m:e>
              <m:f>
                <m:fPr>
                  <m:ctrlPr>
                    <w:rPr>
                      <w:rFonts w:ascii="Cambria Math" w:eastAsia="Cambria Math" w:hAnsi="Cambria Math" w:cs="Cambria Math"/>
                      <w:vertAlign w:val="subscript"/>
                    </w:rPr>
                  </m:ctrlPr>
                </m:fPr>
                <m:num>
                  <m:sSub>
                    <m:sSubPr>
                      <m:ctrlPr>
                        <w:rPr>
                          <w:rFonts w:ascii="Cambria Math" w:eastAsia="Cambria Math" w:hAnsi="Cambria Math" w:cs="Cambria Math"/>
                          <w:vertAlign w:val="subscript"/>
                        </w:rPr>
                      </m:ctrlPr>
                    </m:sSubPr>
                    <m:e>
                      <m:r>
                        <w:rPr>
                          <w:rFonts w:ascii="Cambria Math" w:eastAsia="Cambria Math" w:hAnsi="Cambria Math" w:cs="Cambria Math"/>
                          <w:vertAlign w:val="subscript"/>
                        </w:rPr>
                        <m:t>n</m:t>
                      </m:r>
                    </m:e>
                    <m:sub>
                      <m:r>
                        <w:rPr>
                          <w:rFonts w:ascii="Cambria Math" w:eastAsia="Cambria Math" w:hAnsi="Cambria Math" w:cs="Cambria Math"/>
                          <w:vertAlign w:val="subscript"/>
                        </w:rPr>
                        <m:t>h</m:t>
                      </m:r>
                    </m:sub>
                  </m:sSub>
                </m:num>
                <m:den>
                  <m:sSub>
                    <m:sSubPr>
                      <m:ctrlPr>
                        <w:rPr>
                          <w:rFonts w:ascii="Cambria Math" w:eastAsia="Cambria Math" w:hAnsi="Cambria Math" w:cs="Cambria Math"/>
                          <w:vertAlign w:val="subscript"/>
                        </w:rPr>
                      </m:ctrlPr>
                    </m:sSubPr>
                    <m:e>
                      <m:r>
                        <w:rPr>
                          <w:rFonts w:ascii="Cambria Math" w:eastAsia="Cambria Math" w:hAnsi="Cambria Math" w:cs="Cambria Math"/>
                          <w:vertAlign w:val="subscript"/>
                        </w:rPr>
                        <m:t>n</m:t>
                      </m:r>
                    </m:e>
                    <m:sub>
                      <m:r>
                        <w:rPr>
                          <w:rFonts w:ascii="Cambria Math" w:eastAsia="Cambria Math" w:hAnsi="Cambria Math" w:cs="Cambria Math"/>
                          <w:vertAlign w:val="subscript"/>
                        </w:rPr>
                        <m:t>h</m:t>
                      </m:r>
                    </m:sub>
                  </m:sSub>
                  <m:r>
                    <w:rPr>
                      <w:rFonts w:ascii="Cambria Math" w:eastAsia="Cambria Math" w:hAnsi="Cambria Math" w:cs="Cambria Math"/>
                      <w:vertAlign w:val="subscript"/>
                    </w:rPr>
                    <m:t>-1</m:t>
                  </m:r>
                </m:den>
              </m:f>
              <m:nary>
                <m:naryPr>
                  <m:chr m:val="∑"/>
                  <m:limLoc m:val="undOvr"/>
                  <m:supHide/>
                  <m:ctrlPr>
                    <w:rPr>
                      <w:rFonts w:ascii="Cambria Math" w:eastAsia="Cambria Math" w:hAnsi="Cambria Math" w:cs="Cambria Math"/>
                      <w:i/>
                      <w:vertAlign w:val="subscript"/>
                    </w:rPr>
                  </m:ctrlPr>
                </m:naryPr>
                <m:sub>
                  <m:r>
                    <w:rPr>
                      <w:rFonts w:ascii="Cambria Math" w:eastAsia="Cambria Math" w:hAnsi="Cambria Math" w:cs="Cambria Math"/>
                      <w:vertAlign w:val="subscript"/>
                    </w:rPr>
                    <m:t>i</m:t>
                  </m:r>
                </m:sub>
                <m:sup/>
                <m:e>
                  <m:sSup>
                    <m:sSupPr>
                      <m:ctrlPr>
                        <w:rPr>
                          <w:rFonts w:ascii="Cambria Math" w:eastAsia="Cambria Math" w:hAnsi="Cambria Math" w:cs="Cambria Math"/>
                          <w:vertAlign w:val="subscript"/>
                        </w:rPr>
                      </m:ctrlPr>
                    </m:sSupPr>
                    <m:e>
                      <m:d>
                        <m:dPr>
                          <m:ctrlPr>
                            <w:rPr>
                              <w:rFonts w:ascii="Cambria Math" w:eastAsia="Cambria Math" w:hAnsi="Cambria Math" w:cs="Cambria Math"/>
                              <w:sz w:val="22"/>
                              <w:szCs w:val="22"/>
                              <w:vertAlign w:val="subscript"/>
                            </w:rPr>
                          </m:ctrlPr>
                        </m:dPr>
                        <m:e>
                          <m:f>
                            <m:fPr>
                              <m:ctrlPr>
                                <w:rPr>
                                  <w:rFonts w:ascii="Cambria Math" w:eastAsia="Cambria Math" w:hAnsi="Cambria Math" w:cs="Cambria Math"/>
                                  <w:sz w:val="22"/>
                                  <w:szCs w:val="22"/>
                                  <w:vertAlign w:val="subscript"/>
                                </w:rPr>
                              </m:ctrlPr>
                            </m:fPr>
                            <m:num>
                              <m:d>
                                <m:dPr>
                                  <m:ctrlPr>
                                    <w:rPr>
                                      <w:rFonts w:ascii="Cambria Math" w:eastAsia="Cambria Math" w:hAnsi="Cambria Math" w:cs="Cambria Math"/>
                                      <w:sz w:val="22"/>
                                      <w:szCs w:val="22"/>
                                      <w:vertAlign w:val="subscript"/>
                                    </w:rPr>
                                  </m:ctrlPr>
                                </m:dPr>
                                <m:e>
                                  <m:nary>
                                    <m:naryPr>
                                      <m:chr m:val="∑"/>
                                      <m:limLoc m:val="subSup"/>
                                      <m:supHide/>
                                      <m:ctrlPr>
                                        <w:rPr>
                                          <w:rFonts w:ascii="Cambria Math" w:eastAsia="Cambria Math" w:hAnsi="Cambria Math" w:cs="Cambria Math"/>
                                          <w:i/>
                                          <w:sz w:val="22"/>
                                          <w:szCs w:val="22"/>
                                          <w:vertAlign w:val="subscript"/>
                                        </w:rPr>
                                      </m:ctrlPr>
                                    </m:naryPr>
                                    <m:sub>
                                      <m:r>
                                        <w:rPr>
                                          <w:rFonts w:ascii="Cambria Math" w:eastAsia="Cambria Math" w:hAnsi="Cambria Math" w:cs="Cambria Math"/>
                                          <w:sz w:val="22"/>
                                          <w:szCs w:val="22"/>
                                          <w:vertAlign w:val="subscript"/>
                                        </w:rPr>
                                        <m:t>j</m:t>
                                      </m:r>
                                    </m:sub>
                                    <m:sup/>
                                    <m:e>
                                      <m:sSub>
                                        <m:sSubPr>
                                          <m:ctrlPr>
                                            <w:rPr>
                                              <w:rFonts w:ascii="Cambria Math" w:eastAsia="Cambria Math" w:hAnsi="Cambria Math" w:cs="Cambria Math"/>
                                              <w:sz w:val="22"/>
                                              <w:szCs w:val="22"/>
                                              <w:vertAlign w:val="subscript"/>
                                            </w:rPr>
                                          </m:ctrlPr>
                                        </m:sSubPr>
                                        <m:e>
                                          <m:r>
                                            <w:rPr>
                                              <w:rFonts w:ascii="Cambria Math" w:eastAsia="Cambria Math" w:hAnsi="Cambria Math" w:cs="Cambria Math"/>
                                              <w:sz w:val="22"/>
                                              <w:szCs w:val="22"/>
                                              <w:vertAlign w:val="subscript"/>
                                            </w:rPr>
                                            <m:t>w</m:t>
                                          </m:r>
                                        </m:e>
                                        <m:sub>
                                          <m:r>
                                            <w:rPr>
                                              <w:rFonts w:ascii="Cambria Math" w:eastAsia="Cambria Math" w:hAnsi="Cambria Math" w:cs="Cambria Math"/>
                                              <w:sz w:val="22"/>
                                              <w:szCs w:val="22"/>
                                              <w:vertAlign w:val="subscript"/>
                                            </w:rPr>
                                            <m:t>hij</m:t>
                                          </m:r>
                                        </m:sub>
                                      </m:sSub>
                                      <m:d>
                                        <m:dPr>
                                          <m:ctrlPr>
                                            <w:rPr>
                                              <w:rFonts w:ascii="Cambria Math" w:eastAsia="Cambria Math" w:hAnsi="Cambria Math" w:cs="Cambria Math"/>
                                              <w:sz w:val="22"/>
                                              <w:szCs w:val="22"/>
                                              <w:vertAlign w:val="subscript"/>
                                            </w:rPr>
                                          </m:ctrlPr>
                                        </m:dPr>
                                        <m:e>
                                          <m:sSub>
                                            <m:sSubPr>
                                              <m:ctrlPr>
                                                <w:rPr>
                                                  <w:rFonts w:ascii="Cambria Math" w:eastAsia="Cambria Math" w:hAnsi="Cambria Math" w:cs="Cambria Math"/>
                                                  <w:sz w:val="22"/>
                                                  <w:szCs w:val="22"/>
                                                  <w:vertAlign w:val="subscript"/>
                                                </w:rPr>
                                              </m:ctrlPr>
                                            </m:sSubPr>
                                            <m:e>
                                              <m:r>
                                                <w:rPr>
                                                  <w:rFonts w:ascii="Cambria Math" w:eastAsia="Cambria Math" w:hAnsi="Cambria Math" w:cs="Cambria Math"/>
                                                  <w:sz w:val="22"/>
                                                  <w:szCs w:val="22"/>
                                                  <w:vertAlign w:val="subscript"/>
                                                </w:rPr>
                                                <m:t>p</m:t>
                                              </m:r>
                                            </m:e>
                                            <m:sub>
                                              <m:r>
                                                <w:rPr>
                                                  <w:rFonts w:ascii="Cambria Math" w:eastAsia="Cambria Math" w:hAnsi="Cambria Math" w:cs="Cambria Math"/>
                                                  <w:sz w:val="22"/>
                                                  <w:szCs w:val="22"/>
                                                  <w:vertAlign w:val="subscript"/>
                                                </w:rPr>
                                                <m:t>hij</m:t>
                                              </m:r>
                                            </m:sub>
                                          </m:sSub>
                                          <m:r>
                                            <w:rPr>
                                              <w:rFonts w:ascii="Cambria Math" w:eastAsia="Cambria Math" w:hAnsi="Cambria Math" w:cs="Cambria Math"/>
                                              <w:sz w:val="22"/>
                                              <w:szCs w:val="22"/>
                                              <w:vertAlign w:val="subscript"/>
                                            </w:rPr>
                                            <m:t>-</m:t>
                                          </m:r>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p</m:t>
                                                  </m:r>
                                                </m:e>
                                              </m:acc>
                                            </m:e>
                                            <m:sub>
                                              <m:r>
                                                <w:rPr>
                                                  <w:rFonts w:ascii="Cambria Math" w:eastAsia="Cambria Math" w:hAnsi="Cambria Math" w:cs="Cambria Math"/>
                                                </w:rPr>
                                                <m:t>r</m:t>
                                              </m:r>
                                            </m:sub>
                                          </m:sSub>
                                        </m:e>
                                      </m:d>
                                    </m:e>
                                  </m:nary>
                                </m:e>
                              </m:d>
                            </m:num>
                            <m:den>
                              <m:nary>
                                <m:naryPr>
                                  <m:chr m:val="∑"/>
                                  <m:limLoc m:val="subSup"/>
                                  <m:supHide/>
                                  <m:ctrlPr>
                                    <w:rPr>
                                      <w:rFonts w:ascii="Cambria Math" w:eastAsia="Cambria Math" w:hAnsi="Cambria Math" w:cs="Cambria Math"/>
                                      <w:i/>
                                    </w:rPr>
                                  </m:ctrlPr>
                                </m:naryPr>
                                <m:sub>
                                  <m:r>
                                    <w:rPr>
                                      <w:rFonts w:ascii="Cambria Math" w:eastAsia="Cambria Math" w:hAnsi="Cambria Math" w:cs="Cambria Math"/>
                                    </w:rPr>
                                    <m:t>h</m:t>
                                  </m:r>
                                </m:sub>
                                <m:sup/>
                                <m:e>
                                  <m:nary>
                                    <m:naryPr>
                                      <m:chr m:val="∑"/>
                                      <m:limLoc m:val="undOvr"/>
                                      <m:supHide/>
                                      <m:ctrlPr>
                                        <w:rPr>
                                          <w:rFonts w:ascii="Cambria Math" w:eastAsia="Cambria Math" w:hAnsi="Cambria Math" w:cs="Cambria Math"/>
                                          <w:i/>
                                        </w:rPr>
                                      </m:ctrlPr>
                                    </m:naryPr>
                                    <m:sub>
                                      <m:r>
                                        <w:rPr>
                                          <w:rFonts w:ascii="Cambria Math" w:eastAsia="Cambria Math" w:hAnsi="Cambria Math" w:cs="Cambria Math"/>
                                        </w:rPr>
                                        <m:t>i</m:t>
                                      </m:r>
                                    </m:sub>
                                    <m:sup/>
                                    <m:e>
                                      <m:nary>
                                        <m:naryPr>
                                          <m:chr m:val="∑"/>
                                          <m:limLoc m:val="subSup"/>
                                          <m:supHide/>
                                          <m:ctrlPr>
                                            <w:rPr>
                                              <w:rFonts w:ascii="Cambria Math" w:eastAsia="Cambria Math" w:hAnsi="Cambria Math" w:cs="Cambria Math"/>
                                              <w:i/>
                                            </w:rPr>
                                          </m:ctrlPr>
                                        </m:naryPr>
                                        <m:sub>
                                          <m:r>
                                            <w:rPr>
                                              <w:rFonts w:ascii="Cambria Math" w:eastAsia="Cambria Math" w:hAnsi="Cambria Math" w:cs="Cambria Math"/>
                                            </w:rPr>
                                            <m:t>j</m:t>
                                          </m:r>
                                        </m:sub>
                                        <m:sup/>
                                        <m:e>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hij</m:t>
                                              </m:r>
                                            </m:sub>
                                          </m:sSub>
                                        </m:e>
                                      </m:nary>
                                    </m:e>
                                  </m:nary>
                                </m:e>
                              </m:nary>
                            </m:den>
                          </m:f>
                          <m:r>
                            <w:rPr>
                              <w:rFonts w:ascii="Cambria Math" w:eastAsia="Cambria Math" w:hAnsi="Cambria Math" w:cs="Cambria Math"/>
                              <w:sz w:val="22"/>
                              <w:szCs w:val="22"/>
                              <w:vertAlign w:val="subscript"/>
                            </w:rPr>
                            <m:t>-</m:t>
                          </m:r>
                          <m:nary>
                            <m:naryPr>
                              <m:chr m:val="∑"/>
                              <m:limLoc m:val="undOvr"/>
                              <m:supHide/>
                              <m:ctrlPr>
                                <w:rPr>
                                  <w:rFonts w:ascii="Cambria Math" w:eastAsia="Cambria Math" w:hAnsi="Cambria Math" w:cs="Cambria Math"/>
                                  <w:i/>
                                  <w:sz w:val="22"/>
                                  <w:szCs w:val="22"/>
                                  <w:vertAlign w:val="subscript"/>
                                </w:rPr>
                              </m:ctrlPr>
                            </m:naryPr>
                            <m:sub>
                              <m:r>
                                <w:rPr>
                                  <w:rFonts w:ascii="Cambria Math" w:eastAsia="Cambria Math" w:hAnsi="Cambria Math" w:cs="Cambria Math"/>
                                  <w:sz w:val="22"/>
                                  <w:szCs w:val="22"/>
                                  <w:vertAlign w:val="subscript"/>
                                </w:rPr>
                                <m:t>i</m:t>
                              </m:r>
                            </m:sub>
                            <m:sup/>
                            <m:e>
                              <m:f>
                                <m:fPr>
                                  <m:ctrlPr>
                                    <w:rPr>
                                      <w:rFonts w:ascii="Cambria Math" w:eastAsia="Cambria Math" w:hAnsi="Cambria Math" w:cs="Cambria Math"/>
                                      <w:sz w:val="22"/>
                                      <w:szCs w:val="22"/>
                                      <w:vertAlign w:val="subscript"/>
                                    </w:rPr>
                                  </m:ctrlPr>
                                </m:fPr>
                                <m:num>
                                  <m:d>
                                    <m:dPr>
                                      <m:ctrlPr>
                                        <w:rPr>
                                          <w:rFonts w:ascii="Cambria Math" w:eastAsia="Cambria Math" w:hAnsi="Cambria Math" w:cs="Cambria Math"/>
                                          <w:sz w:val="22"/>
                                          <w:szCs w:val="22"/>
                                          <w:vertAlign w:val="subscript"/>
                                        </w:rPr>
                                      </m:ctrlPr>
                                    </m:dPr>
                                    <m:e>
                                      <m:f>
                                        <m:fPr>
                                          <m:ctrlPr>
                                            <w:rPr>
                                              <w:rFonts w:ascii="Cambria Math" w:eastAsia="Cambria Math" w:hAnsi="Cambria Math" w:cs="Cambria Math"/>
                                              <w:sz w:val="22"/>
                                              <w:szCs w:val="22"/>
                                              <w:vertAlign w:val="subscript"/>
                                            </w:rPr>
                                          </m:ctrlPr>
                                        </m:fPr>
                                        <m:num>
                                          <m:d>
                                            <m:dPr>
                                              <m:ctrlPr>
                                                <w:rPr>
                                                  <w:rFonts w:ascii="Cambria Math" w:eastAsia="Cambria Math" w:hAnsi="Cambria Math" w:cs="Cambria Math"/>
                                                  <w:sz w:val="22"/>
                                                  <w:szCs w:val="22"/>
                                                  <w:vertAlign w:val="subscript"/>
                                                </w:rPr>
                                              </m:ctrlPr>
                                            </m:dPr>
                                            <m:e>
                                              <m:nary>
                                                <m:naryPr>
                                                  <m:chr m:val="∑"/>
                                                  <m:limLoc m:val="subSup"/>
                                                  <m:supHide/>
                                                  <m:ctrlPr>
                                                    <w:rPr>
                                                      <w:rFonts w:ascii="Cambria Math" w:eastAsia="Cambria Math" w:hAnsi="Cambria Math" w:cs="Cambria Math"/>
                                                      <w:i/>
                                                      <w:sz w:val="22"/>
                                                      <w:szCs w:val="22"/>
                                                      <w:vertAlign w:val="subscript"/>
                                                    </w:rPr>
                                                  </m:ctrlPr>
                                                </m:naryPr>
                                                <m:sub>
                                                  <m:r>
                                                    <w:rPr>
                                                      <w:rFonts w:ascii="Cambria Math" w:eastAsia="Cambria Math" w:hAnsi="Cambria Math" w:cs="Cambria Math"/>
                                                      <w:sz w:val="22"/>
                                                      <w:szCs w:val="22"/>
                                                      <w:vertAlign w:val="subscript"/>
                                                    </w:rPr>
                                                    <m:t>j</m:t>
                                                  </m:r>
                                                </m:sub>
                                                <m:sup/>
                                                <m:e>
                                                  <m:sSub>
                                                    <m:sSubPr>
                                                      <m:ctrlPr>
                                                        <w:rPr>
                                                          <w:rFonts w:ascii="Cambria Math" w:eastAsia="Cambria Math" w:hAnsi="Cambria Math" w:cs="Cambria Math"/>
                                                          <w:sz w:val="22"/>
                                                          <w:szCs w:val="22"/>
                                                          <w:vertAlign w:val="subscript"/>
                                                        </w:rPr>
                                                      </m:ctrlPr>
                                                    </m:sSubPr>
                                                    <m:e>
                                                      <m:r>
                                                        <w:rPr>
                                                          <w:rFonts w:ascii="Cambria Math" w:eastAsia="Cambria Math" w:hAnsi="Cambria Math" w:cs="Cambria Math"/>
                                                          <w:sz w:val="22"/>
                                                          <w:szCs w:val="22"/>
                                                          <w:vertAlign w:val="subscript"/>
                                                        </w:rPr>
                                                        <m:t>w</m:t>
                                                      </m:r>
                                                    </m:e>
                                                    <m:sub>
                                                      <m:r>
                                                        <w:rPr>
                                                          <w:rFonts w:ascii="Cambria Math" w:eastAsia="Cambria Math" w:hAnsi="Cambria Math" w:cs="Cambria Math"/>
                                                          <w:sz w:val="22"/>
                                                          <w:szCs w:val="22"/>
                                                          <w:vertAlign w:val="subscript"/>
                                                        </w:rPr>
                                                        <m:t>hij</m:t>
                                                      </m:r>
                                                    </m:sub>
                                                  </m:sSub>
                                                  <m:d>
                                                    <m:dPr>
                                                      <m:ctrlPr>
                                                        <w:rPr>
                                                          <w:rFonts w:ascii="Cambria Math" w:eastAsia="Cambria Math" w:hAnsi="Cambria Math" w:cs="Cambria Math"/>
                                                          <w:sz w:val="22"/>
                                                          <w:szCs w:val="22"/>
                                                          <w:vertAlign w:val="subscript"/>
                                                        </w:rPr>
                                                      </m:ctrlPr>
                                                    </m:dPr>
                                                    <m:e>
                                                      <m:sSub>
                                                        <m:sSubPr>
                                                          <m:ctrlPr>
                                                            <w:rPr>
                                                              <w:rFonts w:ascii="Cambria Math" w:eastAsia="Cambria Math" w:hAnsi="Cambria Math" w:cs="Cambria Math"/>
                                                              <w:sz w:val="22"/>
                                                              <w:szCs w:val="22"/>
                                                              <w:vertAlign w:val="subscript"/>
                                                            </w:rPr>
                                                          </m:ctrlPr>
                                                        </m:sSubPr>
                                                        <m:e>
                                                          <m:r>
                                                            <w:rPr>
                                                              <w:rFonts w:ascii="Cambria Math" w:eastAsia="Cambria Math" w:hAnsi="Cambria Math" w:cs="Cambria Math"/>
                                                              <w:sz w:val="22"/>
                                                              <w:szCs w:val="22"/>
                                                              <w:vertAlign w:val="subscript"/>
                                                            </w:rPr>
                                                            <m:t>p</m:t>
                                                          </m:r>
                                                        </m:e>
                                                        <m:sub>
                                                          <m:r>
                                                            <w:rPr>
                                                              <w:rFonts w:ascii="Cambria Math" w:eastAsia="Cambria Math" w:hAnsi="Cambria Math" w:cs="Cambria Math"/>
                                                              <w:sz w:val="22"/>
                                                              <w:szCs w:val="22"/>
                                                              <w:vertAlign w:val="subscript"/>
                                                            </w:rPr>
                                                            <m:t>hij</m:t>
                                                          </m:r>
                                                        </m:sub>
                                                      </m:sSub>
                                                      <m:r>
                                                        <w:rPr>
                                                          <w:rFonts w:ascii="Cambria Math" w:eastAsia="Cambria Math" w:hAnsi="Cambria Math" w:cs="Cambria Math"/>
                                                          <w:sz w:val="22"/>
                                                          <w:szCs w:val="22"/>
                                                          <w:vertAlign w:val="subscript"/>
                                                        </w:rPr>
                                                        <m:t>-</m:t>
                                                      </m:r>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p</m:t>
                                                              </m:r>
                                                            </m:e>
                                                          </m:acc>
                                                        </m:e>
                                                        <m:sub>
                                                          <m:r>
                                                            <w:rPr>
                                                              <w:rFonts w:ascii="Cambria Math" w:eastAsia="Cambria Math" w:hAnsi="Cambria Math" w:cs="Cambria Math"/>
                                                            </w:rPr>
                                                            <m:t>r</m:t>
                                                          </m:r>
                                                        </m:sub>
                                                      </m:sSub>
                                                    </m:e>
                                                  </m:d>
                                                </m:e>
                                              </m:nary>
                                            </m:e>
                                          </m:d>
                                        </m:num>
                                        <m:den>
                                          <m:nary>
                                            <m:naryPr>
                                              <m:chr m:val="∑"/>
                                              <m:limLoc m:val="subSup"/>
                                              <m:supHide/>
                                              <m:ctrlPr>
                                                <w:rPr>
                                                  <w:rFonts w:ascii="Cambria Math" w:eastAsia="Cambria Math" w:hAnsi="Cambria Math" w:cs="Cambria Math"/>
                                                  <w:i/>
                                                </w:rPr>
                                              </m:ctrlPr>
                                            </m:naryPr>
                                            <m:sub>
                                              <m:r>
                                                <w:rPr>
                                                  <w:rFonts w:ascii="Cambria Math" w:eastAsia="Cambria Math" w:hAnsi="Cambria Math" w:cs="Cambria Math"/>
                                                </w:rPr>
                                                <m:t>h</m:t>
                                              </m:r>
                                            </m:sub>
                                            <m:sup/>
                                            <m:e>
                                              <m:nary>
                                                <m:naryPr>
                                                  <m:chr m:val="∑"/>
                                                  <m:limLoc m:val="undOvr"/>
                                                  <m:supHide/>
                                                  <m:ctrlPr>
                                                    <w:rPr>
                                                      <w:rFonts w:ascii="Cambria Math" w:eastAsia="Cambria Math" w:hAnsi="Cambria Math" w:cs="Cambria Math"/>
                                                      <w:i/>
                                                    </w:rPr>
                                                  </m:ctrlPr>
                                                </m:naryPr>
                                                <m:sub>
                                                  <m:r>
                                                    <w:rPr>
                                                      <w:rFonts w:ascii="Cambria Math" w:eastAsia="Cambria Math" w:hAnsi="Cambria Math" w:cs="Cambria Math"/>
                                                    </w:rPr>
                                                    <m:t>i</m:t>
                                                  </m:r>
                                                </m:sub>
                                                <m:sup/>
                                                <m:e>
                                                  <m:nary>
                                                    <m:naryPr>
                                                      <m:chr m:val="∑"/>
                                                      <m:limLoc m:val="subSup"/>
                                                      <m:supHide/>
                                                      <m:ctrlPr>
                                                        <w:rPr>
                                                          <w:rFonts w:ascii="Cambria Math" w:eastAsia="Cambria Math" w:hAnsi="Cambria Math" w:cs="Cambria Math"/>
                                                          <w:i/>
                                                        </w:rPr>
                                                      </m:ctrlPr>
                                                    </m:naryPr>
                                                    <m:sub>
                                                      <m:r>
                                                        <w:rPr>
                                                          <w:rFonts w:ascii="Cambria Math" w:eastAsia="Cambria Math" w:hAnsi="Cambria Math" w:cs="Cambria Math"/>
                                                        </w:rPr>
                                                        <m:t>j</m:t>
                                                      </m:r>
                                                    </m:sub>
                                                    <m:sup/>
                                                    <m:e>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hij</m:t>
                                                          </m:r>
                                                        </m:sub>
                                                      </m:sSub>
                                                    </m:e>
                                                  </m:nary>
                                                </m:e>
                                              </m:nary>
                                            </m:e>
                                          </m:nary>
                                        </m:den>
                                      </m:f>
                                    </m:e>
                                  </m:d>
                                </m:num>
                                <m:den>
                                  <m:sSub>
                                    <m:sSubPr>
                                      <m:ctrlPr>
                                        <w:rPr>
                                          <w:rFonts w:ascii="Cambria Math" w:eastAsia="Cambria Math" w:hAnsi="Cambria Math" w:cs="Cambria Math"/>
                                          <w:sz w:val="22"/>
                                          <w:szCs w:val="22"/>
                                          <w:vertAlign w:val="subscript"/>
                                        </w:rPr>
                                      </m:ctrlPr>
                                    </m:sSubPr>
                                    <m:e>
                                      <m:r>
                                        <w:rPr>
                                          <w:rFonts w:ascii="Cambria Math" w:eastAsia="Cambria Math" w:hAnsi="Cambria Math" w:cs="Cambria Math"/>
                                          <w:sz w:val="22"/>
                                          <w:szCs w:val="22"/>
                                          <w:vertAlign w:val="subscript"/>
                                        </w:rPr>
                                        <m:t>n</m:t>
                                      </m:r>
                                    </m:e>
                                    <m:sub>
                                      <m:r>
                                        <w:rPr>
                                          <w:rFonts w:ascii="Cambria Math" w:eastAsia="Cambria Math" w:hAnsi="Cambria Math" w:cs="Cambria Math"/>
                                          <w:sz w:val="22"/>
                                          <w:szCs w:val="22"/>
                                          <w:vertAlign w:val="subscript"/>
                                        </w:rPr>
                                        <m:t>h</m:t>
                                      </m:r>
                                    </m:sub>
                                  </m:sSub>
                                </m:den>
                              </m:f>
                            </m:e>
                          </m:nary>
                        </m:e>
                      </m:d>
                    </m:e>
                    <m:sup>
                      <m:r>
                        <w:rPr>
                          <w:rFonts w:ascii="Cambria Math" w:eastAsia="Cambria Math" w:hAnsi="Cambria Math" w:cs="Cambria Math"/>
                          <w:vertAlign w:val="subscript"/>
                        </w:rPr>
                        <m:t>2</m:t>
                      </m:r>
                    </m:sup>
                  </m:sSup>
                </m:e>
              </m:nary>
            </m:e>
          </m:nary>
        </m:oMath>
      </m:oMathPara>
    </w:p>
    <w:p w:rsidR="00037F0C" w14:paraId="129FC51D" w14:textId="77777777">
      <w:pPr>
        <w:widowControl w:val="0"/>
        <w:pBdr>
          <w:top w:val="nil"/>
          <w:left w:val="nil"/>
          <w:bottom w:val="nil"/>
          <w:right w:val="nil"/>
          <w:between w:val="nil"/>
        </w:pBdr>
        <w:spacing w:line="240" w:lineRule="auto"/>
        <w:ind w:right="130"/>
        <w:rPr>
          <w:b/>
          <w:color w:val="000000"/>
        </w:rPr>
      </w:pPr>
    </w:p>
    <w:p w:rsidR="00037F0C" w14:paraId="16599958" w14:textId="77777777">
      <w:pPr>
        <w:widowControl w:val="0"/>
        <w:pBdr>
          <w:top w:val="nil"/>
          <w:left w:val="nil"/>
          <w:bottom w:val="nil"/>
          <w:right w:val="nil"/>
          <w:between w:val="nil"/>
        </w:pBdr>
        <w:spacing w:line="240" w:lineRule="auto"/>
        <w:ind w:right="130"/>
        <w:rPr>
          <w:b/>
          <w:color w:val="000000"/>
        </w:rPr>
      </w:pPr>
      <w:r>
        <w:rPr>
          <w:b/>
          <w:color w:val="000000"/>
        </w:rPr>
        <w:t xml:space="preserve">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 </w:t>
      </w:r>
    </w:p>
    <w:p w:rsidR="00037F0C" w14:paraId="065C741A" w14:textId="77777777">
      <w:pPr>
        <w:widowControl w:val="0"/>
        <w:pBdr>
          <w:top w:val="nil"/>
          <w:left w:val="nil"/>
          <w:bottom w:val="nil"/>
          <w:right w:val="nil"/>
          <w:between w:val="nil"/>
        </w:pBdr>
        <w:spacing w:line="240" w:lineRule="auto"/>
        <w:rPr>
          <w:color w:val="000000"/>
        </w:rPr>
      </w:pPr>
    </w:p>
    <w:p w:rsidR="00037F0C" w14:paraId="23DEC697" w14:textId="77777777">
      <w:pPr>
        <w:pBdr>
          <w:top w:val="nil"/>
          <w:left w:val="nil"/>
          <w:bottom w:val="nil"/>
          <w:right w:val="nil"/>
          <w:between w:val="nil"/>
        </w:pBdr>
        <w:tabs>
          <w:tab w:val="left" w:pos="1152"/>
        </w:tabs>
        <w:spacing w:line="240" w:lineRule="auto"/>
        <w:rPr>
          <w:color w:val="000000"/>
        </w:rPr>
      </w:pPr>
      <w:r>
        <w:rPr>
          <w:color w:val="000000"/>
        </w:rPr>
        <w:t>Previous administrations of the FES resulted in response rates ranging from 25-40%.  We expect a similar response for future administrations of the survey.</w:t>
      </w:r>
    </w:p>
    <w:p w:rsidR="00037F0C" w14:paraId="34754AB9" w14:textId="77777777">
      <w:pPr>
        <w:pBdr>
          <w:top w:val="nil"/>
          <w:left w:val="nil"/>
          <w:bottom w:val="nil"/>
          <w:right w:val="nil"/>
          <w:between w:val="nil"/>
        </w:pBdr>
        <w:tabs>
          <w:tab w:val="left" w:pos="1152"/>
        </w:tabs>
        <w:spacing w:line="240" w:lineRule="auto"/>
        <w:rPr>
          <w:color w:val="000000"/>
        </w:rPr>
      </w:pPr>
    </w:p>
    <w:p w:rsidR="00037F0C" w14:paraId="12C07A12" w14:textId="77777777">
      <w:pPr>
        <w:pBdr>
          <w:top w:val="nil"/>
          <w:left w:val="nil"/>
          <w:bottom w:val="nil"/>
          <w:right w:val="nil"/>
          <w:between w:val="nil"/>
        </w:pBdr>
        <w:tabs>
          <w:tab w:val="left" w:pos="1152"/>
        </w:tabs>
        <w:spacing w:line="240" w:lineRule="auto"/>
        <w:rPr>
          <w:color w:val="000000"/>
        </w:rPr>
      </w:pPr>
      <w:r>
        <w:rPr>
          <w:color w:val="000000"/>
        </w:rPr>
        <w:t xml:space="preserve">The expected response rates will be achieved by using standard mail survey protocols (Dillman et al, 2008).  An initial mailing will include an introductory letter stating the purpose of the survey, the survey questionnaire, a business reply envelope, and a prepaid, $2.00 cash incentive.  During testing of the FES design, a $2.00 incentive was found to be optimal in terms of </w:t>
      </w:r>
      <w:r>
        <w:rPr>
          <w:color w:val="000000"/>
        </w:rPr>
        <w:t xml:space="preserve">maximizing response and minimizing data collection costs.  A thank-you/reminder postcard will be administered to all sample units one week following the initial mailing.  A final mailing, including a second questionnaire, a nonresponse conversion letter, and a business reply envelope will be sent to all nonrespondents three weeks after the initial mailing.  </w:t>
      </w:r>
    </w:p>
    <w:p w:rsidR="00037F0C" w14:paraId="7D17B65D" w14:textId="77777777">
      <w:pPr>
        <w:pBdr>
          <w:top w:val="nil"/>
          <w:left w:val="nil"/>
          <w:bottom w:val="nil"/>
          <w:right w:val="nil"/>
          <w:between w:val="nil"/>
        </w:pBdr>
        <w:tabs>
          <w:tab w:val="left" w:pos="1152"/>
        </w:tabs>
        <w:spacing w:line="240" w:lineRule="auto"/>
        <w:rPr>
          <w:color w:val="000000"/>
        </w:rPr>
      </w:pPr>
    </w:p>
    <w:p w:rsidR="00037F0C" w14:paraId="11BC05F9" w14:textId="77777777">
      <w:pPr>
        <w:pBdr>
          <w:top w:val="nil"/>
          <w:left w:val="nil"/>
          <w:bottom w:val="nil"/>
          <w:right w:val="nil"/>
          <w:between w:val="nil"/>
        </w:pBdr>
        <w:tabs>
          <w:tab w:val="left" w:pos="1152"/>
        </w:tabs>
        <w:spacing w:line="240" w:lineRule="auto"/>
        <w:rPr>
          <w:color w:val="000000"/>
        </w:rPr>
      </w:pPr>
      <w:r>
        <w:rPr>
          <w:color w:val="000000"/>
        </w:rPr>
        <w:t>We will minimize nonresponse bias by using a questionnaire that maximizes responses by the entire sample population, including both fishing and non-fishing households.  Testing of the FES design included two versions of the survey instrument, a fishing-specific version and a more general version that included non-fishing questions.  The FES will utilize the more general “Weather and Outdoor Activity Survey” instrument, which provided the most representative sample of the general population during testing.</w:t>
      </w:r>
    </w:p>
    <w:p w:rsidR="00037F0C" w14:paraId="753DE26B" w14:textId="77777777">
      <w:pPr>
        <w:pBdr>
          <w:top w:val="nil"/>
          <w:left w:val="nil"/>
          <w:bottom w:val="nil"/>
          <w:right w:val="nil"/>
          <w:between w:val="nil"/>
        </w:pBdr>
        <w:tabs>
          <w:tab w:val="left" w:pos="1152"/>
        </w:tabs>
        <w:spacing w:line="240" w:lineRule="auto"/>
        <w:rPr>
          <w:color w:val="000000"/>
        </w:rPr>
      </w:pPr>
    </w:p>
    <w:p w:rsidR="00037F0C" w14:paraId="62240F37" w14:textId="77777777">
      <w:pPr>
        <w:pBdr>
          <w:top w:val="nil"/>
          <w:left w:val="nil"/>
          <w:bottom w:val="nil"/>
          <w:right w:val="nil"/>
          <w:between w:val="nil"/>
        </w:pBdr>
        <w:tabs>
          <w:tab w:val="left" w:pos="1152"/>
        </w:tabs>
        <w:spacing w:line="240" w:lineRule="auto"/>
        <w:rPr>
          <w:color w:val="000000"/>
        </w:rPr>
      </w:pPr>
      <w:r>
        <w:rPr>
          <w:color w:val="000000"/>
        </w:rPr>
        <w:t xml:space="preserve">FES testing also included a nonresponse follow-up study to assess nonresponse bias in the data collection design.  Each wave, 400 nonrespondents were sampled for the follow-up study.  Data collection for the nonresponse study was initiated six weeks after the final contact for the FES with the delivery of an advanced letter via regular first-class mail.  Five days later, a survey packet, including a cover letter, questionnaire (the same questionnaire used in the FES), post-paid return envelope, and a $5.00 cash incentive was delivered via FedEx (USPS Priority Mail was used where FedEx is unavailable).  A thank you/reminder postcard was delivered eight days after the FedEx.  </w:t>
      </w:r>
    </w:p>
    <w:p w:rsidR="00037F0C" w14:paraId="1C68A3FF" w14:textId="77777777">
      <w:pPr>
        <w:pBdr>
          <w:top w:val="nil"/>
          <w:left w:val="nil"/>
          <w:bottom w:val="nil"/>
          <w:right w:val="nil"/>
          <w:between w:val="nil"/>
        </w:pBdr>
        <w:tabs>
          <w:tab w:val="left" w:pos="1152"/>
        </w:tabs>
        <w:spacing w:line="240" w:lineRule="auto"/>
        <w:rPr>
          <w:color w:val="000000"/>
        </w:rPr>
      </w:pPr>
    </w:p>
    <w:p w:rsidR="00037F0C" w14:paraId="75684081" w14:textId="77777777">
      <w:pPr>
        <w:pBdr>
          <w:top w:val="nil"/>
          <w:left w:val="nil"/>
          <w:bottom w:val="nil"/>
          <w:right w:val="nil"/>
          <w:between w:val="nil"/>
        </w:pBdr>
        <w:tabs>
          <w:tab w:val="left" w:pos="1152"/>
        </w:tabs>
        <w:spacing w:line="240" w:lineRule="auto"/>
        <w:rPr>
          <w:rFonts w:ascii="Garamond" w:eastAsia="Garamond" w:hAnsi="Garamond" w:cs="Garamond"/>
          <w:color w:val="000000"/>
        </w:rPr>
      </w:pPr>
      <w:r>
        <w:rPr>
          <w:color w:val="000000"/>
        </w:rPr>
        <w:t>The nonresponse follow-up study achieved a 40% response rate, and respondents to the nonresponse follow-up study were not significantly different from FES respondents in terms of recreational fishing activity.  These findings suggest that nonresponse bias in the FES is minimal. A second nonresponse follow-up study was implemented in 2020 and found similar results – follow-up study respondents were not significantly different from FES respondents with respect to fishing activity (Andrews 2021).</w:t>
      </w:r>
    </w:p>
    <w:p w:rsidR="00037F0C" w14:paraId="3B7F9105" w14:textId="77777777">
      <w:pPr>
        <w:pBdr>
          <w:top w:val="nil"/>
          <w:left w:val="nil"/>
          <w:bottom w:val="nil"/>
          <w:right w:val="nil"/>
          <w:between w:val="nil"/>
        </w:pBdr>
        <w:tabs>
          <w:tab w:val="left" w:pos="1152"/>
        </w:tabs>
        <w:spacing w:line="240" w:lineRule="auto"/>
        <w:rPr>
          <w:color w:val="000000"/>
        </w:rPr>
      </w:pPr>
    </w:p>
    <w:p w:rsidR="00037F0C" w14:paraId="27EB45E8" w14:textId="77777777">
      <w:pPr>
        <w:pBdr>
          <w:top w:val="nil"/>
          <w:left w:val="nil"/>
          <w:bottom w:val="nil"/>
          <w:right w:val="nil"/>
          <w:between w:val="nil"/>
        </w:pBdr>
        <w:tabs>
          <w:tab w:val="left" w:pos="1152"/>
        </w:tabs>
        <w:spacing w:line="240" w:lineRule="auto"/>
        <w:rPr>
          <w:color w:val="000000"/>
        </w:rPr>
      </w:pPr>
      <w:r>
        <w:rPr>
          <w:color w:val="000000"/>
        </w:rPr>
        <w:t xml:space="preserve">Finally, the FES will use information from the sample frame to define weighting classes for nonresponse weighting adjustments (as described above).  Weighting classes are defined such that response rates and fishing activity are similar within classes.  Andrews et al. (2010) and Andrews (2021) describe the effect of weighting adjustments on reducing nonresponse bias.  </w:t>
      </w:r>
    </w:p>
    <w:p w:rsidR="00037F0C" w14:paraId="07E5AE00" w14:textId="77777777">
      <w:pPr>
        <w:pBdr>
          <w:top w:val="nil"/>
          <w:left w:val="nil"/>
          <w:bottom w:val="nil"/>
          <w:right w:val="nil"/>
          <w:between w:val="nil"/>
        </w:pBdr>
        <w:tabs>
          <w:tab w:val="left" w:pos="1152"/>
        </w:tabs>
        <w:spacing w:line="240" w:lineRule="auto"/>
        <w:rPr>
          <w:color w:val="000000"/>
        </w:rPr>
      </w:pPr>
    </w:p>
    <w:p w:rsidR="00037F0C" w14:paraId="1150EBE0" w14:textId="77777777">
      <w:pPr>
        <w:widowControl w:val="0"/>
        <w:pBdr>
          <w:top w:val="nil"/>
          <w:left w:val="nil"/>
          <w:bottom w:val="nil"/>
          <w:right w:val="nil"/>
          <w:between w:val="nil"/>
        </w:pBdr>
        <w:spacing w:line="240" w:lineRule="auto"/>
        <w:ind w:right="183"/>
        <w:rPr>
          <w:b/>
          <w:color w:val="000000"/>
        </w:rPr>
      </w:pPr>
      <w:r>
        <w:rPr>
          <w:b/>
          <w:color w:val="000000"/>
        </w:rPr>
        <w:t>4. Describe any tests of procedures or methods to be undertaken. Tests are encouraged as effective means to refine collections, but if ten or more test respondents are involved OMB must give prior approval.</w:t>
      </w:r>
    </w:p>
    <w:p w:rsidR="00037F0C" w14:paraId="6875BADA" w14:textId="77777777">
      <w:pPr>
        <w:widowControl w:val="0"/>
        <w:pBdr>
          <w:top w:val="nil"/>
          <w:left w:val="nil"/>
          <w:bottom w:val="nil"/>
          <w:right w:val="nil"/>
          <w:between w:val="nil"/>
        </w:pBdr>
        <w:spacing w:line="240" w:lineRule="auto"/>
        <w:ind w:right="183"/>
        <w:rPr>
          <w:b/>
          <w:color w:val="000000"/>
        </w:rPr>
      </w:pPr>
    </w:p>
    <w:p w:rsidR="00037F0C" w:rsidRPr="0006305D" w14:paraId="078E2C2B" w14:textId="77777777">
      <w:pPr>
        <w:widowControl w:val="0"/>
        <w:pBdr>
          <w:top w:val="nil"/>
          <w:left w:val="nil"/>
          <w:bottom w:val="nil"/>
          <w:right w:val="nil"/>
          <w:between w:val="nil"/>
        </w:pBdr>
        <w:spacing w:line="240" w:lineRule="auto"/>
        <w:rPr>
          <w:color w:val="000000"/>
        </w:rPr>
      </w:pPr>
      <w:r w:rsidRPr="0006305D">
        <w:rPr>
          <w:b/>
          <w:color w:val="000000"/>
        </w:rPr>
        <w:t xml:space="preserve">One-Month Wave Study:  </w:t>
      </w:r>
      <w:r w:rsidRPr="0006305D">
        <w:rPr>
          <w:color w:val="000000"/>
        </w:rPr>
        <w:t xml:space="preserve">In reviews of the Marine Recreational Information Program completed in 2017 and 2021, the National Academies of Sciences, Engineering, and Medicine (NAS) concluded that implementation of annual catch limits (ACL’s) is challenged by the lack of timeliness in survey data, resulting in lost fishing opportunities, and that two-month waves make it difficult for fishery managers to respond to changes in a fishery as they are happening.  The Modernizing Recreational Fisheries Management Act (MFA) of 2018 (P.L. 115-405) incorporated findings from the 2017 NAS review, requiring MRIP to consider its findings.  Transitioning to one-month waves in the FES would address NAS recommendations, as required by the Magnuson-Stevens Fishery Conservation and Management Reauthorization Act (MSRA) of 2006  (P.L. 109-479) and MFA, and increase the utility of the survey by supporting in-season </w:t>
      </w:r>
      <w:r w:rsidRPr="0006305D">
        <w:rPr>
          <w:color w:val="000000"/>
        </w:rPr>
        <w:t xml:space="preserve">management of fisheries.  </w:t>
      </w:r>
    </w:p>
    <w:p w:rsidR="00037F0C" w:rsidRPr="0006305D" w14:paraId="74412178" w14:textId="77777777">
      <w:pPr>
        <w:widowControl w:val="0"/>
        <w:pBdr>
          <w:top w:val="nil"/>
          <w:left w:val="nil"/>
          <w:bottom w:val="nil"/>
          <w:right w:val="nil"/>
          <w:between w:val="nil"/>
        </w:pBdr>
        <w:spacing w:line="240" w:lineRule="auto"/>
        <w:ind w:right="183"/>
        <w:rPr>
          <w:b/>
          <w:color w:val="000000"/>
        </w:rPr>
      </w:pPr>
    </w:p>
    <w:p w:rsidR="00037F0C" w:rsidRPr="0006305D" w14:paraId="01ADED1D" w14:textId="77777777">
      <w:pPr>
        <w:widowControl w:val="0"/>
        <w:pBdr>
          <w:top w:val="nil"/>
          <w:left w:val="nil"/>
          <w:bottom w:val="nil"/>
          <w:right w:val="nil"/>
          <w:between w:val="nil"/>
        </w:pBdr>
        <w:spacing w:line="240" w:lineRule="auto"/>
        <w:ind w:right="183"/>
        <w:rPr>
          <w:color w:val="000000"/>
        </w:rPr>
      </w:pPr>
      <w:r w:rsidRPr="0006305D">
        <w:rPr>
          <w:color w:val="000000"/>
        </w:rPr>
        <w:t xml:space="preserve">The one-month wave pilot study will be administered concurrently with the production FES to evaluate the impact of the revised reference period on measures of reported fishing activity and collect the data necessary to calibrate historical fishing effort estimates.  To account for possible geographic and temporal effects of questionnaire changes on reporting, as well as support state-level calibrations, the study will be conducted in all FES states (ME-MS and HI) for 12 consecutive months, beginning with January, 2024 and concluding with December, 2024.  </w:t>
      </w:r>
    </w:p>
    <w:p w:rsidR="00037F0C" w:rsidRPr="0006305D" w14:paraId="086E1009" w14:textId="77777777">
      <w:pPr>
        <w:widowControl w:val="0"/>
        <w:pBdr>
          <w:top w:val="nil"/>
          <w:left w:val="nil"/>
          <w:bottom w:val="nil"/>
          <w:right w:val="nil"/>
          <w:between w:val="nil"/>
        </w:pBdr>
        <w:spacing w:line="240" w:lineRule="auto"/>
        <w:ind w:right="183"/>
        <w:rPr>
          <w:color w:val="000000"/>
        </w:rPr>
      </w:pPr>
    </w:p>
    <w:p w:rsidR="00037F0C" w14:paraId="0169D9FB" w14:textId="6FB9CE48">
      <w:pPr>
        <w:widowControl w:val="0"/>
        <w:pBdr>
          <w:top w:val="nil"/>
          <w:left w:val="nil"/>
          <w:bottom w:val="nil"/>
          <w:right w:val="nil"/>
          <w:between w:val="nil"/>
        </w:pBdr>
        <w:spacing w:line="240" w:lineRule="auto"/>
        <w:ind w:right="183"/>
        <w:rPr>
          <w:color w:val="000000"/>
        </w:rPr>
      </w:pPr>
      <w:bookmarkStart w:id="3" w:name="_1fob9te" w:colFirst="0" w:colLast="0"/>
      <w:bookmarkEnd w:id="3"/>
      <w:r w:rsidRPr="0006305D">
        <w:t>The pilot study questionnaire is included as Appendix 3.  With the exception of the reference periods, the survey materials for the experiment, including the questionnaire, cover letters, postcard and envelopes, will be identical to the FES.  Addresses will be sampled for the study at the beginning of each reference month.  Otherwise, a</w:t>
      </w:r>
      <w:r w:rsidRPr="0006305D">
        <w:rPr>
          <w:color w:val="000000"/>
        </w:rPr>
        <w:t xml:space="preserve">ll sampling, data collection, data processing and sample weighting procedures for the pilot study will be consistent with the production FES.  The total </w:t>
      </w:r>
      <w:r w:rsidRPr="0006305D">
        <w:rPr>
          <w:color w:val="000000"/>
        </w:rPr>
        <w:t xml:space="preserve">annual </w:t>
      </w:r>
      <w:r w:rsidRPr="0006305D">
        <w:rPr>
          <w:color w:val="000000"/>
        </w:rPr>
        <w:t>sample size for the pilot study, 700,130 addresses, will be sufficient to produce monthly estimates with similar precision levels to current FES bi-monthly estimates.  For each reference month, the total number of sampled addresses and the allocation of sample among states and sub-state strata, will match the FES sample allocation for the corresponding reference wave.  This will provide sufficient power to detect differences between questionnaire versions and support precision requirements for calibration.</w:t>
      </w:r>
      <w:r>
        <w:rPr>
          <w:color w:val="000000"/>
        </w:rPr>
        <w:t xml:space="preserve">     </w:t>
      </w:r>
    </w:p>
    <w:p w:rsidR="00037F0C" w14:paraId="54DC18D6" w14:textId="77777777">
      <w:pPr>
        <w:widowControl w:val="0"/>
        <w:pBdr>
          <w:top w:val="nil"/>
          <w:left w:val="nil"/>
          <w:bottom w:val="nil"/>
          <w:right w:val="nil"/>
          <w:between w:val="nil"/>
        </w:pBdr>
        <w:spacing w:line="240" w:lineRule="auto"/>
        <w:ind w:right="183"/>
        <w:rPr>
          <w:b/>
          <w:color w:val="000000"/>
        </w:rPr>
      </w:pPr>
    </w:p>
    <w:p w:rsidR="00037F0C" w14:paraId="1AB1B033" w14:textId="77777777">
      <w:pPr>
        <w:widowControl w:val="0"/>
        <w:pBdr>
          <w:top w:val="nil"/>
          <w:left w:val="nil"/>
          <w:bottom w:val="nil"/>
          <w:right w:val="nil"/>
          <w:between w:val="nil"/>
        </w:pBdr>
        <w:spacing w:line="240" w:lineRule="auto"/>
        <w:ind w:right="375"/>
        <w:rPr>
          <w:b/>
          <w:color w:val="000000"/>
        </w:rPr>
      </w:pPr>
      <w:r>
        <w:rPr>
          <w:b/>
          <w:color w:val="000000"/>
        </w:rPr>
        <w:t xml:space="preserve">5. Provide the name and telephone number of individuals consulted on the statistical aspects of the design, and the name of the agency unit, contractor(s), grantee(s), or other person(s) who will actually collect and/or analyze the information for the agency. </w:t>
      </w:r>
    </w:p>
    <w:p w:rsidR="00037F0C" w14:paraId="2DC16680" w14:textId="77777777">
      <w:pPr>
        <w:widowControl w:val="0"/>
        <w:pBdr>
          <w:top w:val="nil"/>
          <w:left w:val="nil"/>
          <w:bottom w:val="nil"/>
          <w:right w:val="nil"/>
          <w:between w:val="nil"/>
        </w:pBdr>
        <w:spacing w:line="240" w:lineRule="auto"/>
        <w:rPr>
          <w:color w:val="000000"/>
        </w:rPr>
      </w:pPr>
    </w:p>
    <w:p w:rsidR="00037F0C" w14:paraId="6F860B66" w14:textId="77777777">
      <w:pPr>
        <w:widowControl w:val="0"/>
        <w:pBdr>
          <w:top w:val="nil"/>
          <w:left w:val="nil"/>
          <w:bottom w:val="nil"/>
          <w:right w:val="nil"/>
          <w:between w:val="nil"/>
        </w:pBdr>
        <w:spacing w:line="240" w:lineRule="auto"/>
        <w:rPr>
          <w:color w:val="000000"/>
        </w:rPr>
      </w:pPr>
      <w:r>
        <w:rPr>
          <w:color w:val="000000"/>
        </w:rPr>
        <w:t>Statistical support was provided by the following:</w:t>
      </w:r>
    </w:p>
    <w:p w:rsidR="00037F0C" w14:paraId="04702C2A" w14:textId="77777777">
      <w:pPr>
        <w:widowControl w:val="0"/>
        <w:pBdr>
          <w:top w:val="nil"/>
          <w:left w:val="nil"/>
          <w:bottom w:val="nil"/>
          <w:right w:val="nil"/>
          <w:between w:val="nil"/>
        </w:pBdr>
        <w:spacing w:line="240" w:lineRule="auto"/>
        <w:rPr>
          <w:color w:val="000000"/>
        </w:rPr>
      </w:pPr>
      <w:r>
        <w:rPr>
          <w:color w:val="000000"/>
        </w:rPr>
        <w:t>Dr. J. Michael Brick, Westat, 301-294-2004</w:t>
      </w:r>
    </w:p>
    <w:p w:rsidR="00037F0C" w14:paraId="5E5AEE25" w14:textId="77777777">
      <w:pPr>
        <w:widowControl w:val="0"/>
        <w:pBdr>
          <w:top w:val="nil"/>
          <w:left w:val="nil"/>
          <w:bottom w:val="nil"/>
          <w:right w:val="nil"/>
          <w:between w:val="nil"/>
        </w:pBdr>
        <w:spacing w:line="240" w:lineRule="auto"/>
        <w:rPr>
          <w:color w:val="000000"/>
        </w:rPr>
      </w:pPr>
    </w:p>
    <w:p w:rsidR="00037F0C" w14:paraId="616EE5B2" w14:textId="77777777">
      <w:pPr>
        <w:widowControl w:val="0"/>
        <w:pBdr>
          <w:top w:val="nil"/>
          <w:left w:val="nil"/>
          <w:bottom w:val="nil"/>
          <w:right w:val="nil"/>
          <w:between w:val="nil"/>
        </w:pBdr>
        <w:spacing w:after="275" w:line="240" w:lineRule="auto"/>
        <w:rPr>
          <w:color w:val="000000"/>
        </w:rPr>
      </w:pPr>
      <w:r>
        <w:rPr>
          <w:color w:val="000000"/>
        </w:rPr>
        <w:t>Rob Andrews, Fisheries Biologist, NOAA Fisheries Service, Office of Science and Technology, 301-427-8105 is the point-of-contact for the Agency.</w:t>
      </w:r>
    </w:p>
    <w:p w:rsidR="00037F0C" w14:paraId="766EB8D9" w14:textId="77777777">
      <w:pPr>
        <w:widowControl w:val="0"/>
        <w:pBdr>
          <w:top w:val="nil"/>
          <w:left w:val="nil"/>
          <w:bottom w:val="nil"/>
          <w:right w:val="nil"/>
          <w:between w:val="nil"/>
        </w:pBdr>
        <w:spacing w:line="240" w:lineRule="auto"/>
        <w:rPr>
          <w:color w:val="000000"/>
        </w:rPr>
      </w:pPr>
      <w:r>
        <w:rPr>
          <w:color w:val="000000"/>
        </w:rPr>
        <w:t>John Foster, Chief, Recreational Fisheries Statistics Branch, NOAA Fisheries Service, Office of Science and Technology, 301-427-8130.</w:t>
      </w:r>
    </w:p>
    <w:p w:rsidR="00037F0C" w14:paraId="10B65F36" w14:textId="77777777">
      <w:pPr>
        <w:spacing w:after="200" w:line="276" w:lineRule="auto"/>
        <w:rPr>
          <w:color w:val="000000"/>
        </w:rPr>
      </w:pPr>
      <w:r>
        <w:br w:type="page"/>
      </w:r>
    </w:p>
    <w:p w:rsidR="00037F0C" w14:paraId="3F6F5031" w14:textId="77777777">
      <w:pPr>
        <w:widowControl w:val="0"/>
        <w:pBdr>
          <w:top w:val="nil"/>
          <w:left w:val="nil"/>
          <w:bottom w:val="nil"/>
          <w:right w:val="nil"/>
          <w:between w:val="nil"/>
        </w:pBdr>
        <w:spacing w:line="240" w:lineRule="auto"/>
        <w:rPr>
          <w:color w:val="000000"/>
        </w:rPr>
      </w:pPr>
    </w:p>
    <w:p w:rsidR="00037F0C" w14:paraId="2C643CC5" w14:textId="77777777">
      <w:pPr>
        <w:widowControl w:val="0"/>
        <w:pBdr>
          <w:top w:val="nil"/>
          <w:left w:val="nil"/>
          <w:bottom w:val="nil"/>
          <w:right w:val="nil"/>
          <w:between w:val="nil"/>
        </w:pBdr>
        <w:spacing w:line="240" w:lineRule="auto"/>
        <w:rPr>
          <w:color w:val="000000"/>
        </w:rPr>
      </w:pPr>
      <w:r>
        <w:rPr>
          <w:color w:val="000000"/>
        </w:rPr>
        <w:t>References</w:t>
      </w:r>
    </w:p>
    <w:p w:rsidR="00037F0C" w14:paraId="1C7C2AA9" w14:textId="77777777">
      <w:pPr>
        <w:widowControl w:val="0"/>
        <w:pBdr>
          <w:top w:val="nil"/>
          <w:left w:val="nil"/>
          <w:bottom w:val="nil"/>
          <w:right w:val="nil"/>
          <w:between w:val="nil"/>
        </w:pBdr>
        <w:spacing w:line="240" w:lineRule="auto"/>
        <w:rPr>
          <w:color w:val="000000"/>
        </w:rPr>
      </w:pPr>
    </w:p>
    <w:p w:rsidR="00037F0C" w14:paraId="627D47BF" w14:textId="77777777">
      <w:pPr>
        <w:spacing w:line="240" w:lineRule="auto"/>
      </w:pPr>
      <w:bookmarkStart w:id="4" w:name="_3znysh7" w:colFirst="0" w:colLast="0"/>
      <w:bookmarkEnd w:id="4"/>
      <w:r>
        <w:t>Andrews WR (2021). Evaluating nonresponse bias in the mrip fishing effort survey. Retrieved from https://apps-st.fisheries.noaa.gov/pims/main/public?method=DO WNLOAD_FR_DATA&amp;record_id=2018.</w:t>
      </w:r>
    </w:p>
    <w:p w:rsidR="00037F0C" w14:paraId="7B36469F" w14:textId="77777777">
      <w:pPr>
        <w:spacing w:line="240" w:lineRule="auto"/>
      </w:pPr>
    </w:p>
    <w:p w:rsidR="00037F0C" w14:paraId="6C40329A" w14:textId="77777777">
      <w:pPr>
        <w:spacing w:line="240" w:lineRule="auto"/>
      </w:pPr>
      <w:r>
        <w:t>Andrews, W.R., J.M. Brick, and N.A. Mathiowetz  (2013). Continued development and testing of dual-frame surveys of fishing effort: testing a dual-frame, mixed-mode survey design. Available: https://www.st.nmfs.noaa.gov/mdms/public/finalReport.jsp?ReportID=831.</w:t>
      </w:r>
    </w:p>
    <w:p w:rsidR="00037F0C" w14:paraId="75E22D10" w14:textId="77777777">
      <w:pPr>
        <w:spacing w:line="240" w:lineRule="auto"/>
      </w:pPr>
    </w:p>
    <w:p w:rsidR="00037F0C" w14:paraId="00E7A70B" w14:textId="77777777">
      <w:pPr>
        <w:spacing w:line="240" w:lineRule="auto"/>
      </w:pPr>
      <w:r>
        <w:t>Andrews, W.R., J.M. Brick, and N.M. Mathiowetz (2014).  Development and Testing of Recreational Fishing Effort Surveys:  Testing a Mail Survey Design.  Retrieved from http://www.st.nmfs.noaa.gov/Assets/recreational/pdf/2012-FES_w_review_and_comments_FINAL.pdf.</w:t>
      </w:r>
    </w:p>
    <w:p w:rsidR="00037F0C" w14:paraId="51FFF795" w14:textId="77777777">
      <w:pPr>
        <w:spacing w:line="240" w:lineRule="auto"/>
      </w:pPr>
    </w:p>
    <w:p w:rsidR="00037F0C" w14:paraId="63C9FDDF" w14:textId="77777777">
      <w:pPr>
        <w:spacing w:line="240" w:lineRule="auto"/>
      </w:pPr>
      <w:r>
        <w:t xml:space="preserve">Andrews, W.R., J.M. Brick, N.M. Mathiowetz, and L. Stokes (2010).  Pilot Test of a Dual Frame Two-Phase Mail Survey of Anglers in North Carolina.  Retrieved from </w:t>
      </w:r>
      <w:hyperlink r:id="rId5">
        <w:r>
          <w:rPr>
            <w:color w:val="0000FF"/>
            <w:u w:val="single"/>
          </w:rPr>
          <w:t>http://www.countmyfish.noaa.gov/projects/downloads/Final_Report%20NC%202009%20Dual%20Frame%20Two%20Phase%20Experiment.pdf</w:t>
        </w:r>
      </w:hyperlink>
      <w:r>
        <w:t>.</w:t>
      </w:r>
    </w:p>
    <w:p w:rsidR="00037F0C" w14:paraId="571D4B26" w14:textId="77777777">
      <w:pPr>
        <w:spacing w:line="240" w:lineRule="auto"/>
      </w:pPr>
    </w:p>
    <w:p w:rsidR="00037F0C" w14:paraId="19D8C34E" w14:textId="77777777">
      <w:pPr>
        <w:spacing w:line="240" w:lineRule="auto"/>
      </w:pPr>
      <w:r>
        <w:t>Brick. J.M., W.R. Andrews, and N.M. Mathiowetz (2012a).  A Comparison of Recreational Fishing Effort Survey Designs.  Retrieved from https://www.st.nmfs.noaa.gov/mdms/doc/08A_Comparison_of_Fishing_Effort_Surveys_Report_FINAL.pdf.</w:t>
      </w:r>
    </w:p>
    <w:p w:rsidR="00037F0C" w14:paraId="2BC93A4A" w14:textId="77777777">
      <w:pPr>
        <w:spacing w:before="280" w:after="280" w:line="240" w:lineRule="auto"/>
      </w:pPr>
      <w:r>
        <w:t>Brick, J.M., W.R. Andrews, P.D. Brick, H. King, and N.M. Mathiowetz (2012b).  Methods for Improving Response Rates in Two-Phase Mail Surveys.  Survey Practice 5(4).</w:t>
      </w:r>
    </w:p>
    <w:p w:rsidR="00037F0C" w14:paraId="61CDF023" w14:textId="77777777">
      <w:pPr>
        <w:spacing w:line="240" w:lineRule="auto"/>
      </w:pPr>
      <w:r>
        <w:rPr>
          <w:rFonts w:ascii="AdvOT3c2d9f11" w:eastAsia="AdvOT3c2d9f11" w:hAnsi="AdvOT3c2d9f11" w:cs="AdvOT3c2d9f11"/>
        </w:rPr>
        <w:t xml:space="preserve">Dillman, D.A., J.D. Smyth, and L.M. Christian (2009). </w:t>
      </w:r>
      <w:r>
        <w:rPr>
          <w:rFonts w:ascii="AdvOT21bf1298.I" w:eastAsia="AdvOT21bf1298.I" w:hAnsi="AdvOT21bf1298.I" w:cs="AdvOT21bf1298.I"/>
          <w:i/>
        </w:rPr>
        <w:t>Internet, Mail, and Mixed-Mode Surveys: The Tailored Design Method</w:t>
      </w:r>
      <w:r>
        <w:rPr>
          <w:rFonts w:ascii="AdvOT21bf1298.I" w:eastAsia="AdvOT21bf1298.I" w:hAnsi="AdvOT21bf1298.I" w:cs="AdvOT21bf1298.I"/>
        </w:rPr>
        <w:t xml:space="preserve">. </w:t>
      </w:r>
      <w:r>
        <w:rPr>
          <w:rFonts w:ascii="AdvOT3c2d9f11" w:eastAsia="AdvOT3c2d9f11" w:hAnsi="AdvOT3c2d9f11" w:cs="AdvOT3c2d9f11"/>
        </w:rPr>
        <w:t>New York: Wiley and Sons.</w:t>
      </w:r>
    </w:p>
    <w:p w:rsidR="00037F0C" w14:paraId="348264F4" w14:textId="77777777">
      <w:pPr>
        <w:widowControl w:val="0"/>
        <w:pBdr>
          <w:top w:val="nil"/>
          <w:left w:val="nil"/>
          <w:bottom w:val="nil"/>
          <w:right w:val="nil"/>
          <w:between w:val="nil"/>
        </w:pBdr>
        <w:spacing w:line="240" w:lineRule="auto"/>
        <w:rPr>
          <w:color w:val="000000"/>
        </w:rPr>
      </w:pPr>
    </w:p>
    <w:p w:rsidR="00037F0C" w14:paraId="0967B03F" w14:textId="77777777">
      <w:pPr>
        <w:widowControl w:val="0"/>
        <w:pBdr>
          <w:top w:val="nil"/>
          <w:left w:val="nil"/>
          <w:bottom w:val="nil"/>
          <w:right w:val="nil"/>
          <w:between w:val="nil"/>
        </w:pBdr>
        <w:spacing w:line="240" w:lineRule="auto"/>
        <w:rPr>
          <w:rFonts w:ascii="Calibri" w:eastAsia="Calibri" w:hAnsi="Calibri" w:cs="Calibri"/>
          <w:b/>
          <w:color w:val="000000"/>
        </w:rPr>
      </w:pPr>
      <w:r>
        <w:rPr>
          <w:color w:val="000000"/>
        </w:rPr>
        <w:t xml:space="preserve">Lohr, S. (2009). Multiple Frame Surveys. Chapter 4 in Pfeffermann, D. (Ed.) </w:t>
      </w:r>
      <w:r>
        <w:rPr>
          <w:i/>
          <w:color w:val="000000"/>
        </w:rPr>
        <w:t>Handbook of Statistics: Sample Surveys Design, Methods and Applications</w:t>
      </w:r>
      <w:r>
        <w:rPr>
          <w:color w:val="000000"/>
        </w:rPr>
        <w:t xml:space="preserve"> (vol. 29A). Elsevier, Amsterdam</w:t>
      </w:r>
      <w:r>
        <w:rPr>
          <w:rFonts w:ascii="Calibri" w:eastAsia="Calibri" w:hAnsi="Calibri" w:cs="Calibri"/>
          <w:b/>
          <w:color w:val="000000"/>
        </w:rPr>
        <w:t>.</w:t>
      </w:r>
    </w:p>
    <w:p w:rsidR="00037F0C" w14:paraId="69E11EED" w14:textId="77777777">
      <w:pPr>
        <w:widowControl w:val="0"/>
        <w:pBdr>
          <w:top w:val="nil"/>
          <w:left w:val="nil"/>
          <w:bottom w:val="nil"/>
          <w:right w:val="nil"/>
          <w:between w:val="nil"/>
        </w:pBdr>
        <w:spacing w:line="240" w:lineRule="auto"/>
        <w:rPr>
          <w:rFonts w:ascii="Calibri" w:eastAsia="Calibri" w:hAnsi="Calibri" w:cs="Calibri"/>
          <w:b/>
          <w:color w:val="000000"/>
        </w:rPr>
      </w:pPr>
    </w:p>
    <w:p w:rsidR="00037F0C" w14:paraId="7C6C5338" w14:textId="77777777">
      <w:pPr>
        <w:widowControl w:val="0"/>
        <w:pBdr>
          <w:top w:val="nil"/>
          <w:left w:val="nil"/>
          <w:bottom w:val="nil"/>
          <w:right w:val="nil"/>
          <w:between w:val="nil"/>
        </w:pBdr>
        <w:spacing w:line="240" w:lineRule="auto"/>
        <w:rPr>
          <w:color w:val="000000"/>
        </w:rPr>
      </w:pPr>
      <w:r>
        <w:rPr>
          <w:color w:val="000000"/>
        </w:rPr>
        <w:t xml:space="preserve">National Academies of Sciences, Engineering, and Medicine  (2021). Data and management strategies for recreational fisheries with annual catch limits. Retrieved from </w:t>
      </w:r>
      <w:hyperlink r:id="rId6">
        <w:r>
          <w:rPr>
            <w:color w:val="0000FF"/>
            <w:u w:val="single"/>
          </w:rPr>
          <w:t>https://www.nationalacademies.org/our-work/dataand-management-strategies-for-recreational-fisheries-with-annual-catchlimits</w:t>
        </w:r>
      </w:hyperlink>
      <w:r>
        <w:rPr>
          <w:color w:val="000000"/>
        </w:rPr>
        <w:t xml:space="preserve">. </w:t>
      </w:r>
    </w:p>
    <w:p w:rsidR="00037F0C" w14:paraId="62C1857A" w14:textId="77777777">
      <w:pPr>
        <w:widowControl w:val="0"/>
        <w:pBdr>
          <w:top w:val="nil"/>
          <w:left w:val="nil"/>
          <w:bottom w:val="nil"/>
          <w:right w:val="nil"/>
          <w:between w:val="nil"/>
        </w:pBdr>
        <w:spacing w:line="240" w:lineRule="auto"/>
        <w:rPr>
          <w:color w:val="000000"/>
        </w:rPr>
      </w:pPr>
    </w:p>
    <w:p w:rsidR="00037F0C" w14:paraId="352A7628" w14:textId="77777777">
      <w:pPr>
        <w:widowControl w:val="0"/>
        <w:pBdr>
          <w:top w:val="nil"/>
          <w:left w:val="nil"/>
          <w:bottom w:val="nil"/>
          <w:right w:val="nil"/>
          <w:between w:val="nil"/>
        </w:pBdr>
        <w:spacing w:line="240" w:lineRule="auto"/>
      </w:pPr>
      <w:r>
        <w:t>National Research Council  (2006). Review of recreational fisheries survey methods. Retrieved from: https://www.nap.edu/catalog/11616/review-ofrecreational-fisheries-survey-methods.</w:t>
      </w:r>
    </w:p>
    <w:p w:rsidR="00037F0C" w14:paraId="3903B865" w14:textId="77777777">
      <w:pPr>
        <w:widowControl w:val="0"/>
        <w:pBdr>
          <w:top w:val="nil"/>
          <w:left w:val="nil"/>
          <w:bottom w:val="nil"/>
          <w:right w:val="nil"/>
          <w:between w:val="nil"/>
        </w:pBdr>
        <w:spacing w:line="240" w:lineRule="auto"/>
        <w:rPr>
          <w:rFonts w:ascii="Calibri" w:eastAsia="Calibri" w:hAnsi="Calibri" w:cs="Calibri"/>
          <w:b/>
          <w:color w:val="000000"/>
        </w:rPr>
      </w:pPr>
    </w:p>
    <w:p w:rsidR="00037F0C" w14:paraId="5EC5C8B1" w14:textId="77777777">
      <w:pPr>
        <w:spacing w:before="280" w:line="240" w:lineRule="auto"/>
      </w:pPr>
    </w:p>
    <w:sectPr>
      <w:footerReference w:type="default" r:id="rId7"/>
      <w:pgSz w:w="12240" w:h="15840"/>
      <w:pgMar w:top="1152"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dvOT3c2d9f11">
    <w:altName w:val="Times New Roman"/>
    <w:charset w:val="00"/>
    <w:family w:val="auto"/>
    <w:pitch w:val="default"/>
  </w:font>
  <w:font w:name="AdvOT21bf1298.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7F0C" w14:paraId="713FE539" w14:textId="20506443">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4C3C71">
      <w:rPr>
        <w:noProof/>
        <w:color w:val="000000"/>
      </w:rPr>
      <w:t>8</w:t>
    </w:r>
    <w:r>
      <w:rPr>
        <w:color w:val="000000"/>
      </w:rPr>
      <w:fldChar w:fldCharType="end"/>
    </w:r>
  </w:p>
  <w:p w:rsidR="00037F0C" w14:paraId="3B499E77" w14:textId="7777777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B5248" w14:paraId="4FB3E881" w14:textId="77777777">
      <w:pPr>
        <w:spacing w:line="240" w:lineRule="auto"/>
      </w:pPr>
      <w:r>
        <w:separator/>
      </w:r>
    </w:p>
  </w:footnote>
  <w:footnote w:type="continuationSeparator" w:id="1">
    <w:p w:rsidR="002B5248" w14:paraId="3B4F87E6" w14:textId="77777777">
      <w:pPr>
        <w:spacing w:line="240" w:lineRule="auto"/>
      </w:pPr>
      <w:r>
        <w:continuationSeparator/>
      </w:r>
    </w:p>
  </w:footnote>
  <w:footnote w:id="2">
    <w:p w:rsidR="00037F0C" w14:paraId="32DCA33F" w14:textId="77777777">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Source: American Community Survey, 2019</w:t>
      </w:r>
    </w:p>
  </w:footnote>
  <w:footnote w:id="3">
    <w:p w:rsidR="00037F0C" w14:paraId="556F774F" w14:textId="77777777">
      <w:pPr>
        <w:spacing w:line="240" w:lineRule="auto"/>
        <w:rPr>
          <w:color w:val="000000"/>
          <w:sz w:val="20"/>
          <w:szCs w:val="20"/>
        </w:rPr>
      </w:pPr>
      <w:r>
        <w:rPr>
          <w:vertAlign w:val="superscript"/>
        </w:rPr>
        <w:footnoteRef/>
      </w:r>
      <w:r>
        <w:rPr>
          <w:color w:val="000000"/>
          <w:sz w:val="20"/>
          <w:szCs w:val="20"/>
        </w:rPr>
        <w:t xml:space="preserve"> Results may vary due to rounding errors associated with the Expected Response Rate.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C032F35"/>
    <w:multiLevelType w:val="multilevel"/>
    <w:tmpl w:val="804A09A6"/>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F0C"/>
    <w:rsid w:val="00037F0C"/>
    <w:rsid w:val="0006305D"/>
    <w:rsid w:val="00151E69"/>
    <w:rsid w:val="002906C8"/>
    <w:rsid w:val="002B5248"/>
    <w:rsid w:val="004C3C71"/>
    <w:rsid w:val="004F2178"/>
    <w:rsid w:val="006F1B2A"/>
    <w:rsid w:val="00904B08"/>
    <w:rsid w:val="00E11AD4"/>
    <w:rsid w:val="00EB33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92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spacing w:before="200" w:line="271" w:lineRule="auto"/>
      <w:outlineLvl w:val="2"/>
    </w:pPr>
    <w:rPr>
      <w:rFonts w:ascii="Cambria" w:eastAsia="Cambria" w:hAnsi="Cambria" w:cs="Cambria"/>
      <w:b/>
      <w:sz w:val="22"/>
      <w:szCs w:val="22"/>
    </w:rPr>
  </w:style>
  <w:style w:type="paragraph" w:styleId="Heading4">
    <w:name w:val="heading 4"/>
    <w:basedOn w:val="Normal"/>
    <w:next w:val="Normal"/>
    <w:pPr>
      <w:spacing w:before="200" w:line="276" w:lineRule="auto"/>
      <w:outlineLvl w:val="3"/>
    </w:pPr>
    <w:rPr>
      <w:rFonts w:ascii="Cambria" w:eastAsia="Cambria" w:hAnsi="Cambria" w:cs="Cambria"/>
      <w:b/>
      <w:i/>
      <w:sz w:val="22"/>
      <w:szCs w:val="22"/>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line="240" w:lineRule="auto"/>
    </w:pPr>
    <w:rPr>
      <w:sz w:val="20"/>
      <w:szCs w:val="20"/>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B332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3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B3327"/>
    <w:rPr>
      <w:b/>
      <w:bCs/>
    </w:rPr>
  </w:style>
  <w:style w:type="character" w:customStyle="1" w:styleId="CommentSubjectChar">
    <w:name w:val="Comment Subject Char"/>
    <w:basedOn w:val="CommentTextChar"/>
    <w:link w:val="CommentSubject"/>
    <w:uiPriority w:val="99"/>
    <w:semiHidden/>
    <w:rsid w:val="00EB33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countmyfish.noaa.gov/projects/downloads/Final_Report%20NC%202009%20Dual%20Frame%20Two%20Phase%20Experiment.pdf" TargetMode="External" /><Relationship Id="rId6" Type="http://schemas.openxmlformats.org/officeDocument/2006/relationships/hyperlink" Target="https://www.nationalacademies.org/our-work/dataand-management-strategies-for-recreational-fisheries-with-annual-catchlimits"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3021</Words>
  <Characters>17224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2023-04-11T13:40:00Z</dcterms:created>
  <dcterms:modified xsi:type="dcterms:W3CDTF">2023-04-11T14:00:00Z</dcterms:modified>
</cp:coreProperties>
</file>