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426C" w:rsidRPr="00B701E8" w:rsidP="0004426C" w14:paraId="07C4D4D5" w14:textId="77777777">
      <w:pPr>
        <w:spacing w:line="240" w:lineRule="auto"/>
        <w:jc w:val="center"/>
        <w:rPr>
          <w:b/>
        </w:rPr>
      </w:pPr>
      <w:r w:rsidRPr="00B701E8">
        <w:rPr>
          <w:b/>
        </w:rPr>
        <w:t>SUPPORTING STATEMENT</w:t>
      </w:r>
    </w:p>
    <w:p w:rsidR="0004426C" w:rsidRPr="00B701E8" w:rsidP="0004426C" w14:paraId="25259C90" w14:textId="77777777">
      <w:pPr>
        <w:spacing w:line="240" w:lineRule="auto"/>
        <w:jc w:val="center"/>
        <w:rPr>
          <w:b/>
        </w:rPr>
      </w:pPr>
      <w:r w:rsidRPr="00B701E8">
        <w:rPr>
          <w:b/>
        </w:rPr>
        <w:t>U.S. Department of Commerce</w:t>
      </w:r>
    </w:p>
    <w:p w:rsidR="0004426C" w:rsidRPr="00B701E8" w:rsidP="0004426C" w14:paraId="2EF40818" w14:textId="77777777">
      <w:pPr>
        <w:spacing w:line="240" w:lineRule="auto"/>
        <w:jc w:val="center"/>
        <w:rPr>
          <w:b/>
        </w:rPr>
      </w:pPr>
      <w:r w:rsidRPr="00B701E8">
        <w:rPr>
          <w:b/>
        </w:rPr>
        <w:t>National Oceanic &amp; Atmospheric Administration</w:t>
      </w:r>
    </w:p>
    <w:p w:rsidR="0004426C" w:rsidRPr="00C059E9" w:rsidP="0004426C" w14:paraId="62E75B01" w14:textId="77777777">
      <w:pPr>
        <w:spacing w:line="240" w:lineRule="auto"/>
        <w:jc w:val="center"/>
        <w:rPr>
          <w:b/>
          <w:bCs/>
        </w:rPr>
      </w:pPr>
      <w:r>
        <w:rPr>
          <w:b/>
          <w:bCs/>
        </w:rPr>
        <w:t>Marine Recreational Information Program Fishing Effort Survey</w:t>
      </w:r>
    </w:p>
    <w:p w:rsidR="00EE4FD8" w:rsidP="00093E43" w14:paraId="1EA90BAB" w14:textId="4715ED40">
      <w:pPr>
        <w:pStyle w:val="Default"/>
        <w:jc w:val="center"/>
        <w:rPr>
          <w:color w:val="auto"/>
        </w:rPr>
      </w:pPr>
      <w:r w:rsidRPr="00B701E8">
        <w:rPr>
          <w:b/>
        </w:rPr>
        <w:t>OMB Control No. 0648-</w:t>
      </w:r>
      <w:r>
        <w:rPr>
          <w:b/>
        </w:rPr>
        <w:t>0652</w:t>
      </w:r>
    </w:p>
    <w:p w:rsidR="00BD450D" w:rsidP="00BD450D" w14:paraId="384EA664" w14:textId="5B353376">
      <w:pPr>
        <w:pStyle w:val="Default"/>
        <w:rPr>
          <w:color w:val="auto"/>
        </w:rPr>
      </w:pPr>
    </w:p>
    <w:p w:rsidR="00D42093" w:rsidRPr="00D42093" w:rsidP="00BD450D" w14:paraId="23041F98" w14:textId="78E0ABA8">
      <w:pPr>
        <w:pStyle w:val="Default"/>
        <w:rPr>
          <w:b/>
        </w:rPr>
      </w:pPr>
      <w:r w:rsidRPr="00D42093">
        <w:rPr>
          <w:b/>
          <w:color w:val="auto"/>
        </w:rPr>
        <w:t>Abstract</w:t>
      </w:r>
    </w:p>
    <w:p w:rsidR="00BD450D" w:rsidP="001F1D64" w14:paraId="3C522657" w14:textId="1E16F8D7">
      <w:pPr>
        <w:pStyle w:val="Default"/>
      </w:pPr>
      <w:r>
        <w:t xml:space="preserve">This request is for </w:t>
      </w:r>
      <w:r w:rsidR="009A13D0">
        <w:t>revision</w:t>
      </w:r>
      <w:r>
        <w:t xml:space="preserve"> and extension</w:t>
      </w:r>
      <w:r w:rsidR="009A13D0">
        <w:t xml:space="preserve"> of a currently approved collection</w:t>
      </w:r>
      <w:r w:rsidR="005E23E7">
        <w:t>.</w:t>
      </w:r>
      <w:r w:rsidR="007C15F9">
        <w:t xml:space="preserve">  </w:t>
      </w:r>
      <w:r w:rsidRPr="00F703DA" w:rsidR="007C15F9">
        <w:t xml:space="preserve">The </w:t>
      </w:r>
      <w:r w:rsidRPr="00F703DA" w:rsidR="006270E0">
        <w:t>request</w:t>
      </w:r>
      <w:r w:rsidRPr="00F703DA" w:rsidR="005E2138">
        <w:t xml:space="preserve"> </w:t>
      </w:r>
      <w:r w:rsidRPr="00F703DA" w:rsidR="006270E0">
        <w:t>includes</w:t>
      </w:r>
      <w:r w:rsidRPr="00F703DA" w:rsidR="007C15F9">
        <w:t xml:space="preserve"> a </w:t>
      </w:r>
      <w:r>
        <w:t xml:space="preserve">new </w:t>
      </w:r>
      <w:r w:rsidRPr="00F703DA" w:rsidR="007C15F9">
        <w:t xml:space="preserve">pilot study to test a shorter reference period that will </w:t>
      </w:r>
      <w:r w:rsidRPr="00F703DA" w:rsidR="005E2138">
        <w:t>increase</w:t>
      </w:r>
      <w:r w:rsidRPr="00F703DA" w:rsidR="007C15F9">
        <w:t xml:space="preserve"> the utility of survey data </w:t>
      </w:r>
      <w:r w:rsidRPr="00F703DA" w:rsidR="006270E0">
        <w:t xml:space="preserve">and </w:t>
      </w:r>
      <w:r w:rsidRPr="00F703DA" w:rsidR="007C15F9">
        <w:t>estimates for fisheries managers and stock assessment scientists by providing greater resolution and more timely access to surve</w:t>
      </w:r>
      <w:r w:rsidRPr="00F703DA" w:rsidR="006270E0">
        <w:t>y</w:t>
      </w:r>
      <w:r w:rsidRPr="00F703DA" w:rsidR="007C15F9">
        <w:t xml:space="preserve"> products.</w:t>
      </w:r>
      <w:r w:rsidR="007C15F9">
        <w:t xml:space="preserve">  </w:t>
      </w:r>
      <w:r>
        <w:t>Additionally, the Reporting Sensitivity Experiment survey has been completed and that collection will be removed from this control number.</w:t>
      </w:r>
      <w:bookmarkStart w:id="0" w:name="_GoBack"/>
      <w:bookmarkEnd w:id="0"/>
    </w:p>
    <w:p w:rsidR="009B36BA" w:rsidP="001F1D64" w14:paraId="4080441C" w14:textId="10D10452">
      <w:pPr>
        <w:pStyle w:val="Default"/>
      </w:pPr>
    </w:p>
    <w:p w:rsidR="00BD450D" w:rsidRPr="009B36BA" w:rsidP="009B36BA" w14:paraId="3695B38B" w14:textId="6458CC1E">
      <w:pPr>
        <w:pStyle w:val="Default"/>
        <w:rPr>
          <w:b/>
        </w:rPr>
      </w:pPr>
      <w:r w:rsidRPr="009B36BA">
        <w:rPr>
          <w:b/>
        </w:rPr>
        <w:t>Justification</w:t>
      </w:r>
    </w:p>
    <w:p w:rsidR="00BD450D" w:rsidRPr="009B36BA" w:rsidP="009B36BA" w14:paraId="2815B077" w14:textId="675A2360">
      <w:pPr>
        <w:pStyle w:val="ListParagraph"/>
        <w:widowControl w:val="0"/>
        <w:tabs>
          <w:tab w:val="left" w:pos="360"/>
        </w:tabs>
        <w:autoSpaceDE w:val="0"/>
        <w:autoSpaceDN w:val="0"/>
        <w:spacing w:before="182" w:line="259" w:lineRule="auto"/>
        <w:ind w:left="0"/>
        <w:contextualSpacing w:val="0"/>
        <w:rPr>
          <w:b/>
        </w:rPr>
      </w:pPr>
      <w:r>
        <w:rPr>
          <w:b/>
          <w:bCs/>
        </w:rPr>
        <w:t xml:space="preserve">1. </w:t>
      </w:r>
      <w:r w:rsidRPr="00BD7237" w:rsidR="009B36BA">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450D" w:rsidP="001F1D64" w14:paraId="631F9E52" w14:textId="77777777">
      <w:pPr>
        <w:spacing w:line="240" w:lineRule="auto"/>
      </w:pPr>
    </w:p>
    <w:p w:rsidR="00BD450D" w:rsidP="001F1D64" w14:paraId="4F098881" w14:textId="77777777">
      <w:pPr>
        <w:spacing w:line="240" w:lineRule="auto"/>
      </w:pPr>
      <w:r>
        <w:t xml:space="preserve">Collection of recreational fisheries catch and effort data is necessary to fulfill statutory requirements of Section 303 of the </w:t>
      </w:r>
      <w:hyperlink r:id="rId6" w:history="1">
        <w:r w:rsidRPr="00942F84">
          <w:rPr>
            <w:rStyle w:val="Hyperlink"/>
          </w:rPr>
          <w:t>Magnuson-Stevens Fishery Cons</w:t>
        </w:r>
        <w:r w:rsidRPr="00942F84">
          <w:rPr>
            <w:rStyle w:val="Hyperlink"/>
          </w:rPr>
          <w:t>ervation and Management Act</w:t>
        </w:r>
      </w:hyperlink>
      <w:r>
        <w:t xml:space="preserve"> (16 U.S.C. 1852 </w:t>
      </w:r>
      <w:r>
        <w:rPr>
          <w:u w:val="single"/>
        </w:rPr>
        <w:t>et</w:t>
      </w:r>
      <w:r>
        <w:t xml:space="preserve">. </w:t>
      </w:r>
      <w:r>
        <w:rPr>
          <w:u w:val="single"/>
        </w:rPr>
        <w:t>seq</w:t>
      </w:r>
      <w:r>
        <w:t xml:space="preserve">.) and to comply with </w:t>
      </w:r>
      <w:hyperlink r:id="rId7" w:history="1">
        <w:r w:rsidRPr="00942F84">
          <w:rPr>
            <w:rStyle w:val="Hyperlink"/>
          </w:rPr>
          <w:t>Executive Order 12962</w:t>
        </w:r>
      </w:hyperlink>
      <w:r>
        <w:t xml:space="preserve"> on Recreational Fisheries. Section 303 (a) of the Magnuson-Stevens Act specifies data</w:t>
      </w:r>
      <w:r>
        <w:t xml:space="preserve"> and analyses to be included in Fishery Management Plans (FMPs), as well as pertinent data that shall be submitted to the Secretary of Commerce under the plan.   </w:t>
      </w:r>
    </w:p>
    <w:p w:rsidR="00453A07" w:rsidP="001F1D64" w14:paraId="3BC6991A" w14:textId="77777777">
      <w:pPr>
        <w:spacing w:line="240" w:lineRule="auto"/>
      </w:pPr>
    </w:p>
    <w:p w:rsidR="00460E5B" w:rsidP="00460E5B" w14:paraId="4CEC44EC" w14:textId="77777777">
      <w:pPr>
        <w:spacing w:line="240" w:lineRule="auto"/>
      </w:pPr>
      <w:r>
        <w:t xml:space="preserve">The </w:t>
      </w:r>
      <w:r w:rsidR="00BC086C">
        <w:t>MRIP Fishing Effort Survey (FES) is</w:t>
      </w:r>
      <w:r>
        <w:t xml:space="preserve"> a cross-sectional, self-administered, household mail</w:t>
      </w:r>
      <w:r>
        <w:t xml:space="preserve"> survey.</w:t>
      </w:r>
      <w:r w:rsidRPr="00460E5B">
        <w:t xml:space="preserve"> </w:t>
      </w:r>
      <w:r>
        <w:t>The FES utilizes address-based samples (ABS) within coastal states to collect information about recent recreational saltwater fishing activity.  The sample frame is derived from the U</w:t>
      </w:r>
      <w:r w:rsidR="00D46A75">
        <w:t xml:space="preserve">nited </w:t>
      </w:r>
      <w:r>
        <w:t>S</w:t>
      </w:r>
      <w:r w:rsidR="00D46A75">
        <w:t xml:space="preserve">tates </w:t>
      </w:r>
      <w:r>
        <w:t>P</w:t>
      </w:r>
      <w:r w:rsidR="00D46A75">
        <w:t xml:space="preserve">ostal Service </w:t>
      </w:r>
      <w:r>
        <w:t xml:space="preserve">Computerized Delivery Sequence File </w:t>
      </w:r>
      <w:r>
        <w:t>(CDS).  Because recreational saltwater fishing is a relatively rare activity, the ABS frame is supplemented by matching addresses on the CDS to lists of licensed saltwater anglers in each state.  Augmenting the ABS sample frame with fishing license informa</w:t>
      </w:r>
      <w:r>
        <w:t>tion creates additional strata (license matched and unmatched) and allows households with and without licensed anglers to</w:t>
      </w:r>
      <w:r w:rsidR="00D46A75">
        <w:t xml:space="preserve"> be sampled at different rates.  This is an efficient and economical approach for collecting recreational fishing effort information.  </w:t>
      </w:r>
      <w:r>
        <w:t xml:space="preserve">   </w:t>
      </w:r>
    </w:p>
    <w:p w:rsidR="00460E5B" w:rsidP="001D37B1" w14:paraId="1F1D00B5" w14:textId="77777777">
      <w:pPr>
        <w:spacing w:line="240" w:lineRule="auto"/>
      </w:pPr>
    </w:p>
    <w:p w:rsidR="009C1CD0" w:rsidP="001F1D64" w14:paraId="36B0D39B" w14:textId="6E563BD5">
      <w:pPr>
        <w:spacing w:line="240" w:lineRule="auto"/>
      </w:pPr>
      <w:r>
        <w:t xml:space="preserve">The </w:t>
      </w:r>
      <w:r w:rsidR="007937F7">
        <w:t xml:space="preserve">FES </w:t>
      </w:r>
      <w:r>
        <w:t>will be conducted for five</w:t>
      </w:r>
      <w:r w:rsidR="00CC43C2">
        <w:t>, two-month</w:t>
      </w:r>
      <w:r>
        <w:t xml:space="preserve"> reference waves </w:t>
      </w:r>
      <w:r w:rsidR="00103825">
        <w:t>(March/</w:t>
      </w:r>
      <w:r w:rsidR="00CC43C2">
        <w:t>Apr</w:t>
      </w:r>
      <w:r w:rsidR="00103825">
        <w:t>il – November/</w:t>
      </w:r>
      <w:r w:rsidR="00CC43C2">
        <w:t>Dec</w:t>
      </w:r>
      <w:r w:rsidR="00103825">
        <w:t>ember</w:t>
      </w:r>
      <w:r w:rsidR="00CC43C2">
        <w:t>)</w:t>
      </w:r>
      <w:r>
        <w:t xml:space="preserve"> in the states along the Atlantic Coast, with the exception of North Carolina</w:t>
      </w:r>
      <w:r w:rsidR="00103825">
        <w:t xml:space="preserve"> and Florida</w:t>
      </w:r>
      <w:r w:rsidR="00CC43C2">
        <w:t>.  In</w:t>
      </w:r>
      <w:r w:rsidR="00464B9B">
        <w:t xml:space="preserve"> </w:t>
      </w:r>
      <w:r w:rsidR="00000D63">
        <w:t xml:space="preserve">Hawaii, </w:t>
      </w:r>
      <w:r w:rsidR="00464B9B">
        <w:t xml:space="preserve">North Carolina and </w:t>
      </w:r>
      <w:r>
        <w:t>the Gulf States</w:t>
      </w:r>
      <w:r w:rsidR="00FE4D93">
        <w:t xml:space="preserve">, </w:t>
      </w:r>
      <w:r w:rsidR="00464B9B">
        <w:t xml:space="preserve">the </w:t>
      </w:r>
      <w:r w:rsidR="00CC43C2">
        <w:t>FES will be conducted for six reference waves</w:t>
      </w:r>
      <w:r w:rsidR="00103825">
        <w:t xml:space="preserve"> (January/February – November/December)</w:t>
      </w:r>
      <w:r w:rsidR="00CC43C2">
        <w:t xml:space="preserve">.  </w:t>
      </w:r>
      <w:r>
        <w:t xml:space="preserve">These specific </w:t>
      </w:r>
      <w:r w:rsidR="00103825">
        <w:t>reference periods</w:t>
      </w:r>
      <w:r>
        <w:t xml:space="preserve"> encompass the majority of </w:t>
      </w:r>
      <w:r w:rsidR="00103825">
        <w:t xml:space="preserve">annual recreational </w:t>
      </w:r>
      <w:r w:rsidR="00E263B3">
        <w:t xml:space="preserve">saltwater </w:t>
      </w:r>
      <w:r w:rsidR="00103825">
        <w:t>fishing activity</w:t>
      </w:r>
      <w:r w:rsidR="003E1D98">
        <w:t xml:space="preserve"> within the study area</w:t>
      </w:r>
      <w:r>
        <w:t xml:space="preserve">.  Prior surveys indicated recreational fishing outside these periods was </w:t>
      </w:r>
      <w:r w:rsidR="00E263B3">
        <w:t>uncommon</w:t>
      </w:r>
      <w:r>
        <w:t xml:space="preserve">, </w:t>
      </w:r>
      <w:r>
        <w:t xml:space="preserve">contributed a very small percentage of annual </w:t>
      </w:r>
      <w:r w:rsidR="00E263B3">
        <w:t xml:space="preserve">fishing effort and </w:t>
      </w:r>
      <w:r w:rsidR="003E1D98">
        <w:t xml:space="preserve">fishery </w:t>
      </w:r>
      <w:r>
        <w:t xml:space="preserve">landings, and would be disproportionately expensive to </w:t>
      </w:r>
      <w:r w:rsidR="003E1D98">
        <w:t>sample</w:t>
      </w:r>
      <w:r>
        <w:t xml:space="preserve">.  </w:t>
      </w:r>
      <w:r w:rsidR="00453A07">
        <w:t xml:space="preserve">This information collection will fulfill statutory requirements of Section 401 of the Magnuson-Stevens Fishery Conservation and Management Reauthorization Act. Section 401 (g) requires that the Secretary of Commerce, “establish a program to improve the quality and accuracy of information generated by the Marine Recreational Fishery Statistics Survey”. MSA further specifies that future surveys should, “target anglers registered or licensed at the State or Federal level to collect participation and effort </w:t>
      </w:r>
      <w:r w:rsidR="00212252">
        <w:t xml:space="preserve">data”.   </w:t>
      </w:r>
    </w:p>
    <w:p w:rsidR="002F6E08" w:rsidP="001F1D64" w14:paraId="6140F809" w14:textId="77777777">
      <w:pPr>
        <w:spacing w:line="240" w:lineRule="auto"/>
      </w:pPr>
    </w:p>
    <w:p w:rsidR="00BD450D" w:rsidRPr="009B36BA" w:rsidP="009B36BA" w14:paraId="38B2AF76" w14:textId="6097E462">
      <w:pPr>
        <w:pStyle w:val="Heading1"/>
        <w:keepNext w:val="0"/>
        <w:keepLines w:val="0"/>
        <w:widowControl w:val="0"/>
        <w:tabs>
          <w:tab w:val="left" w:pos="360"/>
        </w:tabs>
        <w:autoSpaceDE w:val="0"/>
        <w:autoSpaceDN w:val="0"/>
        <w:spacing w:before="197" w:line="240" w:lineRule="auto"/>
        <w:rPr>
          <w:rFonts w:ascii="Times New Roman" w:hAnsi="Times New Roman" w:cs="Times New Roman"/>
          <w:b/>
          <w:color w:val="auto"/>
          <w:sz w:val="24"/>
          <w:szCs w:val="24"/>
        </w:rPr>
      </w:pPr>
      <w:r w:rsidRPr="009B36BA">
        <w:rPr>
          <w:rFonts w:ascii="Times New Roman" w:hAnsi="Times New Roman" w:cs="Times New Roman"/>
          <w:b/>
          <w:color w:val="auto"/>
          <w:sz w:val="24"/>
          <w:szCs w:val="24"/>
        </w:rPr>
        <w:t xml:space="preserve">2. </w:t>
      </w:r>
      <w:r w:rsidRPr="009B36BA" w:rsidR="009B36BA">
        <w:rPr>
          <w:rFonts w:ascii="Times New Roman" w:hAnsi="Times New Roman" w:cs="Times New Roman"/>
          <w:b/>
          <w:color w:val="auto"/>
          <w:sz w:val="24"/>
          <w:szCs w:val="24"/>
        </w:rPr>
        <w:t>Indicate how, by whom, and for what purpose the information is to be used. Except for a new collection, indicate the actual use the agency has made of the information received from the current</w:t>
      </w:r>
      <w:r w:rsidRPr="009B36BA" w:rsidR="009B36BA">
        <w:rPr>
          <w:rFonts w:ascii="Times New Roman" w:hAnsi="Times New Roman" w:cs="Times New Roman"/>
          <w:b/>
          <w:color w:val="auto"/>
          <w:spacing w:val="-1"/>
          <w:sz w:val="24"/>
          <w:szCs w:val="24"/>
        </w:rPr>
        <w:t xml:space="preserve"> </w:t>
      </w:r>
      <w:r w:rsidRPr="009B36BA" w:rsidR="009B36BA">
        <w:rPr>
          <w:rFonts w:ascii="Times New Roman" w:hAnsi="Times New Roman" w:cs="Times New Roman"/>
          <w:b/>
          <w:color w:val="auto"/>
          <w:sz w:val="24"/>
          <w:szCs w:val="24"/>
        </w:rPr>
        <w:t>collection.</w:t>
      </w:r>
    </w:p>
    <w:p w:rsidR="00BD450D" w:rsidRPr="008C5965" w:rsidP="00BD450D" w14:paraId="3A0206A7" w14:textId="77777777">
      <w:pPr>
        <w:pStyle w:val="Default"/>
      </w:pPr>
    </w:p>
    <w:p w:rsidR="00BD450D" w:rsidP="00BD450D" w14:paraId="7AC604C3" w14:textId="77777777">
      <w:pPr>
        <w:pStyle w:val="CM23"/>
        <w:spacing w:after="0"/>
        <w:ind w:right="533"/>
      </w:pPr>
      <w:r>
        <w:t xml:space="preserve">The </w:t>
      </w:r>
      <w:r w:rsidR="00BF0CAA">
        <w:t>FES estimates marine recreational fishing effort</w:t>
      </w:r>
      <w:r w:rsidR="007D0B46">
        <w:t xml:space="preserve"> (i.e. number of fishing days)</w:t>
      </w:r>
      <w:r w:rsidR="00BF0CAA">
        <w:t xml:space="preserve"> for two-month reference waves.  </w:t>
      </w:r>
      <w:r>
        <w:t xml:space="preserve">Recreational fishing catch and effort data are used on an ongoing basis by </w:t>
      </w:r>
      <w:r w:rsidR="00F01DA9">
        <w:t>NOAA Fisheries</w:t>
      </w:r>
      <w:r>
        <w:t xml:space="preserve">, regional fishery </w:t>
      </w:r>
      <w:r>
        <w:t xml:space="preserve">management councils, interstate marine fisheries commissions and state natural resource agencies in developing, implementing and monitoring fishery management programs, per statutory requirements of the Magnuson-Stevens Fishery Conservation and Management </w:t>
      </w:r>
      <w:r>
        <w:t>Act.  Catch and effort statistics are fundamental for assessing the influence of fishing on any fish stock.  Accurate estimates of the quantities taken, fishing effort, and both the seasonal and geographic distributions of catch and effort are required for</w:t>
      </w:r>
      <w:r>
        <w:t xml:space="preserve"> the development of regional management policies and plans.</w:t>
      </w:r>
      <w:r w:rsidR="00BF0CAA">
        <w:t xml:space="preserve">  </w:t>
      </w:r>
    </w:p>
    <w:p w:rsidR="002462F5" w:rsidP="002462F5" w14:paraId="19B1B3B7" w14:textId="77777777">
      <w:pPr>
        <w:pStyle w:val="Default"/>
      </w:pPr>
    </w:p>
    <w:p w:rsidR="00EF3E40" w:rsidRPr="00EF3E40" w:rsidP="002462F5" w14:paraId="13CCE186" w14:textId="77777777">
      <w:pPr>
        <w:pStyle w:val="Default"/>
        <w:rPr>
          <w:b/>
        </w:rPr>
      </w:pPr>
      <w:r>
        <w:rPr>
          <w:b/>
        </w:rPr>
        <w:t xml:space="preserve">FES </w:t>
      </w:r>
      <w:r w:rsidRPr="00EF3E40">
        <w:rPr>
          <w:b/>
        </w:rPr>
        <w:t>Weather and Outdoor Activity Survey</w:t>
      </w:r>
    </w:p>
    <w:p w:rsidR="00BD450D" w:rsidP="00BB57D1" w14:paraId="35F47EDD" w14:textId="00539188">
      <w:pPr>
        <w:pStyle w:val="Default"/>
      </w:pPr>
      <w:r>
        <w:t xml:space="preserve">The </w:t>
      </w:r>
      <w:r w:rsidR="00BB57D1">
        <w:t>FES utilize</w:t>
      </w:r>
      <w:r>
        <w:t>s</w:t>
      </w:r>
      <w:r w:rsidR="00BB57D1">
        <w:t xml:space="preserve"> the Weather and Outdoor Activity Survey instrument</w:t>
      </w:r>
      <w:r>
        <w:t xml:space="preserve">, which collects both fishing and non-fishing information.  Testing of the FES design </w:t>
      </w:r>
      <w:r>
        <w:t xml:space="preserve">suggested that this instrument resulted </w:t>
      </w:r>
      <w:r w:rsidR="00EF3E40">
        <w:t xml:space="preserve">in higher response rates and </w:t>
      </w:r>
      <w:r>
        <w:t>more representative samples of the general population than a fishing-specific instrument</w:t>
      </w:r>
      <w:r w:rsidR="00615D86">
        <w:t xml:space="preserve">.  Results from this </w:t>
      </w:r>
      <w:r w:rsidR="002A3717">
        <w:t>pilot test</w:t>
      </w:r>
      <w:r w:rsidR="00615D86">
        <w:t xml:space="preserve"> are described in Appendix 2</w:t>
      </w:r>
      <w:r>
        <w:t xml:space="preserve">.  </w:t>
      </w:r>
      <w:r w:rsidR="00785291">
        <w:t xml:space="preserve">All respondent contact materials, including the Weather and Outdoor Activity Survey questionnaire, are provided in Appendix 1.  </w:t>
      </w:r>
      <w:r>
        <w:t xml:space="preserve">Specific data elements </w:t>
      </w:r>
      <w:r w:rsidR="007858B9">
        <w:t>collected</w:t>
      </w:r>
      <w:r>
        <w:t xml:space="preserve"> in </w:t>
      </w:r>
      <w:r w:rsidR="00A07C4F">
        <w:t>the</w:t>
      </w:r>
      <w:r>
        <w:t xml:space="preserve"> questionnaire include:</w:t>
      </w:r>
    </w:p>
    <w:p w:rsidR="00BD450D" w:rsidP="00BD450D" w14:paraId="7FB3AC10" w14:textId="77777777">
      <w:pPr>
        <w:pStyle w:val="Default"/>
      </w:pPr>
    </w:p>
    <w:p w:rsidR="004B002B" w:rsidP="004B002B" w14:paraId="2ADCE277" w14:textId="6E3FBFCF">
      <w:pPr>
        <w:pStyle w:val="Default"/>
        <w:numPr>
          <w:ilvl w:val="0"/>
          <w:numId w:val="9"/>
        </w:numPr>
      </w:pPr>
      <w:r>
        <w:t xml:space="preserve">Questions about </w:t>
      </w:r>
      <w:r w:rsidR="00CB0329">
        <w:t>sever</w:t>
      </w:r>
      <w:r w:rsidR="002F6E08">
        <w:t>e</w:t>
      </w:r>
      <w:r w:rsidR="00CB0329">
        <w:t xml:space="preserve"> </w:t>
      </w:r>
      <w:r>
        <w:t>weather</w:t>
      </w:r>
      <w:r w:rsidR="00CB0329">
        <w:t xml:space="preserve"> events, access to weather forecasts</w:t>
      </w:r>
      <w:r w:rsidR="007858B9">
        <w:t xml:space="preserve">, </w:t>
      </w:r>
      <w:r>
        <w:t>visitation to coastal areas</w:t>
      </w:r>
      <w:r w:rsidR="007858B9">
        <w:t xml:space="preserve"> and participation in freshwater fishing (questions 1-5, Appendix 1)</w:t>
      </w:r>
      <w:r>
        <w:t xml:space="preserve"> are </w:t>
      </w:r>
      <w:r w:rsidR="00CB0329">
        <w:t xml:space="preserve">included to engage and encourage response from </w:t>
      </w:r>
      <w:r w:rsidR="007858B9">
        <w:t>the household population, including both angling and non-angling households</w:t>
      </w:r>
      <w:r w:rsidR="00CB0329">
        <w:t xml:space="preserve">.  </w:t>
      </w:r>
      <w:r w:rsidR="007858B9">
        <w:t>Because t</w:t>
      </w:r>
      <w:r w:rsidR="00CB0329">
        <w:t>he FES is a household survey, representative response</w:t>
      </w:r>
      <w:r w:rsidR="007858B9">
        <w:t>s</w:t>
      </w:r>
      <w:r w:rsidR="00CB0329">
        <w:t xml:space="preserve"> </w:t>
      </w:r>
      <w:r w:rsidR="007858B9">
        <w:t xml:space="preserve">from </w:t>
      </w:r>
      <w:r w:rsidR="00CB0329">
        <w:t xml:space="preserve">both angling and non-angling households is essential for producing unbiased estimates, </w:t>
      </w:r>
    </w:p>
    <w:p w:rsidR="00BD450D" w:rsidP="008854F2" w14:paraId="4B29CC61" w14:textId="2007E6A5">
      <w:pPr>
        <w:pStyle w:val="Default"/>
        <w:numPr>
          <w:ilvl w:val="0"/>
          <w:numId w:val="9"/>
        </w:numPr>
      </w:pPr>
      <w:r>
        <w:t>Total number of household residents,</w:t>
      </w:r>
      <w:r w:rsidR="00CB0329">
        <w:t xml:space="preserve"> the t</w:t>
      </w:r>
      <w:r>
        <w:t>ype of househo</w:t>
      </w:r>
      <w:r w:rsidR="00CB0329">
        <w:t>ld telephone service, t</w:t>
      </w:r>
      <w:r>
        <w:t>he type of hous</w:t>
      </w:r>
      <w:r w:rsidR="00CB0329">
        <w:t>ehold unit (rented or owned), and d</w:t>
      </w:r>
      <w:r>
        <w:t>emographic information of house</w:t>
      </w:r>
      <w:r w:rsidR="007858B9">
        <w:t>hold residents, including sex</w:t>
      </w:r>
      <w:r>
        <w:t>, age</w:t>
      </w:r>
      <w:r w:rsidR="007858B9">
        <w:t>, race</w:t>
      </w:r>
      <w:r>
        <w:t xml:space="preserve"> and ethnicity</w:t>
      </w:r>
      <w:r w:rsidR="007858B9">
        <w:t xml:space="preserve"> (questions 7-14, Appendix 1)</w:t>
      </w:r>
      <w:r w:rsidR="00CB0329">
        <w:t>,</w:t>
      </w:r>
      <w:r w:rsidR="002241C4">
        <w:t xml:space="preserve"> are</w:t>
      </w:r>
      <w:r>
        <w:t xml:space="preserve"> </w:t>
      </w:r>
      <w:r w:rsidR="0057177E">
        <w:t>used to assess the repre</w:t>
      </w:r>
      <w:r w:rsidR="002241C4">
        <w:t xml:space="preserve">sentativeness of survey samples, as well as </w:t>
      </w:r>
      <w:r w:rsidR="009C5922">
        <w:t xml:space="preserve">calculate </w:t>
      </w:r>
      <w:r w:rsidR="002241C4">
        <w:t xml:space="preserve">post-survey weighting adjustments to ensure that </w:t>
      </w:r>
      <w:r w:rsidR="009C5922">
        <w:t xml:space="preserve">weighted </w:t>
      </w:r>
      <w:r w:rsidR="002241C4">
        <w:t>samples are representative of the household population.</w:t>
      </w:r>
    </w:p>
    <w:p w:rsidR="00BD450D" w:rsidP="00BD450D" w14:paraId="1D928B85" w14:textId="3829796B">
      <w:pPr>
        <w:pStyle w:val="Default"/>
        <w:numPr>
          <w:ilvl w:val="0"/>
          <w:numId w:val="9"/>
        </w:numPr>
      </w:pPr>
      <w:r>
        <w:t>Questions about fishing activity in the pa</w:t>
      </w:r>
      <w:r w:rsidR="004B002B">
        <w:t>st 12 months</w:t>
      </w:r>
      <w:r>
        <w:t xml:space="preserve"> </w:t>
      </w:r>
      <w:r w:rsidR="004B002B">
        <w:t xml:space="preserve">and 2 months </w:t>
      </w:r>
      <w:r w:rsidR="006701BC">
        <w:t xml:space="preserve">(questions 15-16) </w:t>
      </w:r>
      <w:r>
        <w:t xml:space="preserve">are used to screen </w:t>
      </w:r>
      <w:r w:rsidR="004B002B">
        <w:t xml:space="preserve">for recent fishing activity, </w:t>
      </w:r>
      <w:r>
        <w:t>assist with recall,</w:t>
      </w:r>
      <w:r w:rsidR="004B002B">
        <w:t xml:space="preserve"> and estimate the number </w:t>
      </w:r>
      <w:r w:rsidR="004B002B">
        <w:t xml:space="preserve">of private </w:t>
      </w:r>
      <w:r w:rsidR="00B1498D">
        <w:t>b</w:t>
      </w:r>
      <w:r w:rsidR="004B002B">
        <w:t xml:space="preserve">oat and shore </w:t>
      </w:r>
      <w:r w:rsidR="006701BC">
        <w:t xml:space="preserve">fishing </w:t>
      </w:r>
      <w:r w:rsidR="004B002B">
        <w:t xml:space="preserve">trips </w:t>
      </w:r>
      <w:r w:rsidR="006701BC">
        <w:t xml:space="preserve">taken </w:t>
      </w:r>
      <w:r w:rsidR="004B002B">
        <w:t xml:space="preserve">during </w:t>
      </w:r>
      <w:r w:rsidR="00B1498D">
        <w:t xml:space="preserve">the </w:t>
      </w:r>
      <w:r w:rsidR="006701BC">
        <w:t>reference period</w:t>
      </w:r>
      <w:r w:rsidR="00B1498D">
        <w:t>.</w:t>
      </w:r>
    </w:p>
    <w:p w:rsidR="00F450E2" w:rsidP="00F450E2" w14:paraId="1F544AC6" w14:textId="77777777">
      <w:pPr>
        <w:pStyle w:val="Default"/>
        <w:ind w:left="810"/>
      </w:pPr>
    </w:p>
    <w:p w:rsidR="00050B6B" w:rsidRPr="00F703DA" w:rsidP="00050B6B" w14:paraId="19FF1E79" w14:textId="6986429F">
      <w:pPr>
        <w:pStyle w:val="Default"/>
        <w:rPr>
          <w:b/>
        </w:rPr>
      </w:pPr>
      <w:r w:rsidRPr="00F703DA">
        <w:rPr>
          <w:b/>
        </w:rPr>
        <w:t>FES 2024 Experiments</w:t>
      </w:r>
    </w:p>
    <w:p w:rsidR="003D1795" w:rsidRPr="00F703DA" w:rsidP="00050B6B" w14:paraId="494BD861" w14:textId="27427394">
      <w:pPr>
        <w:pStyle w:val="Default"/>
        <w:rPr>
          <w:b/>
        </w:rPr>
      </w:pPr>
    </w:p>
    <w:p w:rsidR="003D1795" w:rsidRPr="00F703DA" w:rsidP="00050B6B" w14:paraId="3B58AB50" w14:textId="293986DA">
      <w:pPr>
        <w:pStyle w:val="Default"/>
        <w:rPr>
          <w:b/>
          <w:i/>
        </w:rPr>
      </w:pPr>
      <w:r w:rsidRPr="00F703DA">
        <w:rPr>
          <w:b/>
          <w:i/>
        </w:rPr>
        <w:t>One-Month Wave Study</w:t>
      </w:r>
    </w:p>
    <w:p w:rsidR="000F3B48" w:rsidRPr="00F703DA" w:rsidP="00050B6B" w14:paraId="2D353519" w14:textId="1FF28497">
      <w:pPr>
        <w:pStyle w:val="Default"/>
        <w:rPr>
          <w:b/>
          <w:i/>
        </w:rPr>
      </w:pPr>
    </w:p>
    <w:p w:rsidR="005C6472" w:rsidRPr="00F703DA" w:rsidP="005C6472" w14:paraId="19888972" w14:textId="711B5BF4">
      <w:pPr>
        <w:pStyle w:val="CM22"/>
        <w:spacing w:after="0"/>
      </w:pPr>
      <w:r w:rsidRPr="00F703DA">
        <w:t>The Magnuson-Stevens Fishery Conservation and Management Reauthorization Act (MSRA) of 2006  (P.L. 109-479) mandates that the Secretary of Commerce establish a program to improve the quality a</w:t>
      </w:r>
      <w:r w:rsidRPr="00F703DA">
        <w:t>nd accuracy of recreational fishery statistics (formerly collected via the Marine Recreational Fisheries Statistics Survey).  Furthermore, the program must take into consideration recommendations from a National Research Council (NRC) Review of Recreationa</w:t>
      </w:r>
      <w:r w:rsidRPr="00F703DA">
        <w:t>l Fisheries Survey Methods (2006), including improving the effectiveness and appropriateness of sampling and estimation procedures and providing for ongoing evaluation and modification as needed to meet management needs.  MSRA also requires Regional Fisher</w:t>
      </w:r>
      <w:r w:rsidRPr="00F703DA">
        <w:t>y Management Councils, under the purview of the Secretary</w:t>
      </w:r>
      <w:r w:rsidRPr="00F703DA" w:rsidR="00A90626">
        <w:t xml:space="preserve"> of Commerce</w:t>
      </w:r>
      <w:r w:rsidRPr="00F703DA">
        <w:t>, to establish annual catch limits (ACLs) for all federally managed fisheries, and NOAA Fisheries National Standard 1 (50 CFR 600.310) specifies that whenever possible, Fishery Management</w:t>
      </w:r>
      <w:r w:rsidRPr="00F703DA">
        <w:t xml:space="preserve"> Plans should include in</w:t>
      </w:r>
      <w:r w:rsidRPr="00F703DA" w:rsidR="0051190F">
        <w:t>-</w:t>
      </w:r>
      <w:r w:rsidRPr="00F703DA">
        <w:t>season monitoring and management measures to prevent catch from exceeding ACLs.</w:t>
      </w:r>
    </w:p>
    <w:p w:rsidR="005C6472" w:rsidRPr="00F703DA" w:rsidP="005C6472" w14:paraId="43A9865F" w14:textId="77777777">
      <w:pPr>
        <w:pStyle w:val="Default"/>
      </w:pPr>
    </w:p>
    <w:p w:rsidR="005C6472" w:rsidRPr="00F703DA" w:rsidP="005C6472" w14:paraId="76AF06A1" w14:textId="289D47BE">
      <w:pPr>
        <w:pStyle w:val="CM22"/>
        <w:spacing w:after="0"/>
      </w:pPr>
      <w:r w:rsidRPr="00F703DA">
        <w:t>Subsequently, NOAA Fisheries established the Marine Recreational Information Program (MRIP) and implemented enhanced survey designs that were designed</w:t>
      </w:r>
      <w:r w:rsidRPr="00F703DA">
        <w:t xml:space="preserve"> and evaluated through a rigorous testing and peer review process.  A key improvement was implementation of</w:t>
      </w:r>
      <w:r w:rsidRPr="00F703DA" w:rsidR="00134A3B">
        <w:t xml:space="preserve"> the MRIP Fishing Effort Survey.  </w:t>
      </w:r>
      <w:r w:rsidRPr="00F703DA">
        <w:t>In 2017, a follow-up review of MRIP by the National Academies of Sciences, Engineering, and Medicine (NAS) conclude</w:t>
      </w:r>
      <w:r w:rsidRPr="00F703DA">
        <w:t>d that the FES was a major improvement over the previous telephone survey design.  However, the FES produces estimates for two-month reference periods (waves), which are not available until approximately 45 days after the completion of each wave.</w:t>
      </w:r>
    </w:p>
    <w:p w:rsidR="005C6472" w:rsidRPr="00F703DA" w:rsidP="005C6472" w14:paraId="6FE0DAC2" w14:textId="77777777">
      <w:pPr>
        <w:pStyle w:val="CM22"/>
        <w:spacing w:after="0"/>
      </w:pPr>
    </w:p>
    <w:p w:rsidR="005C6472" w:rsidRPr="00F703DA" w:rsidP="005C6472" w14:paraId="5B630C4A" w14:textId="50513FC6">
      <w:pPr>
        <w:pStyle w:val="CM22"/>
        <w:spacing w:after="0"/>
      </w:pPr>
      <w:r w:rsidRPr="00F703DA">
        <w:t>In both the 2017 and a follow-up review released in 2021, the NAS concluded that implementation of ACL</w:t>
      </w:r>
      <w:r w:rsidRPr="00F703DA">
        <w:t>s is challenged by the lack of timeliness in survey data, resulting in lost fishing opportunities, and that two-month waves make it difficult for fishery</w:t>
      </w:r>
      <w:r w:rsidRPr="00F703DA">
        <w:t xml:space="preserve"> managers to respond to changes in a fishery as they are happening.  The Modernizing Recreational Fisheries Management Act (MFA) of 2018 (P.L. 115-405) incorporated findings from the 2017 NAS review, requiring MRIP to consider its findings.  Transitioning </w:t>
      </w:r>
      <w:r w:rsidRPr="00F703DA">
        <w:t xml:space="preserve">to one-month waves in the FES would </w:t>
      </w:r>
      <w:r w:rsidRPr="00F703DA" w:rsidR="00134A3B">
        <w:t>address NRC and NAS recommendations, as required by MSRA and MFA, and increase the utility of the survey by supporting</w:t>
      </w:r>
      <w:r w:rsidRPr="00F703DA">
        <w:t xml:space="preserve"> in-season management</w:t>
      </w:r>
      <w:r w:rsidRPr="00F703DA" w:rsidR="007A6F0D">
        <w:t xml:space="preserve"> of fisheries</w:t>
      </w:r>
      <w:r w:rsidRPr="00F703DA">
        <w:t xml:space="preserve">.  </w:t>
      </w:r>
    </w:p>
    <w:p w:rsidR="005C6472" w:rsidRPr="00F703DA" w:rsidP="005C6472" w14:paraId="4E140549" w14:textId="77777777">
      <w:pPr>
        <w:pStyle w:val="CM22"/>
        <w:spacing w:after="0"/>
      </w:pPr>
    </w:p>
    <w:p w:rsidR="00F450E2" w:rsidRPr="007C7F25" w:rsidP="005C6472" w14:paraId="7515454D" w14:textId="10B7E153">
      <w:pPr>
        <w:pStyle w:val="CM22"/>
        <w:spacing w:after="0"/>
      </w:pPr>
      <w:r w:rsidRPr="00F703DA">
        <w:t>To date, transitioning to one-month waves has not been possible</w:t>
      </w:r>
      <w:r w:rsidRPr="00F703DA">
        <w:t xml:space="preserve"> due to the costs associated with side-by-side testing and benchmarking required to carefully evaluate and adjust for (via calibration) potential systematic differences in survey estimates resulting from a design change.  However, funding from the Inflatio</w:t>
      </w:r>
      <w:r w:rsidRPr="00F703DA">
        <w:t xml:space="preserve">n Reduction Act (IRA) of 2022 (P.L. 117-169) has recently become available to complete this work.  </w:t>
      </w:r>
      <w:r w:rsidRPr="00F703DA" w:rsidR="007A6F0D">
        <w:t>This request is to test</w:t>
      </w:r>
      <w:r w:rsidRPr="00F703DA">
        <w:t xml:space="preserve"> a revised version of the FES that will collect data for one-month waves using an improved questionnaire </w:t>
      </w:r>
      <w:r w:rsidRPr="00F703DA">
        <w:t xml:space="preserve">while retaining </w:t>
      </w:r>
      <w:r w:rsidRPr="00F703DA">
        <w:t>all other features of the current design.  The pilot study must be conducted concurrently with the current FES design to quantify any systematic differences in survey estimates and develop a calibration model to facilitate the</w:t>
      </w:r>
      <w:r w:rsidRPr="00F703DA" w:rsidR="00BF5A3E">
        <w:t xml:space="preserve"> transition to the new design.</w:t>
      </w:r>
      <w:r w:rsidR="00BF5A3E">
        <w:t xml:space="preserve">  </w:t>
      </w:r>
    </w:p>
    <w:p w:rsidR="00CB0329" w:rsidP="00F418B9" w14:paraId="7820BD9A" w14:textId="77777777">
      <w:pPr>
        <w:pStyle w:val="CM22"/>
        <w:spacing w:after="0"/>
      </w:pPr>
    </w:p>
    <w:p w:rsidR="00BD450D" w:rsidP="009B36BA" w14:paraId="7D0381A3" w14:textId="0D3F1F77">
      <w:pPr>
        <w:pStyle w:val="CM22"/>
        <w:spacing w:after="0"/>
      </w:pPr>
      <w:r>
        <w:t xml:space="preserve">NOAA Fisheries will retain control over the information and safeguard it from improper access, modification, and destruction, consistent with NOAA standards for confidentiality, privacy, and electronic information.  See response to Question 10 of this </w:t>
      </w:r>
      <w:r>
        <w:t xml:space="preserve">Supporting Statement for more information on confidentiality and privacy.  The information collection is designed to yield data that meet all applicable information quality guidelines.  The data collected by the MFES will be subject to the quality control </w:t>
      </w:r>
      <w:r>
        <w:t xml:space="preserve">measures and pre-dissemination review pursuant to </w:t>
      </w:r>
      <w:hyperlink r:id="rId8" w:history="1">
        <w:r w:rsidRPr="00942F84">
          <w:rPr>
            <w:rStyle w:val="Hyperlink"/>
          </w:rPr>
          <w:t>Section 515 of Public Law 106-554</w:t>
        </w:r>
      </w:hyperlink>
      <w:r>
        <w:t xml:space="preserve">.  </w:t>
      </w:r>
    </w:p>
    <w:p w:rsidR="009B36BA" w:rsidRPr="009B36BA" w:rsidP="009B36BA" w14:paraId="49A6D898" w14:textId="77777777">
      <w:pPr>
        <w:pStyle w:val="Default"/>
      </w:pPr>
    </w:p>
    <w:p w:rsidR="00BD450D" w:rsidRPr="009B36BA" w:rsidP="009B36BA" w14:paraId="0A91330B" w14:textId="259B6B4A">
      <w:pPr>
        <w:pStyle w:val="ListParagraph"/>
        <w:widowControl w:val="0"/>
        <w:tabs>
          <w:tab w:val="left" w:pos="360"/>
        </w:tabs>
        <w:autoSpaceDE w:val="0"/>
        <w:autoSpaceDN w:val="0"/>
        <w:spacing w:before="199" w:line="240" w:lineRule="auto"/>
        <w:ind w:left="0"/>
        <w:contextualSpacing w:val="0"/>
        <w:rPr>
          <w:b/>
        </w:rPr>
      </w:pPr>
      <w:r>
        <w:rPr>
          <w:b/>
          <w:bCs/>
        </w:rPr>
        <w:t xml:space="preserve">3. </w:t>
      </w:r>
      <w:r w:rsidRPr="00BD7237" w:rsidR="009B36B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9B36BA">
        <w:rPr>
          <w:b/>
          <w:spacing w:val="-6"/>
        </w:rPr>
        <w:t xml:space="preserve"> </w:t>
      </w:r>
      <w:r w:rsidRPr="00BD7237" w:rsidR="009B36BA">
        <w:rPr>
          <w:b/>
        </w:rPr>
        <w:t>burden.</w:t>
      </w:r>
    </w:p>
    <w:p w:rsidR="00BD450D" w:rsidRPr="00093E43" w:rsidP="00BD450D" w14:paraId="7F5FE4F7" w14:textId="77777777">
      <w:pPr>
        <w:pStyle w:val="Default"/>
      </w:pPr>
    </w:p>
    <w:p w:rsidR="00BD450D" w:rsidP="00BD450D" w14:paraId="1CDFCBDF" w14:textId="10EAE37B">
      <w:pPr>
        <w:pStyle w:val="CM23"/>
        <w:spacing w:after="0"/>
        <w:ind w:right="130"/>
      </w:pPr>
      <w:r>
        <w:t>The surveys will be conducted by</w:t>
      </w:r>
      <w:r w:rsidR="00157852">
        <w:t xml:space="preserve"> mail</w:t>
      </w:r>
      <w:r>
        <w:t>.  Survey responses will be automatically captured through optica</w:t>
      </w:r>
      <w:r w:rsidR="00B17A2C">
        <w:t>l character recognition (OCR), which</w:t>
      </w:r>
      <w:r>
        <w:t xml:space="preserve"> </w:t>
      </w:r>
      <w:r w:rsidR="004535CD">
        <w:t>ensures</w:t>
      </w:r>
      <w:r>
        <w:t xml:space="preserve"> the accuracy and efficiency of data collecti</w:t>
      </w:r>
      <w:r>
        <w:t>on.</w:t>
      </w:r>
    </w:p>
    <w:p w:rsidR="00B271F7" w:rsidP="00B271F7" w14:paraId="509CF277" w14:textId="77777777">
      <w:pPr>
        <w:pStyle w:val="Default"/>
      </w:pPr>
    </w:p>
    <w:p w:rsidR="00B271F7" w:rsidRPr="00B271F7" w:rsidP="00B271F7" w14:paraId="300EB1DF" w14:textId="26B0BCEE">
      <w:pPr>
        <w:pStyle w:val="Default"/>
      </w:pPr>
      <w:r w:rsidRPr="00B271F7">
        <w:t xml:space="preserve">A “web push” design that encouraged </w:t>
      </w:r>
      <w:r>
        <w:t>response</w:t>
      </w:r>
      <w:r w:rsidRPr="00B271F7">
        <w:t xml:space="preserve"> to the FES through </w:t>
      </w:r>
      <w:r>
        <w:t>an online instrument</w:t>
      </w:r>
      <w:r w:rsidRPr="00B271F7">
        <w:t xml:space="preserve"> </w:t>
      </w:r>
      <w:r>
        <w:t xml:space="preserve">before providing a paper instrument </w:t>
      </w:r>
      <w:r w:rsidRPr="00B271F7">
        <w:t xml:space="preserve">was tested in </w:t>
      </w:r>
      <w:r>
        <w:t>2018-2019</w:t>
      </w:r>
      <w:r w:rsidRPr="00B271F7">
        <w:t xml:space="preserve">. </w:t>
      </w:r>
      <w:r w:rsidR="00BF1BC5">
        <w:t>The web-push design</w:t>
      </w:r>
      <w:r>
        <w:t xml:space="preserve"> </w:t>
      </w:r>
      <w:r w:rsidR="0004396A">
        <w:t xml:space="preserve">resulted in response rates </w:t>
      </w:r>
      <w:r w:rsidR="00E94471">
        <w:t>that were 7</w:t>
      </w:r>
      <w:r w:rsidR="0004396A">
        <w:t>-1</w:t>
      </w:r>
      <w:r w:rsidR="00E94471">
        <w:t>1</w:t>
      </w:r>
      <w:r w:rsidR="0004396A">
        <w:t xml:space="preserve"> percentage points lower than FES response rates</w:t>
      </w:r>
      <w:r w:rsidR="00E94471">
        <w:t xml:space="preserve">.  In addition to increasing the risk for nonresponse bias, lower response rates would increase data collection </w:t>
      </w:r>
      <w:r w:rsidR="00FD3474">
        <w:t>costs by approximately 15% on a per-</w:t>
      </w:r>
      <w:r w:rsidR="00E94471">
        <w:t xml:space="preserve">complete basis.  </w:t>
      </w:r>
      <w:r w:rsidR="00AA0732">
        <w:t xml:space="preserve">The web-push and FES designs were approximately equal in terms of data editing rates, </w:t>
      </w:r>
      <w:r w:rsidR="002A55C8">
        <w:t>while</w:t>
      </w:r>
      <w:r w:rsidR="00FD3474">
        <w:t xml:space="preserve"> the web-push design had a longer median response time than the FES.  </w:t>
      </w:r>
      <w:r w:rsidR="00AA0732">
        <w:t xml:space="preserve">At present, the </w:t>
      </w:r>
      <w:r w:rsidR="00B82978">
        <w:t>current FES design is more cost effective and provides more timely survey results than the web</w:t>
      </w:r>
      <w:r w:rsidR="00AA0732">
        <w:t xml:space="preserve">-push design.  </w:t>
      </w:r>
      <w:r w:rsidR="0004396A">
        <w:t xml:space="preserve">Consequently, it is unlikely that NOAA will transition to a web-pus design within the next </w:t>
      </w:r>
      <w:r w:rsidR="00020554">
        <w:t>three</w:t>
      </w:r>
      <w:r w:rsidR="0004396A">
        <w:t xml:space="preserve"> years.</w:t>
      </w:r>
      <w:r>
        <w:t xml:space="preserve">  </w:t>
      </w:r>
    </w:p>
    <w:p w:rsidR="00BD450D" w:rsidRPr="005B45A6" w:rsidP="00BD450D" w14:paraId="3ECA8E68" w14:textId="0901016B">
      <w:pPr>
        <w:pStyle w:val="Default"/>
      </w:pPr>
    </w:p>
    <w:p w:rsidR="00BD450D" w:rsidRPr="009B36BA" w:rsidP="009B36BA" w14:paraId="7BC5EFD0" w14:textId="6A177AD0">
      <w:pPr>
        <w:pStyle w:val="ListParagraph"/>
        <w:widowControl w:val="0"/>
        <w:tabs>
          <w:tab w:val="left" w:pos="360"/>
        </w:tabs>
        <w:autoSpaceDE w:val="0"/>
        <w:autoSpaceDN w:val="0"/>
        <w:spacing w:before="80" w:line="240" w:lineRule="auto"/>
        <w:ind w:left="0"/>
        <w:contextualSpacing w:val="0"/>
        <w:rPr>
          <w:b/>
        </w:rPr>
      </w:pPr>
      <w:r w:rsidRPr="009B36BA">
        <w:rPr>
          <w:b/>
        </w:rPr>
        <w:t xml:space="preserve">4. </w:t>
      </w:r>
      <w:r w:rsidRPr="009B36BA" w:rsidR="009B36BA">
        <w:rPr>
          <w:b/>
        </w:rPr>
        <w:t>Describe efforts to identify duplication. Show specifically why any similar information already available cannot be used or modified for use for the purposes described in Question</w:t>
      </w:r>
      <w:r w:rsidRPr="009B36BA" w:rsidR="009B36BA">
        <w:rPr>
          <w:b/>
          <w:spacing w:val="-42"/>
        </w:rPr>
        <w:t xml:space="preserve"> </w:t>
      </w:r>
      <w:r w:rsidRPr="009B36BA" w:rsidR="009B36BA">
        <w:rPr>
          <w:b/>
        </w:rPr>
        <w:t>2</w:t>
      </w:r>
    </w:p>
    <w:p w:rsidR="00442981" w:rsidRPr="00442981" w:rsidP="00442981" w14:paraId="738DFC11" w14:textId="77777777">
      <w:pPr>
        <w:spacing w:line="240" w:lineRule="auto"/>
        <w:rPr>
          <w:b/>
          <w:u w:val="single"/>
        </w:rPr>
      </w:pPr>
    </w:p>
    <w:p w:rsidR="00BD450D" w:rsidP="00BD450D" w14:paraId="290BFB9B" w14:textId="77777777">
      <w:pPr>
        <w:pStyle w:val="Default"/>
      </w:pPr>
      <w:r>
        <w:t>NOAA Fisheries coll</w:t>
      </w:r>
      <w:r>
        <w:t>aborates with state natural resource agencies and regional interstate fisheries commissions on the Atlantic and Gulf coasts to ensure that recreational fisheries data collections are not duplicative.  Every five years, the Fish and Wildlife Service (FWS) o</w:t>
      </w:r>
      <w:r>
        <w:t>f the U.S. Department of the Interior conducts the National Survey of Fishing, Hunting and Wildlife-Associated Recreation (OMB Control No. 1018-0088).  This survey collects minimal information about annual recreational saltwater fishing activity within the</w:t>
      </w:r>
      <w:r>
        <w:t xml:space="preserve"> context of additional recreation activities.  That survey does not provide the spatial or temporal resolution needed by managers of fishery resources to monitor and manage recreational fisheries landings.   </w:t>
      </w:r>
    </w:p>
    <w:p w:rsidR="00BD450D" w:rsidP="00BD450D" w14:paraId="4BC044A5" w14:textId="77777777">
      <w:pPr>
        <w:pStyle w:val="Default"/>
      </w:pPr>
    </w:p>
    <w:p w:rsidR="009B36BA" w:rsidRPr="00BD7237" w:rsidP="009B36BA" w14:paraId="360EC4B7" w14:textId="77777777">
      <w:pPr>
        <w:pStyle w:val="ListParagraph"/>
        <w:widowControl w:val="0"/>
        <w:tabs>
          <w:tab w:val="left" w:pos="360"/>
        </w:tabs>
        <w:autoSpaceDE w:val="0"/>
        <w:autoSpaceDN w:val="0"/>
        <w:spacing w:before="80" w:line="240" w:lineRule="auto"/>
        <w:ind w:left="0"/>
        <w:contextualSpacing w:val="0"/>
        <w:rPr>
          <w:b/>
        </w:rPr>
      </w:pPr>
      <w:r>
        <w:rPr>
          <w:b/>
          <w:bCs/>
        </w:rPr>
        <w:t xml:space="preserve">5. </w:t>
      </w:r>
      <w:r w:rsidRPr="00BD7237">
        <w:rPr>
          <w:b/>
        </w:rPr>
        <w:t xml:space="preserve">If the collection of information impacts </w:t>
      </w:r>
      <w:r w:rsidRPr="00BD7237">
        <w:rPr>
          <w:b/>
        </w:rPr>
        <w:t>small businesses or other small entities, describe any methods used to minimize burden.</w:t>
      </w:r>
    </w:p>
    <w:p w:rsidR="00BD450D" w:rsidRPr="00093E43" w:rsidP="00BD450D" w14:paraId="36369986" w14:textId="09FF5659">
      <w:pPr>
        <w:pStyle w:val="Default"/>
      </w:pPr>
    </w:p>
    <w:p w:rsidR="00BD450D" w:rsidP="00BD450D" w14:paraId="67AC7F65" w14:textId="77777777">
      <w:pPr>
        <w:pStyle w:val="CM22"/>
        <w:spacing w:after="0"/>
      </w:pPr>
      <w:r>
        <w:t>No small businesses will be impacted by this revision.</w:t>
      </w:r>
      <w:r w:rsidR="003500CA">
        <w:t xml:space="preserve"> Individuals or households are the respondents.</w:t>
      </w:r>
    </w:p>
    <w:p w:rsidR="00BD450D" w:rsidRPr="00093E43" w:rsidP="00BD450D" w14:paraId="5FA03E19" w14:textId="77777777">
      <w:pPr>
        <w:pStyle w:val="Default"/>
      </w:pPr>
    </w:p>
    <w:p w:rsidR="009B36BA" w:rsidRPr="00BD7237" w:rsidP="009B36BA" w14:paraId="6BC55247" w14:textId="77777777">
      <w:pPr>
        <w:pStyle w:val="ListParagraph"/>
        <w:widowControl w:val="0"/>
        <w:tabs>
          <w:tab w:val="left" w:pos="360"/>
        </w:tabs>
        <w:autoSpaceDE w:val="0"/>
        <w:autoSpaceDN w:val="0"/>
        <w:spacing w:before="80" w:line="240" w:lineRule="auto"/>
        <w:ind w:left="0"/>
        <w:contextualSpacing w:val="0"/>
        <w:rPr>
          <w:b/>
        </w:rPr>
      </w:pPr>
      <w:r>
        <w:rPr>
          <w:b/>
          <w:bCs/>
        </w:rPr>
        <w:t xml:space="preserve">6. </w:t>
      </w:r>
      <w:r w:rsidRPr="00BD7237">
        <w:rPr>
          <w:b/>
        </w:rPr>
        <w:t>Describe the consequence to Federal program or policy activit</w:t>
      </w:r>
      <w:r w:rsidRPr="00BD7237">
        <w:rPr>
          <w:b/>
        </w:rPr>
        <w:t>ies if the collection is not conducted or is conducted less frequently, as well as any technical or legal obstacles to reducing burden.</w:t>
      </w:r>
    </w:p>
    <w:p w:rsidR="00BD450D" w:rsidRPr="00093E43" w:rsidP="00BD450D" w14:paraId="10857A0D" w14:textId="79D2446A">
      <w:pPr>
        <w:pStyle w:val="Default"/>
      </w:pPr>
    </w:p>
    <w:p w:rsidR="00BD450D" w:rsidRPr="00763DE2" w:rsidP="00442981" w14:paraId="6BA7EBFC" w14:textId="77777777">
      <w:pPr>
        <w:spacing w:line="240" w:lineRule="auto"/>
      </w:pPr>
      <w:r>
        <w:t xml:space="preserve">If the survey </w:t>
      </w:r>
      <w:r w:rsidR="00DB39C7">
        <w:t>was not conducted or was</w:t>
      </w:r>
      <w:r>
        <w:t xml:space="preserve"> conducted less frequently</w:t>
      </w:r>
      <w:r w:rsidRPr="00763DE2">
        <w:t xml:space="preserve">, </w:t>
      </w:r>
      <w:r w:rsidR="001E2180">
        <w:t>NOAA Fisheries</w:t>
      </w:r>
      <w:r>
        <w:t xml:space="preserve"> and state natural resource agencies</w:t>
      </w:r>
      <w:r w:rsidRPr="00763DE2">
        <w:t xml:space="preserve"> wo</w:t>
      </w:r>
      <w:r w:rsidRPr="00763DE2">
        <w:t>uld experience difficulty in effectively carrying out their responsibilities to meet statutory, administrative, and other obligations</w:t>
      </w:r>
      <w:r>
        <w:t xml:space="preserve"> to end overfishing of marine fishery resources</w:t>
      </w:r>
      <w:r w:rsidRPr="00763DE2">
        <w:t xml:space="preserve">.  </w:t>
      </w:r>
      <w:r>
        <w:t>An ongoing</w:t>
      </w:r>
      <w:r w:rsidRPr="00763DE2">
        <w:t xml:space="preserve"> survey of recreational anglers is required to monitor changing</w:t>
      </w:r>
      <w:r w:rsidRPr="00763DE2">
        <w:t xml:space="preserve"> conditions in the fishery and support modifications in fishery regulations </w:t>
      </w:r>
      <w:r>
        <w:t>both within fishing seasons and among</w:t>
      </w:r>
      <w:r w:rsidRPr="00763DE2">
        <w:t xml:space="preserve"> fishing year</w:t>
      </w:r>
      <w:r>
        <w:t>s</w:t>
      </w:r>
      <w:r w:rsidRPr="00763DE2">
        <w:t xml:space="preserve">.  </w:t>
      </w:r>
      <w:r>
        <w:t>In addition, a</w:t>
      </w:r>
      <w:r w:rsidRPr="00763DE2">
        <w:t xml:space="preserve"> continuous time series of data is scientifically essential</w:t>
      </w:r>
      <w:r>
        <w:t xml:space="preserve"> to assess the impact of recreational fishing on fish stocks</w:t>
      </w:r>
      <w:r w:rsidRPr="00763DE2">
        <w:t xml:space="preserve">.  </w:t>
      </w:r>
    </w:p>
    <w:p w:rsidR="00BD450D" w:rsidRPr="00093E43" w:rsidP="00BD450D" w14:paraId="24150348" w14:textId="77777777">
      <w:pPr>
        <w:pStyle w:val="Default"/>
      </w:pPr>
      <w:r w:rsidRPr="00763DE2">
        <w:t xml:space="preserve"> </w:t>
      </w:r>
    </w:p>
    <w:p w:rsidR="009B36BA" w:rsidRPr="00BD7237" w:rsidP="009B36BA" w14:paraId="35E3A198" w14:textId="386979C6">
      <w:pPr>
        <w:pStyle w:val="ListParagraph"/>
        <w:widowControl w:val="0"/>
        <w:tabs>
          <w:tab w:val="left" w:pos="360"/>
        </w:tabs>
        <w:autoSpaceDE w:val="0"/>
        <w:autoSpaceDN w:val="0"/>
        <w:spacing w:before="80" w:line="240" w:lineRule="auto"/>
        <w:ind w:left="0"/>
        <w:contextualSpacing w:val="0"/>
        <w:rPr>
          <w:b/>
        </w:rPr>
      </w:pPr>
      <w:r>
        <w:rPr>
          <w:b/>
          <w:bCs/>
        </w:rPr>
        <w:t xml:space="preserve">7. </w:t>
      </w:r>
      <w:r w:rsidRPr="00BD7237">
        <w:rPr>
          <w:b/>
        </w:rPr>
        <w:t>Explain any special circumstances that would cause an information collect</w:t>
      </w:r>
      <w:r>
        <w:rPr>
          <w:b/>
        </w:rPr>
        <w:t>ion to be conducted in a manner inconsistent with OMB guidelines.</w:t>
      </w:r>
    </w:p>
    <w:p w:rsidR="00BD450D" w:rsidRPr="00093E43" w:rsidP="00BD450D" w14:paraId="06D1BB6B" w14:textId="326021B2">
      <w:pPr>
        <w:pStyle w:val="Default"/>
      </w:pPr>
    </w:p>
    <w:p w:rsidR="00BD450D" w:rsidP="00BD450D" w14:paraId="370FBE14" w14:textId="77777777">
      <w:pPr>
        <w:pStyle w:val="CM22"/>
        <w:spacing w:after="0"/>
      </w:pPr>
      <w:r>
        <w:t>The collection is consistent with OMB guideline</w:t>
      </w:r>
      <w:r>
        <w:t xml:space="preserve">s. </w:t>
      </w:r>
    </w:p>
    <w:p w:rsidR="00BD450D" w:rsidRPr="00093E43" w:rsidP="00BD450D" w14:paraId="71FBE6AB" w14:textId="77777777">
      <w:pPr>
        <w:pStyle w:val="Default"/>
      </w:pPr>
    </w:p>
    <w:p w:rsidR="00BD450D" w:rsidRPr="009B36BA" w:rsidP="009B36BA" w14:paraId="67CD336B" w14:textId="65B969D8">
      <w:pPr>
        <w:pStyle w:val="ListParagraph"/>
        <w:widowControl w:val="0"/>
        <w:tabs>
          <w:tab w:val="left" w:pos="360"/>
        </w:tabs>
        <w:autoSpaceDE w:val="0"/>
        <w:autoSpaceDN w:val="0"/>
        <w:spacing w:before="80" w:line="240" w:lineRule="auto"/>
        <w:ind w:left="0"/>
        <w:contextualSpacing w:val="0"/>
        <w:rPr>
          <w:b/>
        </w:rPr>
      </w:pPr>
      <w:r>
        <w:rPr>
          <w:b/>
          <w:bCs/>
        </w:rPr>
        <w:t xml:space="preserve">8. </w:t>
      </w:r>
      <w:r w:rsidRPr="00BD7237" w:rsidR="009B36BA">
        <w:rPr>
          <w:b/>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450D" w:rsidRPr="009D032E" w:rsidP="00BD450D" w14:paraId="463A6F1B" w14:textId="77777777">
      <w:pPr>
        <w:pStyle w:val="Default"/>
      </w:pPr>
    </w:p>
    <w:p w:rsidR="00464B9B" w:rsidP="00464B9B" w14:paraId="4AC5337A" w14:textId="0AF4D554">
      <w:pPr>
        <w:pStyle w:val="CM23"/>
        <w:spacing w:after="0"/>
        <w:ind w:right="858"/>
      </w:pPr>
      <w:r w:rsidRPr="00C9094B">
        <w:t xml:space="preserve">A </w:t>
      </w:r>
      <w:r w:rsidRPr="00C9094B">
        <w:rPr>
          <w:u w:val="single"/>
        </w:rPr>
        <w:t>Federal Register</w:t>
      </w:r>
      <w:r w:rsidRPr="00C9094B">
        <w:t xml:space="preserve"> Notice</w:t>
      </w:r>
      <w:r w:rsidR="00967F64">
        <w:t>, p</w:t>
      </w:r>
      <w:r w:rsidRPr="00C9094B">
        <w:t xml:space="preserve">ublished on </w:t>
      </w:r>
      <w:r w:rsidR="008444FE">
        <w:t>April 11, 2023</w:t>
      </w:r>
      <w:r w:rsidRPr="00D61D04">
        <w:t xml:space="preserve"> (</w:t>
      </w:r>
      <w:r w:rsidR="008444FE">
        <w:t>88</w:t>
      </w:r>
      <w:r w:rsidRPr="00D61D04">
        <w:t xml:space="preserve"> FR </w:t>
      </w:r>
      <w:r w:rsidR="008444FE">
        <w:t>21628</w:t>
      </w:r>
      <w:r w:rsidRPr="00D61D04">
        <w:t>)</w:t>
      </w:r>
      <w:r w:rsidRPr="00C9094B">
        <w:t xml:space="preserve"> solicited public comment on this revision.  </w:t>
      </w:r>
      <w:r>
        <w:t>No comments were</w:t>
      </w:r>
      <w:r w:rsidR="0007127D">
        <w:t xml:space="preserve"> received.</w:t>
      </w:r>
      <w:r w:rsidR="00927300">
        <w:t xml:space="preserve"> </w:t>
      </w:r>
    </w:p>
    <w:p w:rsidR="003E5707" w:rsidP="003E5707" w14:paraId="0A54B2E7" w14:textId="77777777">
      <w:pPr>
        <w:pStyle w:val="Default"/>
      </w:pPr>
    </w:p>
    <w:p w:rsidR="00EA2D2E" w:rsidP="004B4380" w14:paraId="6E600AC0" w14:textId="6C3F0CF1">
      <w:pPr>
        <w:spacing w:line="240" w:lineRule="auto"/>
      </w:pPr>
      <w:r>
        <w:t xml:space="preserve">MRIP is a collaborative effort among </w:t>
      </w:r>
      <w:r w:rsidRPr="003E5707">
        <w:t>government agencies, independent scientists, recreational fishing groups and conservation organizations</w:t>
      </w:r>
      <w:r>
        <w:t xml:space="preserve"> to ensure </w:t>
      </w:r>
      <w:r w:rsidRPr="003E5707">
        <w:t>scientifically rigorous coll</w:t>
      </w:r>
      <w:r w:rsidRPr="003E5707">
        <w:t>ection of appropriate information that meets manager and stakeholder needs</w:t>
      </w:r>
      <w:r>
        <w:t>.  MRIP staff</w:t>
      </w:r>
      <w:r w:rsidR="003F494A">
        <w:t xml:space="preserve"> members</w:t>
      </w:r>
      <w:r>
        <w:t xml:space="preserve"> maintain regular communication with customers, through workshops, workgroup meetings and one-on-one consultations.  Most recently, MRIP staff participated in </w:t>
      </w:r>
      <w:r w:rsidR="00614FAB">
        <w:t xml:space="preserve">workshops with Scientific and Statistical Committees for the South Atlantic Fishery Management Council (August 2019), the Mid Atlantic Fishery Management Council (March 2020) and The Gulf of Mexico Fishery Management Council (July 2020).  </w:t>
      </w:r>
      <w:r>
        <w:t>MRIP staff provided</w:t>
      </w:r>
      <w:r>
        <w:t xml:space="preserve"> </w:t>
      </w:r>
      <w:r w:rsidR="00614FAB">
        <w:t>detailed overviews</w:t>
      </w:r>
      <w:r>
        <w:t xml:space="preserve"> of the FES design and responded to questions from committee members.    </w:t>
      </w:r>
    </w:p>
    <w:p w:rsidR="00EA2D2E" w:rsidP="004B4380" w14:paraId="758968D9" w14:textId="77777777">
      <w:pPr>
        <w:spacing w:line="240" w:lineRule="auto"/>
      </w:pPr>
    </w:p>
    <w:p w:rsidR="001E2180" w:rsidP="004B4380" w14:paraId="33884BD6" w14:textId="3340FBFD">
      <w:pPr>
        <w:spacing w:line="240" w:lineRule="auto"/>
      </w:pPr>
      <w:r>
        <w:t>Additionally, t</w:t>
      </w:r>
      <w:r w:rsidR="000B5B5A">
        <w:t xml:space="preserve">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addresses data needs and approve research priorities.  </w:t>
      </w:r>
      <w:r w:rsidR="009D49C4">
        <w:t xml:space="preserve">The ESC most recently met in </w:t>
      </w:r>
      <w:r w:rsidR="004535CD">
        <w:t>December 2022</w:t>
      </w:r>
      <w:r w:rsidR="00614FAB">
        <w:t>.</w:t>
      </w:r>
      <w:r w:rsidR="009D49C4">
        <w:t xml:space="preserve">  </w:t>
      </w:r>
    </w:p>
    <w:p w:rsidR="001E2180" w:rsidP="004B4380" w14:paraId="0ED22617" w14:textId="77777777">
      <w:pPr>
        <w:spacing w:line="240" w:lineRule="auto"/>
      </w:pPr>
    </w:p>
    <w:p w:rsidR="002F0223" w:rsidP="002F0223" w14:paraId="2F0BEF90" w14:textId="442EC410">
      <w:pPr>
        <w:spacing w:line="240" w:lineRule="auto"/>
      </w:pPr>
      <w:r>
        <w:t>Finally, MRIP Regional Implementation Teams</w:t>
      </w:r>
      <w:r w:rsidR="00565FB5">
        <w:t xml:space="preserve"> (RIT’s)</w:t>
      </w:r>
      <w:r>
        <w:t xml:space="preserve">, representing </w:t>
      </w:r>
      <w:r w:rsidR="00614FAB">
        <w:t xml:space="preserve">NOAA Fisheries regional offices and science centers, </w:t>
      </w:r>
      <w:r>
        <w:t>s</w:t>
      </w:r>
      <w:r w:rsidR="00614FAB">
        <w:t xml:space="preserve">tate natural resource agencies and </w:t>
      </w:r>
      <w:r>
        <w:t xml:space="preserve">interstate marine fisheries commissions, </w:t>
      </w:r>
      <w:r w:rsidR="00390ACB">
        <w:t xml:space="preserve">develop Regional Implementation Plans and </w:t>
      </w:r>
      <w:r>
        <w:t>convene annually to identify specific needs for recreational fisheries statistics, i</w:t>
      </w:r>
      <w:r>
        <w:t>ncluding needs for survey coverage, resolution, precision and timeliness of survey estimates.  The Implementation Teams</w:t>
      </w:r>
      <w:r w:rsidR="00614FAB">
        <w:t xml:space="preserve"> most recently met in </w:t>
      </w:r>
      <w:r w:rsidR="004535CD">
        <w:t>September 2022</w:t>
      </w:r>
      <w:r w:rsidR="00565FB5">
        <w:t xml:space="preserve">.  Regional priorities, as determined by the RIT’s are documented on the MRIP </w:t>
      </w:r>
      <w:hyperlink r:id="rId9" w:anchor="regional-priorities" w:history="1">
        <w:r w:rsidRPr="00565FB5" w:rsidR="00565FB5">
          <w:rPr>
            <w:rStyle w:val="Hyperlink"/>
          </w:rPr>
          <w:t>website</w:t>
        </w:r>
      </w:hyperlink>
      <w:r w:rsidR="00565FB5">
        <w:t xml:space="preserve">. </w:t>
      </w:r>
    </w:p>
    <w:p w:rsidR="00F41FEC" w:rsidP="002F0223" w14:paraId="77F22B6B" w14:textId="77777777">
      <w:pPr>
        <w:spacing w:line="240" w:lineRule="auto"/>
      </w:pPr>
    </w:p>
    <w:p w:rsidR="00F41FEC" w:rsidP="00F41FEC" w14:paraId="2078AC59" w14:textId="5AA22804">
      <w:pPr>
        <w:spacing w:line="240" w:lineRule="auto"/>
      </w:pPr>
      <w:r>
        <w:t xml:space="preserve">Recent </w:t>
      </w:r>
      <w:r w:rsidR="005C1A17">
        <w:t>comments</w:t>
      </w:r>
      <w:r>
        <w:t xml:space="preserve"> </w:t>
      </w:r>
      <w:r w:rsidR="00BA5D82">
        <w:t>and priorities</w:t>
      </w:r>
      <w:r>
        <w:t xml:space="preserve"> resulting from these forums include the following:</w:t>
      </w:r>
    </w:p>
    <w:p w:rsidR="00F41FEC" w:rsidP="00F41FEC" w14:paraId="50788B34" w14:textId="77777777">
      <w:pPr>
        <w:pStyle w:val="ListParagraph"/>
        <w:numPr>
          <w:ilvl w:val="0"/>
          <w:numId w:val="21"/>
        </w:numPr>
        <w:spacing w:line="240" w:lineRule="auto"/>
      </w:pPr>
      <w:r>
        <w:t>Current sampling levels are adequate to pr</w:t>
      </w:r>
      <w:r>
        <w:t>oduce precise annual, regional catch estimates for many state managed species.</w:t>
      </w:r>
    </w:p>
    <w:p w:rsidR="00700696" w:rsidP="00E7285B" w14:paraId="3DA8AAFB" w14:textId="2DAF688E">
      <w:pPr>
        <w:pStyle w:val="ListParagraph"/>
        <w:numPr>
          <w:ilvl w:val="0"/>
          <w:numId w:val="21"/>
        </w:numPr>
        <w:spacing w:line="240" w:lineRule="auto"/>
      </w:pPr>
      <w:r>
        <w:t>The SSC agrees that the FES design is an improvement over the CHTS and considers it Best Scientific Information Available.</w:t>
      </w:r>
    </w:p>
    <w:p w:rsidR="00BA5D82" w:rsidP="00E7285B" w14:paraId="3D4ACED3" w14:textId="4B630F51">
      <w:pPr>
        <w:pStyle w:val="ListParagraph"/>
        <w:numPr>
          <w:ilvl w:val="0"/>
          <w:numId w:val="21"/>
        </w:numPr>
        <w:spacing w:line="240" w:lineRule="auto"/>
      </w:pPr>
      <w:r>
        <w:t>Produce more timely estimates.</w:t>
      </w:r>
    </w:p>
    <w:p w:rsidR="002F0223" w:rsidP="002F0223" w14:paraId="0AB43475" w14:textId="77777777">
      <w:pPr>
        <w:spacing w:line="240" w:lineRule="auto"/>
      </w:pPr>
    </w:p>
    <w:p w:rsidR="00BD450D" w:rsidP="002F0223" w14:paraId="3E4D14BE" w14:textId="77777777">
      <w:pPr>
        <w:spacing w:line="240" w:lineRule="auto"/>
        <w:rPr>
          <w:b/>
          <w:bCs/>
        </w:rPr>
      </w:pPr>
      <w:r>
        <w:t xml:space="preserve"> </w:t>
      </w:r>
    </w:p>
    <w:p w:rsidR="009B36BA" w:rsidRPr="00BD7237" w:rsidP="009B36BA" w14:paraId="12A671E7" w14:textId="77777777">
      <w:pPr>
        <w:pStyle w:val="ListParagraph"/>
        <w:widowControl w:val="0"/>
        <w:tabs>
          <w:tab w:val="left" w:pos="360"/>
        </w:tabs>
        <w:autoSpaceDE w:val="0"/>
        <w:autoSpaceDN w:val="0"/>
        <w:spacing w:before="80" w:line="240" w:lineRule="auto"/>
        <w:ind w:left="0"/>
        <w:contextualSpacing w:val="0"/>
        <w:rPr>
          <w:b/>
        </w:rPr>
      </w:pPr>
      <w:r>
        <w:rPr>
          <w:b/>
          <w:bCs/>
        </w:rPr>
        <w:t xml:space="preserve">9. </w:t>
      </w:r>
      <w:r w:rsidRPr="00BD7237">
        <w:rPr>
          <w:b/>
        </w:rPr>
        <w:t>Explain any decis</w:t>
      </w:r>
      <w:r w:rsidRPr="00BD7237">
        <w:rPr>
          <w:b/>
        </w:rPr>
        <w:t>ion to provide any payment or gift to respondents, other than remuneration of contractors or grantees.</w:t>
      </w:r>
    </w:p>
    <w:p w:rsidR="00BD450D" w:rsidRPr="00B62209" w:rsidP="00BD450D" w14:paraId="5701EC59" w14:textId="464BE44C">
      <w:pPr>
        <w:pStyle w:val="Default"/>
      </w:pPr>
    </w:p>
    <w:p w:rsidR="00616369" w:rsidP="002E69D8" w14:paraId="7FD4F515" w14:textId="77777777">
      <w:pPr>
        <w:pStyle w:val="Default"/>
      </w:pPr>
      <w:r>
        <w:t xml:space="preserve">The benefits of prepaid cash incentives </w:t>
      </w:r>
      <w:r w:rsidR="003E333E">
        <w:t xml:space="preserve">on </w:t>
      </w:r>
      <w:r w:rsidR="008F39D1">
        <w:t xml:space="preserve">improving survey response </w:t>
      </w:r>
      <w:r>
        <w:t>rates are well documented.  Dillman (2009) describes a small, prepaid cash incentiv</w:t>
      </w:r>
      <w:r>
        <w:t xml:space="preserve">e as a “token of appreciation” that encourages </w:t>
      </w:r>
      <w:r w:rsidR="002A2154">
        <w:t>response</w:t>
      </w:r>
      <w:r>
        <w:t xml:space="preserve"> and brings attention to the survey request.</w:t>
      </w:r>
      <w:r w:rsidR="002A2154">
        <w:t xml:space="preserve">  In addition to improving response rates, incentives may reduce nonresponse bias by encouraging participation from individuals with little or no interest in the survey topic</w:t>
      </w:r>
      <w:r w:rsidR="00A07C4F">
        <w:t xml:space="preserve"> (Groves et al., 2006)</w:t>
      </w:r>
      <w:r w:rsidR="002A2154">
        <w:t xml:space="preserve">.    </w:t>
      </w:r>
      <w:r>
        <w:t xml:space="preserve">    </w:t>
      </w:r>
    </w:p>
    <w:p w:rsidR="00616369" w:rsidP="002E69D8" w14:paraId="27CB3645" w14:textId="77777777">
      <w:pPr>
        <w:pStyle w:val="Default"/>
      </w:pPr>
    </w:p>
    <w:p w:rsidR="008F39D1" w:rsidP="002E69D8" w14:paraId="39EDB07C" w14:textId="77777777">
      <w:pPr>
        <w:pStyle w:val="Default"/>
      </w:pPr>
      <w:r>
        <w:t xml:space="preserve">Church (1993) presents a meta-analysis of 38 experimental studies testing the impact of </w:t>
      </w:r>
      <w:r w:rsidR="003E333E">
        <w:t xml:space="preserve">cash </w:t>
      </w:r>
      <w:r>
        <w:t xml:space="preserve">incentives on mail survey response rates.  </w:t>
      </w:r>
      <w:r w:rsidR="00E26CEB">
        <w:t xml:space="preserve">The incentives, which ranged from $0.01 to $5.00 increased response rates over control groups by an average of 19.1%.  </w:t>
      </w:r>
    </w:p>
    <w:p w:rsidR="003C5C4F" w:rsidP="002E69D8" w14:paraId="6E986075" w14:textId="77777777">
      <w:pPr>
        <w:pStyle w:val="Default"/>
      </w:pPr>
    </w:p>
    <w:p w:rsidR="006A1904" w:rsidP="002E69D8" w14:paraId="66B9596B" w14:textId="77777777">
      <w:pPr>
        <w:pStyle w:val="Default"/>
      </w:pPr>
      <w:r>
        <w:t xml:space="preserve">More recently, </w:t>
      </w:r>
      <w:r w:rsidR="003C5C4F">
        <w:t xml:space="preserve">Trussell and Lavrakas (2004) </w:t>
      </w:r>
      <w:r>
        <w:t xml:space="preserve">reported </w:t>
      </w:r>
      <w:r w:rsidR="003C5C4F">
        <w:t xml:space="preserve">that providing an incentive of at least $1.00 increased </w:t>
      </w:r>
      <w:r>
        <w:t>response rates and cooperation rates</w:t>
      </w:r>
      <w:r w:rsidR="003C5C4F">
        <w:t xml:space="preserve"> </w:t>
      </w:r>
      <w:r w:rsidR="00A721F9">
        <w:t>to</w:t>
      </w:r>
      <w:r w:rsidR="003C5C4F">
        <w:t xml:space="preserve"> the second </w:t>
      </w:r>
      <w:r>
        <w:t>phase</w:t>
      </w:r>
      <w:r w:rsidR="003C5C4F">
        <w:t xml:space="preserve"> of a two-phase</w:t>
      </w:r>
      <w:r>
        <w:t xml:space="preserve">, mixed-mode (RDD/mail </w:t>
      </w:r>
      <w:r>
        <w:t>diary)</w:t>
      </w:r>
      <w:r w:rsidR="003C5C4F">
        <w:t xml:space="preserve"> survey, and that</w:t>
      </w:r>
      <w:r>
        <w:t xml:space="preserve"> incremental</w:t>
      </w:r>
      <w:r w:rsidR="003C5C4F">
        <w:t xml:space="preserve"> increases in incentive amounts up to $10.00 increased response rates in a linear fashion.</w:t>
      </w:r>
      <w:r>
        <w:t xml:space="preserve">  These conclusions were consistent even for individuals who initially refused to participate in the second phase</w:t>
      </w:r>
      <w:r w:rsidR="007B12BD">
        <w:t xml:space="preserve"> of the study</w:t>
      </w:r>
      <w:r>
        <w:t xml:space="preserve">.  </w:t>
      </w:r>
    </w:p>
    <w:p w:rsidR="003C5C4F" w:rsidP="002E69D8" w14:paraId="6FA853E1" w14:textId="77777777">
      <w:pPr>
        <w:pStyle w:val="Default"/>
      </w:pPr>
      <w:r>
        <w:t xml:space="preserve"> </w:t>
      </w:r>
      <w:r>
        <w:t xml:space="preserve"> </w:t>
      </w:r>
    </w:p>
    <w:p w:rsidR="002E69D8" w:rsidP="00BD450D" w14:paraId="27A6E22A" w14:textId="77777777">
      <w:pPr>
        <w:pStyle w:val="Default"/>
      </w:pPr>
      <w:r>
        <w:t>Similarly</w:t>
      </w:r>
      <w:r w:rsidR="008F39D1">
        <w:t>, Brick et al. (2011) concluded that a prepaid cash incentive of $15.00 significant</w:t>
      </w:r>
      <w:r>
        <w:t xml:space="preserve">ly increased response rates </w:t>
      </w:r>
      <w:r w:rsidR="00A721F9">
        <w:t>to</w:t>
      </w:r>
      <w:r>
        <w:t xml:space="preserve"> the second phase of a national</w:t>
      </w:r>
      <w:r w:rsidR="00A721F9">
        <w:t>,</w:t>
      </w:r>
      <w:r>
        <w:t xml:space="preserve"> two-phase mail survey, and that </w:t>
      </w:r>
      <w:r w:rsidR="009C49DC">
        <w:t xml:space="preserve">response rates for a </w:t>
      </w:r>
      <w:r>
        <w:t>$5.00 incentive</w:t>
      </w:r>
      <w:r w:rsidR="009C49DC">
        <w:t xml:space="preserve"> treatment</w:t>
      </w:r>
      <w:r w:rsidR="00A721F9">
        <w:t xml:space="preserve">, while not significantly </w:t>
      </w:r>
      <w:r w:rsidR="009C49DC">
        <w:t xml:space="preserve">different from either a control group or the $15.00 experimental treatment, were in the expected direction.  In addition, the effect of the incentives </w:t>
      </w:r>
      <w:r w:rsidR="007B12BD">
        <w:t>was</w:t>
      </w:r>
      <w:r w:rsidR="009C49DC">
        <w:t xml:space="preserve"> most pronounced for the initial mailing, which could result in decreased costs for follow-up mailings.  </w:t>
      </w:r>
    </w:p>
    <w:p w:rsidR="002E69D8" w:rsidP="00BD450D" w14:paraId="483F2FD0" w14:textId="77777777">
      <w:pPr>
        <w:pStyle w:val="Default"/>
      </w:pPr>
    </w:p>
    <w:p w:rsidR="00071AFF" w:rsidP="00A7264F" w14:paraId="3B1A0E23" w14:textId="77777777">
      <w:pPr>
        <w:pStyle w:val="Default"/>
      </w:pPr>
      <w:r>
        <w:t>The init</w:t>
      </w:r>
      <w:r w:rsidR="00A64854">
        <w:t xml:space="preserve">ial two waves of the 2012-2013 </w:t>
      </w:r>
      <w:r>
        <w:t xml:space="preserve">FES </w:t>
      </w:r>
      <w:r w:rsidR="00A64854">
        <w:t xml:space="preserve">pilot study </w:t>
      </w:r>
      <w:r>
        <w:t>(OMB Control No. 0648-0652) included an experiment to test the impact of cash incentives on response rates, survey measures and cost</w:t>
      </w:r>
      <w:r w:rsidR="00D45BE9">
        <w:t xml:space="preserve"> (see Appendix 2 for details)</w:t>
      </w:r>
      <w:r>
        <w:t>.  Three levels of incentives,</w:t>
      </w:r>
      <w:r>
        <w:t xml:space="preserve"> $1.00, $2.00 and $5.00, and a zero dollar control were tested.  Incentives were included in the initial survey mailing for each wave.  </w:t>
      </w:r>
    </w:p>
    <w:p w:rsidR="00071AFF" w:rsidP="00A7264F" w14:paraId="719D2ACE" w14:textId="77777777">
      <w:pPr>
        <w:pStyle w:val="Default"/>
      </w:pPr>
    </w:p>
    <w:p w:rsidR="004F620E" w:rsidP="00A7264F" w14:paraId="358015BA" w14:textId="391237F8">
      <w:pPr>
        <w:pStyle w:val="Default"/>
      </w:pPr>
      <w:r>
        <w:t>Tab</w:t>
      </w:r>
      <w:r w:rsidR="0057160C">
        <w:t>le 1 provides the response rates, to</w:t>
      </w:r>
      <w:r w:rsidR="004137F1">
        <w:t>tal number of completed surveys</w:t>
      </w:r>
      <w:r w:rsidR="0057160C">
        <w:t xml:space="preserve"> and relative cost per completed survey </w:t>
      </w:r>
      <w:r>
        <w:t xml:space="preserve">for each incentive treatment.  </w:t>
      </w:r>
      <w:r w:rsidR="006B7D2B">
        <w:t>The probability that a household responded</w:t>
      </w:r>
      <w:r>
        <w:t xml:space="preserve"> increased significantly with </w:t>
      </w:r>
      <w:r w:rsidR="008548ED">
        <w:t>increasing incentive amounts, and d</w:t>
      </w:r>
      <w:r w:rsidR="00FC36E8">
        <w:t xml:space="preserve">ifferences in response </w:t>
      </w:r>
      <w:r w:rsidR="006B7D2B">
        <w:t>propensity</w:t>
      </w:r>
      <w:r w:rsidR="00FC36E8">
        <w:t xml:space="preserve"> among incentive treatments were highly significant (p&lt;0.0001).  </w:t>
      </w:r>
      <w:r w:rsidR="0057160C">
        <w:t>However, w</w:t>
      </w:r>
      <w:r w:rsidR="00286A96">
        <w:t xml:space="preserve">hile the $5.00 incentive </w:t>
      </w:r>
      <w:r w:rsidR="00C352F2">
        <w:t>resulted in</w:t>
      </w:r>
      <w:r w:rsidR="00286A96">
        <w:t xml:space="preserve"> the </w:t>
      </w:r>
      <w:r w:rsidR="006161C2">
        <w:t xml:space="preserve">highest </w:t>
      </w:r>
      <w:r w:rsidR="00C352F2">
        <w:t>response rate</w:t>
      </w:r>
      <w:r w:rsidR="00286A96">
        <w:t>, the $1.00 and $2.00 treatments were the most efficient in terms of</w:t>
      </w:r>
      <w:r w:rsidR="004137F1">
        <w:t xml:space="preserve"> </w:t>
      </w:r>
      <w:r w:rsidR="006161C2">
        <w:t>c</w:t>
      </w:r>
      <w:r w:rsidR="0097608B">
        <w:t>ost</w:t>
      </w:r>
      <w:r w:rsidR="00FC36E8">
        <w:t>; including a $1.00 or $2.00 cash incentive lowered</w:t>
      </w:r>
      <w:r w:rsidR="0097608B">
        <w:t xml:space="preserve"> the cost per completed survey </w:t>
      </w:r>
      <w:r w:rsidR="002A3717">
        <w:t>by approximately 20</w:t>
      </w:r>
      <w:r w:rsidR="00FC36E8">
        <w:t>%</w:t>
      </w:r>
      <w:r w:rsidR="00286A96">
        <w:t>.</w:t>
      </w:r>
      <w:r w:rsidR="002A3717">
        <w:t xml:space="preserve"> Appendix 2 provides additional details about the incentive testing.</w:t>
      </w:r>
      <w:r>
        <w:t xml:space="preserve">  </w:t>
      </w:r>
    </w:p>
    <w:p w:rsidR="004F620E" w:rsidP="00A7264F" w14:paraId="0DCE41D6" w14:textId="77777777">
      <w:pPr>
        <w:pStyle w:val="Default"/>
      </w:pPr>
    </w:p>
    <w:p w:rsidR="00BA44B4" w:rsidP="00A7264F" w14:paraId="3CC06A3C" w14:textId="31C26F55">
      <w:pPr>
        <w:pStyle w:val="Default"/>
      </w:pPr>
      <w:r>
        <w:t xml:space="preserve">The </w:t>
      </w:r>
      <w:r w:rsidR="00B07AC6">
        <w:t>cost per completed survey</w:t>
      </w:r>
      <w:r>
        <w:t xml:space="preserve"> is slightly higher </w:t>
      </w:r>
      <w:r w:rsidR="00B07AC6">
        <w:t>for a $2.00 incentive than a</w:t>
      </w:r>
      <w:r>
        <w:t xml:space="preserve"> $1.00 incentive.  However, the $2.00 incentive results in significantly higher response </w:t>
      </w:r>
      <w:r w:rsidR="006B7D2B">
        <w:t>pr</w:t>
      </w:r>
      <w:r w:rsidR="00721FC7">
        <w:t>obabilities</w:t>
      </w:r>
      <w:r>
        <w:t xml:space="preserve"> that</w:t>
      </w:r>
      <w:r>
        <w:t xml:space="preserve"> will </w:t>
      </w:r>
      <w:r w:rsidR="00AA5193">
        <w:t xml:space="preserve">reduce the </w:t>
      </w:r>
      <w:r w:rsidR="00483CFD">
        <w:t>risk of</w:t>
      </w:r>
      <w:r w:rsidR="00AA5193">
        <w:t xml:space="preserve"> nonresponse bias</w:t>
      </w:r>
      <w:r>
        <w:t>.</w:t>
      </w:r>
      <w:r w:rsidR="002A2EBF">
        <w:t xml:space="preserve">  </w:t>
      </w:r>
      <w:r w:rsidR="00DE6EB1">
        <w:t>In addition, testing demonstrated</w:t>
      </w:r>
      <w:r w:rsidR="003D6225">
        <w:t xml:space="preserve"> </w:t>
      </w:r>
      <w:r w:rsidR="00DE6EB1">
        <w:t xml:space="preserve">that </w:t>
      </w:r>
      <w:r w:rsidR="003D6225">
        <w:t>t</w:t>
      </w:r>
      <w:r w:rsidR="002A2EBF">
        <w:t xml:space="preserve">he </w:t>
      </w:r>
      <w:r w:rsidR="00A7768B">
        <w:t>incentive amount was more important</w:t>
      </w:r>
      <w:r w:rsidR="00E7285B">
        <w:t xml:space="preserve"> for those households that were </w:t>
      </w:r>
      <w:r w:rsidR="00A7768B">
        <w:t xml:space="preserve">less likely to be </w:t>
      </w:r>
      <w:r w:rsidR="00E7285B">
        <w:t>interested in the survey topic</w:t>
      </w:r>
      <w:r w:rsidR="005B35F4">
        <w:t xml:space="preserve"> </w:t>
      </w:r>
      <w:r w:rsidR="006627F0">
        <w:t>– larger incentives resulted in higher response rates</w:t>
      </w:r>
      <w:r w:rsidR="005B35F4">
        <w:t xml:space="preserve"> (Appendix 2)</w:t>
      </w:r>
      <w:r w:rsidR="00A7768B">
        <w:t>.</w:t>
      </w:r>
      <w:r w:rsidR="006627F0">
        <w:t xml:space="preserve">  In contrast, the incentive amount was less important for households that were more likely to be interested in the survey topi</w:t>
      </w:r>
      <w:r w:rsidR="007A3FF9">
        <w:t>c</w:t>
      </w:r>
      <w:r w:rsidR="006627F0">
        <w:t>.</w:t>
      </w:r>
      <w:r w:rsidR="00A7768B">
        <w:t xml:space="preserve">  </w:t>
      </w:r>
      <w:r w:rsidR="00007F30">
        <w:t>In a survey about birding, Groves et al. (2006)</w:t>
      </w:r>
      <w:r w:rsidR="00FB10DD">
        <w:t xml:space="preserve"> observed that</w:t>
      </w:r>
      <w:r w:rsidR="007A3FF9">
        <w:t xml:space="preserve"> a </w:t>
      </w:r>
      <w:r w:rsidR="00007F30">
        <w:t>$2.00</w:t>
      </w:r>
      <w:r w:rsidR="007A3FF9">
        <w:t xml:space="preserve"> prepaid incentive reduced differential response between birders and non-birders.  </w:t>
      </w:r>
      <w:r w:rsidR="00A7768B">
        <w:t xml:space="preserve">In the </w:t>
      </w:r>
      <w:r w:rsidR="002A2EBF">
        <w:t>FES, differential response between househol</w:t>
      </w:r>
      <w:r w:rsidR="008122F5">
        <w:t xml:space="preserve">ds </w:t>
      </w:r>
      <w:r w:rsidR="00F8087F">
        <w:t xml:space="preserve">that </w:t>
      </w:r>
      <w:r w:rsidR="00A7768B">
        <w:t>do and do not fish</w:t>
      </w:r>
      <w:r w:rsidR="008122F5">
        <w:t xml:space="preserve"> will</w:t>
      </w:r>
      <w:r w:rsidR="002A2EBF">
        <w:t xml:space="preserve"> result in bi</w:t>
      </w:r>
      <w:r w:rsidR="005B35F4">
        <w:t>ased estimates of fishing activity</w:t>
      </w:r>
      <w:r w:rsidR="002A2EBF">
        <w:t>.</w:t>
      </w:r>
      <w:r w:rsidR="00007F30">
        <w:t xml:space="preserve">  </w:t>
      </w:r>
      <w:r w:rsidR="00CC3A17">
        <w:t xml:space="preserve">As in the birding survey, a prepaid cash incentive is likely to reduce differential response between households with and without anglers.  In addition, results from incentive testing </w:t>
      </w:r>
      <w:r w:rsidR="007F732A">
        <w:t>suggest that a larger incentive will reduce differential reporting to greater extent than a smaller incentive</w:t>
      </w:r>
      <w:r w:rsidR="00BF63D8">
        <w:t xml:space="preserve"> because </w:t>
      </w:r>
      <w:r w:rsidR="00DD11AA">
        <w:t>larger incentives have a greater impact on households that are less likely to be interested in the survey topic</w:t>
      </w:r>
      <w:r w:rsidR="007F732A">
        <w:t>.</w:t>
      </w:r>
      <w:r w:rsidR="002A2EBF">
        <w:t xml:space="preserve"> </w:t>
      </w:r>
      <w:r w:rsidR="00AA5193">
        <w:t xml:space="preserve"> </w:t>
      </w:r>
      <w:r w:rsidR="00AF4190">
        <w:t xml:space="preserve">Considering </w:t>
      </w:r>
      <w:r w:rsidR="008122F5">
        <w:t xml:space="preserve">the </w:t>
      </w:r>
      <w:r w:rsidR="00277387">
        <w:t xml:space="preserve">potential risks of </w:t>
      </w:r>
      <w:r w:rsidR="000579D0">
        <w:t xml:space="preserve">associated with </w:t>
      </w:r>
      <w:r w:rsidR="00277387">
        <w:t>lower response rates</w:t>
      </w:r>
      <w:r w:rsidR="00AF4190">
        <w:t>,</w:t>
      </w:r>
      <w:r w:rsidR="00017FBB">
        <w:t xml:space="preserve"> </w:t>
      </w:r>
      <w:r w:rsidR="00EB7BB8">
        <w:t xml:space="preserve">as well as the </w:t>
      </w:r>
      <w:r w:rsidR="00287B93">
        <w:t xml:space="preserve">similar </w:t>
      </w:r>
      <w:r w:rsidR="00EB7BB8">
        <w:t>cost</w:t>
      </w:r>
      <w:r w:rsidR="00287B93">
        <w:t>s</w:t>
      </w:r>
      <w:r w:rsidR="00EB7BB8">
        <w:t xml:space="preserve"> </w:t>
      </w:r>
      <w:r w:rsidR="00293002">
        <w:t xml:space="preserve">per </w:t>
      </w:r>
      <w:r w:rsidR="00287B93">
        <w:t>completed survey</w:t>
      </w:r>
      <w:r w:rsidR="00293002">
        <w:t xml:space="preserve"> </w:t>
      </w:r>
      <w:r w:rsidR="00EB7BB8">
        <w:t xml:space="preserve">between a $1.00 and $2.00 incentive, </w:t>
      </w:r>
      <w:r w:rsidR="00017FBB">
        <w:t xml:space="preserve">the </w:t>
      </w:r>
      <w:r w:rsidR="004F620E">
        <w:t>FES will include a $2.00 cash incentive in the initial survey maili</w:t>
      </w:r>
      <w:r w:rsidR="00AD4287">
        <w:t xml:space="preserve">ngs.  </w:t>
      </w:r>
      <w:r w:rsidR="006A0B55">
        <w:t xml:space="preserve">  </w:t>
      </w:r>
    </w:p>
    <w:p w:rsidR="009313C2" w:rsidP="009B36BA" w14:paraId="3429E17F" w14:textId="4BA9948C">
      <w:pPr>
        <w:pStyle w:val="Default"/>
        <w:rPr>
          <w:b/>
        </w:rPr>
      </w:pPr>
    </w:p>
    <w:p w:rsidR="00BA44B4" w:rsidRPr="00BA44B4" w:rsidP="00A7264F" w14:paraId="3CB8622E" w14:textId="2EC0C3F2">
      <w:pPr>
        <w:pStyle w:val="Default"/>
        <w:rPr>
          <w:b/>
        </w:rPr>
      </w:pPr>
      <w:r w:rsidRPr="00BA44B4">
        <w:rPr>
          <w:b/>
        </w:rPr>
        <w:t xml:space="preserve">Table 1. Response rates, number of completed surveys and relative data collection costs for each </w:t>
      </w:r>
      <w:r>
        <w:rPr>
          <w:b/>
        </w:rPr>
        <w:t>incentive treatment</w:t>
      </w:r>
      <w:r w:rsidRPr="00BA44B4">
        <w:rPr>
          <w:b/>
        </w:rPr>
        <w:t xml:space="preserve"> tested during the first two waves of the MFES.</w:t>
      </w:r>
    </w:p>
    <w:p w:rsidR="00071AFF" w:rsidP="00A7264F" w14:paraId="089B4526" w14:textId="77777777">
      <w:pPr>
        <w:pStyle w:val="Default"/>
      </w:pPr>
    </w:p>
    <w:tbl>
      <w:tblPr>
        <w:tblW w:w="5828" w:type="dxa"/>
        <w:tblInd w:w="93" w:type="dxa"/>
        <w:tblLook w:val="04A0"/>
      </w:tblPr>
      <w:tblGrid>
        <w:gridCol w:w="1141"/>
        <w:gridCol w:w="1192"/>
        <w:gridCol w:w="1224"/>
        <w:gridCol w:w="2271"/>
      </w:tblGrid>
      <w:tr w14:paraId="69A617E4" w14:textId="77777777" w:rsidTr="00F37A65">
        <w:tblPrEx>
          <w:tblW w:w="5828" w:type="dxa"/>
          <w:tblInd w:w="93" w:type="dxa"/>
          <w:tblLook w:val="04A0"/>
        </w:tblPrEx>
        <w:trPr>
          <w:trHeight w:val="600"/>
        </w:trPr>
        <w:tc>
          <w:tcPr>
            <w:tcW w:w="1141" w:type="dxa"/>
            <w:tcBorders>
              <w:top w:val="single" w:sz="4" w:space="0" w:color="auto"/>
              <w:left w:val="nil"/>
              <w:bottom w:val="single" w:sz="4" w:space="0" w:color="auto"/>
              <w:right w:val="nil"/>
            </w:tcBorders>
            <w:shd w:val="clear" w:color="auto" w:fill="auto"/>
            <w:hideMark/>
          </w:tcPr>
          <w:p w:rsidR="00F37A65" w:rsidRPr="008523EF" w:rsidP="004137F1" w14:paraId="47B86C64" w14:textId="77777777">
            <w:pPr>
              <w:spacing w:line="240" w:lineRule="auto"/>
              <w:jc w:val="center"/>
              <w:rPr>
                <w:color w:val="000000"/>
                <w:sz w:val="22"/>
                <w:szCs w:val="22"/>
              </w:rPr>
            </w:pPr>
            <w:r w:rsidRPr="008523EF">
              <w:rPr>
                <w:color w:val="000000"/>
                <w:sz w:val="22"/>
                <w:szCs w:val="22"/>
              </w:rPr>
              <w:t>Incentive Amount</w:t>
            </w:r>
          </w:p>
        </w:tc>
        <w:tc>
          <w:tcPr>
            <w:tcW w:w="1192" w:type="dxa"/>
            <w:tcBorders>
              <w:top w:val="single" w:sz="4" w:space="0" w:color="auto"/>
              <w:left w:val="nil"/>
              <w:bottom w:val="single" w:sz="4" w:space="0" w:color="auto"/>
              <w:right w:val="nil"/>
            </w:tcBorders>
            <w:shd w:val="clear" w:color="auto" w:fill="auto"/>
            <w:hideMark/>
          </w:tcPr>
          <w:p w:rsidR="00F37A65" w:rsidRPr="008523EF" w:rsidP="004137F1" w14:paraId="09230AE7" w14:textId="77777777">
            <w:pPr>
              <w:spacing w:line="240" w:lineRule="auto"/>
              <w:jc w:val="center"/>
              <w:rPr>
                <w:color w:val="000000"/>
                <w:sz w:val="22"/>
                <w:szCs w:val="22"/>
              </w:rPr>
            </w:pPr>
            <w:r w:rsidRPr="008523EF">
              <w:rPr>
                <w:color w:val="000000"/>
                <w:sz w:val="22"/>
                <w:szCs w:val="22"/>
              </w:rPr>
              <w:t>Respon</w:t>
            </w:r>
            <w:r w:rsidRPr="008523EF">
              <w:rPr>
                <w:color w:val="000000"/>
                <w:sz w:val="22"/>
                <w:szCs w:val="22"/>
              </w:rPr>
              <w:t>se Rate</w:t>
            </w:r>
          </w:p>
        </w:tc>
        <w:tc>
          <w:tcPr>
            <w:tcW w:w="1224" w:type="dxa"/>
            <w:tcBorders>
              <w:top w:val="single" w:sz="4" w:space="0" w:color="auto"/>
              <w:left w:val="nil"/>
              <w:bottom w:val="single" w:sz="4" w:space="0" w:color="auto"/>
              <w:right w:val="nil"/>
            </w:tcBorders>
            <w:shd w:val="clear" w:color="auto" w:fill="auto"/>
            <w:hideMark/>
          </w:tcPr>
          <w:p w:rsidR="00F37A65" w:rsidRPr="008523EF" w:rsidP="004137F1" w14:paraId="2065F9D7" w14:textId="77777777">
            <w:pPr>
              <w:spacing w:line="240" w:lineRule="auto"/>
              <w:jc w:val="center"/>
              <w:rPr>
                <w:color w:val="000000"/>
                <w:sz w:val="22"/>
                <w:szCs w:val="22"/>
              </w:rPr>
            </w:pPr>
            <w:r w:rsidRPr="008523EF">
              <w:rPr>
                <w:color w:val="000000"/>
                <w:sz w:val="22"/>
                <w:szCs w:val="22"/>
              </w:rPr>
              <w:t>Completed Surveys</w:t>
            </w:r>
          </w:p>
        </w:tc>
        <w:tc>
          <w:tcPr>
            <w:tcW w:w="2271" w:type="dxa"/>
            <w:tcBorders>
              <w:top w:val="single" w:sz="4" w:space="0" w:color="auto"/>
              <w:left w:val="nil"/>
              <w:bottom w:val="single" w:sz="4" w:space="0" w:color="auto"/>
              <w:right w:val="nil"/>
            </w:tcBorders>
            <w:shd w:val="clear" w:color="auto" w:fill="auto"/>
            <w:hideMark/>
          </w:tcPr>
          <w:p w:rsidR="00F37A65" w:rsidRPr="008523EF" w:rsidP="004137F1" w14:paraId="032E703F" w14:textId="4E7485CE">
            <w:pPr>
              <w:spacing w:line="240" w:lineRule="auto"/>
              <w:jc w:val="center"/>
              <w:rPr>
                <w:color w:val="000000"/>
                <w:sz w:val="22"/>
                <w:szCs w:val="22"/>
              </w:rPr>
            </w:pPr>
            <w:r w:rsidRPr="008523EF">
              <w:rPr>
                <w:color w:val="000000"/>
                <w:sz w:val="22"/>
                <w:szCs w:val="22"/>
              </w:rPr>
              <w:t>Relative Cost per Complete</w:t>
            </w:r>
            <w:r>
              <w:rPr>
                <w:rStyle w:val="FootnoteReference"/>
                <w:color w:val="000000"/>
                <w:sz w:val="22"/>
                <w:szCs w:val="22"/>
              </w:rPr>
              <w:footnoteReference w:id="2"/>
            </w:r>
          </w:p>
        </w:tc>
      </w:tr>
      <w:tr w14:paraId="108660A1" w14:textId="77777777" w:rsidTr="00F37A65">
        <w:tblPrEx>
          <w:tblW w:w="5828" w:type="dxa"/>
          <w:tblInd w:w="93" w:type="dxa"/>
          <w:tblLook w:val="04A0"/>
        </w:tblPrEx>
        <w:trPr>
          <w:trHeight w:val="300"/>
        </w:trPr>
        <w:tc>
          <w:tcPr>
            <w:tcW w:w="1141" w:type="dxa"/>
            <w:tcBorders>
              <w:top w:val="nil"/>
              <w:left w:val="nil"/>
              <w:bottom w:val="nil"/>
              <w:right w:val="nil"/>
            </w:tcBorders>
            <w:shd w:val="clear" w:color="auto" w:fill="auto"/>
            <w:vAlign w:val="bottom"/>
            <w:hideMark/>
          </w:tcPr>
          <w:p w:rsidR="00F37A65" w:rsidRPr="008523EF" w:rsidP="008523EF" w14:paraId="23EF67C3" w14:textId="77777777">
            <w:pPr>
              <w:spacing w:line="240" w:lineRule="auto"/>
              <w:jc w:val="center"/>
              <w:rPr>
                <w:color w:val="000000"/>
                <w:sz w:val="22"/>
                <w:szCs w:val="22"/>
              </w:rPr>
            </w:pPr>
            <w:r w:rsidRPr="008523EF">
              <w:rPr>
                <w:color w:val="000000"/>
                <w:sz w:val="22"/>
                <w:szCs w:val="22"/>
              </w:rPr>
              <w:t xml:space="preserve">$0.00 </w:t>
            </w:r>
          </w:p>
        </w:tc>
        <w:tc>
          <w:tcPr>
            <w:tcW w:w="1192" w:type="dxa"/>
            <w:tcBorders>
              <w:top w:val="nil"/>
              <w:left w:val="nil"/>
              <w:bottom w:val="nil"/>
              <w:right w:val="nil"/>
            </w:tcBorders>
            <w:shd w:val="clear" w:color="auto" w:fill="auto"/>
            <w:hideMark/>
          </w:tcPr>
          <w:p w:rsidR="00F37A65" w:rsidRPr="008523EF" w:rsidP="008523EF" w14:paraId="326C66D4" w14:textId="77777777">
            <w:pPr>
              <w:spacing w:line="240" w:lineRule="auto"/>
              <w:jc w:val="center"/>
              <w:rPr>
                <w:color w:val="000000"/>
                <w:sz w:val="22"/>
                <w:szCs w:val="22"/>
              </w:rPr>
            </w:pPr>
            <w:r w:rsidRPr="008523EF">
              <w:rPr>
                <w:color w:val="000000"/>
                <w:sz w:val="22"/>
                <w:szCs w:val="22"/>
              </w:rPr>
              <w:t>22.6</w:t>
            </w:r>
          </w:p>
        </w:tc>
        <w:tc>
          <w:tcPr>
            <w:tcW w:w="1224" w:type="dxa"/>
            <w:tcBorders>
              <w:top w:val="nil"/>
              <w:left w:val="nil"/>
              <w:bottom w:val="nil"/>
              <w:right w:val="nil"/>
            </w:tcBorders>
            <w:shd w:val="clear" w:color="auto" w:fill="auto"/>
            <w:hideMark/>
          </w:tcPr>
          <w:p w:rsidR="00F37A65" w:rsidRPr="008523EF" w:rsidP="008523EF" w14:paraId="03B19555" w14:textId="77777777">
            <w:pPr>
              <w:spacing w:line="240" w:lineRule="auto"/>
              <w:jc w:val="center"/>
              <w:rPr>
                <w:color w:val="000000"/>
                <w:sz w:val="22"/>
                <w:szCs w:val="22"/>
              </w:rPr>
            </w:pPr>
            <w:r w:rsidRPr="008523EF">
              <w:rPr>
                <w:color w:val="000000"/>
                <w:sz w:val="22"/>
                <w:szCs w:val="22"/>
              </w:rPr>
              <w:t>2,154</w:t>
            </w:r>
          </w:p>
        </w:tc>
        <w:tc>
          <w:tcPr>
            <w:tcW w:w="2271" w:type="dxa"/>
            <w:tcBorders>
              <w:top w:val="nil"/>
              <w:left w:val="nil"/>
              <w:bottom w:val="nil"/>
              <w:right w:val="nil"/>
            </w:tcBorders>
            <w:shd w:val="clear" w:color="auto" w:fill="auto"/>
            <w:hideMark/>
          </w:tcPr>
          <w:p w:rsidR="00F37A65" w:rsidRPr="008523EF" w:rsidP="008523EF" w14:paraId="4EBA87D7" w14:textId="0A8F8C35">
            <w:pPr>
              <w:spacing w:line="240" w:lineRule="auto"/>
              <w:jc w:val="center"/>
              <w:rPr>
                <w:color w:val="000000"/>
                <w:sz w:val="22"/>
                <w:szCs w:val="22"/>
              </w:rPr>
            </w:pPr>
            <w:r w:rsidRPr="008523EF">
              <w:rPr>
                <w:color w:val="000000"/>
                <w:sz w:val="22"/>
                <w:szCs w:val="22"/>
              </w:rPr>
              <w:t>1</w:t>
            </w:r>
          </w:p>
        </w:tc>
      </w:tr>
      <w:tr w14:paraId="15F78C46" w14:textId="77777777" w:rsidTr="00F37A65">
        <w:tblPrEx>
          <w:tblW w:w="5828" w:type="dxa"/>
          <w:tblInd w:w="93" w:type="dxa"/>
          <w:tblLook w:val="04A0"/>
        </w:tblPrEx>
        <w:trPr>
          <w:trHeight w:val="300"/>
        </w:trPr>
        <w:tc>
          <w:tcPr>
            <w:tcW w:w="1141" w:type="dxa"/>
            <w:tcBorders>
              <w:top w:val="nil"/>
              <w:left w:val="nil"/>
              <w:bottom w:val="nil"/>
              <w:right w:val="nil"/>
            </w:tcBorders>
            <w:shd w:val="clear" w:color="auto" w:fill="auto"/>
            <w:vAlign w:val="bottom"/>
            <w:hideMark/>
          </w:tcPr>
          <w:p w:rsidR="00F37A65" w:rsidRPr="008523EF" w:rsidP="008523EF" w14:paraId="0E35BF22" w14:textId="77777777">
            <w:pPr>
              <w:spacing w:line="240" w:lineRule="auto"/>
              <w:jc w:val="center"/>
              <w:rPr>
                <w:color w:val="000000"/>
                <w:sz w:val="22"/>
                <w:szCs w:val="22"/>
              </w:rPr>
            </w:pPr>
            <w:r w:rsidRPr="008523EF">
              <w:rPr>
                <w:color w:val="000000"/>
                <w:sz w:val="22"/>
                <w:szCs w:val="22"/>
              </w:rPr>
              <w:t xml:space="preserve">$1.00 </w:t>
            </w:r>
          </w:p>
        </w:tc>
        <w:tc>
          <w:tcPr>
            <w:tcW w:w="1192" w:type="dxa"/>
            <w:tcBorders>
              <w:top w:val="nil"/>
              <w:left w:val="nil"/>
              <w:bottom w:val="nil"/>
              <w:right w:val="nil"/>
            </w:tcBorders>
            <w:shd w:val="clear" w:color="auto" w:fill="auto"/>
            <w:hideMark/>
          </w:tcPr>
          <w:p w:rsidR="00F37A65" w:rsidRPr="008523EF" w:rsidP="008523EF" w14:paraId="3EF22922" w14:textId="77777777">
            <w:pPr>
              <w:spacing w:line="240" w:lineRule="auto"/>
              <w:jc w:val="center"/>
              <w:rPr>
                <w:color w:val="000000"/>
                <w:sz w:val="22"/>
                <w:szCs w:val="22"/>
              </w:rPr>
            </w:pPr>
            <w:r w:rsidRPr="008523EF">
              <w:rPr>
                <w:color w:val="000000"/>
                <w:sz w:val="22"/>
                <w:szCs w:val="22"/>
              </w:rPr>
              <w:t>32.2</w:t>
            </w:r>
          </w:p>
        </w:tc>
        <w:tc>
          <w:tcPr>
            <w:tcW w:w="1224" w:type="dxa"/>
            <w:tcBorders>
              <w:top w:val="nil"/>
              <w:left w:val="nil"/>
              <w:bottom w:val="nil"/>
              <w:right w:val="nil"/>
            </w:tcBorders>
            <w:shd w:val="clear" w:color="auto" w:fill="auto"/>
            <w:hideMark/>
          </w:tcPr>
          <w:p w:rsidR="00F37A65" w:rsidRPr="008523EF" w:rsidP="008523EF" w14:paraId="6B20D684" w14:textId="77777777">
            <w:pPr>
              <w:spacing w:line="240" w:lineRule="auto"/>
              <w:jc w:val="center"/>
              <w:rPr>
                <w:color w:val="000000"/>
                <w:sz w:val="22"/>
                <w:szCs w:val="22"/>
              </w:rPr>
            </w:pPr>
            <w:r w:rsidRPr="008523EF">
              <w:rPr>
                <w:color w:val="000000"/>
                <w:sz w:val="22"/>
                <w:szCs w:val="22"/>
              </w:rPr>
              <w:t>3,065</w:t>
            </w:r>
          </w:p>
        </w:tc>
        <w:tc>
          <w:tcPr>
            <w:tcW w:w="2271" w:type="dxa"/>
            <w:tcBorders>
              <w:top w:val="nil"/>
              <w:left w:val="nil"/>
              <w:bottom w:val="nil"/>
              <w:right w:val="nil"/>
            </w:tcBorders>
            <w:shd w:val="clear" w:color="auto" w:fill="auto"/>
            <w:hideMark/>
          </w:tcPr>
          <w:p w:rsidR="00F37A65" w:rsidRPr="008523EF" w:rsidP="008523EF" w14:paraId="65D265A2" w14:textId="6A649D28">
            <w:pPr>
              <w:spacing w:line="240" w:lineRule="auto"/>
              <w:jc w:val="center"/>
              <w:rPr>
                <w:color w:val="000000"/>
                <w:sz w:val="22"/>
                <w:szCs w:val="22"/>
              </w:rPr>
            </w:pPr>
            <w:r w:rsidRPr="008523EF">
              <w:rPr>
                <w:color w:val="000000"/>
                <w:sz w:val="22"/>
                <w:szCs w:val="22"/>
              </w:rPr>
              <w:t>0.78</w:t>
            </w:r>
          </w:p>
        </w:tc>
      </w:tr>
      <w:tr w14:paraId="63E3310D" w14:textId="77777777" w:rsidTr="00F37A65">
        <w:tblPrEx>
          <w:tblW w:w="5828" w:type="dxa"/>
          <w:tblInd w:w="93" w:type="dxa"/>
          <w:tblLook w:val="04A0"/>
        </w:tblPrEx>
        <w:trPr>
          <w:trHeight w:val="300"/>
        </w:trPr>
        <w:tc>
          <w:tcPr>
            <w:tcW w:w="1141" w:type="dxa"/>
            <w:tcBorders>
              <w:top w:val="nil"/>
              <w:left w:val="nil"/>
              <w:bottom w:val="nil"/>
              <w:right w:val="nil"/>
            </w:tcBorders>
            <w:shd w:val="clear" w:color="auto" w:fill="auto"/>
            <w:vAlign w:val="bottom"/>
            <w:hideMark/>
          </w:tcPr>
          <w:p w:rsidR="00F37A65" w:rsidRPr="008523EF" w:rsidP="008523EF" w14:paraId="54CD1F69" w14:textId="77777777">
            <w:pPr>
              <w:spacing w:line="240" w:lineRule="auto"/>
              <w:jc w:val="center"/>
              <w:rPr>
                <w:color w:val="000000"/>
                <w:sz w:val="22"/>
                <w:szCs w:val="22"/>
              </w:rPr>
            </w:pPr>
            <w:r w:rsidRPr="008523EF">
              <w:rPr>
                <w:color w:val="000000"/>
                <w:sz w:val="22"/>
                <w:szCs w:val="22"/>
              </w:rPr>
              <w:t xml:space="preserve">$2.00 </w:t>
            </w:r>
          </w:p>
        </w:tc>
        <w:tc>
          <w:tcPr>
            <w:tcW w:w="1192" w:type="dxa"/>
            <w:tcBorders>
              <w:top w:val="nil"/>
              <w:left w:val="nil"/>
              <w:bottom w:val="nil"/>
              <w:right w:val="nil"/>
            </w:tcBorders>
            <w:shd w:val="clear" w:color="auto" w:fill="auto"/>
            <w:hideMark/>
          </w:tcPr>
          <w:p w:rsidR="00F37A65" w:rsidRPr="008523EF" w:rsidP="008523EF" w14:paraId="5C3AF202" w14:textId="77777777">
            <w:pPr>
              <w:spacing w:line="240" w:lineRule="auto"/>
              <w:jc w:val="center"/>
              <w:rPr>
                <w:color w:val="000000"/>
                <w:sz w:val="22"/>
                <w:szCs w:val="22"/>
              </w:rPr>
            </w:pPr>
            <w:r w:rsidRPr="008523EF">
              <w:rPr>
                <w:color w:val="000000"/>
                <w:sz w:val="22"/>
                <w:szCs w:val="22"/>
              </w:rPr>
              <w:t>36.0</w:t>
            </w:r>
          </w:p>
        </w:tc>
        <w:tc>
          <w:tcPr>
            <w:tcW w:w="1224" w:type="dxa"/>
            <w:tcBorders>
              <w:top w:val="nil"/>
              <w:left w:val="nil"/>
              <w:bottom w:val="nil"/>
              <w:right w:val="nil"/>
            </w:tcBorders>
            <w:shd w:val="clear" w:color="auto" w:fill="auto"/>
            <w:hideMark/>
          </w:tcPr>
          <w:p w:rsidR="00F37A65" w:rsidRPr="008523EF" w:rsidP="008523EF" w14:paraId="5C632206" w14:textId="77777777">
            <w:pPr>
              <w:spacing w:line="240" w:lineRule="auto"/>
              <w:jc w:val="center"/>
              <w:rPr>
                <w:color w:val="000000"/>
                <w:sz w:val="22"/>
                <w:szCs w:val="22"/>
              </w:rPr>
            </w:pPr>
            <w:r w:rsidRPr="008523EF">
              <w:rPr>
                <w:color w:val="000000"/>
                <w:sz w:val="22"/>
                <w:szCs w:val="22"/>
              </w:rPr>
              <w:t>3,415</w:t>
            </w:r>
          </w:p>
        </w:tc>
        <w:tc>
          <w:tcPr>
            <w:tcW w:w="2271" w:type="dxa"/>
            <w:tcBorders>
              <w:top w:val="nil"/>
              <w:left w:val="nil"/>
              <w:bottom w:val="nil"/>
              <w:right w:val="nil"/>
            </w:tcBorders>
            <w:shd w:val="clear" w:color="auto" w:fill="auto"/>
            <w:hideMark/>
          </w:tcPr>
          <w:p w:rsidR="00F37A65" w:rsidRPr="008523EF" w:rsidP="008523EF" w14:paraId="621D1E37" w14:textId="6DFCBB28">
            <w:pPr>
              <w:spacing w:line="240" w:lineRule="auto"/>
              <w:jc w:val="center"/>
              <w:rPr>
                <w:color w:val="000000"/>
                <w:sz w:val="22"/>
                <w:szCs w:val="22"/>
              </w:rPr>
            </w:pPr>
            <w:r w:rsidRPr="008523EF">
              <w:rPr>
                <w:color w:val="000000"/>
                <w:sz w:val="22"/>
                <w:szCs w:val="22"/>
              </w:rPr>
              <w:t>0.80</w:t>
            </w:r>
          </w:p>
        </w:tc>
      </w:tr>
      <w:tr w14:paraId="53792E3B" w14:textId="77777777" w:rsidTr="00F37A65">
        <w:tblPrEx>
          <w:tblW w:w="5828" w:type="dxa"/>
          <w:tblInd w:w="93" w:type="dxa"/>
          <w:tblLook w:val="04A0"/>
        </w:tblPrEx>
        <w:trPr>
          <w:trHeight w:val="300"/>
        </w:trPr>
        <w:tc>
          <w:tcPr>
            <w:tcW w:w="1141" w:type="dxa"/>
            <w:tcBorders>
              <w:top w:val="nil"/>
              <w:left w:val="nil"/>
              <w:bottom w:val="single" w:sz="4" w:space="0" w:color="auto"/>
              <w:right w:val="nil"/>
            </w:tcBorders>
            <w:shd w:val="clear" w:color="auto" w:fill="auto"/>
            <w:vAlign w:val="bottom"/>
            <w:hideMark/>
          </w:tcPr>
          <w:p w:rsidR="00F37A65" w:rsidRPr="008523EF" w:rsidP="008523EF" w14:paraId="1DDDAC72" w14:textId="77777777">
            <w:pPr>
              <w:spacing w:line="240" w:lineRule="auto"/>
              <w:jc w:val="center"/>
              <w:rPr>
                <w:color w:val="000000"/>
                <w:sz w:val="22"/>
                <w:szCs w:val="22"/>
              </w:rPr>
            </w:pPr>
            <w:r w:rsidRPr="008523EF">
              <w:rPr>
                <w:color w:val="000000"/>
                <w:sz w:val="22"/>
                <w:szCs w:val="22"/>
              </w:rPr>
              <w:t xml:space="preserve">$5.00 </w:t>
            </w:r>
          </w:p>
        </w:tc>
        <w:tc>
          <w:tcPr>
            <w:tcW w:w="1192" w:type="dxa"/>
            <w:tcBorders>
              <w:top w:val="nil"/>
              <w:left w:val="nil"/>
              <w:bottom w:val="single" w:sz="4" w:space="0" w:color="auto"/>
              <w:right w:val="nil"/>
            </w:tcBorders>
            <w:shd w:val="clear" w:color="auto" w:fill="auto"/>
            <w:vAlign w:val="bottom"/>
            <w:hideMark/>
          </w:tcPr>
          <w:p w:rsidR="00F37A65" w:rsidRPr="008523EF" w:rsidP="008523EF" w14:paraId="5C2D5A65" w14:textId="77777777">
            <w:pPr>
              <w:spacing w:line="240" w:lineRule="auto"/>
              <w:jc w:val="center"/>
              <w:rPr>
                <w:color w:val="000000"/>
                <w:sz w:val="22"/>
                <w:szCs w:val="22"/>
              </w:rPr>
            </w:pPr>
            <w:r w:rsidRPr="008523EF">
              <w:rPr>
                <w:color w:val="000000"/>
                <w:sz w:val="22"/>
                <w:szCs w:val="22"/>
              </w:rPr>
              <w:t>40.8</w:t>
            </w:r>
          </w:p>
        </w:tc>
        <w:tc>
          <w:tcPr>
            <w:tcW w:w="1224" w:type="dxa"/>
            <w:tcBorders>
              <w:top w:val="nil"/>
              <w:left w:val="nil"/>
              <w:bottom w:val="single" w:sz="4" w:space="0" w:color="auto"/>
              <w:right w:val="nil"/>
            </w:tcBorders>
            <w:shd w:val="clear" w:color="auto" w:fill="auto"/>
            <w:vAlign w:val="bottom"/>
            <w:hideMark/>
          </w:tcPr>
          <w:p w:rsidR="00F37A65" w:rsidRPr="008523EF" w:rsidP="008523EF" w14:paraId="52F1AB62" w14:textId="77777777">
            <w:pPr>
              <w:spacing w:line="240" w:lineRule="auto"/>
              <w:jc w:val="center"/>
              <w:rPr>
                <w:color w:val="000000"/>
                <w:sz w:val="22"/>
                <w:szCs w:val="22"/>
              </w:rPr>
            </w:pPr>
            <w:r w:rsidRPr="008523EF">
              <w:rPr>
                <w:color w:val="000000"/>
                <w:sz w:val="22"/>
                <w:szCs w:val="22"/>
              </w:rPr>
              <w:t>3,807</w:t>
            </w:r>
          </w:p>
        </w:tc>
        <w:tc>
          <w:tcPr>
            <w:tcW w:w="2271" w:type="dxa"/>
            <w:tcBorders>
              <w:top w:val="nil"/>
              <w:left w:val="nil"/>
              <w:bottom w:val="single" w:sz="4" w:space="0" w:color="auto"/>
              <w:right w:val="nil"/>
            </w:tcBorders>
            <w:shd w:val="clear" w:color="auto" w:fill="auto"/>
            <w:hideMark/>
          </w:tcPr>
          <w:p w:rsidR="00F37A65" w:rsidRPr="008523EF" w:rsidP="008523EF" w14:paraId="1C48AE83" w14:textId="51D170AE">
            <w:pPr>
              <w:spacing w:line="240" w:lineRule="auto"/>
              <w:jc w:val="center"/>
              <w:rPr>
                <w:color w:val="000000"/>
                <w:sz w:val="22"/>
                <w:szCs w:val="22"/>
              </w:rPr>
            </w:pPr>
            <w:r w:rsidRPr="008523EF">
              <w:rPr>
                <w:color w:val="000000"/>
                <w:sz w:val="22"/>
                <w:szCs w:val="22"/>
              </w:rPr>
              <w:t>1.15</w:t>
            </w:r>
          </w:p>
        </w:tc>
      </w:tr>
    </w:tbl>
    <w:p w:rsidR="00BD450D" w:rsidRPr="00B62209" w:rsidP="00BD450D" w14:paraId="6AEF6EEA" w14:textId="77777777">
      <w:pPr>
        <w:pStyle w:val="Default"/>
      </w:pPr>
    </w:p>
    <w:p w:rsidR="009B36BA" w:rsidRPr="00BD7237" w:rsidP="009B36BA" w14:paraId="390A5388" w14:textId="77777777">
      <w:pPr>
        <w:pStyle w:val="ListParagraph"/>
        <w:widowControl w:val="0"/>
        <w:tabs>
          <w:tab w:val="left" w:pos="360"/>
        </w:tabs>
        <w:autoSpaceDE w:val="0"/>
        <w:autoSpaceDN w:val="0"/>
        <w:spacing w:before="80" w:line="240" w:lineRule="auto"/>
        <w:ind w:left="0"/>
        <w:contextualSpacing w:val="0"/>
        <w:rPr>
          <w:b/>
        </w:rPr>
      </w:pPr>
      <w:r>
        <w:rPr>
          <w:b/>
          <w:bCs/>
        </w:rPr>
        <w:t xml:space="preserve">10. </w:t>
      </w:r>
      <w:r w:rsidRPr="00BD7237">
        <w:rPr>
          <w:b/>
        </w:rPr>
        <w:t xml:space="preserve">Describe any assurance of confidentiality provided to respondents and the basis for the assurance in </w:t>
      </w:r>
      <w:r w:rsidRPr="00BD7237">
        <w:rPr>
          <w:b/>
        </w:rPr>
        <w:t>statute, regulation, or agency policy. If the collection requires a systems of records notice (SORN) or privacy impact assessment (PIA), those should be cited and described here.</w:t>
      </w:r>
    </w:p>
    <w:p w:rsidR="00BD450D" w:rsidRPr="00B62209" w:rsidP="00BD450D" w14:paraId="665381AE" w14:textId="77777777">
      <w:pPr>
        <w:pStyle w:val="Default"/>
      </w:pPr>
    </w:p>
    <w:p w:rsidR="00E374E8" w:rsidP="00631E16" w14:paraId="2CA2E4BA" w14:textId="77777777">
      <w:pPr>
        <w:pStyle w:val="Default"/>
      </w:pPr>
      <w:r>
        <w:t>No personally identifiable information will be collected through t</w:t>
      </w:r>
      <w:r w:rsidR="009F2BEC">
        <w:t>he survey</w:t>
      </w:r>
      <w:r w:rsidR="008B0F6F">
        <w:t xml:space="preserve">.  Responses </w:t>
      </w:r>
      <w:r w:rsidR="00046927">
        <w:t>will only be associated with a unique, randomly assigned identification code</w:t>
      </w:r>
      <w:r>
        <w:t>.</w:t>
      </w:r>
      <w:r w:rsidR="00046927">
        <w:t xml:space="preserve">  </w:t>
      </w:r>
      <w:r w:rsidR="008B0F6F">
        <w:t xml:space="preserve">Any public release of survey data will be without identification as to its source or in aggregate statistical form.  </w:t>
      </w:r>
      <w:r w:rsidR="00046927">
        <w:t>All survey</w:t>
      </w:r>
      <w:r>
        <w:t xml:space="preserve"> data </w:t>
      </w:r>
      <w:r w:rsidR="00046927">
        <w:t>will be</w:t>
      </w:r>
      <w:r>
        <w:t xml:space="preserve"> </w:t>
      </w:r>
      <w:r w:rsidR="006473C1">
        <w:t xml:space="preserve">stored on secured, password protected servers, and all transfer of survey data will </w:t>
      </w:r>
      <w:r w:rsidR="00046927">
        <w:t>utilize</w:t>
      </w:r>
      <w:r w:rsidR="006473C1">
        <w:t xml:space="preserve"> secure file transfer protocols.</w:t>
      </w:r>
      <w:r w:rsidR="009F2BEC">
        <w:t xml:space="preserve">  </w:t>
      </w:r>
    </w:p>
    <w:p w:rsidR="001E17D0" w:rsidRPr="00E374E8" w:rsidP="00631E16" w14:paraId="002D785C" w14:textId="77777777">
      <w:pPr>
        <w:pStyle w:val="Default"/>
      </w:pPr>
    </w:p>
    <w:p w:rsidR="009B36BA" w:rsidRPr="00BD7237" w:rsidP="009B36BA" w14:paraId="2D2DF543" w14:textId="77777777">
      <w:pPr>
        <w:pStyle w:val="ListParagraph"/>
        <w:widowControl w:val="0"/>
        <w:tabs>
          <w:tab w:val="left" w:pos="360"/>
        </w:tabs>
        <w:autoSpaceDE w:val="0"/>
        <w:autoSpaceDN w:val="0"/>
        <w:spacing w:before="80" w:line="240" w:lineRule="auto"/>
        <w:ind w:left="0"/>
        <w:contextualSpacing w:val="0"/>
        <w:rPr>
          <w:b/>
        </w:rPr>
      </w:pPr>
      <w:r>
        <w:rPr>
          <w:b/>
          <w:bCs/>
        </w:rPr>
        <w:t>1</w:t>
      </w:r>
      <w:r w:rsidR="00BD450D">
        <w:rPr>
          <w:b/>
          <w:bCs/>
        </w:rPr>
        <w:t xml:space="preserve">1. </w:t>
      </w:r>
      <w:r w:rsidRPr="00BD7237">
        <w:rPr>
          <w:b/>
        </w:rPr>
        <w:t xml:space="preserve">Provide additional justification for any questions of a sensitive nature, such as sexual behavior or attitudes, religious beliefs, and other matters </w:t>
      </w:r>
      <w:r w:rsidRPr="00BD7237">
        <w:rPr>
          <w:b/>
        </w:rPr>
        <w:t>that are commonly considered private. This justification should include the reasons why the agency considers the questions necessary, the specific uses to be made of the information, the explanation to be given to persons from whom the information is reque</w:t>
      </w:r>
      <w:r w:rsidRPr="00BD7237">
        <w:rPr>
          <w:b/>
        </w:rPr>
        <w:t>sted, and any steps to be taken to obtain their consent.</w:t>
      </w:r>
    </w:p>
    <w:p w:rsidR="00BD450D" w:rsidRPr="0067695B" w:rsidP="00BD450D" w14:paraId="1E0BDE0B" w14:textId="4B0DDE3B">
      <w:pPr>
        <w:pStyle w:val="Default"/>
      </w:pPr>
    </w:p>
    <w:p w:rsidR="00BD450D" w:rsidP="00BD450D" w14:paraId="48520C0F" w14:textId="77777777">
      <w:pPr>
        <w:pStyle w:val="CM22"/>
        <w:spacing w:after="0"/>
      </w:pPr>
      <w:r>
        <w:t xml:space="preserve">No sensitive questions are asked. </w:t>
      </w:r>
    </w:p>
    <w:p w:rsidR="006850F5" w:rsidRPr="0067695B" w:rsidP="006850F5" w14:paraId="0EA580E8" w14:textId="77777777">
      <w:pPr>
        <w:pStyle w:val="Default"/>
      </w:pPr>
    </w:p>
    <w:p w:rsidR="006850F5" w:rsidRPr="009B36BA" w:rsidP="009B36BA" w14:paraId="7E4EF581" w14:textId="01879D09">
      <w:pPr>
        <w:pStyle w:val="ListParagraph"/>
        <w:widowControl w:val="0"/>
        <w:tabs>
          <w:tab w:val="left" w:pos="360"/>
        </w:tabs>
        <w:autoSpaceDE w:val="0"/>
        <w:autoSpaceDN w:val="0"/>
        <w:spacing w:before="80" w:line="240" w:lineRule="auto"/>
        <w:ind w:left="0"/>
        <w:contextualSpacing w:val="0"/>
        <w:rPr>
          <w:b/>
        </w:rPr>
      </w:pPr>
      <w:r>
        <w:rPr>
          <w:b/>
          <w:bCs/>
        </w:rPr>
        <w:t xml:space="preserve">12. </w:t>
      </w:r>
      <w:r w:rsidRPr="00BD7237" w:rsidR="009B36BA">
        <w:rPr>
          <w:b/>
        </w:rPr>
        <w:t>Provide estimates of the hour burden of the collection of information.</w:t>
      </w:r>
    </w:p>
    <w:p w:rsidR="006850F5" w:rsidRPr="0067695B" w:rsidP="006850F5" w14:paraId="362D6307" w14:textId="77777777">
      <w:pPr>
        <w:pStyle w:val="Default"/>
      </w:pPr>
    </w:p>
    <w:p w:rsidR="0021267A" w:rsidRPr="0045480D" w:rsidP="0021267A" w14:paraId="063CE57A" w14:textId="6521715D">
      <w:pPr>
        <w:pStyle w:val="P1-StandPara"/>
        <w:spacing w:line="240" w:lineRule="auto"/>
        <w:ind w:firstLine="0"/>
        <w:rPr>
          <w:rFonts w:ascii="Times New Roman" w:hAnsi="Times New Roman"/>
          <w:b/>
        </w:rPr>
      </w:pPr>
      <w:r w:rsidRPr="0045480D">
        <w:rPr>
          <w:rFonts w:ascii="Times New Roman" w:hAnsi="Times New Roman"/>
        </w:rPr>
        <w:t xml:space="preserve">The estimated annual response burden per survey activity and the total estimated annual response burden are shown in Table 2.  The expected number of respondents and responses are based upon anticipated sample sizes and historical FES response </w:t>
      </w:r>
      <w:r w:rsidR="004757CB">
        <w:rPr>
          <w:rFonts w:ascii="Times New Roman" w:hAnsi="Times New Roman"/>
        </w:rPr>
        <w:t>rates. The hourly rate of $28.88</w:t>
      </w:r>
      <w:r w:rsidRPr="0045480D">
        <w:rPr>
          <w:rFonts w:ascii="Times New Roman" w:hAnsi="Times New Roman"/>
        </w:rPr>
        <w:t xml:space="preserve"> is based upon the average for all civilian workers from the </w:t>
      </w:r>
      <w:r w:rsidR="004757CB">
        <w:rPr>
          <w:rFonts w:ascii="Times New Roman" w:hAnsi="Times New Roman"/>
        </w:rPr>
        <w:t>September 2022</w:t>
      </w:r>
      <w:r w:rsidRPr="0045480D">
        <w:rPr>
          <w:rFonts w:ascii="Times New Roman" w:hAnsi="Times New Roman"/>
        </w:rPr>
        <w:t xml:space="preserve"> National Compensation Survey (</w:t>
      </w:r>
      <w:hyperlink r:id="rId10" w:history="1">
        <w:r w:rsidRPr="0045480D">
          <w:rPr>
            <w:rStyle w:val="Hyperlink"/>
            <w:rFonts w:ascii="Times New Roman" w:hAnsi="Times New Roman"/>
          </w:rPr>
          <w:t>https://www.bls.gov/news.release/ecec.t02.htm</w:t>
        </w:r>
      </w:hyperlink>
      <w:r w:rsidRPr="0045480D">
        <w:rPr>
          <w:rFonts w:ascii="Times New Roman" w:hAnsi="Times New Roman"/>
        </w:rPr>
        <w:t xml:space="preserve">).  There are no other </w:t>
      </w:r>
      <w:r w:rsidRPr="0045480D">
        <w:rPr>
          <w:rFonts w:ascii="Times New Roman" w:hAnsi="Times New Roman"/>
        </w:rPr>
        <w:t xml:space="preserve">costs to respondents, and there are no recordkeeping requirements associated with MRIP Fishing Effort Survey.  A total of </w:t>
      </w:r>
      <w:r w:rsidR="004757CB">
        <w:rPr>
          <w:rFonts w:ascii="Times New Roman" w:hAnsi="Times New Roman"/>
        </w:rPr>
        <w:t>15,278</w:t>
      </w:r>
      <w:r w:rsidRPr="0045480D">
        <w:rPr>
          <w:rFonts w:ascii="Times New Roman" w:hAnsi="Times New Roman"/>
        </w:rPr>
        <w:t xml:space="preserve"> annual burden hours is anticipated, resulting in an annual cost to respondents of approximately $</w:t>
      </w:r>
      <w:r w:rsidR="004757CB">
        <w:rPr>
          <w:rFonts w:ascii="Times New Roman" w:hAnsi="Times New Roman"/>
        </w:rPr>
        <w:t>441,229</w:t>
      </w:r>
      <w:r w:rsidRPr="0045480D">
        <w:rPr>
          <w:rFonts w:ascii="Times New Roman" w:hAnsi="Times New Roman"/>
        </w:rPr>
        <w:t>.</w:t>
      </w:r>
    </w:p>
    <w:p w:rsidR="009313C2" w:rsidP="009B36BA" w14:paraId="25064D5C" w14:textId="3DA7251D">
      <w:pPr>
        <w:pStyle w:val="NoSpacing"/>
      </w:pPr>
    </w:p>
    <w:p w:rsidR="00063325" w:rsidP="00934049" w14:paraId="51127787" w14:textId="6C3AE966">
      <w:pPr>
        <w:pStyle w:val="NoSpacing"/>
        <w:rPr>
          <w:sz w:val="22"/>
          <w:szCs w:val="22"/>
        </w:rPr>
      </w:pPr>
      <w:r>
        <w:t>Table 2. Estimated</w:t>
      </w:r>
      <w:r w:rsidR="0078773B">
        <w:t xml:space="preserve"> annual</w:t>
      </w:r>
      <w:r>
        <w:t xml:space="preserve"> response burden</w:t>
      </w:r>
      <w:r>
        <w:fldChar w:fldCharType="begin"/>
      </w:r>
      <w:r>
        <w:instrText xml:space="preserve"> LINK </w:instrText>
      </w:r>
      <w:r w:rsidR="008444FE">
        <w:instrText xml:space="preserve">Excel.Sheet.12 \\\\HQDATA1\\GROUPS1\\ST\\ST1\\MRFSS\\OMB_PRA\\FES\\2020\\FES_OMB_PRA_2020_response_burden.xlsx Sheet1!R1C1:R5C7 </w:instrText>
      </w:r>
      <w:r>
        <w:instrText xml:space="preserve">\a \f 5 \h  \* MERGEFORMAT </w:instrText>
      </w:r>
      <w:r>
        <w:fldChar w:fldCharType="separate"/>
      </w:r>
    </w:p>
    <w:p w:rsidR="00144581" w:rsidP="00934049" w14:paraId="3C091AB4" w14:textId="77777777">
      <w:pPr>
        <w:pStyle w:val="NoSpacing"/>
      </w:pPr>
      <w:r>
        <w:fldChar w:fldCharType="end"/>
      </w:r>
    </w:p>
    <w:tbl>
      <w:tblPr>
        <w:tblW w:w="9963" w:type="dxa"/>
        <w:tblLook w:val="04A0"/>
      </w:tblPr>
      <w:tblGrid>
        <w:gridCol w:w="3498"/>
        <w:gridCol w:w="1032"/>
        <w:gridCol w:w="1046"/>
        <w:gridCol w:w="1153"/>
        <w:gridCol w:w="1273"/>
        <w:gridCol w:w="1074"/>
        <w:gridCol w:w="887"/>
      </w:tblGrid>
      <w:tr w14:paraId="2A391979" w14:textId="77777777" w:rsidTr="00411641">
        <w:tblPrEx>
          <w:tblW w:w="9963" w:type="dxa"/>
          <w:tblLook w:val="04A0"/>
        </w:tblPrEx>
        <w:trPr>
          <w:trHeight w:val="1029"/>
        </w:trPr>
        <w:tc>
          <w:tcPr>
            <w:tcW w:w="3498" w:type="dxa"/>
            <w:tcBorders>
              <w:top w:val="single" w:sz="4" w:space="0" w:color="auto"/>
              <w:left w:val="nil"/>
              <w:bottom w:val="single" w:sz="4" w:space="0" w:color="auto"/>
              <w:right w:val="nil"/>
            </w:tcBorders>
            <w:shd w:val="clear" w:color="auto" w:fill="auto"/>
            <w:vAlign w:val="bottom"/>
            <w:hideMark/>
          </w:tcPr>
          <w:p w:rsidR="00144581" w:rsidRPr="00144581" w:rsidP="00144581" w14:paraId="4452375E" w14:textId="77777777">
            <w:pPr>
              <w:spacing w:line="240" w:lineRule="auto"/>
              <w:jc w:val="center"/>
              <w:rPr>
                <w:rFonts w:ascii="Calibri" w:hAnsi="Calibri" w:cs="Calibri"/>
                <w:color w:val="000000"/>
                <w:sz w:val="20"/>
                <w:szCs w:val="20"/>
              </w:rPr>
            </w:pPr>
            <w:r>
              <w:rPr>
                <w:rFonts w:ascii="Calibri" w:hAnsi="Calibri" w:cs="Calibri"/>
                <w:color w:val="000000"/>
                <w:sz w:val="20"/>
                <w:szCs w:val="20"/>
              </w:rPr>
              <w:t>Survey Activ</w:t>
            </w:r>
            <w:r w:rsidR="001E17D0">
              <w:rPr>
                <w:rFonts w:ascii="Calibri" w:hAnsi="Calibri" w:cs="Calibri"/>
                <w:color w:val="000000"/>
                <w:sz w:val="20"/>
                <w:szCs w:val="20"/>
              </w:rPr>
              <w:t>i</w:t>
            </w:r>
            <w:r>
              <w:rPr>
                <w:rFonts w:ascii="Calibri" w:hAnsi="Calibri" w:cs="Calibri"/>
                <w:color w:val="000000"/>
                <w:sz w:val="20"/>
                <w:szCs w:val="20"/>
              </w:rPr>
              <w:t>ty</w:t>
            </w:r>
          </w:p>
        </w:tc>
        <w:tc>
          <w:tcPr>
            <w:tcW w:w="1032" w:type="dxa"/>
            <w:tcBorders>
              <w:top w:val="single" w:sz="4" w:space="0" w:color="auto"/>
              <w:left w:val="nil"/>
              <w:bottom w:val="single" w:sz="4" w:space="0" w:color="auto"/>
              <w:right w:val="nil"/>
            </w:tcBorders>
            <w:shd w:val="clear" w:color="auto" w:fill="auto"/>
            <w:vAlign w:val="bottom"/>
            <w:hideMark/>
          </w:tcPr>
          <w:p w:rsidR="00144581" w:rsidRPr="00144581" w:rsidP="00144581" w14:paraId="2122F208"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time (minutes)</w:t>
            </w:r>
          </w:p>
        </w:tc>
        <w:tc>
          <w:tcPr>
            <w:tcW w:w="1046" w:type="dxa"/>
            <w:tcBorders>
              <w:top w:val="single" w:sz="4" w:space="0" w:color="auto"/>
              <w:left w:val="nil"/>
              <w:bottom w:val="single" w:sz="4" w:space="0" w:color="auto"/>
              <w:right w:val="nil"/>
            </w:tcBorders>
            <w:shd w:val="clear" w:color="auto" w:fill="auto"/>
            <w:vAlign w:val="bottom"/>
            <w:hideMark/>
          </w:tcPr>
          <w:p w:rsidR="00144581" w:rsidRPr="00144581" w:rsidP="00144581" w14:paraId="54ABF16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Sampled Addresses</w:t>
            </w:r>
          </w:p>
        </w:tc>
        <w:tc>
          <w:tcPr>
            <w:tcW w:w="1153" w:type="dxa"/>
            <w:tcBorders>
              <w:top w:val="single" w:sz="4" w:space="0" w:color="auto"/>
              <w:left w:val="nil"/>
              <w:bottom w:val="single" w:sz="4" w:space="0" w:color="auto"/>
              <w:right w:val="nil"/>
            </w:tcBorders>
            <w:shd w:val="clear" w:color="auto" w:fill="auto"/>
            <w:vAlign w:val="bottom"/>
            <w:hideMark/>
          </w:tcPr>
          <w:p w:rsidR="00144581" w:rsidRPr="00144581" w:rsidP="00144581" w14:paraId="6359B83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Anticipated Response Rate</w:t>
            </w:r>
          </w:p>
        </w:tc>
        <w:tc>
          <w:tcPr>
            <w:tcW w:w="1273" w:type="dxa"/>
            <w:tcBorders>
              <w:top w:val="single" w:sz="4" w:space="0" w:color="auto"/>
              <w:left w:val="nil"/>
              <w:bottom w:val="single" w:sz="4" w:space="0" w:color="auto"/>
              <w:right w:val="nil"/>
            </w:tcBorders>
            <w:shd w:val="clear" w:color="auto" w:fill="auto"/>
            <w:vAlign w:val="bottom"/>
            <w:hideMark/>
          </w:tcPr>
          <w:p w:rsidR="00144581" w:rsidRPr="00144581" w:rsidP="00144581" w14:paraId="03FDED9B"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Number of Respondents</w:t>
            </w:r>
          </w:p>
        </w:tc>
        <w:tc>
          <w:tcPr>
            <w:tcW w:w="1074" w:type="dxa"/>
            <w:tcBorders>
              <w:top w:val="single" w:sz="4" w:space="0" w:color="auto"/>
              <w:left w:val="nil"/>
              <w:bottom w:val="single" w:sz="4" w:space="0" w:color="auto"/>
              <w:right w:val="nil"/>
            </w:tcBorders>
            <w:shd w:val="clear" w:color="auto" w:fill="auto"/>
            <w:vAlign w:val="bottom"/>
            <w:hideMark/>
          </w:tcPr>
          <w:p w:rsidR="00144581" w:rsidRPr="00144581" w:rsidP="00144581" w14:paraId="3F9106EF"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Estimated Number of Responses</w:t>
            </w:r>
          </w:p>
        </w:tc>
        <w:tc>
          <w:tcPr>
            <w:tcW w:w="887" w:type="dxa"/>
            <w:tcBorders>
              <w:top w:val="single" w:sz="4" w:space="0" w:color="auto"/>
              <w:left w:val="nil"/>
              <w:bottom w:val="single" w:sz="4" w:space="0" w:color="auto"/>
              <w:right w:val="nil"/>
            </w:tcBorders>
            <w:shd w:val="clear" w:color="auto" w:fill="auto"/>
            <w:vAlign w:val="bottom"/>
            <w:hideMark/>
          </w:tcPr>
          <w:p w:rsidR="00144581" w:rsidRPr="00144581" w:rsidP="00144581" w14:paraId="39C3DE6F"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Total Time (hours)</w:t>
            </w:r>
          </w:p>
        </w:tc>
      </w:tr>
      <w:tr w14:paraId="5D8B1163" w14:textId="77777777" w:rsidTr="00411641">
        <w:tblPrEx>
          <w:tblW w:w="9963" w:type="dxa"/>
          <w:tblLook w:val="04A0"/>
        </w:tblPrEx>
        <w:trPr>
          <w:trHeight w:val="312"/>
        </w:trPr>
        <w:tc>
          <w:tcPr>
            <w:tcW w:w="3498" w:type="dxa"/>
            <w:tcBorders>
              <w:top w:val="nil"/>
              <w:left w:val="nil"/>
              <w:bottom w:val="nil"/>
              <w:right w:val="nil"/>
            </w:tcBorders>
            <w:shd w:val="clear" w:color="auto" w:fill="auto"/>
            <w:noWrap/>
            <w:vAlign w:val="bottom"/>
            <w:hideMark/>
          </w:tcPr>
          <w:p w:rsidR="00144581" w:rsidRPr="00144581" w:rsidP="00144581" w14:paraId="6B9305EE" w14:textId="77777777">
            <w:pPr>
              <w:spacing w:line="240" w:lineRule="auto"/>
              <w:rPr>
                <w:rFonts w:ascii="Calibri" w:hAnsi="Calibri" w:cs="Calibri"/>
                <w:color w:val="000000"/>
                <w:sz w:val="20"/>
                <w:szCs w:val="20"/>
              </w:rPr>
            </w:pPr>
            <w:r w:rsidRPr="00144581">
              <w:rPr>
                <w:rFonts w:ascii="Calibri" w:hAnsi="Calibri" w:cs="Calibri"/>
                <w:color w:val="000000"/>
                <w:sz w:val="20"/>
                <w:szCs w:val="20"/>
              </w:rPr>
              <w:t>Weather and Outdoor Activity Survey</w:t>
            </w:r>
          </w:p>
        </w:tc>
        <w:tc>
          <w:tcPr>
            <w:tcW w:w="1032" w:type="dxa"/>
            <w:tcBorders>
              <w:top w:val="nil"/>
              <w:left w:val="nil"/>
              <w:bottom w:val="nil"/>
              <w:right w:val="nil"/>
            </w:tcBorders>
            <w:shd w:val="clear" w:color="auto" w:fill="auto"/>
            <w:noWrap/>
            <w:vAlign w:val="bottom"/>
            <w:hideMark/>
          </w:tcPr>
          <w:p w:rsidR="00144581" w:rsidRPr="00144581" w:rsidP="00144581" w14:paraId="0257668A"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5</w:t>
            </w:r>
          </w:p>
        </w:tc>
        <w:tc>
          <w:tcPr>
            <w:tcW w:w="1046" w:type="dxa"/>
            <w:tcBorders>
              <w:top w:val="nil"/>
              <w:left w:val="nil"/>
              <w:bottom w:val="nil"/>
              <w:right w:val="nil"/>
            </w:tcBorders>
            <w:shd w:val="clear" w:color="auto" w:fill="auto"/>
            <w:noWrap/>
            <w:vAlign w:val="bottom"/>
            <w:hideMark/>
          </w:tcPr>
          <w:p w:rsidR="00144581" w:rsidRPr="00144581" w:rsidP="00144581" w14:paraId="6E055EF9" w14:textId="7C4E89E7">
            <w:pPr>
              <w:spacing w:line="240" w:lineRule="auto"/>
              <w:jc w:val="center"/>
              <w:rPr>
                <w:rFonts w:ascii="Calibri" w:hAnsi="Calibri" w:cs="Calibri"/>
                <w:color w:val="000000"/>
                <w:sz w:val="20"/>
                <w:szCs w:val="20"/>
              </w:rPr>
            </w:pPr>
            <w:r>
              <w:rPr>
                <w:rFonts w:ascii="Calibri" w:hAnsi="Calibri" w:cs="Calibri"/>
                <w:color w:val="000000"/>
                <w:sz w:val="20"/>
                <w:szCs w:val="20"/>
              </w:rPr>
              <w:t>350,065</w:t>
            </w:r>
            <w:r>
              <w:rPr>
                <w:rStyle w:val="FootnoteReference"/>
                <w:rFonts w:ascii="Calibri" w:hAnsi="Calibri"/>
                <w:color w:val="000000"/>
                <w:sz w:val="20"/>
                <w:szCs w:val="20"/>
              </w:rPr>
              <w:footnoteReference w:id="3"/>
            </w:r>
          </w:p>
        </w:tc>
        <w:tc>
          <w:tcPr>
            <w:tcW w:w="1153" w:type="dxa"/>
            <w:tcBorders>
              <w:top w:val="nil"/>
              <w:left w:val="nil"/>
              <w:bottom w:val="nil"/>
              <w:right w:val="nil"/>
            </w:tcBorders>
            <w:shd w:val="clear" w:color="auto" w:fill="auto"/>
            <w:noWrap/>
            <w:vAlign w:val="bottom"/>
            <w:hideMark/>
          </w:tcPr>
          <w:p w:rsidR="00144581" w:rsidRPr="00144581" w:rsidP="00144581" w14:paraId="5F19620E" w14:textId="3F1A26D4">
            <w:pPr>
              <w:spacing w:line="240" w:lineRule="auto"/>
              <w:jc w:val="center"/>
              <w:rPr>
                <w:rFonts w:ascii="Calibri" w:hAnsi="Calibri" w:cs="Calibri"/>
                <w:color w:val="000000"/>
                <w:sz w:val="20"/>
                <w:szCs w:val="20"/>
              </w:rPr>
            </w:pPr>
            <w:r>
              <w:rPr>
                <w:rFonts w:ascii="Calibri" w:hAnsi="Calibri" w:cs="Calibri"/>
                <w:color w:val="000000"/>
                <w:sz w:val="20"/>
                <w:szCs w:val="20"/>
              </w:rPr>
              <w:t>33.3</w:t>
            </w:r>
            <w:r w:rsidRPr="00144581">
              <w:rPr>
                <w:rFonts w:ascii="Calibri" w:hAnsi="Calibri" w:cs="Calibri"/>
                <w:color w:val="000000"/>
                <w:sz w:val="20"/>
                <w:szCs w:val="20"/>
              </w:rPr>
              <w:t>%</w:t>
            </w:r>
          </w:p>
        </w:tc>
        <w:tc>
          <w:tcPr>
            <w:tcW w:w="1273" w:type="dxa"/>
            <w:tcBorders>
              <w:top w:val="nil"/>
              <w:left w:val="nil"/>
              <w:bottom w:val="nil"/>
              <w:right w:val="nil"/>
            </w:tcBorders>
            <w:shd w:val="clear" w:color="auto" w:fill="auto"/>
            <w:noWrap/>
            <w:vAlign w:val="bottom"/>
            <w:hideMark/>
          </w:tcPr>
          <w:p w:rsidR="00144581" w:rsidRPr="00144581" w:rsidP="00144581" w14:paraId="6BD39DB5"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110,000</w:t>
            </w:r>
          </w:p>
        </w:tc>
        <w:tc>
          <w:tcPr>
            <w:tcW w:w="1074" w:type="dxa"/>
            <w:tcBorders>
              <w:top w:val="nil"/>
              <w:left w:val="nil"/>
              <w:bottom w:val="nil"/>
              <w:right w:val="nil"/>
            </w:tcBorders>
            <w:shd w:val="clear" w:color="auto" w:fill="auto"/>
            <w:noWrap/>
            <w:vAlign w:val="bottom"/>
            <w:hideMark/>
          </w:tcPr>
          <w:p w:rsidR="00144581" w:rsidRPr="00144581" w:rsidP="00144581" w14:paraId="305614C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110,000</w:t>
            </w:r>
          </w:p>
        </w:tc>
        <w:tc>
          <w:tcPr>
            <w:tcW w:w="887" w:type="dxa"/>
            <w:tcBorders>
              <w:top w:val="nil"/>
              <w:left w:val="nil"/>
              <w:bottom w:val="nil"/>
              <w:right w:val="nil"/>
            </w:tcBorders>
            <w:shd w:val="clear" w:color="auto" w:fill="auto"/>
            <w:noWrap/>
            <w:vAlign w:val="bottom"/>
            <w:hideMark/>
          </w:tcPr>
          <w:p w:rsidR="00144581" w:rsidRPr="00144581" w:rsidP="00144581" w14:paraId="7168D39D"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9,167</w:t>
            </w:r>
          </w:p>
        </w:tc>
      </w:tr>
      <w:tr w14:paraId="1A35128C" w14:textId="77777777" w:rsidTr="00411641">
        <w:tblPrEx>
          <w:tblW w:w="9963" w:type="dxa"/>
          <w:tblLook w:val="04A0"/>
        </w:tblPrEx>
        <w:trPr>
          <w:trHeight w:val="312"/>
        </w:trPr>
        <w:tc>
          <w:tcPr>
            <w:tcW w:w="3498" w:type="dxa"/>
            <w:tcBorders>
              <w:top w:val="nil"/>
              <w:left w:val="nil"/>
              <w:bottom w:val="nil"/>
              <w:right w:val="nil"/>
            </w:tcBorders>
            <w:shd w:val="clear" w:color="auto" w:fill="auto"/>
            <w:noWrap/>
            <w:vAlign w:val="bottom"/>
            <w:hideMark/>
          </w:tcPr>
          <w:p w:rsidR="00144581" w:rsidRPr="00144581" w:rsidP="00F029B1" w14:paraId="3B26FDC6" w14:textId="4ED414B4">
            <w:pPr>
              <w:spacing w:line="240" w:lineRule="auto"/>
              <w:rPr>
                <w:rFonts w:ascii="Calibri" w:hAnsi="Calibri" w:cs="Calibri"/>
                <w:color w:val="000000"/>
                <w:sz w:val="20"/>
                <w:szCs w:val="20"/>
              </w:rPr>
            </w:pPr>
            <w:r>
              <w:rPr>
                <w:rFonts w:ascii="Calibri" w:hAnsi="Calibri" w:cs="Calibri"/>
                <w:color w:val="000000"/>
                <w:sz w:val="20"/>
                <w:szCs w:val="20"/>
              </w:rPr>
              <w:t>One-Month Wave Study</w:t>
            </w:r>
          </w:p>
        </w:tc>
        <w:tc>
          <w:tcPr>
            <w:tcW w:w="1032" w:type="dxa"/>
            <w:tcBorders>
              <w:top w:val="nil"/>
              <w:left w:val="nil"/>
              <w:bottom w:val="nil"/>
              <w:right w:val="nil"/>
            </w:tcBorders>
            <w:shd w:val="clear" w:color="auto" w:fill="auto"/>
            <w:noWrap/>
            <w:vAlign w:val="bottom"/>
            <w:hideMark/>
          </w:tcPr>
          <w:p w:rsidR="00144581" w:rsidRPr="00144581" w:rsidP="00144581" w14:paraId="61E2639A" w14:textId="77777777">
            <w:pPr>
              <w:spacing w:line="240" w:lineRule="auto"/>
              <w:jc w:val="center"/>
              <w:rPr>
                <w:rFonts w:ascii="Calibri" w:hAnsi="Calibri" w:cs="Calibri"/>
                <w:color w:val="000000"/>
                <w:sz w:val="20"/>
                <w:szCs w:val="20"/>
              </w:rPr>
            </w:pPr>
            <w:r w:rsidRPr="00144581">
              <w:rPr>
                <w:rFonts w:ascii="Calibri" w:hAnsi="Calibri" w:cs="Calibri"/>
                <w:color w:val="000000"/>
                <w:sz w:val="20"/>
                <w:szCs w:val="20"/>
              </w:rPr>
              <w:t>5</w:t>
            </w:r>
          </w:p>
        </w:tc>
        <w:tc>
          <w:tcPr>
            <w:tcW w:w="1046" w:type="dxa"/>
            <w:tcBorders>
              <w:top w:val="nil"/>
              <w:left w:val="nil"/>
              <w:bottom w:val="nil"/>
              <w:right w:val="nil"/>
            </w:tcBorders>
            <w:shd w:val="clear" w:color="auto" w:fill="auto"/>
            <w:noWrap/>
            <w:vAlign w:val="bottom"/>
            <w:hideMark/>
          </w:tcPr>
          <w:p w:rsidR="00144581" w:rsidRPr="00144581" w:rsidP="004A3309" w14:paraId="45140082" w14:textId="15188B55">
            <w:pPr>
              <w:spacing w:line="240" w:lineRule="auto"/>
              <w:jc w:val="center"/>
              <w:rPr>
                <w:rFonts w:ascii="Calibri" w:hAnsi="Calibri" w:cs="Calibri"/>
                <w:color w:val="000000"/>
                <w:sz w:val="20"/>
                <w:szCs w:val="20"/>
              </w:rPr>
            </w:pPr>
            <w:r>
              <w:rPr>
                <w:rFonts w:ascii="Calibri" w:hAnsi="Calibri" w:cs="Calibri"/>
                <w:color w:val="000000"/>
                <w:sz w:val="20"/>
                <w:szCs w:val="20"/>
              </w:rPr>
              <w:t>233,377</w:t>
            </w:r>
            <w:r>
              <w:rPr>
                <w:rStyle w:val="FootnoteReference"/>
                <w:rFonts w:ascii="Calibri" w:hAnsi="Calibri"/>
                <w:color w:val="000000"/>
                <w:sz w:val="20"/>
                <w:szCs w:val="20"/>
              </w:rPr>
              <w:footnoteReference w:id="4"/>
            </w:r>
          </w:p>
        </w:tc>
        <w:tc>
          <w:tcPr>
            <w:tcW w:w="1153" w:type="dxa"/>
            <w:tcBorders>
              <w:top w:val="nil"/>
              <w:left w:val="nil"/>
              <w:bottom w:val="nil"/>
              <w:right w:val="nil"/>
            </w:tcBorders>
            <w:shd w:val="clear" w:color="auto" w:fill="auto"/>
            <w:noWrap/>
            <w:vAlign w:val="bottom"/>
            <w:hideMark/>
          </w:tcPr>
          <w:p w:rsidR="00144581" w:rsidRPr="00144581" w:rsidP="00144581" w14:paraId="2B6454D8" w14:textId="6F9DD18C">
            <w:pPr>
              <w:spacing w:line="240" w:lineRule="auto"/>
              <w:jc w:val="center"/>
              <w:rPr>
                <w:rFonts w:ascii="Calibri" w:hAnsi="Calibri" w:cs="Calibri"/>
                <w:color w:val="000000"/>
                <w:sz w:val="20"/>
                <w:szCs w:val="20"/>
              </w:rPr>
            </w:pPr>
            <w:r w:rsidRPr="00144581">
              <w:rPr>
                <w:rFonts w:ascii="Calibri" w:hAnsi="Calibri" w:cs="Calibri"/>
                <w:color w:val="000000"/>
                <w:sz w:val="20"/>
                <w:szCs w:val="20"/>
              </w:rPr>
              <w:t>3</w:t>
            </w:r>
            <w:r w:rsidR="004A3309">
              <w:rPr>
                <w:rFonts w:ascii="Calibri" w:hAnsi="Calibri" w:cs="Calibri"/>
                <w:color w:val="000000"/>
                <w:sz w:val="20"/>
                <w:szCs w:val="20"/>
              </w:rPr>
              <w:t>3.3</w:t>
            </w:r>
            <w:r w:rsidRPr="00144581">
              <w:rPr>
                <w:rFonts w:ascii="Calibri" w:hAnsi="Calibri" w:cs="Calibri"/>
                <w:color w:val="000000"/>
                <w:sz w:val="20"/>
                <w:szCs w:val="20"/>
              </w:rPr>
              <w:t>%</w:t>
            </w:r>
          </w:p>
        </w:tc>
        <w:tc>
          <w:tcPr>
            <w:tcW w:w="1273" w:type="dxa"/>
            <w:tcBorders>
              <w:top w:val="nil"/>
              <w:left w:val="nil"/>
              <w:bottom w:val="nil"/>
              <w:right w:val="nil"/>
            </w:tcBorders>
            <w:shd w:val="clear" w:color="auto" w:fill="auto"/>
            <w:noWrap/>
            <w:vAlign w:val="bottom"/>
            <w:hideMark/>
          </w:tcPr>
          <w:p w:rsidR="00144581" w:rsidRPr="00144581" w:rsidP="00144581" w14:paraId="43179F3C" w14:textId="507A792D">
            <w:pPr>
              <w:spacing w:line="240" w:lineRule="auto"/>
              <w:jc w:val="center"/>
              <w:rPr>
                <w:rFonts w:ascii="Calibri" w:hAnsi="Calibri" w:cs="Calibri"/>
                <w:color w:val="000000"/>
                <w:sz w:val="20"/>
                <w:szCs w:val="20"/>
              </w:rPr>
            </w:pPr>
            <w:r>
              <w:rPr>
                <w:rFonts w:ascii="Calibri" w:hAnsi="Calibri" w:cs="Calibri"/>
                <w:color w:val="000000"/>
                <w:sz w:val="20"/>
                <w:szCs w:val="20"/>
              </w:rPr>
              <w:t>73,333</w:t>
            </w:r>
          </w:p>
        </w:tc>
        <w:tc>
          <w:tcPr>
            <w:tcW w:w="1074" w:type="dxa"/>
            <w:tcBorders>
              <w:top w:val="nil"/>
              <w:left w:val="nil"/>
              <w:bottom w:val="nil"/>
              <w:right w:val="nil"/>
            </w:tcBorders>
            <w:shd w:val="clear" w:color="auto" w:fill="auto"/>
            <w:noWrap/>
            <w:vAlign w:val="bottom"/>
            <w:hideMark/>
          </w:tcPr>
          <w:p w:rsidR="00144581" w:rsidRPr="00144581" w:rsidP="00144581" w14:paraId="7C44A68C" w14:textId="2106468F">
            <w:pPr>
              <w:spacing w:line="240" w:lineRule="auto"/>
              <w:jc w:val="center"/>
              <w:rPr>
                <w:rFonts w:ascii="Calibri" w:hAnsi="Calibri" w:cs="Calibri"/>
                <w:color w:val="000000"/>
                <w:sz w:val="20"/>
                <w:szCs w:val="20"/>
              </w:rPr>
            </w:pPr>
            <w:r>
              <w:rPr>
                <w:rFonts w:ascii="Calibri" w:hAnsi="Calibri" w:cs="Calibri"/>
                <w:color w:val="000000"/>
                <w:sz w:val="20"/>
                <w:szCs w:val="20"/>
              </w:rPr>
              <w:t>73,333</w:t>
            </w:r>
          </w:p>
        </w:tc>
        <w:tc>
          <w:tcPr>
            <w:tcW w:w="887" w:type="dxa"/>
            <w:tcBorders>
              <w:top w:val="nil"/>
              <w:left w:val="nil"/>
              <w:bottom w:val="nil"/>
              <w:right w:val="nil"/>
            </w:tcBorders>
            <w:shd w:val="clear" w:color="auto" w:fill="auto"/>
            <w:noWrap/>
            <w:vAlign w:val="bottom"/>
            <w:hideMark/>
          </w:tcPr>
          <w:p w:rsidR="00144581" w:rsidRPr="00144581" w:rsidP="00144581" w14:paraId="70B63C52" w14:textId="49BD4670">
            <w:pPr>
              <w:spacing w:line="240" w:lineRule="auto"/>
              <w:jc w:val="center"/>
              <w:rPr>
                <w:rFonts w:ascii="Calibri" w:hAnsi="Calibri" w:cs="Calibri"/>
                <w:color w:val="000000"/>
                <w:sz w:val="20"/>
                <w:szCs w:val="20"/>
              </w:rPr>
            </w:pPr>
            <w:r>
              <w:rPr>
                <w:rFonts w:ascii="Calibri" w:hAnsi="Calibri" w:cs="Calibri"/>
                <w:color w:val="000000"/>
                <w:sz w:val="20"/>
                <w:szCs w:val="20"/>
              </w:rPr>
              <w:t>6,111</w:t>
            </w:r>
          </w:p>
        </w:tc>
      </w:tr>
      <w:tr w14:paraId="0F39F6D8" w14:textId="77777777" w:rsidTr="00411641">
        <w:tblPrEx>
          <w:tblW w:w="9963" w:type="dxa"/>
          <w:tblLook w:val="04A0"/>
        </w:tblPrEx>
        <w:trPr>
          <w:trHeight w:val="312"/>
        </w:trPr>
        <w:tc>
          <w:tcPr>
            <w:tcW w:w="3498" w:type="dxa"/>
            <w:tcBorders>
              <w:top w:val="nil"/>
              <w:left w:val="nil"/>
              <w:bottom w:val="single" w:sz="4" w:space="0" w:color="auto"/>
              <w:right w:val="nil"/>
            </w:tcBorders>
            <w:shd w:val="clear" w:color="auto" w:fill="auto"/>
            <w:noWrap/>
            <w:vAlign w:val="bottom"/>
            <w:hideMark/>
          </w:tcPr>
          <w:p w:rsidR="00144581" w:rsidRPr="00144581" w:rsidP="00144581" w14:paraId="4F5B2FBD" w14:textId="77777777">
            <w:pPr>
              <w:spacing w:line="240" w:lineRule="auto"/>
              <w:rPr>
                <w:rFonts w:ascii="Calibri" w:hAnsi="Calibri" w:cs="Calibri"/>
                <w:b/>
                <w:bCs/>
                <w:color w:val="000000"/>
                <w:sz w:val="20"/>
                <w:szCs w:val="20"/>
              </w:rPr>
            </w:pPr>
            <w:r w:rsidRPr="00144581">
              <w:rPr>
                <w:rFonts w:ascii="Calibri" w:hAnsi="Calibri" w:cs="Calibri"/>
                <w:b/>
                <w:bCs/>
                <w:color w:val="000000"/>
                <w:sz w:val="20"/>
                <w:szCs w:val="20"/>
              </w:rPr>
              <w:t>Study Total</w:t>
            </w:r>
          </w:p>
        </w:tc>
        <w:tc>
          <w:tcPr>
            <w:tcW w:w="1032" w:type="dxa"/>
            <w:tcBorders>
              <w:top w:val="nil"/>
              <w:left w:val="nil"/>
              <w:bottom w:val="single" w:sz="4" w:space="0" w:color="auto"/>
              <w:right w:val="nil"/>
            </w:tcBorders>
            <w:shd w:val="clear" w:color="auto" w:fill="auto"/>
            <w:noWrap/>
            <w:vAlign w:val="bottom"/>
            <w:hideMark/>
          </w:tcPr>
          <w:p w:rsidR="00144581" w:rsidRPr="00144581" w:rsidP="00144581" w14:paraId="7843457E"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1046" w:type="dxa"/>
            <w:tcBorders>
              <w:top w:val="nil"/>
              <w:left w:val="nil"/>
              <w:bottom w:val="single" w:sz="4" w:space="0" w:color="auto"/>
              <w:right w:val="nil"/>
            </w:tcBorders>
            <w:shd w:val="clear" w:color="auto" w:fill="auto"/>
            <w:noWrap/>
            <w:vAlign w:val="bottom"/>
            <w:hideMark/>
          </w:tcPr>
          <w:p w:rsidR="00144581" w:rsidRPr="00144581" w:rsidP="00144581" w14:paraId="47CDD8D3"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1153" w:type="dxa"/>
            <w:tcBorders>
              <w:top w:val="nil"/>
              <w:left w:val="nil"/>
              <w:bottom w:val="single" w:sz="4" w:space="0" w:color="auto"/>
              <w:right w:val="nil"/>
            </w:tcBorders>
            <w:shd w:val="clear" w:color="auto" w:fill="auto"/>
            <w:noWrap/>
            <w:vAlign w:val="bottom"/>
            <w:hideMark/>
          </w:tcPr>
          <w:p w:rsidR="00144581" w:rsidRPr="00144581" w:rsidP="00144581" w14:paraId="3F03FFC7" w14:textId="77777777">
            <w:pPr>
              <w:spacing w:line="240" w:lineRule="auto"/>
              <w:jc w:val="center"/>
              <w:rPr>
                <w:rFonts w:ascii="Calibri" w:hAnsi="Calibri" w:cs="Calibri"/>
                <w:b/>
                <w:bCs/>
                <w:color w:val="000000"/>
                <w:sz w:val="20"/>
                <w:szCs w:val="20"/>
              </w:rPr>
            </w:pPr>
            <w:r w:rsidRPr="00144581">
              <w:rPr>
                <w:rFonts w:ascii="Calibri" w:hAnsi="Calibri" w:cs="Calibri"/>
                <w:b/>
                <w:bCs/>
                <w:color w:val="000000"/>
                <w:sz w:val="20"/>
                <w:szCs w:val="20"/>
              </w:rPr>
              <w:t> </w:t>
            </w:r>
          </w:p>
        </w:tc>
        <w:tc>
          <w:tcPr>
            <w:tcW w:w="1273" w:type="dxa"/>
            <w:tcBorders>
              <w:top w:val="nil"/>
              <w:left w:val="nil"/>
              <w:bottom w:val="single" w:sz="4" w:space="0" w:color="auto"/>
              <w:right w:val="nil"/>
            </w:tcBorders>
            <w:shd w:val="clear" w:color="auto" w:fill="auto"/>
            <w:noWrap/>
            <w:vAlign w:val="bottom"/>
            <w:hideMark/>
          </w:tcPr>
          <w:p w:rsidR="00144581" w:rsidRPr="00144581" w:rsidP="00144581" w14:paraId="17784911" w14:textId="4B91511F">
            <w:pPr>
              <w:spacing w:line="240" w:lineRule="auto"/>
              <w:jc w:val="center"/>
              <w:rPr>
                <w:rFonts w:ascii="Calibri" w:hAnsi="Calibri" w:cs="Calibri"/>
                <w:b/>
                <w:bCs/>
                <w:color w:val="000000"/>
                <w:sz w:val="20"/>
                <w:szCs w:val="20"/>
              </w:rPr>
            </w:pPr>
            <w:r>
              <w:rPr>
                <w:rFonts w:ascii="Calibri" w:hAnsi="Calibri" w:cs="Calibri"/>
                <w:b/>
                <w:bCs/>
                <w:color w:val="000000"/>
                <w:sz w:val="20"/>
                <w:szCs w:val="20"/>
              </w:rPr>
              <w:t>183,333</w:t>
            </w:r>
          </w:p>
        </w:tc>
        <w:tc>
          <w:tcPr>
            <w:tcW w:w="1074" w:type="dxa"/>
            <w:tcBorders>
              <w:top w:val="nil"/>
              <w:left w:val="nil"/>
              <w:bottom w:val="single" w:sz="4" w:space="0" w:color="auto"/>
              <w:right w:val="nil"/>
            </w:tcBorders>
            <w:shd w:val="clear" w:color="auto" w:fill="auto"/>
            <w:noWrap/>
            <w:vAlign w:val="bottom"/>
            <w:hideMark/>
          </w:tcPr>
          <w:p w:rsidR="00144581" w:rsidRPr="00144581" w:rsidP="00144581" w14:paraId="7C97C77F" w14:textId="200C075E">
            <w:pPr>
              <w:spacing w:line="240" w:lineRule="auto"/>
              <w:jc w:val="center"/>
              <w:rPr>
                <w:rFonts w:ascii="Calibri" w:hAnsi="Calibri" w:cs="Calibri"/>
                <w:b/>
                <w:bCs/>
                <w:color w:val="000000"/>
                <w:sz w:val="20"/>
                <w:szCs w:val="20"/>
              </w:rPr>
            </w:pPr>
            <w:r>
              <w:rPr>
                <w:rFonts w:ascii="Calibri" w:hAnsi="Calibri" w:cs="Calibri"/>
                <w:b/>
                <w:bCs/>
                <w:color w:val="000000"/>
                <w:sz w:val="20"/>
                <w:szCs w:val="20"/>
              </w:rPr>
              <w:t>183,333</w:t>
            </w:r>
          </w:p>
        </w:tc>
        <w:tc>
          <w:tcPr>
            <w:tcW w:w="887" w:type="dxa"/>
            <w:tcBorders>
              <w:top w:val="nil"/>
              <w:left w:val="nil"/>
              <w:bottom w:val="single" w:sz="4" w:space="0" w:color="auto"/>
              <w:right w:val="nil"/>
            </w:tcBorders>
            <w:shd w:val="clear" w:color="auto" w:fill="auto"/>
            <w:noWrap/>
            <w:vAlign w:val="bottom"/>
            <w:hideMark/>
          </w:tcPr>
          <w:p w:rsidR="00144581" w:rsidRPr="00144581" w:rsidP="00144581" w14:paraId="65CD476C" w14:textId="2E18153E">
            <w:pPr>
              <w:spacing w:line="240" w:lineRule="auto"/>
              <w:jc w:val="center"/>
              <w:rPr>
                <w:rFonts w:ascii="Calibri" w:hAnsi="Calibri" w:cs="Calibri"/>
                <w:b/>
                <w:bCs/>
                <w:color w:val="000000"/>
                <w:sz w:val="20"/>
                <w:szCs w:val="20"/>
              </w:rPr>
            </w:pPr>
            <w:r>
              <w:rPr>
                <w:rFonts w:ascii="Calibri" w:hAnsi="Calibri" w:cs="Calibri"/>
                <w:b/>
                <w:bCs/>
                <w:color w:val="000000"/>
                <w:sz w:val="20"/>
                <w:szCs w:val="20"/>
              </w:rPr>
              <w:t>15,278</w:t>
            </w:r>
          </w:p>
        </w:tc>
      </w:tr>
    </w:tbl>
    <w:p w:rsidR="00144581" w:rsidP="00934049" w14:paraId="3DBF7291" w14:textId="77777777">
      <w:pPr>
        <w:pStyle w:val="NoSpacing"/>
      </w:pPr>
    </w:p>
    <w:tbl>
      <w:tblPr>
        <w:tblpPr w:leftFromText="180" w:rightFromText="180" w:vertAnchor="text" w:horzAnchor="margin" w:tblpXSpec="center" w:tblpY="172"/>
        <w:tblW w:w="11183" w:type="dxa"/>
        <w:tblLayout w:type="fixed"/>
        <w:tblLook w:val="04A0"/>
      </w:tblPr>
      <w:tblGrid>
        <w:gridCol w:w="2330"/>
        <w:gridCol w:w="1350"/>
        <w:gridCol w:w="1261"/>
        <w:gridCol w:w="1022"/>
        <w:gridCol w:w="1080"/>
        <w:gridCol w:w="900"/>
        <w:gridCol w:w="990"/>
        <w:gridCol w:w="1080"/>
        <w:gridCol w:w="1170"/>
      </w:tblGrid>
      <w:tr w14:paraId="0C2BBD08" w14:textId="77777777" w:rsidTr="00F77828">
        <w:tblPrEx>
          <w:tblW w:w="11183" w:type="dxa"/>
          <w:tblLayout w:type="fixed"/>
          <w:tblLook w:val="04A0"/>
        </w:tblPrEx>
        <w:trPr>
          <w:trHeight w:val="1465"/>
        </w:trPr>
        <w:tc>
          <w:tcPr>
            <w:tcW w:w="233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9B36BA" w:rsidRPr="00D64DF9" w:rsidP="009B36BA" w14:paraId="4DBA346B"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Information Collection</w:t>
            </w:r>
          </w:p>
        </w:tc>
        <w:tc>
          <w:tcPr>
            <w:tcW w:w="1350" w:type="dxa"/>
            <w:tcBorders>
              <w:top w:val="single" w:sz="8" w:space="0" w:color="auto"/>
              <w:left w:val="nil"/>
              <w:bottom w:val="single" w:sz="8" w:space="0" w:color="auto"/>
              <w:right w:val="single" w:sz="8" w:space="0" w:color="000000"/>
            </w:tcBorders>
            <w:shd w:val="clear" w:color="000000" w:fill="BDD7EE"/>
            <w:vAlign w:val="center"/>
            <w:hideMark/>
          </w:tcPr>
          <w:p w:rsidR="009B36BA" w:rsidRPr="00D64DF9" w:rsidP="009B36BA" w14:paraId="7B79D817"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Type of Respondent (e.g., Occupational Title)</w:t>
            </w:r>
          </w:p>
        </w:tc>
        <w:tc>
          <w:tcPr>
            <w:tcW w:w="1261" w:type="dxa"/>
            <w:tcBorders>
              <w:top w:val="single" w:sz="8" w:space="0" w:color="auto"/>
              <w:left w:val="nil"/>
              <w:bottom w:val="single" w:sz="8" w:space="0" w:color="auto"/>
              <w:right w:val="single" w:sz="8" w:space="0" w:color="000000"/>
            </w:tcBorders>
            <w:shd w:val="clear" w:color="000000" w:fill="BDD7EE"/>
            <w:vAlign w:val="center"/>
            <w:hideMark/>
          </w:tcPr>
          <w:p w:rsidR="009B36BA" w:rsidRPr="00D64DF9" w:rsidP="009B36BA" w14:paraId="0C63E7CA"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 of Respondents/year</w:t>
            </w:r>
            <w:r w:rsidRPr="00D64DF9">
              <w:rPr>
                <w:rFonts w:ascii="Calibri" w:hAnsi="Calibri" w:cs="Calibri"/>
                <w:b/>
                <w:bCs/>
                <w:color w:val="000000"/>
                <w:sz w:val="16"/>
                <w:szCs w:val="16"/>
              </w:rPr>
              <w:br/>
              <w:t>(a)</w:t>
            </w:r>
          </w:p>
        </w:tc>
        <w:tc>
          <w:tcPr>
            <w:tcW w:w="1022" w:type="dxa"/>
            <w:tcBorders>
              <w:top w:val="single" w:sz="8" w:space="0" w:color="auto"/>
              <w:left w:val="nil"/>
              <w:bottom w:val="single" w:sz="8" w:space="0" w:color="auto"/>
              <w:right w:val="single" w:sz="8" w:space="0" w:color="auto"/>
            </w:tcBorders>
            <w:shd w:val="clear" w:color="000000" w:fill="BDD7EE"/>
            <w:vAlign w:val="center"/>
            <w:hideMark/>
          </w:tcPr>
          <w:p w:rsidR="009B36BA" w:rsidRPr="00D64DF9" w:rsidP="009B36BA" w14:paraId="6FBFE68E"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Annual # of Responses / Respondent</w:t>
            </w:r>
            <w:r w:rsidRPr="00D64DF9">
              <w:rPr>
                <w:rFonts w:ascii="Calibri" w:hAnsi="Calibri" w:cs="Calibri"/>
                <w:b/>
                <w:bCs/>
                <w:color w:val="000000"/>
                <w:sz w:val="16"/>
                <w:szCs w:val="16"/>
              </w:rPr>
              <w:br/>
              <w:t>(b)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9B36BA" w:rsidRPr="00D64DF9" w:rsidP="009B36BA" w14:paraId="2FFCBBF0"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 xml:space="preserve"> Total # of Annual Responses</w:t>
            </w:r>
            <w:r w:rsidRPr="00D64DF9">
              <w:rPr>
                <w:rFonts w:ascii="Calibri" w:hAnsi="Calibri" w:cs="Calibri"/>
                <w:b/>
                <w:bCs/>
                <w:color w:val="000000"/>
                <w:sz w:val="16"/>
                <w:szCs w:val="16"/>
              </w:rPr>
              <w:br/>
              <w:t>(c) = (a) x (b)</w:t>
            </w:r>
          </w:p>
        </w:tc>
        <w:tc>
          <w:tcPr>
            <w:tcW w:w="900" w:type="dxa"/>
            <w:tcBorders>
              <w:top w:val="single" w:sz="8" w:space="0" w:color="auto"/>
              <w:left w:val="nil"/>
              <w:bottom w:val="single" w:sz="8" w:space="0" w:color="auto"/>
              <w:right w:val="single" w:sz="8" w:space="0" w:color="auto"/>
            </w:tcBorders>
            <w:shd w:val="clear" w:color="000000" w:fill="BDD7EE"/>
            <w:vAlign w:val="center"/>
            <w:hideMark/>
          </w:tcPr>
          <w:p w:rsidR="009B36BA" w:rsidRPr="00D64DF9" w:rsidP="009B36BA" w14:paraId="0DC2C4D3"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Burden Hrs / Response</w:t>
            </w:r>
            <w:r w:rsidRPr="00D64DF9">
              <w:rPr>
                <w:rFonts w:ascii="Calibri" w:hAnsi="Calibri" w:cs="Calibri"/>
                <w:b/>
                <w:bCs/>
                <w:color w:val="000000"/>
                <w:sz w:val="16"/>
                <w:szCs w:val="16"/>
              </w:rPr>
              <w:br/>
              <w:t>(d)</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9B36BA" w:rsidRPr="00D64DF9" w:rsidP="009B36BA" w14:paraId="040595F1"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 xml:space="preserve">Total Annual Burden </w:t>
            </w:r>
            <w:r w:rsidRPr="00D64DF9">
              <w:rPr>
                <w:rFonts w:ascii="Calibri" w:hAnsi="Calibri" w:cs="Calibri"/>
                <w:b/>
                <w:bCs/>
                <w:color w:val="000000"/>
                <w:sz w:val="16"/>
                <w:szCs w:val="16"/>
              </w:rPr>
              <w:t>Hrs</w:t>
            </w:r>
            <w:r w:rsidRPr="00D64DF9">
              <w:rPr>
                <w:rFonts w:ascii="Calibri" w:hAnsi="Calibri" w:cs="Calibri"/>
                <w:b/>
                <w:bCs/>
                <w:color w:val="000000"/>
                <w:sz w:val="16"/>
                <w:szCs w:val="16"/>
              </w:rPr>
              <w:br/>
              <w:t>(e)  = (c) x (d)</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9B36BA" w:rsidRPr="00D64DF9" w:rsidP="009B36BA" w14:paraId="6555F65F"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Hourly Wage Rate  (for Type of Respondent)</w:t>
            </w:r>
            <w:r w:rsidRPr="00D64DF9">
              <w:rPr>
                <w:rFonts w:ascii="Calibri" w:hAnsi="Calibri" w:cs="Calibri"/>
                <w:b/>
                <w:bCs/>
                <w:color w:val="000000"/>
                <w:sz w:val="16"/>
                <w:szCs w:val="16"/>
              </w:rPr>
              <w:br/>
              <w:t>(f)</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9B36BA" w:rsidRPr="00D64DF9" w:rsidP="009B36BA" w14:paraId="2DD980B7" w14:textId="77777777">
            <w:pPr>
              <w:jc w:val="center"/>
              <w:rPr>
                <w:rFonts w:ascii="Calibri" w:hAnsi="Calibri" w:cs="Calibri"/>
                <w:b/>
                <w:bCs/>
                <w:color w:val="000000"/>
                <w:sz w:val="16"/>
                <w:szCs w:val="16"/>
              </w:rPr>
            </w:pPr>
            <w:r w:rsidRPr="00D64DF9">
              <w:rPr>
                <w:rFonts w:ascii="Calibri" w:hAnsi="Calibri" w:cs="Calibri"/>
                <w:b/>
                <w:bCs/>
                <w:color w:val="000000"/>
                <w:sz w:val="16"/>
                <w:szCs w:val="16"/>
              </w:rPr>
              <w:t>Total Annual Wage Burden Costs</w:t>
            </w:r>
            <w:r w:rsidRPr="00D64DF9">
              <w:rPr>
                <w:rFonts w:ascii="Calibri" w:hAnsi="Calibri" w:cs="Calibri"/>
                <w:b/>
                <w:bCs/>
                <w:color w:val="000000"/>
                <w:sz w:val="16"/>
                <w:szCs w:val="16"/>
              </w:rPr>
              <w:br/>
              <w:t>(g) = (e) x (f)</w:t>
            </w:r>
          </w:p>
        </w:tc>
      </w:tr>
      <w:tr w14:paraId="120E9E9E" w14:textId="77777777" w:rsidTr="00F77828">
        <w:tblPrEx>
          <w:tblW w:w="11183" w:type="dxa"/>
          <w:tblLayout w:type="fixed"/>
          <w:tblLook w:val="04A0"/>
        </w:tblPrEx>
        <w:trPr>
          <w:trHeight w:val="745"/>
        </w:trPr>
        <w:tc>
          <w:tcPr>
            <w:tcW w:w="2330" w:type="dxa"/>
            <w:tcBorders>
              <w:top w:val="nil"/>
              <w:left w:val="single" w:sz="8" w:space="0" w:color="auto"/>
              <w:bottom w:val="single" w:sz="4" w:space="0" w:color="auto"/>
              <w:right w:val="single" w:sz="4" w:space="0" w:color="auto"/>
            </w:tcBorders>
            <w:shd w:val="clear" w:color="auto" w:fill="auto"/>
            <w:vAlign w:val="center"/>
            <w:hideMark/>
          </w:tcPr>
          <w:p w:rsidR="003F4B52" w:rsidRPr="00F77828" w:rsidP="00F77828" w14:paraId="04FF9980" w14:textId="122FF8A8">
            <w:pPr>
              <w:spacing w:line="240" w:lineRule="auto"/>
              <w:rPr>
                <w:rFonts w:ascii="Calibri" w:hAnsi="Calibri" w:cs="Calibri"/>
                <w:color w:val="000000"/>
                <w:sz w:val="18"/>
                <w:szCs w:val="18"/>
              </w:rPr>
            </w:pPr>
            <w:r w:rsidRPr="00F77828">
              <w:rPr>
                <w:rFonts w:ascii="Calibri" w:hAnsi="Calibri" w:cs="Calibri"/>
                <w:color w:val="000000"/>
                <w:sz w:val="18"/>
                <w:szCs w:val="18"/>
              </w:rPr>
              <w:t>Weather and Outdoor Activity Survey</w:t>
            </w:r>
          </w:p>
        </w:tc>
        <w:tc>
          <w:tcPr>
            <w:tcW w:w="1350" w:type="dxa"/>
            <w:tcBorders>
              <w:top w:val="nil"/>
              <w:left w:val="nil"/>
              <w:bottom w:val="single" w:sz="4" w:space="0" w:color="auto"/>
              <w:right w:val="single" w:sz="4" w:space="0" w:color="auto"/>
            </w:tcBorders>
            <w:shd w:val="clear" w:color="auto" w:fill="auto"/>
            <w:vAlign w:val="center"/>
            <w:hideMark/>
          </w:tcPr>
          <w:p w:rsidR="003F4B52" w:rsidRPr="00F77828" w:rsidP="00F77828" w14:paraId="5CB082D0" w14:textId="1F0240B7">
            <w:pPr>
              <w:spacing w:line="240" w:lineRule="auto"/>
              <w:jc w:val="center"/>
              <w:rPr>
                <w:rFonts w:ascii="Calibri" w:hAnsi="Calibri" w:cs="Calibri"/>
                <w:color w:val="000000"/>
                <w:sz w:val="18"/>
                <w:szCs w:val="18"/>
              </w:rPr>
            </w:pPr>
            <w:r w:rsidRPr="00F77828">
              <w:rPr>
                <w:rFonts w:ascii="Calibri" w:hAnsi="Calibri" w:cs="Calibri"/>
                <w:color w:val="000000"/>
                <w:sz w:val="18"/>
                <w:szCs w:val="18"/>
              </w:rPr>
              <w:t>Civilian Workers</w:t>
            </w:r>
          </w:p>
        </w:tc>
        <w:tc>
          <w:tcPr>
            <w:tcW w:w="1261" w:type="dxa"/>
            <w:tcBorders>
              <w:top w:val="nil"/>
              <w:left w:val="nil"/>
              <w:bottom w:val="single" w:sz="4" w:space="0" w:color="auto"/>
              <w:right w:val="single" w:sz="4" w:space="0" w:color="auto"/>
            </w:tcBorders>
            <w:shd w:val="clear" w:color="auto" w:fill="auto"/>
            <w:vAlign w:val="center"/>
            <w:hideMark/>
          </w:tcPr>
          <w:p w:rsidR="003F4B52" w:rsidRPr="00F77828" w:rsidP="00F77828" w14:paraId="7A97520E" w14:textId="347968B9">
            <w:pPr>
              <w:jc w:val="center"/>
              <w:rPr>
                <w:rFonts w:ascii="Calibri" w:hAnsi="Calibri" w:cs="Calibri"/>
                <w:color w:val="000000"/>
                <w:sz w:val="18"/>
                <w:szCs w:val="18"/>
              </w:rPr>
            </w:pPr>
            <w:r w:rsidRPr="00F77828">
              <w:rPr>
                <w:rFonts w:ascii="Calibri" w:hAnsi="Calibri" w:cs="Calibri"/>
                <w:color w:val="000000"/>
                <w:sz w:val="18"/>
                <w:szCs w:val="18"/>
              </w:rPr>
              <w:t>110,000</w:t>
            </w:r>
          </w:p>
        </w:tc>
        <w:tc>
          <w:tcPr>
            <w:tcW w:w="1022" w:type="dxa"/>
            <w:tcBorders>
              <w:top w:val="nil"/>
              <w:left w:val="nil"/>
              <w:bottom w:val="single" w:sz="4" w:space="0" w:color="auto"/>
              <w:right w:val="single" w:sz="4" w:space="0" w:color="auto"/>
            </w:tcBorders>
            <w:shd w:val="clear" w:color="auto" w:fill="auto"/>
            <w:vAlign w:val="center"/>
            <w:hideMark/>
          </w:tcPr>
          <w:p w:rsidR="003F4B52" w:rsidRPr="00F77828" w:rsidP="00F77828" w14:paraId="1A33E3E4" w14:textId="30B35C8C">
            <w:pPr>
              <w:jc w:val="center"/>
              <w:rPr>
                <w:rFonts w:ascii="Calibri" w:hAnsi="Calibri" w:cs="Calibri"/>
                <w:color w:val="000000"/>
                <w:sz w:val="18"/>
                <w:szCs w:val="18"/>
              </w:rPr>
            </w:pPr>
            <w:r w:rsidRPr="00F77828">
              <w:rPr>
                <w:rFonts w:ascii="Calibri" w:hAnsi="Calibri" w:cs="Calibr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3F4B52" w:rsidRPr="00F77828" w:rsidP="00F77828" w14:paraId="53BA5E98" w14:textId="6BF22A71">
            <w:pPr>
              <w:jc w:val="center"/>
              <w:rPr>
                <w:rFonts w:ascii="Calibri" w:hAnsi="Calibri" w:cs="Calibri"/>
                <w:color w:val="000000"/>
                <w:sz w:val="18"/>
                <w:szCs w:val="18"/>
              </w:rPr>
            </w:pPr>
            <w:r w:rsidRPr="00F77828">
              <w:rPr>
                <w:rFonts w:ascii="Calibri" w:hAnsi="Calibri" w:cs="Calibri"/>
                <w:color w:val="000000"/>
                <w:sz w:val="18"/>
                <w:szCs w:val="18"/>
              </w:rPr>
              <w:t>110,000</w:t>
            </w:r>
          </w:p>
        </w:tc>
        <w:tc>
          <w:tcPr>
            <w:tcW w:w="900" w:type="dxa"/>
            <w:tcBorders>
              <w:top w:val="nil"/>
              <w:left w:val="nil"/>
              <w:bottom w:val="single" w:sz="4" w:space="0" w:color="auto"/>
              <w:right w:val="single" w:sz="4" w:space="0" w:color="auto"/>
            </w:tcBorders>
            <w:shd w:val="clear" w:color="auto" w:fill="auto"/>
            <w:vAlign w:val="center"/>
            <w:hideMark/>
          </w:tcPr>
          <w:p w:rsidR="003F4B52" w:rsidRPr="00F77828" w:rsidP="00F77828" w14:paraId="2FCBD2F9" w14:textId="44532B1C">
            <w:pPr>
              <w:jc w:val="center"/>
              <w:rPr>
                <w:rFonts w:ascii="Calibri" w:hAnsi="Calibri" w:cs="Calibri"/>
                <w:color w:val="000000"/>
                <w:sz w:val="18"/>
                <w:szCs w:val="18"/>
              </w:rPr>
            </w:pPr>
            <w:r w:rsidRPr="00F77828">
              <w:rPr>
                <w:rFonts w:ascii="Calibri" w:hAnsi="Calibri" w:cs="Calibri"/>
                <w:color w:val="000000"/>
                <w:sz w:val="18"/>
                <w:szCs w:val="18"/>
              </w:rPr>
              <w:t>5</w:t>
            </w:r>
            <w:r w:rsidRPr="00F77828" w:rsidR="00F77828">
              <w:rPr>
                <w:rFonts w:ascii="Calibri" w:hAnsi="Calibri" w:cs="Calibri"/>
                <w:color w:val="000000"/>
                <w:sz w:val="18"/>
                <w:szCs w:val="18"/>
              </w:rPr>
              <w:t xml:space="preserve"> </w:t>
            </w:r>
            <w:r w:rsidRPr="00F77828">
              <w:rPr>
                <w:rFonts w:ascii="Calibri" w:hAnsi="Calibri" w:cs="Calibri"/>
                <w:color w:val="000000"/>
                <w:sz w:val="18"/>
                <w:szCs w:val="18"/>
              </w:rPr>
              <w:t>min</w:t>
            </w:r>
          </w:p>
        </w:tc>
        <w:tc>
          <w:tcPr>
            <w:tcW w:w="990" w:type="dxa"/>
            <w:tcBorders>
              <w:top w:val="nil"/>
              <w:left w:val="nil"/>
              <w:bottom w:val="single" w:sz="4" w:space="0" w:color="auto"/>
              <w:right w:val="single" w:sz="4" w:space="0" w:color="auto"/>
            </w:tcBorders>
            <w:shd w:val="clear" w:color="auto" w:fill="auto"/>
            <w:vAlign w:val="center"/>
            <w:hideMark/>
          </w:tcPr>
          <w:p w:rsidR="003F4B52" w:rsidRPr="00F77828" w:rsidP="00F77828" w14:paraId="3969678F" w14:textId="45A9A6F7">
            <w:pPr>
              <w:jc w:val="center"/>
              <w:rPr>
                <w:rFonts w:ascii="Calibri" w:hAnsi="Calibri" w:cs="Calibri"/>
                <w:color w:val="000000"/>
                <w:sz w:val="18"/>
                <w:szCs w:val="18"/>
              </w:rPr>
            </w:pPr>
            <w:r w:rsidRPr="00F77828">
              <w:rPr>
                <w:rFonts w:ascii="Calibri" w:hAnsi="Calibri" w:cs="Calibri"/>
                <w:color w:val="000000"/>
                <w:sz w:val="18"/>
                <w:szCs w:val="18"/>
              </w:rPr>
              <w:t>9,167</w:t>
            </w:r>
          </w:p>
        </w:tc>
        <w:tc>
          <w:tcPr>
            <w:tcW w:w="1080" w:type="dxa"/>
            <w:tcBorders>
              <w:top w:val="nil"/>
              <w:left w:val="nil"/>
              <w:bottom w:val="single" w:sz="4" w:space="0" w:color="auto"/>
              <w:right w:val="single" w:sz="4" w:space="0" w:color="auto"/>
            </w:tcBorders>
            <w:shd w:val="clear" w:color="auto" w:fill="auto"/>
            <w:noWrap/>
            <w:vAlign w:val="center"/>
            <w:hideMark/>
          </w:tcPr>
          <w:p w:rsidR="003F4B52" w:rsidRPr="00F77828" w:rsidP="00F77828" w14:paraId="1BB6AF45" w14:textId="18772ABF">
            <w:pPr>
              <w:jc w:val="center"/>
              <w:rPr>
                <w:rFonts w:ascii="Calibri" w:hAnsi="Calibri" w:cs="Calibri"/>
                <w:color w:val="000000"/>
                <w:sz w:val="18"/>
                <w:szCs w:val="18"/>
              </w:rPr>
            </w:pPr>
            <w:r w:rsidRPr="00F77828">
              <w:rPr>
                <w:rFonts w:ascii="Calibri" w:hAnsi="Calibri" w:cs="Calibri"/>
                <w:color w:val="000000"/>
                <w:sz w:val="18"/>
                <w:szCs w:val="18"/>
              </w:rPr>
              <w:t>$28.88</w:t>
            </w:r>
          </w:p>
        </w:tc>
        <w:tc>
          <w:tcPr>
            <w:tcW w:w="1170" w:type="dxa"/>
            <w:tcBorders>
              <w:top w:val="nil"/>
              <w:left w:val="nil"/>
              <w:bottom w:val="single" w:sz="4" w:space="0" w:color="auto"/>
              <w:right w:val="single" w:sz="8" w:space="0" w:color="auto"/>
            </w:tcBorders>
            <w:shd w:val="clear" w:color="auto" w:fill="auto"/>
            <w:noWrap/>
            <w:vAlign w:val="center"/>
            <w:hideMark/>
          </w:tcPr>
          <w:p w:rsidR="003F4B52" w:rsidRPr="00F77828" w:rsidP="00F77828" w14:paraId="4A6EA722" w14:textId="2EAFB323">
            <w:pPr>
              <w:jc w:val="center"/>
              <w:rPr>
                <w:rFonts w:ascii="Calibri" w:hAnsi="Calibri" w:cs="Calibri"/>
                <w:color w:val="000000"/>
                <w:sz w:val="18"/>
                <w:szCs w:val="18"/>
              </w:rPr>
            </w:pPr>
            <w:r w:rsidRPr="00F77828">
              <w:rPr>
                <w:rFonts w:ascii="Calibri" w:hAnsi="Calibri" w:cs="Calibri"/>
                <w:color w:val="000000"/>
                <w:sz w:val="18"/>
                <w:szCs w:val="18"/>
              </w:rPr>
              <w:t>264,743</w:t>
            </w:r>
          </w:p>
        </w:tc>
      </w:tr>
      <w:tr w14:paraId="68BEE20D" w14:textId="77777777" w:rsidTr="00F77828">
        <w:tblPrEx>
          <w:tblW w:w="11183" w:type="dxa"/>
          <w:tblLayout w:type="fixed"/>
          <w:tblLook w:val="04A0"/>
        </w:tblPrEx>
        <w:trPr>
          <w:trHeight w:val="620"/>
        </w:trPr>
        <w:tc>
          <w:tcPr>
            <w:tcW w:w="2330" w:type="dxa"/>
            <w:tcBorders>
              <w:top w:val="nil"/>
              <w:left w:val="single" w:sz="8" w:space="0" w:color="auto"/>
              <w:bottom w:val="single" w:sz="4" w:space="0" w:color="auto"/>
              <w:right w:val="single" w:sz="4" w:space="0" w:color="auto"/>
            </w:tcBorders>
            <w:shd w:val="clear" w:color="auto" w:fill="auto"/>
            <w:vAlign w:val="center"/>
            <w:hideMark/>
          </w:tcPr>
          <w:p w:rsidR="003F4B52" w:rsidRPr="00F77828" w:rsidP="00F77828" w14:paraId="55E7D004" w14:textId="535148F7">
            <w:pPr>
              <w:rPr>
                <w:rFonts w:ascii="Calibri" w:hAnsi="Calibri" w:cs="Calibri"/>
                <w:color w:val="000000"/>
                <w:sz w:val="18"/>
                <w:szCs w:val="18"/>
              </w:rPr>
            </w:pPr>
            <w:r w:rsidRPr="00F77828">
              <w:rPr>
                <w:rFonts w:ascii="Calibri" w:hAnsi="Calibri" w:cs="Calibri"/>
                <w:color w:val="000000"/>
                <w:sz w:val="18"/>
                <w:szCs w:val="18"/>
              </w:rPr>
              <w:t>One-Month Wave Study</w:t>
            </w:r>
          </w:p>
        </w:tc>
        <w:tc>
          <w:tcPr>
            <w:tcW w:w="1350" w:type="dxa"/>
            <w:tcBorders>
              <w:top w:val="nil"/>
              <w:left w:val="nil"/>
              <w:bottom w:val="single" w:sz="4" w:space="0" w:color="auto"/>
              <w:right w:val="single" w:sz="4" w:space="0" w:color="auto"/>
            </w:tcBorders>
            <w:shd w:val="clear" w:color="auto" w:fill="auto"/>
            <w:vAlign w:val="center"/>
            <w:hideMark/>
          </w:tcPr>
          <w:p w:rsidR="003F4B52" w:rsidRPr="00F77828" w:rsidP="00F77828" w14:paraId="39240145" w14:textId="2646716F">
            <w:pPr>
              <w:spacing w:line="240" w:lineRule="auto"/>
              <w:jc w:val="center"/>
              <w:rPr>
                <w:rFonts w:ascii="Calibri" w:hAnsi="Calibri" w:cs="Calibri"/>
                <w:color w:val="000000"/>
                <w:sz w:val="18"/>
                <w:szCs w:val="18"/>
              </w:rPr>
            </w:pPr>
            <w:r w:rsidRPr="00F77828">
              <w:rPr>
                <w:rFonts w:ascii="Calibri" w:hAnsi="Calibri" w:cs="Calibri"/>
                <w:color w:val="000000"/>
                <w:sz w:val="18"/>
                <w:szCs w:val="18"/>
              </w:rPr>
              <w:t xml:space="preserve">Civilian </w:t>
            </w:r>
            <w:r w:rsidRPr="00F77828">
              <w:rPr>
                <w:rFonts w:ascii="Calibri" w:hAnsi="Calibri" w:cs="Calibri"/>
                <w:color w:val="000000"/>
                <w:sz w:val="18"/>
                <w:szCs w:val="18"/>
              </w:rPr>
              <w:t>Workers</w:t>
            </w:r>
          </w:p>
        </w:tc>
        <w:tc>
          <w:tcPr>
            <w:tcW w:w="1261" w:type="dxa"/>
            <w:tcBorders>
              <w:top w:val="nil"/>
              <w:left w:val="nil"/>
              <w:bottom w:val="single" w:sz="4" w:space="0" w:color="auto"/>
              <w:right w:val="single" w:sz="4" w:space="0" w:color="auto"/>
            </w:tcBorders>
            <w:shd w:val="clear" w:color="auto" w:fill="auto"/>
            <w:vAlign w:val="center"/>
            <w:hideMark/>
          </w:tcPr>
          <w:p w:rsidR="003F4B52" w:rsidRPr="00F77828" w:rsidP="00F77828" w14:paraId="35518969" w14:textId="777A63C5">
            <w:pPr>
              <w:jc w:val="center"/>
              <w:rPr>
                <w:rFonts w:ascii="Calibri" w:hAnsi="Calibri" w:cs="Calibri"/>
                <w:color w:val="000000"/>
                <w:sz w:val="18"/>
                <w:szCs w:val="18"/>
              </w:rPr>
            </w:pPr>
            <w:r w:rsidRPr="00F77828">
              <w:rPr>
                <w:rFonts w:ascii="Calibri" w:hAnsi="Calibri" w:cs="Calibri"/>
                <w:color w:val="000000"/>
                <w:sz w:val="18"/>
                <w:szCs w:val="18"/>
              </w:rPr>
              <w:t>73,333</w:t>
            </w:r>
          </w:p>
        </w:tc>
        <w:tc>
          <w:tcPr>
            <w:tcW w:w="1022" w:type="dxa"/>
            <w:tcBorders>
              <w:top w:val="nil"/>
              <w:left w:val="nil"/>
              <w:bottom w:val="single" w:sz="4" w:space="0" w:color="auto"/>
              <w:right w:val="single" w:sz="4" w:space="0" w:color="auto"/>
            </w:tcBorders>
            <w:shd w:val="clear" w:color="auto" w:fill="auto"/>
            <w:vAlign w:val="center"/>
            <w:hideMark/>
          </w:tcPr>
          <w:p w:rsidR="003F4B52" w:rsidRPr="00F77828" w:rsidP="00F77828" w14:paraId="141156B7" w14:textId="2D528277">
            <w:pPr>
              <w:jc w:val="center"/>
              <w:rPr>
                <w:rFonts w:ascii="Calibri" w:hAnsi="Calibri" w:cs="Calibri"/>
                <w:color w:val="000000"/>
                <w:sz w:val="18"/>
                <w:szCs w:val="18"/>
              </w:rPr>
            </w:pPr>
            <w:r w:rsidRPr="00F77828">
              <w:rPr>
                <w:rFonts w:ascii="Calibri" w:hAnsi="Calibri" w:cs="Calibr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3F4B52" w:rsidRPr="00F77828" w:rsidP="00F77828" w14:paraId="78386E96" w14:textId="5163D97C">
            <w:pPr>
              <w:jc w:val="center"/>
              <w:rPr>
                <w:rFonts w:ascii="Calibri" w:hAnsi="Calibri" w:cs="Calibri"/>
                <w:color w:val="000000"/>
                <w:sz w:val="18"/>
                <w:szCs w:val="18"/>
              </w:rPr>
            </w:pPr>
            <w:r w:rsidRPr="00F77828">
              <w:rPr>
                <w:rFonts w:ascii="Calibri" w:hAnsi="Calibri" w:cs="Calibri"/>
                <w:color w:val="000000"/>
                <w:sz w:val="18"/>
                <w:szCs w:val="18"/>
              </w:rPr>
              <w:t>73,333</w:t>
            </w:r>
          </w:p>
        </w:tc>
        <w:tc>
          <w:tcPr>
            <w:tcW w:w="900" w:type="dxa"/>
            <w:tcBorders>
              <w:top w:val="nil"/>
              <w:left w:val="nil"/>
              <w:bottom w:val="single" w:sz="4" w:space="0" w:color="auto"/>
              <w:right w:val="single" w:sz="4" w:space="0" w:color="auto"/>
            </w:tcBorders>
            <w:shd w:val="clear" w:color="auto" w:fill="auto"/>
            <w:vAlign w:val="center"/>
            <w:hideMark/>
          </w:tcPr>
          <w:p w:rsidR="003F4B52" w:rsidRPr="00F77828" w:rsidP="00F77828" w14:paraId="27F774F8" w14:textId="7E9B441B">
            <w:pPr>
              <w:jc w:val="center"/>
              <w:rPr>
                <w:rFonts w:ascii="Calibri" w:hAnsi="Calibri" w:cs="Calibri"/>
                <w:color w:val="000000"/>
                <w:sz w:val="18"/>
                <w:szCs w:val="18"/>
              </w:rPr>
            </w:pPr>
            <w:r w:rsidRPr="00F77828">
              <w:rPr>
                <w:rFonts w:ascii="Calibri" w:hAnsi="Calibri" w:cs="Calibri"/>
                <w:color w:val="000000"/>
                <w:sz w:val="18"/>
                <w:szCs w:val="18"/>
              </w:rPr>
              <w:t>5</w:t>
            </w:r>
            <w:r w:rsidRPr="00F77828" w:rsidR="00F77828">
              <w:rPr>
                <w:rFonts w:ascii="Calibri" w:hAnsi="Calibri" w:cs="Calibri"/>
                <w:color w:val="000000"/>
                <w:sz w:val="18"/>
                <w:szCs w:val="18"/>
              </w:rPr>
              <w:t xml:space="preserve"> </w:t>
            </w:r>
            <w:r w:rsidRPr="00F77828">
              <w:rPr>
                <w:rFonts w:ascii="Calibri" w:hAnsi="Calibri" w:cs="Calibri"/>
                <w:color w:val="000000"/>
                <w:sz w:val="18"/>
                <w:szCs w:val="18"/>
              </w:rPr>
              <w:t>min</w:t>
            </w:r>
          </w:p>
        </w:tc>
        <w:tc>
          <w:tcPr>
            <w:tcW w:w="990" w:type="dxa"/>
            <w:tcBorders>
              <w:top w:val="nil"/>
              <w:left w:val="nil"/>
              <w:bottom w:val="single" w:sz="4" w:space="0" w:color="auto"/>
              <w:right w:val="single" w:sz="4" w:space="0" w:color="auto"/>
            </w:tcBorders>
            <w:shd w:val="clear" w:color="auto" w:fill="auto"/>
            <w:vAlign w:val="center"/>
            <w:hideMark/>
          </w:tcPr>
          <w:p w:rsidR="003F4B52" w:rsidRPr="00F77828" w:rsidP="00F77828" w14:paraId="5B4F06F7" w14:textId="2590CCC0">
            <w:pPr>
              <w:jc w:val="center"/>
              <w:rPr>
                <w:rFonts w:ascii="Calibri" w:hAnsi="Calibri" w:cs="Calibri"/>
                <w:color w:val="000000"/>
                <w:sz w:val="18"/>
                <w:szCs w:val="18"/>
              </w:rPr>
            </w:pPr>
            <w:r w:rsidRPr="00F77828">
              <w:rPr>
                <w:rFonts w:ascii="Calibri" w:hAnsi="Calibri" w:cs="Calibri"/>
                <w:color w:val="000000"/>
                <w:sz w:val="18"/>
                <w:szCs w:val="18"/>
              </w:rPr>
              <w:t>6,111</w:t>
            </w:r>
          </w:p>
        </w:tc>
        <w:tc>
          <w:tcPr>
            <w:tcW w:w="1080" w:type="dxa"/>
            <w:tcBorders>
              <w:top w:val="nil"/>
              <w:left w:val="nil"/>
              <w:bottom w:val="single" w:sz="4" w:space="0" w:color="auto"/>
              <w:right w:val="single" w:sz="4" w:space="0" w:color="auto"/>
            </w:tcBorders>
            <w:shd w:val="clear" w:color="auto" w:fill="auto"/>
            <w:noWrap/>
            <w:vAlign w:val="center"/>
            <w:hideMark/>
          </w:tcPr>
          <w:p w:rsidR="003F4B52" w:rsidRPr="00F77828" w:rsidP="00F77828" w14:paraId="01CB0667" w14:textId="3F0BAEDA">
            <w:pPr>
              <w:jc w:val="center"/>
              <w:rPr>
                <w:rFonts w:ascii="Calibri" w:hAnsi="Calibri" w:cs="Calibri"/>
                <w:color w:val="000000"/>
                <w:sz w:val="18"/>
                <w:szCs w:val="18"/>
              </w:rPr>
            </w:pPr>
            <w:r w:rsidRPr="00F77828">
              <w:rPr>
                <w:rFonts w:ascii="Calibri" w:hAnsi="Calibri" w:cs="Calibri"/>
                <w:color w:val="000000"/>
                <w:sz w:val="18"/>
                <w:szCs w:val="18"/>
              </w:rPr>
              <w:t>$28.88</w:t>
            </w:r>
          </w:p>
        </w:tc>
        <w:tc>
          <w:tcPr>
            <w:tcW w:w="1170" w:type="dxa"/>
            <w:tcBorders>
              <w:top w:val="nil"/>
              <w:left w:val="nil"/>
              <w:bottom w:val="single" w:sz="4" w:space="0" w:color="auto"/>
              <w:right w:val="single" w:sz="8" w:space="0" w:color="auto"/>
            </w:tcBorders>
            <w:shd w:val="clear" w:color="auto" w:fill="auto"/>
            <w:noWrap/>
            <w:vAlign w:val="center"/>
            <w:hideMark/>
          </w:tcPr>
          <w:p w:rsidR="003F4B52" w:rsidRPr="00F77828" w:rsidP="00F77828" w14:paraId="64C15AA2" w14:textId="3E3FB783">
            <w:pPr>
              <w:jc w:val="center"/>
              <w:rPr>
                <w:rFonts w:ascii="Calibri" w:hAnsi="Calibri" w:cs="Calibri"/>
                <w:color w:val="000000"/>
                <w:sz w:val="18"/>
                <w:szCs w:val="18"/>
              </w:rPr>
            </w:pPr>
            <w:r w:rsidRPr="00F77828">
              <w:rPr>
                <w:rFonts w:ascii="Calibri" w:hAnsi="Calibri" w:cs="Calibri"/>
                <w:color w:val="000000"/>
                <w:sz w:val="18"/>
                <w:szCs w:val="18"/>
              </w:rPr>
              <w:t>176,486</w:t>
            </w:r>
          </w:p>
        </w:tc>
      </w:tr>
      <w:tr w14:paraId="3816C4C3" w14:textId="77777777" w:rsidTr="00F77828">
        <w:tblPrEx>
          <w:tblW w:w="11183" w:type="dxa"/>
          <w:tblLayout w:type="fixed"/>
          <w:tblLook w:val="04A0"/>
        </w:tblPrEx>
        <w:trPr>
          <w:trHeight w:val="710"/>
        </w:trPr>
        <w:tc>
          <w:tcPr>
            <w:tcW w:w="2330" w:type="dxa"/>
            <w:tcBorders>
              <w:top w:val="nil"/>
              <w:left w:val="single" w:sz="8" w:space="0" w:color="auto"/>
              <w:bottom w:val="single" w:sz="8" w:space="0" w:color="auto"/>
              <w:right w:val="single" w:sz="8" w:space="0" w:color="auto"/>
            </w:tcBorders>
            <w:shd w:val="clear" w:color="000000" w:fill="DDEBF7"/>
            <w:noWrap/>
            <w:vAlign w:val="bottom"/>
            <w:hideMark/>
          </w:tcPr>
          <w:p w:rsidR="003F4B52" w:rsidRPr="00F77828" w:rsidP="003F4B52" w14:paraId="179255EF" w14:textId="77777777">
            <w:pPr>
              <w:rPr>
                <w:rFonts w:ascii="Calibri" w:hAnsi="Calibri" w:cs="Calibri"/>
                <w:b/>
                <w:bCs/>
                <w:color w:val="000000"/>
                <w:sz w:val="18"/>
                <w:szCs w:val="18"/>
              </w:rPr>
            </w:pPr>
            <w:r w:rsidRPr="00F77828">
              <w:rPr>
                <w:rFonts w:ascii="Calibri" w:hAnsi="Calibri" w:cs="Calibri"/>
                <w:b/>
                <w:bCs/>
                <w:color w:val="000000"/>
                <w:sz w:val="18"/>
                <w:szCs w:val="18"/>
              </w:rPr>
              <w:t>Totals</w:t>
            </w:r>
          </w:p>
        </w:tc>
        <w:tc>
          <w:tcPr>
            <w:tcW w:w="1350" w:type="dxa"/>
            <w:tcBorders>
              <w:top w:val="nil"/>
              <w:left w:val="nil"/>
              <w:bottom w:val="single" w:sz="8" w:space="0" w:color="auto"/>
              <w:right w:val="single" w:sz="8" w:space="0" w:color="auto"/>
            </w:tcBorders>
            <w:shd w:val="clear" w:color="000000" w:fill="000000"/>
            <w:noWrap/>
            <w:vAlign w:val="bottom"/>
            <w:hideMark/>
          </w:tcPr>
          <w:p w:rsidR="003F4B52" w:rsidRPr="00F77828" w:rsidP="003F4B52" w14:paraId="63F76AEB" w14:textId="77777777">
            <w:pPr>
              <w:rPr>
                <w:rFonts w:ascii="Calibri" w:hAnsi="Calibri" w:cs="Calibri"/>
                <w:b/>
                <w:bCs/>
                <w:color w:val="000000"/>
                <w:sz w:val="18"/>
                <w:szCs w:val="18"/>
              </w:rPr>
            </w:pPr>
            <w:r w:rsidRPr="00F77828">
              <w:rPr>
                <w:rFonts w:ascii="Calibri" w:hAnsi="Calibri" w:cs="Calibri"/>
                <w:b/>
                <w:bCs/>
                <w:color w:val="000000"/>
                <w:sz w:val="18"/>
                <w:szCs w:val="18"/>
              </w:rPr>
              <w:t> </w:t>
            </w:r>
          </w:p>
        </w:tc>
        <w:tc>
          <w:tcPr>
            <w:tcW w:w="1261" w:type="dxa"/>
            <w:tcBorders>
              <w:top w:val="nil"/>
              <w:left w:val="nil"/>
              <w:bottom w:val="single" w:sz="8" w:space="0" w:color="auto"/>
              <w:right w:val="single" w:sz="8" w:space="0" w:color="auto"/>
            </w:tcBorders>
            <w:shd w:val="clear" w:color="000000" w:fill="000000"/>
            <w:noWrap/>
            <w:vAlign w:val="bottom"/>
            <w:hideMark/>
          </w:tcPr>
          <w:p w:rsidR="003F4B52" w:rsidRPr="00F77828" w:rsidP="003F4B52" w14:paraId="25CDA2F2" w14:textId="77777777">
            <w:pPr>
              <w:rPr>
                <w:rFonts w:ascii="Calibri" w:hAnsi="Calibri" w:cs="Calibri"/>
                <w:b/>
                <w:bCs/>
                <w:color w:val="000000"/>
                <w:sz w:val="18"/>
                <w:szCs w:val="18"/>
              </w:rPr>
            </w:pPr>
            <w:r w:rsidRPr="00F77828">
              <w:rPr>
                <w:rFonts w:ascii="Calibri" w:hAnsi="Calibri" w:cs="Calibri"/>
                <w:b/>
                <w:bCs/>
                <w:color w:val="000000"/>
                <w:sz w:val="18"/>
                <w:szCs w:val="18"/>
              </w:rPr>
              <w:t> </w:t>
            </w:r>
          </w:p>
        </w:tc>
        <w:tc>
          <w:tcPr>
            <w:tcW w:w="1022" w:type="dxa"/>
            <w:tcBorders>
              <w:top w:val="nil"/>
              <w:left w:val="nil"/>
              <w:bottom w:val="single" w:sz="8" w:space="0" w:color="auto"/>
              <w:right w:val="single" w:sz="8" w:space="0" w:color="auto"/>
            </w:tcBorders>
            <w:shd w:val="clear" w:color="000000" w:fill="000000"/>
            <w:noWrap/>
            <w:vAlign w:val="bottom"/>
            <w:hideMark/>
          </w:tcPr>
          <w:p w:rsidR="003F4B52" w:rsidRPr="00F77828" w:rsidP="003F4B52" w14:paraId="5CF0F521" w14:textId="77777777">
            <w:pPr>
              <w:rPr>
                <w:rFonts w:ascii="Calibri" w:hAnsi="Calibri" w:cs="Calibri"/>
                <w:b/>
                <w:bCs/>
                <w:color w:val="000000"/>
                <w:sz w:val="18"/>
                <w:szCs w:val="18"/>
              </w:rPr>
            </w:pPr>
            <w:r w:rsidRPr="00F77828">
              <w:rPr>
                <w:rFonts w:ascii="Calibri" w:hAnsi="Calibri" w:cs="Calibri"/>
                <w:b/>
                <w:bCs/>
                <w:color w:val="000000"/>
                <w:sz w:val="18"/>
                <w:szCs w:val="18"/>
              </w:rPr>
              <w:t> </w:t>
            </w:r>
          </w:p>
        </w:tc>
        <w:tc>
          <w:tcPr>
            <w:tcW w:w="1080" w:type="dxa"/>
            <w:tcBorders>
              <w:top w:val="nil"/>
              <w:left w:val="nil"/>
              <w:bottom w:val="single" w:sz="8" w:space="0" w:color="auto"/>
              <w:right w:val="single" w:sz="8" w:space="0" w:color="auto"/>
            </w:tcBorders>
            <w:shd w:val="clear" w:color="000000" w:fill="DDEBF7"/>
            <w:noWrap/>
            <w:vAlign w:val="bottom"/>
            <w:hideMark/>
          </w:tcPr>
          <w:p w:rsidR="003F4B52" w:rsidRPr="00F77828" w:rsidP="003F4B52" w14:paraId="22F8DD50" w14:textId="566717CF">
            <w:pPr>
              <w:rPr>
                <w:rFonts w:ascii="Calibri" w:hAnsi="Calibri" w:cs="Calibri"/>
                <w:b/>
                <w:bCs/>
                <w:color w:val="000000"/>
                <w:sz w:val="18"/>
                <w:szCs w:val="18"/>
              </w:rPr>
            </w:pPr>
            <w:r w:rsidRPr="00F77828">
              <w:rPr>
                <w:rFonts w:ascii="Calibri" w:hAnsi="Calibri" w:cs="Calibri"/>
                <w:b/>
                <w:bCs/>
                <w:color w:val="000000"/>
                <w:sz w:val="18"/>
                <w:szCs w:val="18"/>
              </w:rPr>
              <w:t> </w:t>
            </w:r>
            <w:r w:rsidRPr="00F77828">
              <w:rPr>
                <w:rFonts w:ascii="Calibri" w:hAnsi="Calibri" w:cs="Calibri"/>
                <w:b/>
                <w:bCs/>
                <w:color w:val="000000"/>
                <w:sz w:val="18"/>
                <w:szCs w:val="18"/>
              </w:rPr>
              <w:t>183,333</w:t>
            </w:r>
          </w:p>
        </w:tc>
        <w:tc>
          <w:tcPr>
            <w:tcW w:w="900" w:type="dxa"/>
            <w:tcBorders>
              <w:top w:val="nil"/>
              <w:left w:val="nil"/>
              <w:bottom w:val="single" w:sz="8" w:space="0" w:color="auto"/>
              <w:right w:val="single" w:sz="8" w:space="0" w:color="auto"/>
            </w:tcBorders>
            <w:shd w:val="clear" w:color="000000" w:fill="000000"/>
            <w:noWrap/>
            <w:vAlign w:val="bottom"/>
            <w:hideMark/>
          </w:tcPr>
          <w:p w:rsidR="003F4B52" w:rsidRPr="00F77828" w:rsidP="003F4B52" w14:paraId="404F163C" w14:textId="77777777">
            <w:pPr>
              <w:rPr>
                <w:rFonts w:ascii="Calibri" w:hAnsi="Calibri" w:cs="Calibri"/>
                <w:b/>
                <w:bCs/>
                <w:color w:val="000000"/>
                <w:sz w:val="18"/>
                <w:szCs w:val="18"/>
              </w:rPr>
            </w:pPr>
            <w:r w:rsidRPr="00F77828">
              <w:rPr>
                <w:rFonts w:ascii="Calibri" w:hAnsi="Calibri" w:cs="Calibri"/>
                <w:b/>
                <w:bCs/>
                <w:color w:val="000000"/>
                <w:sz w:val="18"/>
                <w:szCs w:val="18"/>
              </w:rPr>
              <w:t> </w:t>
            </w:r>
          </w:p>
        </w:tc>
        <w:tc>
          <w:tcPr>
            <w:tcW w:w="990" w:type="dxa"/>
            <w:tcBorders>
              <w:top w:val="nil"/>
              <w:left w:val="nil"/>
              <w:bottom w:val="single" w:sz="8" w:space="0" w:color="auto"/>
              <w:right w:val="single" w:sz="8" w:space="0" w:color="auto"/>
            </w:tcBorders>
            <w:shd w:val="clear" w:color="000000" w:fill="DDEBF7"/>
            <w:noWrap/>
            <w:vAlign w:val="bottom"/>
            <w:hideMark/>
          </w:tcPr>
          <w:p w:rsidR="003F4B52" w:rsidRPr="00F77828" w:rsidP="003F4B52" w14:paraId="3514E346" w14:textId="2B8F47FE">
            <w:pPr>
              <w:rPr>
                <w:rFonts w:ascii="Calibri" w:hAnsi="Calibri" w:cs="Calibri"/>
                <w:b/>
                <w:bCs/>
                <w:color w:val="000000"/>
                <w:sz w:val="18"/>
                <w:szCs w:val="18"/>
              </w:rPr>
            </w:pPr>
            <w:r w:rsidRPr="00F77828">
              <w:rPr>
                <w:rFonts w:ascii="Calibri" w:hAnsi="Calibri" w:cs="Calibri"/>
                <w:b/>
                <w:bCs/>
                <w:color w:val="000000"/>
                <w:sz w:val="18"/>
                <w:szCs w:val="18"/>
              </w:rPr>
              <w:t> </w:t>
            </w:r>
            <w:r w:rsidRPr="00F77828">
              <w:rPr>
                <w:rFonts w:ascii="Calibri" w:hAnsi="Calibri" w:cs="Calibri"/>
                <w:b/>
                <w:bCs/>
                <w:color w:val="000000"/>
                <w:sz w:val="18"/>
                <w:szCs w:val="18"/>
              </w:rPr>
              <w:t>15,278</w:t>
            </w:r>
          </w:p>
        </w:tc>
        <w:tc>
          <w:tcPr>
            <w:tcW w:w="1080" w:type="dxa"/>
            <w:tcBorders>
              <w:top w:val="nil"/>
              <w:left w:val="nil"/>
              <w:bottom w:val="single" w:sz="8" w:space="0" w:color="auto"/>
              <w:right w:val="single" w:sz="8" w:space="0" w:color="auto"/>
            </w:tcBorders>
            <w:shd w:val="clear" w:color="000000" w:fill="000000"/>
            <w:noWrap/>
            <w:vAlign w:val="bottom"/>
            <w:hideMark/>
          </w:tcPr>
          <w:p w:rsidR="003F4B52" w:rsidRPr="00F77828" w:rsidP="003F4B52" w14:paraId="7D5FC859" w14:textId="77777777">
            <w:pPr>
              <w:rPr>
                <w:rFonts w:ascii="Calibri" w:hAnsi="Calibri" w:cs="Calibri"/>
                <w:b/>
                <w:bCs/>
                <w:color w:val="000000"/>
                <w:sz w:val="18"/>
                <w:szCs w:val="18"/>
              </w:rPr>
            </w:pPr>
            <w:r w:rsidRPr="00F77828">
              <w:rPr>
                <w:rFonts w:ascii="Calibri" w:hAnsi="Calibri" w:cs="Calibri"/>
                <w:b/>
                <w:bCs/>
                <w:color w:val="000000"/>
                <w:sz w:val="18"/>
                <w:szCs w:val="18"/>
              </w:rPr>
              <w:t> </w:t>
            </w:r>
          </w:p>
        </w:tc>
        <w:tc>
          <w:tcPr>
            <w:tcW w:w="1170" w:type="dxa"/>
            <w:tcBorders>
              <w:top w:val="nil"/>
              <w:left w:val="nil"/>
              <w:bottom w:val="single" w:sz="8" w:space="0" w:color="auto"/>
              <w:right w:val="single" w:sz="8" w:space="0" w:color="auto"/>
            </w:tcBorders>
            <w:shd w:val="clear" w:color="000000" w:fill="DDEBF7"/>
            <w:noWrap/>
            <w:vAlign w:val="bottom"/>
            <w:hideMark/>
          </w:tcPr>
          <w:p w:rsidR="003F4B52" w:rsidRPr="00F77828" w:rsidP="003F4B52" w14:paraId="5E95E8F4" w14:textId="097442D6">
            <w:pPr>
              <w:rPr>
                <w:rFonts w:ascii="Calibri" w:hAnsi="Calibri" w:cs="Calibri"/>
                <w:b/>
                <w:bCs/>
                <w:color w:val="000000"/>
                <w:sz w:val="18"/>
                <w:szCs w:val="18"/>
              </w:rPr>
            </w:pPr>
            <w:r w:rsidRPr="00F77828">
              <w:rPr>
                <w:rFonts w:ascii="Calibri" w:hAnsi="Calibri" w:cs="Calibri"/>
                <w:b/>
                <w:bCs/>
                <w:color w:val="000000"/>
                <w:sz w:val="18"/>
                <w:szCs w:val="18"/>
              </w:rPr>
              <w:t> </w:t>
            </w:r>
            <w:r w:rsidRPr="00F77828">
              <w:rPr>
                <w:rFonts w:ascii="Calibri" w:hAnsi="Calibri" w:cs="Calibri"/>
                <w:b/>
                <w:bCs/>
                <w:color w:val="000000"/>
                <w:sz w:val="18"/>
                <w:szCs w:val="18"/>
              </w:rPr>
              <w:t>441,229</w:t>
            </w:r>
          </w:p>
        </w:tc>
      </w:tr>
    </w:tbl>
    <w:p w:rsidR="008812E9" w:rsidP="00934049" w14:paraId="749B040E" w14:textId="67390385">
      <w:pPr>
        <w:pStyle w:val="NoSpacing"/>
      </w:pPr>
    </w:p>
    <w:p w:rsidR="009B36BA" w:rsidP="00934049" w14:paraId="4BE592EC" w14:textId="3CC16595">
      <w:pPr>
        <w:pStyle w:val="NoSpacing"/>
      </w:pPr>
    </w:p>
    <w:p w:rsidR="009B36BA" w:rsidRPr="009B36BA" w:rsidP="009B36BA" w14:paraId="6C8D145D" w14:textId="77777777">
      <w:pPr>
        <w:pStyle w:val="ListParagraph"/>
        <w:widowControl w:val="0"/>
        <w:tabs>
          <w:tab w:val="left" w:pos="360"/>
        </w:tabs>
        <w:autoSpaceDE w:val="0"/>
        <w:autoSpaceDN w:val="0"/>
        <w:spacing w:before="80" w:line="240" w:lineRule="auto"/>
        <w:ind w:left="0"/>
        <w:contextualSpacing w:val="0"/>
        <w:rPr>
          <w:b/>
        </w:rPr>
      </w:pPr>
      <w:r w:rsidRPr="009B36BA">
        <w:rPr>
          <w:b/>
        </w:rPr>
        <w:t xml:space="preserve">13. Provide an estimate for the total annual cost burden to respondents or record keepers resulting from the collection of information. (Do not </w:t>
      </w:r>
      <w:r w:rsidRPr="009B36BA">
        <w:rPr>
          <w:b/>
        </w:rPr>
        <w:t>include the cost of any hour burden already reflected on the burden worksheet).</w:t>
      </w:r>
    </w:p>
    <w:p w:rsidR="00BD22E1" w:rsidP="006850F5" w14:paraId="2A44726D" w14:textId="3BC0183F">
      <w:pPr>
        <w:pStyle w:val="CM4"/>
        <w:spacing w:line="240" w:lineRule="auto"/>
        <w:ind w:right="533"/>
      </w:pPr>
    </w:p>
    <w:p w:rsidR="006850F5" w:rsidP="006850F5" w14:paraId="1EE68343" w14:textId="77777777">
      <w:pPr>
        <w:pStyle w:val="CM4"/>
        <w:spacing w:line="240" w:lineRule="auto"/>
        <w:ind w:right="533"/>
      </w:pPr>
      <w:r>
        <w:t xml:space="preserve">These data collections will incur no cost burden on respondents beyond the costs of response time. </w:t>
      </w:r>
      <w:r w:rsidR="005472DE">
        <w:t xml:space="preserve"> Envelopes with prepaid postage will be included in the questionnaire mailing.</w:t>
      </w:r>
    </w:p>
    <w:p w:rsidR="009E132F" w:rsidP="006850F5" w14:paraId="0C4655A5" w14:textId="77777777">
      <w:pPr>
        <w:pStyle w:val="Default"/>
        <w:keepNext/>
        <w:widowControl/>
        <w:rPr>
          <w:b/>
          <w:bCs/>
          <w:color w:val="auto"/>
        </w:rPr>
      </w:pPr>
    </w:p>
    <w:p w:rsidR="009B36BA" w:rsidRPr="00BD7237" w:rsidP="009B36BA" w14:paraId="642190D7" w14:textId="77777777">
      <w:pPr>
        <w:pStyle w:val="ListParagraph"/>
        <w:widowControl w:val="0"/>
        <w:tabs>
          <w:tab w:val="left" w:pos="360"/>
        </w:tabs>
        <w:autoSpaceDE w:val="0"/>
        <w:autoSpaceDN w:val="0"/>
        <w:spacing w:before="80" w:line="240" w:lineRule="auto"/>
        <w:ind w:left="0"/>
        <w:contextualSpacing w:val="0"/>
        <w:rPr>
          <w:b/>
        </w:rPr>
      </w:pPr>
      <w:r w:rsidRPr="008E7140">
        <w:rPr>
          <w:b/>
          <w:bCs/>
        </w:rPr>
        <w:t>14.</w:t>
      </w:r>
      <w:r>
        <w:rPr>
          <w:b/>
          <w:bCs/>
        </w:rPr>
        <w:t xml:space="preserve"> </w:t>
      </w:r>
      <w:r w:rsidRPr="00BD7237">
        <w:rPr>
          <w:b/>
        </w:rPr>
        <w:t>Provide estimates of annualized cost to the Federal government. Also, provide a description of the method used to estimate cost, which should include quantification of hour</w:t>
      </w:r>
      <w:r w:rsidRPr="00BD7237">
        <w:rPr>
          <w:b/>
        </w:rPr>
        <w:t>s, operational expenses (such as equipment, overhead, printing, and support staff), and any other expense that would not have been incurred without this collection of information.</w:t>
      </w:r>
    </w:p>
    <w:p w:rsidR="006850F5" w:rsidP="006850F5" w14:paraId="7FA0FEC4" w14:textId="6A9D5840">
      <w:pPr>
        <w:pStyle w:val="CM22"/>
        <w:keepNext/>
        <w:widowControl/>
        <w:spacing w:after="0"/>
        <w:ind w:right="375"/>
      </w:pPr>
    </w:p>
    <w:p w:rsidR="006850F5" w:rsidP="006850F5" w14:paraId="5E5A9DEA" w14:textId="122AA4A3">
      <w:pPr>
        <w:pStyle w:val="CM22"/>
        <w:keepNext/>
        <w:widowControl/>
        <w:spacing w:after="0"/>
        <w:ind w:right="375"/>
      </w:pPr>
      <w:r>
        <w:t>Annual cost to the Federal government</w:t>
      </w:r>
      <w:r w:rsidR="00B66B09">
        <w:t xml:space="preserve"> is approximately $</w:t>
      </w:r>
      <w:r w:rsidR="00656305">
        <w:t>4,999,969</w:t>
      </w:r>
      <w:r w:rsidR="00B66B09">
        <w:t>: $</w:t>
      </w:r>
      <w:r w:rsidR="00656305">
        <w:t>4,789,969</w:t>
      </w:r>
      <w:r>
        <w:t xml:space="preserve"> i</w:t>
      </w:r>
      <w:r w:rsidR="00656305">
        <w:t>n data collection costs and $210</w:t>
      </w:r>
      <w:r>
        <w:t>,000 in professional staff</w:t>
      </w:r>
      <w:r w:rsidR="00020554">
        <w:t xml:space="preserve"> salaries</w:t>
      </w:r>
      <w:r>
        <w:t xml:space="preserve">. </w:t>
      </w:r>
    </w:p>
    <w:p w:rsidR="002B1668" w:rsidP="002B1668" w14:paraId="5568F100" w14:textId="77777777">
      <w:pPr>
        <w:pStyle w:val="Default"/>
      </w:pPr>
    </w:p>
    <w:tbl>
      <w:tblPr>
        <w:tblW w:w="8630" w:type="dxa"/>
        <w:tblLook w:val="04A0"/>
      </w:tblPr>
      <w:tblGrid>
        <w:gridCol w:w="2280"/>
        <w:gridCol w:w="1120"/>
        <w:gridCol w:w="1140"/>
        <w:gridCol w:w="1120"/>
        <w:gridCol w:w="1280"/>
        <w:gridCol w:w="1690"/>
      </w:tblGrid>
      <w:tr w14:paraId="47F87A21" w14:textId="77777777" w:rsidTr="002B1668">
        <w:tblPrEx>
          <w:tblW w:w="8630"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2B1668" w:rsidRPr="002B1668" w:rsidP="002B1668" w14:paraId="35F2626B"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2B1668" w:rsidRPr="002B1668" w:rsidP="002B1668" w14:paraId="2EB67F69"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2B1668" w:rsidRPr="002B1668" w:rsidP="00020554" w14:paraId="2A429F23" w14:textId="6C9D3C84">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 xml:space="preserve">Loaded Salary </w:t>
            </w:r>
            <w:r w:rsidR="00020554">
              <w:rPr>
                <w:rFonts w:ascii="Calibri" w:hAnsi="Calibri" w:cs="Calibri"/>
                <w:b/>
                <w:bCs/>
                <w:color w:val="000000"/>
                <w:sz w:val="16"/>
                <w:szCs w:val="16"/>
              </w:rPr>
              <w:t xml:space="preserve">and/or </w:t>
            </w:r>
            <w:r w:rsidRPr="002B1668">
              <w:rPr>
                <w:rFonts w:ascii="Calibri" w:hAnsi="Calibri" w:cs="Calibri"/>
                <w:b/>
                <w:bCs/>
                <w:color w:val="000000"/>
                <w:sz w:val="16"/>
                <w:szCs w:val="16"/>
              </w:rPr>
              <w:t>Cost</w:t>
            </w:r>
          </w:p>
        </w:tc>
        <w:tc>
          <w:tcPr>
            <w:tcW w:w="1120" w:type="dxa"/>
            <w:tcBorders>
              <w:top w:val="single" w:sz="8" w:space="0" w:color="auto"/>
              <w:left w:val="nil"/>
              <w:bottom w:val="nil"/>
              <w:right w:val="single" w:sz="8" w:space="0" w:color="auto"/>
            </w:tcBorders>
            <w:shd w:val="clear" w:color="000000" w:fill="BDD7EE"/>
            <w:vAlign w:val="center"/>
            <w:hideMark/>
          </w:tcPr>
          <w:p w:rsidR="002B1668" w:rsidRPr="002B1668" w:rsidP="002B1668" w14:paraId="58DFB9D6"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2B1668" w:rsidRPr="002B1668" w:rsidP="002B1668" w14:paraId="19E92275"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Fringe (if Applicable)</w:t>
            </w:r>
          </w:p>
        </w:tc>
        <w:tc>
          <w:tcPr>
            <w:tcW w:w="1690" w:type="dxa"/>
            <w:tcBorders>
              <w:top w:val="single" w:sz="8" w:space="0" w:color="auto"/>
              <w:left w:val="nil"/>
              <w:bottom w:val="nil"/>
              <w:right w:val="single" w:sz="8" w:space="0" w:color="auto"/>
            </w:tcBorders>
            <w:shd w:val="clear" w:color="000000" w:fill="BDD7EE"/>
            <w:vAlign w:val="center"/>
            <w:hideMark/>
          </w:tcPr>
          <w:p w:rsidR="002B1668" w:rsidRPr="002B1668" w:rsidP="002B1668" w14:paraId="1FDBA292" w14:textId="77777777">
            <w:pPr>
              <w:spacing w:line="240" w:lineRule="auto"/>
              <w:jc w:val="center"/>
              <w:rPr>
                <w:rFonts w:ascii="Calibri" w:hAnsi="Calibri" w:cs="Calibri"/>
                <w:b/>
                <w:bCs/>
                <w:color w:val="000000"/>
                <w:sz w:val="16"/>
                <w:szCs w:val="16"/>
              </w:rPr>
            </w:pPr>
            <w:r w:rsidRPr="002B1668">
              <w:rPr>
                <w:rFonts w:ascii="Calibri" w:hAnsi="Calibri" w:cs="Calibri"/>
                <w:b/>
                <w:bCs/>
                <w:color w:val="000000"/>
                <w:sz w:val="16"/>
                <w:szCs w:val="16"/>
              </w:rPr>
              <w:t>Total Cost to Government</w:t>
            </w:r>
          </w:p>
        </w:tc>
      </w:tr>
      <w:tr w14:paraId="43E9AD51" w14:textId="77777777" w:rsidTr="002B1668">
        <w:tblPrEx>
          <w:tblW w:w="8630"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2B1668" w:rsidRPr="002B1668" w:rsidP="00020554" w14:paraId="22721B95" w14:textId="54F5AD05">
            <w:pPr>
              <w:spacing w:line="240" w:lineRule="auto"/>
              <w:rPr>
                <w:rFonts w:ascii="Calibri" w:hAnsi="Calibri" w:cs="Calibri"/>
                <w:b/>
                <w:bCs/>
                <w:color w:val="000000"/>
                <w:sz w:val="16"/>
                <w:szCs w:val="16"/>
              </w:rPr>
            </w:pPr>
            <w:r w:rsidRPr="002B1668">
              <w:rPr>
                <w:rFonts w:ascii="Calibri" w:hAnsi="Calibri" w:cs="Calibri"/>
                <w:b/>
                <w:bCs/>
                <w:color w:val="000000"/>
                <w:sz w:val="16"/>
                <w:szCs w:val="16"/>
              </w:rPr>
              <w:t xml:space="preserve">Federal </w:t>
            </w:r>
            <w:r w:rsidR="00020554">
              <w:rPr>
                <w:rFonts w:ascii="Calibri" w:hAnsi="Calibri" w:cs="Calibri"/>
                <w:b/>
                <w:bCs/>
                <w:color w:val="000000"/>
                <w:sz w:val="16"/>
                <w:szCs w:val="16"/>
              </w:rPr>
              <w:t>Salaries</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B1668" w:rsidRPr="002B1668" w:rsidP="002B1668" w14:paraId="0E98E39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B1668" w:rsidRPr="002B1668" w:rsidP="002B1668" w14:paraId="1A5F139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2B1668" w:rsidRPr="002B1668" w:rsidP="002B1668" w14:paraId="4C800AA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2B1668" w:rsidRPr="002B1668" w:rsidP="002B1668" w14:paraId="6725B7B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single" w:sz="4" w:space="0" w:color="auto"/>
              <w:left w:val="nil"/>
              <w:bottom w:val="single" w:sz="4" w:space="0" w:color="auto"/>
              <w:right w:val="single" w:sz="8" w:space="0" w:color="auto"/>
            </w:tcBorders>
            <w:shd w:val="clear" w:color="auto" w:fill="auto"/>
            <w:noWrap/>
            <w:vAlign w:val="bottom"/>
            <w:hideMark/>
          </w:tcPr>
          <w:p w:rsidR="002B1668" w:rsidRPr="002B1668" w:rsidP="002B1668" w14:paraId="2D056B1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3A3F0EEF"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2B1668" w:rsidRPr="002B1668" w:rsidP="002B1668" w14:paraId="76AAC81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Fishery Biologist</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10CB78D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ZP4/03</w:t>
            </w:r>
          </w:p>
        </w:tc>
        <w:tc>
          <w:tcPr>
            <w:tcW w:w="114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68E6CF00" w14:textId="56740454">
            <w:pPr>
              <w:spacing w:line="240" w:lineRule="auto"/>
              <w:jc w:val="right"/>
              <w:rPr>
                <w:rFonts w:ascii="Calibri" w:hAnsi="Calibri" w:cs="Calibri"/>
                <w:color w:val="000000"/>
                <w:sz w:val="16"/>
                <w:szCs w:val="16"/>
              </w:rPr>
            </w:pPr>
            <w:r>
              <w:rPr>
                <w:rFonts w:ascii="Calibri" w:hAnsi="Calibri" w:cs="Calibri"/>
                <w:color w:val="000000"/>
                <w:sz w:val="16"/>
                <w:szCs w:val="16"/>
              </w:rPr>
              <w:t>160</w:t>
            </w:r>
            <w:r w:rsidR="00020554">
              <w:rPr>
                <w:rFonts w:ascii="Calibri" w:hAnsi="Calibri" w:cs="Calibri"/>
                <w:color w:val="000000"/>
                <w:sz w:val="16"/>
                <w:szCs w:val="16"/>
              </w:rPr>
              <w:t>,</w:t>
            </w:r>
            <w:r w:rsidRPr="002B1668">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79A03479"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100</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20A015E"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shd w:val="clear" w:color="auto" w:fill="auto"/>
            <w:noWrap/>
            <w:vAlign w:val="bottom"/>
            <w:hideMark/>
          </w:tcPr>
          <w:p w:rsidR="002B1668" w:rsidRPr="002B1668" w:rsidP="002B1668" w14:paraId="24E32CEC" w14:textId="642B1C3C">
            <w:pPr>
              <w:spacing w:line="240" w:lineRule="auto"/>
              <w:rPr>
                <w:rFonts w:ascii="Calibri" w:hAnsi="Calibri" w:cs="Calibri"/>
                <w:color w:val="000000"/>
                <w:sz w:val="16"/>
                <w:szCs w:val="16"/>
              </w:rPr>
            </w:pPr>
            <w:r>
              <w:rPr>
                <w:rFonts w:ascii="Calibri" w:hAnsi="Calibri" w:cs="Calibri"/>
                <w:color w:val="000000"/>
                <w:sz w:val="16"/>
                <w:szCs w:val="16"/>
              </w:rPr>
              <w:t xml:space="preserve"> $                160</w:t>
            </w:r>
            <w:r w:rsidRPr="002B1668">
              <w:rPr>
                <w:rFonts w:ascii="Calibri" w:hAnsi="Calibri" w:cs="Calibri"/>
                <w:color w:val="000000"/>
                <w:sz w:val="16"/>
                <w:szCs w:val="16"/>
              </w:rPr>
              <w:t xml:space="preserve">,000 </w:t>
            </w:r>
          </w:p>
        </w:tc>
      </w:tr>
      <w:tr w14:paraId="072E1009"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2B1668" w:rsidRPr="002B1668" w:rsidP="002B1668" w14:paraId="202CBF51" w14:textId="5B56E794">
            <w:pPr>
              <w:spacing w:line="240" w:lineRule="auto"/>
              <w:rPr>
                <w:rFonts w:ascii="Calibri" w:hAnsi="Calibri" w:cs="Calibri"/>
                <w:color w:val="000000"/>
                <w:sz w:val="16"/>
                <w:szCs w:val="16"/>
              </w:rPr>
            </w:pPr>
            <w:r>
              <w:rPr>
                <w:rFonts w:ascii="Calibri" w:hAnsi="Calibri" w:cs="Calibri"/>
                <w:color w:val="000000"/>
                <w:sz w:val="16"/>
                <w:szCs w:val="16"/>
              </w:rPr>
              <w:t xml:space="preserve">Survey </w:t>
            </w:r>
            <w:r w:rsidRPr="002B1668">
              <w:rPr>
                <w:rFonts w:ascii="Calibri" w:hAnsi="Calibri" w:cs="Calibri"/>
                <w:color w:val="000000"/>
                <w:sz w:val="16"/>
                <w:szCs w:val="16"/>
              </w:rPr>
              <w:t>Statistician</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6FB44DC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ZP4/01</w:t>
            </w:r>
          </w:p>
        </w:tc>
        <w:tc>
          <w:tcPr>
            <w:tcW w:w="114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7317E251" w14:textId="1410FBD3">
            <w:pPr>
              <w:spacing w:line="240" w:lineRule="auto"/>
              <w:jc w:val="right"/>
              <w:rPr>
                <w:rFonts w:ascii="Calibri" w:hAnsi="Calibri" w:cs="Calibri"/>
                <w:color w:val="000000"/>
                <w:sz w:val="16"/>
                <w:szCs w:val="16"/>
              </w:rPr>
            </w:pPr>
            <w:r w:rsidRPr="002B1668">
              <w:rPr>
                <w:rFonts w:ascii="Calibri" w:hAnsi="Calibri" w:cs="Calibri"/>
                <w:color w:val="000000"/>
                <w:sz w:val="16"/>
                <w:szCs w:val="16"/>
              </w:rPr>
              <w:t>100</w:t>
            </w:r>
            <w:r w:rsidR="00020554">
              <w:rPr>
                <w:rFonts w:ascii="Calibri" w:hAnsi="Calibri" w:cs="Calibri"/>
                <w:color w:val="000000"/>
                <w:sz w:val="16"/>
                <w:szCs w:val="16"/>
              </w:rPr>
              <w:t>,</w:t>
            </w:r>
            <w:r w:rsidRPr="002B1668">
              <w:rPr>
                <w:rFonts w:ascii="Calibri" w:hAnsi="Calibri" w:cs="Calibri"/>
                <w:color w:val="000000"/>
                <w:sz w:val="16"/>
                <w:szCs w:val="16"/>
              </w:rPr>
              <w:t>000</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76522B58" w14:textId="77777777">
            <w:pPr>
              <w:spacing w:line="240" w:lineRule="auto"/>
              <w:jc w:val="right"/>
              <w:rPr>
                <w:rFonts w:ascii="Calibri" w:hAnsi="Calibri" w:cs="Calibri"/>
                <w:color w:val="000000"/>
                <w:sz w:val="16"/>
                <w:szCs w:val="16"/>
              </w:rPr>
            </w:pPr>
            <w:r w:rsidRPr="002B1668">
              <w:rPr>
                <w:rFonts w:ascii="Calibri" w:hAnsi="Calibri" w:cs="Calibri"/>
                <w:color w:val="000000"/>
                <w:sz w:val="16"/>
                <w:szCs w:val="16"/>
              </w:rPr>
              <w:t>50</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4955BAC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shd w:val="clear" w:color="auto" w:fill="auto"/>
            <w:noWrap/>
            <w:vAlign w:val="bottom"/>
            <w:hideMark/>
          </w:tcPr>
          <w:p w:rsidR="002B1668" w:rsidRPr="002B1668" w:rsidP="002B1668" w14:paraId="78EBBFE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xml:space="preserve"> $                   50,000 </w:t>
            </w:r>
          </w:p>
        </w:tc>
      </w:tr>
      <w:tr w14:paraId="78E7C1F4"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2B1668" w:rsidRPr="002B1668" w:rsidP="002B1668" w14:paraId="0D29DA5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19AA613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385FA55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4856BCD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429773D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shd w:val="clear" w:color="auto" w:fill="auto"/>
            <w:noWrap/>
            <w:vAlign w:val="bottom"/>
            <w:hideMark/>
          </w:tcPr>
          <w:p w:rsidR="002B1668" w:rsidRPr="002B1668" w:rsidP="002B1668" w14:paraId="474338D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600AF607" w14:textId="77777777" w:rsidTr="002B1668">
        <w:tblPrEx>
          <w:tblW w:w="8630" w:type="dxa"/>
          <w:tblLook w:val="04A0"/>
        </w:tblPrEx>
        <w:trPr>
          <w:trHeight w:val="465"/>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2B1668" w:rsidRPr="002B1668" w:rsidP="00020554" w14:paraId="6E089C88" w14:textId="66676E56">
            <w:pPr>
              <w:spacing w:line="240" w:lineRule="auto"/>
              <w:rPr>
                <w:rFonts w:ascii="Calibri" w:hAnsi="Calibri" w:cs="Calibri"/>
                <w:b/>
                <w:bCs/>
                <w:color w:val="000000"/>
                <w:sz w:val="16"/>
                <w:szCs w:val="16"/>
              </w:rPr>
            </w:pPr>
            <w:r w:rsidRPr="00020554">
              <w:rPr>
                <w:rFonts w:ascii="Calibri" w:hAnsi="Calibri" w:cs="Calibri"/>
                <w:b/>
                <w:bCs/>
                <w:color w:val="000000"/>
                <w:sz w:val="16"/>
                <w:szCs w:val="16"/>
              </w:rPr>
              <w:t>Operations &amp; Maintenance</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5B6A0703"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0D9BF6C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3357E1D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4D8037B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shd w:val="clear" w:color="auto" w:fill="auto"/>
            <w:noWrap/>
            <w:vAlign w:val="bottom"/>
            <w:hideMark/>
          </w:tcPr>
          <w:p w:rsidR="002B1668" w:rsidRPr="002B1668" w:rsidP="002B1668" w14:paraId="4AE576CA"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24E11B5B"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2B1668" w:rsidRPr="002B1668" w:rsidP="002B1668" w14:paraId="1F8D51CC"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Data collection costs</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0B87BE2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7195A23F" w14:textId="359D2B02">
            <w:pPr>
              <w:spacing w:line="240" w:lineRule="auto"/>
              <w:jc w:val="right"/>
              <w:rPr>
                <w:rFonts w:ascii="Calibri" w:hAnsi="Calibri" w:cs="Calibri"/>
                <w:color w:val="000000"/>
                <w:sz w:val="16"/>
                <w:szCs w:val="16"/>
              </w:rPr>
            </w:pPr>
            <w:r>
              <w:rPr>
                <w:rFonts w:ascii="Calibri" w:hAnsi="Calibri" w:cs="Calibri"/>
                <w:color w:val="000000"/>
                <w:sz w:val="16"/>
                <w:szCs w:val="16"/>
              </w:rPr>
              <w:t>4,789,969</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147E35D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48E327D5"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shd w:val="clear" w:color="auto" w:fill="auto"/>
            <w:noWrap/>
            <w:vAlign w:val="bottom"/>
            <w:hideMark/>
          </w:tcPr>
          <w:p w:rsidR="002B1668" w:rsidRPr="002B1668" w:rsidP="002B1668" w14:paraId="4D7BE3DB" w14:textId="310B94D3">
            <w:pPr>
              <w:spacing w:line="240" w:lineRule="auto"/>
              <w:rPr>
                <w:rFonts w:ascii="Calibri" w:hAnsi="Calibri" w:cs="Calibri"/>
                <w:color w:val="000000"/>
                <w:sz w:val="16"/>
                <w:szCs w:val="16"/>
              </w:rPr>
            </w:pPr>
            <w:r>
              <w:rPr>
                <w:rFonts w:ascii="Calibri" w:hAnsi="Calibri" w:cs="Calibri"/>
                <w:color w:val="000000"/>
                <w:sz w:val="16"/>
                <w:szCs w:val="16"/>
              </w:rPr>
              <w:t xml:space="preserve"> $            4,789,969</w:t>
            </w:r>
          </w:p>
        </w:tc>
      </w:tr>
      <w:tr w14:paraId="59E7B251"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2B1668" w:rsidRPr="002B1668" w:rsidP="002B1668" w14:paraId="6AE340E2" w14:textId="0C85B7C5">
            <w:pPr>
              <w:spacing w:line="240" w:lineRule="auto"/>
              <w:rPr>
                <w:rFonts w:ascii="Calibri" w:hAnsi="Calibri" w:cs="Calibri"/>
                <w:color w:val="000000"/>
                <w:sz w:val="16"/>
                <w:szCs w:val="16"/>
              </w:rPr>
            </w:pPr>
            <w:r w:rsidRPr="002B1668">
              <w:rPr>
                <w:rFonts w:ascii="Calibri" w:hAnsi="Calibri" w:cs="Calibri"/>
                <w:color w:val="000000"/>
                <w:sz w:val="16"/>
                <w:szCs w:val="16"/>
              </w:rPr>
              <w:t> </w:t>
            </w:r>
            <w:r w:rsidR="00F8757F">
              <w:rPr>
                <w:rFonts w:ascii="Calibri" w:hAnsi="Calibri" w:cs="Calibri"/>
                <w:color w:val="000000"/>
                <w:sz w:val="16"/>
                <w:szCs w:val="16"/>
              </w:rPr>
              <w:t xml:space="preserve">     Labor</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2B3CFB3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5D7F249B" w14:textId="47391330">
            <w:pPr>
              <w:spacing w:line="240" w:lineRule="auto"/>
              <w:rPr>
                <w:rFonts w:ascii="Calibri" w:hAnsi="Calibri" w:cs="Calibri"/>
                <w:color w:val="000000"/>
                <w:sz w:val="16"/>
                <w:szCs w:val="16"/>
              </w:rPr>
            </w:pPr>
            <w:r w:rsidRPr="002B1668">
              <w:rPr>
                <w:rFonts w:ascii="Calibri" w:hAnsi="Calibri" w:cs="Calibri"/>
                <w:color w:val="000000"/>
                <w:sz w:val="16"/>
                <w:szCs w:val="16"/>
              </w:rPr>
              <w:t> </w:t>
            </w:r>
            <w:r w:rsidR="009C4816">
              <w:rPr>
                <w:rFonts w:ascii="Calibri" w:hAnsi="Calibri" w:cs="Calibri"/>
                <w:color w:val="000000"/>
                <w:sz w:val="16"/>
                <w:szCs w:val="16"/>
              </w:rPr>
              <w:t>766,395</w:t>
            </w:r>
          </w:p>
        </w:tc>
        <w:tc>
          <w:tcPr>
            <w:tcW w:w="112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71AC392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2B1668" w:rsidRPr="002B1668" w:rsidP="002B1668" w14:paraId="77198E1E"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shd w:val="clear" w:color="auto" w:fill="auto"/>
            <w:noWrap/>
            <w:vAlign w:val="bottom"/>
            <w:hideMark/>
          </w:tcPr>
          <w:p w:rsidR="002B1668" w:rsidRPr="002B1668" w:rsidP="002B1668" w14:paraId="2A6E05F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23366B76"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tcPr>
          <w:p w:rsidR="00F8757F" w:rsidRPr="002B1668" w:rsidP="002B1668" w14:paraId="22167EEC" w14:textId="7467F29D">
            <w:pPr>
              <w:spacing w:line="240" w:lineRule="auto"/>
              <w:rPr>
                <w:rFonts w:ascii="Calibri" w:hAnsi="Calibri" w:cs="Calibri"/>
                <w:color w:val="000000"/>
                <w:sz w:val="16"/>
                <w:szCs w:val="16"/>
              </w:rPr>
            </w:pPr>
            <w:r>
              <w:rPr>
                <w:rFonts w:ascii="Calibri" w:hAnsi="Calibri" w:cs="Calibri"/>
                <w:color w:val="000000"/>
                <w:sz w:val="16"/>
                <w:szCs w:val="16"/>
              </w:rPr>
              <w:t xml:space="preserve">      Non-Labor</w:t>
            </w:r>
          </w:p>
        </w:tc>
        <w:tc>
          <w:tcPr>
            <w:tcW w:w="1120" w:type="dxa"/>
            <w:tcBorders>
              <w:top w:val="nil"/>
              <w:left w:val="nil"/>
              <w:bottom w:val="single" w:sz="4" w:space="0" w:color="auto"/>
              <w:right w:val="single" w:sz="4" w:space="0" w:color="auto"/>
            </w:tcBorders>
            <w:shd w:val="clear" w:color="auto" w:fill="auto"/>
            <w:noWrap/>
            <w:vAlign w:val="bottom"/>
          </w:tcPr>
          <w:p w:rsidR="00F8757F" w:rsidRPr="002B1668" w:rsidP="002B1668" w14:paraId="540FF3E8" w14:textId="77777777">
            <w:pPr>
              <w:spacing w:line="240" w:lineRule="auto"/>
              <w:rPr>
                <w:rFonts w:ascii="Calibri" w:hAnsi="Calibri" w:cs="Calibri"/>
                <w:color w:val="000000"/>
                <w:sz w:val="16"/>
                <w:szCs w:val="16"/>
              </w:rPr>
            </w:pPr>
          </w:p>
        </w:tc>
        <w:tc>
          <w:tcPr>
            <w:tcW w:w="1140" w:type="dxa"/>
            <w:tcBorders>
              <w:top w:val="nil"/>
              <w:left w:val="nil"/>
              <w:bottom w:val="single" w:sz="4" w:space="0" w:color="auto"/>
              <w:right w:val="single" w:sz="4" w:space="0" w:color="auto"/>
            </w:tcBorders>
            <w:shd w:val="clear" w:color="auto" w:fill="auto"/>
            <w:noWrap/>
            <w:vAlign w:val="bottom"/>
          </w:tcPr>
          <w:p w:rsidR="00F8757F" w:rsidRPr="002B1668" w:rsidP="002B1668" w14:paraId="030CF2C3" w14:textId="755ED117">
            <w:pPr>
              <w:spacing w:line="240" w:lineRule="auto"/>
              <w:rPr>
                <w:rFonts w:ascii="Calibri" w:hAnsi="Calibri" w:cs="Calibri"/>
                <w:color w:val="000000"/>
                <w:sz w:val="16"/>
                <w:szCs w:val="16"/>
              </w:rPr>
            </w:pPr>
            <w:r>
              <w:rPr>
                <w:rFonts w:ascii="Calibri" w:hAnsi="Calibri" w:cs="Calibri"/>
                <w:color w:val="000000"/>
                <w:sz w:val="16"/>
                <w:szCs w:val="16"/>
              </w:rPr>
              <w:t>4,023,574</w:t>
            </w:r>
          </w:p>
        </w:tc>
        <w:tc>
          <w:tcPr>
            <w:tcW w:w="1120" w:type="dxa"/>
            <w:tcBorders>
              <w:top w:val="nil"/>
              <w:left w:val="nil"/>
              <w:bottom w:val="single" w:sz="4" w:space="0" w:color="auto"/>
              <w:right w:val="single" w:sz="4" w:space="0" w:color="auto"/>
            </w:tcBorders>
            <w:shd w:val="clear" w:color="auto" w:fill="auto"/>
            <w:noWrap/>
            <w:vAlign w:val="bottom"/>
          </w:tcPr>
          <w:p w:rsidR="00F8757F" w:rsidRPr="002B1668" w:rsidP="002B1668" w14:paraId="22C9D066" w14:textId="77777777">
            <w:pPr>
              <w:spacing w:line="240" w:lineRule="auto"/>
              <w:rPr>
                <w:rFonts w:ascii="Calibri" w:hAnsi="Calibri" w:cs="Calibri"/>
                <w:color w:val="000000"/>
                <w:sz w:val="16"/>
                <w:szCs w:val="16"/>
              </w:rPr>
            </w:pPr>
          </w:p>
        </w:tc>
        <w:tc>
          <w:tcPr>
            <w:tcW w:w="1280" w:type="dxa"/>
            <w:tcBorders>
              <w:top w:val="nil"/>
              <w:left w:val="nil"/>
              <w:bottom w:val="single" w:sz="4" w:space="0" w:color="auto"/>
              <w:right w:val="single" w:sz="4" w:space="0" w:color="auto"/>
            </w:tcBorders>
            <w:shd w:val="clear" w:color="auto" w:fill="auto"/>
            <w:noWrap/>
            <w:vAlign w:val="bottom"/>
          </w:tcPr>
          <w:p w:rsidR="00F8757F" w:rsidRPr="002B1668" w:rsidP="002B1668" w14:paraId="334C9D51" w14:textId="77777777">
            <w:pPr>
              <w:spacing w:line="240" w:lineRule="auto"/>
              <w:rPr>
                <w:rFonts w:ascii="Calibri" w:hAnsi="Calibri" w:cs="Calibri"/>
                <w:color w:val="000000"/>
                <w:sz w:val="16"/>
                <w:szCs w:val="16"/>
              </w:rPr>
            </w:pPr>
          </w:p>
        </w:tc>
        <w:tc>
          <w:tcPr>
            <w:tcW w:w="1690" w:type="dxa"/>
            <w:tcBorders>
              <w:top w:val="nil"/>
              <w:left w:val="nil"/>
              <w:bottom w:val="single" w:sz="4" w:space="0" w:color="auto"/>
              <w:right w:val="single" w:sz="8" w:space="0" w:color="auto"/>
            </w:tcBorders>
            <w:shd w:val="clear" w:color="auto" w:fill="auto"/>
            <w:noWrap/>
            <w:vAlign w:val="bottom"/>
          </w:tcPr>
          <w:p w:rsidR="00F8757F" w:rsidRPr="002B1668" w:rsidP="002B1668" w14:paraId="1D3C091D" w14:textId="77777777">
            <w:pPr>
              <w:spacing w:line="240" w:lineRule="auto"/>
              <w:rPr>
                <w:rFonts w:ascii="Calibri" w:hAnsi="Calibri" w:cs="Calibri"/>
                <w:color w:val="000000"/>
                <w:sz w:val="16"/>
                <w:szCs w:val="16"/>
              </w:rPr>
            </w:pPr>
          </w:p>
        </w:tc>
      </w:tr>
      <w:tr w14:paraId="7B26BD6D" w14:textId="77777777" w:rsidTr="002B1668">
        <w:tblPrEx>
          <w:tblW w:w="863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2B1668" w:rsidRPr="002B1668" w:rsidP="002B1668" w14:paraId="28B0A23F"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B4D160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77535E96"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5460A258"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A40DB91"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shd w:val="clear" w:color="auto" w:fill="auto"/>
            <w:noWrap/>
            <w:vAlign w:val="bottom"/>
            <w:hideMark/>
          </w:tcPr>
          <w:p w:rsidR="002B1668" w:rsidRPr="002B1668" w:rsidP="002B1668" w14:paraId="45341C19"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6B902244" w14:textId="77777777" w:rsidTr="00F77828">
        <w:tblPrEx>
          <w:tblW w:w="8630" w:type="dxa"/>
          <w:tblLook w:val="04A0"/>
        </w:tblPrEx>
        <w:trPr>
          <w:trHeight w:val="368"/>
        </w:trPr>
        <w:tc>
          <w:tcPr>
            <w:tcW w:w="2280" w:type="dxa"/>
            <w:tcBorders>
              <w:top w:val="nil"/>
              <w:left w:val="single" w:sz="8" w:space="0" w:color="auto"/>
              <w:bottom w:val="nil"/>
              <w:right w:val="single" w:sz="8" w:space="0" w:color="auto"/>
            </w:tcBorders>
            <w:shd w:val="clear" w:color="auto" w:fill="auto"/>
            <w:vAlign w:val="center"/>
            <w:hideMark/>
          </w:tcPr>
          <w:p w:rsidR="002B1668" w:rsidRPr="002B1668" w:rsidP="002B1668" w14:paraId="183DF057"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B3A0942"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1C81DFA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3D6EBA4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2B1668" w:rsidRPr="002B1668" w:rsidP="002B1668" w14:paraId="5BEC1140"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nil"/>
              <w:left w:val="nil"/>
              <w:bottom w:val="single" w:sz="4" w:space="0" w:color="auto"/>
              <w:right w:val="single" w:sz="8" w:space="0" w:color="auto"/>
            </w:tcBorders>
            <w:shd w:val="clear" w:color="auto" w:fill="auto"/>
            <w:noWrap/>
            <w:vAlign w:val="bottom"/>
            <w:hideMark/>
          </w:tcPr>
          <w:p w:rsidR="002B1668" w:rsidRPr="002B1668" w:rsidP="002B1668" w14:paraId="0A5EA297"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r>
      <w:tr w14:paraId="061AB7AB" w14:textId="77777777" w:rsidTr="002B1668">
        <w:tblPrEx>
          <w:tblW w:w="8630"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2B1668" w:rsidRPr="002B1668" w:rsidP="002B1668" w14:paraId="137F7960" w14:textId="77777777">
            <w:pPr>
              <w:spacing w:line="240" w:lineRule="auto"/>
              <w:rPr>
                <w:rFonts w:ascii="Calibri" w:hAnsi="Calibri" w:cs="Calibri"/>
                <w:b/>
                <w:bCs/>
                <w:color w:val="000000"/>
                <w:sz w:val="16"/>
                <w:szCs w:val="16"/>
              </w:rPr>
            </w:pPr>
            <w:r w:rsidRPr="002B1668">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2B1668" w:rsidRPr="002B1668" w:rsidP="002B1668" w14:paraId="1C60164B"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000000" w:fill="DDEBF7"/>
            <w:noWrap/>
            <w:vAlign w:val="bottom"/>
            <w:hideMark/>
          </w:tcPr>
          <w:p w:rsidR="002B1668" w:rsidRPr="002B1668" w:rsidP="002B1668" w14:paraId="2D43FA7D"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2B1668" w:rsidRPr="002B1668" w:rsidP="002B1668" w14:paraId="23ED4C94"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2B1668" w:rsidRPr="002B1668" w:rsidP="002B1668" w14:paraId="619F81F6" w14:textId="77777777">
            <w:pPr>
              <w:spacing w:line="240" w:lineRule="auto"/>
              <w:rPr>
                <w:rFonts w:ascii="Calibri" w:hAnsi="Calibri" w:cs="Calibri"/>
                <w:color w:val="000000"/>
                <w:sz w:val="16"/>
                <w:szCs w:val="16"/>
              </w:rPr>
            </w:pPr>
            <w:r w:rsidRPr="002B1668">
              <w:rPr>
                <w:rFonts w:ascii="Calibri" w:hAnsi="Calibri" w:cs="Calibri"/>
                <w:color w:val="000000"/>
                <w:sz w:val="16"/>
                <w:szCs w:val="16"/>
              </w:rPr>
              <w:t> </w:t>
            </w:r>
          </w:p>
        </w:tc>
        <w:tc>
          <w:tcPr>
            <w:tcW w:w="1690" w:type="dxa"/>
            <w:tcBorders>
              <w:top w:val="single" w:sz="8" w:space="0" w:color="auto"/>
              <w:left w:val="nil"/>
              <w:bottom w:val="single" w:sz="8" w:space="0" w:color="auto"/>
              <w:right w:val="single" w:sz="8" w:space="0" w:color="auto"/>
            </w:tcBorders>
            <w:shd w:val="clear" w:color="000000" w:fill="DDEBF7"/>
            <w:noWrap/>
            <w:vAlign w:val="bottom"/>
            <w:hideMark/>
          </w:tcPr>
          <w:p w:rsidR="002B1668" w:rsidRPr="002B1668" w:rsidP="002B1668" w14:paraId="3F499D0C" w14:textId="0D582941">
            <w:pPr>
              <w:spacing w:line="240" w:lineRule="auto"/>
              <w:rPr>
                <w:rFonts w:ascii="Calibri" w:hAnsi="Calibri" w:cs="Calibri"/>
                <w:color w:val="000000"/>
                <w:sz w:val="16"/>
                <w:szCs w:val="16"/>
              </w:rPr>
            </w:pPr>
            <w:r>
              <w:rPr>
                <w:rFonts w:ascii="Calibri" w:hAnsi="Calibri" w:cs="Calibri"/>
                <w:color w:val="000000"/>
                <w:sz w:val="16"/>
                <w:szCs w:val="16"/>
              </w:rPr>
              <w:t xml:space="preserve"> $            4,999,969</w:t>
            </w:r>
            <w:r w:rsidRPr="002B1668">
              <w:rPr>
                <w:rFonts w:ascii="Calibri" w:hAnsi="Calibri" w:cs="Calibri"/>
                <w:color w:val="000000"/>
                <w:sz w:val="16"/>
                <w:szCs w:val="16"/>
              </w:rPr>
              <w:t xml:space="preserve"> </w:t>
            </w:r>
          </w:p>
        </w:tc>
      </w:tr>
    </w:tbl>
    <w:p w:rsidR="002B1668" w:rsidRPr="002B1668" w:rsidP="002B1668" w14:paraId="4A04DA96" w14:textId="77777777">
      <w:pPr>
        <w:pStyle w:val="Default"/>
      </w:pPr>
    </w:p>
    <w:p w:rsidR="006850F5" w:rsidRPr="00813209" w:rsidP="006850F5" w14:paraId="37428090" w14:textId="77777777">
      <w:pPr>
        <w:pStyle w:val="Default"/>
      </w:pPr>
    </w:p>
    <w:p w:rsidR="00BD450D" w:rsidRPr="009B36BA" w:rsidP="009B36BA" w14:paraId="0D4AE683" w14:textId="6664C446">
      <w:pPr>
        <w:pStyle w:val="ListParagraph"/>
        <w:widowControl w:val="0"/>
        <w:tabs>
          <w:tab w:val="left" w:pos="360"/>
        </w:tabs>
        <w:autoSpaceDE w:val="0"/>
        <w:autoSpaceDN w:val="0"/>
        <w:spacing w:before="80" w:line="240" w:lineRule="auto"/>
        <w:ind w:left="0"/>
        <w:contextualSpacing w:val="0"/>
        <w:rPr>
          <w:b/>
        </w:rPr>
      </w:pPr>
      <w:r>
        <w:rPr>
          <w:b/>
          <w:bCs/>
        </w:rPr>
        <w:t xml:space="preserve">15. </w:t>
      </w:r>
      <w:r w:rsidRPr="00BD7237" w:rsidR="009B36BA">
        <w:rPr>
          <w:b/>
        </w:rPr>
        <w:t>Explain the reasons for any program changes or adjustments reported in ROCIS.</w:t>
      </w:r>
    </w:p>
    <w:p w:rsidR="00BD450D" w:rsidP="00BD450D" w14:paraId="0D79ED09" w14:textId="77777777">
      <w:pPr>
        <w:pStyle w:val="CM23"/>
        <w:spacing w:after="0"/>
      </w:pPr>
    </w:p>
    <w:p w:rsidR="002B66E4" w:rsidRPr="00920C0C" w:rsidP="00502721" w14:paraId="198723A6" w14:textId="1CF0AF3F">
      <w:pPr>
        <w:spacing w:line="240" w:lineRule="auto"/>
        <w:rPr>
          <w:b/>
        </w:rPr>
      </w:pPr>
      <w:r w:rsidRPr="00920C0C">
        <w:rPr>
          <w:b/>
        </w:rPr>
        <w:t xml:space="preserve">This requested revision results in a net </w:t>
      </w:r>
      <w:r w:rsidR="00035BCA">
        <w:rPr>
          <w:b/>
        </w:rPr>
        <w:t>increase</w:t>
      </w:r>
      <w:r w:rsidR="005967EB">
        <w:rPr>
          <w:b/>
        </w:rPr>
        <w:t xml:space="preserve"> of </w:t>
      </w:r>
      <w:r w:rsidR="00035BCA">
        <w:rPr>
          <w:b/>
        </w:rPr>
        <w:t>70,333</w:t>
      </w:r>
      <w:r w:rsidR="005967EB">
        <w:rPr>
          <w:b/>
        </w:rPr>
        <w:t xml:space="preserve"> </w:t>
      </w:r>
      <w:r w:rsidRPr="00920C0C">
        <w:rPr>
          <w:b/>
        </w:rPr>
        <w:t xml:space="preserve">respondents and responses and </w:t>
      </w:r>
      <w:r w:rsidR="00035BCA">
        <w:rPr>
          <w:b/>
        </w:rPr>
        <w:t>5,861</w:t>
      </w:r>
      <w:r w:rsidR="005967EB">
        <w:rPr>
          <w:b/>
        </w:rPr>
        <w:t xml:space="preserve"> hours</w:t>
      </w:r>
      <w:r w:rsidRPr="00920C0C">
        <w:rPr>
          <w:b/>
        </w:rPr>
        <w:t xml:space="preserve">.  </w:t>
      </w:r>
    </w:p>
    <w:p w:rsidR="002B66E4" w:rsidP="00502721" w14:paraId="706F65AD" w14:textId="77777777">
      <w:pPr>
        <w:spacing w:line="240" w:lineRule="auto"/>
      </w:pPr>
    </w:p>
    <w:p w:rsidR="004B4380" w:rsidRPr="00920C0C" w:rsidP="00502721" w14:paraId="7C9C9DE6" w14:textId="20FA5A62">
      <w:pPr>
        <w:spacing w:line="240" w:lineRule="auto"/>
        <w:rPr>
          <w:b/>
        </w:rPr>
      </w:pPr>
      <w:r w:rsidRPr="00920C0C">
        <w:rPr>
          <w:u w:val="single"/>
        </w:rPr>
        <w:t>Program Change</w:t>
      </w:r>
      <w:r>
        <w:t xml:space="preserve">: </w:t>
      </w:r>
      <w:r w:rsidR="005675A9">
        <w:t xml:space="preserve">The </w:t>
      </w:r>
      <w:r w:rsidR="00035BCA">
        <w:t>Reporting Sensitivity Experiment has</w:t>
      </w:r>
      <w:r w:rsidR="005675A9">
        <w:t xml:space="preserve"> been completed, resulting in an annual decrease of </w:t>
      </w:r>
      <w:r w:rsidR="00035BCA">
        <w:t>3,000</w:t>
      </w:r>
      <w:r w:rsidR="005675A9">
        <w:t xml:space="preserve"> r</w:t>
      </w:r>
      <w:r w:rsidR="00035BCA">
        <w:t>espondents and responses and 250</w:t>
      </w:r>
      <w:r w:rsidR="005675A9">
        <w:t xml:space="preserve"> hours.  </w:t>
      </w:r>
      <w:r w:rsidR="008147C9">
        <w:t xml:space="preserve">Including the </w:t>
      </w:r>
      <w:r w:rsidR="00035BCA">
        <w:t>One-Month Wave Study</w:t>
      </w:r>
      <w:r w:rsidR="008147C9">
        <w:t xml:space="preserve"> </w:t>
      </w:r>
      <w:r w:rsidR="005C613E">
        <w:t xml:space="preserve">results in an annual increase of </w:t>
      </w:r>
      <w:r w:rsidR="00035BCA">
        <w:t>73,333</w:t>
      </w:r>
      <w:r w:rsidR="005C613E">
        <w:t xml:space="preserve"> r</w:t>
      </w:r>
      <w:r w:rsidR="005675A9">
        <w:t xml:space="preserve">espondents and responses and </w:t>
      </w:r>
      <w:r w:rsidR="00035BCA">
        <w:t>6,111</w:t>
      </w:r>
      <w:r w:rsidR="005C613E">
        <w:t xml:space="preserve"> hours.  </w:t>
      </w:r>
      <w:r w:rsidR="005675A9">
        <w:t xml:space="preserve">Overall, the program change results in a net </w:t>
      </w:r>
      <w:r w:rsidR="00035BCA">
        <w:t>increase of 70,333</w:t>
      </w:r>
      <w:r w:rsidR="005675A9">
        <w:t xml:space="preserve"> r</w:t>
      </w:r>
      <w:r w:rsidR="00035BCA">
        <w:t>espondents and responses and 5,861</w:t>
      </w:r>
      <w:r w:rsidR="005675A9">
        <w:t xml:space="preserve"> hours.</w:t>
      </w:r>
      <w:r w:rsidR="001A0D02">
        <w:t xml:space="preserve">  </w:t>
      </w:r>
      <w:r w:rsidR="00BB3FC3">
        <w:t xml:space="preserve">  </w:t>
      </w:r>
      <w:r w:rsidR="00BB3FC3">
        <w:rPr>
          <w:b/>
        </w:rPr>
        <w:t xml:space="preserve">  </w:t>
      </w:r>
      <w:r w:rsidRPr="00920C0C" w:rsidR="00B91D1E">
        <w:rPr>
          <w:b/>
        </w:rPr>
        <w:t xml:space="preserve">  </w:t>
      </w:r>
    </w:p>
    <w:p w:rsidR="004B4380" w:rsidP="00502721" w14:paraId="1F626ABB" w14:textId="2E34CBB0">
      <w:pPr>
        <w:spacing w:line="240" w:lineRule="auto"/>
      </w:pPr>
    </w:p>
    <w:tbl>
      <w:tblPr>
        <w:tblW w:w="10935" w:type="dxa"/>
        <w:tblInd w:w="-796" w:type="dxa"/>
        <w:tblLook w:val="04A0"/>
      </w:tblPr>
      <w:tblGrid>
        <w:gridCol w:w="2700"/>
        <w:gridCol w:w="1080"/>
        <w:gridCol w:w="900"/>
        <w:gridCol w:w="900"/>
        <w:gridCol w:w="900"/>
        <w:gridCol w:w="990"/>
        <w:gridCol w:w="1080"/>
        <w:gridCol w:w="2385"/>
      </w:tblGrid>
      <w:tr w14:paraId="1EFE38DA" w14:textId="77777777" w:rsidTr="009B36BA">
        <w:tblPrEx>
          <w:tblW w:w="10935" w:type="dxa"/>
          <w:tblInd w:w="-796" w:type="dxa"/>
          <w:tblLook w:val="04A0"/>
        </w:tblPrEx>
        <w:trPr>
          <w:trHeight w:val="315"/>
        </w:trPr>
        <w:tc>
          <w:tcPr>
            <w:tcW w:w="27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9B36BA" w:rsidRPr="00DF0CE3" w:rsidP="008854F2" w14:paraId="0F88BE13"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rsidR="009B36BA" w:rsidRPr="00DF0CE3" w:rsidP="008854F2" w14:paraId="0BF09AB3"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Respondents</w:t>
            </w:r>
          </w:p>
        </w:tc>
        <w:tc>
          <w:tcPr>
            <w:tcW w:w="1800" w:type="dxa"/>
            <w:gridSpan w:val="2"/>
            <w:tcBorders>
              <w:top w:val="single" w:sz="8" w:space="0" w:color="auto"/>
              <w:left w:val="nil"/>
              <w:bottom w:val="single" w:sz="8" w:space="0" w:color="auto"/>
              <w:right w:val="single" w:sz="8" w:space="0" w:color="000000"/>
            </w:tcBorders>
            <w:shd w:val="clear" w:color="000000" w:fill="5B9BD5"/>
            <w:vAlign w:val="center"/>
            <w:hideMark/>
          </w:tcPr>
          <w:p w:rsidR="009B36BA" w:rsidRPr="00DF0CE3" w:rsidP="008854F2" w14:paraId="286B768F"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Responses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9B36BA" w:rsidRPr="00DF0CE3" w:rsidP="008854F2" w14:paraId="3DB001E6"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Burden Hours</w:t>
            </w:r>
          </w:p>
        </w:tc>
        <w:tc>
          <w:tcPr>
            <w:tcW w:w="238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9B36BA" w:rsidRPr="00DF0CE3" w:rsidP="008854F2" w14:paraId="2445A601"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Reason for</w:t>
            </w:r>
            <w:r w:rsidRPr="00DF0CE3">
              <w:rPr>
                <w:rFonts w:ascii="Calibri" w:hAnsi="Calibri" w:cs="Calibri"/>
                <w:b/>
                <w:bCs/>
                <w:color w:val="000000"/>
                <w:sz w:val="16"/>
                <w:szCs w:val="16"/>
              </w:rPr>
              <w:t xml:space="preserve"> change or adjustment</w:t>
            </w:r>
          </w:p>
        </w:tc>
      </w:tr>
      <w:tr w14:paraId="7A42C092" w14:textId="77777777" w:rsidTr="009B36BA">
        <w:tblPrEx>
          <w:tblW w:w="10935" w:type="dxa"/>
          <w:tblInd w:w="-796" w:type="dxa"/>
          <w:tblLook w:val="04A0"/>
        </w:tblPrEx>
        <w:trPr>
          <w:trHeight w:val="690"/>
        </w:trPr>
        <w:tc>
          <w:tcPr>
            <w:tcW w:w="2700" w:type="dxa"/>
            <w:vMerge/>
            <w:tcBorders>
              <w:top w:val="single" w:sz="8" w:space="0" w:color="auto"/>
              <w:left w:val="single" w:sz="8" w:space="0" w:color="auto"/>
              <w:bottom w:val="single" w:sz="8" w:space="0" w:color="000000"/>
              <w:right w:val="single" w:sz="8" w:space="0" w:color="auto"/>
            </w:tcBorders>
            <w:vAlign w:val="center"/>
            <w:hideMark/>
          </w:tcPr>
          <w:p w:rsidR="009B36BA" w:rsidRPr="00DF0CE3" w:rsidP="008854F2" w14:paraId="19D7B76C" w14:textId="77777777">
            <w:pPr>
              <w:rPr>
                <w:rFonts w:ascii="Calibri" w:hAnsi="Calibri" w:cs="Calibri"/>
                <w:b/>
                <w:bCs/>
                <w:color w:val="000000"/>
                <w:sz w:val="16"/>
                <w:szCs w:val="16"/>
              </w:rPr>
            </w:pPr>
          </w:p>
        </w:tc>
        <w:tc>
          <w:tcPr>
            <w:tcW w:w="1080" w:type="dxa"/>
            <w:tcBorders>
              <w:top w:val="nil"/>
              <w:left w:val="nil"/>
              <w:bottom w:val="single" w:sz="8" w:space="0" w:color="auto"/>
              <w:right w:val="dashed" w:sz="8" w:space="0" w:color="auto"/>
            </w:tcBorders>
            <w:shd w:val="clear" w:color="000000" w:fill="FBE4D5"/>
            <w:vAlign w:val="center"/>
            <w:hideMark/>
          </w:tcPr>
          <w:p w:rsidR="009B36BA" w:rsidRPr="00DF0CE3" w:rsidP="008854F2" w14:paraId="03A474DE" w14:textId="77777777">
            <w:pPr>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9B36BA" w:rsidRPr="00DF0CE3" w:rsidP="008854F2" w14:paraId="572418D4" w14:textId="77777777">
            <w:pPr>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rsidR="009B36BA" w:rsidRPr="00DF0CE3" w:rsidP="008854F2" w14:paraId="1ED94EFD" w14:textId="77777777">
            <w:pPr>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9B36BA" w:rsidRPr="00DF0CE3" w:rsidP="008854F2" w14:paraId="11B80ED0" w14:textId="77777777">
            <w:pPr>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9B36BA" w:rsidRPr="00DF0CE3" w:rsidP="008854F2" w14:paraId="5D1CFF4D" w14:textId="77777777">
            <w:pPr>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9B36BA" w:rsidRPr="00DF0CE3" w:rsidP="008854F2" w14:paraId="3C7B2096" w14:textId="77777777">
            <w:pPr>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2385" w:type="dxa"/>
            <w:vMerge/>
            <w:tcBorders>
              <w:top w:val="single" w:sz="8" w:space="0" w:color="auto"/>
              <w:left w:val="single" w:sz="8" w:space="0" w:color="auto"/>
              <w:bottom w:val="single" w:sz="8" w:space="0" w:color="000000"/>
              <w:right w:val="single" w:sz="8" w:space="0" w:color="auto"/>
            </w:tcBorders>
            <w:vAlign w:val="center"/>
            <w:hideMark/>
          </w:tcPr>
          <w:p w:rsidR="009B36BA" w:rsidRPr="00DF0CE3" w:rsidP="008854F2" w14:paraId="5A9DFEBF" w14:textId="77777777">
            <w:pPr>
              <w:rPr>
                <w:rFonts w:ascii="Calibri" w:hAnsi="Calibri" w:cs="Calibri"/>
                <w:b/>
                <w:bCs/>
                <w:color w:val="000000"/>
                <w:sz w:val="16"/>
                <w:szCs w:val="16"/>
              </w:rPr>
            </w:pPr>
          </w:p>
        </w:tc>
      </w:tr>
      <w:tr w14:paraId="1D08F373" w14:textId="77777777" w:rsidTr="009B36BA">
        <w:tblPrEx>
          <w:tblW w:w="10935" w:type="dxa"/>
          <w:tblInd w:w="-796" w:type="dxa"/>
          <w:tblLook w:val="04A0"/>
        </w:tblPrEx>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B36BA" w:rsidRPr="00DF0CE3" w:rsidP="008854F2" w14:paraId="6DE2A369" w14:textId="44E56275">
            <w:pPr>
              <w:rPr>
                <w:rFonts w:ascii="Calibri" w:hAnsi="Calibri" w:cs="Calibri"/>
                <w:color w:val="000000"/>
                <w:sz w:val="16"/>
                <w:szCs w:val="16"/>
              </w:rPr>
            </w:pPr>
            <w:r w:rsidRPr="00DF0CE3">
              <w:rPr>
                <w:rFonts w:ascii="Calibri" w:hAnsi="Calibri" w:cs="Calibri"/>
                <w:color w:val="000000"/>
                <w:sz w:val="16"/>
                <w:szCs w:val="16"/>
              </w:rPr>
              <w:t> </w:t>
            </w:r>
            <w:r w:rsidRPr="008854F2" w:rsidR="008854F2">
              <w:rPr>
                <w:rFonts w:ascii="Calibri" w:hAnsi="Calibri" w:cs="Calibri"/>
                <w:color w:val="000000"/>
                <w:sz w:val="16"/>
                <w:szCs w:val="16"/>
              </w:rPr>
              <w:t>Weather and Outdoor Activity Survey</w:t>
            </w:r>
          </w:p>
        </w:tc>
        <w:tc>
          <w:tcPr>
            <w:tcW w:w="1080" w:type="dxa"/>
            <w:tcBorders>
              <w:top w:val="nil"/>
              <w:left w:val="nil"/>
              <w:bottom w:val="dotted" w:sz="4" w:space="0" w:color="auto"/>
              <w:right w:val="dashed" w:sz="8" w:space="0" w:color="auto"/>
            </w:tcBorders>
            <w:shd w:val="clear" w:color="auto" w:fill="auto"/>
            <w:vAlign w:val="center"/>
            <w:hideMark/>
          </w:tcPr>
          <w:p w:rsidR="009B36BA" w:rsidRPr="00DF0CE3" w:rsidP="008854F2" w14:paraId="2AA3F572" w14:textId="6FC9C60D">
            <w:pPr>
              <w:jc w:val="center"/>
              <w:rPr>
                <w:rFonts w:ascii="Calibri" w:hAnsi="Calibri" w:cs="Calibri"/>
                <w:color w:val="000000"/>
                <w:sz w:val="16"/>
                <w:szCs w:val="16"/>
              </w:rPr>
            </w:pPr>
            <w:r w:rsidRPr="00DF0CE3">
              <w:rPr>
                <w:rFonts w:ascii="Calibri" w:hAnsi="Calibri" w:cs="Calibri"/>
                <w:color w:val="000000"/>
                <w:sz w:val="16"/>
                <w:szCs w:val="16"/>
              </w:rPr>
              <w:t> </w:t>
            </w:r>
            <w:r w:rsidR="003F4B52">
              <w:rPr>
                <w:rFonts w:ascii="Calibri" w:hAnsi="Calibri" w:cs="Calibri"/>
                <w:color w:val="000000"/>
                <w:sz w:val="16"/>
                <w:szCs w:val="16"/>
              </w:rPr>
              <w:t>110,000</w:t>
            </w:r>
          </w:p>
        </w:tc>
        <w:tc>
          <w:tcPr>
            <w:tcW w:w="900" w:type="dxa"/>
            <w:tcBorders>
              <w:top w:val="nil"/>
              <w:left w:val="nil"/>
              <w:bottom w:val="dotted" w:sz="4" w:space="0" w:color="auto"/>
              <w:right w:val="single" w:sz="8" w:space="0" w:color="auto"/>
            </w:tcBorders>
            <w:shd w:val="clear" w:color="auto" w:fill="auto"/>
            <w:vAlign w:val="center"/>
            <w:hideMark/>
          </w:tcPr>
          <w:p w:rsidR="009B36BA" w:rsidRPr="00DF0CE3" w:rsidP="008854F2" w14:paraId="6F0BEB75" w14:textId="0DA79EAB">
            <w:pPr>
              <w:jc w:val="center"/>
              <w:rPr>
                <w:rFonts w:ascii="Calibri" w:hAnsi="Calibri" w:cs="Calibri"/>
                <w:color w:val="000000"/>
                <w:sz w:val="16"/>
                <w:szCs w:val="16"/>
              </w:rPr>
            </w:pPr>
            <w:r w:rsidRPr="00DF0CE3">
              <w:rPr>
                <w:rFonts w:ascii="Calibri" w:hAnsi="Calibri" w:cs="Calibri"/>
                <w:color w:val="000000"/>
                <w:sz w:val="16"/>
                <w:szCs w:val="16"/>
              </w:rPr>
              <w:t> </w:t>
            </w:r>
            <w:r w:rsidR="008854F2">
              <w:rPr>
                <w:rFonts w:ascii="Calibri" w:hAnsi="Calibri" w:cs="Calibri"/>
                <w:color w:val="000000"/>
                <w:sz w:val="16"/>
                <w:szCs w:val="16"/>
              </w:rPr>
              <w:t>110</w:t>
            </w:r>
            <w:r w:rsidR="003F4B52">
              <w:rPr>
                <w:rFonts w:ascii="Calibri" w:hAnsi="Calibri" w:cs="Calibri"/>
                <w:color w:val="000000"/>
                <w:sz w:val="16"/>
                <w:szCs w:val="16"/>
              </w:rPr>
              <w:t>,</w:t>
            </w:r>
            <w:r w:rsidR="008854F2">
              <w:rPr>
                <w:rFonts w:ascii="Calibri" w:hAnsi="Calibri" w:cs="Calibri"/>
                <w:color w:val="000000"/>
                <w:sz w:val="16"/>
                <w:szCs w:val="16"/>
              </w:rPr>
              <w:t>000</w:t>
            </w:r>
          </w:p>
        </w:tc>
        <w:tc>
          <w:tcPr>
            <w:tcW w:w="900" w:type="dxa"/>
            <w:tcBorders>
              <w:top w:val="nil"/>
              <w:left w:val="nil"/>
              <w:bottom w:val="dotted" w:sz="4" w:space="0" w:color="auto"/>
              <w:right w:val="dashed" w:sz="8" w:space="0" w:color="auto"/>
            </w:tcBorders>
            <w:shd w:val="clear" w:color="auto" w:fill="auto"/>
            <w:vAlign w:val="center"/>
            <w:hideMark/>
          </w:tcPr>
          <w:p w:rsidR="009B36BA" w:rsidRPr="00DF0CE3" w:rsidP="008854F2" w14:paraId="3754C790" w14:textId="4E3CA6B8">
            <w:pPr>
              <w:jc w:val="center"/>
              <w:rPr>
                <w:rFonts w:ascii="Calibri" w:hAnsi="Calibri" w:cs="Calibri"/>
                <w:color w:val="000000"/>
                <w:sz w:val="16"/>
                <w:szCs w:val="16"/>
              </w:rPr>
            </w:pPr>
            <w:r w:rsidRPr="00DF0CE3">
              <w:rPr>
                <w:rFonts w:ascii="Calibri" w:hAnsi="Calibri" w:cs="Calibri"/>
                <w:color w:val="000000"/>
                <w:sz w:val="16"/>
                <w:szCs w:val="16"/>
              </w:rPr>
              <w:t> </w:t>
            </w:r>
            <w:r w:rsidR="003F4B52">
              <w:rPr>
                <w:rFonts w:ascii="Calibri" w:hAnsi="Calibri" w:cs="Calibri"/>
                <w:color w:val="000000"/>
                <w:sz w:val="16"/>
                <w:szCs w:val="16"/>
              </w:rPr>
              <w:t>110,000</w:t>
            </w:r>
          </w:p>
        </w:tc>
        <w:tc>
          <w:tcPr>
            <w:tcW w:w="900" w:type="dxa"/>
            <w:tcBorders>
              <w:top w:val="nil"/>
              <w:left w:val="nil"/>
              <w:bottom w:val="dotted" w:sz="4" w:space="0" w:color="auto"/>
              <w:right w:val="single" w:sz="8" w:space="0" w:color="auto"/>
            </w:tcBorders>
            <w:shd w:val="clear" w:color="auto" w:fill="auto"/>
            <w:vAlign w:val="center"/>
            <w:hideMark/>
          </w:tcPr>
          <w:p w:rsidR="009B36BA" w:rsidRPr="00DF0CE3" w:rsidP="008854F2" w14:paraId="4A78B40E" w14:textId="53B00DAF">
            <w:pPr>
              <w:jc w:val="center"/>
              <w:rPr>
                <w:rFonts w:ascii="Calibri" w:hAnsi="Calibri" w:cs="Calibri"/>
                <w:color w:val="000000"/>
                <w:sz w:val="16"/>
                <w:szCs w:val="16"/>
              </w:rPr>
            </w:pPr>
            <w:r>
              <w:rPr>
                <w:rFonts w:ascii="Calibri" w:hAnsi="Calibri" w:cs="Calibri"/>
                <w:color w:val="000000"/>
                <w:sz w:val="16"/>
                <w:szCs w:val="16"/>
              </w:rPr>
              <w:t>110</w:t>
            </w:r>
            <w:r w:rsidR="003F4B52">
              <w:rPr>
                <w:rFonts w:ascii="Calibri" w:hAnsi="Calibri" w:cs="Calibri"/>
                <w:color w:val="000000"/>
                <w:sz w:val="16"/>
                <w:szCs w:val="16"/>
              </w:rPr>
              <w:t>,</w:t>
            </w:r>
            <w:r>
              <w:rPr>
                <w:rFonts w:ascii="Calibri" w:hAnsi="Calibri" w:cs="Calibri"/>
                <w:color w:val="000000"/>
                <w:sz w:val="16"/>
                <w:szCs w:val="16"/>
              </w:rPr>
              <w:t>000</w:t>
            </w:r>
            <w:r w:rsidRPr="00DF0CE3">
              <w:rPr>
                <w:rFonts w:ascii="Calibri" w:hAnsi="Calibri" w:cs="Calibri"/>
                <w:color w:val="000000"/>
                <w:sz w:val="16"/>
                <w:szCs w:val="16"/>
              </w:rPr>
              <w:t> </w:t>
            </w:r>
          </w:p>
        </w:tc>
        <w:tc>
          <w:tcPr>
            <w:tcW w:w="990" w:type="dxa"/>
            <w:tcBorders>
              <w:top w:val="nil"/>
              <w:left w:val="nil"/>
              <w:bottom w:val="dotted" w:sz="4" w:space="0" w:color="auto"/>
              <w:right w:val="dashed" w:sz="8" w:space="0" w:color="auto"/>
            </w:tcBorders>
            <w:shd w:val="clear" w:color="auto" w:fill="auto"/>
            <w:vAlign w:val="center"/>
            <w:hideMark/>
          </w:tcPr>
          <w:p w:rsidR="009B36BA" w:rsidRPr="00DF0CE3" w:rsidP="008854F2" w14:paraId="13A067A3" w14:textId="3130FCA4">
            <w:pPr>
              <w:jc w:val="center"/>
              <w:rPr>
                <w:rFonts w:ascii="Calibri" w:hAnsi="Calibri" w:cs="Calibri"/>
                <w:color w:val="000000"/>
                <w:sz w:val="16"/>
                <w:szCs w:val="16"/>
              </w:rPr>
            </w:pPr>
            <w:r>
              <w:rPr>
                <w:rFonts w:ascii="Calibri" w:hAnsi="Calibri" w:cs="Calibri"/>
                <w:color w:val="000000"/>
                <w:sz w:val="16"/>
                <w:szCs w:val="16"/>
              </w:rPr>
              <w:t>9,167</w:t>
            </w:r>
            <w:r w:rsidRPr="00DF0CE3">
              <w:rPr>
                <w:rFonts w:ascii="Calibri" w:hAnsi="Calibri" w:cs="Calibri"/>
                <w:color w:val="000000"/>
                <w:sz w:val="16"/>
                <w:szCs w:val="16"/>
              </w:rPr>
              <w:t> </w:t>
            </w:r>
          </w:p>
        </w:tc>
        <w:tc>
          <w:tcPr>
            <w:tcW w:w="1080" w:type="dxa"/>
            <w:tcBorders>
              <w:top w:val="nil"/>
              <w:left w:val="nil"/>
              <w:bottom w:val="dotted" w:sz="4" w:space="0" w:color="auto"/>
              <w:right w:val="single" w:sz="8" w:space="0" w:color="auto"/>
            </w:tcBorders>
            <w:shd w:val="clear" w:color="auto" w:fill="auto"/>
            <w:vAlign w:val="center"/>
            <w:hideMark/>
          </w:tcPr>
          <w:p w:rsidR="009B36BA" w:rsidRPr="00DF0CE3" w:rsidP="008854F2" w14:paraId="0BB496EF" w14:textId="1A52258E">
            <w:pPr>
              <w:jc w:val="center"/>
              <w:rPr>
                <w:rFonts w:ascii="Calibri" w:hAnsi="Calibri" w:cs="Calibri"/>
                <w:color w:val="000000"/>
                <w:sz w:val="16"/>
                <w:szCs w:val="16"/>
              </w:rPr>
            </w:pPr>
            <w:r>
              <w:rPr>
                <w:rFonts w:ascii="Calibri" w:hAnsi="Calibri" w:cs="Calibri"/>
                <w:color w:val="000000"/>
                <w:sz w:val="16"/>
                <w:szCs w:val="16"/>
              </w:rPr>
              <w:t>9</w:t>
            </w:r>
            <w:r w:rsidR="003F4B52">
              <w:rPr>
                <w:rFonts w:ascii="Calibri" w:hAnsi="Calibri" w:cs="Calibri"/>
                <w:color w:val="000000"/>
                <w:sz w:val="16"/>
                <w:szCs w:val="16"/>
              </w:rPr>
              <w:t>,</w:t>
            </w:r>
            <w:r>
              <w:rPr>
                <w:rFonts w:ascii="Calibri" w:hAnsi="Calibri" w:cs="Calibri"/>
                <w:color w:val="000000"/>
                <w:sz w:val="16"/>
                <w:szCs w:val="16"/>
              </w:rPr>
              <w:t>167</w:t>
            </w:r>
            <w:r w:rsidRPr="00DF0CE3">
              <w:rPr>
                <w:rFonts w:ascii="Calibri" w:hAnsi="Calibri" w:cs="Calibri"/>
                <w:color w:val="000000"/>
                <w:sz w:val="16"/>
                <w:szCs w:val="16"/>
              </w:rPr>
              <w:t> </w:t>
            </w:r>
          </w:p>
        </w:tc>
        <w:tc>
          <w:tcPr>
            <w:tcW w:w="2385" w:type="dxa"/>
            <w:tcBorders>
              <w:top w:val="nil"/>
              <w:left w:val="nil"/>
              <w:bottom w:val="dotted" w:sz="4" w:space="0" w:color="auto"/>
              <w:right w:val="single" w:sz="8" w:space="0" w:color="auto"/>
            </w:tcBorders>
            <w:shd w:val="clear" w:color="auto" w:fill="auto"/>
            <w:vAlign w:val="center"/>
            <w:hideMark/>
          </w:tcPr>
          <w:p w:rsidR="009B36BA" w:rsidRPr="00DF0CE3" w:rsidP="003F4B52" w14:paraId="2A0F0393" w14:textId="43376C93">
            <w:pPr>
              <w:rPr>
                <w:rFonts w:ascii="Calibri" w:hAnsi="Calibri" w:cs="Calibri"/>
                <w:color w:val="000000"/>
                <w:sz w:val="16"/>
                <w:szCs w:val="16"/>
              </w:rPr>
            </w:pPr>
            <w:r w:rsidRPr="00DF0CE3">
              <w:rPr>
                <w:rFonts w:ascii="Calibri" w:hAnsi="Calibri" w:cs="Calibri"/>
                <w:color w:val="000000"/>
                <w:sz w:val="16"/>
                <w:szCs w:val="16"/>
              </w:rPr>
              <w:t> </w:t>
            </w:r>
            <w:r w:rsidR="003F4B52">
              <w:rPr>
                <w:rFonts w:ascii="Calibri" w:hAnsi="Calibri" w:cs="Calibri"/>
                <w:color w:val="000000"/>
                <w:sz w:val="16"/>
                <w:szCs w:val="16"/>
              </w:rPr>
              <w:t>No change</w:t>
            </w:r>
          </w:p>
        </w:tc>
      </w:tr>
      <w:tr w14:paraId="5A2FFCAD" w14:textId="77777777" w:rsidTr="009B36BA">
        <w:tblPrEx>
          <w:tblW w:w="10935" w:type="dxa"/>
          <w:tblInd w:w="-796" w:type="dxa"/>
          <w:tblLook w:val="04A0"/>
        </w:tblPrEx>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B36BA" w:rsidRPr="00DF0CE3" w:rsidP="008854F2" w14:paraId="7B703C78" w14:textId="7235FBD3">
            <w:pPr>
              <w:rPr>
                <w:rFonts w:ascii="Calibri" w:hAnsi="Calibri" w:cs="Calibri"/>
                <w:color w:val="000000"/>
                <w:sz w:val="16"/>
                <w:szCs w:val="16"/>
              </w:rPr>
            </w:pPr>
            <w:r w:rsidRPr="00DF0CE3">
              <w:rPr>
                <w:rFonts w:ascii="Calibri" w:hAnsi="Calibri" w:cs="Calibri"/>
                <w:color w:val="000000"/>
                <w:sz w:val="16"/>
                <w:szCs w:val="16"/>
              </w:rPr>
              <w:t> </w:t>
            </w:r>
            <w:r w:rsidRPr="008854F2" w:rsidR="008854F2">
              <w:rPr>
                <w:rFonts w:ascii="Calibri" w:hAnsi="Calibri" w:cs="Calibri"/>
                <w:color w:val="000000"/>
                <w:sz w:val="16"/>
                <w:szCs w:val="16"/>
              </w:rPr>
              <w:t>Reporting Sensitivity Experiment</w:t>
            </w:r>
          </w:p>
        </w:tc>
        <w:tc>
          <w:tcPr>
            <w:tcW w:w="1080" w:type="dxa"/>
            <w:tcBorders>
              <w:top w:val="nil"/>
              <w:left w:val="nil"/>
              <w:bottom w:val="dotted" w:sz="4" w:space="0" w:color="auto"/>
              <w:right w:val="dashed" w:sz="8" w:space="0" w:color="auto"/>
            </w:tcBorders>
            <w:shd w:val="clear" w:color="auto" w:fill="auto"/>
            <w:vAlign w:val="center"/>
            <w:hideMark/>
          </w:tcPr>
          <w:p w:rsidR="009B36BA" w:rsidRPr="00DF0CE3" w:rsidP="008854F2" w14:paraId="1BCCC28E" w14:textId="1BCD1639">
            <w:pPr>
              <w:jc w:val="center"/>
              <w:rPr>
                <w:rFonts w:ascii="Calibri" w:hAnsi="Calibri" w:cs="Calibri"/>
                <w:color w:val="000000"/>
                <w:sz w:val="16"/>
                <w:szCs w:val="16"/>
              </w:rPr>
            </w:pPr>
            <w:r w:rsidRPr="00DF0CE3">
              <w:rPr>
                <w:rFonts w:ascii="Calibri" w:hAnsi="Calibri" w:cs="Calibri"/>
                <w:color w:val="000000"/>
                <w:sz w:val="16"/>
                <w:szCs w:val="16"/>
              </w:rPr>
              <w:t> </w:t>
            </w:r>
            <w:r w:rsidR="003F4B52">
              <w:rPr>
                <w:rFonts w:ascii="Calibri" w:hAnsi="Calibri" w:cs="Calibri"/>
                <w:color w:val="000000"/>
                <w:sz w:val="16"/>
                <w:szCs w:val="16"/>
              </w:rPr>
              <w:t>N/A</w:t>
            </w:r>
          </w:p>
        </w:tc>
        <w:tc>
          <w:tcPr>
            <w:tcW w:w="900" w:type="dxa"/>
            <w:tcBorders>
              <w:top w:val="nil"/>
              <w:left w:val="nil"/>
              <w:bottom w:val="dotted" w:sz="4" w:space="0" w:color="auto"/>
              <w:right w:val="single" w:sz="8" w:space="0" w:color="auto"/>
            </w:tcBorders>
            <w:shd w:val="clear" w:color="auto" w:fill="auto"/>
            <w:vAlign w:val="center"/>
            <w:hideMark/>
          </w:tcPr>
          <w:p w:rsidR="009B36BA" w:rsidRPr="00DF0CE3" w:rsidP="008854F2" w14:paraId="195077E9" w14:textId="52D51B34">
            <w:pPr>
              <w:jc w:val="center"/>
              <w:rPr>
                <w:rFonts w:ascii="Calibri" w:hAnsi="Calibri" w:cs="Calibri"/>
                <w:color w:val="000000"/>
                <w:sz w:val="16"/>
                <w:szCs w:val="16"/>
              </w:rPr>
            </w:pPr>
            <w:r w:rsidRPr="00DF0CE3">
              <w:rPr>
                <w:rFonts w:ascii="Calibri" w:hAnsi="Calibri" w:cs="Calibri"/>
                <w:color w:val="000000"/>
                <w:sz w:val="16"/>
                <w:szCs w:val="16"/>
              </w:rPr>
              <w:t> </w:t>
            </w:r>
            <w:r w:rsidR="008854F2">
              <w:rPr>
                <w:rFonts w:ascii="Calibri" w:hAnsi="Calibri" w:cs="Calibri"/>
                <w:color w:val="000000"/>
                <w:sz w:val="16"/>
                <w:szCs w:val="16"/>
              </w:rPr>
              <w:t>3</w:t>
            </w:r>
            <w:r w:rsidR="003F4B52">
              <w:rPr>
                <w:rFonts w:ascii="Calibri" w:hAnsi="Calibri" w:cs="Calibri"/>
                <w:color w:val="000000"/>
                <w:sz w:val="16"/>
                <w:szCs w:val="16"/>
              </w:rPr>
              <w:t>,</w:t>
            </w:r>
            <w:r w:rsidR="008854F2">
              <w:rPr>
                <w:rFonts w:ascii="Calibri" w:hAnsi="Calibri" w:cs="Calibri"/>
                <w:color w:val="000000"/>
                <w:sz w:val="16"/>
                <w:szCs w:val="16"/>
              </w:rPr>
              <w:t>000</w:t>
            </w:r>
          </w:p>
        </w:tc>
        <w:tc>
          <w:tcPr>
            <w:tcW w:w="900" w:type="dxa"/>
            <w:tcBorders>
              <w:top w:val="nil"/>
              <w:left w:val="nil"/>
              <w:bottom w:val="dotted" w:sz="4" w:space="0" w:color="auto"/>
              <w:right w:val="dashed" w:sz="8" w:space="0" w:color="auto"/>
            </w:tcBorders>
            <w:shd w:val="clear" w:color="auto" w:fill="auto"/>
            <w:vAlign w:val="center"/>
            <w:hideMark/>
          </w:tcPr>
          <w:p w:rsidR="009B36BA" w:rsidRPr="00DF0CE3" w:rsidP="008854F2" w14:paraId="3F14F392" w14:textId="6CE8ECC2">
            <w:pPr>
              <w:jc w:val="center"/>
              <w:rPr>
                <w:rFonts w:ascii="Calibri" w:hAnsi="Calibri" w:cs="Calibri"/>
                <w:color w:val="000000"/>
                <w:sz w:val="16"/>
                <w:szCs w:val="16"/>
              </w:rPr>
            </w:pPr>
            <w:r>
              <w:rPr>
                <w:rFonts w:ascii="Calibri" w:hAnsi="Calibri" w:cs="Calibri"/>
                <w:color w:val="000000"/>
                <w:sz w:val="16"/>
                <w:szCs w:val="16"/>
              </w:rPr>
              <w:t>N/A</w:t>
            </w:r>
            <w:r w:rsidRPr="00DF0CE3">
              <w:rPr>
                <w:rFonts w:ascii="Calibri" w:hAnsi="Calibri" w:cs="Calibri"/>
                <w:color w:val="000000"/>
                <w:sz w:val="16"/>
                <w:szCs w:val="16"/>
              </w:rPr>
              <w:t> </w:t>
            </w:r>
          </w:p>
        </w:tc>
        <w:tc>
          <w:tcPr>
            <w:tcW w:w="900" w:type="dxa"/>
            <w:tcBorders>
              <w:top w:val="nil"/>
              <w:left w:val="nil"/>
              <w:bottom w:val="dotted" w:sz="4" w:space="0" w:color="auto"/>
              <w:right w:val="single" w:sz="8" w:space="0" w:color="auto"/>
            </w:tcBorders>
            <w:shd w:val="clear" w:color="auto" w:fill="auto"/>
            <w:vAlign w:val="center"/>
            <w:hideMark/>
          </w:tcPr>
          <w:p w:rsidR="009B36BA" w:rsidRPr="00DF0CE3" w:rsidP="008854F2" w14:paraId="21D0FE49" w14:textId="63192E3F">
            <w:pPr>
              <w:jc w:val="center"/>
              <w:rPr>
                <w:rFonts w:ascii="Calibri" w:hAnsi="Calibri" w:cs="Calibri"/>
                <w:color w:val="000000"/>
                <w:sz w:val="16"/>
                <w:szCs w:val="16"/>
              </w:rPr>
            </w:pPr>
            <w:r>
              <w:rPr>
                <w:rFonts w:ascii="Calibri" w:hAnsi="Calibri" w:cs="Calibri"/>
                <w:color w:val="000000"/>
                <w:sz w:val="16"/>
                <w:szCs w:val="16"/>
              </w:rPr>
              <w:t>3</w:t>
            </w:r>
            <w:r w:rsidR="003F4B52">
              <w:rPr>
                <w:rFonts w:ascii="Calibri" w:hAnsi="Calibri" w:cs="Calibri"/>
                <w:color w:val="000000"/>
                <w:sz w:val="16"/>
                <w:szCs w:val="16"/>
              </w:rPr>
              <w:t>,</w:t>
            </w:r>
            <w:r>
              <w:rPr>
                <w:rFonts w:ascii="Calibri" w:hAnsi="Calibri" w:cs="Calibri"/>
                <w:color w:val="000000"/>
                <w:sz w:val="16"/>
                <w:szCs w:val="16"/>
              </w:rPr>
              <w:t>000</w:t>
            </w:r>
            <w:r w:rsidRPr="00DF0CE3">
              <w:rPr>
                <w:rFonts w:ascii="Calibri" w:hAnsi="Calibri" w:cs="Calibri"/>
                <w:color w:val="000000"/>
                <w:sz w:val="16"/>
                <w:szCs w:val="16"/>
              </w:rPr>
              <w:t> </w:t>
            </w:r>
          </w:p>
        </w:tc>
        <w:tc>
          <w:tcPr>
            <w:tcW w:w="990" w:type="dxa"/>
            <w:tcBorders>
              <w:top w:val="nil"/>
              <w:left w:val="nil"/>
              <w:bottom w:val="dotted" w:sz="4" w:space="0" w:color="auto"/>
              <w:right w:val="dashed" w:sz="8" w:space="0" w:color="auto"/>
            </w:tcBorders>
            <w:shd w:val="clear" w:color="auto" w:fill="auto"/>
            <w:vAlign w:val="center"/>
            <w:hideMark/>
          </w:tcPr>
          <w:p w:rsidR="009B36BA" w:rsidRPr="00DF0CE3" w:rsidP="008854F2" w14:paraId="69B7EC9E" w14:textId="5893BF09">
            <w:pPr>
              <w:jc w:val="center"/>
              <w:rPr>
                <w:rFonts w:ascii="Calibri" w:hAnsi="Calibri" w:cs="Calibri"/>
                <w:color w:val="000000"/>
                <w:sz w:val="16"/>
                <w:szCs w:val="16"/>
              </w:rPr>
            </w:pPr>
            <w:r w:rsidRPr="00DF0CE3">
              <w:rPr>
                <w:rFonts w:ascii="Calibri" w:hAnsi="Calibri" w:cs="Calibri"/>
                <w:color w:val="000000"/>
                <w:sz w:val="16"/>
                <w:szCs w:val="16"/>
              </w:rPr>
              <w:t> </w:t>
            </w:r>
            <w:r w:rsidR="003F4B52">
              <w:rPr>
                <w:rFonts w:ascii="Calibri" w:hAnsi="Calibri" w:cs="Calibri"/>
                <w:color w:val="000000"/>
                <w:sz w:val="16"/>
                <w:szCs w:val="16"/>
              </w:rPr>
              <w:t>N/A</w:t>
            </w:r>
          </w:p>
        </w:tc>
        <w:tc>
          <w:tcPr>
            <w:tcW w:w="1080" w:type="dxa"/>
            <w:tcBorders>
              <w:top w:val="nil"/>
              <w:left w:val="nil"/>
              <w:bottom w:val="dotted" w:sz="4" w:space="0" w:color="auto"/>
              <w:right w:val="single" w:sz="8" w:space="0" w:color="auto"/>
            </w:tcBorders>
            <w:shd w:val="clear" w:color="auto" w:fill="auto"/>
            <w:vAlign w:val="center"/>
            <w:hideMark/>
          </w:tcPr>
          <w:p w:rsidR="009B36BA" w:rsidRPr="00DF0CE3" w:rsidP="008854F2" w14:paraId="4FFD48C8" w14:textId="41A66634">
            <w:pPr>
              <w:jc w:val="center"/>
              <w:rPr>
                <w:rFonts w:ascii="Calibri" w:hAnsi="Calibri" w:cs="Calibri"/>
                <w:color w:val="000000"/>
                <w:sz w:val="16"/>
                <w:szCs w:val="16"/>
              </w:rPr>
            </w:pPr>
            <w:r>
              <w:rPr>
                <w:rFonts w:ascii="Calibri" w:hAnsi="Calibri" w:cs="Calibri"/>
                <w:color w:val="000000"/>
                <w:sz w:val="16"/>
                <w:szCs w:val="16"/>
              </w:rPr>
              <w:t>250</w:t>
            </w:r>
            <w:r w:rsidRPr="00DF0CE3">
              <w:rPr>
                <w:rFonts w:ascii="Calibri" w:hAnsi="Calibri" w:cs="Calibri"/>
                <w:color w:val="000000"/>
                <w:sz w:val="16"/>
                <w:szCs w:val="16"/>
              </w:rPr>
              <w:t> </w:t>
            </w:r>
          </w:p>
        </w:tc>
        <w:tc>
          <w:tcPr>
            <w:tcW w:w="2385" w:type="dxa"/>
            <w:tcBorders>
              <w:top w:val="nil"/>
              <w:left w:val="nil"/>
              <w:bottom w:val="dotted" w:sz="4" w:space="0" w:color="auto"/>
              <w:right w:val="single" w:sz="8" w:space="0" w:color="auto"/>
            </w:tcBorders>
            <w:shd w:val="clear" w:color="auto" w:fill="auto"/>
            <w:vAlign w:val="center"/>
            <w:hideMark/>
          </w:tcPr>
          <w:p w:rsidR="009B36BA" w:rsidRPr="00DF0CE3" w:rsidP="003F4B52" w14:paraId="42DE0343" w14:textId="32FBF595">
            <w:pPr>
              <w:spacing w:line="240" w:lineRule="auto"/>
              <w:rPr>
                <w:rFonts w:ascii="Calibri" w:hAnsi="Calibri" w:cs="Calibri"/>
                <w:color w:val="000000"/>
                <w:sz w:val="16"/>
                <w:szCs w:val="16"/>
              </w:rPr>
            </w:pPr>
            <w:r w:rsidRPr="00DF0CE3">
              <w:rPr>
                <w:rFonts w:ascii="Calibri" w:hAnsi="Calibri" w:cs="Calibri"/>
                <w:color w:val="000000"/>
                <w:sz w:val="16"/>
                <w:szCs w:val="16"/>
              </w:rPr>
              <w:t> </w:t>
            </w:r>
            <w:r w:rsidR="003F4B52">
              <w:rPr>
                <w:rFonts w:ascii="Calibri" w:hAnsi="Calibri" w:cs="Calibri"/>
                <w:color w:val="000000"/>
                <w:sz w:val="16"/>
                <w:szCs w:val="16"/>
              </w:rPr>
              <w:t>This one-time information collection has been completed and will be removed.</w:t>
            </w:r>
          </w:p>
        </w:tc>
      </w:tr>
      <w:tr w14:paraId="30D046B5" w14:textId="77777777" w:rsidTr="009B36BA">
        <w:tblPrEx>
          <w:tblW w:w="10935" w:type="dxa"/>
          <w:tblInd w:w="-796" w:type="dxa"/>
          <w:tblLook w:val="04A0"/>
        </w:tblPrEx>
        <w:trPr>
          <w:trHeight w:val="315"/>
        </w:trPr>
        <w:tc>
          <w:tcPr>
            <w:tcW w:w="2700" w:type="dxa"/>
            <w:tcBorders>
              <w:top w:val="nil"/>
              <w:left w:val="single" w:sz="8" w:space="0" w:color="auto"/>
              <w:bottom w:val="single" w:sz="8" w:space="0" w:color="auto"/>
              <w:right w:val="single" w:sz="8" w:space="0" w:color="auto"/>
            </w:tcBorders>
            <w:shd w:val="clear" w:color="auto" w:fill="auto"/>
            <w:vAlign w:val="center"/>
            <w:hideMark/>
          </w:tcPr>
          <w:p w:rsidR="009B36BA" w:rsidRPr="003F4B52" w:rsidP="008854F2" w14:paraId="7DFD62CB" w14:textId="375596AB">
            <w:pPr>
              <w:rPr>
                <w:rFonts w:ascii="Calibri" w:hAnsi="Calibri" w:cs="Calibri"/>
                <w:color w:val="000000"/>
                <w:sz w:val="16"/>
                <w:szCs w:val="16"/>
              </w:rPr>
            </w:pPr>
            <w:r w:rsidRPr="003F4B52">
              <w:rPr>
                <w:rFonts w:ascii="Calibri" w:hAnsi="Calibri" w:cs="Calibri"/>
                <w:color w:val="000000"/>
                <w:sz w:val="16"/>
                <w:szCs w:val="16"/>
              </w:rPr>
              <w:t> </w:t>
            </w:r>
            <w:r w:rsidRPr="003F4B52" w:rsidR="003F4B52">
              <w:rPr>
                <w:rFonts w:ascii="Calibri" w:hAnsi="Calibri" w:cs="Calibri"/>
                <w:color w:val="000000"/>
                <w:sz w:val="16"/>
                <w:szCs w:val="16"/>
              </w:rPr>
              <w:t>One-Month Wave Study</w:t>
            </w:r>
          </w:p>
        </w:tc>
        <w:tc>
          <w:tcPr>
            <w:tcW w:w="1080" w:type="dxa"/>
            <w:tcBorders>
              <w:top w:val="nil"/>
              <w:left w:val="nil"/>
              <w:bottom w:val="dotted" w:sz="4" w:space="0" w:color="auto"/>
              <w:right w:val="dashed" w:sz="8" w:space="0" w:color="auto"/>
            </w:tcBorders>
            <w:shd w:val="clear" w:color="auto" w:fill="auto"/>
            <w:vAlign w:val="center"/>
            <w:hideMark/>
          </w:tcPr>
          <w:p w:rsidR="009B36BA" w:rsidRPr="00DF0CE3" w:rsidP="008854F2" w14:paraId="7CC3FFCD" w14:textId="714CF9F1">
            <w:pPr>
              <w:jc w:val="center"/>
              <w:rPr>
                <w:rFonts w:ascii="Calibri" w:hAnsi="Calibri" w:cs="Calibri"/>
                <w:color w:val="000000"/>
                <w:sz w:val="16"/>
                <w:szCs w:val="16"/>
              </w:rPr>
            </w:pPr>
            <w:r>
              <w:rPr>
                <w:rFonts w:ascii="Calibri" w:hAnsi="Calibri" w:cs="Calibri"/>
                <w:color w:val="000000"/>
                <w:sz w:val="16"/>
                <w:szCs w:val="16"/>
              </w:rPr>
              <w:t>73,333</w:t>
            </w:r>
            <w:r w:rsidRPr="00DF0CE3">
              <w:rPr>
                <w:rFonts w:ascii="Calibri" w:hAnsi="Calibri" w:cs="Calibri"/>
                <w:color w:val="000000"/>
                <w:sz w:val="16"/>
                <w:szCs w:val="16"/>
              </w:rPr>
              <w:t>  </w:t>
            </w:r>
          </w:p>
        </w:tc>
        <w:tc>
          <w:tcPr>
            <w:tcW w:w="900" w:type="dxa"/>
            <w:tcBorders>
              <w:top w:val="nil"/>
              <w:left w:val="nil"/>
              <w:bottom w:val="dotted" w:sz="4" w:space="0" w:color="auto"/>
              <w:right w:val="single" w:sz="8" w:space="0" w:color="auto"/>
            </w:tcBorders>
            <w:shd w:val="clear" w:color="auto" w:fill="auto"/>
            <w:vAlign w:val="center"/>
            <w:hideMark/>
          </w:tcPr>
          <w:p w:rsidR="009B36BA" w:rsidRPr="00DF0CE3" w:rsidP="008854F2" w14:paraId="063957A2" w14:textId="430861B3">
            <w:pPr>
              <w:jc w:val="center"/>
              <w:rPr>
                <w:rFonts w:ascii="Calibri" w:hAnsi="Calibri" w:cs="Calibri"/>
                <w:color w:val="000000"/>
                <w:sz w:val="16"/>
                <w:szCs w:val="16"/>
              </w:rPr>
            </w:pPr>
            <w:r>
              <w:rPr>
                <w:rFonts w:ascii="Calibri" w:hAnsi="Calibri" w:cs="Calibri"/>
                <w:color w:val="000000"/>
                <w:sz w:val="16"/>
                <w:szCs w:val="16"/>
              </w:rPr>
              <w:t>N/A</w:t>
            </w:r>
          </w:p>
        </w:tc>
        <w:tc>
          <w:tcPr>
            <w:tcW w:w="900" w:type="dxa"/>
            <w:tcBorders>
              <w:top w:val="nil"/>
              <w:left w:val="nil"/>
              <w:bottom w:val="dotted" w:sz="4" w:space="0" w:color="auto"/>
              <w:right w:val="dashed" w:sz="8" w:space="0" w:color="auto"/>
            </w:tcBorders>
            <w:shd w:val="clear" w:color="auto" w:fill="auto"/>
            <w:vAlign w:val="center"/>
            <w:hideMark/>
          </w:tcPr>
          <w:p w:rsidR="009B36BA" w:rsidRPr="00DF0CE3" w:rsidP="008854F2" w14:paraId="60E39494" w14:textId="2830EFB1">
            <w:pPr>
              <w:jc w:val="center"/>
              <w:rPr>
                <w:rFonts w:ascii="Calibri" w:hAnsi="Calibri" w:cs="Calibri"/>
                <w:color w:val="000000"/>
                <w:sz w:val="16"/>
                <w:szCs w:val="16"/>
              </w:rPr>
            </w:pPr>
            <w:r>
              <w:rPr>
                <w:rFonts w:ascii="Calibri" w:hAnsi="Calibri" w:cs="Calibri"/>
                <w:color w:val="000000"/>
                <w:sz w:val="16"/>
                <w:szCs w:val="16"/>
              </w:rPr>
              <w:t>73,333</w:t>
            </w:r>
            <w:r w:rsidRPr="00DF0CE3">
              <w:rPr>
                <w:rFonts w:ascii="Calibri" w:hAnsi="Calibri" w:cs="Calibri"/>
                <w:color w:val="000000"/>
                <w:sz w:val="16"/>
                <w:szCs w:val="16"/>
              </w:rPr>
              <w:t>  </w:t>
            </w:r>
          </w:p>
        </w:tc>
        <w:tc>
          <w:tcPr>
            <w:tcW w:w="900" w:type="dxa"/>
            <w:tcBorders>
              <w:top w:val="nil"/>
              <w:left w:val="nil"/>
              <w:bottom w:val="dotted" w:sz="4" w:space="0" w:color="auto"/>
              <w:right w:val="single" w:sz="8" w:space="0" w:color="auto"/>
            </w:tcBorders>
            <w:shd w:val="clear" w:color="auto" w:fill="auto"/>
            <w:vAlign w:val="center"/>
            <w:hideMark/>
          </w:tcPr>
          <w:p w:rsidR="009B36BA" w:rsidRPr="00DF0CE3" w:rsidP="008854F2" w14:paraId="15C7CA7C" w14:textId="4B1C1607">
            <w:pPr>
              <w:jc w:val="center"/>
              <w:rPr>
                <w:rFonts w:ascii="Calibri" w:hAnsi="Calibri" w:cs="Calibri"/>
                <w:color w:val="000000"/>
                <w:sz w:val="16"/>
                <w:szCs w:val="16"/>
              </w:rPr>
            </w:pPr>
            <w:r>
              <w:rPr>
                <w:rFonts w:ascii="Calibri" w:hAnsi="Calibri" w:cs="Calibri"/>
                <w:color w:val="000000"/>
                <w:sz w:val="16"/>
                <w:szCs w:val="16"/>
              </w:rPr>
              <w:t>N/A</w:t>
            </w:r>
          </w:p>
        </w:tc>
        <w:tc>
          <w:tcPr>
            <w:tcW w:w="990" w:type="dxa"/>
            <w:tcBorders>
              <w:top w:val="nil"/>
              <w:left w:val="nil"/>
              <w:bottom w:val="dotted" w:sz="4" w:space="0" w:color="auto"/>
              <w:right w:val="dashed" w:sz="8" w:space="0" w:color="auto"/>
            </w:tcBorders>
            <w:shd w:val="clear" w:color="auto" w:fill="auto"/>
            <w:vAlign w:val="center"/>
            <w:hideMark/>
          </w:tcPr>
          <w:p w:rsidR="009B36BA" w:rsidRPr="00DF0CE3" w:rsidP="008854F2" w14:paraId="2CAFACEC" w14:textId="0BD1A853">
            <w:pPr>
              <w:jc w:val="center"/>
              <w:rPr>
                <w:rFonts w:ascii="Calibri" w:hAnsi="Calibri" w:cs="Calibri"/>
                <w:color w:val="000000"/>
                <w:sz w:val="16"/>
                <w:szCs w:val="16"/>
              </w:rPr>
            </w:pPr>
            <w:r>
              <w:rPr>
                <w:rFonts w:ascii="Calibri" w:hAnsi="Calibri" w:cs="Calibri"/>
                <w:color w:val="000000"/>
                <w:sz w:val="16"/>
                <w:szCs w:val="16"/>
              </w:rPr>
              <w:t>6,111</w:t>
            </w:r>
            <w:r w:rsidRPr="00DF0CE3">
              <w:rPr>
                <w:rFonts w:ascii="Calibri" w:hAnsi="Calibri" w:cs="Calibri"/>
                <w:color w:val="000000"/>
                <w:sz w:val="16"/>
                <w:szCs w:val="16"/>
              </w:rPr>
              <w:t> </w:t>
            </w:r>
          </w:p>
        </w:tc>
        <w:tc>
          <w:tcPr>
            <w:tcW w:w="1080" w:type="dxa"/>
            <w:tcBorders>
              <w:top w:val="nil"/>
              <w:left w:val="nil"/>
              <w:bottom w:val="dotted" w:sz="4" w:space="0" w:color="auto"/>
              <w:right w:val="single" w:sz="8" w:space="0" w:color="auto"/>
            </w:tcBorders>
            <w:shd w:val="clear" w:color="auto" w:fill="auto"/>
            <w:vAlign w:val="center"/>
            <w:hideMark/>
          </w:tcPr>
          <w:p w:rsidR="009B36BA" w:rsidRPr="00DF0CE3" w:rsidP="008854F2" w14:paraId="6A89A436" w14:textId="02B24795">
            <w:pPr>
              <w:jc w:val="center"/>
              <w:rPr>
                <w:rFonts w:ascii="Calibri" w:hAnsi="Calibri" w:cs="Calibri"/>
                <w:color w:val="000000"/>
                <w:sz w:val="16"/>
                <w:szCs w:val="16"/>
              </w:rPr>
            </w:pPr>
            <w:r>
              <w:rPr>
                <w:rFonts w:ascii="Calibri" w:hAnsi="Calibri" w:cs="Calibri"/>
                <w:color w:val="000000"/>
                <w:sz w:val="16"/>
                <w:szCs w:val="16"/>
              </w:rPr>
              <w:t>N/A</w:t>
            </w:r>
            <w:r w:rsidRPr="00DF0CE3">
              <w:rPr>
                <w:rFonts w:ascii="Calibri" w:hAnsi="Calibri" w:cs="Calibri"/>
                <w:color w:val="000000"/>
                <w:sz w:val="16"/>
                <w:szCs w:val="16"/>
              </w:rPr>
              <w:t> </w:t>
            </w:r>
          </w:p>
        </w:tc>
        <w:tc>
          <w:tcPr>
            <w:tcW w:w="2385" w:type="dxa"/>
            <w:tcBorders>
              <w:top w:val="nil"/>
              <w:left w:val="nil"/>
              <w:bottom w:val="dotted" w:sz="4" w:space="0" w:color="auto"/>
              <w:right w:val="single" w:sz="8" w:space="0" w:color="auto"/>
            </w:tcBorders>
            <w:shd w:val="clear" w:color="auto" w:fill="auto"/>
            <w:vAlign w:val="center"/>
            <w:hideMark/>
          </w:tcPr>
          <w:p w:rsidR="009B36BA" w:rsidRPr="00DF0CE3" w:rsidP="003F4B52" w14:paraId="3D6D9A96" w14:textId="2FB71BFC">
            <w:pPr>
              <w:spacing w:line="240" w:lineRule="auto"/>
              <w:rPr>
                <w:rFonts w:ascii="Calibri" w:hAnsi="Calibri" w:cs="Calibri"/>
                <w:color w:val="000000"/>
                <w:sz w:val="16"/>
                <w:szCs w:val="16"/>
              </w:rPr>
            </w:pPr>
            <w:r>
              <w:rPr>
                <w:rFonts w:ascii="Calibri" w:hAnsi="Calibri" w:cs="Calibri"/>
                <w:color w:val="000000"/>
                <w:sz w:val="16"/>
                <w:szCs w:val="16"/>
              </w:rPr>
              <w:t xml:space="preserve">New IC pilot </w:t>
            </w:r>
            <w:r>
              <w:rPr>
                <w:rFonts w:ascii="Calibri" w:hAnsi="Calibri" w:cs="Calibri"/>
                <w:color w:val="000000"/>
                <w:sz w:val="16"/>
                <w:szCs w:val="16"/>
              </w:rPr>
              <w:t>study</w:t>
            </w:r>
          </w:p>
        </w:tc>
      </w:tr>
      <w:tr w14:paraId="587C3FAA" w14:textId="77777777" w:rsidTr="009B36BA">
        <w:tblPrEx>
          <w:tblW w:w="10935" w:type="dxa"/>
          <w:tblInd w:w="-796" w:type="dxa"/>
          <w:tblLook w:val="04A0"/>
        </w:tblPrEx>
        <w:trPr>
          <w:trHeight w:val="465"/>
        </w:trPr>
        <w:tc>
          <w:tcPr>
            <w:tcW w:w="2700" w:type="dxa"/>
            <w:tcBorders>
              <w:top w:val="nil"/>
              <w:left w:val="single" w:sz="8" w:space="0" w:color="auto"/>
              <w:bottom w:val="nil"/>
              <w:right w:val="single" w:sz="8" w:space="0" w:color="auto"/>
            </w:tcBorders>
            <w:shd w:val="clear" w:color="000000" w:fill="BDD6EE"/>
            <w:vAlign w:val="center"/>
            <w:hideMark/>
          </w:tcPr>
          <w:p w:rsidR="00431D7F" w:rsidRPr="00DF0CE3" w:rsidP="00431D7F" w14:paraId="5E4B8FBB"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1080" w:type="dxa"/>
            <w:tcBorders>
              <w:top w:val="nil"/>
              <w:left w:val="nil"/>
              <w:bottom w:val="nil"/>
              <w:right w:val="dashed" w:sz="8" w:space="0" w:color="auto"/>
            </w:tcBorders>
            <w:shd w:val="clear" w:color="000000" w:fill="BDD6EE"/>
            <w:vAlign w:val="center"/>
            <w:hideMark/>
          </w:tcPr>
          <w:p w:rsidR="00431D7F" w:rsidRPr="00DF0CE3" w:rsidP="00431D7F" w14:paraId="13D5D33A" w14:textId="0F598E3B">
            <w:pPr>
              <w:jc w:val="center"/>
              <w:rPr>
                <w:rFonts w:ascii="Calibri" w:hAnsi="Calibri" w:cs="Calibri"/>
                <w:b/>
                <w:bCs/>
                <w:color w:val="000000"/>
                <w:sz w:val="16"/>
                <w:szCs w:val="16"/>
              </w:rPr>
            </w:pPr>
            <w:r>
              <w:rPr>
                <w:rFonts w:ascii="Calibri" w:hAnsi="Calibri" w:cs="Calibri"/>
                <w:b/>
                <w:bCs/>
                <w:color w:val="000000"/>
                <w:sz w:val="16"/>
                <w:szCs w:val="16"/>
              </w:rPr>
              <w:t>183,333</w:t>
            </w:r>
            <w:r w:rsidRPr="00DF0CE3">
              <w:rPr>
                <w:rFonts w:ascii="Calibri" w:hAnsi="Calibri" w:cs="Calibri"/>
                <w:b/>
                <w:bCs/>
                <w:color w:val="000000"/>
                <w:sz w:val="16"/>
                <w:szCs w:val="16"/>
              </w:rPr>
              <w:t> </w:t>
            </w:r>
          </w:p>
        </w:tc>
        <w:tc>
          <w:tcPr>
            <w:tcW w:w="900" w:type="dxa"/>
            <w:tcBorders>
              <w:top w:val="nil"/>
              <w:left w:val="nil"/>
              <w:bottom w:val="nil"/>
              <w:right w:val="single" w:sz="8" w:space="0" w:color="auto"/>
            </w:tcBorders>
            <w:shd w:val="clear" w:color="000000" w:fill="BDD6EE"/>
            <w:vAlign w:val="center"/>
            <w:hideMark/>
          </w:tcPr>
          <w:p w:rsidR="00431D7F" w:rsidRPr="00DF0CE3" w:rsidP="00431D7F" w14:paraId="0D1506D4" w14:textId="093BAB5A">
            <w:pPr>
              <w:jc w:val="center"/>
              <w:rPr>
                <w:rFonts w:ascii="Calibri" w:hAnsi="Calibri" w:cs="Calibri"/>
                <w:b/>
                <w:bCs/>
                <w:color w:val="000000"/>
                <w:sz w:val="16"/>
                <w:szCs w:val="16"/>
              </w:rPr>
            </w:pPr>
            <w:r>
              <w:rPr>
                <w:rFonts w:ascii="Calibri" w:hAnsi="Calibri" w:cs="Calibri"/>
                <w:b/>
                <w:bCs/>
                <w:color w:val="000000"/>
                <w:sz w:val="16"/>
                <w:szCs w:val="16"/>
              </w:rPr>
              <w:t>113,000</w:t>
            </w:r>
            <w:r w:rsidRPr="00DF0CE3">
              <w:rPr>
                <w:rFonts w:ascii="Calibri" w:hAnsi="Calibri" w:cs="Calibri"/>
                <w:b/>
                <w:bCs/>
                <w:color w:val="000000"/>
                <w:sz w:val="16"/>
                <w:szCs w:val="16"/>
              </w:rPr>
              <w:t> </w:t>
            </w:r>
          </w:p>
        </w:tc>
        <w:tc>
          <w:tcPr>
            <w:tcW w:w="900" w:type="dxa"/>
            <w:tcBorders>
              <w:top w:val="nil"/>
              <w:left w:val="nil"/>
              <w:bottom w:val="nil"/>
              <w:right w:val="dashed" w:sz="8" w:space="0" w:color="auto"/>
            </w:tcBorders>
            <w:shd w:val="clear" w:color="000000" w:fill="BDD6EE"/>
            <w:vAlign w:val="center"/>
            <w:hideMark/>
          </w:tcPr>
          <w:p w:rsidR="00431D7F" w:rsidRPr="00DF0CE3" w:rsidP="00431D7F" w14:paraId="7AB3B3AD" w14:textId="670BE2F7">
            <w:pPr>
              <w:jc w:val="center"/>
              <w:rPr>
                <w:rFonts w:ascii="Calibri" w:hAnsi="Calibri" w:cs="Calibri"/>
                <w:b/>
                <w:bCs/>
                <w:color w:val="000000"/>
                <w:sz w:val="16"/>
                <w:szCs w:val="16"/>
              </w:rPr>
            </w:pPr>
            <w:r>
              <w:rPr>
                <w:rFonts w:ascii="Calibri" w:hAnsi="Calibri" w:cs="Calibri"/>
                <w:b/>
                <w:bCs/>
                <w:color w:val="000000"/>
                <w:sz w:val="16"/>
                <w:szCs w:val="16"/>
              </w:rPr>
              <w:t>183,333</w:t>
            </w:r>
            <w:r w:rsidRPr="00DF0CE3">
              <w:rPr>
                <w:rFonts w:ascii="Calibri" w:hAnsi="Calibri" w:cs="Calibri"/>
                <w:b/>
                <w:bCs/>
                <w:color w:val="000000"/>
                <w:sz w:val="16"/>
                <w:szCs w:val="16"/>
              </w:rPr>
              <w:t> </w:t>
            </w:r>
          </w:p>
        </w:tc>
        <w:tc>
          <w:tcPr>
            <w:tcW w:w="900" w:type="dxa"/>
            <w:tcBorders>
              <w:top w:val="nil"/>
              <w:left w:val="nil"/>
              <w:bottom w:val="nil"/>
              <w:right w:val="single" w:sz="8" w:space="0" w:color="auto"/>
            </w:tcBorders>
            <w:shd w:val="clear" w:color="000000" w:fill="BDD6EE"/>
            <w:vAlign w:val="center"/>
            <w:hideMark/>
          </w:tcPr>
          <w:p w:rsidR="00431D7F" w:rsidRPr="00DF0CE3" w:rsidP="00431D7F" w14:paraId="5B00EAAF" w14:textId="30648064">
            <w:pPr>
              <w:jc w:val="center"/>
              <w:rPr>
                <w:rFonts w:ascii="Calibri" w:hAnsi="Calibri" w:cs="Calibri"/>
                <w:b/>
                <w:bCs/>
                <w:color w:val="000000"/>
                <w:sz w:val="16"/>
                <w:szCs w:val="16"/>
              </w:rPr>
            </w:pPr>
            <w:r>
              <w:rPr>
                <w:rFonts w:ascii="Calibri" w:hAnsi="Calibri" w:cs="Calibri"/>
                <w:b/>
                <w:bCs/>
                <w:color w:val="000000"/>
                <w:sz w:val="16"/>
                <w:szCs w:val="16"/>
              </w:rPr>
              <w:t>113,000</w:t>
            </w:r>
            <w:r w:rsidRPr="00DF0CE3">
              <w:rPr>
                <w:rFonts w:ascii="Calibri" w:hAnsi="Calibri" w:cs="Calibri"/>
                <w:b/>
                <w:bCs/>
                <w:color w:val="000000"/>
                <w:sz w:val="16"/>
                <w:szCs w:val="16"/>
              </w:rPr>
              <w:t> </w:t>
            </w:r>
          </w:p>
        </w:tc>
        <w:tc>
          <w:tcPr>
            <w:tcW w:w="990" w:type="dxa"/>
            <w:tcBorders>
              <w:top w:val="nil"/>
              <w:left w:val="nil"/>
              <w:bottom w:val="nil"/>
              <w:right w:val="dashed" w:sz="8" w:space="0" w:color="auto"/>
            </w:tcBorders>
            <w:shd w:val="clear" w:color="000000" w:fill="BDD6EE"/>
            <w:vAlign w:val="center"/>
            <w:hideMark/>
          </w:tcPr>
          <w:p w:rsidR="00431D7F" w:rsidRPr="00DF0CE3" w:rsidP="00431D7F" w14:paraId="4D3818B6" w14:textId="4FBD6914">
            <w:pPr>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15,278</w:t>
            </w:r>
          </w:p>
        </w:tc>
        <w:tc>
          <w:tcPr>
            <w:tcW w:w="1080" w:type="dxa"/>
            <w:tcBorders>
              <w:top w:val="nil"/>
              <w:left w:val="nil"/>
              <w:bottom w:val="nil"/>
              <w:right w:val="single" w:sz="8" w:space="0" w:color="auto"/>
            </w:tcBorders>
            <w:shd w:val="clear" w:color="000000" w:fill="BDD6EE"/>
            <w:vAlign w:val="center"/>
            <w:hideMark/>
          </w:tcPr>
          <w:p w:rsidR="00431D7F" w:rsidRPr="00DF0CE3" w:rsidP="00431D7F" w14:paraId="7C18CF7C" w14:textId="3C2FE9E7">
            <w:pPr>
              <w:jc w:val="center"/>
              <w:rPr>
                <w:rFonts w:ascii="Calibri" w:hAnsi="Calibri" w:cs="Calibri"/>
                <w:b/>
                <w:bCs/>
                <w:color w:val="000000"/>
                <w:sz w:val="16"/>
                <w:szCs w:val="16"/>
              </w:rPr>
            </w:pPr>
            <w:r>
              <w:rPr>
                <w:rFonts w:ascii="Calibri" w:hAnsi="Calibri" w:cs="Calibri"/>
                <w:b/>
                <w:bCs/>
                <w:color w:val="000000"/>
                <w:sz w:val="16"/>
                <w:szCs w:val="16"/>
              </w:rPr>
              <w:t>9,417</w:t>
            </w:r>
            <w:r w:rsidRPr="00DF0CE3">
              <w:rPr>
                <w:rFonts w:ascii="Calibri" w:hAnsi="Calibri" w:cs="Calibri"/>
                <w:b/>
                <w:bCs/>
                <w:color w:val="000000"/>
                <w:sz w:val="16"/>
                <w:szCs w:val="16"/>
              </w:rPr>
              <w:t> </w:t>
            </w:r>
          </w:p>
        </w:tc>
        <w:tc>
          <w:tcPr>
            <w:tcW w:w="2385" w:type="dxa"/>
            <w:tcBorders>
              <w:top w:val="nil"/>
              <w:left w:val="nil"/>
              <w:bottom w:val="nil"/>
              <w:right w:val="single" w:sz="8" w:space="0" w:color="auto"/>
            </w:tcBorders>
            <w:shd w:val="clear" w:color="000000" w:fill="000000"/>
            <w:vAlign w:val="center"/>
            <w:hideMark/>
          </w:tcPr>
          <w:p w:rsidR="00431D7F" w:rsidRPr="00DF0CE3" w:rsidP="00431D7F" w14:paraId="5EDCD24A"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14:paraId="69219E81" w14:textId="77777777" w:rsidTr="009B36BA">
        <w:tblPrEx>
          <w:tblW w:w="10935" w:type="dxa"/>
          <w:tblInd w:w="-796" w:type="dxa"/>
          <w:tblLook w:val="04A0"/>
        </w:tblPrEx>
        <w:trPr>
          <w:trHeight w:val="315"/>
        </w:trPr>
        <w:tc>
          <w:tcPr>
            <w:tcW w:w="2700" w:type="dxa"/>
            <w:tcBorders>
              <w:top w:val="single" w:sz="8" w:space="0" w:color="auto"/>
              <w:left w:val="single" w:sz="8" w:space="0" w:color="auto"/>
              <w:bottom w:val="single" w:sz="8" w:space="0" w:color="auto"/>
              <w:right w:val="nil"/>
            </w:tcBorders>
            <w:shd w:val="clear" w:color="000000" w:fill="FCE4D6"/>
            <w:noWrap/>
            <w:vAlign w:val="bottom"/>
            <w:hideMark/>
          </w:tcPr>
          <w:p w:rsidR="00431D7F" w:rsidRPr="00DF0CE3" w:rsidP="00431D7F" w14:paraId="31A35458"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98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431D7F" w:rsidRPr="00DF0CE3" w:rsidP="00431D7F" w14:paraId="61E789E9" w14:textId="66103751">
            <w:pPr>
              <w:jc w:val="center"/>
              <w:rPr>
                <w:rFonts w:ascii="Calibri" w:hAnsi="Calibri" w:cs="Calibri"/>
                <w:color w:val="000000"/>
              </w:rPr>
            </w:pPr>
            <w:r>
              <w:rPr>
                <w:rFonts w:ascii="Calibri" w:hAnsi="Calibri" w:cs="Calibri"/>
                <w:color w:val="000000"/>
              </w:rPr>
              <w:t>70,333</w:t>
            </w:r>
            <w:r w:rsidRPr="00DF0CE3">
              <w:rPr>
                <w:rFonts w:ascii="Calibri" w:hAnsi="Calibri" w:cs="Calibri"/>
                <w:color w:val="000000"/>
              </w:rPr>
              <w:t> </w:t>
            </w:r>
          </w:p>
        </w:tc>
        <w:tc>
          <w:tcPr>
            <w:tcW w:w="180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431D7F" w:rsidRPr="00DF0CE3" w:rsidP="00431D7F" w14:paraId="0AA29699" w14:textId="5180556D">
            <w:pPr>
              <w:jc w:val="center"/>
              <w:rPr>
                <w:rFonts w:ascii="Calibri" w:hAnsi="Calibri" w:cs="Calibri"/>
                <w:color w:val="000000"/>
              </w:rPr>
            </w:pPr>
            <w:r>
              <w:rPr>
                <w:rFonts w:ascii="Calibri" w:hAnsi="Calibri" w:cs="Calibri"/>
                <w:color w:val="000000"/>
              </w:rPr>
              <w:t>70,333</w:t>
            </w:r>
            <w:r w:rsidRPr="00DF0CE3">
              <w:rPr>
                <w:rFonts w:ascii="Calibri" w:hAnsi="Calibri" w:cs="Calibri"/>
                <w:color w:val="000000"/>
              </w:rPr>
              <w:t> </w:t>
            </w:r>
          </w:p>
        </w:tc>
        <w:tc>
          <w:tcPr>
            <w:tcW w:w="207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431D7F" w:rsidRPr="00DF0CE3" w:rsidP="00431D7F" w14:paraId="1A783517" w14:textId="01A71439">
            <w:pPr>
              <w:jc w:val="center"/>
              <w:rPr>
                <w:rFonts w:ascii="Calibri" w:hAnsi="Calibri" w:cs="Calibri"/>
                <w:color w:val="000000"/>
              </w:rPr>
            </w:pPr>
            <w:r>
              <w:rPr>
                <w:rFonts w:ascii="Calibri" w:hAnsi="Calibri" w:cs="Calibri"/>
                <w:color w:val="000000"/>
              </w:rPr>
              <w:t>5,861</w:t>
            </w:r>
            <w:r w:rsidRPr="00DF0CE3">
              <w:rPr>
                <w:rFonts w:ascii="Calibri" w:hAnsi="Calibri" w:cs="Calibri"/>
                <w:color w:val="000000"/>
              </w:rPr>
              <w:t> </w:t>
            </w:r>
          </w:p>
        </w:tc>
        <w:tc>
          <w:tcPr>
            <w:tcW w:w="2385" w:type="dxa"/>
            <w:tcBorders>
              <w:top w:val="single" w:sz="8" w:space="0" w:color="auto"/>
              <w:left w:val="nil"/>
              <w:bottom w:val="single" w:sz="8" w:space="0" w:color="auto"/>
              <w:right w:val="single" w:sz="8" w:space="0" w:color="auto"/>
            </w:tcBorders>
            <w:shd w:val="clear" w:color="000000" w:fill="000000"/>
            <w:noWrap/>
            <w:vAlign w:val="bottom"/>
            <w:hideMark/>
          </w:tcPr>
          <w:p w:rsidR="00431D7F" w:rsidRPr="00DF0CE3" w:rsidP="00431D7F" w14:paraId="10996E1A" w14:textId="77777777">
            <w:pPr>
              <w:rPr>
                <w:rFonts w:ascii="Calibri" w:hAnsi="Calibri" w:cs="Calibri"/>
                <w:color w:val="000000"/>
              </w:rPr>
            </w:pPr>
            <w:r w:rsidRPr="00DF0CE3">
              <w:rPr>
                <w:rFonts w:ascii="Calibri" w:hAnsi="Calibri" w:cs="Calibri"/>
                <w:color w:val="000000"/>
              </w:rPr>
              <w:t> </w:t>
            </w:r>
          </w:p>
        </w:tc>
      </w:tr>
    </w:tbl>
    <w:p w:rsidR="009B36BA" w:rsidP="00502721" w14:paraId="3A76DD21" w14:textId="32296123">
      <w:pPr>
        <w:spacing w:line="240" w:lineRule="auto"/>
      </w:pPr>
    </w:p>
    <w:tbl>
      <w:tblPr>
        <w:tblW w:w="10530" w:type="dxa"/>
        <w:tblInd w:w="-640" w:type="dxa"/>
        <w:tblLook w:val="04A0"/>
      </w:tblPr>
      <w:tblGrid>
        <w:gridCol w:w="2790"/>
        <w:gridCol w:w="908"/>
        <w:gridCol w:w="982"/>
        <w:gridCol w:w="1080"/>
        <w:gridCol w:w="1170"/>
        <w:gridCol w:w="3600"/>
      </w:tblGrid>
      <w:tr w14:paraId="6F6C4CB7" w14:textId="77777777" w:rsidTr="008854F2">
        <w:tblPrEx>
          <w:tblW w:w="10530" w:type="dxa"/>
          <w:tblInd w:w="-640" w:type="dxa"/>
          <w:tblLook w:val="04A0"/>
        </w:tblPrEx>
        <w:trPr>
          <w:trHeight w:val="315"/>
        </w:trPr>
        <w:tc>
          <w:tcPr>
            <w:tcW w:w="279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9B36BA" w:rsidRPr="00DF0CE3" w:rsidP="008854F2" w14:paraId="0E7BB4C0"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9B36BA" w:rsidRPr="00DF0CE3" w:rsidP="008854F2" w14:paraId="3AD1DCDA"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Labor Costs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9B36BA" w:rsidRPr="00DF0CE3" w:rsidP="008854F2" w14:paraId="20126C64"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Miscellaneous Costs</w:t>
            </w:r>
          </w:p>
        </w:tc>
        <w:tc>
          <w:tcPr>
            <w:tcW w:w="36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9B36BA" w:rsidRPr="00DF0CE3" w:rsidP="008854F2" w14:paraId="7DD4FFF5"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14:paraId="019F5BBC" w14:textId="77777777" w:rsidTr="003F4B52">
        <w:tblPrEx>
          <w:tblW w:w="10530" w:type="dxa"/>
          <w:tblInd w:w="-640" w:type="dxa"/>
          <w:tblLook w:val="04A0"/>
        </w:tblPrEx>
        <w:trPr>
          <w:trHeight w:val="690"/>
        </w:trPr>
        <w:tc>
          <w:tcPr>
            <w:tcW w:w="2790" w:type="dxa"/>
            <w:vMerge/>
            <w:tcBorders>
              <w:top w:val="single" w:sz="8" w:space="0" w:color="auto"/>
              <w:left w:val="single" w:sz="8" w:space="0" w:color="auto"/>
              <w:bottom w:val="single" w:sz="8" w:space="0" w:color="000000"/>
              <w:right w:val="single" w:sz="8" w:space="0" w:color="auto"/>
            </w:tcBorders>
            <w:vAlign w:val="center"/>
            <w:hideMark/>
          </w:tcPr>
          <w:p w:rsidR="009B36BA" w:rsidRPr="00DF0CE3" w:rsidP="008854F2" w14:paraId="28C80C48" w14:textId="77777777">
            <w:pPr>
              <w:rPr>
                <w:rFonts w:ascii="Calibri" w:hAnsi="Calibri" w:cs="Calibri"/>
                <w:b/>
                <w:bCs/>
                <w:color w:val="000000"/>
                <w:sz w:val="16"/>
                <w:szCs w:val="16"/>
              </w:rPr>
            </w:pPr>
          </w:p>
        </w:tc>
        <w:tc>
          <w:tcPr>
            <w:tcW w:w="908" w:type="dxa"/>
            <w:tcBorders>
              <w:top w:val="nil"/>
              <w:left w:val="nil"/>
              <w:bottom w:val="single" w:sz="8" w:space="0" w:color="auto"/>
              <w:right w:val="dashed" w:sz="8" w:space="0" w:color="auto"/>
            </w:tcBorders>
            <w:shd w:val="clear" w:color="000000" w:fill="FBE4D5"/>
            <w:vAlign w:val="center"/>
            <w:hideMark/>
          </w:tcPr>
          <w:p w:rsidR="009B36BA" w:rsidRPr="00DF0CE3" w:rsidP="008854F2" w14:paraId="1D8BED1E" w14:textId="77777777">
            <w:pPr>
              <w:jc w:val="center"/>
              <w:rPr>
                <w:rFonts w:ascii="Calibri" w:hAnsi="Calibri" w:cs="Calibri"/>
                <w:color w:val="000000"/>
                <w:sz w:val="16"/>
                <w:szCs w:val="16"/>
              </w:rPr>
            </w:pPr>
            <w:r w:rsidRPr="00DF0CE3">
              <w:rPr>
                <w:rFonts w:ascii="Calibri" w:hAnsi="Calibri" w:cs="Calibri"/>
                <w:color w:val="000000"/>
                <w:sz w:val="16"/>
                <w:szCs w:val="16"/>
              </w:rPr>
              <w:t>Current</w:t>
            </w:r>
          </w:p>
        </w:tc>
        <w:tc>
          <w:tcPr>
            <w:tcW w:w="982" w:type="dxa"/>
            <w:tcBorders>
              <w:top w:val="nil"/>
              <w:left w:val="nil"/>
              <w:bottom w:val="single" w:sz="8" w:space="0" w:color="auto"/>
              <w:right w:val="single" w:sz="8" w:space="0" w:color="auto"/>
            </w:tcBorders>
            <w:shd w:val="clear" w:color="000000" w:fill="FBE4D5"/>
            <w:vAlign w:val="center"/>
            <w:hideMark/>
          </w:tcPr>
          <w:p w:rsidR="009B36BA" w:rsidRPr="00DF0CE3" w:rsidP="008854F2" w14:paraId="1C144BE7" w14:textId="77777777">
            <w:pPr>
              <w:jc w:val="center"/>
              <w:rPr>
                <w:rFonts w:ascii="Calibri" w:hAnsi="Calibri" w:cs="Calibri"/>
                <w:color w:val="000000"/>
                <w:sz w:val="16"/>
                <w:szCs w:val="16"/>
              </w:rPr>
            </w:pPr>
            <w:r w:rsidRPr="00DF0CE3">
              <w:rPr>
                <w:rFonts w:ascii="Calibri" w:hAnsi="Calibri" w:cs="Calibri"/>
                <w:color w:val="000000"/>
                <w:sz w:val="16"/>
                <w:szCs w:val="16"/>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9B36BA" w:rsidRPr="00DF0CE3" w:rsidP="008854F2" w14:paraId="51B092A4" w14:textId="77777777">
            <w:pPr>
              <w:jc w:val="center"/>
              <w:rPr>
                <w:rFonts w:ascii="Calibri" w:hAnsi="Calibri" w:cs="Calibri"/>
                <w:color w:val="000000"/>
                <w:sz w:val="16"/>
                <w:szCs w:val="16"/>
              </w:rPr>
            </w:pPr>
            <w:r w:rsidRPr="00DF0CE3">
              <w:rPr>
                <w:rFonts w:ascii="Calibri" w:hAnsi="Calibri" w:cs="Calibri"/>
                <w:color w:val="000000"/>
                <w:sz w:val="16"/>
                <w:szCs w:val="16"/>
              </w:rPr>
              <w:t>Current</w:t>
            </w:r>
          </w:p>
        </w:tc>
        <w:tc>
          <w:tcPr>
            <w:tcW w:w="1170" w:type="dxa"/>
            <w:tcBorders>
              <w:top w:val="nil"/>
              <w:left w:val="nil"/>
              <w:bottom w:val="single" w:sz="8" w:space="0" w:color="auto"/>
              <w:right w:val="single" w:sz="8" w:space="0" w:color="auto"/>
            </w:tcBorders>
            <w:shd w:val="clear" w:color="000000" w:fill="FBE4D5"/>
            <w:vAlign w:val="center"/>
            <w:hideMark/>
          </w:tcPr>
          <w:p w:rsidR="009B36BA" w:rsidRPr="00DF0CE3" w:rsidP="008854F2" w14:paraId="7DF6807B" w14:textId="77777777">
            <w:pPr>
              <w:jc w:val="center"/>
              <w:rPr>
                <w:rFonts w:ascii="Calibri" w:hAnsi="Calibri" w:cs="Calibri"/>
                <w:color w:val="000000"/>
                <w:sz w:val="16"/>
                <w:szCs w:val="16"/>
              </w:rPr>
            </w:pPr>
            <w:r w:rsidRPr="00DF0CE3">
              <w:rPr>
                <w:rFonts w:ascii="Calibri" w:hAnsi="Calibri" w:cs="Calibri"/>
                <w:color w:val="000000"/>
                <w:sz w:val="16"/>
                <w:szCs w:val="16"/>
              </w:rPr>
              <w:t>Previous</w:t>
            </w:r>
          </w:p>
        </w:tc>
        <w:tc>
          <w:tcPr>
            <w:tcW w:w="3600" w:type="dxa"/>
            <w:vMerge/>
            <w:tcBorders>
              <w:top w:val="single" w:sz="8" w:space="0" w:color="auto"/>
              <w:left w:val="single" w:sz="8" w:space="0" w:color="auto"/>
              <w:bottom w:val="single" w:sz="8" w:space="0" w:color="000000"/>
              <w:right w:val="single" w:sz="8" w:space="0" w:color="auto"/>
            </w:tcBorders>
            <w:vAlign w:val="center"/>
            <w:hideMark/>
          </w:tcPr>
          <w:p w:rsidR="009B36BA" w:rsidRPr="00DF0CE3" w:rsidP="008854F2" w14:paraId="74ABE5E4" w14:textId="77777777">
            <w:pPr>
              <w:rPr>
                <w:rFonts w:ascii="Calibri" w:hAnsi="Calibri" w:cs="Calibri"/>
                <w:b/>
                <w:bCs/>
                <w:color w:val="000000"/>
                <w:sz w:val="16"/>
                <w:szCs w:val="16"/>
              </w:rPr>
            </w:pPr>
          </w:p>
        </w:tc>
      </w:tr>
      <w:tr w14:paraId="28A65FDF" w14:textId="77777777" w:rsidTr="00994620">
        <w:tblPrEx>
          <w:tblW w:w="10530" w:type="dxa"/>
          <w:tblInd w:w="-640" w:type="dxa"/>
          <w:tblLook w:val="04A0"/>
        </w:tblPrEx>
        <w:trPr>
          <w:trHeight w:val="315"/>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431D7F" w:rsidRPr="00DF0CE3" w:rsidP="00431D7F" w14:paraId="598EF12B" w14:textId="7E556A52">
            <w:pPr>
              <w:rPr>
                <w:rFonts w:ascii="Calibri" w:hAnsi="Calibri" w:cs="Calibri"/>
                <w:color w:val="000000"/>
                <w:sz w:val="16"/>
                <w:szCs w:val="16"/>
              </w:rPr>
            </w:pPr>
            <w:r w:rsidRPr="00DF0CE3">
              <w:rPr>
                <w:rFonts w:ascii="Calibri" w:hAnsi="Calibri" w:cs="Calibri"/>
                <w:color w:val="000000"/>
                <w:sz w:val="16"/>
                <w:szCs w:val="16"/>
              </w:rPr>
              <w:t> </w:t>
            </w:r>
            <w:r w:rsidRPr="008854F2">
              <w:rPr>
                <w:rFonts w:ascii="Calibri" w:hAnsi="Calibri" w:cs="Calibri"/>
                <w:color w:val="000000"/>
                <w:sz w:val="16"/>
                <w:szCs w:val="16"/>
              </w:rPr>
              <w:t xml:space="preserve">Weather </w:t>
            </w:r>
            <w:r w:rsidRPr="008854F2">
              <w:rPr>
                <w:rFonts w:ascii="Calibri" w:hAnsi="Calibri" w:cs="Calibri"/>
                <w:color w:val="000000"/>
                <w:sz w:val="16"/>
                <w:szCs w:val="16"/>
              </w:rPr>
              <w:t>and Outdoor Activity Survey</w:t>
            </w:r>
          </w:p>
        </w:tc>
        <w:tc>
          <w:tcPr>
            <w:tcW w:w="908" w:type="dxa"/>
            <w:tcBorders>
              <w:top w:val="nil"/>
              <w:left w:val="nil"/>
              <w:bottom w:val="dotted" w:sz="4" w:space="0" w:color="auto"/>
              <w:right w:val="dashed" w:sz="8" w:space="0" w:color="auto"/>
            </w:tcBorders>
            <w:shd w:val="clear" w:color="auto" w:fill="auto"/>
            <w:vAlign w:val="bottom"/>
            <w:hideMark/>
          </w:tcPr>
          <w:p w:rsidR="00431D7F" w:rsidRPr="00DF0CE3" w:rsidP="00431D7F" w14:paraId="5BC6EF77" w14:textId="3DD01CBF">
            <w:pPr>
              <w:jc w:val="center"/>
              <w:rPr>
                <w:rFonts w:ascii="Calibri" w:hAnsi="Calibri" w:cs="Calibri"/>
                <w:color w:val="000000"/>
                <w:sz w:val="16"/>
                <w:szCs w:val="16"/>
              </w:rPr>
            </w:pPr>
            <w:r>
              <w:rPr>
                <w:rFonts w:ascii="Calibri" w:hAnsi="Calibri" w:cs="Calibri"/>
                <w:color w:val="000000"/>
                <w:sz w:val="16"/>
                <w:szCs w:val="16"/>
              </w:rPr>
              <w:t>264,743</w:t>
            </w:r>
            <w:r w:rsidRPr="00D64DF9">
              <w:rPr>
                <w:rFonts w:ascii="Calibri" w:hAnsi="Calibri" w:cs="Calibri"/>
                <w:color w:val="000000"/>
                <w:sz w:val="16"/>
                <w:szCs w:val="16"/>
              </w:rPr>
              <w:t> </w:t>
            </w:r>
          </w:p>
        </w:tc>
        <w:tc>
          <w:tcPr>
            <w:tcW w:w="982" w:type="dxa"/>
            <w:tcBorders>
              <w:top w:val="nil"/>
              <w:left w:val="nil"/>
              <w:bottom w:val="dotted" w:sz="4" w:space="0" w:color="auto"/>
              <w:right w:val="single" w:sz="8" w:space="0" w:color="auto"/>
            </w:tcBorders>
            <w:shd w:val="clear" w:color="auto" w:fill="auto"/>
            <w:vAlign w:val="center"/>
            <w:hideMark/>
          </w:tcPr>
          <w:p w:rsidR="00431D7F" w:rsidRPr="00DF0CE3" w:rsidP="00431D7F" w14:paraId="79DD7C4C" w14:textId="4535DF9A">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231,192</w:t>
            </w:r>
          </w:p>
        </w:tc>
        <w:tc>
          <w:tcPr>
            <w:tcW w:w="1080" w:type="dxa"/>
            <w:tcBorders>
              <w:top w:val="nil"/>
              <w:left w:val="nil"/>
              <w:bottom w:val="dotted" w:sz="4" w:space="0" w:color="auto"/>
              <w:right w:val="dashed" w:sz="8" w:space="0" w:color="auto"/>
            </w:tcBorders>
            <w:shd w:val="clear" w:color="auto" w:fill="auto"/>
            <w:vAlign w:val="center"/>
            <w:hideMark/>
          </w:tcPr>
          <w:p w:rsidR="00431D7F" w:rsidRPr="00DF0CE3" w:rsidP="00431D7F" w14:paraId="40F6682B" w14:textId="26B6B361">
            <w:pPr>
              <w:jc w:val="center"/>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hideMark/>
          </w:tcPr>
          <w:p w:rsidR="00431D7F" w:rsidRPr="00DF0CE3" w:rsidP="00431D7F" w14:paraId="48071D80" w14:textId="019E980C">
            <w:pPr>
              <w:jc w:val="center"/>
              <w:rPr>
                <w:rFonts w:ascii="Calibri" w:hAnsi="Calibri" w:cs="Calibri"/>
                <w:color w:val="000000"/>
                <w:sz w:val="16"/>
                <w:szCs w:val="16"/>
              </w:rPr>
            </w:pPr>
            <w:r>
              <w:rPr>
                <w:rFonts w:ascii="Calibri" w:hAnsi="Calibri" w:cs="Calibri"/>
                <w:color w:val="000000"/>
                <w:sz w:val="16"/>
                <w:szCs w:val="16"/>
              </w:rPr>
              <w:t>0</w:t>
            </w:r>
          </w:p>
        </w:tc>
        <w:tc>
          <w:tcPr>
            <w:tcW w:w="3600" w:type="dxa"/>
            <w:tcBorders>
              <w:top w:val="nil"/>
              <w:left w:val="nil"/>
              <w:bottom w:val="dotted" w:sz="4" w:space="0" w:color="auto"/>
              <w:right w:val="single" w:sz="8" w:space="0" w:color="auto"/>
            </w:tcBorders>
            <w:shd w:val="clear" w:color="auto" w:fill="auto"/>
            <w:vAlign w:val="center"/>
            <w:hideMark/>
          </w:tcPr>
          <w:p w:rsidR="00431D7F" w:rsidRPr="00DF0CE3" w:rsidP="00431D7F" w14:paraId="54039635" w14:textId="63927856">
            <w:pP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Increased labor costs</w:t>
            </w:r>
          </w:p>
        </w:tc>
      </w:tr>
      <w:tr w14:paraId="06BFED00" w14:textId="77777777" w:rsidTr="00994620">
        <w:tblPrEx>
          <w:tblW w:w="10530" w:type="dxa"/>
          <w:tblInd w:w="-640" w:type="dxa"/>
          <w:tblLook w:val="04A0"/>
        </w:tblPrEx>
        <w:trPr>
          <w:trHeight w:val="315"/>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431D7F" w:rsidRPr="00DF0CE3" w:rsidP="00431D7F" w14:paraId="11B8C814" w14:textId="733D9AA4">
            <w:pPr>
              <w:rPr>
                <w:rFonts w:ascii="Calibri" w:hAnsi="Calibri" w:cs="Calibri"/>
                <w:color w:val="000000"/>
                <w:sz w:val="16"/>
                <w:szCs w:val="16"/>
              </w:rPr>
            </w:pPr>
            <w:r w:rsidRPr="00DF0CE3">
              <w:rPr>
                <w:rFonts w:ascii="Calibri" w:hAnsi="Calibri" w:cs="Calibri"/>
                <w:color w:val="000000"/>
                <w:sz w:val="16"/>
                <w:szCs w:val="16"/>
              </w:rPr>
              <w:t> </w:t>
            </w:r>
            <w:r w:rsidRPr="008854F2">
              <w:rPr>
                <w:rFonts w:ascii="Calibri" w:hAnsi="Calibri" w:cs="Calibri"/>
                <w:color w:val="000000"/>
                <w:sz w:val="16"/>
                <w:szCs w:val="16"/>
              </w:rPr>
              <w:t>Reporting Sensitivity Experiment</w:t>
            </w:r>
          </w:p>
        </w:tc>
        <w:tc>
          <w:tcPr>
            <w:tcW w:w="908" w:type="dxa"/>
            <w:tcBorders>
              <w:top w:val="nil"/>
              <w:left w:val="nil"/>
              <w:bottom w:val="dotted" w:sz="4" w:space="0" w:color="auto"/>
              <w:right w:val="dashed" w:sz="8" w:space="0" w:color="auto"/>
            </w:tcBorders>
            <w:shd w:val="clear" w:color="auto" w:fill="auto"/>
            <w:vAlign w:val="bottom"/>
            <w:hideMark/>
          </w:tcPr>
          <w:p w:rsidR="00431D7F" w:rsidRPr="00DF0CE3" w:rsidP="00431D7F" w14:paraId="78E0677A" w14:textId="7F62B3E5">
            <w:pPr>
              <w:jc w:val="center"/>
              <w:rPr>
                <w:rFonts w:ascii="Calibri" w:hAnsi="Calibri" w:cs="Calibri"/>
                <w:color w:val="000000"/>
                <w:sz w:val="16"/>
                <w:szCs w:val="16"/>
              </w:rPr>
            </w:pPr>
            <w:r>
              <w:rPr>
                <w:rFonts w:ascii="Calibri" w:hAnsi="Calibri" w:cs="Calibri"/>
                <w:color w:val="000000"/>
                <w:sz w:val="16"/>
                <w:szCs w:val="16"/>
              </w:rPr>
              <w:t>N/A</w:t>
            </w:r>
          </w:p>
        </w:tc>
        <w:tc>
          <w:tcPr>
            <w:tcW w:w="982" w:type="dxa"/>
            <w:tcBorders>
              <w:top w:val="nil"/>
              <w:left w:val="nil"/>
              <w:bottom w:val="dotted" w:sz="4" w:space="0" w:color="auto"/>
              <w:right w:val="single" w:sz="8" w:space="0" w:color="auto"/>
            </w:tcBorders>
            <w:shd w:val="clear" w:color="auto" w:fill="auto"/>
            <w:vAlign w:val="center"/>
            <w:hideMark/>
          </w:tcPr>
          <w:p w:rsidR="00431D7F" w:rsidRPr="00DF0CE3" w:rsidP="00431D7F" w14:paraId="53EEA6B6" w14:textId="2EAA7CD4">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6,305</w:t>
            </w:r>
          </w:p>
        </w:tc>
        <w:tc>
          <w:tcPr>
            <w:tcW w:w="1080" w:type="dxa"/>
            <w:tcBorders>
              <w:top w:val="nil"/>
              <w:left w:val="nil"/>
              <w:bottom w:val="dotted" w:sz="4" w:space="0" w:color="auto"/>
              <w:right w:val="dashed" w:sz="8" w:space="0" w:color="auto"/>
            </w:tcBorders>
            <w:shd w:val="clear" w:color="auto" w:fill="auto"/>
            <w:vAlign w:val="center"/>
            <w:hideMark/>
          </w:tcPr>
          <w:p w:rsidR="00431D7F" w:rsidRPr="00DF0CE3" w:rsidP="00431D7F" w14:paraId="057E6378" w14:textId="4228C111">
            <w:pPr>
              <w:jc w:val="center"/>
              <w:rPr>
                <w:rFonts w:ascii="Calibri" w:hAnsi="Calibri" w:cs="Calibri"/>
                <w:color w:val="000000"/>
                <w:sz w:val="16"/>
                <w:szCs w:val="16"/>
              </w:rPr>
            </w:pPr>
            <w:r>
              <w:rPr>
                <w:rFonts w:ascii="Calibri" w:hAnsi="Calibri" w:cs="Calibri"/>
                <w:color w:val="000000"/>
                <w:sz w:val="16"/>
                <w:szCs w:val="16"/>
              </w:rPr>
              <w:t>N/A</w:t>
            </w:r>
          </w:p>
        </w:tc>
        <w:tc>
          <w:tcPr>
            <w:tcW w:w="1170" w:type="dxa"/>
            <w:tcBorders>
              <w:top w:val="nil"/>
              <w:left w:val="nil"/>
              <w:bottom w:val="dotted" w:sz="4" w:space="0" w:color="auto"/>
              <w:right w:val="single" w:sz="8" w:space="0" w:color="auto"/>
            </w:tcBorders>
            <w:shd w:val="clear" w:color="auto" w:fill="auto"/>
            <w:vAlign w:val="center"/>
            <w:hideMark/>
          </w:tcPr>
          <w:p w:rsidR="00431D7F" w:rsidRPr="00DF0CE3" w:rsidP="00431D7F" w14:paraId="5CBAB3C8" w14:textId="1B57FA4F">
            <w:pPr>
              <w:jc w:val="center"/>
              <w:rPr>
                <w:rFonts w:ascii="Calibri" w:hAnsi="Calibri" w:cs="Calibri"/>
                <w:color w:val="000000"/>
                <w:sz w:val="16"/>
                <w:szCs w:val="16"/>
              </w:rPr>
            </w:pPr>
            <w:r>
              <w:rPr>
                <w:rFonts w:ascii="Calibri" w:hAnsi="Calibri" w:cs="Calibri"/>
                <w:color w:val="000000"/>
                <w:sz w:val="16"/>
                <w:szCs w:val="16"/>
              </w:rPr>
              <w:t>0</w:t>
            </w:r>
          </w:p>
        </w:tc>
        <w:tc>
          <w:tcPr>
            <w:tcW w:w="3600" w:type="dxa"/>
            <w:tcBorders>
              <w:top w:val="nil"/>
              <w:left w:val="nil"/>
              <w:bottom w:val="dotted" w:sz="4" w:space="0" w:color="auto"/>
              <w:right w:val="single" w:sz="8" w:space="0" w:color="auto"/>
            </w:tcBorders>
            <w:shd w:val="clear" w:color="auto" w:fill="auto"/>
            <w:vAlign w:val="center"/>
            <w:hideMark/>
          </w:tcPr>
          <w:p w:rsidR="00431D7F" w:rsidRPr="00DF0CE3" w:rsidP="00431D7F" w14:paraId="018FDA8C" w14:textId="3E4DA7AD">
            <w:pP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IC being removed</w:t>
            </w:r>
          </w:p>
        </w:tc>
      </w:tr>
      <w:tr w14:paraId="3CB5998D" w14:textId="77777777" w:rsidTr="003F4B52">
        <w:tblPrEx>
          <w:tblW w:w="10530" w:type="dxa"/>
          <w:tblInd w:w="-640" w:type="dxa"/>
          <w:tblLook w:val="04A0"/>
        </w:tblPrEx>
        <w:trPr>
          <w:trHeight w:val="315"/>
        </w:trPr>
        <w:tc>
          <w:tcPr>
            <w:tcW w:w="2790" w:type="dxa"/>
            <w:tcBorders>
              <w:top w:val="nil"/>
              <w:left w:val="single" w:sz="8" w:space="0" w:color="auto"/>
              <w:bottom w:val="single" w:sz="8" w:space="0" w:color="auto"/>
              <w:right w:val="single" w:sz="8" w:space="0" w:color="auto"/>
            </w:tcBorders>
            <w:shd w:val="clear" w:color="auto" w:fill="auto"/>
            <w:vAlign w:val="center"/>
            <w:hideMark/>
          </w:tcPr>
          <w:p w:rsidR="00431D7F" w:rsidRPr="00DF0CE3" w:rsidP="00431D7F" w14:paraId="0BF3DF10" w14:textId="5A810D00">
            <w:pPr>
              <w:rPr>
                <w:rFonts w:ascii="Calibri" w:hAnsi="Calibri" w:cs="Calibri"/>
                <w:color w:val="000000"/>
                <w:sz w:val="16"/>
                <w:szCs w:val="16"/>
              </w:rPr>
            </w:pPr>
            <w:r w:rsidRPr="00DF0CE3">
              <w:rPr>
                <w:rFonts w:ascii="Calibri" w:hAnsi="Calibri" w:cs="Calibri"/>
                <w:color w:val="000000"/>
                <w:sz w:val="16"/>
                <w:szCs w:val="16"/>
              </w:rPr>
              <w:t> </w:t>
            </w:r>
            <w:r w:rsidRPr="003F4B52">
              <w:rPr>
                <w:rFonts w:ascii="Calibri" w:hAnsi="Calibri" w:cs="Calibri"/>
                <w:color w:val="000000"/>
                <w:sz w:val="16"/>
                <w:szCs w:val="16"/>
              </w:rPr>
              <w:t> One-Month Wave Study</w:t>
            </w:r>
          </w:p>
        </w:tc>
        <w:tc>
          <w:tcPr>
            <w:tcW w:w="908" w:type="dxa"/>
            <w:tcBorders>
              <w:top w:val="nil"/>
              <w:left w:val="nil"/>
              <w:bottom w:val="dotted" w:sz="4" w:space="0" w:color="auto"/>
              <w:right w:val="dashed" w:sz="8" w:space="0" w:color="auto"/>
            </w:tcBorders>
            <w:shd w:val="clear" w:color="auto" w:fill="auto"/>
            <w:vAlign w:val="center"/>
            <w:hideMark/>
          </w:tcPr>
          <w:p w:rsidR="00431D7F" w:rsidRPr="00DF0CE3" w:rsidP="00431D7F" w14:paraId="25C1216C" w14:textId="5CACEAE2">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176,486</w:t>
            </w:r>
            <w:r w:rsidRPr="00D64DF9">
              <w:rPr>
                <w:rFonts w:ascii="Calibri" w:hAnsi="Calibri" w:cs="Calibri"/>
                <w:color w:val="000000"/>
                <w:sz w:val="16"/>
                <w:szCs w:val="16"/>
              </w:rPr>
              <w:t> </w:t>
            </w:r>
          </w:p>
        </w:tc>
        <w:tc>
          <w:tcPr>
            <w:tcW w:w="982" w:type="dxa"/>
            <w:tcBorders>
              <w:top w:val="nil"/>
              <w:left w:val="nil"/>
              <w:bottom w:val="dotted" w:sz="4" w:space="0" w:color="auto"/>
              <w:right w:val="single" w:sz="8" w:space="0" w:color="auto"/>
            </w:tcBorders>
            <w:shd w:val="clear" w:color="auto" w:fill="auto"/>
            <w:vAlign w:val="center"/>
            <w:hideMark/>
          </w:tcPr>
          <w:p w:rsidR="00431D7F" w:rsidRPr="00DF0CE3" w:rsidP="00431D7F" w14:paraId="7D2BFBB1" w14:textId="5B8143F6">
            <w:pPr>
              <w:jc w:val="center"/>
              <w:rPr>
                <w:rFonts w:ascii="Calibri" w:hAnsi="Calibri" w:cs="Calibri"/>
                <w:color w:val="000000"/>
                <w:sz w:val="16"/>
                <w:szCs w:val="16"/>
              </w:rPr>
            </w:pPr>
            <w:r>
              <w:rPr>
                <w:rFonts w:ascii="Calibri" w:hAnsi="Calibri" w:cs="Calibri"/>
                <w:color w:val="000000"/>
                <w:sz w:val="16"/>
                <w:szCs w:val="16"/>
              </w:rPr>
              <w:t>N/A</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431D7F" w:rsidRPr="00DF0CE3" w:rsidP="00431D7F" w14:paraId="1B63BA7D" w14:textId="14C10FF1">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hideMark/>
          </w:tcPr>
          <w:p w:rsidR="00431D7F" w:rsidRPr="00DF0CE3" w:rsidP="00431D7F" w14:paraId="5BF60EF9" w14:textId="27485774">
            <w:pPr>
              <w:jc w:val="center"/>
              <w:rPr>
                <w:rFonts w:ascii="Calibri" w:hAnsi="Calibri" w:cs="Calibri"/>
                <w:color w:val="000000"/>
                <w:sz w:val="16"/>
                <w:szCs w:val="16"/>
              </w:rPr>
            </w:pPr>
            <w:r>
              <w:rPr>
                <w:rFonts w:ascii="Calibri" w:hAnsi="Calibri" w:cs="Calibri"/>
                <w:color w:val="000000"/>
                <w:sz w:val="16"/>
                <w:szCs w:val="16"/>
              </w:rPr>
              <w:t>N/A</w:t>
            </w:r>
          </w:p>
        </w:tc>
        <w:tc>
          <w:tcPr>
            <w:tcW w:w="3600" w:type="dxa"/>
            <w:tcBorders>
              <w:top w:val="nil"/>
              <w:left w:val="nil"/>
              <w:bottom w:val="dotted" w:sz="4" w:space="0" w:color="auto"/>
              <w:right w:val="single" w:sz="8" w:space="0" w:color="auto"/>
            </w:tcBorders>
            <w:shd w:val="clear" w:color="auto" w:fill="auto"/>
            <w:vAlign w:val="center"/>
            <w:hideMark/>
          </w:tcPr>
          <w:p w:rsidR="00431D7F" w:rsidRPr="00DF0CE3" w:rsidP="00431D7F" w14:paraId="09A93DD4" w14:textId="61FAA807">
            <w:pP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New IC</w:t>
            </w:r>
          </w:p>
        </w:tc>
      </w:tr>
      <w:tr w14:paraId="6BEDED10" w14:textId="77777777" w:rsidTr="003F4B52">
        <w:tblPrEx>
          <w:tblW w:w="10530" w:type="dxa"/>
          <w:tblInd w:w="-640" w:type="dxa"/>
          <w:tblLook w:val="04A0"/>
        </w:tblPrEx>
        <w:trPr>
          <w:trHeight w:val="465"/>
        </w:trPr>
        <w:tc>
          <w:tcPr>
            <w:tcW w:w="2790" w:type="dxa"/>
            <w:tcBorders>
              <w:top w:val="nil"/>
              <w:left w:val="single" w:sz="8" w:space="0" w:color="auto"/>
              <w:bottom w:val="nil"/>
              <w:right w:val="single" w:sz="8" w:space="0" w:color="auto"/>
            </w:tcBorders>
            <w:shd w:val="clear" w:color="000000" w:fill="BDD6EE"/>
            <w:vAlign w:val="center"/>
            <w:hideMark/>
          </w:tcPr>
          <w:p w:rsidR="00431D7F" w:rsidRPr="00DF0CE3" w:rsidP="00431D7F" w14:paraId="2CDE7E19"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08" w:type="dxa"/>
            <w:tcBorders>
              <w:top w:val="nil"/>
              <w:left w:val="nil"/>
              <w:bottom w:val="nil"/>
              <w:right w:val="dashed" w:sz="8" w:space="0" w:color="auto"/>
            </w:tcBorders>
            <w:shd w:val="clear" w:color="000000" w:fill="BDD6EE"/>
            <w:vAlign w:val="center"/>
            <w:hideMark/>
          </w:tcPr>
          <w:p w:rsidR="00431D7F" w:rsidRPr="00DF0CE3" w:rsidP="00431D7F" w14:paraId="6E9854CE" w14:textId="0688BC74">
            <w:pPr>
              <w:jc w:val="center"/>
              <w:rPr>
                <w:rFonts w:ascii="Calibri" w:hAnsi="Calibri" w:cs="Calibri"/>
                <w:b/>
                <w:bCs/>
                <w:color w:val="000000"/>
                <w:sz w:val="16"/>
                <w:szCs w:val="16"/>
              </w:rPr>
            </w:pPr>
            <w:r>
              <w:rPr>
                <w:rFonts w:ascii="Calibri" w:hAnsi="Calibri" w:cs="Calibri"/>
                <w:b/>
                <w:bCs/>
                <w:color w:val="000000"/>
                <w:sz w:val="16"/>
                <w:szCs w:val="16"/>
              </w:rPr>
              <w:t>$441,229</w:t>
            </w:r>
            <w:r w:rsidRPr="00DF0CE3">
              <w:rPr>
                <w:rFonts w:ascii="Calibri" w:hAnsi="Calibri" w:cs="Calibri"/>
                <w:b/>
                <w:bCs/>
                <w:color w:val="000000"/>
                <w:sz w:val="16"/>
                <w:szCs w:val="16"/>
              </w:rPr>
              <w:t> </w:t>
            </w:r>
          </w:p>
        </w:tc>
        <w:tc>
          <w:tcPr>
            <w:tcW w:w="982" w:type="dxa"/>
            <w:tcBorders>
              <w:top w:val="nil"/>
              <w:left w:val="nil"/>
              <w:bottom w:val="nil"/>
              <w:right w:val="single" w:sz="8" w:space="0" w:color="auto"/>
            </w:tcBorders>
            <w:shd w:val="clear" w:color="000000" w:fill="BDD6EE"/>
            <w:vAlign w:val="center"/>
            <w:hideMark/>
          </w:tcPr>
          <w:p w:rsidR="00431D7F" w:rsidRPr="00DF0CE3" w:rsidP="00431D7F" w14:paraId="64FA46DD" w14:textId="11AC4943">
            <w:pPr>
              <w:jc w:val="center"/>
              <w:rPr>
                <w:rFonts w:ascii="Calibri" w:hAnsi="Calibri" w:cs="Calibri"/>
                <w:b/>
                <w:bCs/>
                <w:color w:val="000000"/>
                <w:sz w:val="16"/>
                <w:szCs w:val="16"/>
              </w:rPr>
            </w:pPr>
            <w:r>
              <w:rPr>
                <w:rFonts w:ascii="Calibri" w:hAnsi="Calibri" w:cs="Calibri"/>
                <w:b/>
                <w:bCs/>
                <w:color w:val="000000"/>
                <w:sz w:val="16"/>
                <w:szCs w:val="16"/>
              </w:rPr>
              <w:t>$237,497</w:t>
            </w:r>
            <w:r w:rsidRPr="00DF0CE3">
              <w:rPr>
                <w:rFonts w:ascii="Calibri" w:hAnsi="Calibri" w:cs="Calibri"/>
                <w:b/>
                <w:bCs/>
                <w:color w:val="000000"/>
                <w:sz w:val="16"/>
                <w:szCs w:val="16"/>
              </w:rPr>
              <w:t> </w:t>
            </w:r>
          </w:p>
        </w:tc>
        <w:tc>
          <w:tcPr>
            <w:tcW w:w="1080" w:type="dxa"/>
            <w:tcBorders>
              <w:top w:val="nil"/>
              <w:left w:val="nil"/>
              <w:bottom w:val="nil"/>
              <w:right w:val="dashed" w:sz="8" w:space="0" w:color="auto"/>
            </w:tcBorders>
            <w:shd w:val="clear" w:color="000000" w:fill="BDD6EE"/>
            <w:vAlign w:val="center"/>
            <w:hideMark/>
          </w:tcPr>
          <w:p w:rsidR="00431D7F" w:rsidRPr="00DF0CE3" w:rsidP="00431D7F" w14:paraId="707D7901" w14:textId="71D6892C">
            <w:pPr>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0</w:t>
            </w:r>
          </w:p>
        </w:tc>
        <w:tc>
          <w:tcPr>
            <w:tcW w:w="1170" w:type="dxa"/>
            <w:tcBorders>
              <w:top w:val="nil"/>
              <w:left w:val="nil"/>
              <w:bottom w:val="nil"/>
              <w:right w:val="single" w:sz="8" w:space="0" w:color="auto"/>
            </w:tcBorders>
            <w:shd w:val="clear" w:color="000000" w:fill="BDD6EE"/>
            <w:vAlign w:val="center"/>
            <w:hideMark/>
          </w:tcPr>
          <w:p w:rsidR="00431D7F" w:rsidRPr="00DF0CE3" w:rsidP="00431D7F" w14:paraId="18980AB6" w14:textId="01AD25B2">
            <w:pPr>
              <w:jc w:val="center"/>
              <w:rPr>
                <w:rFonts w:ascii="Calibri" w:hAnsi="Calibri" w:cs="Calibri"/>
                <w:b/>
                <w:bCs/>
                <w:color w:val="000000"/>
                <w:sz w:val="16"/>
                <w:szCs w:val="16"/>
              </w:rPr>
            </w:pPr>
            <w:r>
              <w:rPr>
                <w:rFonts w:ascii="Calibri" w:hAnsi="Calibri" w:cs="Calibri"/>
                <w:b/>
                <w:bCs/>
                <w:color w:val="000000"/>
                <w:sz w:val="16"/>
                <w:szCs w:val="16"/>
              </w:rPr>
              <w:t>0</w:t>
            </w:r>
            <w:r w:rsidRPr="00DF0CE3">
              <w:rPr>
                <w:rFonts w:ascii="Calibri" w:hAnsi="Calibri" w:cs="Calibri"/>
                <w:b/>
                <w:bCs/>
                <w:color w:val="000000"/>
                <w:sz w:val="16"/>
                <w:szCs w:val="16"/>
              </w:rPr>
              <w:t> </w:t>
            </w:r>
          </w:p>
        </w:tc>
        <w:tc>
          <w:tcPr>
            <w:tcW w:w="3600" w:type="dxa"/>
            <w:tcBorders>
              <w:top w:val="nil"/>
              <w:left w:val="nil"/>
              <w:bottom w:val="nil"/>
              <w:right w:val="single" w:sz="8" w:space="0" w:color="auto"/>
            </w:tcBorders>
            <w:shd w:val="clear" w:color="000000" w:fill="000000"/>
            <w:vAlign w:val="center"/>
            <w:hideMark/>
          </w:tcPr>
          <w:p w:rsidR="00431D7F" w:rsidRPr="00DF0CE3" w:rsidP="00431D7F" w14:paraId="1BDF9899"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14:paraId="511B041D" w14:textId="77777777" w:rsidTr="008854F2">
        <w:tblPrEx>
          <w:tblW w:w="10530" w:type="dxa"/>
          <w:tblInd w:w="-640" w:type="dxa"/>
          <w:tblLook w:val="04A0"/>
        </w:tblPrEx>
        <w:trPr>
          <w:trHeight w:val="315"/>
        </w:trPr>
        <w:tc>
          <w:tcPr>
            <w:tcW w:w="2790" w:type="dxa"/>
            <w:tcBorders>
              <w:top w:val="single" w:sz="8" w:space="0" w:color="auto"/>
              <w:left w:val="single" w:sz="8" w:space="0" w:color="auto"/>
              <w:bottom w:val="single" w:sz="8" w:space="0" w:color="auto"/>
              <w:right w:val="nil"/>
            </w:tcBorders>
            <w:shd w:val="clear" w:color="000000" w:fill="FCE4D6"/>
            <w:noWrap/>
            <w:vAlign w:val="bottom"/>
            <w:hideMark/>
          </w:tcPr>
          <w:p w:rsidR="00431D7F" w:rsidRPr="00DF0CE3" w:rsidP="00431D7F" w14:paraId="21AC6398"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89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431D7F" w:rsidRPr="00DF0CE3" w:rsidP="00431D7F" w14:paraId="6D757D88" w14:textId="04ADC175">
            <w:pPr>
              <w:jc w:val="center"/>
              <w:rPr>
                <w:rFonts w:ascii="Calibri" w:hAnsi="Calibri" w:cs="Calibri"/>
                <w:color w:val="000000"/>
              </w:rPr>
            </w:pPr>
            <w:r w:rsidRPr="00DF0CE3">
              <w:rPr>
                <w:rFonts w:ascii="Calibri" w:hAnsi="Calibri" w:cs="Calibri"/>
                <w:color w:val="000000"/>
              </w:rPr>
              <w:t> </w:t>
            </w:r>
            <w:r>
              <w:rPr>
                <w:rFonts w:ascii="Calibri" w:hAnsi="Calibri" w:cs="Calibri"/>
                <w:color w:val="000000"/>
              </w:rPr>
              <w:t>203,732</w:t>
            </w:r>
          </w:p>
        </w:tc>
        <w:tc>
          <w:tcPr>
            <w:tcW w:w="225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431D7F" w:rsidRPr="00DF0CE3" w:rsidP="00431D7F" w14:paraId="4F5DB6E7" w14:textId="1D788242">
            <w:pPr>
              <w:jc w:val="center"/>
              <w:rPr>
                <w:rFonts w:ascii="Calibri" w:hAnsi="Calibri" w:cs="Calibri"/>
                <w:color w:val="000000"/>
              </w:rPr>
            </w:pPr>
            <w:r>
              <w:rPr>
                <w:rFonts w:ascii="Calibri" w:hAnsi="Calibri" w:cs="Calibri"/>
                <w:color w:val="000000"/>
              </w:rPr>
              <w:t>0</w:t>
            </w:r>
            <w:r w:rsidRPr="00DF0CE3">
              <w:rPr>
                <w:rFonts w:ascii="Calibri" w:hAnsi="Calibri" w:cs="Calibri"/>
                <w:color w:val="000000"/>
              </w:rPr>
              <w:t> </w:t>
            </w:r>
          </w:p>
        </w:tc>
        <w:tc>
          <w:tcPr>
            <w:tcW w:w="3600" w:type="dxa"/>
            <w:tcBorders>
              <w:top w:val="single" w:sz="8" w:space="0" w:color="auto"/>
              <w:left w:val="nil"/>
              <w:bottom w:val="single" w:sz="8" w:space="0" w:color="auto"/>
              <w:right w:val="single" w:sz="8" w:space="0" w:color="auto"/>
            </w:tcBorders>
            <w:shd w:val="clear" w:color="000000" w:fill="000000"/>
            <w:noWrap/>
            <w:vAlign w:val="bottom"/>
            <w:hideMark/>
          </w:tcPr>
          <w:p w:rsidR="00431D7F" w:rsidRPr="00DF0CE3" w:rsidP="00431D7F" w14:paraId="593E965B" w14:textId="77777777">
            <w:pPr>
              <w:rPr>
                <w:rFonts w:ascii="Calibri" w:hAnsi="Calibri" w:cs="Calibri"/>
                <w:color w:val="000000"/>
              </w:rPr>
            </w:pPr>
            <w:r w:rsidRPr="00DF0CE3">
              <w:rPr>
                <w:rFonts w:ascii="Calibri" w:hAnsi="Calibri" w:cs="Calibri"/>
                <w:color w:val="000000"/>
              </w:rPr>
              <w:t> </w:t>
            </w:r>
          </w:p>
        </w:tc>
      </w:tr>
    </w:tbl>
    <w:p w:rsidR="009B36BA" w:rsidP="00502721" w14:paraId="788038DA" w14:textId="77777777">
      <w:pPr>
        <w:spacing w:line="240" w:lineRule="auto"/>
      </w:pPr>
    </w:p>
    <w:p w:rsidR="00D41A59" w:rsidP="00502721" w14:paraId="691E2335" w14:textId="77777777">
      <w:pPr>
        <w:spacing w:line="240" w:lineRule="auto"/>
      </w:pPr>
    </w:p>
    <w:p w:rsidR="009B36BA" w:rsidRPr="00BD7237" w:rsidP="009B36BA" w14:paraId="775E4D60" w14:textId="77777777">
      <w:pPr>
        <w:pStyle w:val="ListParagraph"/>
        <w:widowControl w:val="0"/>
        <w:tabs>
          <w:tab w:val="left" w:pos="360"/>
        </w:tabs>
        <w:autoSpaceDE w:val="0"/>
        <w:autoSpaceDN w:val="0"/>
        <w:spacing w:before="80" w:line="240" w:lineRule="auto"/>
        <w:ind w:left="0"/>
        <w:contextualSpacing w:val="0"/>
        <w:rPr>
          <w:b/>
        </w:rPr>
      </w:pPr>
      <w:r>
        <w:rPr>
          <w:b/>
          <w:bCs/>
        </w:rPr>
        <w:t xml:space="preserve">16. </w:t>
      </w:r>
      <w:r w:rsidRPr="00BD7237">
        <w:rPr>
          <w:b/>
        </w:rPr>
        <w:t>For collections of information whose results will be published, outline plans for tabulation and publication. Address any complex analytical techniques that will be used. Provide the time schedule for the entire project, including beginning and ending date</w:t>
      </w:r>
      <w:r w:rsidRPr="00BD7237">
        <w:rPr>
          <w:b/>
        </w:rPr>
        <w:t>s of the collection of information, completion of report, publication dates, and other actions.</w:t>
      </w:r>
    </w:p>
    <w:p w:rsidR="00BD450D" w:rsidRPr="001219E7" w:rsidP="00BD450D" w14:paraId="716274CC" w14:textId="267816CC">
      <w:pPr>
        <w:pStyle w:val="Default"/>
      </w:pPr>
    </w:p>
    <w:p w:rsidR="0089295C" w:rsidP="0089295C" w14:paraId="6927A17B" w14:textId="360E6FDF">
      <w:pPr>
        <w:pStyle w:val="CM23"/>
        <w:spacing w:after="0"/>
        <w:ind w:right="130"/>
      </w:pPr>
      <w:r>
        <w:t xml:space="preserve">All data collected and analyzed will be included in table format available on the Web page of the Fisheries Statistics Division, Office of Science and Technology, National Marine Fisheries Service. The Web site address is </w:t>
      </w:r>
      <w:hyperlink r:id="rId11" w:history="1">
        <w:r w:rsidRPr="00F77828">
          <w:rPr>
            <w:rStyle w:val="Hyperlink"/>
          </w:rPr>
          <w:t>http://www.st.nmfs.noaa.gov/recrea</w:t>
        </w:r>
        <w:r w:rsidRPr="00F77828">
          <w:rPr>
            <w:rStyle w:val="Hyperlink"/>
          </w:rPr>
          <w:t>tional-fisheries/index</w:t>
        </w:r>
      </w:hyperlink>
      <w:r>
        <w:t>.  Data from this survey may support research and analyses to be presented at appropriate professional meetings (e.g.</w:t>
      </w:r>
      <w:r w:rsidR="00F77828">
        <w:t>,</w:t>
      </w:r>
      <w:r>
        <w:t xml:space="preserve"> American Fisheries Society, Joint Statistical Meetings) and may be submitted for publication in appropriate statisti</w:t>
      </w:r>
      <w:r>
        <w:t>cal or fisheries peer-reviewed journals.  Summary marine recreational fishery catch statistics produced using data from this survey are included i</w:t>
      </w:r>
      <w:r w:rsidR="00F01DA9">
        <w:t>n the annual publication by NOAA Fisheries</w:t>
      </w:r>
      <w:r>
        <w:t>,</w:t>
      </w:r>
      <w:r w:rsidR="00D05C80">
        <w:t xml:space="preserve"> Fisheries of the United States.</w:t>
      </w:r>
    </w:p>
    <w:p w:rsidR="00BD450D" w:rsidRPr="0067695B" w:rsidP="00BD450D" w14:paraId="306AD0C3" w14:textId="77777777">
      <w:pPr>
        <w:pStyle w:val="Default"/>
      </w:pPr>
    </w:p>
    <w:p w:rsidR="009B36BA" w:rsidRPr="00BD7237" w:rsidP="009B36BA" w14:paraId="0AB345C4" w14:textId="77777777">
      <w:pPr>
        <w:pStyle w:val="ListParagraph"/>
        <w:widowControl w:val="0"/>
        <w:tabs>
          <w:tab w:val="left" w:pos="360"/>
        </w:tabs>
        <w:autoSpaceDE w:val="0"/>
        <w:autoSpaceDN w:val="0"/>
        <w:spacing w:before="80" w:line="240" w:lineRule="auto"/>
        <w:ind w:left="0"/>
        <w:contextualSpacing w:val="0"/>
        <w:rPr>
          <w:b/>
        </w:rPr>
      </w:pPr>
      <w:r>
        <w:rPr>
          <w:b/>
          <w:bCs/>
        </w:rPr>
        <w:t xml:space="preserve">17. </w:t>
      </w:r>
      <w:r w:rsidRPr="00BD7237">
        <w:rPr>
          <w:b/>
        </w:rPr>
        <w:t xml:space="preserve">If seeking approval to not </w:t>
      </w:r>
      <w:r w:rsidRPr="00BD7237">
        <w:rPr>
          <w:b/>
        </w:rPr>
        <w:t>display the expiration date for OMB approval of the information collection, explain the reasons that display would be inappropriate.</w:t>
      </w:r>
    </w:p>
    <w:p w:rsidR="00BD450D" w:rsidRPr="0067695B" w:rsidP="00BD450D" w14:paraId="47B99CAF" w14:textId="401D474A">
      <w:pPr>
        <w:pStyle w:val="Default"/>
      </w:pPr>
    </w:p>
    <w:p w:rsidR="00BD450D" w:rsidP="00BD450D" w14:paraId="36BCC5A2" w14:textId="1FD08AD0">
      <w:pPr>
        <w:pStyle w:val="CM23"/>
        <w:spacing w:after="0"/>
      </w:pPr>
      <w:r>
        <w:t>The expiration date will be displayed.</w:t>
      </w:r>
    </w:p>
    <w:p w:rsidR="00BD450D" w:rsidP="00BD450D" w14:paraId="02F6AC73" w14:textId="77777777">
      <w:pPr>
        <w:pStyle w:val="CM23"/>
        <w:spacing w:after="0"/>
        <w:ind w:right="858"/>
        <w:rPr>
          <w:b/>
          <w:bCs/>
        </w:rPr>
      </w:pPr>
    </w:p>
    <w:p w:rsidR="00BD450D" w:rsidRPr="009B36BA" w:rsidP="009B36BA" w14:paraId="4C426E06" w14:textId="0C6B394C">
      <w:pPr>
        <w:pStyle w:val="ListParagraph"/>
        <w:widowControl w:val="0"/>
        <w:tabs>
          <w:tab w:val="left" w:pos="360"/>
        </w:tabs>
        <w:autoSpaceDE w:val="0"/>
        <w:autoSpaceDN w:val="0"/>
        <w:spacing w:before="80" w:line="240" w:lineRule="auto"/>
        <w:ind w:left="0"/>
        <w:contextualSpacing w:val="0"/>
        <w:rPr>
          <w:b/>
        </w:rPr>
      </w:pPr>
      <w:r>
        <w:rPr>
          <w:b/>
          <w:bCs/>
        </w:rPr>
        <w:t xml:space="preserve">18. </w:t>
      </w:r>
      <w:r w:rsidRPr="00BD7237" w:rsidR="009B36BA">
        <w:rPr>
          <w:b/>
        </w:rPr>
        <w:t>Explain each exception to the certification statement identified in “Certification for Paperwork Reduction Act Submissions."</w:t>
      </w:r>
    </w:p>
    <w:p w:rsidR="00BD450D" w:rsidRPr="0067695B" w:rsidP="00BD450D" w14:paraId="2B83C981" w14:textId="77777777">
      <w:pPr>
        <w:pStyle w:val="Default"/>
      </w:pPr>
    </w:p>
    <w:p w:rsidR="00AF54AC" w:rsidRPr="009B36BA" w14:paraId="27512BAC" w14:textId="2E6C7504">
      <w:pPr>
        <w:spacing w:after="200" w:line="276" w:lineRule="auto"/>
        <w:rPr>
          <w:color w:val="000000"/>
        </w:rPr>
      </w:pPr>
      <w:r w:rsidRPr="009B36BA">
        <w:t xml:space="preserve">The agency certifies compliance with </w:t>
      </w:r>
      <w:hyperlink r:id="rId12">
        <w:r w:rsidRPr="009B36BA">
          <w:rPr>
            <w:color w:val="0563C1"/>
            <w:u w:val="thick" w:color="0563C1"/>
          </w:rPr>
          <w:t>5 CFR 1320.9</w:t>
        </w:r>
        <w:r w:rsidRPr="009B36BA">
          <w:rPr>
            <w:color w:val="0563C1"/>
          </w:rPr>
          <w:t xml:space="preserve"> </w:t>
        </w:r>
      </w:hyperlink>
      <w:r w:rsidRPr="009B36BA">
        <w:t xml:space="preserve">and the related provisions of </w:t>
      </w:r>
      <w:hyperlink r:id="rId13">
        <w:r w:rsidRPr="009B36BA">
          <w:rPr>
            <w:color w:val="0563C1"/>
            <w:u w:val="thick" w:color="0563C1"/>
          </w:rPr>
          <w:t>5</w:t>
        </w:r>
        <w:r w:rsidRPr="009B36BA">
          <w:rPr>
            <w:color w:val="0563C1"/>
            <w:spacing w:val="-42"/>
            <w:u w:val="thick" w:color="0563C1"/>
          </w:rPr>
          <w:t xml:space="preserve"> </w:t>
        </w:r>
        <w:r w:rsidRPr="009B36BA">
          <w:rPr>
            <w:color w:val="0563C1"/>
            <w:u w:val="thick" w:color="0563C1"/>
          </w:rPr>
          <w:t>CFR</w:t>
        </w:r>
      </w:hyperlink>
      <w:r w:rsidRPr="009B36BA">
        <w:rPr>
          <w:color w:val="0563C1"/>
        </w:rPr>
        <w:t xml:space="preserve"> </w:t>
      </w:r>
      <w:hyperlink r:id="rId13">
        <w:r w:rsidRPr="009B36BA">
          <w:rPr>
            <w:color w:val="0563C1"/>
            <w:u w:val="thick" w:color="0563C1"/>
          </w:rPr>
          <w:t>1320.8(b)(3)</w:t>
        </w:r>
      </w:hyperlink>
      <w:r w:rsidRPr="009B36BA">
        <w:t>.</w:t>
      </w:r>
      <w:r w:rsidRPr="009B36BA">
        <w:br w:type="page"/>
      </w:r>
    </w:p>
    <w:p w:rsidR="00AF54AC" w:rsidP="00AF54AC" w14:paraId="700522D9" w14:textId="77777777">
      <w:pPr>
        <w:pStyle w:val="Default"/>
        <w:rPr>
          <w:b/>
        </w:rPr>
      </w:pPr>
      <w:r>
        <w:rPr>
          <w:b/>
        </w:rPr>
        <w:t>References</w:t>
      </w:r>
    </w:p>
    <w:p w:rsidR="00AF54AC" w:rsidP="00AF54AC" w14:paraId="1016D5F9" w14:textId="77777777">
      <w:pPr>
        <w:pStyle w:val="Default"/>
        <w:rPr>
          <w:b/>
        </w:rPr>
      </w:pPr>
    </w:p>
    <w:p w:rsidR="003F1BCB" w:rsidRPr="00F53246" w:rsidP="003F1BCB" w14:paraId="571B5DBD"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(2010).  Pilot Test of Dual Frame Two-Phase Mail Survey of anglers in North Carolina.</w:t>
      </w:r>
    </w:p>
    <w:p w:rsidR="003F1BCB" w:rsidRPr="00F53246" w:rsidP="003F1BCB" w14:paraId="4FE802E9" w14:textId="77777777">
      <w:pPr>
        <w:pStyle w:val="NormalWeb"/>
        <w:spacing w:before="0" w:beforeAutospacing="0" w:after="0" w:afterAutospacing="0"/>
        <w:ind w:right="-360"/>
      </w:pPr>
      <w:hyperlink r:id="rId14" w:history="1">
        <w:r w:rsidRPr="00F53246">
          <w:rPr>
            <w:rStyle w:val="Hyperlink"/>
            <w:color w:val="1155CC"/>
          </w:rPr>
          <w:t>https://www.st.nmfs.noaa.gov/pims/main/publi</w:t>
        </w:r>
        <w:r w:rsidRPr="00F53246">
          <w:rPr>
            <w:rStyle w:val="Hyperlink"/>
            <w:color w:val="1155CC"/>
          </w:rPr>
          <w:t>c?method=DOWNLOAD_FR_PDF&amp;record_id=455</w:t>
        </w:r>
      </w:hyperlink>
      <w:r w:rsidR="00F53246">
        <w:t>.</w:t>
      </w:r>
    </w:p>
    <w:p w:rsidR="003F1BCB" w:rsidRPr="00F53246" w:rsidP="003F1BCB" w14:paraId="12C48A07" w14:textId="77777777">
      <w:pPr>
        <w:pStyle w:val="NormalWeb"/>
        <w:spacing w:before="0" w:beforeAutospacing="0" w:after="0" w:afterAutospacing="0"/>
        <w:ind w:right="-360"/>
      </w:pPr>
    </w:p>
    <w:p w:rsidR="003F1BCB" w:rsidRPr="00F53246" w:rsidP="003F1BCB" w14:paraId="18EFD8CE"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(2013).  Continued Development and Testing of Dual Frame Surveys of Fishing Effort (Testing a Dual-Frame, Mixed Mode Survey Design). </w:t>
      </w:r>
    </w:p>
    <w:p w:rsidR="003F1BCB" w:rsidRPr="00F53246" w:rsidP="003F1BCB" w14:paraId="445D1B65" w14:textId="77777777">
      <w:pPr>
        <w:pStyle w:val="NormalWeb"/>
        <w:spacing w:before="0" w:beforeAutospacing="0" w:after="0" w:afterAutospacing="0"/>
        <w:ind w:right="-360"/>
      </w:pPr>
      <w:hyperlink r:id="rId15" w:history="1">
        <w:r w:rsidRPr="00F53246">
          <w:rPr>
            <w:rStyle w:val="Hyperlink"/>
            <w:color w:val="1155CC"/>
          </w:rPr>
          <w:t>https://www.st.nmfs.noaa.gov/pims/main/public?method=DOWNLOAD_FR_PDF&amp;record_id=931</w:t>
        </w:r>
      </w:hyperlink>
      <w:r w:rsidR="00F53246">
        <w:t>.</w:t>
      </w:r>
    </w:p>
    <w:p w:rsidR="003F1BCB" w:rsidRPr="00F53246" w:rsidP="003F1BCB" w14:paraId="42F0D340" w14:textId="77777777">
      <w:pPr>
        <w:pStyle w:val="NormalWeb"/>
        <w:spacing w:before="0" w:beforeAutospacing="0" w:after="0" w:afterAutospacing="0"/>
        <w:ind w:right="-360"/>
      </w:pPr>
    </w:p>
    <w:p w:rsidR="003F1BCB" w:rsidRPr="00F53246" w:rsidP="003F1BCB" w14:paraId="2BE504C2" w14:textId="77777777">
      <w:pPr>
        <w:pStyle w:val="NormalWeb"/>
        <w:spacing w:before="0" w:beforeAutospacing="0" w:after="0" w:afterAutospacing="0"/>
        <w:ind w:right="-360"/>
      </w:pPr>
      <w:r w:rsidRPr="00F53246">
        <w:rPr>
          <w:color w:val="000000"/>
        </w:rPr>
        <w:t>Andrews, W</w:t>
      </w:r>
      <w:r w:rsidRPr="00F53246" w:rsidR="003B565F">
        <w:rPr>
          <w:color w:val="000000"/>
        </w:rPr>
        <w:t>.</w:t>
      </w:r>
      <w:r w:rsidRPr="00F53246">
        <w:rPr>
          <w:color w:val="000000"/>
        </w:rPr>
        <w:t>R</w:t>
      </w:r>
      <w:r w:rsidRPr="00F53246" w:rsidR="003B565F">
        <w:rPr>
          <w:color w:val="000000"/>
        </w:rPr>
        <w:t>.</w:t>
      </w:r>
      <w:r w:rsidRPr="00F53246">
        <w:rPr>
          <w:color w:val="000000"/>
        </w:rPr>
        <w:t>, J</w:t>
      </w:r>
      <w:r w:rsidRPr="00F53246" w:rsidR="003B565F">
        <w:rPr>
          <w:color w:val="000000"/>
        </w:rPr>
        <w:t>.</w:t>
      </w:r>
      <w:r w:rsidRPr="00F53246">
        <w:rPr>
          <w:color w:val="000000"/>
        </w:rPr>
        <w:t>M</w:t>
      </w:r>
      <w:r w:rsidRPr="00F53246" w:rsidR="003B565F">
        <w:rPr>
          <w:color w:val="000000"/>
        </w:rPr>
        <w:t>.</w:t>
      </w:r>
      <w:r w:rsidRPr="00F53246">
        <w:rPr>
          <w:color w:val="000000"/>
        </w:rPr>
        <w:t xml:space="preserve"> Brick,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(2014).  Development and Testing of Recreational Fishing Effort </w:t>
      </w:r>
      <w:r w:rsidRPr="00F53246">
        <w:rPr>
          <w:color w:val="000000"/>
        </w:rPr>
        <w:t>Surveys (Testing a Mail Survey Design).</w:t>
      </w:r>
    </w:p>
    <w:p w:rsidR="003F1BCB" w:rsidRPr="00F53246" w:rsidP="00F53246" w14:paraId="0BF45D66" w14:textId="77777777">
      <w:pPr>
        <w:pStyle w:val="NormalWeb"/>
        <w:spacing w:before="0" w:beforeAutospacing="0" w:after="0" w:afterAutospacing="0"/>
        <w:ind w:right="-360"/>
      </w:pPr>
      <w:hyperlink r:id="rId16" w:history="1">
        <w:r w:rsidRPr="00F53246">
          <w:rPr>
            <w:rStyle w:val="Hyperlink"/>
            <w:color w:val="1155CC"/>
          </w:rPr>
          <w:t>https://www.st.nmfs.noaa.gov/pims/main/public?method=DOWNLOAD_FR_PDF&amp;record_id=1179</w:t>
        </w:r>
      </w:hyperlink>
    </w:p>
    <w:p w:rsidR="003F1BCB" w:rsidRPr="00F53246" w:rsidP="0067695B" w14:paraId="38AFBA24" w14:textId="77777777">
      <w:pPr>
        <w:pStyle w:val="Default"/>
      </w:pPr>
    </w:p>
    <w:p w:rsidR="0008483B" w:rsidRPr="00F53246" w:rsidP="0067695B" w14:paraId="4884D7BC" w14:textId="77777777">
      <w:pPr>
        <w:pStyle w:val="Default"/>
      </w:pPr>
      <w:r w:rsidRPr="00F53246">
        <w:t>Brick, J.M., D. Williams, and J.M. Montaquila (2011).  Address-Based Sampling for</w:t>
      </w:r>
      <w:r w:rsidRPr="00F53246" w:rsidR="00C950E8">
        <w:t xml:space="preserve"> </w:t>
      </w:r>
      <w:r w:rsidRPr="00F53246">
        <w:t>Subpopulation Surveys</w:t>
      </w:r>
      <w:r w:rsidRPr="00F53246" w:rsidR="00AD4658">
        <w:t xml:space="preserve">.  Public Opinion Quarterly 75: 409-428.  </w:t>
      </w:r>
    </w:p>
    <w:p w:rsidR="003F1BCB" w:rsidRPr="00F53246" w:rsidP="0067695B" w14:paraId="2B552D47" w14:textId="77777777">
      <w:pPr>
        <w:pStyle w:val="Default"/>
      </w:pPr>
    </w:p>
    <w:p w:rsidR="003F1BCB" w:rsidRPr="00F53246" w:rsidP="003F1BCB" w14:paraId="7DB6B86F" w14:textId="77777777">
      <w:pPr>
        <w:pStyle w:val="NormalWeb"/>
        <w:spacing w:before="0" w:beforeAutospacing="0" w:after="0" w:afterAutospacing="0"/>
        <w:ind w:right="-360"/>
      </w:pPr>
      <w:r w:rsidRPr="00F53246">
        <w:rPr>
          <w:color w:val="000000"/>
        </w:rPr>
        <w:t>Brick, J</w:t>
      </w:r>
      <w:r w:rsidRPr="00F53246" w:rsidR="003B565F">
        <w:rPr>
          <w:color w:val="000000"/>
        </w:rPr>
        <w:t>.</w:t>
      </w:r>
      <w:r w:rsidRPr="00F53246">
        <w:rPr>
          <w:color w:val="000000"/>
        </w:rPr>
        <w:t>M</w:t>
      </w:r>
      <w:r w:rsidRPr="00F53246" w:rsidR="003B565F">
        <w:rPr>
          <w:color w:val="000000"/>
        </w:rPr>
        <w:t>.</w:t>
      </w:r>
      <w:r w:rsidRPr="00F53246">
        <w:rPr>
          <w:color w:val="000000"/>
        </w:rPr>
        <w:t>, W</w:t>
      </w:r>
      <w:r w:rsidRPr="00F53246" w:rsidR="003B565F">
        <w:rPr>
          <w:color w:val="000000"/>
        </w:rPr>
        <w:t>.</w:t>
      </w:r>
      <w:r w:rsidRPr="00F53246">
        <w:rPr>
          <w:color w:val="000000"/>
        </w:rPr>
        <w:t>R</w:t>
      </w:r>
      <w:r w:rsidRPr="00F53246" w:rsidR="003B565F">
        <w:rPr>
          <w:color w:val="000000"/>
        </w:rPr>
        <w:t>.</w:t>
      </w:r>
      <w:r w:rsidRPr="00F53246">
        <w:rPr>
          <w:color w:val="000000"/>
        </w:rPr>
        <w:t xml:space="preserve"> Andrews and N</w:t>
      </w:r>
      <w:r w:rsidRPr="00F53246" w:rsidR="003B565F">
        <w:rPr>
          <w:color w:val="000000"/>
        </w:rPr>
        <w:t>.</w:t>
      </w:r>
      <w:r w:rsidRPr="00F53246">
        <w:rPr>
          <w:color w:val="000000"/>
        </w:rPr>
        <w:t>A</w:t>
      </w:r>
      <w:r w:rsidRPr="00F53246" w:rsidR="003B565F">
        <w:rPr>
          <w:color w:val="000000"/>
        </w:rPr>
        <w:t>.</w:t>
      </w:r>
      <w:r w:rsidRPr="00F53246">
        <w:rPr>
          <w:color w:val="000000"/>
        </w:rPr>
        <w:t xml:space="preserve"> Mathiowetz (2012a). A Comparison of Recreational Fishing Effort Survey Des</w:t>
      </w:r>
      <w:r w:rsidRPr="00F53246">
        <w:rPr>
          <w:color w:val="000000"/>
        </w:rPr>
        <w:t>igns</w:t>
      </w:r>
    </w:p>
    <w:p w:rsidR="003F1BCB" w:rsidRPr="00F53246" w:rsidP="003F1BCB" w14:paraId="65CE6AA4" w14:textId="77777777">
      <w:pPr>
        <w:pStyle w:val="NormalWeb"/>
        <w:spacing w:before="0" w:beforeAutospacing="0" w:after="0" w:afterAutospacing="0"/>
        <w:ind w:right="-360"/>
      </w:pPr>
      <w:hyperlink r:id="rId17" w:history="1">
        <w:r w:rsidRPr="00F53246">
          <w:rPr>
            <w:rStyle w:val="Hyperlink"/>
            <w:color w:val="1155CC"/>
          </w:rPr>
          <w:t>https://www.st.nmfs.noaa.gov/pims/main/public?method=DOWNLOAD_FR_PDF&amp;record_id=462</w:t>
        </w:r>
      </w:hyperlink>
      <w:r w:rsidR="00F53246">
        <w:t>.</w:t>
      </w:r>
    </w:p>
    <w:p w:rsidR="003B565F" w:rsidRPr="00F53246" w:rsidP="003F1BCB" w14:paraId="3ADDFA35" w14:textId="77777777">
      <w:pPr>
        <w:pStyle w:val="NormalWeb"/>
        <w:spacing w:before="0" w:beforeAutospacing="0" w:after="0" w:afterAutospacing="0"/>
        <w:ind w:right="-360"/>
      </w:pPr>
    </w:p>
    <w:p w:rsidR="003B565F" w:rsidRPr="00F53246" w:rsidP="003F1BCB" w14:paraId="70D49AEB" w14:textId="77777777">
      <w:pPr>
        <w:pStyle w:val="NormalWeb"/>
        <w:spacing w:before="0" w:beforeAutospacing="0" w:after="0" w:afterAutospacing="0"/>
        <w:ind w:right="-360"/>
      </w:pPr>
      <w:r w:rsidRPr="00F53246">
        <w:t>Brick, J</w:t>
      </w:r>
      <w:r w:rsidRPr="00F53246" w:rsidR="00004409">
        <w:t>.</w:t>
      </w:r>
      <w:r w:rsidRPr="00F53246">
        <w:t>M</w:t>
      </w:r>
      <w:r w:rsidRPr="00F53246" w:rsidR="00004409">
        <w:t>.</w:t>
      </w:r>
      <w:r w:rsidRPr="00F53246">
        <w:t>, W</w:t>
      </w:r>
      <w:r w:rsidRPr="00F53246" w:rsidR="00004409">
        <w:t>.</w:t>
      </w:r>
      <w:r w:rsidRPr="00F53246">
        <w:t>R</w:t>
      </w:r>
      <w:r w:rsidRPr="00F53246" w:rsidR="00004409">
        <w:t>.</w:t>
      </w:r>
      <w:r w:rsidRPr="00F53246">
        <w:t xml:space="preserve"> Andrews, P</w:t>
      </w:r>
      <w:r w:rsidRPr="00F53246" w:rsidR="00004409">
        <w:t>.</w:t>
      </w:r>
      <w:r w:rsidRPr="00F53246">
        <w:t>D</w:t>
      </w:r>
      <w:r w:rsidRPr="00F53246" w:rsidR="00004409">
        <w:t>.</w:t>
      </w:r>
      <w:r w:rsidRPr="00F53246">
        <w:t xml:space="preserve"> Brick, H</w:t>
      </w:r>
      <w:r w:rsidRPr="00F53246" w:rsidR="00004409">
        <w:t>.</w:t>
      </w:r>
      <w:r w:rsidRPr="00F53246">
        <w:t xml:space="preserve"> King, N</w:t>
      </w:r>
      <w:r w:rsidRPr="00F53246" w:rsidR="00004409">
        <w:t>.</w:t>
      </w:r>
      <w:r w:rsidRPr="00F53246">
        <w:t>A</w:t>
      </w:r>
      <w:r w:rsidRPr="00F53246" w:rsidR="00004409">
        <w:t>.</w:t>
      </w:r>
      <w:r w:rsidRPr="00F53246">
        <w:t xml:space="preserve"> Mathiowetz</w:t>
      </w:r>
      <w:r w:rsidRPr="00F53246">
        <w:t xml:space="preserve">, and L. Stokes (2012b). Methods for improving response rates in two-phase mail surveys. Survey Practice 5(3). Available: </w:t>
      </w:r>
      <w:hyperlink r:id="rId18" w:history="1">
        <w:r w:rsidRPr="00F53246">
          <w:rPr>
            <w:rStyle w:val="Hyperlink"/>
          </w:rPr>
          <w:t>https://www</w:t>
        </w:r>
        <w:r w:rsidRPr="00F53246">
          <w:rPr>
            <w:rStyle w:val="Hyperlink"/>
          </w:rPr>
          <w:t>.surveypractice.org/article/3093-methods-for-improving-response-rates-in-two-phase-mail-surveys</w:t>
        </w:r>
      </w:hyperlink>
      <w:r w:rsidRPr="00F53246">
        <w:t>.</w:t>
      </w:r>
    </w:p>
    <w:p w:rsidR="003F1BCB" w:rsidRPr="00F53246" w:rsidP="0067695B" w14:paraId="27481725" w14:textId="77777777">
      <w:pPr>
        <w:pStyle w:val="Default"/>
      </w:pPr>
    </w:p>
    <w:p w:rsidR="00004409" w:rsidRPr="00F53246" w:rsidP="0067695B" w14:paraId="13AC9DF7" w14:textId="77777777">
      <w:pPr>
        <w:pStyle w:val="Default"/>
      </w:pPr>
      <w:r w:rsidRPr="00F53246">
        <w:t>Brick, J.M., W.R. Andrews and N.M. Mathiowetz (2016).  Single-phase Mail Survey Design for Rare Population Subgroups.  Field Methods 28(4): 381-395.</w:t>
      </w:r>
    </w:p>
    <w:p w:rsidR="0008483B" w:rsidRPr="00F53246" w:rsidP="0067695B" w14:paraId="6034D70F" w14:textId="77777777">
      <w:pPr>
        <w:pStyle w:val="Default"/>
      </w:pPr>
    </w:p>
    <w:p w:rsidR="0008483B" w:rsidRPr="00F53246" w:rsidP="005119E8" w14:paraId="662B3B7B" w14:textId="77777777">
      <w:pPr>
        <w:autoSpaceDE w:val="0"/>
        <w:autoSpaceDN w:val="0"/>
        <w:adjustRightInd w:val="0"/>
        <w:spacing w:line="240" w:lineRule="auto"/>
      </w:pPr>
      <w:r w:rsidRPr="00F53246">
        <w:t>Church</w:t>
      </w:r>
      <w:r w:rsidRPr="00F53246" w:rsidR="005119E8">
        <w:t>, A.H.</w:t>
      </w:r>
      <w:r w:rsidRPr="00F53246">
        <w:t xml:space="preserve"> (1993)</w:t>
      </w:r>
      <w:r w:rsidRPr="00F53246" w:rsidR="005119E8">
        <w:t>.  Estimating the Effect of Incentives on Mail Survey Response Rates: A Meta-Analysis.  Public Opinion Quarterly 57:62–79.</w:t>
      </w:r>
    </w:p>
    <w:p w:rsidR="004E0AB8" w:rsidRPr="00F53246" w:rsidP="0067695B" w14:paraId="2395C024" w14:textId="77777777">
      <w:pPr>
        <w:pStyle w:val="Default"/>
      </w:pPr>
    </w:p>
    <w:p w:rsidR="004E0AB8" w:rsidRPr="00F53246" w:rsidP="004E0AB8" w14:paraId="42F8F27B" w14:textId="77777777">
      <w:pPr>
        <w:autoSpaceDE w:val="0"/>
        <w:autoSpaceDN w:val="0"/>
        <w:adjustRightInd w:val="0"/>
        <w:spacing w:line="240" w:lineRule="auto"/>
      </w:pPr>
      <w:r w:rsidRPr="00F53246">
        <w:t xml:space="preserve">Dillman, D.A., </w:t>
      </w:r>
      <w:r w:rsidRPr="00F53246" w:rsidR="004932DD">
        <w:t xml:space="preserve">J.D. </w:t>
      </w:r>
      <w:r w:rsidRPr="00F53246">
        <w:t xml:space="preserve">Smyth, </w:t>
      </w:r>
      <w:r w:rsidRPr="00F53246" w:rsidR="004932DD">
        <w:t xml:space="preserve">and L.M. Christian </w:t>
      </w:r>
      <w:r w:rsidRPr="00F53246">
        <w:t xml:space="preserve">(2009). </w:t>
      </w:r>
      <w:r w:rsidRPr="00F53246">
        <w:rPr>
          <w:i/>
        </w:rPr>
        <w:t>Internet, Mail, and Mixed-Mode Surveys: The Tailored Design Method</w:t>
      </w:r>
      <w:r w:rsidRPr="00F53246">
        <w:t>.</w:t>
      </w:r>
      <w:r w:rsidRPr="00F53246">
        <w:t xml:space="preserve"> New York: Wiley and Sons.</w:t>
      </w:r>
    </w:p>
    <w:p w:rsidR="0008483B" w:rsidRPr="00F53246" w:rsidP="0067695B" w14:paraId="637B2482" w14:textId="77777777">
      <w:pPr>
        <w:pStyle w:val="Default"/>
      </w:pPr>
    </w:p>
    <w:p w:rsidR="00AF54AC" w:rsidP="0067695B" w14:paraId="0634888A" w14:textId="78A3FB13">
      <w:pPr>
        <w:pStyle w:val="Default"/>
      </w:pPr>
      <w:r w:rsidRPr="00F53246">
        <w:t xml:space="preserve">Groves, R., M. Couper, S. Presser, E. Singer, R. Tourangeau, G. Acosta, and Nelson, L. (2006). Experiments in Producing Nonresponse Bias. </w:t>
      </w:r>
      <w:r w:rsidRPr="00F53246">
        <w:rPr>
          <w:iCs/>
        </w:rPr>
        <w:t>Public Opinion Quarterly</w:t>
      </w:r>
      <w:r w:rsidRPr="00F53246">
        <w:t xml:space="preserve"> 70: 720–736.</w:t>
      </w:r>
    </w:p>
    <w:p w:rsidR="003F0834" w:rsidP="0067695B" w14:paraId="45E3FB24" w14:textId="04EBC1EE">
      <w:pPr>
        <w:pStyle w:val="Default"/>
      </w:pPr>
    </w:p>
    <w:p w:rsidR="003F0834" w:rsidP="003F0834" w14:paraId="637B6DF9" w14:textId="05C23EBC">
      <w:pPr>
        <w:widowControl w:val="0"/>
        <w:pBdr>
          <w:top w:val="nil"/>
          <w:left w:val="nil"/>
          <w:bottom w:val="nil"/>
          <w:right w:val="nil"/>
          <w:between w:val="nil"/>
        </w:pBdr>
        <w:spacing w:line="240" w:lineRule="auto"/>
        <w:rPr>
          <w:color w:val="000000"/>
        </w:rPr>
      </w:pPr>
      <w:r>
        <w:rPr>
          <w:color w:val="000000"/>
        </w:rPr>
        <w:t xml:space="preserve">National Academies of Sciences, Engineering, and </w:t>
      </w:r>
      <w:r>
        <w:rPr>
          <w:color w:val="000000"/>
        </w:rPr>
        <w:t xml:space="preserve">Medicine  (2021). Data and management strategies for recreational fisheries with annual catch limits. Retrieved from https://www.nationalacademies.org/our-work/dataand-management-strategies-for-recreational-fisheries-with-annual-catchlimits. </w:t>
      </w:r>
    </w:p>
    <w:p w:rsidR="003F0834" w:rsidP="003F0834" w14:paraId="07ED5D89" w14:textId="3CDFA0A8">
      <w:pPr>
        <w:widowControl w:val="0"/>
        <w:pBdr>
          <w:top w:val="nil"/>
          <w:left w:val="nil"/>
          <w:bottom w:val="nil"/>
          <w:right w:val="nil"/>
          <w:between w:val="nil"/>
        </w:pBdr>
        <w:spacing w:line="240" w:lineRule="auto"/>
        <w:rPr>
          <w:color w:val="000000"/>
        </w:rPr>
      </w:pPr>
    </w:p>
    <w:p w:rsidR="003F0834" w:rsidRPr="00F53246" w:rsidP="003F0834" w14:paraId="6A2324B2" w14:textId="3007E36F">
      <w:pPr>
        <w:widowControl w:val="0"/>
        <w:pBdr>
          <w:top w:val="nil"/>
          <w:left w:val="nil"/>
          <w:bottom w:val="nil"/>
          <w:right w:val="nil"/>
          <w:between w:val="nil"/>
        </w:pBdr>
        <w:spacing w:line="240" w:lineRule="auto"/>
      </w:pPr>
      <w:r>
        <w:t>National Research Council  (2006). Review of recreational fisheries survey methods. Retrieved from: https://www.nap.edu/catalog/11616/review-ofrecreational-fisheries-survey-methods.</w:t>
      </w:r>
    </w:p>
    <w:p w:rsidR="005119E8" w:rsidRPr="00F53246" w:rsidP="0067695B" w14:paraId="2866CC88" w14:textId="77777777">
      <w:pPr>
        <w:pStyle w:val="Default"/>
      </w:pPr>
    </w:p>
    <w:p w:rsidR="0008483B" w:rsidRPr="00F53246" w:rsidP="0067695B" w14:paraId="0AC1524E" w14:textId="77777777">
      <w:pPr>
        <w:pStyle w:val="Default"/>
      </w:pPr>
      <w:r w:rsidRPr="00F53246">
        <w:t>Trussell</w:t>
      </w:r>
      <w:r w:rsidRPr="00F53246" w:rsidR="005119E8">
        <w:t>, N.</w:t>
      </w:r>
      <w:r w:rsidRPr="00F53246">
        <w:t xml:space="preserve"> and </w:t>
      </w:r>
      <w:r w:rsidRPr="00F53246" w:rsidR="005119E8">
        <w:t xml:space="preserve">P.J. </w:t>
      </w:r>
      <w:r w:rsidRPr="00F53246">
        <w:t>Lavrakas (2004)</w:t>
      </w:r>
      <w:r w:rsidRPr="00F53246" w:rsidR="005119E8">
        <w:t>.  The influence of incremental increases in token cash incentives on mail survey response: Is there an optimal amount?  Publ</w:t>
      </w:r>
      <w:r w:rsidRPr="00F53246" w:rsidR="00AD4658">
        <w:t>ic Opinion Quarterly</w:t>
      </w:r>
      <w:r w:rsidRPr="00F53246" w:rsidR="005119E8">
        <w:t xml:space="preserve"> 68: 349-367.</w:t>
      </w:r>
    </w:p>
    <w:sectPr w:rsidSect="00EE4FD8">
      <w:footerReference w:type="default" r:id="rId19"/>
      <w:type w:val="continuous"/>
      <w:pgSz w:w="12240" w:h="15840"/>
      <w:pgMar w:top="1440" w:right="1440" w:bottom="72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2054461"/>
      <w:docPartObj>
        <w:docPartGallery w:val="Page Numbers (Bottom of Page)"/>
        <w:docPartUnique/>
      </w:docPartObj>
    </w:sdtPr>
    <w:sdtEndPr>
      <w:rPr>
        <w:noProof/>
      </w:rPr>
    </w:sdtEndPr>
    <w:sdtContent>
      <w:p w:rsidR="008854F2" w14:paraId="0D15C91D" w14:textId="09E6F9EA">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8854F2" w:rsidP="00113646" w14:paraId="17D108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8416E" w:rsidP="00113646" w14:paraId="54CD21AC" w14:textId="77777777">
      <w:r>
        <w:separator/>
      </w:r>
    </w:p>
  </w:footnote>
  <w:footnote w:type="continuationSeparator" w:id="1">
    <w:p w:rsidR="00A8416E" w:rsidP="00113646" w14:paraId="59F12374" w14:textId="77777777">
      <w:r>
        <w:continuationSeparator/>
      </w:r>
    </w:p>
  </w:footnote>
  <w:footnote w:id="2">
    <w:p w:rsidR="008854F2" w:rsidP="001E17D0" w14:paraId="4A2540EF" w14:textId="7B99A4B2">
      <w:pPr>
        <w:pStyle w:val="FootnoteText"/>
        <w:spacing w:line="240" w:lineRule="auto"/>
      </w:pPr>
      <w:r>
        <w:rPr>
          <w:rStyle w:val="FootnoteReference"/>
        </w:rPr>
        <w:footnoteRef/>
      </w:r>
      <w:r>
        <w:t xml:space="preserve"> Data collection costs incl</w:t>
      </w:r>
      <w:r>
        <w:t>ude costs associated with printing survey materials, assembling survey packets, postage, receipting and processing completed surveys, and incentives. The relative cost per complete survey set the $0.00 incentive’s cost to 1; the other incentives’ costs wer</w:t>
      </w:r>
      <w:r>
        <w:t>e calculated relative to the $0.00 incentive’s cost. These are relative values and not true costs.</w:t>
      </w:r>
    </w:p>
  </w:footnote>
  <w:footnote w:id="3">
    <w:p w:rsidR="008854F2" w:rsidP="001E17D0" w14:paraId="1238F8FA" w14:textId="70B74775">
      <w:pPr>
        <w:pStyle w:val="FootnoteText"/>
        <w:spacing w:line="240" w:lineRule="auto"/>
      </w:pPr>
      <w:r>
        <w:rPr>
          <w:rStyle w:val="FootnoteReference"/>
        </w:rPr>
        <w:footnoteRef/>
      </w:r>
      <w:r>
        <w:t xml:space="preserve"> Based upon 2020 FES results, approximately 6% of addresses will be returned by USPS as invalid reducing the eligible sample size to 330,004 addresses.  Cal</w:t>
      </w:r>
      <w:r>
        <w:t xml:space="preserve">culations of number of respondents are based upon 330,004 addresses. </w:t>
      </w:r>
    </w:p>
  </w:footnote>
  <w:footnote w:id="4">
    <w:p w:rsidR="008854F2" w:rsidP="00BA1D54" w14:paraId="69A5FBB7" w14:textId="4C92C45F">
      <w:pPr>
        <w:pStyle w:val="FootnoteText"/>
        <w:spacing w:line="240" w:lineRule="auto"/>
      </w:pPr>
      <w:r>
        <w:rPr>
          <w:rStyle w:val="FootnoteReference"/>
        </w:rPr>
        <w:footnoteRef/>
      </w:r>
      <w:r>
        <w:t xml:space="preserve"> Annualized value for the 3-year approval period.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CAC1AAB"/>
    <w:multiLevelType w:val="hybridMultilevel"/>
    <w:tmpl w:val="3BB38E1A"/>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8ED39616"/>
    <w:multiLevelType w:val="hybridMultilevel"/>
    <w:tmpl w:val="D4233F11"/>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A3F846FD"/>
    <w:multiLevelType w:val="hybridMultilevel"/>
    <w:tmpl w:val="539D91F8"/>
    <w:lvl w:ilvl="0">
      <w:start w:val="1"/>
      <w:numFmt w:val="decimal"/>
      <w:lvlText w:val="%1"/>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A6A258E6"/>
    <w:multiLevelType w:val="hybridMultilevel"/>
    <w:tmpl w:val="3A9DE0BF"/>
    <w:lvl w:ilvl="0">
      <w:start w:val="1"/>
      <w:numFmt w:val="decimal"/>
      <w:lvlText w:val="%1"/>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AFB28AEC"/>
    <w:multiLevelType w:val="hybridMultilevel"/>
    <w:tmpl w:val="472C145C"/>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D0957B53"/>
    <w:multiLevelType w:val="hybridMultilevel"/>
    <w:tmpl w:val="8598F8D5"/>
    <w:lvl w:ilvl="0">
      <w:start w:val="1"/>
      <w:numFmt w:val="decimal"/>
      <w:lvlJc w:val="left"/>
      <w:rPr>
        <w:rFonts w:cs="Times New Roman"/>
      </w:rPr>
    </w:lvl>
    <w:lvl w:ilvl="1">
      <w:start w:val="1"/>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01C47BFA"/>
    <w:multiLevelType w:val="hybridMultilevel"/>
    <w:tmpl w:val="79AC2A26"/>
    <w:lvl w:ilvl="0">
      <w:start w:val="1"/>
      <w:numFmt w:val="bullet"/>
      <w:pStyle w:val="Norm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324B40"/>
    <w:multiLevelType w:val="hybridMultilevel"/>
    <w:tmpl w:val="FB544BEA"/>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9">
    <w:nsid w:val="07EA5FB2"/>
    <w:multiLevelType w:val="hybridMultilevel"/>
    <w:tmpl w:val="90C2CF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10098C"/>
    <w:multiLevelType w:val="hybridMultilevel"/>
    <w:tmpl w:val="ADDA0B58"/>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10A67027"/>
    <w:multiLevelType w:val="hybridMultilevel"/>
    <w:tmpl w:val="766EC89E"/>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start w:val="1"/>
      <w:numFmt w:val="decimal"/>
      <w:lvlText w:val="%4."/>
      <w:lvlJc w:val="left"/>
      <w:pPr>
        <w:ind w:left="2970" w:hanging="360"/>
      </w:pPr>
      <w:rPr>
        <w:rFonts w:hint="default"/>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14E70358"/>
    <w:multiLevelType w:val="hybridMultilevel"/>
    <w:tmpl w:val="C72C6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A56749"/>
    <w:multiLevelType w:val="hybridMultilevel"/>
    <w:tmpl w:val="4B1CD3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37DC31F3"/>
    <w:multiLevelType w:val="hybridMultilevel"/>
    <w:tmpl w:val="871E3492"/>
    <w:lvl w:ilvl="0">
      <w:start w:val="1"/>
      <w:numFmt w:val="decimal"/>
      <w:lvlText w:val="%1."/>
      <w:lvlJc w:val="left"/>
      <w:pPr>
        <w:ind w:left="900" w:hanging="360"/>
      </w:pPr>
      <w:rPr>
        <w:rFonts w:hint="default"/>
        <w:vertAlign w:val="subscrip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46B251B1"/>
    <w:multiLevelType w:val="hybridMultilevel"/>
    <w:tmpl w:val="E5AC76D6"/>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5C7921"/>
    <w:multiLevelType w:val="hybridMultilevel"/>
    <w:tmpl w:val="766EC89E"/>
    <w:lvl w:ilvl="0">
      <w:start w:val="1"/>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decimal"/>
      <w:lvlText w:val="%3."/>
      <w:lvlJc w:val="left"/>
      <w:pPr>
        <w:ind w:left="2430" w:hanging="360"/>
      </w:pPr>
      <w:rPr>
        <w:rFonts w:hint="default"/>
      </w:rPr>
    </w:lvl>
    <w:lvl w:ilvl="3">
      <w:start w:val="1"/>
      <w:numFmt w:val="decimal"/>
      <w:lvlText w:val="%4."/>
      <w:lvlJc w:val="left"/>
      <w:pPr>
        <w:ind w:left="2970" w:hanging="360"/>
      </w:pPr>
      <w:rPr>
        <w:rFonts w:hint="default"/>
      </w:r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
    <w:nsid w:val="670B6DBF"/>
    <w:multiLevelType w:val="hybridMultilevel"/>
    <w:tmpl w:val="3774BC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3B5ED0"/>
    <w:multiLevelType w:val="hybridMultilevel"/>
    <w:tmpl w:val="EA683FF0"/>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283B96"/>
    <w:multiLevelType w:val="hybridMultilevel"/>
    <w:tmpl w:val="4C302A8A"/>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BC3FB7"/>
    <w:multiLevelType w:val="hybridMultilevel"/>
    <w:tmpl w:val="2D8007C4"/>
    <w:lvl w:ilvl="0">
      <w:start w:val="1"/>
      <w:numFmt w:val="decimal"/>
      <w:lvlText w:val="%1)"/>
      <w:lvlJc w:val="left"/>
      <w:pPr>
        <w:ind w:left="720" w:hanging="360"/>
      </w:pPr>
      <w:rPr>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20"/>
  </w:num>
  <w:num w:numId="12">
    <w:abstractNumId w:val="9"/>
  </w:num>
  <w:num w:numId="13">
    <w:abstractNumId w:val="18"/>
  </w:num>
  <w:num w:numId="14">
    <w:abstractNumId w:val="21"/>
  </w:num>
  <w:num w:numId="15">
    <w:abstractNumId w:val="15"/>
  </w:num>
  <w:num w:numId="16">
    <w:abstractNumId w:val="16"/>
  </w:num>
  <w:num w:numId="17">
    <w:abstractNumId w:val="19"/>
  </w:num>
  <w:num w:numId="18">
    <w:abstractNumId w:val="6"/>
  </w:num>
  <w:num w:numId="19">
    <w:abstractNumId w:val="13"/>
  </w:num>
  <w:num w:numId="20">
    <w:abstractNumId w:val="17"/>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B4"/>
    <w:rsid w:val="00000D63"/>
    <w:rsid w:val="000038AC"/>
    <w:rsid w:val="00003B9D"/>
    <w:rsid w:val="00004409"/>
    <w:rsid w:val="00005AA2"/>
    <w:rsid w:val="000062CD"/>
    <w:rsid w:val="00007F30"/>
    <w:rsid w:val="0001207B"/>
    <w:rsid w:val="00014CCB"/>
    <w:rsid w:val="00017FBB"/>
    <w:rsid w:val="000204E9"/>
    <w:rsid w:val="00020554"/>
    <w:rsid w:val="00026A2B"/>
    <w:rsid w:val="0003021F"/>
    <w:rsid w:val="00030F34"/>
    <w:rsid w:val="00031684"/>
    <w:rsid w:val="000317CA"/>
    <w:rsid w:val="000342D8"/>
    <w:rsid w:val="00034B68"/>
    <w:rsid w:val="00034F4C"/>
    <w:rsid w:val="00035B71"/>
    <w:rsid w:val="00035BCA"/>
    <w:rsid w:val="00035FBB"/>
    <w:rsid w:val="00036C03"/>
    <w:rsid w:val="00037EDA"/>
    <w:rsid w:val="0004003B"/>
    <w:rsid w:val="0004396A"/>
    <w:rsid w:val="00044006"/>
    <w:rsid w:val="0004426C"/>
    <w:rsid w:val="0004436D"/>
    <w:rsid w:val="00046927"/>
    <w:rsid w:val="00050AD7"/>
    <w:rsid w:val="00050B6B"/>
    <w:rsid w:val="00052DD7"/>
    <w:rsid w:val="0005404E"/>
    <w:rsid w:val="000550B2"/>
    <w:rsid w:val="00055B09"/>
    <w:rsid w:val="000579D0"/>
    <w:rsid w:val="00063325"/>
    <w:rsid w:val="00070722"/>
    <w:rsid w:val="0007127D"/>
    <w:rsid w:val="0007190B"/>
    <w:rsid w:val="00071AFF"/>
    <w:rsid w:val="00071C03"/>
    <w:rsid w:val="000720C8"/>
    <w:rsid w:val="000740E5"/>
    <w:rsid w:val="000759D9"/>
    <w:rsid w:val="00080206"/>
    <w:rsid w:val="0008483B"/>
    <w:rsid w:val="00085800"/>
    <w:rsid w:val="0008691A"/>
    <w:rsid w:val="0008695B"/>
    <w:rsid w:val="00087830"/>
    <w:rsid w:val="00090987"/>
    <w:rsid w:val="00091F29"/>
    <w:rsid w:val="00093E43"/>
    <w:rsid w:val="000972D5"/>
    <w:rsid w:val="000A1F73"/>
    <w:rsid w:val="000A44F9"/>
    <w:rsid w:val="000A5083"/>
    <w:rsid w:val="000A70DE"/>
    <w:rsid w:val="000B0DAE"/>
    <w:rsid w:val="000B1501"/>
    <w:rsid w:val="000B15F3"/>
    <w:rsid w:val="000B3134"/>
    <w:rsid w:val="000B3D86"/>
    <w:rsid w:val="000B54A1"/>
    <w:rsid w:val="000B5B5A"/>
    <w:rsid w:val="000C1298"/>
    <w:rsid w:val="000C1733"/>
    <w:rsid w:val="000C1C68"/>
    <w:rsid w:val="000C21C2"/>
    <w:rsid w:val="000C4887"/>
    <w:rsid w:val="000C5703"/>
    <w:rsid w:val="000D0B11"/>
    <w:rsid w:val="000D1559"/>
    <w:rsid w:val="000D2404"/>
    <w:rsid w:val="000D3A23"/>
    <w:rsid w:val="000D498B"/>
    <w:rsid w:val="000D6336"/>
    <w:rsid w:val="000D6395"/>
    <w:rsid w:val="000E1037"/>
    <w:rsid w:val="000E139A"/>
    <w:rsid w:val="000E7024"/>
    <w:rsid w:val="000F3013"/>
    <w:rsid w:val="000F3B48"/>
    <w:rsid w:val="000F43A7"/>
    <w:rsid w:val="001018FF"/>
    <w:rsid w:val="001028F2"/>
    <w:rsid w:val="00103825"/>
    <w:rsid w:val="001051DF"/>
    <w:rsid w:val="00106752"/>
    <w:rsid w:val="0011103D"/>
    <w:rsid w:val="00112F7D"/>
    <w:rsid w:val="00113482"/>
    <w:rsid w:val="00113646"/>
    <w:rsid w:val="001158A9"/>
    <w:rsid w:val="0012002A"/>
    <w:rsid w:val="001219E7"/>
    <w:rsid w:val="00121ECB"/>
    <w:rsid w:val="001311AA"/>
    <w:rsid w:val="0013252E"/>
    <w:rsid w:val="00133448"/>
    <w:rsid w:val="00134A3B"/>
    <w:rsid w:val="00134B26"/>
    <w:rsid w:val="00136F8F"/>
    <w:rsid w:val="00140BF3"/>
    <w:rsid w:val="00141A03"/>
    <w:rsid w:val="00144581"/>
    <w:rsid w:val="0014484A"/>
    <w:rsid w:val="00146058"/>
    <w:rsid w:val="001463B5"/>
    <w:rsid w:val="00146859"/>
    <w:rsid w:val="001514E3"/>
    <w:rsid w:val="00152130"/>
    <w:rsid w:val="0015273E"/>
    <w:rsid w:val="00153525"/>
    <w:rsid w:val="001548A5"/>
    <w:rsid w:val="00155680"/>
    <w:rsid w:val="00155EBD"/>
    <w:rsid w:val="00156E3E"/>
    <w:rsid w:val="00157852"/>
    <w:rsid w:val="00160BC3"/>
    <w:rsid w:val="00165BAC"/>
    <w:rsid w:val="00167E58"/>
    <w:rsid w:val="00172F48"/>
    <w:rsid w:val="001738BD"/>
    <w:rsid w:val="00174172"/>
    <w:rsid w:val="001765A4"/>
    <w:rsid w:val="00176D16"/>
    <w:rsid w:val="00176F8E"/>
    <w:rsid w:val="0017777D"/>
    <w:rsid w:val="0018033A"/>
    <w:rsid w:val="001807BF"/>
    <w:rsid w:val="00180FFA"/>
    <w:rsid w:val="001814E6"/>
    <w:rsid w:val="00182B98"/>
    <w:rsid w:val="00184F1B"/>
    <w:rsid w:val="0018522F"/>
    <w:rsid w:val="001870BE"/>
    <w:rsid w:val="0019150A"/>
    <w:rsid w:val="0019338A"/>
    <w:rsid w:val="00195F17"/>
    <w:rsid w:val="0019620B"/>
    <w:rsid w:val="001A0D02"/>
    <w:rsid w:val="001A4948"/>
    <w:rsid w:val="001A4B34"/>
    <w:rsid w:val="001A5818"/>
    <w:rsid w:val="001A7075"/>
    <w:rsid w:val="001A7165"/>
    <w:rsid w:val="001B3141"/>
    <w:rsid w:val="001B4515"/>
    <w:rsid w:val="001C0B5B"/>
    <w:rsid w:val="001C560B"/>
    <w:rsid w:val="001C6344"/>
    <w:rsid w:val="001C7544"/>
    <w:rsid w:val="001D1DFE"/>
    <w:rsid w:val="001D1F90"/>
    <w:rsid w:val="001D37B1"/>
    <w:rsid w:val="001D69E7"/>
    <w:rsid w:val="001D70C6"/>
    <w:rsid w:val="001E01E9"/>
    <w:rsid w:val="001E17D0"/>
    <w:rsid w:val="001E1BE2"/>
    <w:rsid w:val="001E2180"/>
    <w:rsid w:val="001E2542"/>
    <w:rsid w:val="001E28FF"/>
    <w:rsid w:val="001E2CE9"/>
    <w:rsid w:val="001E747E"/>
    <w:rsid w:val="001E7891"/>
    <w:rsid w:val="001F1D64"/>
    <w:rsid w:val="001F58A9"/>
    <w:rsid w:val="001F60E9"/>
    <w:rsid w:val="001F69AF"/>
    <w:rsid w:val="002011BA"/>
    <w:rsid w:val="00201D8C"/>
    <w:rsid w:val="0020293C"/>
    <w:rsid w:val="00205701"/>
    <w:rsid w:val="00207CA9"/>
    <w:rsid w:val="00210CAC"/>
    <w:rsid w:val="00212252"/>
    <w:rsid w:val="0021267A"/>
    <w:rsid w:val="00214B19"/>
    <w:rsid w:val="002150C3"/>
    <w:rsid w:val="002168E6"/>
    <w:rsid w:val="00222D6D"/>
    <w:rsid w:val="002241C4"/>
    <w:rsid w:val="002247A4"/>
    <w:rsid w:val="0022506E"/>
    <w:rsid w:val="002277FD"/>
    <w:rsid w:val="00227F4B"/>
    <w:rsid w:val="00230A4C"/>
    <w:rsid w:val="00233A97"/>
    <w:rsid w:val="00234477"/>
    <w:rsid w:val="00234EE8"/>
    <w:rsid w:val="00237423"/>
    <w:rsid w:val="00240A96"/>
    <w:rsid w:val="00241FB7"/>
    <w:rsid w:val="0024286F"/>
    <w:rsid w:val="00245C87"/>
    <w:rsid w:val="002462F5"/>
    <w:rsid w:val="00251A5B"/>
    <w:rsid w:val="002524A0"/>
    <w:rsid w:val="00256048"/>
    <w:rsid w:val="00256391"/>
    <w:rsid w:val="00262E2F"/>
    <w:rsid w:val="00263B66"/>
    <w:rsid w:val="002641F4"/>
    <w:rsid w:val="002655FF"/>
    <w:rsid w:val="00270DD1"/>
    <w:rsid w:val="00272912"/>
    <w:rsid w:val="00273D4F"/>
    <w:rsid w:val="00275C65"/>
    <w:rsid w:val="00276244"/>
    <w:rsid w:val="0027658E"/>
    <w:rsid w:val="00277387"/>
    <w:rsid w:val="00277461"/>
    <w:rsid w:val="00277DE0"/>
    <w:rsid w:val="00280D30"/>
    <w:rsid w:val="002830A9"/>
    <w:rsid w:val="002860A4"/>
    <w:rsid w:val="00286A96"/>
    <w:rsid w:val="00287B93"/>
    <w:rsid w:val="002905CE"/>
    <w:rsid w:val="0029186A"/>
    <w:rsid w:val="00293002"/>
    <w:rsid w:val="00293BB4"/>
    <w:rsid w:val="00294B83"/>
    <w:rsid w:val="002950AE"/>
    <w:rsid w:val="00296715"/>
    <w:rsid w:val="0029700B"/>
    <w:rsid w:val="002A0601"/>
    <w:rsid w:val="002A2154"/>
    <w:rsid w:val="002A261B"/>
    <w:rsid w:val="002A2EBF"/>
    <w:rsid w:val="002A3717"/>
    <w:rsid w:val="002A3F35"/>
    <w:rsid w:val="002A4167"/>
    <w:rsid w:val="002A4C1B"/>
    <w:rsid w:val="002A55C8"/>
    <w:rsid w:val="002B0B7E"/>
    <w:rsid w:val="002B1668"/>
    <w:rsid w:val="002B258B"/>
    <w:rsid w:val="002B66E4"/>
    <w:rsid w:val="002B72A1"/>
    <w:rsid w:val="002C1F8A"/>
    <w:rsid w:val="002C720B"/>
    <w:rsid w:val="002D484F"/>
    <w:rsid w:val="002D527D"/>
    <w:rsid w:val="002D7C55"/>
    <w:rsid w:val="002E0C99"/>
    <w:rsid w:val="002E191E"/>
    <w:rsid w:val="002E1D70"/>
    <w:rsid w:val="002E1E8A"/>
    <w:rsid w:val="002E1EE7"/>
    <w:rsid w:val="002E3081"/>
    <w:rsid w:val="002E4D41"/>
    <w:rsid w:val="002E6295"/>
    <w:rsid w:val="002E69D8"/>
    <w:rsid w:val="002E7126"/>
    <w:rsid w:val="002E7129"/>
    <w:rsid w:val="002F0223"/>
    <w:rsid w:val="002F1D40"/>
    <w:rsid w:val="002F5D9C"/>
    <w:rsid w:val="002F6E08"/>
    <w:rsid w:val="002F70EC"/>
    <w:rsid w:val="00300690"/>
    <w:rsid w:val="00302CA0"/>
    <w:rsid w:val="003037AF"/>
    <w:rsid w:val="00304F1D"/>
    <w:rsid w:val="003065F9"/>
    <w:rsid w:val="00311434"/>
    <w:rsid w:val="0031258C"/>
    <w:rsid w:val="0031320F"/>
    <w:rsid w:val="003141DB"/>
    <w:rsid w:val="00314635"/>
    <w:rsid w:val="00316560"/>
    <w:rsid w:val="00320755"/>
    <w:rsid w:val="003217DB"/>
    <w:rsid w:val="00324D2A"/>
    <w:rsid w:val="00326043"/>
    <w:rsid w:val="00327919"/>
    <w:rsid w:val="003303B2"/>
    <w:rsid w:val="00330E6F"/>
    <w:rsid w:val="003316D4"/>
    <w:rsid w:val="003320DD"/>
    <w:rsid w:val="00332DF5"/>
    <w:rsid w:val="003343C2"/>
    <w:rsid w:val="00336322"/>
    <w:rsid w:val="00337F5B"/>
    <w:rsid w:val="00340CAC"/>
    <w:rsid w:val="00341063"/>
    <w:rsid w:val="00341F44"/>
    <w:rsid w:val="00343EC7"/>
    <w:rsid w:val="00344492"/>
    <w:rsid w:val="003500CA"/>
    <w:rsid w:val="003505D2"/>
    <w:rsid w:val="00354601"/>
    <w:rsid w:val="00355C30"/>
    <w:rsid w:val="00356DAE"/>
    <w:rsid w:val="00357077"/>
    <w:rsid w:val="003571EF"/>
    <w:rsid w:val="00357F1E"/>
    <w:rsid w:val="00362D11"/>
    <w:rsid w:val="00363449"/>
    <w:rsid w:val="003638C0"/>
    <w:rsid w:val="003661B2"/>
    <w:rsid w:val="00366D16"/>
    <w:rsid w:val="00371B4F"/>
    <w:rsid w:val="00372ED4"/>
    <w:rsid w:val="003776C5"/>
    <w:rsid w:val="00380C86"/>
    <w:rsid w:val="003818CD"/>
    <w:rsid w:val="00383C67"/>
    <w:rsid w:val="00384306"/>
    <w:rsid w:val="003856EB"/>
    <w:rsid w:val="00390ACB"/>
    <w:rsid w:val="00391C31"/>
    <w:rsid w:val="00395A9B"/>
    <w:rsid w:val="00395F44"/>
    <w:rsid w:val="0039658A"/>
    <w:rsid w:val="00396763"/>
    <w:rsid w:val="003974A4"/>
    <w:rsid w:val="003A1085"/>
    <w:rsid w:val="003A18DE"/>
    <w:rsid w:val="003A5B61"/>
    <w:rsid w:val="003B0392"/>
    <w:rsid w:val="003B0EB6"/>
    <w:rsid w:val="003B180C"/>
    <w:rsid w:val="003B1FD0"/>
    <w:rsid w:val="003B4604"/>
    <w:rsid w:val="003B52FD"/>
    <w:rsid w:val="003B565F"/>
    <w:rsid w:val="003C4F3D"/>
    <w:rsid w:val="003C5C4F"/>
    <w:rsid w:val="003C6185"/>
    <w:rsid w:val="003C619B"/>
    <w:rsid w:val="003C75FB"/>
    <w:rsid w:val="003D1795"/>
    <w:rsid w:val="003D1CB8"/>
    <w:rsid w:val="003D1E5A"/>
    <w:rsid w:val="003D3119"/>
    <w:rsid w:val="003D3D44"/>
    <w:rsid w:val="003D4330"/>
    <w:rsid w:val="003D4E5C"/>
    <w:rsid w:val="003D5324"/>
    <w:rsid w:val="003D603E"/>
    <w:rsid w:val="003D6225"/>
    <w:rsid w:val="003D6C51"/>
    <w:rsid w:val="003D6DF7"/>
    <w:rsid w:val="003E075E"/>
    <w:rsid w:val="003E1D98"/>
    <w:rsid w:val="003E333E"/>
    <w:rsid w:val="003E5609"/>
    <w:rsid w:val="003E5707"/>
    <w:rsid w:val="003E6B31"/>
    <w:rsid w:val="003E6D9B"/>
    <w:rsid w:val="003E79D8"/>
    <w:rsid w:val="003F0834"/>
    <w:rsid w:val="003F0C90"/>
    <w:rsid w:val="003F1BCB"/>
    <w:rsid w:val="003F1DAF"/>
    <w:rsid w:val="003F320D"/>
    <w:rsid w:val="003F3807"/>
    <w:rsid w:val="003F3DB8"/>
    <w:rsid w:val="003F494A"/>
    <w:rsid w:val="003F4B52"/>
    <w:rsid w:val="003F4D3E"/>
    <w:rsid w:val="003F57CC"/>
    <w:rsid w:val="003F65FD"/>
    <w:rsid w:val="003F6663"/>
    <w:rsid w:val="003F6838"/>
    <w:rsid w:val="00401EF4"/>
    <w:rsid w:val="004029AF"/>
    <w:rsid w:val="00404003"/>
    <w:rsid w:val="00404324"/>
    <w:rsid w:val="004049E2"/>
    <w:rsid w:val="004066D2"/>
    <w:rsid w:val="004075FF"/>
    <w:rsid w:val="004101FF"/>
    <w:rsid w:val="00410886"/>
    <w:rsid w:val="00411641"/>
    <w:rsid w:val="004137F1"/>
    <w:rsid w:val="0041398B"/>
    <w:rsid w:val="004156C1"/>
    <w:rsid w:val="004174CF"/>
    <w:rsid w:val="0042263F"/>
    <w:rsid w:val="00423EDA"/>
    <w:rsid w:val="004241AC"/>
    <w:rsid w:val="00425897"/>
    <w:rsid w:val="004261E3"/>
    <w:rsid w:val="00427B97"/>
    <w:rsid w:val="00430499"/>
    <w:rsid w:val="00430790"/>
    <w:rsid w:val="00430B80"/>
    <w:rsid w:val="00431543"/>
    <w:rsid w:val="00431D7F"/>
    <w:rsid w:val="00434CE2"/>
    <w:rsid w:val="004352D0"/>
    <w:rsid w:val="0044117E"/>
    <w:rsid w:val="004419A9"/>
    <w:rsid w:val="00441F12"/>
    <w:rsid w:val="00442981"/>
    <w:rsid w:val="00443A0B"/>
    <w:rsid w:val="00445317"/>
    <w:rsid w:val="00445523"/>
    <w:rsid w:val="00450D05"/>
    <w:rsid w:val="00451322"/>
    <w:rsid w:val="00452389"/>
    <w:rsid w:val="004525D1"/>
    <w:rsid w:val="004535CD"/>
    <w:rsid w:val="00453A07"/>
    <w:rsid w:val="0045480D"/>
    <w:rsid w:val="00456CD7"/>
    <w:rsid w:val="00457C5A"/>
    <w:rsid w:val="00460E5B"/>
    <w:rsid w:val="00461124"/>
    <w:rsid w:val="004621AE"/>
    <w:rsid w:val="0046451F"/>
    <w:rsid w:val="00464B9B"/>
    <w:rsid w:val="00464FDB"/>
    <w:rsid w:val="00466115"/>
    <w:rsid w:val="00470478"/>
    <w:rsid w:val="00470C66"/>
    <w:rsid w:val="00470E33"/>
    <w:rsid w:val="004717DD"/>
    <w:rsid w:val="00472FF3"/>
    <w:rsid w:val="004757CB"/>
    <w:rsid w:val="00475EC2"/>
    <w:rsid w:val="00480147"/>
    <w:rsid w:val="004806B5"/>
    <w:rsid w:val="00483AC7"/>
    <w:rsid w:val="00483CFD"/>
    <w:rsid w:val="00487FF5"/>
    <w:rsid w:val="0049053E"/>
    <w:rsid w:val="004929E1"/>
    <w:rsid w:val="004932DD"/>
    <w:rsid w:val="004941F3"/>
    <w:rsid w:val="004944E4"/>
    <w:rsid w:val="004A097B"/>
    <w:rsid w:val="004A15B1"/>
    <w:rsid w:val="004A3309"/>
    <w:rsid w:val="004A36C7"/>
    <w:rsid w:val="004A4F4F"/>
    <w:rsid w:val="004A61E1"/>
    <w:rsid w:val="004A67A2"/>
    <w:rsid w:val="004B002B"/>
    <w:rsid w:val="004B4380"/>
    <w:rsid w:val="004B65B5"/>
    <w:rsid w:val="004B71B9"/>
    <w:rsid w:val="004C1DF3"/>
    <w:rsid w:val="004C220C"/>
    <w:rsid w:val="004C277F"/>
    <w:rsid w:val="004C2DB9"/>
    <w:rsid w:val="004C3223"/>
    <w:rsid w:val="004C39E0"/>
    <w:rsid w:val="004C4395"/>
    <w:rsid w:val="004C4EDC"/>
    <w:rsid w:val="004D09D9"/>
    <w:rsid w:val="004D0E29"/>
    <w:rsid w:val="004D290F"/>
    <w:rsid w:val="004D3DFF"/>
    <w:rsid w:val="004D52A3"/>
    <w:rsid w:val="004D6794"/>
    <w:rsid w:val="004D7FF9"/>
    <w:rsid w:val="004E0138"/>
    <w:rsid w:val="004E037E"/>
    <w:rsid w:val="004E0A4F"/>
    <w:rsid w:val="004E0AB8"/>
    <w:rsid w:val="004E0E5E"/>
    <w:rsid w:val="004E34D8"/>
    <w:rsid w:val="004E4D39"/>
    <w:rsid w:val="004E5749"/>
    <w:rsid w:val="004E59E1"/>
    <w:rsid w:val="004E5E5B"/>
    <w:rsid w:val="004E6A18"/>
    <w:rsid w:val="004E7EB5"/>
    <w:rsid w:val="004F1796"/>
    <w:rsid w:val="004F4B07"/>
    <w:rsid w:val="004F620E"/>
    <w:rsid w:val="005003AC"/>
    <w:rsid w:val="00500F76"/>
    <w:rsid w:val="00502721"/>
    <w:rsid w:val="00502CBD"/>
    <w:rsid w:val="00506FB1"/>
    <w:rsid w:val="00510DBF"/>
    <w:rsid w:val="0051190F"/>
    <w:rsid w:val="005119E8"/>
    <w:rsid w:val="005122FF"/>
    <w:rsid w:val="00513413"/>
    <w:rsid w:val="005177F3"/>
    <w:rsid w:val="00524B90"/>
    <w:rsid w:val="00525663"/>
    <w:rsid w:val="00532841"/>
    <w:rsid w:val="005335FF"/>
    <w:rsid w:val="00534694"/>
    <w:rsid w:val="00534B2D"/>
    <w:rsid w:val="00534B56"/>
    <w:rsid w:val="00543FC0"/>
    <w:rsid w:val="00546488"/>
    <w:rsid w:val="005472DE"/>
    <w:rsid w:val="00547F18"/>
    <w:rsid w:val="00552A6F"/>
    <w:rsid w:val="00565196"/>
    <w:rsid w:val="00565DE9"/>
    <w:rsid w:val="00565FB5"/>
    <w:rsid w:val="005675A9"/>
    <w:rsid w:val="00567973"/>
    <w:rsid w:val="00570384"/>
    <w:rsid w:val="00571157"/>
    <w:rsid w:val="0057160C"/>
    <w:rsid w:val="0057177E"/>
    <w:rsid w:val="00574181"/>
    <w:rsid w:val="00574D59"/>
    <w:rsid w:val="005762C7"/>
    <w:rsid w:val="00576621"/>
    <w:rsid w:val="00580122"/>
    <w:rsid w:val="00583FEC"/>
    <w:rsid w:val="00585EB8"/>
    <w:rsid w:val="00585F8C"/>
    <w:rsid w:val="00587C2A"/>
    <w:rsid w:val="00587C2D"/>
    <w:rsid w:val="0059202B"/>
    <w:rsid w:val="00593336"/>
    <w:rsid w:val="005934D2"/>
    <w:rsid w:val="00594576"/>
    <w:rsid w:val="00594669"/>
    <w:rsid w:val="005949F7"/>
    <w:rsid w:val="005967EB"/>
    <w:rsid w:val="0059687E"/>
    <w:rsid w:val="00596A94"/>
    <w:rsid w:val="005A0DBD"/>
    <w:rsid w:val="005A5894"/>
    <w:rsid w:val="005A656E"/>
    <w:rsid w:val="005A6BA7"/>
    <w:rsid w:val="005B038A"/>
    <w:rsid w:val="005B2836"/>
    <w:rsid w:val="005B2995"/>
    <w:rsid w:val="005B35F4"/>
    <w:rsid w:val="005B45A6"/>
    <w:rsid w:val="005B729E"/>
    <w:rsid w:val="005B7642"/>
    <w:rsid w:val="005C055C"/>
    <w:rsid w:val="005C0FEB"/>
    <w:rsid w:val="005C1887"/>
    <w:rsid w:val="005C1A17"/>
    <w:rsid w:val="005C20C1"/>
    <w:rsid w:val="005C2228"/>
    <w:rsid w:val="005C613E"/>
    <w:rsid w:val="005C645B"/>
    <w:rsid w:val="005C6472"/>
    <w:rsid w:val="005C659A"/>
    <w:rsid w:val="005C7315"/>
    <w:rsid w:val="005C74EB"/>
    <w:rsid w:val="005D0B8D"/>
    <w:rsid w:val="005D2B73"/>
    <w:rsid w:val="005D2DEA"/>
    <w:rsid w:val="005E0061"/>
    <w:rsid w:val="005E070A"/>
    <w:rsid w:val="005E2138"/>
    <w:rsid w:val="005E23E7"/>
    <w:rsid w:val="005E3790"/>
    <w:rsid w:val="005F0349"/>
    <w:rsid w:val="005F07D3"/>
    <w:rsid w:val="005F2171"/>
    <w:rsid w:val="005F3569"/>
    <w:rsid w:val="005F4633"/>
    <w:rsid w:val="0060050F"/>
    <w:rsid w:val="0060080A"/>
    <w:rsid w:val="0060504E"/>
    <w:rsid w:val="00610278"/>
    <w:rsid w:val="00612918"/>
    <w:rsid w:val="00613B51"/>
    <w:rsid w:val="0061409F"/>
    <w:rsid w:val="00614FAB"/>
    <w:rsid w:val="00615D86"/>
    <w:rsid w:val="006161C2"/>
    <w:rsid w:val="00616369"/>
    <w:rsid w:val="00617D6B"/>
    <w:rsid w:val="006225DE"/>
    <w:rsid w:val="00625734"/>
    <w:rsid w:val="006263F0"/>
    <w:rsid w:val="006270E0"/>
    <w:rsid w:val="00630C93"/>
    <w:rsid w:val="00631E16"/>
    <w:rsid w:val="00632866"/>
    <w:rsid w:val="00633DF1"/>
    <w:rsid w:val="006354BE"/>
    <w:rsid w:val="00636AFC"/>
    <w:rsid w:val="00637759"/>
    <w:rsid w:val="00637BDD"/>
    <w:rsid w:val="00644FE4"/>
    <w:rsid w:val="006473C1"/>
    <w:rsid w:val="00650668"/>
    <w:rsid w:val="00651656"/>
    <w:rsid w:val="00654C4B"/>
    <w:rsid w:val="00654F42"/>
    <w:rsid w:val="006560E0"/>
    <w:rsid w:val="00656305"/>
    <w:rsid w:val="00656B4D"/>
    <w:rsid w:val="00656BDB"/>
    <w:rsid w:val="006575C7"/>
    <w:rsid w:val="00660577"/>
    <w:rsid w:val="00660D4E"/>
    <w:rsid w:val="0066136B"/>
    <w:rsid w:val="006627F0"/>
    <w:rsid w:val="006657AE"/>
    <w:rsid w:val="006665B2"/>
    <w:rsid w:val="0066689C"/>
    <w:rsid w:val="006701BC"/>
    <w:rsid w:val="00670EC2"/>
    <w:rsid w:val="00672770"/>
    <w:rsid w:val="00673C65"/>
    <w:rsid w:val="0067432E"/>
    <w:rsid w:val="0067436E"/>
    <w:rsid w:val="00675141"/>
    <w:rsid w:val="0067695B"/>
    <w:rsid w:val="006810D0"/>
    <w:rsid w:val="006813B1"/>
    <w:rsid w:val="00682914"/>
    <w:rsid w:val="00684A5E"/>
    <w:rsid w:val="006850F5"/>
    <w:rsid w:val="00686221"/>
    <w:rsid w:val="00690982"/>
    <w:rsid w:val="00690C39"/>
    <w:rsid w:val="00691B6F"/>
    <w:rsid w:val="00693399"/>
    <w:rsid w:val="006A0B55"/>
    <w:rsid w:val="006A1838"/>
    <w:rsid w:val="006A1904"/>
    <w:rsid w:val="006A3ACA"/>
    <w:rsid w:val="006A5306"/>
    <w:rsid w:val="006B11C2"/>
    <w:rsid w:val="006B313C"/>
    <w:rsid w:val="006B4346"/>
    <w:rsid w:val="006B5997"/>
    <w:rsid w:val="006B600C"/>
    <w:rsid w:val="006B6EE5"/>
    <w:rsid w:val="006B7D2B"/>
    <w:rsid w:val="006C3B8A"/>
    <w:rsid w:val="006C4B1F"/>
    <w:rsid w:val="006C587D"/>
    <w:rsid w:val="006C7E76"/>
    <w:rsid w:val="006D1F26"/>
    <w:rsid w:val="006D2325"/>
    <w:rsid w:val="006D2F7F"/>
    <w:rsid w:val="006D30CE"/>
    <w:rsid w:val="006D30F4"/>
    <w:rsid w:val="006D517B"/>
    <w:rsid w:val="006D560F"/>
    <w:rsid w:val="006D7657"/>
    <w:rsid w:val="006D78DF"/>
    <w:rsid w:val="006E07EE"/>
    <w:rsid w:val="006E56A4"/>
    <w:rsid w:val="006E6D07"/>
    <w:rsid w:val="006F020C"/>
    <w:rsid w:val="006F1D15"/>
    <w:rsid w:val="006F4860"/>
    <w:rsid w:val="006F4A8B"/>
    <w:rsid w:val="006F5C04"/>
    <w:rsid w:val="006F7014"/>
    <w:rsid w:val="00700696"/>
    <w:rsid w:val="00700FA7"/>
    <w:rsid w:val="00701EE7"/>
    <w:rsid w:val="00702945"/>
    <w:rsid w:val="00703623"/>
    <w:rsid w:val="00710845"/>
    <w:rsid w:val="00712A25"/>
    <w:rsid w:val="00713CE0"/>
    <w:rsid w:val="00714A39"/>
    <w:rsid w:val="00717E76"/>
    <w:rsid w:val="00721FC7"/>
    <w:rsid w:val="00724BE4"/>
    <w:rsid w:val="007306EE"/>
    <w:rsid w:val="00734039"/>
    <w:rsid w:val="007343F0"/>
    <w:rsid w:val="00735655"/>
    <w:rsid w:val="007455E0"/>
    <w:rsid w:val="007471CE"/>
    <w:rsid w:val="00751F83"/>
    <w:rsid w:val="00753E71"/>
    <w:rsid w:val="00754D4A"/>
    <w:rsid w:val="007562BF"/>
    <w:rsid w:val="00757FCF"/>
    <w:rsid w:val="00760A6E"/>
    <w:rsid w:val="00760F9C"/>
    <w:rsid w:val="00760FB1"/>
    <w:rsid w:val="00762EC4"/>
    <w:rsid w:val="00763DE2"/>
    <w:rsid w:val="0076557F"/>
    <w:rsid w:val="0076672E"/>
    <w:rsid w:val="00770FDA"/>
    <w:rsid w:val="007713B3"/>
    <w:rsid w:val="00772BA5"/>
    <w:rsid w:val="00775C66"/>
    <w:rsid w:val="0077668C"/>
    <w:rsid w:val="00777964"/>
    <w:rsid w:val="00780263"/>
    <w:rsid w:val="0078093C"/>
    <w:rsid w:val="00781D97"/>
    <w:rsid w:val="00782491"/>
    <w:rsid w:val="00783BF0"/>
    <w:rsid w:val="00785291"/>
    <w:rsid w:val="007858B9"/>
    <w:rsid w:val="00785EBF"/>
    <w:rsid w:val="0078773B"/>
    <w:rsid w:val="007900D7"/>
    <w:rsid w:val="00790788"/>
    <w:rsid w:val="0079141A"/>
    <w:rsid w:val="007937F7"/>
    <w:rsid w:val="00794DBB"/>
    <w:rsid w:val="0079740C"/>
    <w:rsid w:val="007A0276"/>
    <w:rsid w:val="007A3FF9"/>
    <w:rsid w:val="007A6F0D"/>
    <w:rsid w:val="007A7794"/>
    <w:rsid w:val="007A7FFB"/>
    <w:rsid w:val="007B0EB1"/>
    <w:rsid w:val="007B12BD"/>
    <w:rsid w:val="007B2826"/>
    <w:rsid w:val="007B3877"/>
    <w:rsid w:val="007B6A4C"/>
    <w:rsid w:val="007B6F54"/>
    <w:rsid w:val="007B6FFB"/>
    <w:rsid w:val="007B7D44"/>
    <w:rsid w:val="007C037D"/>
    <w:rsid w:val="007C15F9"/>
    <w:rsid w:val="007C30D2"/>
    <w:rsid w:val="007C3D4D"/>
    <w:rsid w:val="007C3D95"/>
    <w:rsid w:val="007C44EA"/>
    <w:rsid w:val="007C557F"/>
    <w:rsid w:val="007C6B19"/>
    <w:rsid w:val="007C7F25"/>
    <w:rsid w:val="007D0B46"/>
    <w:rsid w:val="007D15C4"/>
    <w:rsid w:val="007D19E3"/>
    <w:rsid w:val="007D1B89"/>
    <w:rsid w:val="007D32CC"/>
    <w:rsid w:val="007D6134"/>
    <w:rsid w:val="007D6176"/>
    <w:rsid w:val="007E3ACA"/>
    <w:rsid w:val="007E4D75"/>
    <w:rsid w:val="007E59B4"/>
    <w:rsid w:val="007E5FD3"/>
    <w:rsid w:val="007E6C75"/>
    <w:rsid w:val="007E77F7"/>
    <w:rsid w:val="007F4976"/>
    <w:rsid w:val="007F732A"/>
    <w:rsid w:val="007F7B10"/>
    <w:rsid w:val="00801D42"/>
    <w:rsid w:val="0080316F"/>
    <w:rsid w:val="00803972"/>
    <w:rsid w:val="0080710A"/>
    <w:rsid w:val="00810237"/>
    <w:rsid w:val="008102BC"/>
    <w:rsid w:val="00810884"/>
    <w:rsid w:val="00810991"/>
    <w:rsid w:val="00810DB7"/>
    <w:rsid w:val="00811645"/>
    <w:rsid w:val="008122F5"/>
    <w:rsid w:val="00813209"/>
    <w:rsid w:val="00813628"/>
    <w:rsid w:val="008147C9"/>
    <w:rsid w:val="00822D10"/>
    <w:rsid w:val="00825E20"/>
    <w:rsid w:val="00826182"/>
    <w:rsid w:val="008276D4"/>
    <w:rsid w:val="00831148"/>
    <w:rsid w:val="00834BBF"/>
    <w:rsid w:val="00835356"/>
    <w:rsid w:val="008367F3"/>
    <w:rsid w:val="00840D38"/>
    <w:rsid w:val="00843ED4"/>
    <w:rsid w:val="008444FE"/>
    <w:rsid w:val="00846635"/>
    <w:rsid w:val="008474A0"/>
    <w:rsid w:val="00850426"/>
    <w:rsid w:val="00850B0A"/>
    <w:rsid w:val="00851E6F"/>
    <w:rsid w:val="008523EF"/>
    <w:rsid w:val="0085425F"/>
    <w:rsid w:val="008548ED"/>
    <w:rsid w:val="008553B9"/>
    <w:rsid w:val="00856940"/>
    <w:rsid w:val="0086087E"/>
    <w:rsid w:val="00861B1C"/>
    <w:rsid w:val="00862084"/>
    <w:rsid w:val="00862DDF"/>
    <w:rsid w:val="008677AD"/>
    <w:rsid w:val="00870F95"/>
    <w:rsid w:val="00871DFC"/>
    <w:rsid w:val="0087519C"/>
    <w:rsid w:val="00875F69"/>
    <w:rsid w:val="008812E9"/>
    <w:rsid w:val="00882EBA"/>
    <w:rsid w:val="0088410E"/>
    <w:rsid w:val="00884F11"/>
    <w:rsid w:val="008854F2"/>
    <w:rsid w:val="0088613C"/>
    <w:rsid w:val="00886B79"/>
    <w:rsid w:val="00886FB9"/>
    <w:rsid w:val="00890E5E"/>
    <w:rsid w:val="00892451"/>
    <w:rsid w:val="0089295C"/>
    <w:rsid w:val="00895C4A"/>
    <w:rsid w:val="0089605E"/>
    <w:rsid w:val="0089621D"/>
    <w:rsid w:val="0089691D"/>
    <w:rsid w:val="008A1A9B"/>
    <w:rsid w:val="008A1D0F"/>
    <w:rsid w:val="008A2F1C"/>
    <w:rsid w:val="008A4806"/>
    <w:rsid w:val="008A4DC2"/>
    <w:rsid w:val="008A53AE"/>
    <w:rsid w:val="008A5AF9"/>
    <w:rsid w:val="008A755C"/>
    <w:rsid w:val="008B0E3C"/>
    <w:rsid w:val="008B0F6F"/>
    <w:rsid w:val="008B2BCE"/>
    <w:rsid w:val="008B4A80"/>
    <w:rsid w:val="008B6811"/>
    <w:rsid w:val="008C0BF0"/>
    <w:rsid w:val="008C0CDB"/>
    <w:rsid w:val="008C0ED1"/>
    <w:rsid w:val="008C15B6"/>
    <w:rsid w:val="008C3B4B"/>
    <w:rsid w:val="008C4CEA"/>
    <w:rsid w:val="008C5965"/>
    <w:rsid w:val="008C5E3E"/>
    <w:rsid w:val="008C6A37"/>
    <w:rsid w:val="008C7618"/>
    <w:rsid w:val="008C7A22"/>
    <w:rsid w:val="008D710A"/>
    <w:rsid w:val="008E22E3"/>
    <w:rsid w:val="008E3D22"/>
    <w:rsid w:val="008E4F6C"/>
    <w:rsid w:val="008E55B9"/>
    <w:rsid w:val="008E7140"/>
    <w:rsid w:val="008F3397"/>
    <w:rsid w:val="008F39D1"/>
    <w:rsid w:val="008F3C91"/>
    <w:rsid w:val="008F4979"/>
    <w:rsid w:val="008F4CF4"/>
    <w:rsid w:val="008F6809"/>
    <w:rsid w:val="008F6F36"/>
    <w:rsid w:val="008F7C70"/>
    <w:rsid w:val="009007D6"/>
    <w:rsid w:val="009056A3"/>
    <w:rsid w:val="00911155"/>
    <w:rsid w:val="00913600"/>
    <w:rsid w:val="0091579D"/>
    <w:rsid w:val="00916E08"/>
    <w:rsid w:val="00920C0C"/>
    <w:rsid w:val="009211FA"/>
    <w:rsid w:val="009216EA"/>
    <w:rsid w:val="00921813"/>
    <w:rsid w:val="00923B92"/>
    <w:rsid w:val="00926A1D"/>
    <w:rsid w:val="00927300"/>
    <w:rsid w:val="009313C2"/>
    <w:rsid w:val="00933120"/>
    <w:rsid w:val="00934049"/>
    <w:rsid w:val="00936A25"/>
    <w:rsid w:val="00941EB2"/>
    <w:rsid w:val="00942F84"/>
    <w:rsid w:val="00944671"/>
    <w:rsid w:val="00947D4B"/>
    <w:rsid w:val="0095155B"/>
    <w:rsid w:val="00952659"/>
    <w:rsid w:val="009552D1"/>
    <w:rsid w:val="00957300"/>
    <w:rsid w:val="009600E5"/>
    <w:rsid w:val="00961A00"/>
    <w:rsid w:val="00962A75"/>
    <w:rsid w:val="00963183"/>
    <w:rsid w:val="0096508C"/>
    <w:rsid w:val="00965DA8"/>
    <w:rsid w:val="00967F64"/>
    <w:rsid w:val="0097164A"/>
    <w:rsid w:val="0097223C"/>
    <w:rsid w:val="00972796"/>
    <w:rsid w:val="00972AA4"/>
    <w:rsid w:val="0097608B"/>
    <w:rsid w:val="00976D09"/>
    <w:rsid w:val="00976E53"/>
    <w:rsid w:val="00977748"/>
    <w:rsid w:val="00977BA2"/>
    <w:rsid w:val="00982AB0"/>
    <w:rsid w:val="009832E5"/>
    <w:rsid w:val="00985C56"/>
    <w:rsid w:val="00990892"/>
    <w:rsid w:val="009919A9"/>
    <w:rsid w:val="00991A65"/>
    <w:rsid w:val="00992CED"/>
    <w:rsid w:val="009A13D0"/>
    <w:rsid w:val="009A3305"/>
    <w:rsid w:val="009A390F"/>
    <w:rsid w:val="009A4BBD"/>
    <w:rsid w:val="009A7516"/>
    <w:rsid w:val="009A7B0B"/>
    <w:rsid w:val="009B0507"/>
    <w:rsid w:val="009B0C95"/>
    <w:rsid w:val="009B1F10"/>
    <w:rsid w:val="009B21A5"/>
    <w:rsid w:val="009B30B8"/>
    <w:rsid w:val="009B36BA"/>
    <w:rsid w:val="009B693B"/>
    <w:rsid w:val="009B7406"/>
    <w:rsid w:val="009C1CD0"/>
    <w:rsid w:val="009C375F"/>
    <w:rsid w:val="009C3ECB"/>
    <w:rsid w:val="009C4816"/>
    <w:rsid w:val="009C49DC"/>
    <w:rsid w:val="009C58D2"/>
    <w:rsid w:val="009C5922"/>
    <w:rsid w:val="009C7207"/>
    <w:rsid w:val="009C7F78"/>
    <w:rsid w:val="009D032E"/>
    <w:rsid w:val="009D19EF"/>
    <w:rsid w:val="009D4184"/>
    <w:rsid w:val="009D46A8"/>
    <w:rsid w:val="009D49C4"/>
    <w:rsid w:val="009D5BE2"/>
    <w:rsid w:val="009D794D"/>
    <w:rsid w:val="009E0285"/>
    <w:rsid w:val="009E132F"/>
    <w:rsid w:val="009E2B85"/>
    <w:rsid w:val="009E36FD"/>
    <w:rsid w:val="009E4D89"/>
    <w:rsid w:val="009E5B15"/>
    <w:rsid w:val="009E5C7E"/>
    <w:rsid w:val="009E62C3"/>
    <w:rsid w:val="009E694E"/>
    <w:rsid w:val="009E7675"/>
    <w:rsid w:val="009E769B"/>
    <w:rsid w:val="009F2BEC"/>
    <w:rsid w:val="009F7A88"/>
    <w:rsid w:val="009F7D6F"/>
    <w:rsid w:val="009F7DE9"/>
    <w:rsid w:val="009F7EA5"/>
    <w:rsid w:val="00A00DEB"/>
    <w:rsid w:val="00A01ABB"/>
    <w:rsid w:val="00A02BEE"/>
    <w:rsid w:val="00A07C4F"/>
    <w:rsid w:val="00A1320E"/>
    <w:rsid w:val="00A14ABE"/>
    <w:rsid w:val="00A158D3"/>
    <w:rsid w:val="00A160C7"/>
    <w:rsid w:val="00A172D3"/>
    <w:rsid w:val="00A21CE9"/>
    <w:rsid w:val="00A226E3"/>
    <w:rsid w:val="00A24BF0"/>
    <w:rsid w:val="00A24D7C"/>
    <w:rsid w:val="00A25B41"/>
    <w:rsid w:val="00A26333"/>
    <w:rsid w:val="00A26A3C"/>
    <w:rsid w:val="00A26B77"/>
    <w:rsid w:val="00A30D9B"/>
    <w:rsid w:val="00A31882"/>
    <w:rsid w:val="00A3257B"/>
    <w:rsid w:val="00A3281C"/>
    <w:rsid w:val="00A3398F"/>
    <w:rsid w:val="00A3550B"/>
    <w:rsid w:val="00A363D1"/>
    <w:rsid w:val="00A36988"/>
    <w:rsid w:val="00A41FCD"/>
    <w:rsid w:val="00A4258C"/>
    <w:rsid w:val="00A4497E"/>
    <w:rsid w:val="00A45593"/>
    <w:rsid w:val="00A465C8"/>
    <w:rsid w:val="00A46A49"/>
    <w:rsid w:val="00A46C9F"/>
    <w:rsid w:val="00A47A69"/>
    <w:rsid w:val="00A50362"/>
    <w:rsid w:val="00A523CE"/>
    <w:rsid w:val="00A53B11"/>
    <w:rsid w:val="00A569AE"/>
    <w:rsid w:val="00A609C2"/>
    <w:rsid w:val="00A6239A"/>
    <w:rsid w:val="00A64854"/>
    <w:rsid w:val="00A64C65"/>
    <w:rsid w:val="00A6634D"/>
    <w:rsid w:val="00A707B7"/>
    <w:rsid w:val="00A71644"/>
    <w:rsid w:val="00A721F9"/>
    <w:rsid w:val="00A7264F"/>
    <w:rsid w:val="00A75131"/>
    <w:rsid w:val="00A75575"/>
    <w:rsid w:val="00A76FF3"/>
    <w:rsid w:val="00A7768B"/>
    <w:rsid w:val="00A807BF"/>
    <w:rsid w:val="00A8083D"/>
    <w:rsid w:val="00A82A1F"/>
    <w:rsid w:val="00A8416E"/>
    <w:rsid w:val="00A905FC"/>
    <w:rsid w:val="00A90626"/>
    <w:rsid w:val="00A90DA3"/>
    <w:rsid w:val="00A93F02"/>
    <w:rsid w:val="00A9696D"/>
    <w:rsid w:val="00AA0732"/>
    <w:rsid w:val="00AA3EB7"/>
    <w:rsid w:val="00AA5193"/>
    <w:rsid w:val="00AA5FB1"/>
    <w:rsid w:val="00AA6CC9"/>
    <w:rsid w:val="00AA7658"/>
    <w:rsid w:val="00AB13B2"/>
    <w:rsid w:val="00AB1D47"/>
    <w:rsid w:val="00AB3252"/>
    <w:rsid w:val="00AB480D"/>
    <w:rsid w:val="00AB52A7"/>
    <w:rsid w:val="00AC0672"/>
    <w:rsid w:val="00AC0DA2"/>
    <w:rsid w:val="00AC3371"/>
    <w:rsid w:val="00AC468C"/>
    <w:rsid w:val="00AC546A"/>
    <w:rsid w:val="00AC6541"/>
    <w:rsid w:val="00AC7DC6"/>
    <w:rsid w:val="00AD146B"/>
    <w:rsid w:val="00AD2142"/>
    <w:rsid w:val="00AD2AB9"/>
    <w:rsid w:val="00AD330A"/>
    <w:rsid w:val="00AD4287"/>
    <w:rsid w:val="00AD4658"/>
    <w:rsid w:val="00AD7460"/>
    <w:rsid w:val="00AE5BAB"/>
    <w:rsid w:val="00AE60B8"/>
    <w:rsid w:val="00AE7795"/>
    <w:rsid w:val="00AE7C1E"/>
    <w:rsid w:val="00AF1336"/>
    <w:rsid w:val="00AF1AE3"/>
    <w:rsid w:val="00AF4190"/>
    <w:rsid w:val="00AF4E9E"/>
    <w:rsid w:val="00AF54AC"/>
    <w:rsid w:val="00AF662A"/>
    <w:rsid w:val="00B00220"/>
    <w:rsid w:val="00B005E6"/>
    <w:rsid w:val="00B01472"/>
    <w:rsid w:val="00B01837"/>
    <w:rsid w:val="00B037EE"/>
    <w:rsid w:val="00B04835"/>
    <w:rsid w:val="00B05CE3"/>
    <w:rsid w:val="00B0799B"/>
    <w:rsid w:val="00B07AC6"/>
    <w:rsid w:val="00B119CD"/>
    <w:rsid w:val="00B11BD4"/>
    <w:rsid w:val="00B11FC0"/>
    <w:rsid w:val="00B12707"/>
    <w:rsid w:val="00B1498D"/>
    <w:rsid w:val="00B17A23"/>
    <w:rsid w:val="00B17A2C"/>
    <w:rsid w:val="00B2039E"/>
    <w:rsid w:val="00B211A0"/>
    <w:rsid w:val="00B23051"/>
    <w:rsid w:val="00B231C3"/>
    <w:rsid w:val="00B23FD0"/>
    <w:rsid w:val="00B241B5"/>
    <w:rsid w:val="00B243B6"/>
    <w:rsid w:val="00B245A9"/>
    <w:rsid w:val="00B2658C"/>
    <w:rsid w:val="00B26F0F"/>
    <w:rsid w:val="00B271F7"/>
    <w:rsid w:val="00B27785"/>
    <w:rsid w:val="00B311B4"/>
    <w:rsid w:val="00B354EF"/>
    <w:rsid w:val="00B40470"/>
    <w:rsid w:val="00B41393"/>
    <w:rsid w:val="00B4268D"/>
    <w:rsid w:val="00B42F76"/>
    <w:rsid w:val="00B45DAC"/>
    <w:rsid w:val="00B45EA7"/>
    <w:rsid w:val="00B4736C"/>
    <w:rsid w:val="00B4763F"/>
    <w:rsid w:val="00B503CD"/>
    <w:rsid w:val="00B53F5B"/>
    <w:rsid w:val="00B566A0"/>
    <w:rsid w:val="00B5777D"/>
    <w:rsid w:val="00B60468"/>
    <w:rsid w:val="00B61062"/>
    <w:rsid w:val="00B6167C"/>
    <w:rsid w:val="00B62209"/>
    <w:rsid w:val="00B62FCF"/>
    <w:rsid w:val="00B644D2"/>
    <w:rsid w:val="00B66046"/>
    <w:rsid w:val="00B66B09"/>
    <w:rsid w:val="00B701E8"/>
    <w:rsid w:val="00B70979"/>
    <w:rsid w:val="00B71A6C"/>
    <w:rsid w:val="00B722FB"/>
    <w:rsid w:val="00B72BDA"/>
    <w:rsid w:val="00B7307A"/>
    <w:rsid w:val="00B74257"/>
    <w:rsid w:val="00B7635F"/>
    <w:rsid w:val="00B763A7"/>
    <w:rsid w:val="00B778E3"/>
    <w:rsid w:val="00B80697"/>
    <w:rsid w:val="00B8164F"/>
    <w:rsid w:val="00B82978"/>
    <w:rsid w:val="00B85009"/>
    <w:rsid w:val="00B8588C"/>
    <w:rsid w:val="00B91D1E"/>
    <w:rsid w:val="00B928F9"/>
    <w:rsid w:val="00B92E97"/>
    <w:rsid w:val="00B94A3A"/>
    <w:rsid w:val="00BA10D3"/>
    <w:rsid w:val="00BA11DD"/>
    <w:rsid w:val="00BA1D1D"/>
    <w:rsid w:val="00BA1D54"/>
    <w:rsid w:val="00BA44B4"/>
    <w:rsid w:val="00BA589D"/>
    <w:rsid w:val="00BA5D82"/>
    <w:rsid w:val="00BB0339"/>
    <w:rsid w:val="00BB26BF"/>
    <w:rsid w:val="00BB2B73"/>
    <w:rsid w:val="00BB3FC3"/>
    <w:rsid w:val="00BB46F3"/>
    <w:rsid w:val="00BB4BA0"/>
    <w:rsid w:val="00BB57D1"/>
    <w:rsid w:val="00BB6D28"/>
    <w:rsid w:val="00BB76EF"/>
    <w:rsid w:val="00BC086C"/>
    <w:rsid w:val="00BC1870"/>
    <w:rsid w:val="00BC217F"/>
    <w:rsid w:val="00BC4023"/>
    <w:rsid w:val="00BC4952"/>
    <w:rsid w:val="00BC58C2"/>
    <w:rsid w:val="00BC5996"/>
    <w:rsid w:val="00BD1297"/>
    <w:rsid w:val="00BD14DF"/>
    <w:rsid w:val="00BD22E1"/>
    <w:rsid w:val="00BD42A4"/>
    <w:rsid w:val="00BD450D"/>
    <w:rsid w:val="00BD70A6"/>
    <w:rsid w:val="00BD7237"/>
    <w:rsid w:val="00BE0057"/>
    <w:rsid w:val="00BE0AA0"/>
    <w:rsid w:val="00BE0F3A"/>
    <w:rsid w:val="00BE1625"/>
    <w:rsid w:val="00BE1A54"/>
    <w:rsid w:val="00BE5E2D"/>
    <w:rsid w:val="00BF0CAA"/>
    <w:rsid w:val="00BF17A7"/>
    <w:rsid w:val="00BF1BC5"/>
    <w:rsid w:val="00BF1CC7"/>
    <w:rsid w:val="00BF1E87"/>
    <w:rsid w:val="00BF3AD1"/>
    <w:rsid w:val="00BF5A3E"/>
    <w:rsid w:val="00BF63D8"/>
    <w:rsid w:val="00BF66AA"/>
    <w:rsid w:val="00BF7756"/>
    <w:rsid w:val="00C00EF7"/>
    <w:rsid w:val="00C03949"/>
    <w:rsid w:val="00C059E9"/>
    <w:rsid w:val="00C05A35"/>
    <w:rsid w:val="00C0714A"/>
    <w:rsid w:val="00C07D04"/>
    <w:rsid w:val="00C10414"/>
    <w:rsid w:val="00C112BC"/>
    <w:rsid w:val="00C138A4"/>
    <w:rsid w:val="00C13FB7"/>
    <w:rsid w:val="00C14D2B"/>
    <w:rsid w:val="00C153BB"/>
    <w:rsid w:val="00C1575C"/>
    <w:rsid w:val="00C2046B"/>
    <w:rsid w:val="00C20CF5"/>
    <w:rsid w:val="00C2186F"/>
    <w:rsid w:val="00C21E0F"/>
    <w:rsid w:val="00C2216B"/>
    <w:rsid w:val="00C25CCC"/>
    <w:rsid w:val="00C261A9"/>
    <w:rsid w:val="00C26231"/>
    <w:rsid w:val="00C269C5"/>
    <w:rsid w:val="00C304CC"/>
    <w:rsid w:val="00C31952"/>
    <w:rsid w:val="00C33E3D"/>
    <w:rsid w:val="00C34C07"/>
    <w:rsid w:val="00C352F2"/>
    <w:rsid w:val="00C35DF2"/>
    <w:rsid w:val="00C36BBD"/>
    <w:rsid w:val="00C373A3"/>
    <w:rsid w:val="00C4162C"/>
    <w:rsid w:val="00C429C3"/>
    <w:rsid w:val="00C4560A"/>
    <w:rsid w:val="00C5081C"/>
    <w:rsid w:val="00C50A83"/>
    <w:rsid w:val="00C52A6A"/>
    <w:rsid w:val="00C5410E"/>
    <w:rsid w:val="00C56BAC"/>
    <w:rsid w:val="00C570ED"/>
    <w:rsid w:val="00C60827"/>
    <w:rsid w:val="00C610E5"/>
    <w:rsid w:val="00C616AF"/>
    <w:rsid w:val="00C63912"/>
    <w:rsid w:val="00C653C0"/>
    <w:rsid w:val="00C65674"/>
    <w:rsid w:val="00C65CCC"/>
    <w:rsid w:val="00C70232"/>
    <w:rsid w:val="00C7072D"/>
    <w:rsid w:val="00C70793"/>
    <w:rsid w:val="00C725AF"/>
    <w:rsid w:val="00C72946"/>
    <w:rsid w:val="00C74DBF"/>
    <w:rsid w:val="00C76183"/>
    <w:rsid w:val="00C77A25"/>
    <w:rsid w:val="00C86CA8"/>
    <w:rsid w:val="00C9094B"/>
    <w:rsid w:val="00C91D49"/>
    <w:rsid w:val="00C92987"/>
    <w:rsid w:val="00C92C24"/>
    <w:rsid w:val="00C950E8"/>
    <w:rsid w:val="00C9539C"/>
    <w:rsid w:val="00C96C7E"/>
    <w:rsid w:val="00C978ED"/>
    <w:rsid w:val="00C97DA2"/>
    <w:rsid w:val="00CA4C00"/>
    <w:rsid w:val="00CA527A"/>
    <w:rsid w:val="00CA5FA3"/>
    <w:rsid w:val="00CB0329"/>
    <w:rsid w:val="00CB30EC"/>
    <w:rsid w:val="00CB4CC0"/>
    <w:rsid w:val="00CB5B26"/>
    <w:rsid w:val="00CB7EDC"/>
    <w:rsid w:val="00CC189F"/>
    <w:rsid w:val="00CC3A17"/>
    <w:rsid w:val="00CC43C2"/>
    <w:rsid w:val="00CC6959"/>
    <w:rsid w:val="00CD4B53"/>
    <w:rsid w:val="00CE06A8"/>
    <w:rsid w:val="00CE0E65"/>
    <w:rsid w:val="00CE33F4"/>
    <w:rsid w:val="00CE3B9E"/>
    <w:rsid w:val="00CE56D5"/>
    <w:rsid w:val="00CE6302"/>
    <w:rsid w:val="00CE6663"/>
    <w:rsid w:val="00CE787B"/>
    <w:rsid w:val="00CF0449"/>
    <w:rsid w:val="00CF0715"/>
    <w:rsid w:val="00CF107F"/>
    <w:rsid w:val="00CF2ECB"/>
    <w:rsid w:val="00CF59FD"/>
    <w:rsid w:val="00CF5F56"/>
    <w:rsid w:val="00CF7488"/>
    <w:rsid w:val="00D007A6"/>
    <w:rsid w:val="00D01A61"/>
    <w:rsid w:val="00D026D1"/>
    <w:rsid w:val="00D038B6"/>
    <w:rsid w:val="00D039CA"/>
    <w:rsid w:val="00D04CE7"/>
    <w:rsid w:val="00D05C80"/>
    <w:rsid w:val="00D11989"/>
    <w:rsid w:val="00D13FF7"/>
    <w:rsid w:val="00D15227"/>
    <w:rsid w:val="00D20A2B"/>
    <w:rsid w:val="00D2220A"/>
    <w:rsid w:val="00D22F05"/>
    <w:rsid w:val="00D25280"/>
    <w:rsid w:val="00D268AF"/>
    <w:rsid w:val="00D27B89"/>
    <w:rsid w:val="00D301EE"/>
    <w:rsid w:val="00D31297"/>
    <w:rsid w:val="00D335E6"/>
    <w:rsid w:val="00D347BA"/>
    <w:rsid w:val="00D35ECD"/>
    <w:rsid w:val="00D40955"/>
    <w:rsid w:val="00D41A59"/>
    <w:rsid w:val="00D42093"/>
    <w:rsid w:val="00D424E5"/>
    <w:rsid w:val="00D44C83"/>
    <w:rsid w:val="00D45BE9"/>
    <w:rsid w:val="00D46A75"/>
    <w:rsid w:val="00D46EB9"/>
    <w:rsid w:val="00D503B5"/>
    <w:rsid w:val="00D528C1"/>
    <w:rsid w:val="00D538A6"/>
    <w:rsid w:val="00D54285"/>
    <w:rsid w:val="00D54FD1"/>
    <w:rsid w:val="00D55658"/>
    <w:rsid w:val="00D55D4E"/>
    <w:rsid w:val="00D61D04"/>
    <w:rsid w:val="00D62350"/>
    <w:rsid w:val="00D64DF9"/>
    <w:rsid w:val="00D65DBE"/>
    <w:rsid w:val="00D72ED0"/>
    <w:rsid w:val="00D73147"/>
    <w:rsid w:val="00D73A32"/>
    <w:rsid w:val="00D75185"/>
    <w:rsid w:val="00D754C8"/>
    <w:rsid w:val="00D82AD1"/>
    <w:rsid w:val="00D82D28"/>
    <w:rsid w:val="00D834C5"/>
    <w:rsid w:val="00D83914"/>
    <w:rsid w:val="00D83E91"/>
    <w:rsid w:val="00D84970"/>
    <w:rsid w:val="00D855B3"/>
    <w:rsid w:val="00D920E2"/>
    <w:rsid w:val="00D92523"/>
    <w:rsid w:val="00D97D67"/>
    <w:rsid w:val="00DA15F1"/>
    <w:rsid w:val="00DA19D8"/>
    <w:rsid w:val="00DA2FA6"/>
    <w:rsid w:val="00DA307C"/>
    <w:rsid w:val="00DA4430"/>
    <w:rsid w:val="00DA479B"/>
    <w:rsid w:val="00DA55EC"/>
    <w:rsid w:val="00DA6866"/>
    <w:rsid w:val="00DA7CD2"/>
    <w:rsid w:val="00DB0030"/>
    <w:rsid w:val="00DB18EB"/>
    <w:rsid w:val="00DB39C7"/>
    <w:rsid w:val="00DC05A1"/>
    <w:rsid w:val="00DC18EF"/>
    <w:rsid w:val="00DC3702"/>
    <w:rsid w:val="00DC4632"/>
    <w:rsid w:val="00DC64E0"/>
    <w:rsid w:val="00DD11AA"/>
    <w:rsid w:val="00DD1729"/>
    <w:rsid w:val="00DD2EF1"/>
    <w:rsid w:val="00DD375A"/>
    <w:rsid w:val="00DD7D5A"/>
    <w:rsid w:val="00DE58FA"/>
    <w:rsid w:val="00DE5DDC"/>
    <w:rsid w:val="00DE62D9"/>
    <w:rsid w:val="00DE6EB1"/>
    <w:rsid w:val="00DF02F6"/>
    <w:rsid w:val="00DF0CE3"/>
    <w:rsid w:val="00DF375C"/>
    <w:rsid w:val="00DF3A63"/>
    <w:rsid w:val="00DF4625"/>
    <w:rsid w:val="00DF4970"/>
    <w:rsid w:val="00DF4AC4"/>
    <w:rsid w:val="00DF547C"/>
    <w:rsid w:val="00DF6FBE"/>
    <w:rsid w:val="00DF70F9"/>
    <w:rsid w:val="00E00105"/>
    <w:rsid w:val="00E01B80"/>
    <w:rsid w:val="00E02917"/>
    <w:rsid w:val="00E0314E"/>
    <w:rsid w:val="00E03514"/>
    <w:rsid w:val="00E03D4F"/>
    <w:rsid w:val="00E042A8"/>
    <w:rsid w:val="00E0453C"/>
    <w:rsid w:val="00E04B97"/>
    <w:rsid w:val="00E1231B"/>
    <w:rsid w:val="00E14486"/>
    <w:rsid w:val="00E15415"/>
    <w:rsid w:val="00E1557D"/>
    <w:rsid w:val="00E15E16"/>
    <w:rsid w:val="00E17FE8"/>
    <w:rsid w:val="00E17FED"/>
    <w:rsid w:val="00E2166A"/>
    <w:rsid w:val="00E22315"/>
    <w:rsid w:val="00E22EDF"/>
    <w:rsid w:val="00E23AB7"/>
    <w:rsid w:val="00E23CED"/>
    <w:rsid w:val="00E263B3"/>
    <w:rsid w:val="00E26CEB"/>
    <w:rsid w:val="00E27F04"/>
    <w:rsid w:val="00E31F98"/>
    <w:rsid w:val="00E32A87"/>
    <w:rsid w:val="00E3310B"/>
    <w:rsid w:val="00E335B6"/>
    <w:rsid w:val="00E337E4"/>
    <w:rsid w:val="00E369B6"/>
    <w:rsid w:val="00E374E8"/>
    <w:rsid w:val="00E41B86"/>
    <w:rsid w:val="00E4348D"/>
    <w:rsid w:val="00E44C19"/>
    <w:rsid w:val="00E4681A"/>
    <w:rsid w:val="00E4692F"/>
    <w:rsid w:val="00E46D44"/>
    <w:rsid w:val="00E47D65"/>
    <w:rsid w:val="00E507F1"/>
    <w:rsid w:val="00E53DA4"/>
    <w:rsid w:val="00E543FD"/>
    <w:rsid w:val="00E55A56"/>
    <w:rsid w:val="00E55AE0"/>
    <w:rsid w:val="00E56BFB"/>
    <w:rsid w:val="00E63E87"/>
    <w:rsid w:val="00E63EE6"/>
    <w:rsid w:val="00E64530"/>
    <w:rsid w:val="00E70E2B"/>
    <w:rsid w:val="00E711F9"/>
    <w:rsid w:val="00E7285B"/>
    <w:rsid w:val="00E753F5"/>
    <w:rsid w:val="00E75C52"/>
    <w:rsid w:val="00E75C9D"/>
    <w:rsid w:val="00E8088B"/>
    <w:rsid w:val="00E81BDD"/>
    <w:rsid w:val="00E86808"/>
    <w:rsid w:val="00E87599"/>
    <w:rsid w:val="00E916BB"/>
    <w:rsid w:val="00E93F76"/>
    <w:rsid w:val="00E940DE"/>
    <w:rsid w:val="00E940ED"/>
    <w:rsid w:val="00E94471"/>
    <w:rsid w:val="00E94B8B"/>
    <w:rsid w:val="00E95589"/>
    <w:rsid w:val="00E95955"/>
    <w:rsid w:val="00E96EB2"/>
    <w:rsid w:val="00E97EC3"/>
    <w:rsid w:val="00EA2B3C"/>
    <w:rsid w:val="00EA2D2E"/>
    <w:rsid w:val="00EA51E5"/>
    <w:rsid w:val="00EA5BC4"/>
    <w:rsid w:val="00EA625E"/>
    <w:rsid w:val="00EB0982"/>
    <w:rsid w:val="00EB2B57"/>
    <w:rsid w:val="00EB313B"/>
    <w:rsid w:val="00EB4FDD"/>
    <w:rsid w:val="00EB7BB8"/>
    <w:rsid w:val="00EC09BA"/>
    <w:rsid w:val="00EC2096"/>
    <w:rsid w:val="00EC353F"/>
    <w:rsid w:val="00EC4023"/>
    <w:rsid w:val="00ED2780"/>
    <w:rsid w:val="00ED3C3C"/>
    <w:rsid w:val="00ED4626"/>
    <w:rsid w:val="00ED5201"/>
    <w:rsid w:val="00ED58B1"/>
    <w:rsid w:val="00EE4698"/>
    <w:rsid w:val="00EE4FD8"/>
    <w:rsid w:val="00EE5C7A"/>
    <w:rsid w:val="00EE6114"/>
    <w:rsid w:val="00EE79C0"/>
    <w:rsid w:val="00EF35C3"/>
    <w:rsid w:val="00EF3E40"/>
    <w:rsid w:val="00EF7589"/>
    <w:rsid w:val="00F0008B"/>
    <w:rsid w:val="00F00BE3"/>
    <w:rsid w:val="00F0165A"/>
    <w:rsid w:val="00F01DA9"/>
    <w:rsid w:val="00F029B1"/>
    <w:rsid w:val="00F02EFE"/>
    <w:rsid w:val="00F05DCA"/>
    <w:rsid w:val="00F0692E"/>
    <w:rsid w:val="00F1128C"/>
    <w:rsid w:val="00F11CE9"/>
    <w:rsid w:val="00F12B5E"/>
    <w:rsid w:val="00F13E8C"/>
    <w:rsid w:val="00F16005"/>
    <w:rsid w:val="00F1601C"/>
    <w:rsid w:val="00F161CD"/>
    <w:rsid w:val="00F23C93"/>
    <w:rsid w:val="00F251C7"/>
    <w:rsid w:val="00F26A22"/>
    <w:rsid w:val="00F35039"/>
    <w:rsid w:val="00F35DFF"/>
    <w:rsid w:val="00F37419"/>
    <w:rsid w:val="00F37A65"/>
    <w:rsid w:val="00F418B9"/>
    <w:rsid w:val="00F41FEC"/>
    <w:rsid w:val="00F450E2"/>
    <w:rsid w:val="00F4540C"/>
    <w:rsid w:val="00F47612"/>
    <w:rsid w:val="00F51140"/>
    <w:rsid w:val="00F52274"/>
    <w:rsid w:val="00F52A94"/>
    <w:rsid w:val="00F52F53"/>
    <w:rsid w:val="00F52FB0"/>
    <w:rsid w:val="00F53246"/>
    <w:rsid w:val="00F61AB7"/>
    <w:rsid w:val="00F634E9"/>
    <w:rsid w:val="00F6677A"/>
    <w:rsid w:val="00F703DA"/>
    <w:rsid w:val="00F70C3C"/>
    <w:rsid w:val="00F7179A"/>
    <w:rsid w:val="00F74DF5"/>
    <w:rsid w:val="00F7603D"/>
    <w:rsid w:val="00F77828"/>
    <w:rsid w:val="00F807A4"/>
    <w:rsid w:val="00F807CC"/>
    <w:rsid w:val="00F8087F"/>
    <w:rsid w:val="00F8174F"/>
    <w:rsid w:val="00F8280E"/>
    <w:rsid w:val="00F83343"/>
    <w:rsid w:val="00F84BCE"/>
    <w:rsid w:val="00F87035"/>
    <w:rsid w:val="00F87226"/>
    <w:rsid w:val="00F87424"/>
    <w:rsid w:val="00F8757F"/>
    <w:rsid w:val="00F91B3A"/>
    <w:rsid w:val="00F92C6A"/>
    <w:rsid w:val="00FA11DD"/>
    <w:rsid w:val="00FA2E8A"/>
    <w:rsid w:val="00FA4D4C"/>
    <w:rsid w:val="00FA5BF1"/>
    <w:rsid w:val="00FA7280"/>
    <w:rsid w:val="00FB01E6"/>
    <w:rsid w:val="00FB10DD"/>
    <w:rsid w:val="00FB2106"/>
    <w:rsid w:val="00FB493B"/>
    <w:rsid w:val="00FB4FA6"/>
    <w:rsid w:val="00FB5F1A"/>
    <w:rsid w:val="00FB7072"/>
    <w:rsid w:val="00FC09B2"/>
    <w:rsid w:val="00FC3294"/>
    <w:rsid w:val="00FC36E8"/>
    <w:rsid w:val="00FC3EEC"/>
    <w:rsid w:val="00FC62C2"/>
    <w:rsid w:val="00FC6866"/>
    <w:rsid w:val="00FC6C51"/>
    <w:rsid w:val="00FC6D73"/>
    <w:rsid w:val="00FD0E68"/>
    <w:rsid w:val="00FD10C9"/>
    <w:rsid w:val="00FD3474"/>
    <w:rsid w:val="00FD4542"/>
    <w:rsid w:val="00FD467D"/>
    <w:rsid w:val="00FD56AA"/>
    <w:rsid w:val="00FE2635"/>
    <w:rsid w:val="00FE34CF"/>
    <w:rsid w:val="00FE4BE3"/>
    <w:rsid w:val="00FE4D93"/>
    <w:rsid w:val="00FE74BE"/>
    <w:rsid w:val="00FF3241"/>
    <w:rsid w:val="00FF53F6"/>
    <w:rsid w:val="00FF71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31E9C05"/>
  <w15:docId w15:val="{C966FE76-D913-46BD-B7E3-31382B09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46"/>
    <w:pPr>
      <w:spacing w:after="0" w:line="360" w:lineRule="auto"/>
    </w:pPr>
    <w:rPr>
      <w:sz w:val="24"/>
      <w:szCs w:val="24"/>
    </w:rPr>
  </w:style>
  <w:style w:type="paragraph" w:styleId="Heading1">
    <w:name w:val="heading 1"/>
    <w:basedOn w:val="Normal"/>
    <w:next w:val="Normal"/>
    <w:link w:val="Heading1Char"/>
    <w:qFormat/>
    <w:locked/>
    <w:rsid w:val="009B36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1"/>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10278"/>
    <w:rPr>
      <w:color w:val="800080" w:themeColor="followedHyperlink"/>
      <w:u w:val="single"/>
    </w:rPr>
  </w:style>
  <w:style w:type="paragraph" w:styleId="NoSpacing">
    <w:name w:val="No Spacing"/>
    <w:uiPriority w:val="1"/>
    <w:qFormat/>
    <w:rsid w:val="00934049"/>
    <w:pPr>
      <w:spacing w:after="0" w:line="240" w:lineRule="auto"/>
    </w:pPr>
    <w:rPr>
      <w:sz w:val="24"/>
      <w:szCs w:val="24"/>
    </w:rPr>
  </w:style>
  <w:style w:type="paragraph" w:styleId="NormalWeb">
    <w:name w:val="Normal (Web)"/>
    <w:basedOn w:val="Normal"/>
    <w:uiPriority w:val="99"/>
    <w:unhideWhenUsed/>
    <w:rsid w:val="003F1BCB"/>
    <w:pPr>
      <w:spacing w:before="100" w:beforeAutospacing="1" w:after="100" w:afterAutospacing="1" w:line="240" w:lineRule="auto"/>
    </w:pPr>
  </w:style>
  <w:style w:type="character" w:customStyle="1" w:styleId="Heading1Char">
    <w:name w:val="Heading 1 Char"/>
    <w:basedOn w:val="DefaultParagraphFont"/>
    <w:link w:val="Heading1"/>
    <w:rsid w:val="009B36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t02.htm" TargetMode="External" /><Relationship Id="rId11" Type="http://schemas.openxmlformats.org/officeDocument/2006/relationships/hyperlink" Target="http://www.st.nmfs.noaa.gov/recreational-fisheries/index"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hyperlink" Target="https://www.st.nmfs.noaa.gov/pims/main/public?method=DOWNLOAD_FR_PDF&amp;record_id=455" TargetMode="External" /><Relationship Id="rId15" Type="http://schemas.openxmlformats.org/officeDocument/2006/relationships/hyperlink" Target="https://www.st.nmfs.noaa.gov/pims/main/public?method=DOWNLOAD_FR_PDF&amp;record_id=931" TargetMode="External" /><Relationship Id="rId16" Type="http://schemas.openxmlformats.org/officeDocument/2006/relationships/hyperlink" Target="https://www.st.nmfs.noaa.gov/pims/main/public?method=DOWNLOAD_FR_PDF&amp;record_id=1179" TargetMode="External" /><Relationship Id="rId17" Type="http://schemas.openxmlformats.org/officeDocument/2006/relationships/hyperlink" Target="https://www.st.nmfs.noaa.gov/pims/main/public?method=DOWNLOAD_FR_PDF&amp;record_id=462" TargetMode="External" /><Relationship Id="rId18" Type="http://schemas.openxmlformats.org/officeDocument/2006/relationships/hyperlink" Target="https://www.surveypractice.org/article/3093-methods-for-improving-response-rates-in-two-phase-mail-surveys"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water.epa.gov/lawsregs/guidance/wetlands/eo12962.cfm" TargetMode="External" /><Relationship Id="rId8" Type="http://schemas.openxmlformats.org/officeDocument/2006/relationships/hyperlink" Target="http://www.fws.gov/informationquality/section515.html" TargetMode="External" /><Relationship Id="rId9" Type="http://schemas.openxmlformats.org/officeDocument/2006/relationships/hyperlink" Target="https://www.fisheries.noaa.gov/recreational-fishing-data/about-marine-recreational-information-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52AFC-65E1-43AF-A78A-92848416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4441</Words>
  <Characters>28779</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Adrienne.Thomas</cp:lastModifiedBy>
  <cp:revision>3</cp:revision>
  <dcterms:created xsi:type="dcterms:W3CDTF">2023-06-23T18:34:00Z</dcterms:created>
  <dcterms:modified xsi:type="dcterms:W3CDTF">2023-06-23T19:00:00Z</dcterms:modified>
</cp:coreProperties>
</file>