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454A" w:rsidRPr="00F05C0E" w:rsidP="00B042D9" w14:paraId="5237904E" w14:textId="0AD0A44E">
      <w:pPr>
        <w:pStyle w:val="t1"/>
        <w:tabs>
          <w:tab w:val="left" w:pos="360"/>
          <w:tab w:val="left" w:pos="720"/>
          <w:tab w:val="left" w:pos="2919"/>
          <w:tab w:val="left" w:pos="6865"/>
        </w:tabs>
        <w:jc w:val="center"/>
        <w:rPr>
          <w:u w:val="single"/>
        </w:rPr>
      </w:pPr>
      <w:r w:rsidRPr="00F05C0E">
        <w:rPr>
          <w:u w:val="single"/>
        </w:rPr>
        <w:t>SUPPORTING STATEMENT</w:t>
      </w:r>
      <w:r w:rsidRPr="00F05C0E" w:rsidR="007A047D">
        <w:rPr>
          <w:u w:val="single"/>
        </w:rPr>
        <w:t xml:space="preserve"> – PART A</w:t>
      </w:r>
    </w:p>
    <w:p w:rsidR="005055A3" w:rsidRPr="00F05C0E" w:rsidP="00B042D9" w14:paraId="38A7EE1B" w14:textId="77777777">
      <w:pPr>
        <w:pStyle w:val="t1"/>
        <w:tabs>
          <w:tab w:val="left" w:pos="360"/>
          <w:tab w:val="left" w:pos="720"/>
          <w:tab w:val="left" w:pos="2919"/>
          <w:tab w:val="left" w:pos="6865"/>
        </w:tabs>
        <w:jc w:val="center"/>
        <w:rPr>
          <w:u w:val="single"/>
        </w:rPr>
      </w:pPr>
    </w:p>
    <w:p w:rsidR="00D3218B" w:rsidRPr="00571FAE" w:rsidP="005055A3" w14:paraId="1D665F9F" w14:textId="79A4705D">
      <w:pPr>
        <w:pStyle w:val="t1"/>
        <w:tabs>
          <w:tab w:val="left" w:pos="360"/>
          <w:tab w:val="left" w:pos="720"/>
          <w:tab w:val="left" w:pos="2919"/>
          <w:tab w:val="left" w:pos="6865"/>
        </w:tabs>
        <w:jc w:val="center"/>
        <w:rPr>
          <w:u w:val="single"/>
        </w:rPr>
      </w:pPr>
      <w:r w:rsidRPr="00F05C0E">
        <w:rPr>
          <w:u w:val="single"/>
        </w:rPr>
        <w:t xml:space="preserve">OMB Control Number </w:t>
      </w:r>
      <w:r w:rsidRPr="00F05C0E" w:rsidR="00323753">
        <w:rPr>
          <w:u w:val="single"/>
        </w:rPr>
        <w:t>0704-0398</w:t>
      </w:r>
      <w:r w:rsidRPr="00F05C0E">
        <w:rPr>
          <w:u w:val="single"/>
        </w:rPr>
        <w:t xml:space="preserve"> </w:t>
      </w:r>
      <w:r w:rsidRPr="00F05C0E" w:rsidR="007A047D">
        <w:rPr>
          <w:b/>
          <w:u w:val="single"/>
        </w:rPr>
        <w:t>–</w:t>
      </w:r>
    </w:p>
    <w:p w:rsidR="00D3218B" w:rsidRPr="00F05C0E" w:rsidP="005055A3" w14:paraId="7B6F1A1E" w14:textId="77777777">
      <w:pPr>
        <w:pStyle w:val="t1"/>
        <w:tabs>
          <w:tab w:val="left" w:pos="360"/>
          <w:tab w:val="left" w:pos="720"/>
          <w:tab w:val="left" w:pos="2919"/>
          <w:tab w:val="left" w:pos="6865"/>
        </w:tabs>
        <w:jc w:val="center"/>
        <w:rPr>
          <w:bCs/>
          <w:u w:val="single"/>
        </w:rPr>
      </w:pPr>
      <w:r w:rsidRPr="00F05C0E">
        <w:rPr>
          <w:bCs/>
          <w:u w:val="single"/>
        </w:rPr>
        <w:t>Defense Federal Acquisition Regulation Supplement</w:t>
      </w:r>
      <w:r w:rsidRPr="00F05C0E">
        <w:rPr>
          <w:bCs/>
          <w:u w:val="single"/>
        </w:rPr>
        <w:t xml:space="preserve"> (DFARS)</w:t>
      </w:r>
    </w:p>
    <w:p w:rsidR="00EF7BC9" w:rsidRPr="00F05C0E" w:rsidP="005055A3" w14:paraId="7049FC6A" w14:textId="77777777">
      <w:pPr>
        <w:pStyle w:val="t1"/>
        <w:tabs>
          <w:tab w:val="left" w:pos="360"/>
          <w:tab w:val="left" w:pos="720"/>
          <w:tab w:val="left" w:pos="2919"/>
          <w:tab w:val="left" w:pos="6865"/>
        </w:tabs>
        <w:jc w:val="center"/>
        <w:rPr>
          <w:u w:val="single"/>
        </w:rPr>
      </w:pPr>
      <w:r w:rsidRPr="00F05C0E">
        <w:rPr>
          <w:bCs/>
          <w:u w:val="single"/>
        </w:rPr>
        <w:t xml:space="preserve">Part 211, </w:t>
      </w:r>
      <w:r w:rsidRPr="00F05C0E">
        <w:rPr>
          <w:u w:val="single"/>
        </w:rPr>
        <w:t>Describing Agency Needs</w:t>
      </w:r>
      <w:r w:rsidR="00AD4C8A">
        <w:rPr>
          <w:u w:val="single"/>
        </w:rPr>
        <w:t>, and Related Clause</w:t>
      </w:r>
      <w:r w:rsidR="002878C2">
        <w:rPr>
          <w:u w:val="single"/>
        </w:rPr>
        <w:t xml:space="preserve"> at DFARS 252.211</w:t>
      </w:r>
    </w:p>
    <w:p w:rsidR="00B3454A" w:rsidRPr="00F05C0E" w:rsidP="005E2D82" w14:paraId="616550BD" w14:textId="77777777">
      <w:pPr>
        <w:tabs>
          <w:tab w:val="left" w:pos="360"/>
          <w:tab w:val="left" w:pos="2919"/>
          <w:tab w:val="left" w:pos="6865"/>
        </w:tabs>
        <w:rPr>
          <w:bCs/>
        </w:rPr>
      </w:pPr>
    </w:p>
    <w:p w:rsidR="00152183" w:rsidP="00152183" w14:paraId="3D528B2B" w14:textId="77777777">
      <w:pPr>
        <w:ind w:left="720" w:hanging="720"/>
      </w:pPr>
      <w:r>
        <w:t>Summary of Changes from Previously Approved Collection</w:t>
      </w:r>
    </w:p>
    <w:p w:rsidR="00152183" w:rsidP="00152183" w14:paraId="22B1BED9" w14:textId="77777777">
      <w:pPr>
        <w:pStyle w:val="ListParagraph"/>
        <w:widowControl/>
        <w:numPr>
          <w:ilvl w:val="0"/>
          <w:numId w:val="26"/>
        </w:numPr>
        <w:overflowPunct w:val="0"/>
        <w:textAlignment w:val="baseline"/>
      </w:pPr>
      <w:r w:rsidRPr="00C532B9">
        <w:t>Increase in estimated cost results from using hourly labor rates for fiscal year 202</w:t>
      </w:r>
      <w:r>
        <w:t>3</w:t>
      </w:r>
      <w:r w:rsidRPr="00C532B9">
        <w:t>.</w:t>
      </w:r>
    </w:p>
    <w:p w:rsidR="00152183" w:rsidP="00152183" w14:paraId="17F35696" w14:textId="19A23B81">
      <w:pPr>
        <w:pStyle w:val="ListParagraph"/>
        <w:widowControl/>
        <w:numPr>
          <w:ilvl w:val="0"/>
          <w:numId w:val="26"/>
        </w:numPr>
        <w:overflowPunct w:val="0"/>
        <w:textAlignment w:val="baseline"/>
      </w:pPr>
      <w:r>
        <w:t>Increased volume and accuracy of GFP reporting and available data as a result of full implementation of the GFP module.</w:t>
      </w:r>
    </w:p>
    <w:p w:rsidR="00152183" w:rsidRPr="00C532B9" w:rsidP="00152183" w14:paraId="7FD195AE" w14:textId="2D94D8BC">
      <w:pPr>
        <w:pStyle w:val="ListParagraph"/>
        <w:widowControl/>
        <w:numPr>
          <w:ilvl w:val="0"/>
          <w:numId w:val="26"/>
        </w:numPr>
        <w:overflowPunct w:val="0"/>
        <w:textAlignment w:val="baseline"/>
      </w:pPr>
      <w:r>
        <w:t xml:space="preserve">Decreased cost per </w:t>
      </w:r>
      <w:r w:rsidR="000A4E90">
        <w:t>collection</w:t>
      </w:r>
      <w:r>
        <w:t xml:space="preserve"> as a result of efficiencies provided by </w:t>
      </w:r>
      <w:r w:rsidR="00745BEC">
        <w:t>the GFP Module.</w:t>
      </w:r>
    </w:p>
    <w:p w:rsidR="00B3454A" w:rsidRPr="00F05C0E" w:rsidP="00840D40" w14:paraId="0AFC4362" w14:textId="77777777">
      <w:pPr>
        <w:tabs>
          <w:tab w:val="left" w:pos="360"/>
          <w:tab w:val="left" w:pos="720"/>
        </w:tabs>
        <w:ind w:left="720" w:hanging="720"/>
        <w:rPr>
          <w:bCs/>
        </w:rPr>
      </w:pPr>
    </w:p>
    <w:p w:rsidR="00E47FE4" w:rsidRPr="00F05C0E" w:rsidP="00840D40" w14:paraId="0AB1ADF1" w14:textId="526B4E37">
      <w:pPr>
        <w:pStyle w:val="p5"/>
        <w:tabs>
          <w:tab w:val="left" w:pos="0"/>
          <w:tab w:val="left" w:pos="360"/>
          <w:tab w:val="left" w:pos="720"/>
          <w:tab w:val="clear" w:pos="765"/>
          <w:tab w:val="clear" w:pos="1491"/>
        </w:tabs>
        <w:ind w:left="720" w:hanging="720"/>
      </w:pPr>
      <w:r w:rsidRPr="00F05C0E">
        <w:t xml:space="preserve">1. </w:t>
      </w:r>
      <w:r w:rsidRPr="00F05C0E">
        <w:t xml:space="preserve"> </w:t>
      </w:r>
      <w:r w:rsidRPr="00F05C0E">
        <w:rPr>
          <w:u w:val="single"/>
        </w:rPr>
        <w:t>Need for the Information Collection</w:t>
      </w:r>
    </w:p>
    <w:p w:rsidR="00E47FE4" w:rsidRPr="00F05C0E" w:rsidP="00840D40" w14:paraId="5D6AB7E3" w14:textId="77777777">
      <w:pPr>
        <w:pStyle w:val="p5"/>
        <w:tabs>
          <w:tab w:val="left" w:pos="0"/>
          <w:tab w:val="left" w:pos="360"/>
          <w:tab w:val="left" w:pos="720"/>
          <w:tab w:val="clear" w:pos="765"/>
          <w:tab w:val="clear" w:pos="1491"/>
        </w:tabs>
        <w:ind w:left="720" w:hanging="720"/>
      </w:pPr>
    </w:p>
    <w:p w:rsidR="00766DBD" w:rsidRPr="00F05C0E" w:rsidP="00840D40" w14:paraId="621D684A" w14:textId="7C9F055B">
      <w:pPr>
        <w:pStyle w:val="p5"/>
        <w:tabs>
          <w:tab w:val="left" w:pos="360"/>
          <w:tab w:val="left" w:pos="720"/>
          <w:tab w:val="clear" w:pos="765"/>
          <w:tab w:val="clear" w:pos="1491"/>
        </w:tabs>
        <w:ind w:left="0" w:firstLine="0"/>
      </w:pPr>
      <w:r w:rsidRPr="00F05C0E">
        <w:tab/>
      </w:r>
      <w:r w:rsidRPr="00F05C0E" w:rsidR="00E47FE4">
        <w:t xml:space="preserve">This </w:t>
      </w:r>
      <w:r w:rsidR="008D39F6">
        <w:t>statement</w:t>
      </w:r>
      <w:r w:rsidRPr="00F05C0E" w:rsidR="00E47FE4">
        <w:t xml:space="preserve"> supports </w:t>
      </w:r>
      <w:r w:rsidR="008D39F6">
        <w:t xml:space="preserve">a request for </w:t>
      </w:r>
      <w:r w:rsidR="004551B0">
        <w:t xml:space="preserve">revision and </w:t>
      </w:r>
      <w:r w:rsidR="008D39F6">
        <w:t xml:space="preserve">renewal of a currently approved collection under </w:t>
      </w:r>
      <w:r w:rsidRPr="00F05C0E" w:rsidR="00E47FE4">
        <w:t>OMB Control Number 0704-0398</w:t>
      </w:r>
      <w:r w:rsidR="008D39F6">
        <w:t xml:space="preserve"> for </w:t>
      </w:r>
      <w:r w:rsidR="007163CD">
        <w:t>Defense Federal Acquisition Regulation Supplement (</w:t>
      </w:r>
      <w:r w:rsidRPr="00F05C0E" w:rsidR="00E47FE4">
        <w:t>DFARS</w:t>
      </w:r>
      <w:r w:rsidR="007163CD">
        <w:t>)</w:t>
      </w:r>
      <w:r w:rsidRPr="00F05C0E" w:rsidR="00E47FE4">
        <w:t xml:space="preserve"> </w:t>
      </w:r>
      <w:r w:rsidR="007163CD">
        <w:t>p</w:t>
      </w:r>
      <w:r w:rsidRPr="00F05C0E" w:rsidR="00E47FE4">
        <w:t>art 211, Describing Agency Needs</w:t>
      </w:r>
      <w:r w:rsidR="00DD6743">
        <w:t>,</w:t>
      </w:r>
      <w:r w:rsidR="008D39F6">
        <w:t xml:space="preserve"> and the related clause at</w:t>
      </w:r>
      <w:r w:rsidRPr="00F05C0E" w:rsidR="00642EE1">
        <w:t xml:space="preserve"> </w:t>
      </w:r>
      <w:bookmarkStart w:id="0" w:name="_Hlk130385722"/>
      <w:r w:rsidRPr="00F05C0E" w:rsidR="00642EE1">
        <w:t>252.211-7007, Reporting of Government-Furnished Property</w:t>
      </w:r>
      <w:bookmarkEnd w:id="0"/>
      <w:r w:rsidR="008D39F6">
        <w:t xml:space="preserve">.  </w:t>
      </w:r>
      <w:bookmarkStart w:id="1" w:name="_Hlk130478947"/>
      <w:r w:rsidR="008D39F6">
        <w:t>DFARS 211.274-4, Policy for reporting of Government-furnished property</w:t>
      </w:r>
      <w:r w:rsidR="00DD6743">
        <w:t>,</w:t>
      </w:r>
      <w:r w:rsidR="008D39F6">
        <w:t xml:space="preserve"> and the associated clause at 252.211-7007,</w:t>
      </w:r>
      <w:r w:rsidRPr="00DD6743" w:rsidR="00DD6743">
        <w:t xml:space="preserve"> Reporting of Government-Furnished Property</w:t>
      </w:r>
      <w:r w:rsidR="00DD6743">
        <w:t>,</w:t>
      </w:r>
      <w:r w:rsidR="008D39F6">
        <w:t xml:space="preserve"> </w:t>
      </w:r>
      <w:r w:rsidRPr="00F05C0E" w:rsidR="00642EE1">
        <w:t>requires contractors to report</w:t>
      </w:r>
      <w:r w:rsidR="009C654C">
        <w:t xml:space="preserve"> data</w:t>
      </w:r>
      <w:r w:rsidRPr="00F05C0E" w:rsidR="00642EE1">
        <w:t xml:space="preserve"> to the</w:t>
      </w:r>
      <w:r w:rsidR="00642EE1">
        <w:t xml:space="preserve"> DoD </w:t>
      </w:r>
      <w:r w:rsidRPr="00F05C0E" w:rsidR="00642EE1">
        <w:t xml:space="preserve">Item Unique Identification (IUID) Registry </w:t>
      </w:r>
      <w:r w:rsidR="009C654C">
        <w:t xml:space="preserve">on </w:t>
      </w:r>
      <w:r w:rsidRPr="00F05C0E" w:rsidR="00642EE1">
        <w:t>all serially-managed Government-furnished property (GFP), as well as contractor receipt of non-serially managed items</w:t>
      </w:r>
      <w:r w:rsidR="008D39F6">
        <w:t>, unless an exception applies</w:t>
      </w:r>
      <w:r w:rsidRPr="00F05C0E" w:rsidR="00642EE1">
        <w:t xml:space="preserve">.  </w:t>
      </w:r>
      <w:r w:rsidRPr="00F05C0E" w:rsidR="00904FF2">
        <w:t>“Serially managed item” means an item designated by DoD to be uniquely tracked, controlled, or managed in maintenance, repair, and/or supply systems by means of its serial number.  The clause provides a list of specific data elements contractors are to report to the IUID registry, as well as procedures for updating the registry.</w:t>
      </w:r>
      <w:bookmarkEnd w:id="1"/>
    </w:p>
    <w:p w:rsidR="00766DBD" w:rsidRPr="00F05C0E" w:rsidP="00840D40" w14:paraId="1D36BD25" w14:textId="77777777">
      <w:pPr>
        <w:tabs>
          <w:tab w:val="left" w:pos="360"/>
          <w:tab w:val="left" w:pos="720"/>
        </w:tabs>
        <w:ind w:left="720" w:hanging="720"/>
      </w:pPr>
    </w:p>
    <w:p w:rsidR="00140715" w:rsidRPr="00F05C0E" w:rsidP="00571FAE" w14:paraId="5802FB3F" w14:textId="4DEED4CA">
      <w:pPr>
        <w:tabs>
          <w:tab w:val="left" w:pos="360"/>
          <w:tab w:val="left" w:pos="720"/>
        </w:tabs>
        <w:rPr>
          <w:u w:val="single"/>
        </w:rPr>
      </w:pPr>
      <w:r w:rsidRPr="00F05C0E">
        <w:t xml:space="preserve">2. </w:t>
      </w:r>
      <w:r w:rsidR="00571FAE">
        <w:t xml:space="preserve"> </w:t>
      </w:r>
      <w:r w:rsidRPr="00F05C0E">
        <w:rPr>
          <w:u w:val="single"/>
        </w:rPr>
        <w:t>Use of the Information</w:t>
      </w:r>
    </w:p>
    <w:p w:rsidR="00571FAE" w:rsidP="00585A22" w14:paraId="0FFA6C87" w14:textId="77777777">
      <w:pPr>
        <w:pStyle w:val="p5"/>
        <w:tabs>
          <w:tab w:val="left" w:pos="360"/>
          <w:tab w:val="left" w:pos="720"/>
          <w:tab w:val="clear" w:pos="765"/>
          <w:tab w:val="clear" w:pos="1491"/>
          <w:tab w:val="left" w:pos="3559"/>
        </w:tabs>
        <w:ind w:left="0" w:firstLine="0"/>
      </w:pPr>
    </w:p>
    <w:p w:rsidR="00DE32A7" w:rsidRPr="00F05C0E" w:rsidP="00585A22" w14:paraId="056D92AE" w14:textId="018FD0A5">
      <w:pPr>
        <w:pStyle w:val="p5"/>
        <w:tabs>
          <w:tab w:val="left" w:pos="360"/>
          <w:tab w:val="left" w:pos="720"/>
          <w:tab w:val="clear" w:pos="765"/>
          <w:tab w:val="clear" w:pos="1491"/>
          <w:tab w:val="left" w:pos="3559"/>
        </w:tabs>
        <w:ind w:left="0" w:firstLine="0"/>
      </w:pPr>
      <w:r>
        <w:tab/>
      </w:r>
      <w:r w:rsidRPr="00F05C0E" w:rsidR="00FE7F90">
        <w:t xml:space="preserve">DFARS </w:t>
      </w:r>
      <w:r w:rsidR="009C654C">
        <w:t xml:space="preserve">clause </w:t>
      </w:r>
      <w:r w:rsidRPr="00F05C0E" w:rsidR="00FE7F90">
        <w:t xml:space="preserve">252.211-7007 </w:t>
      </w:r>
      <w:r w:rsidRPr="00F05C0E" w:rsidR="00D64BE4">
        <w:t>strengthen</w:t>
      </w:r>
      <w:r w:rsidRPr="00F05C0E" w:rsidR="00FE7F90">
        <w:t>s</w:t>
      </w:r>
      <w:r w:rsidRPr="00F05C0E" w:rsidR="005D36DD">
        <w:t xml:space="preserve"> </w:t>
      </w:r>
      <w:r w:rsidRPr="00F05C0E" w:rsidR="00FD43C7">
        <w:t xml:space="preserve">the accountability and </w:t>
      </w:r>
      <w:r w:rsidRPr="00F05C0E" w:rsidR="00766DBD">
        <w:t xml:space="preserve">end-to-end </w:t>
      </w:r>
      <w:r w:rsidRPr="00F05C0E" w:rsidR="00FD43C7">
        <w:t>t</w:t>
      </w:r>
      <w:r w:rsidRPr="00F05C0E" w:rsidR="005D36DD">
        <w:t>race</w:t>
      </w:r>
      <w:r w:rsidRPr="00F05C0E" w:rsidR="00FD43C7">
        <w:t>ability</w:t>
      </w:r>
      <w:r w:rsidRPr="00F05C0E" w:rsidR="005D36DD">
        <w:t xml:space="preserve"> </w:t>
      </w:r>
      <w:r w:rsidRPr="00F05C0E" w:rsidR="00FD43C7">
        <w:t xml:space="preserve">of </w:t>
      </w:r>
      <w:r w:rsidRPr="00F05C0E" w:rsidR="0045283B">
        <w:t>GFP</w:t>
      </w:r>
      <w:r w:rsidRPr="00F05C0E" w:rsidR="00FE7F90">
        <w:t xml:space="preserve"> within DoD</w:t>
      </w:r>
      <w:r w:rsidRPr="00F05C0E" w:rsidR="001342F9">
        <w:t>.</w:t>
      </w:r>
      <w:r w:rsidRPr="00312A6F" w:rsidR="0045283B">
        <w:t xml:space="preserve">  </w:t>
      </w:r>
      <w:r w:rsidRPr="00F05C0E" w:rsidR="001342F9">
        <w:t xml:space="preserve">Through </w:t>
      </w:r>
      <w:r w:rsidRPr="00F05C0E" w:rsidR="005D36DD">
        <w:t xml:space="preserve">electronic notification of </w:t>
      </w:r>
      <w:r w:rsidRPr="00F05C0E" w:rsidR="005B3193">
        <w:t>physical receipt</w:t>
      </w:r>
      <w:r w:rsidRPr="00F05C0E" w:rsidR="001342F9">
        <w:t>, the contracting officer</w:t>
      </w:r>
      <w:r w:rsidR="00E36EE1">
        <w:t xml:space="preserve"> and requirements officials are</w:t>
      </w:r>
      <w:r w:rsidRPr="00F05C0E" w:rsidR="001342F9">
        <w:t xml:space="preserve"> </w:t>
      </w:r>
      <w:r w:rsidRPr="00F05C0E" w:rsidR="005B3193">
        <w:t xml:space="preserve">made </w:t>
      </w:r>
      <w:r w:rsidRPr="00F05C0E" w:rsidR="001342F9">
        <w:t xml:space="preserve">aware </w:t>
      </w:r>
      <w:r w:rsidRPr="00F05C0E" w:rsidR="005D36DD">
        <w:t xml:space="preserve">that </w:t>
      </w:r>
      <w:r w:rsidRPr="00F05C0E" w:rsidR="00FA6A75">
        <w:t>GFP</w:t>
      </w:r>
      <w:r w:rsidRPr="00F05C0E" w:rsidR="001342F9">
        <w:t xml:space="preserve"> has</w:t>
      </w:r>
      <w:r w:rsidRPr="00F05C0E" w:rsidR="005D36DD">
        <w:t xml:space="preserve"> arrived at the contractor’s facility. </w:t>
      </w:r>
      <w:r w:rsidRPr="00F05C0E" w:rsidR="00766DBD">
        <w:t xml:space="preserve"> The DoD logistics community uses the information as a data source of available DoD equipment.</w:t>
      </w:r>
      <w:r w:rsidRPr="00F05C0E" w:rsidR="00403331">
        <w:t xml:space="preserve">  In addition, the DoD organization responsible for contract administration </w:t>
      </w:r>
      <w:r w:rsidRPr="00F05C0E" w:rsidR="00010C66">
        <w:t>uses the data to test the adequacy of the contractor’s property management system.</w:t>
      </w:r>
    </w:p>
    <w:p w:rsidR="001342F9" w:rsidRPr="00F05C0E" w:rsidP="00585A22" w14:paraId="57A0DB2D" w14:textId="77777777">
      <w:pPr>
        <w:widowControl/>
        <w:tabs>
          <w:tab w:val="left" w:pos="360"/>
          <w:tab w:val="left" w:pos="720"/>
        </w:tabs>
        <w:autoSpaceDE/>
        <w:autoSpaceDN/>
        <w:adjustRightInd/>
      </w:pPr>
    </w:p>
    <w:p w:rsidR="00D4757A" w:rsidRPr="00F05C0E" w:rsidP="00585A22" w14:paraId="51052F81" w14:textId="50E63794">
      <w:pPr>
        <w:pStyle w:val="p4"/>
        <w:tabs>
          <w:tab w:val="left" w:pos="360"/>
          <w:tab w:val="left" w:pos="450"/>
          <w:tab w:val="left" w:pos="720"/>
        </w:tabs>
      </w:pPr>
      <w:r w:rsidRPr="00F05C0E">
        <w:t>3.</w:t>
      </w:r>
      <w:r w:rsidRPr="00F05C0E" w:rsidR="00323753">
        <w:t xml:space="preserve">  </w:t>
      </w:r>
      <w:r w:rsidRPr="00F05C0E" w:rsidR="00323753">
        <w:rPr>
          <w:u w:val="single"/>
        </w:rPr>
        <w:t xml:space="preserve">Use of </w:t>
      </w:r>
      <w:r w:rsidRPr="00F05C0E">
        <w:rPr>
          <w:u w:val="single"/>
        </w:rPr>
        <w:t>Information Technology</w:t>
      </w:r>
    </w:p>
    <w:p w:rsidR="00D4757A" w:rsidRPr="00F05C0E" w:rsidP="00585A22" w14:paraId="4EFC3FC1" w14:textId="77777777">
      <w:pPr>
        <w:pStyle w:val="p4"/>
        <w:tabs>
          <w:tab w:val="left" w:pos="360"/>
          <w:tab w:val="left" w:pos="450"/>
          <w:tab w:val="left" w:pos="720"/>
        </w:tabs>
      </w:pPr>
    </w:p>
    <w:p w:rsidR="0045283B" w:rsidRPr="00F05C0E" w:rsidP="00585A22" w14:paraId="3E26AB6D" w14:textId="3EDA6C5C">
      <w:pPr>
        <w:pStyle w:val="p4"/>
        <w:tabs>
          <w:tab w:val="left" w:pos="360"/>
          <w:tab w:val="left" w:pos="720"/>
        </w:tabs>
      </w:pPr>
      <w:r w:rsidRPr="00F05C0E">
        <w:tab/>
      </w:r>
      <w:r w:rsidRPr="00F05C0E" w:rsidR="00B3454A">
        <w:t xml:space="preserve">Information technology </w:t>
      </w:r>
      <w:r w:rsidRPr="00F05C0E">
        <w:t xml:space="preserve">is used </w:t>
      </w:r>
      <w:r w:rsidRPr="00F05C0E" w:rsidR="00B3454A">
        <w:t>to</w:t>
      </w:r>
      <w:r w:rsidRPr="00F05C0E">
        <w:t xml:space="preserve"> collect the covered information </w:t>
      </w:r>
      <w:r w:rsidRPr="00F05C0E" w:rsidR="00E84704">
        <w:t xml:space="preserve">to the maximum extent </w:t>
      </w:r>
      <w:r w:rsidR="00E36EE1">
        <w:t>practicable</w:t>
      </w:r>
      <w:r w:rsidRPr="00F05C0E" w:rsidR="00DD6743">
        <w:t xml:space="preserve"> (100%)</w:t>
      </w:r>
      <w:r w:rsidR="00E36EE1">
        <w:t>.</w:t>
      </w:r>
      <w:r w:rsidR="00DD6743">
        <w:t xml:space="preserve"> </w:t>
      </w:r>
      <w:r w:rsidR="00AB3C41">
        <w:t xml:space="preserve"> </w:t>
      </w:r>
      <w:r w:rsidRPr="00F05C0E">
        <w:t>As required by DFARS 252.211-7007, contractors report</w:t>
      </w:r>
      <w:r w:rsidRPr="00F05C0E" w:rsidR="00915193">
        <w:t xml:space="preserve"> GFP</w:t>
      </w:r>
      <w:r w:rsidRPr="00F05C0E">
        <w:t xml:space="preserve"> data electronically to the </w:t>
      </w:r>
      <w:r w:rsidR="00642EE1">
        <w:t xml:space="preserve">DoD </w:t>
      </w:r>
      <w:r w:rsidRPr="00F05C0E">
        <w:t>IUID Registry</w:t>
      </w:r>
      <w:r w:rsidR="006B4CED">
        <w:t xml:space="preserve"> of the GFP Module</w:t>
      </w:r>
      <w:r w:rsidRPr="00F05C0E">
        <w:t>, which is the DoD data repository that receives input from both industry and Government sources and provides storage of, and access to, data that identifies and describes tangible Government personal property.</w:t>
      </w:r>
    </w:p>
    <w:p w:rsidR="00B3454A" w:rsidP="00585A22" w14:paraId="6C8B460B" w14:textId="46356E90">
      <w:pPr>
        <w:pStyle w:val="p4"/>
        <w:tabs>
          <w:tab w:val="left" w:pos="360"/>
          <w:tab w:val="left" w:pos="720"/>
        </w:tabs>
      </w:pPr>
    </w:p>
    <w:p w:rsidR="00B05D02" w:rsidP="00585A22" w14:paraId="0ADF667A" w14:textId="376B19D5">
      <w:pPr>
        <w:pStyle w:val="p4"/>
        <w:tabs>
          <w:tab w:val="left" w:pos="360"/>
          <w:tab w:val="left" w:pos="720"/>
        </w:tabs>
      </w:pPr>
    </w:p>
    <w:p w:rsidR="00B05D02" w:rsidRPr="00F05C0E" w:rsidP="00585A22" w14:paraId="22CACD1C" w14:textId="77777777">
      <w:pPr>
        <w:pStyle w:val="p4"/>
        <w:tabs>
          <w:tab w:val="left" w:pos="360"/>
          <w:tab w:val="left" w:pos="720"/>
        </w:tabs>
      </w:pPr>
    </w:p>
    <w:p w:rsidR="00D4757A" w:rsidRPr="00F05C0E" w:rsidP="00585A22" w14:paraId="360AFED8" w14:textId="2AEEFAE3">
      <w:pPr>
        <w:pStyle w:val="p4"/>
        <w:tabs>
          <w:tab w:val="left" w:pos="360"/>
          <w:tab w:val="left" w:pos="720"/>
        </w:tabs>
      </w:pPr>
      <w:r w:rsidRPr="00F05C0E">
        <w:t>4.</w:t>
      </w:r>
      <w:r w:rsidRPr="00F05C0E" w:rsidR="007C0C1D">
        <w:t xml:space="preserve">  </w:t>
      </w:r>
      <w:r w:rsidRPr="00F05C0E">
        <w:rPr>
          <w:u w:val="single"/>
        </w:rPr>
        <w:t>Non-d</w:t>
      </w:r>
      <w:r w:rsidRPr="00F05C0E" w:rsidR="007C0C1D">
        <w:rPr>
          <w:u w:val="single"/>
        </w:rPr>
        <w:t>uplication</w:t>
      </w:r>
      <w:r w:rsidRPr="00F05C0E">
        <w:t>.</w:t>
      </w:r>
    </w:p>
    <w:p w:rsidR="00D4757A" w:rsidRPr="00F05C0E" w:rsidP="00585A22" w14:paraId="5EDF7F35" w14:textId="77777777">
      <w:pPr>
        <w:pStyle w:val="p4"/>
        <w:tabs>
          <w:tab w:val="left" w:pos="360"/>
          <w:tab w:val="left" w:pos="720"/>
        </w:tabs>
      </w:pPr>
    </w:p>
    <w:p w:rsidR="00B3454A" w:rsidRPr="00F05C0E" w:rsidP="00585A22" w14:paraId="3F1FECD2" w14:textId="7FD58A3B">
      <w:pPr>
        <w:pStyle w:val="p4"/>
        <w:tabs>
          <w:tab w:val="left" w:pos="360"/>
          <w:tab w:val="left" w:pos="720"/>
        </w:tabs>
      </w:pPr>
      <w:r w:rsidRPr="00F05C0E">
        <w:tab/>
      </w:r>
      <w:r w:rsidRPr="00F05C0E">
        <w:t xml:space="preserve">As a matter of policy, DoD reviews the </w:t>
      </w:r>
      <w:r w:rsidRPr="00685A26" w:rsidR="0058221A">
        <w:t xml:space="preserve">Federal Acquisition Regulation </w:t>
      </w:r>
      <w:r w:rsidR="0058221A">
        <w:t>(FAR)</w:t>
      </w:r>
      <w:r w:rsidRPr="003525BE" w:rsidR="0058221A">
        <w:t xml:space="preserve"> </w:t>
      </w:r>
      <w:r w:rsidR="0058221A">
        <w:t xml:space="preserve">and DFARS </w:t>
      </w:r>
      <w:r w:rsidRPr="00F05C0E">
        <w:t>to determine whether adequate language already exists.  This information collection does not duplicate any other requirement.</w:t>
      </w:r>
    </w:p>
    <w:p w:rsidR="00D9216C" w:rsidP="00585A22" w14:paraId="0FE6DF0A" w14:textId="77777777">
      <w:pPr>
        <w:pStyle w:val="p4"/>
        <w:tabs>
          <w:tab w:val="left" w:pos="360"/>
          <w:tab w:val="left" w:pos="720"/>
        </w:tabs>
      </w:pPr>
    </w:p>
    <w:p w:rsidR="00D4757A" w:rsidRPr="00F05C0E" w:rsidP="00585A22" w14:paraId="41E92D94" w14:textId="16B76C7F">
      <w:pPr>
        <w:pStyle w:val="p4"/>
        <w:tabs>
          <w:tab w:val="left" w:pos="360"/>
          <w:tab w:val="left" w:pos="540"/>
          <w:tab w:val="clear" w:pos="674"/>
          <w:tab w:val="left" w:pos="720"/>
        </w:tabs>
      </w:pPr>
      <w:r w:rsidRPr="00F05C0E">
        <w:t>5.</w:t>
      </w:r>
      <w:r w:rsidRPr="00F05C0E">
        <w:t xml:space="preserve"> </w:t>
      </w:r>
      <w:r w:rsidRPr="00F05C0E">
        <w:t xml:space="preserve"> </w:t>
      </w:r>
      <w:r w:rsidRPr="00F05C0E">
        <w:rPr>
          <w:u w:val="single"/>
        </w:rPr>
        <w:t>Burden on S</w:t>
      </w:r>
      <w:r w:rsidRPr="00F05C0E">
        <w:rPr>
          <w:u w:val="single"/>
        </w:rPr>
        <w:t>mall Business</w:t>
      </w:r>
    </w:p>
    <w:p w:rsidR="00D4757A" w:rsidRPr="00F05C0E" w:rsidP="00585A22" w14:paraId="29864EA0" w14:textId="77777777">
      <w:pPr>
        <w:pStyle w:val="p4"/>
        <w:tabs>
          <w:tab w:val="left" w:pos="360"/>
          <w:tab w:val="left" w:pos="540"/>
          <w:tab w:val="clear" w:pos="674"/>
          <w:tab w:val="left" w:pos="720"/>
        </w:tabs>
      </w:pPr>
    </w:p>
    <w:p w:rsidR="00844F2C" w:rsidRPr="00F05C0E" w:rsidP="00585A22" w14:paraId="20830B05" w14:textId="15CA0D92">
      <w:pPr>
        <w:pStyle w:val="p4"/>
        <w:tabs>
          <w:tab w:val="left" w:pos="360"/>
          <w:tab w:val="left" w:pos="540"/>
          <w:tab w:val="clear" w:pos="674"/>
          <w:tab w:val="left" w:pos="720"/>
        </w:tabs>
      </w:pPr>
      <w:r w:rsidRPr="00F05C0E">
        <w:tab/>
        <w:t>The burden applied to small businesses is the minimum consistent with applicable laws, Executive orders, regulations, and prudent business practices.</w:t>
      </w:r>
    </w:p>
    <w:p w:rsidR="00B3454A" w:rsidRPr="00F05C0E" w:rsidP="00585A22" w14:paraId="5E4A8FD0" w14:textId="77777777">
      <w:pPr>
        <w:pStyle w:val="p4"/>
        <w:tabs>
          <w:tab w:val="left" w:pos="360"/>
          <w:tab w:val="left" w:pos="720"/>
        </w:tabs>
      </w:pPr>
    </w:p>
    <w:p w:rsidR="00AB6FF0" w:rsidRPr="00F05C0E" w:rsidP="00585A22" w14:paraId="6D7C05F6" w14:textId="03774DD2">
      <w:pPr>
        <w:pStyle w:val="p4"/>
        <w:tabs>
          <w:tab w:val="left" w:pos="360"/>
          <w:tab w:val="left" w:pos="720"/>
        </w:tabs>
      </w:pPr>
      <w:r w:rsidRPr="00F05C0E">
        <w:t>6.</w:t>
      </w:r>
      <w:r w:rsidRPr="00F05C0E" w:rsidR="007C0C1D">
        <w:t xml:space="preserve"> </w:t>
      </w:r>
      <w:r w:rsidRPr="00F05C0E">
        <w:t xml:space="preserve"> </w:t>
      </w:r>
      <w:r w:rsidRPr="00F05C0E">
        <w:rPr>
          <w:u w:val="single"/>
        </w:rPr>
        <w:t>Less Frequent Collection</w:t>
      </w:r>
    </w:p>
    <w:p w:rsidR="00AB6FF0" w:rsidRPr="00F05C0E" w:rsidP="00585A22" w14:paraId="49FDA1AE" w14:textId="77777777">
      <w:pPr>
        <w:pStyle w:val="p4"/>
        <w:tabs>
          <w:tab w:val="left" w:pos="360"/>
          <w:tab w:val="left" w:pos="720"/>
        </w:tabs>
      </w:pPr>
    </w:p>
    <w:p w:rsidR="005709FF" w:rsidRPr="00F05C0E" w:rsidP="00585A22" w14:paraId="22307F08" w14:textId="12F1121C">
      <w:pPr>
        <w:pStyle w:val="p4"/>
        <w:tabs>
          <w:tab w:val="left" w:pos="360"/>
          <w:tab w:val="clear" w:pos="674"/>
          <w:tab w:val="left" w:pos="720"/>
        </w:tabs>
      </w:pPr>
      <w:r>
        <w:tab/>
      </w:r>
      <w:r w:rsidR="0058221A">
        <w:t xml:space="preserve">This information is collected only when GFP is provided to contractors </w:t>
      </w:r>
      <w:r w:rsidR="008F6C37">
        <w:t xml:space="preserve">to account for and manage DoD GFP.  </w:t>
      </w:r>
      <w:r w:rsidRPr="00F05C0E" w:rsidR="00642EE1">
        <w:t>If</w:t>
      </w:r>
      <w:r w:rsidRPr="00F05C0E" w:rsidR="00E84704">
        <w:t xml:space="preserve"> the information required by DFARS 252.211-7007 is not collected, then effective</w:t>
      </w:r>
      <w:r w:rsidRPr="00F05C0E">
        <w:t xml:space="preserve"> accountability and management of </w:t>
      </w:r>
      <w:r w:rsidRPr="00F05C0E" w:rsidR="00E84704">
        <w:t>GFP</w:t>
      </w:r>
      <w:r w:rsidRPr="00F05C0E">
        <w:t xml:space="preserve"> w</w:t>
      </w:r>
      <w:r>
        <w:t xml:space="preserve">ill </w:t>
      </w:r>
      <w:r w:rsidRPr="00F05C0E">
        <w:t>be compromised.</w:t>
      </w:r>
    </w:p>
    <w:p w:rsidR="009D5621" w:rsidRPr="00F05C0E" w:rsidP="00585A22" w14:paraId="3986222F" w14:textId="77777777">
      <w:pPr>
        <w:pStyle w:val="p4"/>
        <w:tabs>
          <w:tab w:val="left" w:pos="360"/>
          <w:tab w:val="left" w:pos="720"/>
        </w:tabs>
      </w:pPr>
    </w:p>
    <w:p w:rsidR="009D5621" w:rsidRPr="00F05C0E" w:rsidP="00585A22" w14:paraId="69DA3B77" w14:textId="45508514">
      <w:pPr>
        <w:pStyle w:val="p4"/>
        <w:tabs>
          <w:tab w:val="left" w:pos="360"/>
          <w:tab w:val="left" w:pos="720"/>
        </w:tabs>
      </w:pPr>
      <w:r w:rsidRPr="00F05C0E">
        <w:t>7.</w:t>
      </w:r>
      <w:r w:rsidRPr="00F05C0E">
        <w:t xml:space="preserve">  </w:t>
      </w:r>
      <w:r w:rsidRPr="00F05C0E">
        <w:rPr>
          <w:u w:val="single"/>
        </w:rPr>
        <w:t>Paperwork Reduction Act Guidelines</w:t>
      </w:r>
    </w:p>
    <w:p w:rsidR="00844F2C" w:rsidRPr="00F05C0E" w:rsidP="00585A22" w14:paraId="74282EA0" w14:textId="77777777">
      <w:pPr>
        <w:pStyle w:val="p4"/>
        <w:tabs>
          <w:tab w:val="left" w:pos="360"/>
          <w:tab w:val="left" w:pos="720"/>
        </w:tabs>
      </w:pPr>
    </w:p>
    <w:p w:rsidR="00B3454A" w:rsidRPr="00F05C0E" w:rsidP="00585A22" w14:paraId="4491ADA1" w14:textId="6D536EDD">
      <w:pPr>
        <w:pStyle w:val="p4"/>
        <w:tabs>
          <w:tab w:val="left" w:pos="360"/>
          <w:tab w:val="left" w:pos="720"/>
        </w:tabs>
      </w:pPr>
      <w:r w:rsidRPr="00F05C0E">
        <w:tab/>
      </w:r>
      <w:r w:rsidRPr="00F05C0E">
        <w:t xml:space="preserve">There are no special circumstances </w:t>
      </w:r>
      <w:r w:rsidRPr="00F05C0E">
        <w:t>for</w:t>
      </w:r>
      <w:r w:rsidRPr="00F05C0E">
        <w:t xml:space="preserve"> collection</w:t>
      </w:r>
      <w:r w:rsidRPr="00F05C0E">
        <w:t xml:space="preserve">. </w:t>
      </w:r>
      <w:r w:rsidR="00DD6743">
        <w:t xml:space="preserve"> </w:t>
      </w:r>
      <w:r w:rsidRPr="00F05C0E">
        <w:t>Collection of this information is consistent with the guidelines</w:t>
      </w:r>
      <w:r w:rsidRPr="00F05C0E">
        <w:t xml:space="preserve"> </w:t>
      </w:r>
      <w:r w:rsidRPr="00F05C0E">
        <w:t>at</w:t>
      </w:r>
      <w:r w:rsidRPr="00F05C0E">
        <w:t xml:space="preserve"> 5 CFR 1320.5(d)(2).</w:t>
      </w:r>
    </w:p>
    <w:p w:rsidR="00B3454A" w:rsidRPr="00F05C0E" w:rsidP="00585A22" w14:paraId="23BEDCEC" w14:textId="77777777">
      <w:pPr>
        <w:tabs>
          <w:tab w:val="left" w:pos="204"/>
          <w:tab w:val="left" w:pos="360"/>
          <w:tab w:val="left" w:pos="720"/>
        </w:tabs>
      </w:pPr>
    </w:p>
    <w:p w:rsidR="009D5621" w:rsidRPr="00F05C0E" w:rsidP="00585A22" w14:paraId="6C2DFEA2" w14:textId="405856CD">
      <w:pPr>
        <w:tabs>
          <w:tab w:val="left" w:pos="360"/>
          <w:tab w:val="left" w:pos="720"/>
        </w:tabs>
      </w:pPr>
      <w:r w:rsidRPr="00F05C0E">
        <w:t>8.</w:t>
      </w:r>
      <w:r w:rsidRPr="00F05C0E" w:rsidR="007C0C1D">
        <w:t xml:space="preserve">  </w:t>
      </w:r>
      <w:r w:rsidRPr="00312A6F">
        <w:rPr>
          <w:u w:val="single"/>
        </w:rPr>
        <w:t>C</w:t>
      </w:r>
      <w:r w:rsidR="008F6C37">
        <w:rPr>
          <w:u w:val="single"/>
        </w:rPr>
        <w:t>onsultation</w:t>
      </w:r>
      <w:r w:rsidRPr="00312A6F">
        <w:rPr>
          <w:u w:val="single"/>
        </w:rPr>
        <w:t xml:space="preserve"> and Public Comments</w:t>
      </w:r>
    </w:p>
    <w:p w:rsidR="009D5621" w:rsidRPr="00F05C0E" w:rsidP="00585A22" w14:paraId="3B8E6FD5" w14:textId="77777777">
      <w:pPr>
        <w:tabs>
          <w:tab w:val="left" w:pos="360"/>
          <w:tab w:val="left" w:pos="720"/>
        </w:tabs>
      </w:pPr>
    </w:p>
    <w:p w:rsidR="00571FAE" w:rsidRPr="004B427E" w:rsidP="00585A22" w14:paraId="14539100" w14:textId="10E32003">
      <w:pPr>
        <w:tabs>
          <w:tab w:val="left" w:pos="360"/>
          <w:tab w:val="left" w:pos="720"/>
        </w:tabs>
        <w:rPr>
          <w:u w:val="single"/>
        </w:rPr>
      </w:pPr>
      <w:r w:rsidRPr="00F05C0E">
        <w:tab/>
      </w:r>
      <w:r w:rsidR="008F6C37">
        <w:t>a</w:t>
      </w:r>
      <w:r w:rsidRPr="00F05C0E" w:rsidR="00844F2C">
        <w:t xml:space="preserve">.  </w:t>
      </w:r>
      <w:r>
        <w:rPr>
          <w:u w:val="single"/>
        </w:rPr>
        <w:t>Public Notice</w:t>
      </w:r>
    </w:p>
    <w:p w:rsidR="00571FAE" w:rsidP="00585A22" w14:paraId="2B0B968F" w14:textId="77777777">
      <w:pPr>
        <w:tabs>
          <w:tab w:val="left" w:pos="360"/>
          <w:tab w:val="left" w:pos="720"/>
        </w:tabs>
      </w:pPr>
    </w:p>
    <w:p w:rsidR="005E2D82" w:rsidRPr="00F05C0E" w:rsidP="00585A22" w14:paraId="62651645" w14:textId="5A0B2594">
      <w:pPr>
        <w:tabs>
          <w:tab w:val="left" w:pos="360"/>
          <w:tab w:val="left" w:pos="720"/>
        </w:tabs>
      </w:pPr>
      <w:r>
        <w:tab/>
      </w:r>
      <w:r>
        <w:tab/>
      </w:r>
      <w:r>
        <w:t>i</w:t>
      </w:r>
      <w:r>
        <w:t xml:space="preserve">.  </w:t>
      </w:r>
      <w:r w:rsidRPr="00F05C0E" w:rsidR="009D5621">
        <w:t>P</w:t>
      </w:r>
      <w:r w:rsidRPr="00F05C0E" w:rsidR="00450496">
        <w:t xml:space="preserve">ublic comments were solicited in the </w:t>
      </w:r>
      <w:r w:rsidRPr="00F05C0E" w:rsidR="00450496">
        <w:rPr>
          <w:i/>
        </w:rPr>
        <w:t>Federal Register</w:t>
      </w:r>
      <w:r w:rsidR="00AB3C41">
        <w:t xml:space="preserve"> </w:t>
      </w:r>
      <w:r w:rsidRPr="00AD5273" w:rsidR="00AB3C41">
        <w:t xml:space="preserve">on </w:t>
      </w:r>
      <w:r w:rsidRPr="00AD5273" w:rsidR="00AD5273">
        <w:t>March 30, 2023</w:t>
      </w:r>
      <w:r w:rsidR="00B05D02">
        <w:t xml:space="preserve"> </w:t>
      </w:r>
      <w:r w:rsidRPr="00AD5273" w:rsidR="001342F9">
        <w:t>(</w:t>
      </w:r>
      <w:hyperlink r:id="rId6" w:history="1">
        <w:r w:rsidRPr="00033DE5" w:rsidR="00AD5273">
          <w:rPr>
            <w:rStyle w:val="Hyperlink"/>
          </w:rPr>
          <w:t>88</w:t>
        </w:r>
        <w:r w:rsidRPr="00033DE5" w:rsidR="008F6C37">
          <w:rPr>
            <w:rStyle w:val="Hyperlink"/>
          </w:rPr>
          <w:t xml:space="preserve"> </w:t>
        </w:r>
        <w:r w:rsidRPr="00033DE5" w:rsidR="008F6C37">
          <w:rPr>
            <w:rStyle w:val="Hyperlink"/>
          </w:rPr>
          <w:t xml:space="preserve">FR </w:t>
        </w:r>
        <w:r w:rsidRPr="00033DE5" w:rsidR="00AD5273">
          <w:rPr>
            <w:rStyle w:val="Hyperlink"/>
          </w:rPr>
          <w:t>19100</w:t>
        </w:r>
      </w:hyperlink>
      <w:r w:rsidRPr="00AD5273" w:rsidR="00E7490E">
        <w:t xml:space="preserve">).  </w:t>
      </w:r>
      <w:r w:rsidRPr="00AD5273" w:rsidR="008F6C37">
        <w:t>No</w:t>
      </w:r>
      <w:r w:rsidRPr="00F05C0E" w:rsidR="001342F9">
        <w:t xml:space="preserve"> comment</w:t>
      </w:r>
      <w:r w:rsidRPr="00F05C0E" w:rsidR="00766DBD">
        <w:t>s</w:t>
      </w:r>
      <w:r w:rsidRPr="00F05C0E" w:rsidR="001342F9">
        <w:t xml:space="preserve"> w</w:t>
      </w:r>
      <w:r w:rsidR="008F6C37">
        <w:t xml:space="preserve">ere </w:t>
      </w:r>
      <w:r w:rsidRPr="00F05C0E" w:rsidR="001342F9">
        <w:t>received in response to this notice.</w:t>
      </w:r>
    </w:p>
    <w:p w:rsidR="00844F2C" w:rsidRPr="00F05C0E" w:rsidP="00585A22" w14:paraId="5B143160" w14:textId="77777777">
      <w:pPr>
        <w:tabs>
          <w:tab w:val="left" w:pos="360"/>
          <w:tab w:val="left" w:pos="720"/>
        </w:tabs>
      </w:pPr>
    </w:p>
    <w:p w:rsidR="00844F2C" w:rsidRPr="00F05C0E" w:rsidP="00585A22" w14:paraId="5845BCD2" w14:textId="3734B845">
      <w:pPr>
        <w:tabs>
          <w:tab w:val="left" w:pos="360"/>
          <w:tab w:val="left" w:pos="720"/>
        </w:tabs>
      </w:pPr>
      <w:r>
        <w:tab/>
      </w:r>
      <w:r w:rsidR="00571FAE">
        <w:tab/>
        <w:t>ii</w:t>
      </w:r>
      <w:r w:rsidRPr="00F05C0E">
        <w:t xml:space="preserve">.  A notice of submission to OMB for clearance of this information collection was published in the </w:t>
      </w:r>
      <w:r w:rsidRPr="005071B4">
        <w:rPr>
          <w:i/>
        </w:rPr>
        <w:t>Federal Register</w:t>
      </w:r>
      <w:r w:rsidRPr="00F05C0E">
        <w:t xml:space="preserve"> on </w:t>
      </w:r>
      <w:r w:rsidRPr="00033DE5" w:rsidR="00AD5273">
        <w:t xml:space="preserve">June </w:t>
      </w:r>
      <w:r w:rsidR="00033DE5">
        <w:t>23</w:t>
      </w:r>
      <w:r w:rsidRPr="00033DE5" w:rsidR="00AD5273">
        <w:t>, 2023</w:t>
      </w:r>
      <w:r w:rsidRPr="00033DE5">
        <w:t xml:space="preserve"> (</w:t>
      </w:r>
      <w:hyperlink r:id="rId7" w:history="1">
        <w:r w:rsidRPr="00033DE5" w:rsidR="00AD5273">
          <w:rPr>
            <w:rStyle w:val="Hyperlink"/>
          </w:rPr>
          <w:t>88</w:t>
        </w:r>
        <w:r w:rsidRPr="00033DE5" w:rsidR="00E846A8">
          <w:rPr>
            <w:rStyle w:val="Hyperlink"/>
          </w:rPr>
          <w:t xml:space="preserve"> FR</w:t>
        </w:r>
        <w:r w:rsidRPr="00033DE5" w:rsidR="00E846A8">
          <w:rPr>
            <w:rStyle w:val="Hyperlink"/>
          </w:rPr>
          <w:t xml:space="preserve"> </w:t>
        </w:r>
        <w:r w:rsidRPr="00033DE5" w:rsidR="00033DE5">
          <w:rPr>
            <w:rStyle w:val="Hyperlink"/>
          </w:rPr>
          <w:t>41089</w:t>
        </w:r>
      </w:hyperlink>
      <w:r w:rsidRPr="00033DE5">
        <w:t>).</w:t>
      </w:r>
    </w:p>
    <w:p w:rsidR="00871C53" w:rsidRPr="00F05C0E" w:rsidP="00585A22" w14:paraId="205F4192" w14:textId="77777777">
      <w:pPr>
        <w:tabs>
          <w:tab w:val="left" w:pos="360"/>
          <w:tab w:val="left" w:pos="720"/>
        </w:tabs>
      </w:pPr>
    </w:p>
    <w:p w:rsidR="00571FAE" w:rsidRPr="004B427E" w:rsidP="00571FAE" w14:paraId="7AB14F21" w14:textId="59B778B6">
      <w:pPr>
        <w:tabs>
          <w:tab w:val="left" w:pos="360"/>
          <w:tab w:val="left" w:pos="720"/>
        </w:tabs>
        <w:rPr>
          <w:u w:val="single"/>
        </w:rPr>
      </w:pPr>
      <w:r w:rsidRPr="00F05C0E">
        <w:tab/>
      </w:r>
      <w:r>
        <w:t>b</w:t>
      </w:r>
      <w:r w:rsidRPr="00A16793">
        <w:t xml:space="preserve">.  </w:t>
      </w:r>
      <w:r>
        <w:rPr>
          <w:u w:val="single"/>
        </w:rPr>
        <w:t>Consultation</w:t>
      </w:r>
    </w:p>
    <w:p w:rsidR="00571FAE" w:rsidP="00571FAE" w14:paraId="48D291C1" w14:textId="77777777">
      <w:pPr>
        <w:tabs>
          <w:tab w:val="left" w:pos="360"/>
          <w:tab w:val="left" w:pos="720"/>
        </w:tabs>
      </w:pPr>
    </w:p>
    <w:p w:rsidR="00571FAE" w:rsidRPr="00F05C0E" w:rsidP="00571FAE" w14:paraId="0BE84EA2" w14:textId="6E9EB435">
      <w:pPr>
        <w:tabs>
          <w:tab w:val="left" w:pos="360"/>
          <w:tab w:val="left" w:pos="720"/>
        </w:tabs>
      </w:pPr>
      <w:r>
        <w:tab/>
      </w:r>
      <w:r w:rsidRPr="00A16793">
        <w:t>DoD subject matter experts were consulted regarding th</w:t>
      </w:r>
      <w:r>
        <w:t>e renewal of this</w:t>
      </w:r>
      <w:r w:rsidRPr="00A16793">
        <w:t xml:space="preserve"> information collection.</w:t>
      </w:r>
    </w:p>
    <w:p w:rsidR="00571FAE" w:rsidRPr="00F05C0E" w:rsidP="00571FAE" w14:paraId="6A1D593E" w14:textId="77777777">
      <w:pPr>
        <w:tabs>
          <w:tab w:val="left" w:pos="360"/>
          <w:tab w:val="left" w:pos="720"/>
        </w:tabs>
      </w:pPr>
    </w:p>
    <w:p w:rsidR="009D5621" w:rsidRPr="00F05C0E" w:rsidP="00585A22" w14:paraId="01634BE5" w14:textId="7A5E4114">
      <w:pPr>
        <w:pStyle w:val="p4"/>
        <w:tabs>
          <w:tab w:val="left" w:pos="360"/>
          <w:tab w:val="left" w:pos="720"/>
        </w:tabs>
      </w:pPr>
      <w:r w:rsidRPr="00F05C0E">
        <w:t>9.</w:t>
      </w:r>
      <w:r w:rsidRPr="00F05C0E" w:rsidR="007C0C1D">
        <w:t xml:space="preserve">  </w:t>
      </w:r>
      <w:r w:rsidRPr="00F05C0E">
        <w:rPr>
          <w:u w:val="single"/>
        </w:rPr>
        <w:t>Gifts or Pa</w:t>
      </w:r>
      <w:r w:rsidRPr="00F05C0E" w:rsidR="007C0C1D">
        <w:rPr>
          <w:u w:val="single"/>
        </w:rPr>
        <w:t>yment</w:t>
      </w:r>
    </w:p>
    <w:p w:rsidR="009D5621" w:rsidRPr="00F05C0E" w:rsidP="00585A22" w14:paraId="5963391A" w14:textId="77777777">
      <w:pPr>
        <w:pStyle w:val="p4"/>
        <w:tabs>
          <w:tab w:val="left" w:pos="360"/>
          <w:tab w:val="left" w:pos="720"/>
        </w:tabs>
      </w:pPr>
    </w:p>
    <w:p w:rsidR="00B3454A" w:rsidRPr="00F05C0E" w:rsidP="00585A22" w14:paraId="4E927B07" w14:textId="5ECD7BDF">
      <w:pPr>
        <w:pStyle w:val="p4"/>
        <w:tabs>
          <w:tab w:val="left" w:pos="360"/>
          <w:tab w:val="clear" w:pos="674"/>
          <w:tab w:val="left" w:pos="720"/>
        </w:tabs>
      </w:pPr>
      <w:r w:rsidRPr="00F05C0E">
        <w:tab/>
      </w:r>
      <w:r w:rsidRPr="00A165F0" w:rsidR="00E846A8">
        <w:t>DoD will not provide a payment or gift to respondents under this information collect</w:t>
      </w:r>
      <w:r w:rsidR="00E846A8">
        <w:t xml:space="preserve">ion requirement, </w:t>
      </w:r>
      <w:r w:rsidRPr="001D5700" w:rsidR="00E846A8">
        <w:t>other than remuneration of contractors under their contracts.</w:t>
      </w:r>
    </w:p>
    <w:p w:rsidR="00B3454A" w:rsidRPr="00F05C0E" w:rsidP="00585A22" w14:paraId="6486A604" w14:textId="77777777">
      <w:pPr>
        <w:tabs>
          <w:tab w:val="left" w:pos="360"/>
          <w:tab w:val="left" w:pos="674"/>
          <w:tab w:val="left" w:pos="720"/>
        </w:tabs>
      </w:pPr>
    </w:p>
    <w:p w:rsidR="00AA0F21" w:rsidRPr="00F05C0E" w:rsidP="00585A22" w14:paraId="1C9BC591" w14:textId="59ABB0A3">
      <w:pPr>
        <w:pStyle w:val="p4"/>
        <w:tabs>
          <w:tab w:val="left" w:pos="360"/>
          <w:tab w:val="left" w:pos="720"/>
        </w:tabs>
        <w:rPr>
          <w:u w:val="single"/>
        </w:rPr>
      </w:pPr>
      <w:r w:rsidRPr="00F05C0E">
        <w:t>10.</w:t>
      </w:r>
      <w:r w:rsidRPr="00F05C0E" w:rsidR="007C0C1D">
        <w:t xml:space="preserve">  </w:t>
      </w:r>
      <w:r w:rsidRPr="00F05C0E" w:rsidR="007C0C1D">
        <w:rPr>
          <w:u w:val="single"/>
        </w:rPr>
        <w:t>Confidentiality</w:t>
      </w:r>
    </w:p>
    <w:p w:rsidR="00AA0F21" w:rsidRPr="00F05C0E" w:rsidP="00585A22" w14:paraId="1EF7048C" w14:textId="77777777">
      <w:pPr>
        <w:pStyle w:val="p4"/>
        <w:tabs>
          <w:tab w:val="left" w:pos="360"/>
          <w:tab w:val="left" w:pos="720"/>
        </w:tabs>
        <w:rPr>
          <w:u w:val="single"/>
        </w:rPr>
      </w:pPr>
    </w:p>
    <w:p w:rsidR="00937D1F" w:rsidRPr="00F05C0E" w:rsidP="00585A22" w14:paraId="05764388" w14:textId="71A20044">
      <w:pPr>
        <w:pStyle w:val="p4"/>
        <w:tabs>
          <w:tab w:val="left" w:pos="360"/>
          <w:tab w:val="clear" w:pos="674"/>
          <w:tab w:val="left" w:pos="720"/>
        </w:tabs>
      </w:pPr>
      <w:r w:rsidRPr="00F05C0E">
        <w:rPr>
          <w:rFonts w:eastAsia="Courier New"/>
        </w:rPr>
        <w:tab/>
      </w:r>
      <w:r w:rsidRPr="00F05C0E">
        <w:rPr>
          <w:rFonts w:eastAsia="Courier New"/>
        </w:rPr>
        <w:t xml:space="preserve">This information is disclosed only to the extent consistent with statutory requirements, current regulations, and prudent business practices.  </w:t>
      </w:r>
      <w:r w:rsidR="00571FAE">
        <w:t xml:space="preserve">No assurance of confidentiality is provided </w:t>
      </w:r>
      <w:r w:rsidR="00571FAE">
        <w:t xml:space="preserve">to respondents.  </w:t>
      </w:r>
      <w:r w:rsidRPr="00CF186E" w:rsidR="00571FAE">
        <w:t xml:space="preserve">A Privacy Act Statement is not required for this collection because </w:t>
      </w:r>
      <w:r w:rsidR="00571FAE">
        <w:t xml:space="preserve">DoD is </w:t>
      </w:r>
      <w:r w:rsidRPr="00CF186E" w:rsidR="00571FAE">
        <w:t>not requesting individuals to furnish personal information for a system of records.</w:t>
      </w:r>
      <w:r w:rsidRPr="0025343B" w:rsidR="00571FAE">
        <w:t xml:space="preserve"> </w:t>
      </w:r>
      <w:r w:rsidR="00571FAE">
        <w:t xml:space="preserve"> </w:t>
      </w:r>
      <w:r w:rsidRPr="00F05C0E">
        <w:rPr>
          <w:rFonts w:eastAsia="Courier New"/>
        </w:rPr>
        <w:t>The collection of information doe</w:t>
      </w:r>
      <w:r w:rsidRPr="00F05C0E" w:rsidR="005709FF">
        <w:rPr>
          <w:rFonts w:eastAsia="Courier New"/>
        </w:rPr>
        <w:t>s</w:t>
      </w:r>
      <w:r w:rsidRPr="00F05C0E">
        <w:rPr>
          <w:rFonts w:eastAsia="Courier New"/>
        </w:rPr>
        <w:t xml:space="preserve"> not include and personally identifiable information; therefore</w:t>
      </w:r>
      <w:r w:rsidRPr="00F05C0E" w:rsidR="00766DBD">
        <w:rPr>
          <w:rFonts w:eastAsia="Courier New"/>
        </w:rPr>
        <w:t>,</w:t>
      </w:r>
      <w:r w:rsidRPr="00F05C0E">
        <w:rPr>
          <w:rFonts w:eastAsia="Courier New"/>
        </w:rPr>
        <w:t xml:space="preserve"> no Privacy Impact Assessment or Privacy Act System of Records Notice is required</w:t>
      </w:r>
      <w:r w:rsidRPr="00F05C0E" w:rsidR="002B1FC8">
        <w:rPr>
          <w:rFonts w:eastAsia="Courier New"/>
        </w:rPr>
        <w:t>.</w:t>
      </w:r>
    </w:p>
    <w:p w:rsidR="00937D1F" w:rsidRPr="00F05C0E" w:rsidP="00585A22" w14:paraId="250975A0" w14:textId="77777777">
      <w:pPr>
        <w:pStyle w:val="p4"/>
        <w:tabs>
          <w:tab w:val="left" w:pos="360"/>
          <w:tab w:val="left" w:pos="720"/>
        </w:tabs>
      </w:pPr>
    </w:p>
    <w:p w:rsidR="00AA0F21" w:rsidRPr="00F05C0E" w:rsidP="00585A22" w14:paraId="76F23DF5" w14:textId="0CF3986D">
      <w:pPr>
        <w:pStyle w:val="p4"/>
        <w:tabs>
          <w:tab w:val="left" w:pos="360"/>
          <w:tab w:val="left" w:pos="720"/>
        </w:tabs>
      </w:pPr>
      <w:r w:rsidRPr="00F05C0E">
        <w:t>11.</w:t>
      </w:r>
      <w:r w:rsidRPr="00F05C0E" w:rsidR="007C0C1D">
        <w:t xml:space="preserve">  </w:t>
      </w:r>
      <w:r w:rsidRPr="00F05C0E" w:rsidR="007C0C1D">
        <w:rPr>
          <w:u w:val="single"/>
        </w:rPr>
        <w:t>Sensitive Questions</w:t>
      </w:r>
    </w:p>
    <w:p w:rsidR="00AA0F21" w:rsidRPr="00F05C0E" w:rsidP="00585A22" w14:paraId="463FE11B" w14:textId="77777777">
      <w:pPr>
        <w:pStyle w:val="p4"/>
        <w:tabs>
          <w:tab w:val="left" w:pos="360"/>
          <w:tab w:val="left" w:pos="720"/>
        </w:tabs>
      </w:pPr>
    </w:p>
    <w:p w:rsidR="00B3454A" w:rsidRPr="00F05C0E" w:rsidP="00585A22" w14:paraId="1BABA174" w14:textId="2FD59971">
      <w:pPr>
        <w:pStyle w:val="p4"/>
        <w:tabs>
          <w:tab w:val="left" w:pos="360"/>
          <w:tab w:val="left" w:pos="720"/>
        </w:tabs>
      </w:pPr>
      <w:r w:rsidRPr="00F05C0E">
        <w:tab/>
      </w:r>
      <w:r w:rsidRPr="00F05C0E">
        <w:t>No s</w:t>
      </w:r>
      <w:r w:rsidRPr="00F05C0E">
        <w:t>ensitive questions are involved</w:t>
      </w:r>
      <w:r w:rsidR="00E846A8">
        <w:t xml:space="preserve"> in the information collection</w:t>
      </w:r>
      <w:r w:rsidRPr="00F05C0E">
        <w:t>.</w:t>
      </w:r>
    </w:p>
    <w:p w:rsidR="00B3454A" w:rsidP="00585A22" w14:paraId="225D8E0C" w14:textId="63B09C35">
      <w:pPr>
        <w:tabs>
          <w:tab w:val="left" w:pos="360"/>
          <w:tab w:val="left" w:pos="674"/>
          <w:tab w:val="left" w:pos="720"/>
        </w:tabs>
      </w:pPr>
    </w:p>
    <w:p w:rsidR="00B3454A" w:rsidRPr="00F05C0E" w:rsidP="00585A22" w14:paraId="7A1F30F5" w14:textId="7A7BF343">
      <w:pPr>
        <w:pStyle w:val="p4"/>
        <w:tabs>
          <w:tab w:val="left" w:pos="360"/>
          <w:tab w:val="clear" w:pos="674"/>
          <w:tab w:val="left" w:pos="720"/>
        </w:tabs>
      </w:pPr>
      <w:r w:rsidRPr="00F05C0E">
        <w:t>12.</w:t>
      </w:r>
      <w:r w:rsidRPr="00F05C0E" w:rsidR="007C0C1D">
        <w:t xml:space="preserve">  </w:t>
      </w:r>
      <w:r w:rsidRPr="00F05C0E" w:rsidR="00AA0F21">
        <w:rPr>
          <w:u w:val="single"/>
        </w:rPr>
        <w:t>Respondent Burden and its Labor Costs</w:t>
      </w:r>
    </w:p>
    <w:p w:rsidR="00B3454A" w:rsidRPr="00F05C0E" w:rsidP="00585A22" w14:paraId="19A6159A" w14:textId="77777777">
      <w:pPr>
        <w:pStyle w:val="p4"/>
        <w:tabs>
          <w:tab w:val="left" w:pos="360"/>
          <w:tab w:val="left" w:pos="720"/>
        </w:tabs>
      </w:pPr>
    </w:p>
    <w:p w:rsidR="00751829" w:rsidRPr="0053505D" w:rsidP="00585A22" w14:paraId="13976C52" w14:textId="782B4052">
      <w:pPr>
        <w:pStyle w:val="NormalWeb"/>
        <w:tabs>
          <w:tab w:val="left" w:pos="360"/>
          <w:tab w:val="left" w:pos="720"/>
        </w:tabs>
        <w:spacing w:before="0" w:beforeAutospacing="0" w:after="0" w:afterAutospacing="0"/>
      </w:pPr>
      <w:r>
        <w:tab/>
      </w:r>
      <w:r w:rsidRPr="00DF4AF7" w:rsidR="00FB15B2">
        <w:t>E</w:t>
      </w:r>
      <w:r w:rsidRPr="00DF4AF7" w:rsidR="001E4F06">
        <w:t xml:space="preserve">stimated respondent burden and labor costs </w:t>
      </w:r>
      <w:r w:rsidRPr="00DF4AF7" w:rsidR="000A1775">
        <w:t xml:space="preserve">are based on </w:t>
      </w:r>
      <w:r w:rsidRPr="00DF4AF7" w:rsidR="00A16793">
        <w:t xml:space="preserve">input </w:t>
      </w:r>
      <w:r w:rsidRPr="00DF4AF7" w:rsidR="000A1775">
        <w:t xml:space="preserve">and analysis </w:t>
      </w:r>
      <w:r w:rsidRPr="00DF4AF7" w:rsidR="00A16793">
        <w:t>from DoD subject matter experts</w:t>
      </w:r>
      <w:r w:rsidRPr="00DF4AF7" w:rsidR="000A1775">
        <w:t xml:space="preserve">, </w:t>
      </w:r>
      <w:r w:rsidRPr="00DF4AF7" w:rsidR="002C2CAC">
        <w:t xml:space="preserve">using </w:t>
      </w:r>
      <w:r w:rsidRPr="00DF4AF7" w:rsidR="00D90DA1">
        <w:rPr>
          <w:color w:val="000000"/>
          <w:lang w:val="en"/>
        </w:rPr>
        <w:t>the GFP Module in the Procurement Integrated Enterprise Environment (PIEE).</w:t>
      </w:r>
    </w:p>
    <w:p w:rsidR="00751829" w:rsidRPr="0053505D" w:rsidP="00585A22" w14:paraId="3323422F" w14:textId="77777777">
      <w:pPr>
        <w:pStyle w:val="NormalWeb"/>
        <w:tabs>
          <w:tab w:val="left" w:pos="360"/>
          <w:tab w:val="left" w:pos="720"/>
        </w:tabs>
        <w:spacing w:before="0" w:beforeAutospacing="0" w:after="0" w:afterAutospacing="0"/>
      </w:pPr>
    </w:p>
    <w:p w:rsidR="00103EB3" w:rsidP="004B427E" w14:paraId="6AAEC7FC" w14:textId="458AFEEF">
      <w:pPr>
        <w:pStyle w:val="NormalWeb"/>
        <w:tabs>
          <w:tab w:val="left" w:pos="360"/>
          <w:tab w:val="left" w:pos="720"/>
        </w:tabs>
        <w:spacing w:before="0" w:beforeAutospacing="0" w:after="0" w:afterAutospacing="0"/>
      </w:pPr>
      <w:r>
        <w:tab/>
      </w:r>
      <w:r w:rsidRPr="007163CD" w:rsidR="007163CD">
        <w:t>a</w:t>
      </w:r>
      <w:r w:rsidRPr="007163CD" w:rsidR="007701FD">
        <w:t>.</w:t>
      </w:r>
      <w:r w:rsidRPr="007163CD">
        <w:t xml:space="preserve"> </w:t>
      </w:r>
      <w:r w:rsidR="007163CD">
        <w:t xml:space="preserve"> </w:t>
      </w:r>
      <w:r w:rsidRPr="007163CD">
        <w:t>Number of Respondents:</w:t>
      </w:r>
      <w:r>
        <w:t xml:space="preserve">  </w:t>
      </w:r>
      <w:r w:rsidR="002C2CAC">
        <w:t>DoD estimates that</w:t>
      </w:r>
      <w:r>
        <w:t xml:space="preserve"> </w:t>
      </w:r>
      <w:r w:rsidR="008B22FD">
        <w:t>3,503</w:t>
      </w:r>
      <w:r w:rsidR="002C2CAC">
        <w:t xml:space="preserve"> respondents</w:t>
      </w:r>
      <w:r w:rsidR="00CD3762">
        <w:t xml:space="preserve"> (the</w:t>
      </w:r>
      <w:r w:rsidR="00A16793">
        <w:t xml:space="preserve"> average number of </w:t>
      </w:r>
      <w:r w:rsidR="00FA3843">
        <w:t>contractors</w:t>
      </w:r>
      <w:r w:rsidR="000A1775">
        <w:t xml:space="preserve"> </w:t>
      </w:r>
      <w:r w:rsidR="00E32862">
        <w:t xml:space="preserve">that were </w:t>
      </w:r>
      <w:r w:rsidR="00CD3762">
        <w:t>re</w:t>
      </w:r>
      <w:r w:rsidR="000A1775">
        <w:t xml:space="preserve">gistered in </w:t>
      </w:r>
      <w:r w:rsidR="008B22FD">
        <w:t>the GFP Module</w:t>
      </w:r>
      <w:r w:rsidR="000A1775">
        <w:t xml:space="preserve"> annually</w:t>
      </w:r>
      <w:r w:rsidR="00CD3762">
        <w:t>)</w:t>
      </w:r>
      <w:r w:rsidR="00C80D8A">
        <w:t xml:space="preserve"> </w:t>
      </w:r>
      <w:r w:rsidR="002C2CAC">
        <w:t>are</w:t>
      </w:r>
      <w:r w:rsidR="000A1775">
        <w:t xml:space="preserve"> </w:t>
      </w:r>
      <w:r w:rsidR="00C80D8A">
        <w:t>responsible for adhering to reporting requirements under DFARS 252.211-7007</w:t>
      </w:r>
      <w:r w:rsidR="002C2CAC">
        <w:t xml:space="preserve"> on an annual basis</w:t>
      </w:r>
      <w:r w:rsidR="00C80D8A">
        <w:t>.</w:t>
      </w:r>
    </w:p>
    <w:p w:rsidR="00103EB3" w:rsidP="004B427E" w14:paraId="4E3AF041" w14:textId="77777777">
      <w:pPr>
        <w:pStyle w:val="NormalWeb"/>
        <w:tabs>
          <w:tab w:val="left" w:pos="360"/>
          <w:tab w:val="left" w:pos="720"/>
          <w:tab w:val="left" w:pos="1080"/>
          <w:tab w:val="left" w:pos="1620"/>
        </w:tabs>
        <w:spacing w:before="0" w:beforeAutospacing="0" w:after="0" w:afterAutospacing="0"/>
      </w:pPr>
    </w:p>
    <w:p w:rsidR="009F4023" w:rsidP="004B427E" w14:paraId="461FC20F" w14:textId="5F8A36F1">
      <w:pPr>
        <w:pStyle w:val="NormalWeb"/>
        <w:tabs>
          <w:tab w:val="left" w:pos="360"/>
          <w:tab w:val="left" w:pos="720"/>
          <w:tab w:val="left" w:pos="1080"/>
          <w:tab w:val="left" w:pos="1620"/>
        </w:tabs>
        <w:spacing w:before="0" w:beforeAutospacing="0" w:after="0" w:afterAutospacing="0"/>
      </w:pPr>
      <w:r w:rsidRPr="004B427E">
        <w:rPr>
          <w:iCs/>
        </w:rPr>
        <w:tab/>
      </w:r>
      <w:r w:rsidRPr="007163CD" w:rsidR="007163CD">
        <w:rPr>
          <w:iCs/>
        </w:rPr>
        <w:t>b</w:t>
      </w:r>
      <w:r w:rsidRPr="007163CD">
        <w:rPr>
          <w:iCs/>
        </w:rPr>
        <w:t xml:space="preserve">. </w:t>
      </w:r>
      <w:r w:rsidR="007163CD">
        <w:rPr>
          <w:iCs/>
        </w:rPr>
        <w:t xml:space="preserve"> </w:t>
      </w:r>
      <w:r w:rsidRPr="007163CD">
        <w:rPr>
          <w:iCs/>
        </w:rPr>
        <w:t>Number of Responses</w:t>
      </w:r>
      <w:r w:rsidR="00CA1C43">
        <w:rPr>
          <w:iCs/>
        </w:rPr>
        <w:t>:</w:t>
      </w:r>
      <w:r>
        <w:t xml:space="preserve">  </w:t>
      </w:r>
      <w:r w:rsidR="002C2CAC">
        <w:t xml:space="preserve">DoD estimates that </w:t>
      </w:r>
      <w:r w:rsidR="008B22FD">
        <w:t>416,771</w:t>
      </w:r>
      <w:r>
        <w:t xml:space="preserve"> responses</w:t>
      </w:r>
      <w:r w:rsidR="00E32862">
        <w:t xml:space="preserve"> (</w:t>
      </w:r>
      <w:r w:rsidR="002C2CAC">
        <w:t xml:space="preserve">the average </w:t>
      </w:r>
      <w:r w:rsidR="00D91D2E">
        <w:t xml:space="preserve">total </w:t>
      </w:r>
      <w:r w:rsidR="002C2CAC">
        <w:t>number of property transfer transactions initiated by DoD</w:t>
      </w:r>
      <w:r w:rsidR="00E32862">
        <w:t xml:space="preserve"> each year)</w:t>
      </w:r>
      <w:r w:rsidR="00D91D2E">
        <w:t xml:space="preserve"> are</w:t>
      </w:r>
      <w:r w:rsidR="002C2CAC">
        <w:t xml:space="preserve"> entered</w:t>
      </w:r>
      <w:r w:rsidR="00D91D2E">
        <w:t xml:space="preserve"> into </w:t>
      </w:r>
      <w:r w:rsidR="00E32862">
        <w:t>the GFP Module</w:t>
      </w:r>
      <w:r w:rsidR="00D91D2E">
        <w:t xml:space="preserve"> by contractors on an annual basis</w:t>
      </w:r>
      <w:r w:rsidR="00E32862">
        <w:t>.</w:t>
      </w:r>
    </w:p>
    <w:p w:rsidR="009F4023" w:rsidRPr="009F4023" w:rsidP="004B427E" w14:paraId="4B648820" w14:textId="77777777">
      <w:pPr>
        <w:pStyle w:val="NormalWeb"/>
        <w:tabs>
          <w:tab w:val="left" w:pos="360"/>
          <w:tab w:val="left" w:pos="720"/>
        </w:tabs>
        <w:spacing w:before="0" w:beforeAutospacing="0" w:after="0" w:afterAutospacing="0"/>
      </w:pPr>
    </w:p>
    <w:p w:rsidR="008D3D80" w:rsidP="004B427E" w14:paraId="6AC702D2" w14:textId="6FBFEF87">
      <w:pPr>
        <w:pStyle w:val="NormalWeb"/>
        <w:tabs>
          <w:tab w:val="left" w:pos="360"/>
          <w:tab w:val="left" w:pos="720"/>
        </w:tabs>
        <w:spacing w:before="0" w:beforeAutospacing="0" w:after="0" w:afterAutospacing="0"/>
      </w:pPr>
      <w:r>
        <w:tab/>
        <w:t>c</w:t>
      </w:r>
      <w:r w:rsidR="00B357C5">
        <w:t>.</w:t>
      </w:r>
      <w:r>
        <w:t xml:space="preserve"> </w:t>
      </w:r>
      <w:r w:rsidR="00B357C5">
        <w:t xml:space="preserve"> </w:t>
      </w:r>
      <w:r w:rsidRPr="007163CD" w:rsidR="00B357C5">
        <w:rPr>
          <w:iCs/>
        </w:rPr>
        <w:t xml:space="preserve">Hours per Response: </w:t>
      </w:r>
      <w:r>
        <w:rPr>
          <w:iCs/>
        </w:rPr>
        <w:t xml:space="preserve"> </w:t>
      </w:r>
      <w:r w:rsidR="00B357C5">
        <w:t xml:space="preserve">According to </w:t>
      </w:r>
      <w:r w:rsidR="00C33668">
        <w:t xml:space="preserve">DoD </w:t>
      </w:r>
      <w:r w:rsidR="00B357C5">
        <w:t>subject matter experts</w:t>
      </w:r>
      <w:r w:rsidR="00C33668">
        <w:t xml:space="preserve"> experienced in managing</w:t>
      </w:r>
      <w:r w:rsidR="00E32862">
        <w:t xml:space="preserve"> the GFP Module</w:t>
      </w:r>
      <w:r w:rsidR="00C33668">
        <w:t>,</w:t>
      </w:r>
      <w:r w:rsidR="00B357C5">
        <w:t xml:space="preserve"> it takes a </w:t>
      </w:r>
      <w:r w:rsidR="00642EE1">
        <w:t>respondent an</w:t>
      </w:r>
      <w:r w:rsidR="00B357C5">
        <w:t xml:space="preserve"> average of </w:t>
      </w:r>
      <w:r w:rsidR="008B22FD">
        <w:t>6</w:t>
      </w:r>
      <w:r w:rsidR="00B357C5">
        <w:t xml:space="preserve"> minutes to </w:t>
      </w:r>
      <w:r w:rsidR="00DE32A7">
        <w:t>acknowledge receipt</w:t>
      </w:r>
      <w:r w:rsidR="0058490C">
        <w:t xml:space="preserve"> of Government property</w:t>
      </w:r>
      <w:r w:rsidR="00DE32A7">
        <w:t xml:space="preserve"> in </w:t>
      </w:r>
      <w:r w:rsidR="00E32862">
        <w:t xml:space="preserve">a GFP tracking </w:t>
      </w:r>
      <w:r w:rsidR="0058490C">
        <w:t>system.</w:t>
      </w:r>
    </w:p>
    <w:p w:rsidR="00242ED0" w:rsidRPr="00F05C0E" w:rsidP="004B427E" w14:paraId="6FC43244" w14:textId="546AAA85">
      <w:pPr>
        <w:pStyle w:val="NormalWeb"/>
        <w:tabs>
          <w:tab w:val="left" w:pos="360"/>
          <w:tab w:val="left" w:pos="72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755FA35" w14:textId="77777777" w:rsidTr="00E8402E">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A27D4" w:rsidRPr="00F05C0E" w:rsidP="00840D40" w14:paraId="54C93DD5" w14:textId="77777777">
            <w:pPr>
              <w:widowControl/>
              <w:tabs>
                <w:tab w:val="left" w:pos="360"/>
                <w:tab w:val="left" w:pos="720"/>
              </w:tabs>
              <w:autoSpaceDE/>
              <w:autoSpaceDN/>
              <w:adjustRightInd/>
              <w:spacing w:before="100" w:beforeAutospacing="1" w:after="100" w:afterAutospacing="1" w:line="288" w:lineRule="atLeast"/>
              <w:ind w:left="720" w:hanging="720"/>
              <w:jc w:val="center"/>
            </w:pPr>
            <w:r w:rsidRPr="00F05C0E">
              <w:t>Estimation of Respondent Burden: 252.211-7007</w:t>
            </w:r>
          </w:p>
        </w:tc>
      </w:tr>
      <w:tr w14:paraId="64D0C322" w14:textId="77777777" w:rsidTr="0053505D">
        <w:tblPrEx>
          <w:tblW w:w="9270" w:type="dxa"/>
          <w:tblInd w:w="108" w:type="dxa"/>
          <w:tblLook w:val="04A0"/>
        </w:tblPrEx>
        <w:trPr>
          <w:trHeight w:val="386"/>
        </w:trPr>
        <w:tc>
          <w:tcPr>
            <w:tcW w:w="7020" w:type="dxa"/>
            <w:shd w:val="clear" w:color="auto" w:fill="auto"/>
            <w:vAlign w:val="center"/>
          </w:tcPr>
          <w:p w:rsidR="001A27D4" w:rsidRPr="00312A6F" w:rsidP="00840D40" w14:paraId="486C9753" w14:textId="61D401FE">
            <w:pPr>
              <w:widowControl/>
              <w:tabs>
                <w:tab w:val="left" w:pos="360"/>
                <w:tab w:val="left" w:pos="720"/>
              </w:tabs>
              <w:autoSpaceDE/>
              <w:autoSpaceDN/>
              <w:adjustRightInd/>
              <w:ind w:left="720" w:hanging="720"/>
            </w:pPr>
            <w:r w:rsidRPr="00312A6F">
              <w:t>Number of respondents</w:t>
            </w:r>
          </w:p>
        </w:tc>
        <w:tc>
          <w:tcPr>
            <w:tcW w:w="2250" w:type="dxa"/>
            <w:shd w:val="clear" w:color="auto" w:fill="auto"/>
            <w:vAlign w:val="center"/>
          </w:tcPr>
          <w:p w:rsidR="001A27D4" w:rsidRPr="0053505D" w:rsidP="00840D40" w14:paraId="08F61D5A" w14:textId="01B11B41">
            <w:pPr>
              <w:widowControl/>
              <w:tabs>
                <w:tab w:val="left" w:pos="360"/>
                <w:tab w:val="left" w:pos="720"/>
              </w:tabs>
              <w:autoSpaceDE/>
              <w:autoSpaceDN/>
              <w:adjustRightInd/>
              <w:ind w:left="720" w:hanging="720"/>
              <w:jc w:val="right"/>
            </w:pPr>
            <w:r>
              <w:t>3,503</w:t>
            </w:r>
          </w:p>
        </w:tc>
      </w:tr>
      <w:tr w14:paraId="44D4E46D" w14:textId="77777777" w:rsidTr="0053505D">
        <w:tblPrEx>
          <w:tblW w:w="9270" w:type="dxa"/>
          <w:tblInd w:w="108" w:type="dxa"/>
          <w:tblLook w:val="04A0"/>
        </w:tblPrEx>
        <w:trPr>
          <w:trHeight w:val="422"/>
        </w:trPr>
        <w:tc>
          <w:tcPr>
            <w:tcW w:w="7020" w:type="dxa"/>
            <w:shd w:val="clear" w:color="auto" w:fill="auto"/>
            <w:vAlign w:val="center"/>
          </w:tcPr>
          <w:p w:rsidR="001A27D4" w:rsidRPr="00312A6F" w:rsidP="00840D40" w14:paraId="37DAED75" w14:textId="13D73552">
            <w:pPr>
              <w:widowControl/>
              <w:tabs>
                <w:tab w:val="left" w:pos="360"/>
                <w:tab w:val="left" w:pos="720"/>
              </w:tabs>
              <w:autoSpaceDE/>
              <w:autoSpaceDN/>
              <w:adjustRightInd/>
              <w:ind w:left="720" w:hanging="720"/>
            </w:pPr>
            <w:r w:rsidRPr="00312A6F">
              <w:t>Responses per respondent</w:t>
            </w:r>
            <w:r>
              <w:rPr>
                <w:rStyle w:val="FootnoteReference"/>
              </w:rPr>
              <w:footnoteReference w:id="2"/>
            </w:r>
          </w:p>
        </w:tc>
        <w:tc>
          <w:tcPr>
            <w:tcW w:w="2250" w:type="dxa"/>
            <w:shd w:val="clear" w:color="auto" w:fill="auto"/>
            <w:vAlign w:val="center"/>
          </w:tcPr>
          <w:p w:rsidR="001A27D4" w:rsidRPr="0053505D" w:rsidP="00840D40" w14:paraId="64D46FE1" w14:textId="03DA21EA">
            <w:pPr>
              <w:widowControl/>
              <w:tabs>
                <w:tab w:val="left" w:pos="360"/>
                <w:tab w:val="left" w:pos="720"/>
              </w:tabs>
              <w:autoSpaceDE/>
              <w:autoSpaceDN/>
              <w:adjustRightInd/>
              <w:ind w:left="720" w:hanging="720"/>
              <w:contextualSpacing/>
              <w:jc w:val="right"/>
            </w:pPr>
            <w:r>
              <w:t>11</w:t>
            </w:r>
            <w:r w:rsidR="003E3986">
              <w:t>9</w:t>
            </w:r>
          </w:p>
        </w:tc>
      </w:tr>
      <w:tr w14:paraId="504CB216" w14:textId="77777777" w:rsidTr="0053505D">
        <w:tblPrEx>
          <w:tblW w:w="9270" w:type="dxa"/>
          <w:tblInd w:w="108" w:type="dxa"/>
          <w:tblLook w:val="04A0"/>
        </w:tblPrEx>
        <w:trPr>
          <w:trHeight w:val="431"/>
        </w:trPr>
        <w:tc>
          <w:tcPr>
            <w:tcW w:w="7020" w:type="dxa"/>
            <w:shd w:val="clear" w:color="auto" w:fill="auto"/>
            <w:vAlign w:val="center"/>
          </w:tcPr>
          <w:p w:rsidR="001A27D4" w:rsidRPr="00312A6F" w:rsidP="00840D40" w14:paraId="364C13B2" w14:textId="4A915E03">
            <w:pPr>
              <w:widowControl/>
              <w:tabs>
                <w:tab w:val="left" w:pos="360"/>
                <w:tab w:val="left" w:pos="720"/>
              </w:tabs>
              <w:autoSpaceDE/>
              <w:autoSpaceDN/>
              <w:adjustRightInd/>
              <w:ind w:left="720" w:hanging="720"/>
            </w:pPr>
            <w:r w:rsidRPr="00312A6F">
              <w:t>Number of responses</w:t>
            </w:r>
          </w:p>
        </w:tc>
        <w:tc>
          <w:tcPr>
            <w:tcW w:w="2250" w:type="dxa"/>
            <w:shd w:val="clear" w:color="auto" w:fill="auto"/>
            <w:vAlign w:val="center"/>
          </w:tcPr>
          <w:p w:rsidR="001A27D4" w:rsidRPr="0053505D" w:rsidP="00840D40" w14:paraId="1F9C754C" w14:textId="3EBF6281">
            <w:pPr>
              <w:widowControl/>
              <w:tabs>
                <w:tab w:val="left" w:pos="360"/>
                <w:tab w:val="left" w:pos="720"/>
              </w:tabs>
              <w:autoSpaceDE/>
              <w:autoSpaceDN/>
              <w:adjustRightInd/>
              <w:ind w:left="720" w:hanging="720"/>
              <w:contextualSpacing/>
              <w:jc w:val="right"/>
            </w:pPr>
            <w:r>
              <w:t>416,771</w:t>
            </w:r>
          </w:p>
        </w:tc>
      </w:tr>
      <w:tr w14:paraId="19101A64" w14:textId="77777777" w:rsidTr="0053505D">
        <w:tblPrEx>
          <w:tblW w:w="9270" w:type="dxa"/>
          <w:tblInd w:w="108" w:type="dxa"/>
          <w:tblLook w:val="04A0"/>
        </w:tblPrEx>
        <w:trPr>
          <w:trHeight w:val="440"/>
        </w:trPr>
        <w:tc>
          <w:tcPr>
            <w:tcW w:w="7020" w:type="dxa"/>
            <w:shd w:val="clear" w:color="auto" w:fill="auto"/>
            <w:vAlign w:val="center"/>
          </w:tcPr>
          <w:p w:rsidR="001A27D4" w:rsidRPr="00312A6F" w:rsidP="00840D40" w14:paraId="2958C8CA" w14:textId="40E7F46E">
            <w:pPr>
              <w:widowControl/>
              <w:tabs>
                <w:tab w:val="left" w:pos="360"/>
                <w:tab w:val="left" w:pos="720"/>
              </w:tabs>
              <w:autoSpaceDE/>
              <w:autoSpaceDN/>
              <w:adjustRightInd/>
              <w:ind w:left="720" w:hanging="720"/>
            </w:pPr>
            <w:r w:rsidRPr="00312A6F">
              <w:t>Hours per response</w:t>
            </w:r>
          </w:p>
        </w:tc>
        <w:tc>
          <w:tcPr>
            <w:tcW w:w="2250" w:type="dxa"/>
            <w:shd w:val="clear" w:color="auto" w:fill="auto"/>
            <w:vAlign w:val="center"/>
          </w:tcPr>
          <w:p w:rsidR="001A27D4" w:rsidRPr="0053505D" w:rsidP="00840D40" w14:paraId="4E1BBC35" w14:textId="23BFDB28">
            <w:pPr>
              <w:widowControl/>
              <w:tabs>
                <w:tab w:val="left" w:pos="360"/>
                <w:tab w:val="left" w:pos="720"/>
              </w:tabs>
              <w:autoSpaceDE/>
              <w:autoSpaceDN/>
              <w:adjustRightInd/>
              <w:ind w:left="720" w:hanging="720"/>
              <w:contextualSpacing/>
              <w:jc w:val="right"/>
            </w:pPr>
            <w:r>
              <w:t>0</w:t>
            </w:r>
            <w:r w:rsidR="00283A96">
              <w:t>.</w:t>
            </w:r>
            <w:r w:rsidR="002E2010">
              <w:t>1</w:t>
            </w:r>
          </w:p>
        </w:tc>
      </w:tr>
      <w:tr w14:paraId="1F6E37FE" w14:textId="77777777" w:rsidTr="0053505D">
        <w:tblPrEx>
          <w:tblW w:w="9270" w:type="dxa"/>
          <w:tblInd w:w="108" w:type="dxa"/>
          <w:tblLook w:val="04A0"/>
        </w:tblPrEx>
        <w:trPr>
          <w:trHeight w:val="449"/>
        </w:trPr>
        <w:tc>
          <w:tcPr>
            <w:tcW w:w="7020" w:type="dxa"/>
            <w:shd w:val="clear" w:color="auto" w:fill="auto"/>
            <w:vAlign w:val="center"/>
          </w:tcPr>
          <w:p w:rsidR="001A27D4" w:rsidRPr="00312A6F" w:rsidP="00840D40" w14:paraId="19D13FB4" w14:textId="77777777">
            <w:pPr>
              <w:widowControl/>
              <w:tabs>
                <w:tab w:val="left" w:pos="360"/>
                <w:tab w:val="left" w:pos="720"/>
              </w:tabs>
              <w:autoSpaceDE/>
              <w:autoSpaceDN/>
              <w:adjustRightInd/>
              <w:ind w:left="720" w:hanging="720"/>
            </w:pPr>
            <w:r w:rsidRPr="00312A6F">
              <w:t>Estimated hours (number of responses multiplied hours per response)</w:t>
            </w:r>
          </w:p>
        </w:tc>
        <w:tc>
          <w:tcPr>
            <w:tcW w:w="2250" w:type="dxa"/>
            <w:shd w:val="clear" w:color="auto" w:fill="auto"/>
            <w:vAlign w:val="center"/>
          </w:tcPr>
          <w:p w:rsidR="001A27D4" w:rsidRPr="0053505D" w:rsidP="00840D40" w14:paraId="0B8599E9" w14:textId="254D8208">
            <w:pPr>
              <w:widowControl/>
              <w:tabs>
                <w:tab w:val="left" w:pos="360"/>
                <w:tab w:val="left" w:pos="720"/>
              </w:tabs>
              <w:autoSpaceDE/>
              <w:autoSpaceDN/>
              <w:adjustRightInd/>
              <w:ind w:left="720" w:hanging="720"/>
              <w:contextualSpacing/>
              <w:jc w:val="right"/>
            </w:pPr>
            <w:r>
              <w:t>41,677</w:t>
            </w:r>
          </w:p>
        </w:tc>
      </w:tr>
      <w:tr w14:paraId="7831D062" w14:textId="77777777" w:rsidTr="00E8402E">
        <w:tblPrEx>
          <w:tblW w:w="9270" w:type="dxa"/>
          <w:tblInd w:w="108" w:type="dxa"/>
          <w:tblLook w:val="04A0"/>
        </w:tblPrEx>
        <w:trPr>
          <w:trHeight w:val="431"/>
        </w:trPr>
        <w:tc>
          <w:tcPr>
            <w:tcW w:w="7020" w:type="dxa"/>
            <w:shd w:val="clear" w:color="auto" w:fill="auto"/>
            <w:vAlign w:val="center"/>
          </w:tcPr>
          <w:p w:rsidR="001A27D4" w:rsidRPr="00312A6F" w:rsidP="00840D40" w14:paraId="6266D587" w14:textId="4E63F38C">
            <w:pPr>
              <w:widowControl/>
              <w:tabs>
                <w:tab w:val="left" w:pos="360"/>
                <w:tab w:val="left" w:pos="720"/>
              </w:tabs>
              <w:autoSpaceDE/>
              <w:autoSpaceDN/>
              <w:adjustRightInd/>
              <w:ind w:left="720" w:hanging="720"/>
            </w:pPr>
            <w:r w:rsidRPr="00312A6F">
              <w:t>Cost per hour (hourly wage)</w:t>
            </w:r>
            <w:r>
              <w:rPr>
                <w:rStyle w:val="FootnoteReference"/>
              </w:rPr>
              <w:footnoteReference w:id="3"/>
            </w:r>
          </w:p>
        </w:tc>
        <w:tc>
          <w:tcPr>
            <w:tcW w:w="2250" w:type="dxa"/>
            <w:shd w:val="clear" w:color="auto" w:fill="auto"/>
            <w:vAlign w:val="center"/>
          </w:tcPr>
          <w:p w:rsidR="001A27D4" w:rsidRPr="0053505D" w:rsidP="00840D40" w14:paraId="1E1A761C" w14:textId="783FFEC3">
            <w:pPr>
              <w:widowControl/>
              <w:tabs>
                <w:tab w:val="left" w:pos="360"/>
                <w:tab w:val="left" w:pos="720"/>
              </w:tabs>
              <w:autoSpaceDE/>
              <w:autoSpaceDN/>
              <w:adjustRightInd/>
              <w:ind w:left="720" w:hanging="720"/>
              <w:contextualSpacing/>
              <w:jc w:val="right"/>
            </w:pPr>
            <w:r>
              <w:t>$</w:t>
            </w:r>
            <w:r w:rsidR="002E2010">
              <w:t>51.00</w:t>
            </w:r>
          </w:p>
        </w:tc>
      </w:tr>
      <w:tr w14:paraId="51562E44" w14:textId="77777777" w:rsidTr="0053505D">
        <w:tblPrEx>
          <w:tblW w:w="9270" w:type="dxa"/>
          <w:tblInd w:w="108" w:type="dxa"/>
          <w:tblLook w:val="04A0"/>
        </w:tblPrEx>
        <w:trPr>
          <w:trHeight w:val="440"/>
        </w:trPr>
        <w:tc>
          <w:tcPr>
            <w:tcW w:w="7020" w:type="dxa"/>
            <w:shd w:val="clear" w:color="auto" w:fill="auto"/>
            <w:vAlign w:val="center"/>
          </w:tcPr>
          <w:p w:rsidR="007163CD" w:rsidRPr="00312A6F" w:rsidP="00840D40" w14:paraId="7E275C79" w14:textId="4E40296E">
            <w:pPr>
              <w:widowControl/>
              <w:tabs>
                <w:tab w:val="left" w:pos="360"/>
                <w:tab w:val="left" w:pos="720"/>
              </w:tabs>
              <w:autoSpaceDE/>
              <w:autoSpaceDN/>
              <w:adjustRightInd/>
              <w:ind w:left="720" w:hanging="720"/>
            </w:pPr>
            <w:r>
              <w:t>Cost per response</w:t>
            </w:r>
          </w:p>
        </w:tc>
        <w:tc>
          <w:tcPr>
            <w:tcW w:w="2250" w:type="dxa"/>
            <w:shd w:val="clear" w:color="auto" w:fill="auto"/>
            <w:vAlign w:val="center"/>
          </w:tcPr>
          <w:p w:rsidR="007163CD" w:rsidP="00840D40" w14:paraId="47137AAE" w14:textId="1BB4D5BE">
            <w:pPr>
              <w:widowControl/>
              <w:tabs>
                <w:tab w:val="left" w:pos="360"/>
                <w:tab w:val="left" w:pos="720"/>
              </w:tabs>
              <w:autoSpaceDE/>
              <w:autoSpaceDN/>
              <w:adjustRightInd/>
              <w:ind w:left="720" w:hanging="720"/>
              <w:contextualSpacing/>
              <w:jc w:val="right"/>
            </w:pPr>
            <w:r>
              <w:t>$5.10</w:t>
            </w:r>
          </w:p>
        </w:tc>
      </w:tr>
      <w:tr w14:paraId="4A7F0050" w14:textId="77777777" w:rsidTr="0053505D">
        <w:tblPrEx>
          <w:tblW w:w="9270" w:type="dxa"/>
          <w:tblInd w:w="108" w:type="dxa"/>
          <w:tblLook w:val="04A0"/>
        </w:tblPrEx>
        <w:trPr>
          <w:trHeight w:val="440"/>
        </w:trPr>
        <w:tc>
          <w:tcPr>
            <w:tcW w:w="7020" w:type="dxa"/>
            <w:shd w:val="clear" w:color="auto" w:fill="auto"/>
            <w:vAlign w:val="center"/>
          </w:tcPr>
          <w:p w:rsidR="001A27D4" w:rsidRPr="00312A6F" w:rsidP="00840D40" w14:paraId="2A1432FE" w14:textId="77777777">
            <w:pPr>
              <w:widowControl/>
              <w:tabs>
                <w:tab w:val="left" w:pos="360"/>
                <w:tab w:val="left" w:pos="720"/>
              </w:tabs>
              <w:autoSpaceDE/>
              <w:autoSpaceDN/>
              <w:adjustRightInd/>
              <w:ind w:left="720" w:hanging="720"/>
            </w:pPr>
            <w:r w:rsidRPr="00312A6F">
              <w:t>Annual public burden (estimated hours multiplied by cost per hour)</w:t>
            </w:r>
          </w:p>
        </w:tc>
        <w:tc>
          <w:tcPr>
            <w:tcW w:w="2250" w:type="dxa"/>
            <w:shd w:val="clear" w:color="auto" w:fill="auto"/>
            <w:vAlign w:val="center"/>
          </w:tcPr>
          <w:p w:rsidR="001A27D4" w:rsidRPr="0053505D" w:rsidP="00840D40" w14:paraId="63F5099F" w14:textId="31CF8EEE">
            <w:pPr>
              <w:widowControl/>
              <w:tabs>
                <w:tab w:val="left" w:pos="360"/>
                <w:tab w:val="left" w:pos="720"/>
              </w:tabs>
              <w:autoSpaceDE/>
              <w:autoSpaceDN/>
              <w:adjustRightInd/>
              <w:ind w:left="720" w:hanging="720"/>
              <w:contextualSpacing/>
              <w:jc w:val="right"/>
            </w:pPr>
            <w:r>
              <w:t>$2,125,5</w:t>
            </w:r>
            <w:r w:rsidR="00B445B4">
              <w:t>3</w:t>
            </w:r>
            <w:r w:rsidR="001D2D93">
              <w:t>2</w:t>
            </w:r>
          </w:p>
        </w:tc>
      </w:tr>
    </w:tbl>
    <w:p w:rsidR="003E3986" w:rsidP="00840D40" w14:paraId="25B4C295" w14:textId="77777777">
      <w:pPr>
        <w:pStyle w:val="p4"/>
        <w:tabs>
          <w:tab w:val="left" w:pos="360"/>
          <w:tab w:val="clear" w:pos="674"/>
          <w:tab w:val="left" w:pos="720"/>
        </w:tabs>
        <w:ind w:left="720" w:hanging="720"/>
      </w:pPr>
    </w:p>
    <w:p w:rsidR="005653B7" w:rsidP="00840D40" w14:paraId="4ED17974" w14:textId="37FF1899">
      <w:pPr>
        <w:pStyle w:val="p4"/>
        <w:tabs>
          <w:tab w:val="left" w:pos="360"/>
          <w:tab w:val="clear" w:pos="674"/>
          <w:tab w:val="left" w:pos="720"/>
        </w:tabs>
        <w:ind w:left="720" w:hanging="720"/>
        <w:rPr>
          <w:u w:val="single"/>
        </w:rPr>
      </w:pPr>
      <w:r w:rsidRPr="00F05C0E">
        <w:t>13.</w:t>
      </w:r>
      <w:r w:rsidR="00CA1C43">
        <w:t xml:space="preserve"> </w:t>
      </w:r>
      <w:r w:rsidRPr="00F05C0E">
        <w:t xml:space="preserve"> </w:t>
      </w:r>
      <w:r w:rsidRPr="00F05C0E">
        <w:rPr>
          <w:u w:val="single"/>
        </w:rPr>
        <w:t>Respondent Costs Other than Burden Hour Costs</w:t>
      </w:r>
    </w:p>
    <w:p w:rsidR="003F096F" w:rsidRPr="00F05C0E" w:rsidP="00840D40" w14:paraId="4B8D1ED4" w14:textId="77777777">
      <w:pPr>
        <w:pStyle w:val="p4"/>
        <w:tabs>
          <w:tab w:val="left" w:pos="360"/>
          <w:tab w:val="clear" w:pos="674"/>
          <w:tab w:val="left" w:pos="720"/>
        </w:tabs>
        <w:ind w:left="720" w:hanging="720"/>
      </w:pPr>
    </w:p>
    <w:p w:rsidR="003F096F" w:rsidRPr="003C0A74" w:rsidP="003F096F" w14:paraId="1454FC9E" w14:textId="77777777">
      <w:pPr>
        <w:pStyle w:val="NormalWeb"/>
        <w:spacing w:before="0" w:beforeAutospacing="0" w:after="0" w:afterAutospacing="0"/>
      </w:pPr>
      <w:bookmarkStart w:id="2" w:name="cp464"/>
      <w:r>
        <w:tab/>
      </w:r>
      <w:bookmarkEnd w:id="2"/>
      <w:r>
        <w:t>There are no annualized costs to respondents for this information collection other than the labor burden costs addressed in Item 12.</w:t>
      </w:r>
    </w:p>
    <w:p w:rsidR="0064552B" w:rsidRPr="00F05C0E" w:rsidP="003F096F" w14:paraId="3B1A8D8E" w14:textId="77777777">
      <w:pPr>
        <w:tabs>
          <w:tab w:val="left" w:pos="360"/>
          <w:tab w:val="left" w:pos="720"/>
          <w:tab w:val="decimal" w:pos="5629"/>
        </w:tabs>
        <w:ind w:left="720" w:hanging="720"/>
      </w:pPr>
    </w:p>
    <w:p w:rsidR="005653B7" w:rsidRPr="00F05C0E" w:rsidP="00840D40" w14:paraId="32FF53E5" w14:textId="505F7F6C">
      <w:pPr>
        <w:tabs>
          <w:tab w:val="left" w:pos="360"/>
          <w:tab w:val="left" w:pos="450"/>
          <w:tab w:val="left" w:pos="720"/>
        </w:tabs>
        <w:ind w:left="720" w:hanging="720"/>
        <w:rPr>
          <w:u w:val="single"/>
        </w:rPr>
      </w:pPr>
      <w:r w:rsidRPr="00F05C0E">
        <w:t>14.</w:t>
      </w:r>
      <w:r w:rsidR="00CA1C43">
        <w:t xml:space="preserve"> </w:t>
      </w:r>
      <w:r w:rsidRPr="00F05C0E">
        <w:t xml:space="preserve"> </w:t>
      </w:r>
      <w:r w:rsidRPr="00F05C0E">
        <w:rPr>
          <w:u w:val="single"/>
        </w:rPr>
        <w:t>Cost to the Government</w:t>
      </w:r>
    </w:p>
    <w:p w:rsidR="00331204" w:rsidRPr="00F05C0E" w:rsidP="00840D40" w14:paraId="73408F5A" w14:textId="77777777">
      <w:pPr>
        <w:tabs>
          <w:tab w:val="left" w:pos="360"/>
          <w:tab w:val="left" w:pos="680"/>
          <w:tab w:val="left" w:pos="720"/>
        </w:tabs>
        <w:ind w:left="720" w:hanging="720"/>
      </w:pPr>
    </w:p>
    <w:p w:rsidR="00625AF0" w:rsidRPr="00283A96" w:rsidP="003E3986" w14:paraId="0EC861D0" w14:textId="30FB518F">
      <w:pPr>
        <w:tabs>
          <w:tab w:val="left" w:pos="360"/>
          <w:tab w:val="left" w:pos="720"/>
        </w:tabs>
        <w:rPr>
          <w:strike/>
        </w:rPr>
      </w:pPr>
      <w:r>
        <w:tab/>
      </w:r>
      <w:r w:rsidRPr="00F05C0E" w:rsidR="003C2695">
        <w:t xml:space="preserve">The estimated annual cost to the Government to review and analyze responses from </w:t>
      </w:r>
      <w:r w:rsidR="00CA1C43">
        <w:t xml:space="preserve">contractors </w:t>
      </w:r>
      <w:r w:rsidRPr="00F05C0E" w:rsidR="003C2695">
        <w:t>under th</w:t>
      </w:r>
      <w:r w:rsidR="00BE6DB3">
        <w:t>is</w:t>
      </w:r>
      <w:r w:rsidRPr="00F05C0E" w:rsidR="003C2695">
        <w:t xml:space="preserve"> clause is shown in the following table. </w:t>
      </w:r>
      <w:r w:rsidR="003C2695">
        <w:t xml:space="preserve"> </w:t>
      </w:r>
      <w:r w:rsidR="00CF7ECD">
        <w:t>It is estimated that a GS-12</w:t>
      </w:r>
      <w:r w:rsidRPr="00F05C0E" w:rsidR="003C2695">
        <w:t xml:space="preserve">, step 5, employee </w:t>
      </w:r>
      <w:r w:rsidR="006B4CED">
        <w:t xml:space="preserve">conducting this review </w:t>
      </w:r>
      <w:r w:rsidRPr="00F05C0E" w:rsidR="003C2695">
        <w:t xml:space="preserve">will </w:t>
      </w:r>
      <w:r w:rsidR="00094179">
        <w:t>take an average of 6 minutes to</w:t>
      </w:r>
      <w:r w:rsidRPr="00F05C0E" w:rsidR="003C2695">
        <w:t xml:space="preserve"> review and analyze </w:t>
      </w:r>
      <w:r w:rsidR="00094179">
        <w:t>each</w:t>
      </w:r>
      <w:r w:rsidRPr="00F05C0E" w:rsidR="003C2695">
        <w:t xml:space="preserve"> response</w:t>
      </w:r>
      <w:r w:rsidR="006C7ED2">
        <w:t>.</w:t>
      </w:r>
    </w:p>
    <w:p w:rsidR="00E41CD8" w:rsidRPr="00F05C0E" w:rsidP="00840D40" w14:paraId="385D349E" w14:textId="77777777">
      <w:pPr>
        <w:pStyle w:val="p4"/>
        <w:tabs>
          <w:tab w:val="left" w:pos="360"/>
          <w:tab w:val="left" w:pos="720"/>
        </w:tabs>
        <w:ind w:left="720" w:hanging="72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C509EDD" w14:textId="77777777" w:rsidTr="00836130">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E41CD8" w:rsidRPr="00F05C0E" w:rsidP="00840D40" w14:paraId="6AB852E2" w14:textId="77777777">
            <w:pPr>
              <w:widowControl/>
              <w:tabs>
                <w:tab w:val="left" w:pos="360"/>
                <w:tab w:val="left" w:pos="720"/>
                <w:tab w:val="left" w:pos="1080"/>
              </w:tabs>
              <w:autoSpaceDE/>
              <w:autoSpaceDN/>
              <w:adjustRightInd/>
              <w:spacing w:before="100" w:beforeAutospacing="1" w:after="100" w:afterAutospacing="1" w:line="288" w:lineRule="atLeast"/>
              <w:ind w:left="720" w:hanging="720"/>
              <w:jc w:val="center"/>
            </w:pPr>
            <w:r w:rsidRPr="00F05C0E">
              <w:t>Estimation of Cost to the Government</w:t>
            </w:r>
            <w:r w:rsidRPr="00F05C0E" w:rsidR="00F53ED3">
              <w:t xml:space="preserve">: </w:t>
            </w:r>
            <w:r w:rsidRPr="00F05C0E">
              <w:t xml:space="preserve"> </w:t>
            </w:r>
            <w:r w:rsidRPr="00F05C0E" w:rsidR="00331204">
              <w:t>252.211-7007</w:t>
            </w:r>
          </w:p>
        </w:tc>
      </w:tr>
      <w:tr w14:paraId="47F7FBA6" w14:textId="77777777" w:rsidTr="00836130">
        <w:tblPrEx>
          <w:tblW w:w="9270" w:type="dxa"/>
          <w:tblInd w:w="108" w:type="dxa"/>
          <w:tblLook w:val="04A0"/>
        </w:tblPrEx>
        <w:trPr>
          <w:trHeight w:val="431"/>
        </w:trPr>
        <w:tc>
          <w:tcPr>
            <w:tcW w:w="7020" w:type="dxa"/>
            <w:shd w:val="clear" w:color="auto" w:fill="auto"/>
            <w:vAlign w:val="center"/>
          </w:tcPr>
          <w:p w:rsidR="00E41CD8" w:rsidRPr="00312A6F" w:rsidP="00840D40" w14:paraId="7BEB5A4D" w14:textId="60417839">
            <w:pPr>
              <w:widowControl/>
              <w:tabs>
                <w:tab w:val="left" w:pos="360"/>
                <w:tab w:val="left" w:pos="720"/>
                <w:tab w:val="left" w:pos="1080"/>
              </w:tabs>
              <w:autoSpaceDE/>
              <w:autoSpaceDN/>
              <w:adjustRightInd/>
              <w:ind w:left="720" w:hanging="720"/>
            </w:pPr>
            <w:r w:rsidRPr="00312A6F">
              <w:t>Number of responses</w:t>
            </w:r>
          </w:p>
        </w:tc>
        <w:tc>
          <w:tcPr>
            <w:tcW w:w="2250" w:type="dxa"/>
            <w:shd w:val="clear" w:color="auto" w:fill="auto"/>
            <w:vAlign w:val="center"/>
          </w:tcPr>
          <w:p w:rsidR="00E41CD8" w:rsidRPr="00F05C0E" w:rsidP="00840D40" w14:paraId="0EF429E5" w14:textId="5C6E6217">
            <w:pPr>
              <w:widowControl/>
              <w:tabs>
                <w:tab w:val="left" w:pos="360"/>
                <w:tab w:val="left" w:pos="720"/>
                <w:tab w:val="left" w:pos="1080"/>
              </w:tabs>
              <w:autoSpaceDE/>
              <w:autoSpaceDN/>
              <w:adjustRightInd/>
              <w:ind w:left="720" w:hanging="720"/>
              <w:contextualSpacing/>
              <w:jc w:val="right"/>
            </w:pPr>
            <w:r>
              <w:t>416,771</w:t>
            </w:r>
          </w:p>
        </w:tc>
      </w:tr>
      <w:tr w14:paraId="200E949B" w14:textId="77777777" w:rsidTr="00836130">
        <w:tblPrEx>
          <w:tblW w:w="9270" w:type="dxa"/>
          <w:tblInd w:w="108" w:type="dxa"/>
          <w:tblLook w:val="04A0"/>
        </w:tblPrEx>
        <w:trPr>
          <w:trHeight w:val="440"/>
        </w:trPr>
        <w:tc>
          <w:tcPr>
            <w:tcW w:w="7020" w:type="dxa"/>
            <w:shd w:val="clear" w:color="auto" w:fill="auto"/>
            <w:vAlign w:val="center"/>
          </w:tcPr>
          <w:p w:rsidR="00E41CD8" w:rsidRPr="00312A6F" w:rsidP="00840D40" w14:paraId="0F7DF7C2" w14:textId="34749FBC">
            <w:pPr>
              <w:widowControl/>
              <w:tabs>
                <w:tab w:val="left" w:pos="360"/>
                <w:tab w:val="left" w:pos="720"/>
                <w:tab w:val="left" w:pos="1080"/>
              </w:tabs>
              <w:autoSpaceDE/>
              <w:autoSpaceDN/>
              <w:adjustRightInd/>
              <w:ind w:left="720" w:hanging="720"/>
            </w:pPr>
            <w:r w:rsidRPr="00312A6F">
              <w:t>Hours per response</w:t>
            </w:r>
          </w:p>
        </w:tc>
        <w:tc>
          <w:tcPr>
            <w:tcW w:w="2250" w:type="dxa"/>
            <w:shd w:val="clear" w:color="auto" w:fill="auto"/>
            <w:vAlign w:val="center"/>
          </w:tcPr>
          <w:p w:rsidR="00E41CD8" w:rsidRPr="00094179" w:rsidP="00840D40" w14:paraId="6E9688E4" w14:textId="347BABE2">
            <w:pPr>
              <w:widowControl/>
              <w:tabs>
                <w:tab w:val="left" w:pos="360"/>
                <w:tab w:val="left" w:pos="720"/>
                <w:tab w:val="left" w:pos="1080"/>
              </w:tabs>
              <w:autoSpaceDE/>
              <w:autoSpaceDN/>
              <w:adjustRightInd/>
              <w:ind w:left="720" w:hanging="720"/>
              <w:contextualSpacing/>
              <w:jc w:val="right"/>
            </w:pPr>
            <w:r>
              <w:t>0.1</w:t>
            </w:r>
          </w:p>
        </w:tc>
      </w:tr>
      <w:tr w14:paraId="2E2EEF04" w14:textId="77777777" w:rsidTr="00836130">
        <w:tblPrEx>
          <w:tblW w:w="9270" w:type="dxa"/>
          <w:tblInd w:w="108" w:type="dxa"/>
          <w:tblLook w:val="04A0"/>
        </w:tblPrEx>
        <w:trPr>
          <w:trHeight w:val="449"/>
        </w:trPr>
        <w:tc>
          <w:tcPr>
            <w:tcW w:w="7020" w:type="dxa"/>
            <w:shd w:val="clear" w:color="auto" w:fill="auto"/>
            <w:vAlign w:val="center"/>
          </w:tcPr>
          <w:p w:rsidR="00E41CD8" w:rsidRPr="00312A6F" w:rsidP="00840D40" w14:paraId="6A67C8DC" w14:textId="7920BF64">
            <w:pPr>
              <w:widowControl/>
              <w:tabs>
                <w:tab w:val="left" w:pos="360"/>
                <w:tab w:val="left" w:pos="720"/>
                <w:tab w:val="left" w:pos="1080"/>
              </w:tabs>
              <w:autoSpaceDE/>
              <w:autoSpaceDN/>
              <w:adjustRightInd/>
              <w:ind w:left="720" w:hanging="720"/>
            </w:pPr>
            <w:r w:rsidRPr="00312A6F">
              <w:t>Estimated hours</w:t>
            </w:r>
          </w:p>
        </w:tc>
        <w:tc>
          <w:tcPr>
            <w:tcW w:w="2250" w:type="dxa"/>
            <w:shd w:val="clear" w:color="auto" w:fill="auto"/>
            <w:vAlign w:val="center"/>
          </w:tcPr>
          <w:p w:rsidR="00E41CD8" w:rsidRPr="00094179" w:rsidP="00840D40" w14:paraId="2A9195DC" w14:textId="327048EC">
            <w:pPr>
              <w:widowControl/>
              <w:tabs>
                <w:tab w:val="left" w:pos="360"/>
                <w:tab w:val="left" w:pos="720"/>
                <w:tab w:val="left" w:pos="1080"/>
              </w:tabs>
              <w:autoSpaceDE/>
              <w:autoSpaceDN/>
              <w:adjustRightInd/>
              <w:ind w:left="720" w:hanging="720"/>
              <w:contextualSpacing/>
              <w:jc w:val="right"/>
            </w:pPr>
            <w:r>
              <w:t>41,677</w:t>
            </w:r>
          </w:p>
        </w:tc>
      </w:tr>
      <w:tr w14:paraId="0091A746" w14:textId="77777777" w:rsidTr="00836130">
        <w:tblPrEx>
          <w:tblW w:w="9270" w:type="dxa"/>
          <w:tblInd w:w="108" w:type="dxa"/>
          <w:tblLook w:val="04A0"/>
        </w:tblPrEx>
        <w:trPr>
          <w:trHeight w:val="431"/>
        </w:trPr>
        <w:tc>
          <w:tcPr>
            <w:tcW w:w="7020" w:type="dxa"/>
            <w:shd w:val="clear" w:color="auto" w:fill="auto"/>
            <w:vAlign w:val="center"/>
          </w:tcPr>
          <w:p w:rsidR="00E41CD8" w:rsidRPr="00312A6F" w:rsidP="00840D40" w14:paraId="59943AFA" w14:textId="0F5B4562">
            <w:pPr>
              <w:widowControl/>
              <w:tabs>
                <w:tab w:val="left" w:pos="360"/>
                <w:tab w:val="left" w:pos="720"/>
                <w:tab w:val="left" w:pos="1080"/>
              </w:tabs>
              <w:autoSpaceDE/>
              <w:autoSpaceDN/>
              <w:adjustRightInd/>
              <w:ind w:left="720" w:hanging="720"/>
            </w:pPr>
            <w:r w:rsidRPr="00312A6F">
              <w:t>Cost per hour (hourly wage)</w:t>
            </w:r>
            <w:r>
              <w:rPr>
                <w:rStyle w:val="FootnoteReference"/>
              </w:rPr>
              <w:footnoteReference w:id="4"/>
            </w:r>
          </w:p>
        </w:tc>
        <w:tc>
          <w:tcPr>
            <w:tcW w:w="2250" w:type="dxa"/>
            <w:shd w:val="clear" w:color="auto" w:fill="auto"/>
            <w:vAlign w:val="center"/>
          </w:tcPr>
          <w:p w:rsidR="00E41CD8" w:rsidRPr="00094179" w:rsidP="00840D40" w14:paraId="26A77073" w14:textId="3375B0A7">
            <w:pPr>
              <w:widowControl/>
              <w:tabs>
                <w:tab w:val="left" w:pos="360"/>
                <w:tab w:val="left" w:pos="720"/>
                <w:tab w:val="left" w:pos="1080"/>
              </w:tabs>
              <w:autoSpaceDE/>
              <w:autoSpaceDN/>
              <w:adjustRightInd/>
              <w:ind w:left="720" w:hanging="720"/>
              <w:contextualSpacing/>
              <w:jc w:val="right"/>
            </w:pPr>
            <w:r w:rsidRPr="00094179">
              <w:t>$</w:t>
            </w:r>
            <w:r w:rsidRPr="00094179" w:rsidR="00BE6DB3">
              <w:t>6</w:t>
            </w:r>
            <w:r w:rsidRPr="00094179" w:rsidR="008B22FD">
              <w:t>1.00</w:t>
            </w:r>
          </w:p>
        </w:tc>
      </w:tr>
      <w:tr w14:paraId="429C0F6B" w14:textId="77777777" w:rsidTr="00836130">
        <w:tblPrEx>
          <w:tblW w:w="9270" w:type="dxa"/>
          <w:tblInd w:w="108" w:type="dxa"/>
          <w:tblLook w:val="04A0"/>
        </w:tblPrEx>
        <w:trPr>
          <w:trHeight w:val="440"/>
        </w:trPr>
        <w:tc>
          <w:tcPr>
            <w:tcW w:w="7020" w:type="dxa"/>
            <w:shd w:val="clear" w:color="auto" w:fill="auto"/>
            <w:vAlign w:val="center"/>
          </w:tcPr>
          <w:p w:rsidR="00094179" w:rsidRPr="00312A6F" w:rsidP="00840D40" w14:paraId="77D142F9" w14:textId="182B2994">
            <w:pPr>
              <w:widowControl/>
              <w:tabs>
                <w:tab w:val="left" w:pos="360"/>
                <w:tab w:val="left" w:pos="720"/>
                <w:tab w:val="left" w:pos="1080"/>
              </w:tabs>
              <w:autoSpaceDE/>
              <w:autoSpaceDN/>
              <w:adjustRightInd/>
              <w:ind w:left="720" w:hanging="720"/>
            </w:pPr>
            <w:r>
              <w:t>Cost per response</w:t>
            </w:r>
          </w:p>
        </w:tc>
        <w:tc>
          <w:tcPr>
            <w:tcW w:w="2250" w:type="dxa"/>
            <w:shd w:val="clear" w:color="auto" w:fill="auto"/>
            <w:vAlign w:val="center"/>
          </w:tcPr>
          <w:p w:rsidR="00094179" w:rsidRPr="00094179" w:rsidP="00840D40" w14:paraId="320345DD" w14:textId="5021C0A2">
            <w:pPr>
              <w:widowControl/>
              <w:tabs>
                <w:tab w:val="left" w:pos="360"/>
                <w:tab w:val="left" w:pos="720"/>
                <w:tab w:val="left" w:pos="1080"/>
              </w:tabs>
              <w:autoSpaceDE/>
              <w:autoSpaceDN/>
              <w:adjustRightInd/>
              <w:ind w:left="720" w:hanging="720"/>
              <w:contextualSpacing/>
              <w:jc w:val="right"/>
            </w:pPr>
            <w:r>
              <w:t>$6.10</w:t>
            </w:r>
          </w:p>
        </w:tc>
      </w:tr>
      <w:tr w14:paraId="4CE8B11B" w14:textId="77777777" w:rsidTr="00836130">
        <w:tblPrEx>
          <w:tblW w:w="9270" w:type="dxa"/>
          <w:tblInd w:w="108" w:type="dxa"/>
          <w:tblLook w:val="04A0"/>
        </w:tblPrEx>
        <w:trPr>
          <w:trHeight w:val="440"/>
        </w:trPr>
        <w:tc>
          <w:tcPr>
            <w:tcW w:w="7020" w:type="dxa"/>
            <w:shd w:val="clear" w:color="auto" w:fill="auto"/>
            <w:vAlign w:val="center"/>
          </w:tcPr>
          <w:p w:rsidR="00E41CD8" w:rsidRPr="00312A6F" w:rsidP="00840D40" w14:paraId="6ECAE472" w14:textId="785B6632">
            <w:pPr>
              <w:widowControl/>
              <w:tabs>
                <w:tab w:val="left" w:pos="360"/>
                <w:tab w:val="left" w:pos="720"/>
                <w:tab w:val="left" w:pos="1080"/>
              </w:tabs>
              <w:autoSpaceDE/>
              <w:autoSpaceDN/>
              <w:adjustRightInd/>
              <w:ind w:left="720" w:hanging="720"/>
            </w:pPr>
            <w:r w:rsidRPr="00312A6F">
              <w:t>Cost to Government</w:t>
            </w:r>
          </w:p>
        </w:tc>
        <w:tc>
          <w:tcPr>
            <w:tcW w:w="2250" w:type="dxa"/>
            <w:shd w:val="clear" w:color="auto" w:fill="auto"/>
            <w:vAlign w:val="center"/>
          </w:tcPr>
          <w:p w:rsidR="00E41CD8" w:rsidRPr="00094179" w:rsidP="00840D40" w14:paraId="78AAD635" w14:textId="6C6CC168">
            <w:pPr>
              <w:widowControl/>
              <w:tabs>
                <w:tab w:val="left" w:pos="360"/>
                <w:tab w:val="left" w:pos="720"/>
                <w:tab w:val="left" w:pos="1080"/>
              </w:tabs>
              <w:autoSpaceDE/>
              <w:autoSpaceDN/>
              <w:adjustRightInd/>
              <w:ind w:left="720" w:hanging="720"/>
              <w:contextualSpacing/>
              <w:jc w:val="right"/>
            </w:pPr>
            <w:r w:rsidRPr="00094179">
              <w:t>$</w:t>
            </w:r>
            <w:r w:rsidR="00ED7C1F">
              <w:t>2,542,297</w:t>
            </w:r>
          </w:p>
        </w:tc>
      </w:tr>
    </w:tbl>
    <w:p w:rsidR="00CF7ECD" w:rsidP="00840D40" w14:paraId="2D6AAA34" w14:textId="77777777">
      <w:pPr>
        <w:tabs>
          <w:tab w:val="left" w:pos="360"/>
          <w:tab w:val="left" w:pos="680"/>
          <w:tab w:val="left" w:pos="720"/>
        </w:tabs>
        <w:ind w:left="720" w:hanging="720"/>
      </w:pPr>
    </w:p>
    <w:p w:rsidR="005653B7" w:rsidRPr="00F05C0E" w:rsidP="00840D40" w14:paraId="70105F3C" w14:textId="5B83CA31">
      <w:pPr>
        <w:tabs>
          <w:tab w:val="left" w:pos="360"/>
          <w:tab w:val="left" w:pos="680"/>
          <w:tab w:val="left" w:pos="720"/>
        </w:tabs>
        <w:ind w:left="720" w:hanging="720"/>
        <w:rPr>
          <w:u w:val="single"/>
        </w:rPr>
      </w:pPr>
      <w:r w:rsidRPr="00E32862">
        <w:t>15.</w:t>
      </w:r>
      <w:r w:rsidR="00CA1C43">
        <w:t xml:space="preserve"> </w:t>
      </w:r>
      <w:r w:rsidRPr="00E32862">
        <w:t xml:space="preserve"> </w:t>
      </w:r>
      <w:r w:rsidRPr="00E32862">
        <w:rPr>
          <w:u w:val="single"/>
        </w:rPr>
        <w:t>Reasons for Change in Burden</w:t>
      </w:r>
    </w:p>
    <w:p w:rsidR="00D9216C" w:rsidRPr="00BE6DB3" w:rsidP="00840D40" w14:paraId="373CA3C5" w14:textId="77777777">
      <w:pPr>
        <w:tabs>
          <w:tab w:val="left" w:pos="360"/>
          <w:tab w:val="left" w:pos="720"/>
        </w:tabs>
        <w:ind w:left="720" w:hanging="720"/>
        <w:rPr>
          <w:iCs/>
        </w:rPr>
      </w:pPr>
    </w:p>
    <w:p w:rsidR="003F096F" w:rsidRPr="001378DF" w:rsidP="00BE6DB3" w14:paraId="64F2F195" w14:textId="5827771A">
      <w:pPr>
        <w:tabs>
          <w:tab w:val="left" w:pos="360"/>
          <w:tab w:val="left" w:pos="720"/>
        </w:tabs>
        <w:rPr>
          <w:highlight w:val="yellow"/>
        </w:rPr>
      </w:pPr>
      <w:r>
        <w:tab/>
      </w:r>
      <w:r w:rsidRPr="00ED7C1F">
        <w:t>There is no change in the information collection requirements covered under OMB Control Number 0704-0</w:t>
      </w:r>
      <w:r w:rsidR="000759D4">
        <w:t>398</w:t>
      </w:r>
      <w:r w:rsidRPr="00ED7C1F">
        <w:t>.  The change in burden is a result of the following:</w:t>
      </w:r>
    </w:p>
    <w:p w:rsidR="003F096F" w:rsidRPr="001378DF" w:rsidP="00BE6DB3" w14:paraId="1FE5D027" w14:textId="77777777">
      <w:pPr>
        <w:tabs>
          <w:tab w:val="left" w:pos="360"/>
          <w:tab w:val="left" w:pos="720"/>
        </w:tabs>
        <w:rPr>
          <w:highlight w:val="yellow"/>
        </w:rPr>
      </w:pPr>
    </w:p>
    <w:p w:rsidR="000759D4" w:rsidP="005531EF" w14:paraId="26739CBC" w14:textId="656C8A91">
      <w:pPr>
        <w:tabs>
          <w:tab w:val="left" w:pos="360"/>
          <w:tab w:val="left" w:pos="720"/>
        </w:tabs>
      </w:pPr>
      <w:r>
        <w:tab/>
        <w:t xml:space="preserve">a. </w:t>
      </w:r>
      <w:r w:rsidR="00CA1C43">
        <w:t xml:space="preserve"> </w:t>
      </w:r>
      <w:r w:rsidR="00ED7C1F">
        <w:t xml:space="preserve">DoD has fully implemented the GFP module in the PIEE systems.  Use of the GFP module </w:t>
      </w:r>
      <w:r w:rsidR="006B4CED">
        <w:t xml:space="preserve">to collect GFP data </w:t>
      </w:r>
      <w:r w:rsidR="00ED7C1F">
        <w:t xml:space="preserve">has increased </w:t>
      </w:r>
      <w:r>
        <w:t xml:space="preserve">the accuracy and efficiency </w:t>
      </w:r>
      <w:r w:rsidR="006B4CED">
        <w:t>of</w:t>
      </w:r>
      <w:r>
        <w:t xml:space="preserve"> the collection </w:t>
      </w:r>
      <w:r w:rsidR="00ED7C1F">
        <w:t xml:space="preserve">in comparison to the </w:t>
      </w:r>
      <w:r>
        <w:t>previous methodology</w:t>
      </w:r>
      <w:r w:rsidR="00ED7C1F">
        <w:t>.  As a result, t</w:t>
      </w:r>
      <w:r w:rsidRPr="00ED7C1F" w:rsidR="002C30FB">
        <w:t xml:space="preserve">he </w:t>
      </w:r>
      <w:r w:rsidR="006B4CED">
        <w:t>volume</w:t>
      </w:r>
      <w:r>
        <w:t xml:space="preserve"> of responses </w:t>
      </w:r>
      <w:r w:rsidR="006B4CED">
        <w:t xml:space="preserve">reported in the GFP module </w:t>
      </w:r>
      <w:r>
        <w:t xml:space="preserve">has increased significantly </w:t>
      </w:r>
      <w:r w:rsidR="006B4CED">
        <w:t xml:space="preserve">while </w:t>
      </w:r>
      <w:r>
        <w:t xml:space="preserve">the </w:t>
      </w:r>
      <w:r>
        <w:t xml:space="preserve">estimated hours to report </w:t>
      </w:r>
      <w:r w:rsidR="006B4CED">
        <w:t>the data</w:t>
      </w:r>
      <w:r>
        <w:t xml:space="preserve"> has decreased.</w:t>
      </w:r>
    </w:p>
    <w:p w:rsidR="005531EF" w:rsidP="005531EF" w14:paraId="0CD7BF02" w14:textId="77777777"/>
    <w:p w:rsidR="005531EF" w:rsidP="005531EF" w14:paraId="6EAFE407" w14:textId="100CC701">
      <w:r>
        <w:tab/>
        <w:t>b.</w:t>
      </w:r>
      <w:r w:rsidR="00CA1C43">
        <w:t xml:space="preserve"> </w:t>
      </w:r>
      <w:r>
        <w:t xml:space="preserve"> </w:t>
      </w:r>
      <w:r w:rsidR="00E30AA7">
        <w:t>DoD use of the GFP module has</w:t>
      </w:r>
      <w:r>
        <w:t xml:space="preserve"> </w:t>
      </w:r>
      <w:r w:rsidR="00E30AA7">
        <w:t xml:space="preserve">increased </w:t>
      </w:r>
      <w:r>
        <w:t xml:space="preserve">the Government’s </w:t>
      </w:r>
      <w:r w:rsidR="00E30AA7">
        <w:t>number of reviews</w:t>
      </w:r>
      <w:r w:rsidR="006B4CED">
        <w:t xml:space="preserve"> as a direct result of the increased number of responses, </w:t>
      </w:r>
      <w:r w:rsidR="00E30AA7">
        <w:t xml:space="preserve">however the </w:t>
      </w:r>
      <w:r>
        <w:t xml:space="preserve">estimated </w:t>
      </w:r>
      <w:r w:rsidR="00E30AA7">
        <w:t xml:space="preserve">cost </w:t>
      </w:r>
      <w:r>
        <w:t>to review and analyze responses</w:t>
      </w:r>
      <w:r w:rsidR="00E30AA7">
        <w:t xml:space="preserve"> has decreased</w:t>
      </w:r>
      <w:r w:rsidR="00152183">
        <w:t xml:space="preserve"> due to efficiencies provided by the GFP module</w:t>
      </w:r>
      <w:r>
        <w:t>.</w:t>
      </w:r>
    </w:p>
    <w:p w:rsidR="00E30AA7" w:rsidP="005531EF" w14:paraId="0E5452F7" w14:textId="53FF7D75"/>
    <w:p w:rsidR="00E30AA7" w:rsidP="005531EF" w14:paraId="0B7CE665" w14:textId="17164679">
      <w:r>
        <w:tab/>
        <w:t>c.  The current O</w:t>
      </w:r>
      <w:r w:rsidR="00CA1C43">
        <w:t xml:space="preserve">ffice of </w:t>
      </w:r>
      <w:r>
        <w:t>P</w:t>
      </w:r>
      <w:r w:rsidR="00CA1C43">
        <w:t xml:space="preserve">ersonnel </w:t>
      </w:r>
      <w:r>
        <w:t>M</w:t>
      </w:r>
      <w:r w:rsidR="00CA1C43">
        <w:t>anagement</w:t>
      </w:r>
      <w:r>
        <w:t xml:space="preserve"> GS hourly labor rates for calendar year 2023 </w:t>
      </w:r>
      <w:r w:rsidR="00C56FAE">
        <w:t xml:space="preserve">used </w:t>
      </w:r>
      <w:r>
        <w:t>to calculate the cost per hour have increased from the 2020 rates.  The change in burden is as follows:</w:t>
      </w:r>
    </w:p>
    <w:p w:rsidR="000759D4" w:rsidP="000759D4" w14:paraId="1F04D688" w14:textId="553B1B2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7"/>
        <w:gridCol w:w="1824"/>
        <w:gridCol w:w="1824"/>
        <w:gridCol w:w="1827"/>
      </w:tblGrid>
      <w:tr w14:paraId="46C6D3BC" w14:textId="77777777" w:rsidTr="003F096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3767" w:type="dxa"/>
            <w:shd w:val="clear" w:color="auto" w:fill="auto"/>
            <w:vAlign w:val="center"/>
          </w:tcPr>
          <w:p w:rsidR="006E548F" w:rsidRPr="00F05C0E" w:rsidP="00840D40" w14:paraId="40B02D64" w14:textId="0964D8CA">
            <w:pPr>
              <w:tabs>
                <w:tab w:val="left" w:pos="360"/>
                <w:tab w:val="left" w:pos="720"/>
                <w:tab w:val="left" w:pos="1080"/>
                <w:tab w:val="left" w:pos="1440"/>
              </w:tabs>
              <w:spacing w:line="288" w:lineRule="atLeast"/>
              <w:ind w:left="720" w:hanging="720"/>
              <w:rPr>
                <w:rFonts w:eastAsia="Calibri"/>
              </w:rPr>
            </w:pPr>
            <w:r w:rsidRPr="00F05C0E">
              <w:rPr>
                <w:rFonts w:eastAsia="Calibri"/>
              </w:rPr>
              <w:t>0704-0398</w:t>
            </w:r>
          </w:p>
        </w:tc>
        <w:tc>
          <w:tcPr>
            <w:tcW w:w="1824" w:type="dxa"/>
            <w:shd w:val="clear" w:color="auto" w:fill="auto"/>
            <w:vAlign w:val="center"/>
          </w:tcPr>
          <w:p w:rsidR="006E548F" w:rsidRPr="00F05C0E" w:rsidP="00840D40" w14:paraId="41CA3C94" w14:textId="36A65EA2">
            <w:pPr>
              <w:tabs>
                <w:tab w:val="left" w:pos="360"/>
                <w:tab w:val="left" w:pos="720"/>
                <w:tab w:val="left" w:pos="1080"/>
                <w:tab w:val="left" w:pos="1440"/>
              </w:tabs>
              <w:spacing w:line="288" w:lineRule="atLeast"/>
              <w:ind w:left="720" w:hanging="720"/>
              <w:jc w:val="center"/>
              <w:rPr>
                <w:rFonts w:eastAsia="Calibri"/>
              </w:rPr>
            </w:pPr>
            <w:r>
              <w:rPr>
                <w:rFonts w:eastAsia="Calibri"/>
              </w:rPr>
              <w:t>20</w:t>
            </w:r>
            <w:r w:rsidR="003F096F">
              <w:rPr>
                <w:rFonts w:eastAsia="Calibri"/>
              </w:rPr>
              <w:t>20</w:t>
            </w:r>
          </w:p>
        </w:tc>
        <w:tc>
          <w:tcPr>
            <w:tcW w:w="1824" w:type="dxa"/>
            <w:shd w:val="clear" w:color="auto" w:fill="auto"/>
            <w:vAlign w:val="center"/>
          </w:tcPr>
          <w:p w:rsidR="006E548F" w:rsidRPr="00F05C0E" w:rsidP="00840D40" w14:paraId="0682DF26" w14:textId="595B3B1C">
            <w:pPr>
              <w:tabs>
                <w:tab w:val="left" w:pos="360"/>
                <w:tab w:val="left" w:pos="720"/>
                <w:tab w:val="left" w:pos="1080"/>
                <w:tab w:val="left" w:pos="1440"/>
              </w:tabs>
              <w:spacing w:line="288" w:lineRule="atLeast"/>
              <w:ind w:left="720" w:hanging="720"/>
              <w:jc w:val="center"/>
              <w:rPr>
                <w:rFonts w:eastAsia="Calibri"/>
              </w:rPr>
            </w:pPr>
            <w:r>
              <w:rPr>
                <w:rFonts w:eastAsia="Calibri"/>
              </w:rPr>
              <w:t>202</w:t>
            </w:r>
            <w:r w:rsidR="003F096F">
              <w:rPr>
                <w:rFonts w:eastAsia="Calibri"/>
              </w:rPr>
              <w:t>3</w:t>
            </w:r>
          </w:p>
        </w:tc>
        <w:tc>
          <w:tcPr>
            <w:tcW w:w="1827" w:type="dxa"/>
            <w:shd w:val="clear" w:color="auto" w:fill="auto"/>
            <w:vAlign w:val="center"/>
          </w:tcPr>
          <w:p w:rsidR="006E548F" w:rsidRPr="00F05C0E" w:rsidP="00840D40" w14:paraId="65B75F10" w14:textId="77777777">
            <w:pPr>
              <w:tabs>
                <w:tab w:val="left" w:pos="360"/>
                <w:tab w:val="left" w:pos="720"/>
                <w:tab w:val="left" w:pos="1080"/>
                <w:tab w:val="left" w:pos="1440"/>
              </w:tabs>
              <w:spacing w:line="288" w:lineRule="atLeast"/>
              <w:ind w:left="720" w:hanging="720"/>
              <w:jc w:val="center"/>
              <w:rPr>
                <w:rFonts w:eastAsia="Calibri"/>
              </w:rPr>
            </w:pPr>
            <w:r w:rsidRPr="00F05C0E">
              <w:rPr>
                <w:rFonts w:eastAsia="Calibri"/>
              </w:rPr>
              <w:t>Difference</w:t>
            </w:r>
          </w:p>
        </w:tc>
      </w:tr>
      <w:tr w14:paraId="09E66448" w14:textId="77777777" w:rsidTr="003F096F">
        <w:tblPrEx>
          <w:tblW w:w="0" w:type="auto"/>
          <w:tblInd w:w="108" w:type="dxa"/>
          <w:tblLook w:val="04A0"/>
        </w:tblPrEx>
        <w:trPr>
          <w:trHeight w:val="432"/>
        </w:trPr>
        <w:tc>
          <w:tcPr>
            <w:tcW w:w="3767" w:type="dxa"/>
            <w:shd w:val="clear" w:color="auto" w:fill="auto"/>
            <w:vAlign w:val="center"/>
          </w:tcPr>
          <w:p w:rsidR="006E548F" w:rsidRPr="00F05C0E" w:rsidP="00840D40" w14:paraId="54B5B4DA" w14:textId="77777777">
            <w:pPr>
              <w:tabs>
                <w:tab w:val="left" w:pos="360"/>
                <w:tab w:val="left" w:pos="720"/>
                <w:tab w:val="left" w:pos="1080"/>
                <w:tab w:val="left" w:pos="1440"/>
              </w:tabs>
              <w:spacing w:before="100" w:beforeAutospacing="1" w:after="100" w:afterAutospacing="1" w:line="288" w:lineRule="atLeast"/>
              <w:ind w:left="720" w:hanging="720"/>
              <w:rPr>
                <w:rFonts w:eastAsia="Calibri"/>
              </w:rPr>
            </w:pPr>
            <w:r w:rsidRPr="00F05C0E">
              <w:rPr>
                <w:rFonts w:eastAsia="Calibri"/>
              </w:rPr>
              <w:t>Number of respondents</w:t>
            </w:r>
          </w:p>
        </w:tc>
        <w:tc>
          <w:tcPr>
            <w:tcW w:w="1824" w:type="dxa"/>
            <w:shd w:val="clear" w:color="auto" w:fill="auto"/>
            <w:vAlign w:val="center"/>
          </w:tcPr>
          <w:p w:rsidR="006E548F" w:rsidRPr="00F05C0E" w:rsidP="00840D40" w14:paraId="59E7FC11" w14:textId="49BAAE9B">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256</w:t>
            </w:r>
          </w:p>
        </w:tc>
        <w:tc>
          <w:tcPr>
            <w:tcW w:w="1824" w:type="dxa"/>
            <w:shd w:val="clear" w:color="auto" w:fill="auto"/>
            <w:vAlign w:val="center"/>
          </w:tcPr>
          <w:p w:rsidR="006E548F" w:rsidRPr="00F05C0E" w:rsidP="00840D40" w14:paraId="33BDEF18" w14:textId="30E74210">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3,503</w:t>
            </w:r>
          </w:p>
        </w:tc>
        <w:tc>
          <w:tcPr>
            <w:tcW w:w="1827" w:type="dxa"/>
            <w:shd w:val="clear" w:color="auto" w:fill="auto"/>
            <w:vAlign w:val="center"/>
          </w:tcPr>
          <w:p w:rsidR="006E548F" w:rsidRPr="00F05C0E" w:rsidP="00840D40" w14:paraId="188A3A2C" w14:textId="0ECE349A">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3,247</w:t>
            </w:r>
          </w:p>
        </w:tc>
      </w:tr>
      <w:tr w14:paraId="0E1B0A79" w14:textId="77777777" w:rsidTr="003F096F">
        <w:tblPrEx>
          <w:tblW w:w="0" w:type="auto"/>
          <w:tblInd w:w="108" w:type="dxa"/>
          <w:tblLook w:val="04A0"/>
        </w:tblPrEx>
        <w:trPr>
          <w:trHeight w:val="432"/>
        </w:trPr>
        <w:tc>
          <w:tcPr>
            <w:tcW w:w="3767" w:type="dxa"/>
            <w:shd w:val="clear" w:color="auto" w:fill="auto"/>
            <w:vAlign w:val="center"/>
          </w:tcPr>
          <w:p w:rsidR="00E30AA7" w:rsidRPr="00F05C0E" w:rsidP="00840D40" w14:paraId="22C57348" w14:textId="0682EBDF">
            <w:pPr>
              <w:tabs>
                <w:tab w:val="left" w:pos="360"/>
                <w:tab w:val="left" w:pos="720"/>
                <w:tab w:val="left" w:pos="1080"/>
                <w:tab w:val="left" w:pos="1440"/>
              </w:tabs>
              <w:spacing w:before="100" w:beforeAutospacing="1" w:after="100" w:afterAutospacing="1" w:line="288" w:lineRule="atLeast"/>
              <w:ind w:left="720" w:hanging="720"/>
              <w:rPr>
                <w:rFonts w:eastAsia="Calibri"/>
              </w:rPr>
            </w:pPr>
            <w:r>
              <w:rPr>
                <w:rFonts w:eastAsia="Calibri"/>
              </w:rPr>
              <w:t>Responses per respondent</w:t>
            </w:r>
          </w:p>
        </w:tc>
        <w:tc>
          <w:tcPr>
            <w:tcW w:w="1824" w:type="dxa"/>
            <w:shd w:val="clear" w:color="auto" w:fill="auto"/>
            <w:vAlign w:val="center"/>
          </w:tcPr>
          <w:p w:rsidR="00E30AA7" w:rsidP="00840D40" w14:paraId="0BE4477C" w14:textId="115F64F5">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254</w:t>
            </w:r>
          </w:p>
        </w:tc>
        <w:tc>
          <w:tcPr>
            <w:tcW w:w="1824" w:type="dxa"/>
            <w:shd w:val="clear" w:color="auto" w:fill="auto"/>
            <w:vAlign w:val="center"/>
          </w:tcPr>
          <w:p w:rsidR="00E30AA7" w:rsidP="00840D40" w14:paraId="4F97079C" w14:textId="371B34E4">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119</w:t>
            </w:r>
          </w:p>
        </w:tc>
        <w:tc>
          <w:tcPr>
            <w:tcW w:w="1827" w:type="dxa"/>
            <w:shd w:val="clear" w:color="auto" w:fill="auto"/>
            <w:vAlign w:val="center"/>
          </w:tcPr>
          <w:p w:rsidR="00E30AA7" w:rsidP="00840D40" w14:paraId="700BC1E9" w14:textId="4E19F59D">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-135</w:t>
            </w:r>
          </w:p>
        </w:tc>
      </w:tr>
      <w:tr w14:paraId="6CD3CB9A" w14:textId="77777777" w:rsidTr="003F096F">
        <w:tblPrEx>
          <w:tblW w:w="0" w:type="auto"/>
          <w:tblInd w:w="108" w:type="dxa"/>
          <w:tblLook w:val="04A0"/>
        </w:tblPrEx>
        <w:trPr>
          <w:trHeight w:val="432"/>
        </w:trPr>
        <w:tc>
          <w:tcPr>
            <w:tcW w:w="3767" w:type="dxa"/>
            <w:shd w:val="clear" w:color="auto" w:fill="auto"/>
            <w:vAlign w:val="center"/>
          </w:tcPr>
          <w:p w:rsidR="006E548F" w:rsidRPr="00F05C0E" w:rsidP="00840D40" w14:paraId="66A1DDC5" w14:textId="59B2085C">
            <w:pPr>
              <w:tabs>
                <w:tab w:val="left" w:pos="360"/>
                <w:tab w:val="left" w:pos="720"/>
                <w:tab w:val="left" w:pos="1080"/>
                <w:tab w:val="left" w:pos="1440"/>
              </w:tabs>
              <w:spacing w:before="100" w:beforeAutospacing="1" w:after="100" w:afterAutospacing="1" w:line="288" w:lineRule="atLeast"/>
              <w:ind w:left="720" w:hanging="720"/>
              <w:rPr>
                <w:rFonts w:eastAsia="Calibri"/>
              </w:rPr>
            </w:pPr>
            <w:r>
              <w:rPr>
                <w:rFonts w:eastAsia="Calibri"/>
              </w:rPr>
              <w:t>Number of</w:t>
            </w:r>
            <w:r w:rsidRPr="00F05C0E">
              <w:rPr>
                <w:rFonts w:eastAsia="Calibri"/>
              </w:rPr>
              <w:t xml:space="preserve"> responses</w:t>
            </w:r>
          </w:p>
        </w:tc>
        <w:tc>
          <w:tcPr>
            <w:tcW w:w="1824" w:type="dxa"/>
            <w:shd w:val="clear" w:color="auto" w:fill="auto"/>
            <w:vAlign w:val="center"/>
          </w:tcPr>
          <w:p w:rsidR="006E548F" w:rsidRPr="00F05C0E" w:rsidP="00840D40" w14:paraId="6AC5B092" w14:textId="57A80B0A">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65,000</w:t>
            </w:r>
          </w:p>
        </w:tc>
        <w:tc>
          <w:tcPr>
            <w:tcW w:w="1824" w:type="dxa"/>
            <w:shd w:val="clear" w:color="auto" w:fill="auto"/>
            <w:vAlign w:val="center"/>
          </w:tcPr>
          <w:p w:rsidR="006E548F" w:rsidRPr="00F05C0E" w:rsidP="00840D40" w14:paraId="3D13C15B" w14:textId="552082C6">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416,771</w:t>
            </w:r>
          </w:p>
        </w:tc>
        <w:tc>
          <w:tcPr>
            <w:tcW w:w="1827" w:type="dxa"/>
            <w:shd w:val="clear" w:color="auto" w:fill="auto"/>
            <w:vAlign w:val="center"/>
          </w:tcPr>
          <w:p w:rsidR="006E548F" w:rsidRPr="00F05C0E" w:rsidP="00840D40" w14:paraId="39EDA4B0" w14:textId="261C9457">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351,771</w:t>
            </w:r>
          </w:p>
        </w:tc>
      </w:tr>
      <w:tr w14:paraId="4A8F8FB2" w14:textId="77777777" w:rsidTr="003F096F">
        <w:tblPrEx>
          <w:tblW w:w="0" w:type="auto"/>
          <w:tblInd w:w="108" w:type="dxa"/>
          <w:tblLook w:val="04A0"/>
        </w:tblPrEx>
        <w:trPr>
          <w:trHeight w:val="432"/>
        </w:trPr>
        <w:tc>
          <w:tcPr>
            <w:tcW w:w="3767" w:type="dxa"/>
            <w:shd w:val="clear" w:color="auto" w:fill="auto"/>
            <w:vAlign w:val="center"/>
          </w:tcPr>
          <w:p w:rsidR="00E30AA7" w:rsidRPr="00F05C0E" w:rsidP="00840D40" w14:paraId="6E96644F" w14:textId="5FE63809">
            <w:pPr>
              <w:tabs>
                <w:tab w:val="left" w:pos="360"/>
                <w:tab w:val="left" w:pos="720"/>
                <w:tab w:val="left" w:pos="1080"/>
                <w:tab w:val="left" w:pos="1440"/>
              </w:tabs>
              <w:spacing w:before="100" w:beforeAutospacing="1" w:after="100" w:afterAutospacing="1" w:line="288" w:lineRule="atLeast"/>
              <w:ind w:left="720" w:hanging="720"/>
              <w:rPr>
                <w:rFonts w:eastAsia="Calibri"/>
              </w:rPr>
            </w:pPr>
            <w:r>
              <w:rPr>
                <w:rFonts w:eastAsia="Calibri"/>
              </w:rPr>
              <w:t>Hours per response</w:t>
            </w:r>
          </w:p>
        </w:tc>
        <w:tc>
          <w:tcPr>
            <w:tcW w:w="1824" w:type="dxa"/>
            <w:shd w:val="clear" w:color="auto" w:fill="auto"/>
            <w:vAlign w:val="center"/>
          </w:tcPr>
          <w:p w:rsidR="00E30AA7" w:rsidP="00840D40" w14:paraId="1A930F68" w14:textId="3B835208">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0.25</w:t>
            </w:r>
          </w:p>
        </w:tc>
        <w:tc>
          <w:tcPr>
            <w:tcW w:w="1824" w:type="dxa"/>
            <w:shd w:val="clear" w:color="auto" w:fill="auto"/>
            <w:vAlign w:val="center"/>
          </w:tcPr>
          <w:p w:rsidR="00E30AA7" w:rsidP="00840D40" w14:paraId="16C2C10E" w14:textId="3375E850">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0.1</w:t>
            </w:r>
          </w:p>
        </w:tc>
        <w:tc>
          <w:tcPr>
            <w:tcW w:w="1827" w:type="dxa"/>
            <w:shd w:val="clear" w:color="auto" w:fill="auto"/>
            <w:vAlign w:val="center"/>
          </w:tcPr>
          <w:p w:rsidR="00E30AA7" w:rsidP="00840D40" w14:paraId="4874F95F" w14:textId="3DFEA728">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-0.15</w:t>
            </w:r>
          </w:p>
        </w:tc>
      </w:tr>
      <w:tr w14:paraId="5C885639" w14:textId="77777777" w:rsidTr="003F096F">
        <w:tblPrEx>
          <w:tblW w:w="0" w:type="auto"/>
          <w:tblInd w:w="108" w:type="dxa"/>
          <w:tblLook w:val="04A0"/>
        </w:tblPrEx>
        <w:trPr>
          <w:trHeight w:val="432"/>
        </w:trPr>
        <w:tc>
          <w:tcPr>
            <w:tcW w:w="3767" w:type="dxa"/>
            <w:shd w:val="clear" w:color="auto" w:fill="auto"/>
            <w:vAlign w:val="center"/>
          </w:tcPr>
          <w:p w:rsidR="006E548F" w:rsidRPr="00F05C0E" w:rsidP="00840D40" w14:paraId="1436C0B8" w14:textId="0F182438">
            <w:pPr>
              <w:tabs>
                <w:tab w:val="left" w:pos="360"/>
                <w:tab w:val="left" w:pos="720"/>
                <w:tab w:val="left" w:pos="1080"/>
                <w:tab w:val="left" w:pos="1440"/>
              </w:tabs>
              <w:spacing w:before="100" w:beforeAutospacing="1" w:after="100" w:afterAutospacing="1" w:line="288" w:lineRule="atLeast"/>
              <w:ind w:left="720" w:hanging="720"/>
              <w:rPr>
                <w:rFonts w:eastAsia="Calibri"/>
              </w:rPr>
            </w:pPr>
            <w:r>
              <w:rPr>
                <w:rFonts w:eastAsia="Calibri"/>
              </w:rPr>
              <w:t>E</w:t>
            </w:r>
            <w:r w:rsidRPr="00F05C0E">
              <w:rPr>
                <w:rFonts w:eastAsia="Calibri"/>
              </w:rPr>
              <w:t>stimated hours</w:t>
            </w:r>
          </w:p>
        </w:tc>
        <w:tc>
          <w:tcPr>
            <w:tcW w:w="1824" w:type="dxa"/>
            <w:shd w:val="clear" w:color="auto" w:fill="auto"/>
            <w:vAlign w:val="center"/>
          </w:tcPr>
          <w:p w:rsidR="006E548F" w:rsidRPr="00F05C0E" w:rsidP="00840D40" w14:paraId="138C0A5E" w14:textId="44AF30D5">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16,250</w:t>
            </w:r>
          </w:p>
        </w:tc>
        <w:tc>
          <w:tcPr>
            <w:tcW w:w="1824" w:type="dxa"/>
            <w:shd w:val="clear" w:color="auto" w:fill="auto"/>
            <w:vAlign w:val="center"/>
          </w:tcPr>
          <w:p w:rsidR="006E548F" w:rsidRPr="00F05C0E" w:rsidP="00840D40" w14:paraId="7E768279" w14:textId="173C7647">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41,667</w:t>
            </w:r>
          </w:p>
        </w:tc>
        <w:tc>
          <w:tcPr>
            <w:tcW w:w="1827" w:type="dxa"/>
            <w:shd w:val="clear" w:color="auto" w:fill="auto"/>
            <w:vAlign w:val="center"/>
          </w:tcPr>
          <w:p w:rsidR="006E548F" w:rsidRPr="00F05C0E" w:rsidP="00840D40" w14:paraId="2378635B" w14:textId="3C3CCBC0">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25,417</w:t>
            </w:r>
          </w:p>
        </w:tc>
      </w:tr>
      <w:tr w14:paraId="593713E0" w14:textId="77777777" w:rsidTr="003F096F">
        <w:tblPrEx>
          <w:tblW w:w="0" w:type="auto"/>
          <w:tblInd w:w="108" w:type="dxa"/>
          <w:tblLook w:val="04A0"/>
        </w:tblPrEx>
        <w:trPr>
          <w:trHeight w:val="432"/>
        </w:trPr>
        <w:tc>
          <w:tcPr>
            <w:tcW w:w="3767" w:type="dxa"/>
            <w:shd w:val="clear" w:color="auto" w:fill="auto"/>
            <w:vAlign w:val="center"/>
          </w:tcPr>
          <w:p w:rsidR="003F096F" w:rsidRPr="00F05C0E" w:rsidP="003F096F" w14:paraId="7560C370" w14:textId="77777777">
            <w:pPr>
              <w:tabs>
                <w:tab w:val="left" w:pos="360"/>
                <w:tab w:val="left" w:pos="720"/>
                <w:tab w:val="left" w:pos="1080"/>
                <w:tab w:val="left" w:pos="1440"/>
              </w:tabs>
              <w:spacing w:before="100" w:beforeAutospacing="1" w:after="100" w:afterAutospacing="1" w:line="288" w:lineRule="atLeast"/>
              <w:ind w:left="720" w:hanging="720"/>
              <w:rPr>
                <w:rFonts w:eastAsia="Calibri"/>
              </w:rPr>
            </w:pPr>
            <w:r w:rsidRPr="00312A6F">
              <w:t>Annual public burden</w:t>
            </w:r>
          </w:p>
        </w:tc>
        <w:tc>
          <w:tcPr>
            <w:tcW w:w="1824" w:type="dxa"/>
            <w:shd w:val="clear" w:color="auto" w:fill="auto"/>
            <w:vAlign w:val="center"/>
          </w:tcPr>
          <w:p w:rsidR="003F096F" w:rsidRPr="00F05C0E" w:rsidP="003F096F" w14:paraId="1C368DC2" w14:textId="609D7BDA">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$666,250</w:t>
            </w:r>
          </w:p>
        </w:tc>
        <w:tc>
          <w:tcPr>
            <w:tcW w:w="1824" w:type="dxa"/>
            <w:shd w:val="clear" w:color="auto" w:fill="auto"/>
            <w:vAlign w:val="center"/>
          </w:tcPr>
          <w:p w:rsidR="003F096F" w:rsidRPr="00F05C0E" w:rsidP="003F096F" w14:paraId="73E91EDE" w14:textId="539B4598">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t>$2,125,532</w:t>
            </w:r>
          </w:p>
        </w:tc>
        <w:tc>
          <w:tcPr>
            <w:tcW w:w="1827" w:type="dxa"/>
            <w:shd w:val="clear" w:color="auto" w:fill="auto"/>
            <w:vAlign w:val="center"/>
          </w:tcPr>
          <w:p w:rsidR="003F096F" w:rsidRPr="00F05C0E" w:rsidP="003F096F" w14:paraId="51523138" w14:textId="7273A8ED">
            <w:pPr>
              <w:tabs>
                <w:tab w:val="left" w:pos="360"/>
                <w:tab w:val="left" w:pos="720"/>
                <w:tab w:val="left" w:pos="1080"/>
                <w:tab w:val="left" w:pos="1440"/>
              </w:tabs>
              <w:spacing w:before="100" w:beforeAutospacing="1" w:after="100" w:afterAutospacing="1" w:line="288" w:lineRule="atLeast"/>
              <w:ind w:left="720" w:hanging="720"/>
              <w:jc w:val="right"/>
              <w:rPr>
                <w:rFonts w:eastAsia="Calibri"/>
              </w:rPr>
            </w:pPr>
            <w:r>
              <w:rPr>
                <w:rFonts w:eastAsia="Calibri"/>
              </w:rPr>
              <w:t>1,459,282</w:t>
            </w:r>
          </w:p>
        </w:tc>
      </w:tr>
    </w:tbl>
    <w:p w:rsidR="006E548F" w:rsidRPr="00F05C0E" w:rsidP="00840D40" w14:paraId="31024CBF" w14:textId="77777777">
      <w:pPr>
        <w:tabs>
          <w:tab w:val="left" w:pos="360"/>
          <w:tab w:val="left" w:pos="680"/>
          <w:tab w:val="left" w:pos="720"/>
        </w:tabs>
        <w:ind w:left="720" w:hanging="720"/>
      </w:pPr>
    </w:p>
    <w:p w:rsidR="005653B7" w:rsidRPr="00F05C0E" w:rsidP="00840D40" w14:paraId="40470318" w14:textId="597238F2">
      <w:pPr>
        <w:widowControl/>
        <w:tabs>
          <w:tab w:val="left" w:pos="360"/>
          <w:tab w:val="left" w:pos="720"/>
          <w:tab w:val="left" w:pos="1080"/>
          <w:tab w:val="left" w:pos="1440"/>
        </w:tabs>
        <w:autoSpaceDE/>
        <w:autoSpaceDN/>
        <w:adjustRightInd/>
        <w:spacing w:after="100" w:afterAutospacing="1" w:line="288" w:lineRule="atLeast"/>
        <w:ind w:left="720" w:hanging="720"/>
        <w:rPr>
          <w:u w:val="single"/>
        </w:rPr>
      </w:pPr>
      <w:r w:rsidRPr="00F05C0E">
        <w:t>16.</w:t>
      </w:r>
      <w:r w:rsidR="00C56FAE">
        <w:t xml:space="preserve"> </w:t>
      </w:r>
      <w:r w:rsidRPr="00F05C0E">
        <w:t xml:space="preserve"> </w:t>
      </w:r>
      <w:r w:rsidRPr="00F05C0E">
        <w:rPr>
          <w:u w:val="single"/>
        </w:rPr>
        <w:t>Publication of Results</w:t>
      </w:r>
    </w:p>
    <w:p w:rsidR="005653B7" w:rsidRPr="00F05C0E" w:rsidP="00840D40" w14:paraId="7F4E8309" w14:textId="33159EEA">
      <w:pPr>
        <w:widowControl/>
        <w:tabs>
          <w:tab w:val="left" w:pos="360"/>
          <w:tab w:val="left" w:pos="720"/>
          <w:tab w:val="left" w:pos="1080"/>
          <w:tab w:val="left" w:pos="1440"/>
        </w:tabs>
        <w:autoSpaceDE/>
        <w:autoSpaceDN/>
        <w:adjustRightInd/>
        <w:spacing w:before="100" w:beforeAutospacing="1" w:after="100" w:afterAutospacing="1" w:line="288" w:lineRule="atLeast"/>
        <w:ind w:left="720" w:hanging="720"/>
      </w:pPr>
      <w:r>
        <w:tab/>
      </w:r>
      <w:r w:rsidRPr="00F05C0E">
        <w:t>Results of this collection will not be published.</w:t>
      </w:r>
    </w:p>
    <w:p w:rsidR="005653B7" w:rsidRPr="00F05C0E" w:rsidP="00840D40" w14:paraId="0205EFE0" w14:textId="0DFF85B7">
      <w:pPr>
        <w:widowControl/>
        <w:tabs>
          <w:tab w:val="left" w:pos="360"/>
          <w:tab w:val="left" w:pos="720"/>
          <w:tab w:val="left" w:pos="1080"/>
          <w:tab w:val="left" w:pos="1440"/>
        </w:tabs>
        <w:autoSpaceDE/>
        <w:autoSpaceDN/>
        <w:adjustRightInd/>
        <w:spacing w:before="100" w:beforeAutospacing="1" w:after="100" w:afterAutospacing="1" w:line="288" w:lineRule="atLeast"/>
        <w:ind w:left="720" w:hanging="720"/>
      </w:pPr>
      <w:r w:rsidRPr="00F05C0E">
        <w:t>17.</w:t>
      </w:r>
      <w:r w:rsidR="00C56FAE">
        <w:t xml:space="preserve"> </w:t>
      </w:r>
      <w:r w:rsidRPr="00F05C0E">
        <w:t xml:space="preserve"> </w:t>
      </w:r>
      <w:r w:rsidRPr="00F05C0E">
        <w:rPr>
          <w:u w:val="single"/>
        </w:rPr>
        <w:t>Non-Display of OMB Expiration Date</w:t>
      </w:r>
    </w:p>
    <w:p w:rsidR="002A3CC4" w:rsidRPr="003C0A74" w:rsidP="002A3CC4" w14:paraId="5F7E3E6A" w14:textId="77777777">
      <w:pPr>
        <w:pStyle w:val="NormalWeb"/>
        <w:spacing w:line="288" w:lineRule="atLeast"/>
      </w:pPr>
      <w:bookmarkStart w:id="3" w:name="cp473"/>
      <w:r>
        <w:tab/>
        <w:t xml:space="preserve">DoD is not requesting approval to omit display of the expiration date of OMB </w:t>
      </w:r>
      <w:r w:rsidRPr="00936232">
        <w:t>approval o</w:t>
      </w:r>
      <w:r>
        <w:t>n</w:t>
      </w:r>
      <w:r w:rsidRPr="00936232">
        <w:t xml:space="preserve"> the </w:t>
      </w:r>
      <w:r>
        <w:t>instrument of</w:t>
      </w:r>
      <w:r w:rsidRPr="00936232">
        <w:t xml:space="preserve"> collection.</w:t>
      </w:r>
    </w:p>
    <w:p w:rsidR="005653B7" w:rsidRPr="00F05C0E" w:rsidP="002A3CC4" w14:paraId="241E41A1" w14:textId="5B72DDD0">
      <w:pPr>
        <w:widowControl/>
        <w:tabs>
          <w:tab w:val="left" w:pos="360"/>
          <w:tab w:val="left" w:pos="720"/>
          <w:tab w:val="left" w:pos="1080"/>
          <w:tab w:val="left" w:pos="1440"/>
        </w:tabs>
        <w:autoSpaceDE/>
        <w:autoSpaceDN/>
        <w:adjustRightInd/>
        <w:spacing w:before="100" w:beforeAutospacing="1" w:after="100" w:afterAutospacing="1" w:line="288" w:lineRule="atLeast"/>
      </w:pPr>
      <w:r w:rsidRPr="00F05C0E">
        <w:t xml:space="preserve">18.  </w:t>
      </w:r>
      <w:r w:rsidRPr="00F05C0E">
        <w:rPr>
          <w:u w:val="single"/>
        </w:rPr>
        <w:t xml:space="preserve">Exceptions to </w:t>
      </w:r>
      <w:r w:rsidR="00C56FAE">
        <w:rPr>
          <w:u w:val="single"/>
        </w:rPr>
        <w:t>“</w:t>
      </w:r>
      <w:r w:rsidRPr="00F05C0E">
        <w:rPr>
          <w:u w:val="single"/>
        </w:rPr>
        <w:t>Certification for Paperwork Reduction Submissions</w:t>
      </w:r>
      <w:r w:rsidR="00C56FAE">
        <w:rPr>
          <w:u w:val="single"/>
        </w:rPr>
        <w:t>”</w:t>
      </w:r>
    </w:p>
    <w:p w:rsidR="005653B7" w:rsidRPr="00F05C0E" w:rsidP="002A3CC4" w14:paraId="37C8753C" w14:textId="2851A031">
      <w:pPr>
        <w:widowControl/>
        <w:tabs>
          <w:tab w:val="left" w:pos="360"/>
          <w:tab w:val="left" w:pos="720"/>
          <w:tab w:val="left" w:pos="1080"/>
          <w:tab w:val="left" w:pos="1440"/>
        </w:tabs>
        <w:autoSpaceDE/>
        <w:autoSpaceDN/>
        <w:adjustRightInd/>
        <w:spacing w:before="100" w:beforeAutospacing="1" w:after="100" w:afterAutospacing="1" w:line="288" w:lineRule="atLeast"/>
      </w:pPr>
      <w:bookmarkStart w:id="4" w:name="cp474"/>
      <w:bookmarkEnd w:id="3"/>
      <w:r w:rsidRPr="00F05C0E">
        <w:tab/>
      </w:r>
      <w:bookmarkEnd w:id="4"/>
      <w:r w:rsidRPr="00F05C0E">
        <w:t>There are no exceptions to the certification accompanying this Paperwork Reduction Act submission.</w:t>
      </w:r>
    </w:p>
    <w:sectPr w:rsidSect="00312A6F">
      <w:footerReference w:type="even" r:id="rId8"/>
      <w:footerReference w:type="default" r:id="rId9"/>
      <w:footerReference w:type="first" r:id="rId10"/>
      <w:pgSz w:w="12240" w:h="15840"/>
      <w:pgMar w:top="1440" w:right="1440" w:bottom="1440" w:left="1440" w:header="1440" w:footer="343"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130" w:rsidP="00323753" w14:paraId="0BD9674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6CC0">
      <w:rPr>
        <w:rStyle w:val="PageNumber"/>
        <w:noProof/>
      </w:rPr>
      <w:t>9</w:t>
    </w:r>
    <w:r>
      <w:rPr>
        <w:rStyle w:val="PageNumber"/>
      </w:rPr>
      <w:fldChar w:fldCharType="end"/>
    </w:r>
  </w:p>
  <w:p w:rsidR="00836130" w14:paraId="2E5C2A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941144"/>
      <w:docPartObj>
        <w:docPartGallery w:val="Page Numbers (Bottom of Page)"/>
        <w:docPartUnique/>
      </w:docPartObj>
    </w:sdtPr>
    <w:sdtContent>
      <w:sdt>
        <w:sdtPr>
          <w:id w:val="-1778775831"/>
          <w:docPartObj>
            <w:docPartGallery w:val="Page Numbers (Top of Page)"/>
            <w:docPartUnique/>
          </w:docPartObj>
        </w:sdtPr>
        <w:sdtContent>
          <w:p w:rsidR="00836130" w14:paraId="756163F6" w14:textId="5A84816E">
            <w:pPr>
              <w:pStyle w:val="Footer"/>
              <w:jc w:val="center"/>
            </w:pPr>
            <w:r>
              <w:t xml:space="preserve">Page </w:t>
            </w:r>
            <w:r>
              <w:rPr>
                <w:b/>
                <w:bCs/>
              </w:rPr>
              <w:fldChar w:fldCharType="begin"/>
            </w:r>
            <w:r>
              <w:rPr>
                <w:b/>
                <w:bCs/>
              </w:rPr>
              <w:instrText xml:space="preserve"> PAGE </w:instrText>
            </w:r>
            <w:r>
              <w:rPr>
                <w:b/>
                <w:bCs/>
              </w:rPr>
              <w:fldChar w:fldCharType="separate"/>
            </w:r>
            <w:r w:rsidR="0064552B">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64552B">
              <w:rPr>
                <w:b/>
                <w:bCs/>
                <w:noProof/>
              </w:rPr>
              <w:t>6</w:t>
            </w:r>
            <w:r>
              <w:rPr>
                <w:b/>
                <w:bCs/>
              </w:rPr>
              <w:fldChar w:fldCharType="end"/>
            </w:r>
          </w:p>
        </w:sdtContent>
      </w:sdt>
    </w:sdtContent>
  </w:sdt>
  <w:p w:rsidR="00836130" w14:paraId="3444B8F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9125963"/>
      <w:docPartObj>
        <w:docPartGallery w:val="Page Numbers (Bottom of Page)"/>
        <w:docPartUnique/>
      </w:docPartObj>
    </w:sdtPr>
    <w:sdtContent>
      <w:sdt>
        <w:sdtPr>
          <w:id w:val="-1534182336"/>
          <w:docPartObj>
            <w:docPartGallery w:val="Page Numbers (Top of Page)"/>
            <w:docPartUnique/>
          </w:docPartObj>
        </w:sdtPr>
        <w:sdtContent>
          <w:p w:rsidR="00836130" w14:paraId="1E87E59E" w14:textId="5BC4F092">
            <w:pPr>
              <w:pStyle w:val="Footer"/>
              <w:jc w:val="center"/>
            </w:pPr>
            <w:r>
              <w:t xml:space="preserve">Page </w:t>
            </w:r>
            <w:r>
              <w:rPr>
                <w:b/>
                <w:bCs/>
              </w:rPr>
              <w:fldChar w:fldCharType="begin"/>
            </w:r>
            <w:r>
              <w:rPr>
                <w:b/>
                <w:bCs/>
              </w:rPr>
              <w:instrText xml:space="preserve"> PAGE </w:instrText>
            </w:r>
            <w:r>
              <w:rPr>
                <w:b/>
                <w:bCs/>
              </w:rPr>
              <w:fldChar w:fldCharType="separate"/>
            </w:r>
            <w:r w:rsidR="0064552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4552B">
              <w:rPr>
                <w:b/>
                <w:bCs/>
                <w:noProof/>
              </w:rPr>
              <w:t>6</w:t>
            </w:r>
            <w:r>
              <w:rPr>
                <w:b/>
                <w:bCs/>
              </w:rPr>
              <w:fldChar w:fldCharType="end"/>
            </w:r>
          </w:p>
        </w:sdtContent>
      </w:sdt>
    </w:sdtContent>
  </w:sdt>
  <w:p w:rsidR="00836130" w14:paraId="5E8091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5DD6" w:rsidP="00B3454A" w14:paraId="198B84BA" w14:textId="77777777">
      <w:r>
        <w:separator/>
      </w:r>
    </w:p>
  </w:footnote>
  <w:footnote w:type="continuationSeparator" w:id="1">
    <w:p w:rsidR="00D55DD6" w:rsidP="00B3454A" w14:paraId="09DBE631" w14:textId="77777777">
      <w:r>
        <w:continuationSeparator/>
      </w:r>
    </w:p>
  </w:footnote>
  <w:footnote w:id="2">
    <w:p w:rsidR="003E3986" w14:paraId="4E129549" w14:textId="39F5DF39">
      <w:pPr>
        <w:pStyle w:val="FootnoteText"/>
      </w:pPr>
      <w:r>
        <w:rPr>
          <w:rStyle w:val="FootnoteReference"/>
        </w:rPr>
        <w:footnoteRef/>
      </w:r>
      <w:r>
        <w:t xml:space="preserve"> </w:t>
      </w:r>
      <w:r w:rsidRPr="003E3986">
        <w:t>The responses per respondent is based on the number of responses (416,771) divided by the number of respondents (3503); rounded to the nearest whole number.</w:t>
      </w:r>
    </w:p>
  </w:footnote>
  <w:footnote w:id="3">
    <w:p w:rsidR="003E3986" w14:paraId="6B832F07" w14:textId="38CDC77A">
      <w:pPr>
        <w:pStyle w:val="FootnoteText"/>
      </w:pPr>
      <w:r>
        <w:rPr>
          <w:rStyle w:val="FootnoteReference"/>
        </w:rPr>
        <w:footnoteRef/>
      </w:r>
      <w:r>
        <w:t xml:space="preserve"> </w:t>
      </w:r>
      <w:r w:rsidRPr="007F70AC">
        <w:t>Based on the salary table for GS-</w:t>
      </w:r>
      <w:r>
        <w:t>11/</w:t>
      </w:r>
      <w:r w:rsidRPr="007F70AC">
        <w:t>step 5 salary ($</w:t>
      </w:r>
      <w:r>
        <w:t>37.53</w:t>
      </w:r>
      <w:r w:rsidRPr="007F70AC">
        <w:t xml:space="preserve"> an hour for base salary) plus 36.25 percent burden, roun</w:t>
      </w:r>
      <w:r>
        <w:t>ded to the nearest dollar, or $51</w:t>
      </w:r>
      <w:r w:rsidRPr="007F70AC">
        <w:t xml:space="preserve"> an hour.  The burden rate used is that mandated by OMB memorandum M-08-13 for use in public-private competition.  Reference S</w:t>
      </w:r>
      <w:r>
        <w:t>alary Table for GS employees, 2023-RUS, Effective January 2023</w:t>
      </w:r>
      <w:r w:rsidRPr="007F70AC">
        <w:t xml:space="preserve">, found at </w:t>
      </w:r>
      <w:hyperlink r:id="rId1" w:history="1">
        <w:r w:rsidRPr="007F70AC">
          <w:rPr>
            <w:rStyle w:val="Hyperlink"/>
          </w:rPr>
          <w:t>www.opm.gov</w:t>
        </w:r>
      </w:hyperlink>
      <w:r w:rsidRPr="007F70AC">
        <w:t>)</w:t>
      </w:r>
    </w:p>
  </w:footnote>
  <w:footnote w:id="4">
    <w:p w:rsidR="00BE6DB3" w14:paraId="3B81805E" w14:textId="04309B5B">
      <w:pPr>
        <w:pStyle w:val="FootnoteText"/>
      </w:pPr>
      <w:r>
        <w:rPr>
          <w:rStyle w:val="FootnoteReference"/>
        </w:rPr>
        <w:footnoteRef/>
      </w:r>
      <w:r>
        <w:t xml:space="preserve"> </w:t>
      </w:r>
      <w:r w:rsidRPr="007F70AC">
        <w:t>Based on the salary table for GS-</w:t>
      </w:r>
      <w:r>
        <w:t>12/</w:t>
      </w:r>
      <w:r w:rsidRPr="007F70AC">
        <w:t>step 5 salary ($</w:t>
      </w:r>
      <w:r>
        <w:t>44.98</w:t>
      </w:r>
      <w:r w:rsidRPr="007F70AC">
        <w:t xml:space="preserve"> an hour for base salary) plus 36.25 percent burden, roun</w:t>
      </w:r>
      <w:r>
        <w:t>ded to the nearest dollar, or $61</w:t>
      </w:r>
      <w:r w:rsidRPr="007F70AC">
        <w:t xml:space="preserve"> an hour.  The burden rate used is that mandated by OMB memorandum M-08-13 for use in public-private competition.  Reference S</w:t>
      </w:r>
      <w:r>
        <w:t>alary Table for GS employees, 2023-RUS, Effective January 2023</w:t>
      </w:r>
      <w:r w:rsidRPr="007F70AC">
        <w:t xml:space="preserve">, found at </w:t>
      </w:r>
      <w:hyperlink r:id="rId1" w:history="1">
        <w:r w:rsidRPr="007F70AC">
          <w:rPr>
            <w:rStyle w:val="Hyperlink"/>
          </w:rPr>
          <w:t>www.opm.gov</w:t>
        </w:r>
      </w:hyperlink>
      <w:r w:rsidRPr="007F70A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90442"/>
    <w:multiLevelType w:val="hybridMultilevel"/>
    <w:tmpl w:val="91969644"/>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1F10B1F"/>
    <w:multiLevelType w:val="hybridMultilevel"/>
    <w:tmpl w:val="958EFE26"/>
    <w:lvl w:ilvl="0">
      <w:start w:val="1"/>
      <w:numFmt w:val="lowerLetter"/>
      <w:lvlText w:val="%1."/>
      <w:lvlJc w:val="left"/>
      <w:pPr>
        <w:ind w:left="1035" w:hanging="360"/>
      </w:pPr>
      <w:rPr>
        <w:rFonts w:hint="default"/>
      </w:rPr>
    </w:lvl>
    <w:lvl w:ilvl="1" w:tentative="1">
      <w:start w:val="1"/>
      <w:numFmt w:val="lowerLetter"/>
      <w:lvlText w:val="%2."/>
      <w:lvlJc w:val="left"/>
      <w:pPr>
        <w:ind w:left="1755" w:hanging="360"/>
      </w:pPr>
    </w:lvl>
    <w:lvl w:ilvl="2" w:tentative="1">
      <w:start w:val="1"/>
      <w:numFmt w:val="lowerRoman"/>
      <w:lvlText w:val="%3."/>
      <w:lvlJc w:val="right"/>
      <w:pPr>
        <w:ind w:left="2475" w:hanging="180"/>
      </w:pPr>
    </w:lvl>
    <w:lvl w:ilvl="3" w:tentative="1">
      <w:start w:val="1"/>
      <w:numFmt w:val="decimal"/>
      <w:lvlText w:val="%4."/>
      <w:lvlJc w:val="left"/>
      <w:pPr>
        <w:ind w:left="3195" w:hanging="360"/>
      </w:pPr>
    </w:lvl>
    <w:lvl w:ilvl="4" w:tentative="1">
      <w:start w:val="1"/>
      <w:numFmt w:val="lowerLetter"/>
      <w:lvlText w:val="%5."/>
      <w:lvlJc w:val="left"/>
      <w:pPr>
        <w:ind w:left="3915" w:hanging="360"/>
      </w:pPr>
    </w:lvl>
    <w:lvl w:ilvl="5" w:tentative="1">
      <w:start w:val="1"/>
      <w:numFmt w:val="lowerRoman"/>
      <w:lvlText w:val="%6."/>
      <w:lvlJc w:val="right"/>
      <w:pPr>
        <w:ind w:left="4635" w:hanging="180"/>
      </w:pPr>
    </w:lvl>
    <w:lvl w:ilvl="6" w:tentative="1">
      <w:start w:val="1"/>
      <w:numFmt w:val="decimal"/>
      <w:lvlText w:val="%7."/>
      <w:lvlJc w:val="left"/>
      <w:pPr>
        <w:ind w:left="5355" w:hanging="360"/>
      </w:pPr>
    </w:lvl>
    <w:lvl w:ilvl="7" w:tentative="1">
      <w:start w:val="1"/>
      <w:numFmt w:val="lowerLetter"/>
      <w:lvlText w:val="%8."/>
      <w:lvlJc w:val="left"/>
      <w:pPr>
        <w:ind w:left="6075" w:hanging="360"/>
      </w:pPr>
    </w:lvl>
    <w:lvl w:ilvl="8" w:tentative="1">
      <w:start w:val="1"/>
      <w:numFmt w:val="lowerRoman"/>
      <w:lvlText w:val="%9."/>
      <w:lvlJc w:val="right"/>
      <w:pPr>
        <w:ind w:left="6795" w:hanging="180"/>
      </w:pPr>
    </w:lvl>
  </w:abstractNum>
  <w:abstractNum w:abstractNumId="2">
    <w:nsid w:val="14275263"/>
    <w:multiLevelType w:val="hybridMultilevel"/>
    <w:tmpl w:val="082A78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7646D3"/>
    <w:multiLevelType w:val="hybridMultilevel"/>
    <w:tmpl w:val="AE880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7B5099"/>
    <w:multiLevelType w:val="hybridMultilevel"/>
    <w:tmpl w:val="5D82BB52"/>
    <w:lvl w:ilvl="0">
      <w:start w:val="2"/>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F927DA"/>
    <w:multiLevelType w:val="hybridMultilevel"/>
    <w:tmpl w:val="D0FA8C9A"/>
    <w:lvl w:ilvl="0">
      <w:start w:val="4"/>
      <w:numFmt w:val="lowerLetter"/>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6">
    <w:nsid w:val="318C789C"/>
    <w:multiLevelType w:val="hybridMultilevel"/>
    <w:tmpl w:val="62B64A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854E13"/>
    <w:multiLevelType w:val="hybridMultilevel"/>
    <w:tmpl w:val="AADC2F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D72C1C"/>
    <w:multiLevelType w:val="hybridMultilevel"/>
    <w:tmpl w:val="D5CC6988"/>
    <w:lvl w:ilvl="0">
      <w:start w:val="1"/>
      <w:numFmt w:val="lowerLetter"/>
      <w:lvlText w:val="%1."/>
      <w:lvlJc w:val="left"/>
      <w:pPr>
        <w:ind w:left="1260" w:hanging="585"/>
      </w:pPr>
      <w:rPr>
        <w:rFonts w:hint="default"/>
      </w:rPr>
    </w:lvl>
    <w:lvl w:ilvl="1" w:tentative="1">
      <w:start w:val="1"/>
      <w:numFmt w:val="lowerLetter"/>
      <w:lvlText w:val="%2."/>
      <w:lvlJc w:val="left"/>
      <w:pPr>
        <w:ind w:left="1755" w:hanging="360"/>
      </w:pPr>
    </w:lvl>
    <w:lvl w:ilvl="2" w:tentative="1">
      <w:start w:val="1"/>
      <w:numFmt w:val="lowerRoman"/>
      <w:lvlText w:val="%3."/>
      <w:lvlJc w:val="right"/>
      <w:pPr>
        <w:ind w:left="2475" w:hanging="180"/>
      </w:pPr>
    </w:lvl>
    <w:lvl w:ilvl="3" w:tentative="1">
      <w:start w:val="1"/>
      <w:numFmt w:val="decimal"/>
      <w:lvlText w:val="%4."/>
      <w:lvlJc w:val="left"/>
      <w:pPr>
        <w:ind w:left="3195" w:hanging="360"/>
      </w:pPr>
    </w:lvl>
    <w:lvl w:ilvl="4" w:tentative="1">
      <w:start w:val="1"/>
      <w:numFmt w:val="lowerLetter"/>
      <w:lvlText w:val="%5."/>
      <w:lvlJc w:val="left"/>
      <w:pPr>
        <w:ind w:left="3915" w:hanging="360"/>
      </w:pPr>
    </w:lvl>
    <w:lvl w:ilvl="5" w:tentative="1">
      <w:start w:val="1"/>
      <w:numFmt w:val="lowerRoman"/>
      <w:lvlText w:val="%6."/>
      <w:lvlJc w:val="right"/>
      <w:pPr>
        <w:ind w:left="4635" w:hanging="180"/>
      </w:pPr>
    </w:lvl>
    <w:lvl w:ilvl="6" w:tentative="1">
      <w:start w:val="1"/>
      <w:numFmt w:val="decimal"/>
      <w:lvlText w:val="%7."/>
      <w:lvlJc w:val="left"/>
      <w:pPr>
        <w:ind w:left="5355" w:hanging="360"/>
      </w:pPr>
    </w:lvl>
    <w:lvl w:ilvl="7" w:tentative="1">
      <w:start w:val="1"/>
      <w:numFmt w:val="lowerLetter"/>
      <w:lvlText w:val="%8."/>
      <w:lvlJc w:val="left"/>
      <w:pPr>
        <w:ind w:left="6075" w:hanging="360"/>
      </w:pPr>
    </w:lvl>
    <w:lvl w:ilvl="8" w:tentative="1">
      <w:start w:val="1"/>
      <w:numFmt w:val="lowerRoman"/>
      <w:lvlText w:val="%9."/>
      <w:lvlJc w:val="right"/>
      <w:pPr>
        <w:ind w:left="6795" w:hanging="180"/>
      </w:pPr>
    </w:lvl>
  </w:abstractNum>
  <w:abstractNum w:abstractNumId="9">
    <w:nsid w:val="4A206038"/>
    <w:multiLevelType w:val="hybridMultilevel"/>
    <w:tmpl w:val="CE485E64"/>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A711CC3"/>
    <w:multiLevelType w:val="hybridMultilevel"/>
    <w:tmpl w:val="BA7CB704"/>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1">
    <w:nsid w:val="4BFE14E3"/>
    <w:multiLevelType w:val="hybridMultilevel"/>
    <w:tmpl w:val="A4803E52"/>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F06625E"/>
    <w:multiLevelType w:val="hybridMultilevel"/>
    <w:tmpl w:val="274288B0"/>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26D69BD"/>
    <w:multiLevelType w:val="hybridMultilevel"/>
    <w:tmpl w:val="00A8AEEC"/>
    <w:lvl w:ilvl="0">
      <w:start w:val="1"/>
      <w:numFmt w:val="lowerLetter"/>
      <w:lvlText w:val="%1."/>
      <w:lvlJc w:val="left"/>
      <w:pPr>
        <w:ind w:left="1140" w:hanging="57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14">
    <w:nsid w:val="55EA2A4C"/>
    <w:multiLevelType w:val="hybridMultilevel"/>
    <w:tmpl w:val="7FBE23BC"/>
    <w:lvl w:ilvl="0">
      <w:start w:val="2"/>
      <w:numFmt w:val="low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5BFA4B52"/>
    <w:multiLevelType w:val="hybridMultilevel"/>
    <w:tmpl w:val="0F48943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7F4531"/>
    <w:multiLevelType w:val="hybridMultilevel"/>
    <w:tmpl w:val="AA9E0474"/>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7">
    <w:nsid w:val="64B82A65"/>
    <w:multiLevelType w:val="hybridMultilevel"/>
    <w:tmpl w:val="A55E98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F67B27"/>
    <w:multiLevelType w:val="hybridMultilevel"/>
    <w:tmpl w:val="4770E8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9500D3"/>
    <w:multiLevelType w:val="hybridMultilevel"/>
    <w:tmpl w:val="B7D26AF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9035FE2"/>
    <w:multiLevelType w:val="hybridMultilevel"/>
    <w:tmpl w:val="C2A24BD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DF634E3"/>
    <w:multiLevelType w:val="hybridMultilevel"/>
    <w:tmpl w:val="77AC7BA6"/>
    <w:lvl w:ilvl="0">
      <w:start w:val="1"/>
      <w:numFmt w:val="upperLetter"/>
      <w:lvlText w:val="%1."/>
      <w:lvlJc w:val="left"/>
      <w:pPr>
        <w:ind w:left="171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2">
    <w:nsid w:val="743A24CB"/>
    <w:multiLevelType w:val="hybridMultilevel"/>
    <w:tmpl w:val="63924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71E1631"/>
    <w:multiLevelType w:val="hybridMultilevel"/>
    <w:tmpl w:val="24D2DCA2"/>
    <w:lvl w:ilvl="0">
      <w:start w:val="1"/>
      <w:numFmt w:val="lowerLetter"/>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4">
    <w:nsid w:val="7E294E23"/>
    <w:multiLevelType w:val="hybridMultilevel"/>
    <w:tmpl w:val="9DCE52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F86077E"/>
    <w:multiLevelType w:val="hybridMultilevel"/>
    <w:tmpl w:val="57C2147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50830012">
    <w:abstractNumId w:val="13"/>
  </w:num>
  <w:num w:numId="2" w16cid:durableId="325595248">
    <w:abstractNumId w:val="19"/>
  </w:num>
  <w:num w:numId="3" w16cid:durableId="344333369">
    <w:abstractNumId w:val="1"/>
  </w:num>
  <w:num w:numId="4" w16cid:durableId="623316734">
    <w:abstractNumId w:val="8"/>
  </w:num>
  <w:num w:numId="5" w16cid:durableId="1244141595">
    <w:abstractNumId w:val="3"/>
  </w:num>
  <w:num w:numId="6" w16cid:durableId="687104257">
    <w:abstractNumId w:val="25"/>
  </w:num>
  <w:num w:numId="7" w16cid:durableId="1118793045">
    <w:abstractNumId w:val="2"/>
  </w:num>
  <w:num w:numId="8" w16cid:durableId="1270240000">
    <w:abstractNumId w:val="16"/>
  </w:num>
  <w:num w:numId="9" w16cid:durableId="455756443">
    <w:abstractNumId w:val="18"/>
  </w:num>
  <w:num w:numId="10" w16cid:durableId="2037730046">
    <w:abstractNumId w:val="23"/>
  </w:num>
  <w:num w:numId="11" w16cid:durableId="923106641">
    <w:abstractNumId w:val="15"/>
  </w:num>
  <w:num w:numId="12" w16cid:durableId="1300695148">
    <w:abstractNumId w:val="10"/>
  </w:num>
  <w:num w:numId="13" w16cid:durableId="1106340296">
    <w:abstractNumId w:val="5"/>
  </w:num>
  <w:num w:numId="14" w16cid:durableId="414279006">
    <w:abstractNumId w:val="4"/>
  </w:num>
  <w:num w:numId="15" w16cid:durableId="898588749">
    <w:abstractNumId w:val="14"/>
  </w:num>
  <w:num w:numId="16" w16cid:durableId="659772575">
    <w:abstractNumId w:val="20"/>
  </w:num>
  <w:num w:numId="17" w16cid:durableId="550967729">
    <w:abstractNumId w:val="12"/>
  </w:num>
  <w:num w:numId="18" w16cid:durableId="2011712925">
    <w:abstractNumId w:val="9"/>
  </w:num>
  <w:num w:numId="19" w16cid:durableId="1183545672">
    <w:abstractNumId w:val="0"/>
  </w:num>
  <w:num w:numId="20" w16cid:durableId="75522466">
    <w:abstractNumId w:val="21"/>
  </w:num>
  <w:num w:numId="21" w16cid:durableId="1628047768">
    <w:abstractNumId w:val="11"/>
  </w:num>
  <w:num w:numId="22" w16cid:durableId="973293910">
    <w:abstractNumId w:val="6"/>
  </w:num>
  <w:num w:numId="23" w16cid:durableId="211892451">
    <w:abstractNumId w:val="24"/>
  </w:num>
  <w:num w:numId="24" w16cid:durableId="1519467136">
    <w:abstractNumId w:val="17"/>
  </w:num>
  <w:num w:numId="25" w16cid:durableId="1381588027">
    <w:abstractNumId w:val="7"/>
  </w:num>
  <w:num w:numId="26" w16cid:durableId="3772390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36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4A"/>
    <w:rsid w:val="00005C55"/>
    <w:rsid w:val="00010C66"/>
    <w:rsid w:val="00033DE5"/>
    <w:rsid w:val="00035383"/>
    <w:rsid w:val="000443AD"/>
    <w:rsid w:val="00047EC2"/>
    <w:rsid w:val="000539EE"/>
    <w:rsid w:val="0005562C"/>
    <w:rsid w:val="0006267C"/>
    <w:rsid w:val="000716E7"/>
    <w:rsid w:val="00074001"/>
    <w:rsid w:val="000759D4"/>
    <w:rsid w:val="00093C6F"/>
    <w:rsid w:val="00094179"/>
    <w:rsid w:val="000A1775"/>
    <w:rsid w:val="000A4E90"/>
    <w:rsid w:val="000C4B09"/>
    <w:rsid w:val="000E0167"/>
    <w:rsid w:val="000F4D08"/>
    <w:rsid w:val="00103EB3"/>
    <w:rsid w:val="00112B52"/>
    <w:rsid w:val="00116BE7"/>
    <w:rsid w:val="00125439"/>
    <w:rsid w:val="001342F9"/>
    <w:rsid w:val="001378DF"/>
    <w:rsid w:val="00140715"/>
    <w:rsid w:val="00143796"/>
    <w:rsid w:val="00147D59"/>
    <w:rsid w:val="00152183"/>
    <w:rsid w:val="0015588A"/>
    <w:rsid w:val="00187FD2"/>
    <w:rsid w:val="001916B2"/>
    <w:rsid w:val="001A27D4"/>
    <w:rsid w:val="001B6909"/>
    <w:rsid w:val="001C3C1B"/>
    <w:rsid w:val="001D13F6"/>
    <w:rsid w:val="001D2B84"/>
    <w:rsid w:val="001D2D93"/>
    <w:rsid w:val="001D5700"/>
    <w:rsid w:val="001E4F06"/>
    <w:rsid w:val="001E5A81"/>
    <w:rsid w:val="001F0344"/>
    <w:rsid w:val="00211236"/>
    <w:rsid w:val="00226D4E"/>
    <w:rsid w:val="00234C0B"/>
    <w:rsid w:val="00242ED0"/>
    <w:rsid w:val="002520B5"/>
    <w:rsid w:val="00252A99"/>
    <w:rsid w:val="0025343B"/>
    <w:rsid w:val="00255890"/>
    <w:rsid w:val="00257FDA"/>
    <w:rsid w:val="00261E26"/>
    <w:rsid w:val="00271B97"/>
    <w:rsid w:val="00271DD4"/>
    <w:rsid w:val="00280E16"/>
    <w:rsid w:val="0028115A"/>
    <w:rsid w:val="002812B4"/>
    <w:rsid w:val="00283A96"/>
    <w:rsid w:val="002878C2"/>
    <w:rsid w:val="002A3CC4"/>
    <w:rsid w:val="002B1FC8"/>
    <w:rsid w:val="002C2CAC"/>
    <w:rsid w:val="002C30FB"/>
    <w:rsid w:val="002C3120"/>
    <w:rsid w:val="002D112A"/>
    <w:rsid w:val="002D4CC9"/>
    <w:rsid w:val="002E2010"/>
    <w:rsid w:val="002F134C"/>
    <w:rsid w:val="00300945"/>
    <w:rsid w:val="00312A6F"/>
    <w:rsid w:val="00316EF3"/>
    <w:rsid w:val="00323753"/>
    <w:rsid w:val="00323D4C"/>
    <w:rsid w:val="00331204"/>
    <w:rsid w:val="00335313"/>
    <w:rsid w:val="003411C6"/>
    <w:rsid w:val="00345ED9"/>
    <w:rsid w:val="003525BE"/>
    <w:rsid w:val="00373EED"/>
    <w:rsid w:val="00375DBE"/>
    <w:rsid w:val="00377EB6"/>
    <w:rsid w:val="003818E6"/>
    <w:rsid w:val="00387C09"/>
    <w:rsid w:val="00393E99"/>
    <w:rsid w:val="0039583A"/>
    <w:rsid w:val="003972BC"/>
    <w:rsid w:val="003A4670"/>
    <w:rsid w:val="003B51DB"/>
    <w:rsid w:val="003C003C"/>
    <w:rsid w:val="003C0A74"/>
    <w:rsid w:val="003C2695"/>
    <w:rsid w:val="003C6F36"/>
    <w:rsid w:val="003E3986"/>
    <w:rsid w:val="003F096F"/>
    <w:rsid w:val="003F2C9B"/>
    <w:rsid w:val="00400E2B"/>
    <w:rsid w:val="00403331"/>
    <w:rsid w:val="00410F7B"/>
    <w:rsid w:val="00417262"/>
    <w:rsid w:val="004200E5"/>
    <w:rsid w:val="0044231D"/>
    <w:rsid w:val="00450496"/>
    <w:rsid w:val="0045283B"/>
    <w:rsid w:val="004551B0"/>
    <w:rsid w:val="00461216"/>
    <w:rsid w:val="00487321"/>
    <w:rsid w:val="004965CD"/>
    <w:rsid w:val="004A5641"/>
    <w:rsid w:val="004B038A"/>
    <w:rsid w:val="004B427E"/>
    <w:rsid w:val="004C0759"/>
    <w:rsid w:val="004C4D0F"/>
    <w:rsid w:val="004D0144"/>
    <w:rsid w:val="004E2433"/>
    <w:rsid w:val="004F399A"/>
    <w:rsid w:val="005055A3"/>
    <w:rsid w:val="005071B4"/>
    <w:rsid w:val="00512A52"/>
    <w:rsid w:val="005148A1"/>
    <w:rsid w:val="0052402A"/>
    <w:rsid w:val="0053505D"/>
    <w:rsid w:val="005470A9"/>
    <w:rsid w:val="005531EF"/>
    <w:rsid w:val="0056431E"/>
    <w:rsid w:val="005653B7"/>
    <w:rsid w:val="005709FF"/>
    <w:rsid w:val="00571FAE"/>
    <w:rsid w:val="0058221A"/>
    <w:rsid w:val="0058490C"/>
    <w:rsid w:val="00585A22"/>
    <w:rsid w:val="005A2B93"/>
    <w:rsid w:val="005B3193"/>
    <w:rsid w:val="005B3F2E"/>
    <w:rsid w:val="005B5ABC"/>
    <w:rsid w:val="005D3212"/>
    <w:rsid w:val="005D36DD"/>
    <w:rsid w:val="005E009F"/>
    <w:rsid w:val="005E2D82"/>
    <w:rsid w:val="005F3CAB"/>
    <w:rsid w:val="00603F0C"/>
    <w:rsid w:val="00606B2F"/>
    <w:rsid w:val="0061245A"/>
    <w:rsid w:val="006140A0"/>
    <w:rsid w:val="00616167"/>
    <w:rsid w:val="00616316"/>
    <w:rsid w:val="00625AF0"/>
    <w:rsid w:val="00632964"/>
    <w:rsid w:val="0063444A"/>
    <w:rsid w:val="0064065E"/>
    <w:rsid w:val="00642EE1"/>
    <w:rsid w:val="0064321F"/>
    <w:rsid w:val="0064552B"/>
    <w:rsid w:val="00651A13"/>
    <w:rsid w:val="00653025"/>
    <w:rsid w:val="00653946"/>
    <w:rsid w:val="006648BE"/>
    <w:rsid w:val="00685A26"/>
    <w:rsid w:val="00685E4C"/>
    <w:rsid w:val="006A0C1C"/>
    <w:rsid w:val="006B4CED"/>
    <w:rsid w:val="006C25E0"/>
    <w:rsid w:val="006C6E19"/>
    <w:rsid w:val="006C7ED2"/>
    <w:rsid w:val="006D0527"/>
    <w:rsid w:val="006D725F"/>
    <w:rsid w:val="006E548F"/>
    <w:rsid w:val="006F5E8F"/>
    <w:rsid w:val="006F7949"/>
    <w:rsid w:val="007075B8"/>
    <w:rsid w:val="00714A9A"/>
    <w:rsid w:val="00715EE1"/>
    <w:rsid w:val="007163CD"/>
    <w:rsid w:val="00722EE4"/>
    <w:rsid w:val="007410E4"/>
    <w:rsid w:val="00743DFF"/>
    <w:rsid w:val="00745BEC"/>
    <w:rsid w:val="0074766D"/>
    <w:rsid w:val="00751829"/>
    <w:rsid w:val="007615CA"/>
    <w:rsid w:val="0076195C"/>
    <w:rsid w:val="00762756"/>
    <w:rsid w:val="00765BFE"/>
    <w:rsid w:val="00766DBD"/>
    <w:rsid w:val="007701FD"/>
    <w:rsid w:val="0079132B"/>
    <w:rsid w:val="007937D2"/>
    <w:rsid w:val="007954B9"/>
    <w:rsid w:val="007A047D"/>
    <w:rsid w:val="007A385D"/>
    <w:rsid w:val="007B3199"/>
    <w:rsid w:val="007B3839"/>
    <w:rsid w:val="007C0C1D"/>
    <w:rsid w:val="007C5F40"/>
    <w:rsid w:val="007D0BC4"/>
    <w:rsid w:val="007F416C"/>
    <w:rsid w:val="007F5D9F"/>
    <w:rsid w:val="007F70AC"/>
    <w:rsid w:val="00801613"/>
    <w:rsid w:val="00805448"/>
    <w:rsid w:val="00835980"/>
    <w:rsid w:val="00836130"/>
    <w:rsid w:val="008377FC"/>
    <w:rsid w:val="00840D40"/>
    <w:rsid w:val="00844D85"/>
    <w:rsid w:val="00844F2C"/>
    <w:rsid w:val="008568FE"/>
    <w:rsid w:val="008662C5"/>
    <w:rsid w:val="00871C53"/>
    <w:rsid w:val="00880074"/>
    <w:rsid w:val="00881372"/>
    <w:rsid w:val="0089398B"/>
    <w:rsid w:val="008B22FD"/>
    <w:rsid w:val="008D39F6"/>
    <w:rsid w:val="008D3D80"/>
    <w:rsid w:val="008D6E6C"/>
    <w:rsid w:val="008E41A1"/>
    <w:rsid w:val="008E52AF"/>
    <w:rsid w:val="008E5B72"/>
    <w:rsid w:val="008F6C37"/>
    <w:rsid w:val="008F7D7B"/>
    <w:rsid w:val="00904FF2"/>
    <w:rsid w:val="00915193"/>
    <w:rsid w:val="009222A3"/>
    <w:rsid w:val="009335CC"/>
    <w:rsid w:val="00936232"/>
    <w:rsid w:val="00937D1F"/>
    <w:rsid w:val="00940035"/>
    <w:rsid w:val="009431B7"/>
    <w:rsid w:val="0099522C"/>
    <w:rsid w:val="009C654C"/>
    <w:rsid w:val="009D2E59"/>
    <w:rsid w:val="009D5621"/>
    <w:rsid w:val="009E3FCF"/>
    <w:rsid w:val="009E476C"/>
    <w:rsid w:val="009F0ED4"/>
    <w:rsid w:val="009F4023"/>
    <w:rsid w:val="009F623F"/>
    <w:rsid w:val="00A139D6"/>
    <w:rsid w:val="00A14908"/>
    <w:rsid w:val="00A165F0"/>
    <w:rsid w:val="00A16793"/>
    <w:rsid w:val="00A239FA"/>
    <w:rsid w:val="00A24004"/>
    <w:rsid w:val="00A33279"/>
    <w:rsid w:val="00A4450B"/>
    <w:rsid w:val="00A55FA6"/>
    <w:rsid w:val="00A63AD7"/>
    <w:rsid w:val="00A7130C"/>
    <w:rsid w:val="00A90323"/>
    <w:rsid w:val="00A97A1E"/>
    <w:rsid w:val="00AA0F21"/>
    <w:rsid w:val="00AA1369"/>
    <w:rsid w:val="00AA2841"/>
    <w:rsid w:val="00AB3C41"/>
    <w:rsid w:val="00AB55D7"/>
    <w:rsid w:val="00AB6FF0"/>
    <w:rsid w:val="00AD4C8A"/>
    <w:rsid w:val="00AD5273"/>
    <w:rsid w:val="00B00C6F"/>
    <w:rsid w:val="00B042D9"/>
    <w:rsid w:val="00B05D02"/>
    <w:rsid w:val="00B3041E"/>
    <w:rsid w:val="00B3050C"/>
    <w:rsid w:val="00B3454A"/>
    <w:rsid w:val="00B357C5"/>
    <w:rsid w:val="00B445B4"/>
    <w:rsid w:val="00B45AE0"/>
    <w:rsid w:val="00B53FE5"/>
    <w:rsid w:val="00B6011A"/>
    <w:rsid w:val="00B653CF"/>
    <w:rsid w:val="00B85EE8"/>
    <w:rsid w:val="00BA4983"/>
    <w:rsid w:val="00BE6DB3"/>
    <w:rsid w:val="00BF2CE8"/>
    <w:rsid w:val="00BF4346"/>
    <w:rsid w:val="00C17B22"/>
    <w:rsid w:val="00C2037B"/>
    <w:rsid w:val="00C3232D"/>
    <w:rsid w:val="00C33668"/>
    <w:rsid w:val="00C35EC9"/>
    <w:rsid w:val="00C46EB5"/>
    <w:rsid w:val="00C52920"/>
    <w:rsid w:val="00C532B9"/>
    <w:rsid w:val="00C56FAE"/>
    <w:rsid w:val="00C60D33"/>
    <w:rsid w:val="00C632AC"/>
    <w:rsid w:val="00C70BEA"/>
    <w:rsid w:val="00C80B6C"/>
    <w:rsid w:val="00C80D8A"/>
    <w:rsid w:val="00C9124B"/>
    <w:rsid w:val="00C9454A"/>
    <w:rsid w:val="00C950C6"/>
    <w:rsid w:val="00CA151E"/>
    <w:rsid w:val="00CA1C43"/>
    <w:rsid w:val="00CA4AF8"/>
    <w:rsid w:val="00CD3762"/>
    <w:rsid w:val="00CD67F3"/>
    <w:rsid w:val="00CE2E2D"/>
    <w:rsid w:val="00CF0A5D"/>
    <w:rsid w:val="00CF186E"/>
    <w:rsid w:val="00CF7ECD"/>
    <w:rsid w:val="00D113D8"/>
    <w:rsid w:val="00D3218B"/>
    <w:rsid w:val="00D4757A"/>
    <w:rsid w:val="00D55DD6"/>
    <w:rsid w:val="00D64BE4"/>
    <w:rsid w:val="00D71BC8"/>
    <w:rsid w:val="00D75992"/>
    <w:rsid w:val="00D85D5D"/>
    <w:rsid w:val="00D90DA1"/>
    <w:rsid w:val="00D91D2E"/>
    <w:rsid w:val="00D9216C"/>
    <w:rsid w:val="00DB65EC"/>
    <w:rsid w:val="00DB666B"/>
    <w:rsid w:val="00DD398A"/>
    <w:rsid w:val="00DD6743"/>
    <w:rsid w:val="00DE32A7"/>
    <w:rsid w:val="00DE586B"/>
    <w:rsid w:val="00DF4AF7"/>
    <w:rsid w:val="00E01570"/>
    <w:rsid w:val="00E26C54"/>
    <w:rsid w:val="00E30AA7"/>
    <w:rsid w:val="00E30F8B"/>
    <w:rsid w:val="00E32862"/>
    <w:rsid w:val="00E32DC7"/>
    <w:rsid w:val="00E36EE1"/>
    <w:rsid w:val="00E41CD8"/>
    <w:rsid w:val="00E47FE4"/>
    <w:rsid w:val="00E56CC0"/>
    <w:rsid w:val="00E7490E"/>
    <w:rsid w:val="00E83DFC"/>
    <w:rsid w:val="00E8402E"/>
    <w:rsid w:val="00E846A8"/>
    <w:rsid w:val="00E84704"/>
    <w:rsid w:val="00E95F82"/>
    <w:rsid w:val="00EA2EB1"/>
    <w:rsid w:val="00EA4062"/>
    <w:rsid w:val="00EB0656"/>
    <w:rsid w:val="00EB464F"/>
    <w:rsid w:val="00EC057D"/>
    <w:rsid w:val="00EC4ABF"/>
    <w:rsid w:val="00ED7C1F"/>
    <w:rsid w:val="00EF3753"/>
    <w:rsid w:val="00EF4752"/>
    <w:rsid w:val="00EF7BC9"/>
    <w:rsid w:val="00F0185B"/>
    <w:rsid w:val="00F05C0E"/>
    <w:rsid w:val="00F072C2"/>
    <w:rsid w:val="00F1063E"/>
    <w:rsid w:val="00F211FB"/>
    <w:rsid w:val="00F30517"/>
    <w:rsid w:val="00F53ED3"/>
    <w:rsid w:val="00FA3843"/>
    <w:rsid w:val="00FA3EB0"/>
    <w:rsid w:val="00FA6A75"/>
    <w:rsid w:val="00FA7CED"/>
    <w:rsid w:val="00FB15B2"/>
    <w:rsid w:val="00FB3742"/>
    <w:rsid w:val="00FD43C7"/>
    <w:rsid w:val="00FD4E1C"/>
    <w:rsid w:val="00FE69A5"/>
    <w:rsid w:val="00FE7F90"/>
    <w:rsid w:val="00FF2E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1DC6D0"/>
  <w15:docId w15:val="{26B4CD35-F104-4F32-966C-353FE7F7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5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B3454A"/>
  </w:style>
  <w:style w:type="paragraph" w:customStyle="1" w:styleId="p3">
    <w:name w:val="p3"/>
    <w:basedOn w:val="Normal"/>
    <w:rsid w:val="00B3454A"/>
    <w:pPr>
      <w:tabs>
        <w:tab w:val="left" w:pos="583"/>
      </w:tabs>
      <w:ind w:left="857" w:hanging="583"/>
    </w:pPr>
  </w:style>
  <w:style w:type="paragraph" w:customStyle="1" w:styleId="p4">
    <w:name w:val="p4"/>
    <w:basedOn w:val="Normal"/>
    <w:rsid w:val="00B3454A"/>
    <w:pPr>
      <w:tabs>
        <w:tab w:val="left" w:pos="674"/>
      </w:tabs>
    </w:pPr>
  </w:style>
  <w:style w:type="paragraph" w:customStyle="1" w:styleId="p5">
    <w:name w:val="p5"/>
    <w:basedOn w:val="Normal"/>
    <w:rsid w:val="00B3454A"/>
    <w:pPr>
      <w:tabs>
        <w:tab w:val="left" w:pos="765"/>
        <w:tab w:val="left" w:pos="1491"/>
      </w:tabs>
      <w:ind w:left="1491" w:hanging="726"/>
    </w:pPr>
  </w:style>
  <w:style w:type="paragraph" w:customStyle="1" w:styleId="t7">
    <w:name w:val="t7"/>
    <w:basedOn w:val="Normal"/>
    <w:rsid w:val="00B3454A"/>
  </w:style>
  <w:style w:type="paragraph" w:customStyle="1" w:styleId="p8">
    <w:name w:val="p8"/>
    <w:basedOn w:val="Normal"/>
    <w:rsid w:val="00B3454A"/>
    <w:pPr>
      <w:tabs>
        <w:tab w:val="left" w:pos="204"/>
      </w:tabs>
    </w:pPr>
  </w:style>
  <w:style w:type="paragraph" w:customStyle="1" w:styleId="p10">
    <w:name w:val="p10"/>
    <w:basedOn w:val="Normal"/>
    <w:rsid w:val="00B3454A"/>
    <w:pPr>
      <w:tabs>
        <w:tab w:val="left" w:pos="765"/>
      </w:tabs>
    </w:pPr>
  </w:style>
  <w:style w:type="paragraph" w:customStyle="1" w:styleId="p11">
    <w:name w:val="p11"/>
    <w:basedOn w:val="Normal"/>
    <w:rsid w:val="00B3454A"/>
    <w:pPr>
      <w:tabs>
        <w:tab w:val="left" w:pos="623"/>
      </w:tabs>
      <w:ind w:left="817" w:hanging="623"/>
    </w:pPr>
  </w:style>
  <w:style w:type="paragraph" w:customStyle="1" w:styleId="p12">
    <w:name w:val="p12"/>
    <w:basedOn w:val="Normal"/>
    <w:rsid w:val="00B3454A"/>
    <w:pPr>
      <w:tabs>
        <w:tab w:val="left" w:pos="674"/>
      </w:tabs>
      <w:ind w:left="766"/>
    </w:pPr>
  </w:style>
  <w:style w:type="paragraph" w:customStyle="1" w:styleId="c13">
    <w:name w:val="c13"/>
    <w:basedOn w:val="Normal"/>
    <w:rsid w:val="00B3454A"/>
    <w:pPr>
      <w:jc w:val="center"/>
    </w:pPr>
  </w:style>
  <w:style w:type="paragraph" w:styleId="Footer">
    <w:name w:val="footer"/>
    <w:basedOn w:val="Normal"/>
    <w:link w:val="FooterChar"/>
    <w:uiPriority w:val="99"/>
    <w:rsid w:val="00B3454A"/>
    <w:pPr>
      <w:tabs>
        <w:tab w:val="center" w:pos="4320"/>
        <w:tab w:val="right" w:pos="8640"/>
      </w:tabs>
    </w:pPr>
  </w:style>
  <w:style w:type="character" w:customStyle="1" w:styleId="FooterChar">
    <w:name w:val="Footer Char"/>
    <w:basedOn w:val="DefaultParagraphFont"/>
    <w:link w:val="Footer"/>
    <w:uiPriority w:val="99"/>
    <w:rsid w:val="00B3454A"/>
    <w:rPr>
      <w:rFonts w:ascii="Times New Roman" w:eastAsia="Times New Roman" w:hAnsi="Times New Roman" w:cs="Times New Roman"/>
      <w:sz w:val="24"/>
      <w:szCs w:val="24"/>
    </w:rPr>
  </w:style>
  <w:style w:type="character" w:styleId="PageNumber">
    <w:name w:val="page number"/>
    <w:basedOn w:val="DefaultParagraphFont"/>
    <w:rsid w:val="00B3454A"/>
  </w:style>
  <w:style w:type="character" w:styleId="Hyperlink">
    <w:name w:val="Hyperlink"/>
    <w:uiPriority w:val="99"/>
    <w:rsid w:val="00B3454A"/>
    <w:rPr>
      <w:color w:val="0000FF"/>
      <w:u w:val="single"/>
    </w:rPr>
  </w:style>
  <w:style w:type="paragraph" w:customStyle="1" w:styleId="DFARS">
    <w:name w:val="DFARS"/>
    <w:basedOn w:val="Normal"/>
    <w:rsid w:val="00B3454A"/>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paragraph" w:styleId="FootnoteText">
    <w:name w:val="footnote text"/>
    <w:basedOn w:val="Normal"/>
    <w:link w:val="FootnoteTextChar"/>
    <w:rsid w:val="00B3454A"/>
    <w:rPr>
      <w:sz w:val="20"/>
      <w:szCs w:val="20"/>
    </w:rPr>
  </w:style>
  <w:style w:type="character" w:customStyle="1" w:styleId="FootnoteTextChar">
    <w:name w:val="Footnote Text Char"/>
    <w:basedOn w:val="DefaultParagraphFont"/>
    <w:link w:val="FootnoteText"/>
    <w:rsid w:val="00B3454A"/>
    <w:rPr>
      <w:rFonts w:ascii="Times New Roman" w:eastAsia="Times New Roman" w:hAnsi="Times New Roman" w:cs="Times New Roman"/>
      <w:sz w:val="20"/>
      <w:szCs w:val="20"/>
    </w:rPr>
  </w:style>
  <w:style w:type="character" w:styleId="FootnoteReference">
    <w:name w:val="footnote reference"/>
    <w:rsid w:val="00B3454A"/>
    <w:rPr>
      <w:vertAlign w:val="superscript"/>
    </w:rPr>
  </w:style>
  <w:style w:type="paragraph" w:customStyle="1" w:styleId="c2">
    <w:name w:val="c2"/>
    <w:basedOn w:val="Normal"/>
    <w:rsid w:val="00EF7BC9"/>
    <w:pPr>
      <w:jc w:val="center"/>
    </w:pPr>
  </w:style>
  <w:style w:type="paragraph" w:styleId="Header">
    <w:name w:val="header"/>
    <w:basedOn w:val="Normal"/>
    <w:link w:val="HeaderChar"/>
    <w:uiPriority w:val="99"/>
    <w:unhideWhenUsed/>
    <w:rsid w:val="003411C6"/>
    <w:pPr>
      <w:tabs>
        <w:tab w:val="center" w:pos="4680"/>
        <w:tab w:val="right" w:pos="9360"/>
      </w:tabs>
    </w:pPr>
  </w:style>
  <w:style w:type="character" w:customStyle="1" w:styleId="HeaderChar">
    <w:name w:val="Header Char"/>
    <w:basedOn w:val="DefaultParagraphFont"/>
    <w:link w:val="Header"/>
    <w:uiPriority w:val="99"/>
    <w:rsid w:val="003411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4983"/>
    <w:rPr>
      <w:rFonts w:ascii="Tahoma" w:hAnsi="Tahoma" w:cs="Tahoma"/>
      <w:sz w:val="16"/>
      <w:szCs w:val="16"/>
    </w:rPr>
  </w:style>
  <w:style w:type="character" w:customStyle="1" w:styleId="BalloonTextChar">
    <w:name w:val="Balloon Text Char"/>
    <w:basedOn w:val="DefaultParagraphFont"/>
    <w:link w:val="BalloonText"/>
    <w:uiPriority w:val="99"/>
    <w:semiHidden/>
    <w:rsid w:val="00BA4983"/>
    <w:rPr>
      <w:rFonts w:ascii="Tahoma" w:eastAsia="Times New Roman" w:hAnsi="Tahoma" w:cs="Tahoma"/>
      <w:sz w:val="16"/>
      <w:szCs w:val="16"/>
    </w:rPr>
  </w:style>
  <w:style w:type="paragraph" w:styleId="NormalWeb">
    <w:name w:val="Normal (Web)"/>
    <w:basedOn w:val="Normal"/>
    <w:unhideWhenUsed/>
    <w:rsid w:val="005709FF"/>
    <w:pPr>
      <w:widowControl/>
      <w:autoSpaceDE/>
      <w:autoSpaceDN/>
      <w:adjustRightInd/>
      <w:spacing w:before="100" w:beforeAutospacing="1" w:after="100" w:afterAutospacing="1"/>
    </w:pPr>
  </w:style>
  <w:style w:type="paragraph" w:styleId="HTMLPreformatted">
    <w:name w:val="HTML Preformatted"/>
    <w:basedOn w:val="Normal"/>
    <w:link w:val="HTMLPreformattedChar"/>
    <w:uiPriority w:val="99"/>
    <w:semiHidden/>
    <w:unhideWhenUsed/>
    <w:rsid w:val="005709F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709FF"/>
    <w:rPr>
      <w:rFonts w:ascii="Consolas" w:eastAsia="Times New Roman" w:hAnsi="Consolas" w:cs="Consolas"/>
      <w:sz w:val="20"/>
      <w:szCs w:val="20"/>
    </w:rPr>
  </w:style>
  <w:style w:type="paragraph" w:styleId="PlainText">
    <w:name w:val="Plain Text"/>
    <w:basedOn w:val="Normal"/>
    <w:link w:val="PlainTextChar"/>
    <w:uiPriority w:val="99"/>
    <w:unhideWhenUsed/>
    <w:rsid w:val="00A24004"/>
    <w:pPr>
      <w:widowControl/>
      <w:autoSpaceDE/>
      <w:autoSpaceDN/>
      <w:adjustRightInd/>
    </w:pPr>
    <w:rPr>
      <w:rFonts w:ascii="Calibri" w:hAnsi="Calibri"/>
      <w:sz w:val="28"/>
      <w:szCs w:val="21"/>
    </w:rPr>
  </w:style>
  <w:style w:type="character" w:customStyle="1" w:styleId="PlainTextChar">
    <w:name w:val="Plain Text Char"/>
    <w:basedOn w:val="DefaultParagraphFont"/>
    <w:link w:val="PlainText"/>
    <w:uiPriority w:val="99"/>
    <w:rsid w:val="00A24004"/>
    <w:rPr>
      <w:rFonts w:ascii="Calibri" w:eastAsia="Times New Roman" w:hAnsi="Calibri" w:cs="Times New Roman"/>
      <w:sz w:val="28"/>
      <w:szCs w:val="21"/>
    </w:rPr>
  </w:style>
  <w:style w:type="paragraph" w:styleId="ListParagraph">
    <w:name w:val="List Paragraph"/>
    <w:basedOn w:val="Normal"/>
    <w:uiPriority w:val="34"/>
    <w:qFormat/>
    <w:rsid w:val="00D64BE4"/>
    <w:pPr>
      <w:ind w:left="720"/>
      <w:contextualSpacing/>
    </w:pPr>
  </w:style>
  <w:style w:type="character" w:styleId="FollowedHyperlink">
    <w:name w:val="FollowedHyperlink"/>
    <w:basedOn w:val="DefaultParagraphFont"/>
    <w:uiPriority w:val="99"/>
    <w:semiHidden/>
    <w:unhideWhenUsed/>
    <w:rsid w:val="00603F0C"/>
    <w:rPr>
      <w:color w:val="800080" w:themeColor="followedHyperlink"/>
      <w:u w:val="single"/>
    </w:rPr>
  </w:style>
  <w:style w:type="character" w:customStyle="1" w:styleId="UnresolvedMention1">
    <w:name w:val="Unresolved Mention1"/>
    <w:basedOn w:val="DefaultParagraphFont"/>
    <w:uiPriority w:val="99"/>
    <w:semiHidden/>
    <w:unhideWhenUsed/>
    <w:rsid w:val="00A139D6"/>
    <w:rPr>
      <w:color w:val="605E5C"/>
      <w:shd w:val="clear" w:color="auto" w:fill="E1DFDD"/>
    </w:rPr>
  </w:style>
  <w:style w:type="character" w:styleId="UnresolvedMention">
    <w:name w:val="Unresolved Mention"/>
    <w:basedOn w:val="DefaultParagraphFont"/>
    <w:uiPriority w:val="99"/>
    <w:semiHidden/>
    <w:unhideWhenUsed/>
    <w:rsid w:val="00033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ovinfo.gov/content/pkg/FR-2023-03-30/pdf/2023-06532.pdf" TargetMode="External" /><Relationship Id="rId7" Type="http://schemas.openxmlformats.org/officeDocument/2006/relationships/hyperlink" Target="https://www.govinfo.gov/content/pkg/FR-2023-06-23/pdf/2023-13402.pdf" TargetMode="Externa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www.op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8ABE7-4552-4E9F-BB31-D715C3B8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Johnson, Jennifer D CIV OSD OUSD A-S (USA)</cp:lastModifiedBy>
  <cp:revision>2</cp:revision>
  <cp:lastPrinted>2017-03-28T14:16:00Z</cp:lastPrinted>
  <dcterms:created xsi:type="dcterms:W3CDTF">2023-06-23T13:05:00Z</dcterms:created>
  <dcterms:modified xsi:type="dcterms:W3CDTF">2023-06-23T13:05:00Z</dcterms:modified>
</cp:coreProperties>
</file>