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65A" w:rsidP="00357C8A" w14:paraId="2F34A257" w14:textId="77777777">
      <w:pPr>
        <w:jc w:val="center"/>
      </w:pPr>
    </w:p>
    <w:p w:rsidR="00357C8A" w:rsidP="00357C8A" w14:paraId="11225E42" w14:textId="4B41615F">
      <w:pPr>
        <w:jc w:val="center"/>
        <w:rPr>
          <w:rFonts w:eastAsia="Calibri"/>
        </w:rPr>
      </w:pPr>
      <w:r>
        <w:rPr>
          <w:rFonts w:eastAsia="Calibri"/>
        </w:rPr>
        <w:t>UNITED STATES FOOD &amp; DRUG ADMINISTRATION</w:t>
      </w:r>
    </w:p>
    <w:p w:rsidR="00677059" w:rsidP="00357C8A" w14:paraId="2641572B" w14:textId="77777777">
      <w:pPr>
        <w:jc w:val="center"/>
        <w:rPr>
          <w:rFonts w:eastAsia="Calibri"/>
        </w:rPr>
      </w:pPr>
    </w:p>
    <w:p w:rsidR="0064183F" w:rsidP="00357C8A" w14:paraId="6E86CA6A" w14:textId="77777777">
      <w:pPr>
        <w:jc w:val="center"/>
        <w:rPr>
          <w:rFonts w:eastAsia="Calibri"/>
        </w:rPr>
      </w:pPr>
      <w:r w:rsidRPr="0064183F">
        <w:rPr>
          <w:rFonts w:eastAsia="Calibri"/>
        </w:rPr>
        <w:t>Voluntary National Retail Food Regulatory Program Standards</w:t>
      </w:r>
    </w:p>
    <w:p w:rsidR="00357C8A" w:rsidP="00357C8A" w14:paraId="44102670" w14:textId="77777777">
      <w:pPr>
        <w:jc w:val="center"/>
        <w:rPr>
          <w:rFonts w:eastAsia="Calibri"/>
        </w:rPr>
      </w:pPr>
    </w:p>
    <w:p w:rsidR="00357C8A" w:rsidRPr="00677059" w:rsidP="00357C8A" w14:paraId="3A9F801D" w14:textId="3F19BE54">
      <w:pPr>
        <w:jc w:val="center"/>
        <w:rPr>
          <w:rFonts w:eastAsia="Calibri"/>
          <w:u w:val="single"/>
        </w:rPr>
      </w:pPr>
      <w:r w:rsidRPr="00677059">
        <w:rPr>
          <w:rFonts w:eastAsia="Calibri"/>
          <w:u w:val="single"/>
        </w:rPr>
        <w:t>OMB Control No. 0910-</w:t>
      </w:r>
      <w:r w:rsidRPr="00677059" w:rsidR="0064183F">
        <w:rPr>
          <w:rFonts w:eastAsia="Calibri"/>
          <w:u w:val="single"/>
        </w:rPr>
        <w:t>0621</w:t>
      </w:r>
      <w:r w:rsidR="00677059">
        <w:rPr>
          <w:rFonts w:eastAsia="Calibri"/>
          <w:u w:val="single"/>
        </w:rPr>
        <w:t xml:space="preserve"> - Revision</w:t>
      </w:r>
    </w:p>
    <w:p w:rsidR="00357C8A" w:rsidP="00357C8A" w14:paraId="1402A1D1" w14:textId="77777777">
      <w:pPr>
        <w:jc w:val="center"/>
        <w:rPr>
          <w:rFonts w:eastAsia="Calibri"/>
        </w:rPr>
      </w:pPr>
    </w:p>
    <w:p w:rsidR="00357C8A" w:rsidP="000D79CC" w14:paraId="01D47AAB" w14:textId="350CD18F">
      <w:pPr>
        <w:rPr>
          <w:rFonts w:eastAsia="Calibri"/>
        </w:rPr>
      </w:pPr>
      <w:r w:rsidRPr="00357C8A">
        <w:rPr>
          <w:rFonts w:eastAsia="Calibri"/>
        </w:rPr>
        <w:t>SUPPORTING STATEMENT</w:t>
      </w:r>
      <w:r w:rsidR="00677059">
        <w:rPr>
          <w:rFonts w:eastAsia="Calibri"/>
        </w:rPr>
        <w:t xml:space="preserve">  </w:t>
      </w:r>
      <w:r w:rsidRPr="00357C8A">
        <w:rPr>
          <w:rFonts w:eastAsia="Calibri"/>
          <w:b/>
        </w:rPr>
        <w:t>Part A:  Justification</w:t>
      </w:r>
      <w:r w:rsidRPr="00357C8A">
        <w:rPr>
          <w:rFonts w:eastAsia="Calibri"/>
        </w:rPr>
        <w:t>:</w:t>
      </w:r>
    </w:p>
    <w:p w:rsidR="000D79CC" w:rsidRPr="00357C8A" w:rsidP="000D79CC" w14:paraId="4F72A286" w14:textId="77777777">
      <w:pPr>
        <w:rPr>
          <w:rFonts w:eastAsia="Calibri"/>
        </w:rPr>
      </w:pPr>
    </w:p>
    <w:p w:rsidR="00357C8A" w:rsidRPr="00357C8A" w:rsidP="006705EA" w14:paraId="7BD1D58E"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EF120D" w:rsidP="0064183F" w14:paraId="256854B7" w14:textId="4D782CE0">
      <w:pPr>
        <w:rPr>
          <w:rFonts w:eastAsia="Calibri"/>
        </w:rPr>
      </w:pPr>
      <w:bookmarkStart w:id="0" w:name="_Hlk136441412"/>
      <w:r w:rsidRPr="00EF120D">
        <w:rPr>
          <w:rFonts w:eastAsia="Calibri"/>
        </w:rPr>
        <w:t>This information collection helps support implementation of FDA’s Voluntary National Retail Food Regulatory Program Standards (the Retail Program Standards).  Regulatory Program Standards play a critical role in an integrated food safety system and serve as the foundation for mutual reliance between FDA and other regulatory agencies that work to ensure food safety.  The Retail Program Standards define what constitutes a highly effective and responsive program for the regulation of foodservice and retail food establishments.  The Retail Program Standards are intended to provide a foundation upon which continuous improvements can be made with the ultimate goal to reduce the occurrence of factors that cause and contribute to foodborne illness.  In support of this goal, FDA works cooperatively with our State, local, territorial, and tribal partners using a risk-based approach to leverage limited resources.  We engage in education and outreach efforts to facilitate collaboration with our partners in food safety.  The Retail Program Standards represent an important component of a comprehensive strategic approach to help ensure the safety and security of the food supply at the retail level.  Authority for providing such assistance is derived from section 311 of the Public Health Service Act (42 U.S.C. 243).  In addition, FDA’s mission under section 1003(b)(2)(A) of the Federal Food, Drug, and Cosmetic Act (the FD&amp;C Act) (21 U.S.C. 393(b)(2)(A)) includes ensuring that foods are safe, wholesome, and sanitary, and section 1003(b)(4) of the FD&amp;C Act directs FDA to cooperate with food retailers, among others, in carrying out this part of its mission.</w:t>
      </w:r>
    </w:p>
    <w:p w:rsidR="00EF120D" w:rsidP="0064183F" w14:paraId="59EC3B8D" w14:textId="77777777">
      <w:pPr>
        <w:rPr>
          <w:rFonts w:eastAsia="Calibri"/>
        </w:rPr>
      </w:pPr>
    </w:p>
    <w:p w:rsidR="00CF2DA0" w:rsidP="0064183F" w14:paraId="2F1671ED" w14:textId="406FE176">
      <w:pPr>
        <w:rPr>
          <w:rFonts w:eastAsia="Calibri"/>
        </w:rPr>
      </w:pPr>
      <w:r w:rsidRPr="00CF2DA0">
        <w:rPr>
          <w:rFonts w:eastAsia="Calibri"/>
        </w:rPr>
        <w:t xml:space="preserve">The Retail Program Standards were revised most recently in August 2022 and include the following elements:  (1) regulatory foundation; (2) trained regulatory staff; (3) inspection program based on Hazard Analysis and Critical Control Point (HACCP) principles; (4) uniform inspection program, (5) foodborne illness and food defense preparedness and response; (6) compliance and enforcement; (7) industry and community relations; (8) program support and resources; and (9) program assessment.  These elements are enumerated and discussed on our website at </w:t>
      </w:r>
      <w:hyperlink r:id="rId4" w:history="1">
        <w:r w:rsidRPr="007A3889">
          <w:rPr>
            <w:rStyle w:val="Hyperlink"/>
            <w:rFonts w:eastAsia="Calibri"/>
          </w:rPr>
          <w:t>https://www.fda.gov/food/voluntary-national-retail-food-regulatory-program-standards/voluntary-national-retail-food-regulatory-program-standards-august-2022</w:t>
        </w:r>
      </w:hyperlink>
      <w:r w:rsidRPr="00CF2DA0">
        <w:rPr>
          <w:rFonts w:eastAsia="Calibri"/>
        </w:rPr>
        <w:t xml:space="preserve"> along with worksheets and assessments that allow FDA to determine conformance with the Retail Program Standards.  State, local, territorial, tribal, and Federal regulatory agencies that participate in the voluntary program are required to report information demonstrating that a program self-assessment, a risk factor study of the regulated industry, and an independent outside audit (verification audit) have been completed.  The information also includes Form FDA 3958, “</w:t>
      </w:r>
      <w:r w:rsidRPr="005F43F1">
        <w:rPr>
          <w:rFonts w:eastAsia="Calibri"/>
          <w:i/>
          <w:iCs/>
        </w:rPr>
        <w:t>Voluntary National Retail Food Regulatory Program Standards FDA National Registry Report</w:t>
      </w:r>
      <w:r w:rsidRPr="00CF2DA0">
        <w:rPr>
          <w:rFonts w:eastAsia="Calibri"/>
        </w:rPr>
        <w:t xml:space="preserve">,” which may be completed electronically at </w:t>
      </w:r>
      <w:hyperlink r:id="rId4" w:history="1">
        <w:r w:rsidRPr="007A3889">
          <w:rPr>
            <w:rStyle w:val="Hyperlink"/>
            <w:rFonts w:eastAsia="Calibri"/>
          </w:rPr>
          <w:t>https://www.fda.gov/food/voluntary-national-retail-food-regulatory-program-standards/voluntary-national-retail-food-regulatory-program-standards-august-2022</w:t>
        </w:r>
      </w:hyperlink>
      <w:r w:rsidRPr="00CF2DA0">
        <w:rPr>
          <w:rFonts w:eastAsia="Calibri"/>
        </w:rPr>
        <w:t>.</w:t>
      </w:r>
      <w:r w:rsidRPr="0009093D" w:rsidR="0009093D">
        <w:t xml:space="preserve"> </w:t>
      </w:r>
    </w:p>
    <w:p w:rsidR="00CF2DA0" w:rsidP="0064183F" w14:paraId="350BFA39" w14:textId="77777777">
      <w:pPr>
        <w:rPr>
          <w:rFonts w:eastAsia="Calibri"/>
        </w:rPr>
      </w:pPr>
    </w:p>
    <w:p w:rsidR="000676A2" w:rsidP="0064183F" w14:paraId="60B25BC1" w14:textId="77777777">
      <w:pPr>
        <w:rPr>
          <w:rFonts w:eastAsia="Calibri"/>
        </w:rPr>
      </w:pPr>
    </w:p>
    <w:p w:rsidR="000676A2" w:rsidRPr="000676A2" w:rsidP="000676A2" w14:paraId="3576E643" w14:textId="64D69C7B">
      <w:pPr>
        <w:rPr>
          <w:rFonts w:eastAsia="Calibri"/>
        </w:rPr>
      </w:pPr>
      <w:bookmarkStart w:id="1" w:name="_Hlk136442677"/>
      <w:r w:rsidRPr="00CF2DA0">
        <w:rPr>
          <w:rFonts w:eastAsia="Calibri"/>
        </w:rPr>
        <w:t>Finally, we are revising the information collection to include</w:t>
      </w:r>
      <w:r w:rsidR="00322549">
        <w:rPr>
          <w:rFonts w:eastAsia="Calibri"/>
        </w:rPr>
        <w:t xml:space="preserve"> the following forms:</w:t>
      </w:r>
    </w:p>
    <w:p w:rsidR="000676A2" w:rsidRPr="000676A2" w:rsidP="000676A2" w14:paraId="2D6C6871" w14:textId="77777777">
      <w:pPr>
        <w:rPr>
          <w:rFonts w:eastAsia="Calibri"/>
        </w:rPr>
      </w:pPr>
    </w:p>
    <w:p w:rsidR="000676A2" w:rsidRPr="000676A2" w:rsidP="00863ED9" w14:paraId="32EF7132" w14:textId="183E162B">
      <w:pPr>
        <w:numPr>
          <w:ilvl w:val="0"/>
          <w:numId w:val="9"/>
        </w:numPr>
        <w:rPr>
          <w:rFonts w:eastAsia="Calibri"/>
        </w:rPr>
      </w:pPr>
      <w:r w:rsidRPr="00322549">
        <w:rPr>
          <w:rFonts w:eastAsia="Calibri"/>
          <w:b/>
          <w:bCs/>
        </w:rPr>
        <w:t>Form FDA 5017</w:t>
      </w:r>
      <w:r w:rsidRPr="000676A2">
        <w:rPr>
          <w:rFonts w:eastAsia="Calibri"/>
        </w:rPr>
        <w:t>, “</w:t>
      </w:r>
      <w:r w:rsidRPr="001B7CEB">
        <w:rPr>
          <w:rFonts w:eastAsia="Calibri"/>
          <w:i/>
          <w:iCs/>
        </w:rPr>
        <w:t>Standardized Retail Food Safety Inspection Officer Waiver of Annual Maintenance Requirement</w:t>
      </w:r>
      <w:r w:rsidRPr="000676A2">
        <w:rPr>
          <w:rFonts w:eastAsia="Calibri"/>
        </w:rPr>
        <w:t xml:space="preserve">,” </w:t>
      </w:r>
      <w:bookmarkStart w:id="2" w:name="_Hlk143000761"/>
      <w:r w:rsidRPr="00CF2DA0" w:rsidR="00CF2DA0">
        <w:rPr>
          <w:rFonts w:eastAsia="Calibri"/>
        </w:rPr>
        <w:t xml:space="preserve">pertains to requests for waivers from maintenance requirements, referenced in section 3-403 of the “FDA Procedures for Standardization of Retail Food Safety Inspection Officers.”  FDA uses the information submitted on Form FDA 5017 to determine a </w:t>
      </w:r>
      <w:r w:rsidR="002B0DCC">
        <w:rPr>
          <w:rFonts w:eastAsia="Calibri"/>
        </w:rPr>
        <w:t xml:space="preserve">retail </w:t>
      </w:r>
      <w:r w:rsidRPr="00CF2DA0" w:rsidR="00CF2DA0">
        <w:rPr>
          <w:rFonts w:eastAsia="Calibri"/>
        </w:rPr>
        <w:t>food safety inspection officer’s eligibility for re-standardization</w:t>
      </w:r>
      <w:bookmarkEnd w:id="2"/>
      <w:r w:rsidRPr="000676A2">
        <w:rPr>
          <w:rFonts w:eastAsia="Calibri"/>
        </w:rPr>
        <w:t>.</w:t>
      </w:r>
    </w:p>
    <w:p w:rsidR="000676A2" w:rsidRPr="000676A2" w:rsidP="000676A2" w14:paraId="26D66335" w14:textId="77777777">
      <w:pPr>
        <w:rPr>
          <w:rFonts w:eastAsia="Calibri"/>
        </w:rPr>
      </w:pPr>
    </w:p>
    <w:p w:rsidR="000676A2" w:rsidRPr="000676A2" w:rsidP="00863ED9" w14:paraId="09A8AC25" w14:textId="20E53049">
      <w:pPr>
        <w:numPr>
          <w:ilvl w:val="0"/>
          <w:numId w:val="9"/>
        </w:numPr>
        <w:rPr>
          <w:rFonts w:eastAsia="Calibri"/>
        </w:rPr>
      </w:pPr>
      <w:r w:rsidRPr="00322549">
        <w:rPr>
          <w:rFonts w:eastAsia="Calibri"/>
          <w:b/>
          <w:bCs/>
        </w:rPr>
        <w:t>Form FDA 5018</w:t>
      </w:r>
      <w:r w:rsidRPr="000676A2">
        <w:rPr>
          <w:rFonts w:eastAsia="Calibri"/>
        </w:rPr>
        <w:t>, “</w:t>
      </w:r>
      <w:r w:rsidRPr="001B7CEB">
        <w:rPr>
          <w:rFonts w:eastAsia="Calibri"/>
          <w:i/>
          <w:iCs/>
        </w:rPr>
        <w:t>Standardized Retail Food Safety Inspection Officer Annual Maintenance Form,</w:t>
      </w:r>
      <w:r w:rsidRPr="000676A2">
        <w:rPr>
          <w:rFonts w:eastAsia="Calibri"/>
        </w:rPr>
        <w:t xml:space="preserve">” </w:t>
      </w:r>
      <w:bookmarkStart w:id="3" w:name="_Hlk143000846"/>
      <w:r w:rsidRPr="00342FFF" w:rsidR="00342FFF">
        <w:rPr>
          <w:rFonts w:eastAsia="Calibri"/>
        </w:rPr>
        <w:t xml:space="preserve">provides verification that a </w:t>
      </w:r>
      <w:r w:rsidR="002B0DCC">
        <w:rPr>
          <w:rFonts w:eastAsia="Calibri"/>
        </w:rPr>
        <w:t xml:space="preserve">retail </w:t>
      </w:r>
      <w:r w:rsidRPr="00342FFF" w:rsidR="00342FFF">
        <w:rPr>
          <w:rFonts w:eastAsia="Calibri"/>
        </w:rPr>
        <w:t>food safety inspection officer has met program standardization requirements in accordance with section 3-403 of the “FDA Procedures for Standardization of Retail Food Safety Inspection Officers</w:t>
      </w:r>
      <w:bookmarkEnd w:id="3"/>
      <w:r w:rsidRPr="00342FFF" w:rsidR="00342FFF">
        <w:rPr>
          <w:rFonts w:eastAsia="Calibri"/>
        </w:rPr>
        <w:t>.”</w:t>
      </w:r>
    </w:p>
    <w:p w:rsidR="000676A2" w:rsidRPr="000676A2" w:rsidP="000676A2" w14:paraId="26E0AA49" w14:textId="77777777">
      <w:pPr>
        <w:rPr>
          <w:rFonts w:eastAsia="Calibri"/>
        </w:rPr>
      </w:pPr>
    </w:p>
    <w:p w:rsidR="000676A2" w:rsidP="00863ED9" w14:paraId="13F177C2" w14:textId="4D5EE895">
      <w:pPr>
        <w:numPr>
          <w:ilvl w:val="0"/>
          <w:numId w:val="9"/>
        </w:numPr>
        <w:rPr>
          <w:rFonts w:eastAsia="Calibri"/>
        </w:rPr>
      </w:pPr>
      <w:r w:rsidRPr="00322549">
        <w:rPr>
          <w:rFonts w:eastAsia="Calibri"/>
          <w:b/>
          <w:bCs/>
        </w:rPr>
        <w:t xml:space="preserve">Proposed </w:t>
      </w:r>
      <w:r w:rsidRPr="00322549">
        <w:rPr>
          <w:rFonts w:eastAsia="Calibri"/>
          <w:b/>
          <w:bCs/>
        </w:rPr>
        <w:t>FDA 5019</w:t>
      </w:r>
      <w:r w:rsidRPr="000676A2">
        <w:rPr>
          <w:rFonts w:eastAsia="Calibri"/>
        </w:rPr>
        <w:t>, “</w:t>
      </w:r>
      <w:r w:rsidRPr="001B7CEB">
        <w:rPr>
          <w:rFonts w:eastAsia="Calibri"/>
          <w:i/>
          <w:iCs/>
        </w:rPr>
        <w:t xml:space="preserve">Standardized </w:t>
      </w:r>
      <w:r>
        <w:rPr>
          <w:rFonts w:eastAsia="Calibri"/>
          <w:i/>
          <w:iCs/>
        </w:rPr>
        <w:t xml:space="preserve">Retail </w:t>
      </w:r>
      <w:r w:rsidRPr="001B7CEB">
        <w:rPr>
          <w:rFonts w:eastAsia="Calibri"/>
          <w:i/>
          <w:iCs/>
        </w:rPr>
        <w:t>Food Safety Inspection Officer Nomination Form</w:t>
      </w:r>
      <w:r w:rsidRPr="000676A2">
        <w:rPr>
          <w:rFonts w:eastAsia="Calibri"/>
        </w:rPr>
        <w:t xml:space="preserve">,” </w:t>
      </w:r>
      <w:bookmarkStart w:id="4" w:name="_Hlk143000909"/>
      <w:r w:rsidRPr="00B64D51">
        <w:rPr>
          <w:rFonts w:eastAsia="Calibri"/>
        </w:rPr>
        <w:t xml:space="preserve">allows FDA to collect qualification information from </w:t>
      </w:r>
      <w:r w:rsidR="002B0DCC">
        <w:rPr>
          <w:rFonts w:eastAsia="Calibri"/>
        </w:rPr>
        <w:t xml:space="preserve">retail </w:t>
      </w:r>
      <w:r w:rsidRPr="00B64D51">
        <w:rPr>
          <w:rFonts w:eastAsia="Calibri"/>
        </w:rPr>
        <w:t>food safety inspection officer candidates</w:t>
      </w:r>
      <w:bookmarkEnd w:id="4"/>
      <w:r w:rsidRPr="000676A2">
        <w:rPr>
          <w:rFonts w:eastAsia="Calibri"/>
        </w:rPr>
        <w:t>.</w:t>
      </w:r>
    </w:p>
    <w:p w:rsidR="006A3B02" w:rsidRPr="0064183F" w:rsidP="0064183F" w14:paraId="318BFAA9" w14:textId="77777777">
      <w:pPr>
        <w:rPr>
          <w:rFonts w:eastAsia="Calibri"/>
        </w:rPr>
      </w:pPr>
    </w:p>
    <w:bookmarkEnd w:id="1"/>
    <w:p w:rsidR="00A1509E" w:rsidP="0064183F" w14:paraId="629F4C68" w14:textId="77777777">
      <w:pPr>
        <w:rPr>
          <w:rFonts w:eastAsia="Calibri"/>
        </w:rPr>
      </w:pPr>
      <w:r w:rsidRPr="0009093D">
        <w:rPr>
          <w:rFonts w:eastAsia="Calibri"/>
        </w:rPr>
        <w:t xml:space="preserve">Forms </w:t>
      </w:r>
      <w:r w:rsidR="00322549">
        <w:rPr>
          <w:rFonts w:eastAsia="Calibri"/>
        </w:rPr>
        <w:t xml:space="preserve">FDA </w:t>
      </w:r>
      <w:r w:rsidRPr="0009093D">
        <w:rPr>
          <w:rFonts w:eastAsia="Calibri"/>
        </w:rPr>
        <w:t xml:space="preserve">5017, 5018, </w:t>
      </w:r>
      <w:r>
        <w:rPr>
          <w:rFonts w:eastAsia="Calibri"/>
        </w:rPr>
        <w:t xml:space="preserve">and </w:t>
      </w:r>
      <w:r w:rsidRPr="0009093D">
        <w:rPr>
          <w:rFonts w:eastAsia="Calibri"/>
        </w:rPr>
        <w:t xml:space="preserve">5019 will be completed electronically </w:t>
      </w:r>
      <w:r w:rsidR="002B0DCC">
        <w:rPr>
          <w:rFonts w:eastAsia="Calibri"/>
        </w:rPr>
        <w:t xml:space="preserve">by </w:t>
      </w:r>
      <w:r w:rsidR="00322549">
        <w:rPr>
          <w:rFonts w:eastAsia="Calibri"/>
        </w:rPr>
        <w:t xml:space="preserve">respondents and submitted </w:t>
      </w:r>
      <w:r w:rsidRPr="0009093D">
        <w:rPr>
          <w:rFonts w:eastAsia="Calibri"/>
        </w:rPr>
        <w:t>to the appropriate FDA Retail Food Specialist.</w:t>
      </w:r>
      <w:r w:rsidR="00322549">
        <w:rPr>
          <w:rFonts w:eastAsia="Calibri"/>
        </w:rPr>
        <w:t xml:space="preserve">  </w:t>
      </w:r>
      <w:r w:rsidRPr="0009093D">
        <w:rPr>
          <w:rFonts w:eastAsia="Calibri"/>
        </w:rPr>
        <w:t xml:space="preserve">The Retail Food Specialists assigned by state </w:t>
      </w:r>
      <w:r w:rsidR="002B0DCC">
        <w:rPr>
          <w:rFonts w:eastAsia="Calibri"/>
        </w:rPr>
        <w:t>are</w:t>
      </w:r>
      <w:r w:rsidRPr="0009093D">
        <w:rPr>
          <w:rFonts w:eastAsia="Calibri"/>
        </w:rPr>
        <w:t xml:space="preserve"> found at FDA's Retail Program Standards website: </w:t>
      </w:r>
      <w:r>
        <w:fldChar w:fldCharType="begin"/>
      </w:r>
      <w:r w:rsidRPr="00BD353E" w:rsidR="00322549">
        <w:rPr>
          <w:rStyle w:val="Hyperlink"/>
          <w:rFonts w:eastAsia="Calibri"/>
        </w:rPr>
        <w:instrText xml:space="preserve"> HYPERLINK "https://www.fda.gov/food/voluntary-national-retail-food-regulatory-program-standards/directory-fda-retail-food-specialists" </w:instrText>
      </w:r>
      <w:r>
        <w:fldChar w:fldCharType="separate"/>
      </w:r>
      <w:r w:rsidRPr="00BD353E" w:rsidR="00322549">
        <w:rPr>
          <w:rStyle w:val="Hyperlink"/>
          <w:rFonts w:eastAsia="Calibri"/>
        </w:rPr>
        <w:t>https://www.fda.gov/food/voluntary-national-retail-food-regulatory-program-standards/directory-fda-retail-food-specialists</w:t>
      </w:r>
      <w:r>
        <w:fldChar w:fldCharType="end"/>
      </w:r>
    </w:p>
    <w:p w:rsidR="00A1509E" w:rsidP="0064183F" w14:paraId="6D048EB4" w14:textId="77777777">
      <w:pPr>
        <w:rPr>
          <w:rFonts w:eastAsia="Calibri"/>
        </w:rPr>
      </w:pPr>
    </w:p>
    <w:p w:rsidR="0047499C" w:rsidP="0064183F" w14:paraId="621BED2D" w14:textId="35FD4735">
      <w:pPr>
        <w:rPr>
          <w:rFonts w:eastAsia="Calibri"/>
        </w:rPr>
      </w:pPr>
      <w:r w:rsidRPr="0064183F">
        <w:rPr>
          <w:rFonts w:eastAsia="Calibri"/>
        </w:rPr>
        <w:t xml:space="preserve">We therefore request OMB approval of </w:t>
      </w:r>
      <w:r w:rsidR="00A1509E">
        <w:rPr>
          <w:rFonts w:eastAsia="Calibri"/>
        </w:rPr>
        <w:t xml:space="preserve">information collections included in our </w:t>
      </w:r>
      <w:bookmarkStart w:id="5" w:name="_Hlk136349314"/>
      <w:r w:rsidRPr="00A1509E" w:rsidR="00A1509E">
        <w:rPr>
          <w:rFonts w:eastAsia="Calibri"/>
        </w:rPr>
        <w:t>Voluntary National Retail Food Regulatory Program Standards</w:t>
      </w:r>
      <w:r w:rsidR="00A1509E">
        <w:rPr>
          <w:rFonts w:eastAsia="Calibri"/>
        </w:rPr>
        <w:t xml:space="preserve"> as discussed in this supporting statement.</w:t>
      </w:r>
    </w:p>
    <w:bookmarkEnd w:id="5"/>
    <w:p w:rsidR="00357C8A" w:rsidRPr="00517411" w:rsidP="007469AA" w14:paraId="6466B1A2" w14:textId="77777777">
      <w:pPr>
        <w:rPr>
          <w:rFonts w:eastAsia="Calibri"/>
          <w:color w:val="000000"/>
        </w:rPr>
      </w:pPr>
    </w:p>
    <w:p w:rsidR="00357C8A" w:rsidRPr="00357C8A" w:rsidP="006705EA" w14:paraId="52B98F55"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2C7845" w:rsidP="002C7845" w14:paraId="4C3EA089" w14:textId="6C1836F5">
      <w:pPr>
        <w:autoSpaceDE w:val="0"/>
        <w:autoSpaceDN w:val="0"/>
        <w:adjustRightInd w:val="0"/>
      </w:pPr>
      <w:r>
        <w:t>State, local, territorial, tribal</w:t>
      </w:r>
      <w:r w:rsidR="00F363E5">
        <w:t>,</w:t>
      </w:r>
      <w:r>
        <w:t xml:space="preserve"> </w:t>
      </w:r>
      <w:r w:rsidR="00F363E5">
        <w:t xml:space="preserve">and Federal </w:t>
      </w:r>
      <w:r>
        <w:t xml:space="preserve">regulatory agencies that enroll in the </w:t>
      </w:r>
      <w:r w:rsidR="00E55B81">
        <w:t xml:space="preserve">program </w:t>
      </w:r>
      <w:r>
        <w:t>and seek listing in the FDA National Registry must report</w:t>
      </w:r>
      <w:r w:rsidR="00E55B81">
        <w:t xml:space="preserve"> information to FDA.  We use the information to evaluate program effectiveness and to report on participation</w:t>
      </w:r>
      <w:bookmarkStart w:id="6" w:name="_Hlk136442292"/>
      <w:r w:rsidR="00BD1304">
        <w:t>.</w:t>
      </w:r>
      <w:r w:rsidR="00797C92">
        <w:t xml:space="preserve">  </w:t>
      </w:r>
      <w:r w:rsidRPr="00FB4379" w:rsidR="00FB4379">
        <w:t>The information allows FDA to assist regulatory programs to improve the services they provide to consumers and their regulated industries through the use of the continuous improvement model specified in the Retail Program Standards.</w:t>
      </w:r>
    </w:p>
    <w:bookmarkEnd w:id="0"/>
    <w:bookmarkEnd w:id="6"/>
    <w:p w:rsidR="00AF28A9" w:rsidP="00AF28A9" w14:paraId="19A18A87" w14:textId="77777777">
      <w:pPr>
        <w:autoSpaceDE w:val="0"/>
        <w:autoSpaceDN w:val="0"/>
        <w:adjustRightInd w:val="0"/>
      </w:pPr>
    </w:p>
    <w:p w:rsidR="00357C8A" w:rsidRPr="00517411" w:rsidP="00A71DB8" w14:paraId="654C1FF4" w14:textId="476CC5E7">
      <w:pPr>
        <w:autoSpaceDE w:val="0"/>
        <w:autoSpaceDN w:val="0"/>
        <w:adjustRightInd w:val="0"/>
        <w:rPr>
          <w:rFonts w:eastAsia="Calibri"/>
          <w:color w:val="000000"/>
        </w:rPr>
      </w:pPr>
      <w:r w:rsidRPr="0053774C">
        <w:rPr>
          <w:i/>
          <w:iCs/>
        </w:rPr>
        <w:t>Description of Respondents</w:t>
      </w:r>
      <w:r w:rsidRPr="0053774C">
        <w:t xml:space="preserve">: </w:t>
      </w:r>
      <w:r w:rsidRPr="0053774C" w:rsidR="00817C57">
        <w:t xml:space="preserve"> </w:t>
      </w:r>
      <w:r w:rsidRPr="0053774C">
        <w:t>The respondents are State, local, territorial, tribal</w:t>
      </w:r>
      <w:r w:rsidRPr="0053774C" w:rsidR="00176425">
        <w:t>,</w:t>
      </w:r>
      <w:r w:rsidRPr="0053774C" w:rsidR="00A71DB8">
        <w:t xml:space="preserve"> </w:t>
      </w:r>
      <w:r w:rsidRPr="0053774C" w:rsidR="00176425">
        <w:t xml:space="preserve">and Federal </w:t>
      </w:r>
      <w:r w:rsidRPr="0053774C">
        <w:t>regulatory agenc</w:t>
      </w:r>
      <w:r w:rsidR="0053774C">
        <w:t>y officials.</w:t>
      </w:r>
    </w:p>
    <w:p w:rsidR="00A71DB8" w:rsidRPr="00517411" w:rsidP="007469AA" w14:paraId="3472B559" w14:textId="77777777">
      <w:pPr>
        <w:autoSpaceDE w:val="0"/>
        <w:autoSpaceDN w:val="0"/>
        <w:adjustRightInd w:val="0"/>
        <w:rPr>
          <w:rFonts w:eastAsia="Calibri"/>
          <w:color w:val="000000"/>
        </w:rPr>
      </w:pPr>
    </w:p>
    <w:p w:rsidR="00357C8A" w:rsidRPr="00357C8A" w:rsidP="006705EA" w14:paraId="2FA3EBC7"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517411" w:rsidP="00705EC6" w14:paraId="3E98FFF8" w14:textId="10CE83A8">
      <w:pPr>
        <w:autoSpaceDE w:val="0"/>
        <w:autoSpaceDN w:val="0"/>
        <w:adjustRightInd w:val="0"/>
        <w:rPr>
          <w:rFonts w:eastAsia="Calibri"/>
          <w:color w:val="000000"/>
        </w:rPr>
      </w:pPr>
      <w:r>
        <w:t>FDA utilizes automated reporting instruments</w:t>
      </w:r>
      <w:r w:rsidR="00F35F7B">
        <w:t xml:space="preserve"> to collect information from participating respondents.</w:t>
      </w:r>
      <w:r w:rsidRPr="00105670" w:rsidR="00105670">
        <w:t xml:space="preserve"> </w:t>
      </w:r>
      <w:r w:rsidRPr="00105670" w:rsidR="00105670">
        <w:t xml:space="preserve">We have created a dedicated e-mailbox at </w:t>
      </w:r>
      <w:hyperlink r:id="rId5" w:history="1">
        <w:r w:rsidRPr="00BD353E" w:rsidR="00105670">
          <w:rPr>
            <w:rStyle w:val="Hyperlink"/>
          </w:rPr>
          <w:t>retailfoodprotectionteam@fda.hhs.gov</w:t>
        </w:r>
      </w:hyperlink>
      <w:r w:rsidR="00105670">
        <w:t xml:space="preserve"> </w:t>
      </w:r>
      <w:r w:rsidRPr="00105670" w:rsidR="00105670">
        <w:t>to receive requests for program documentation and have developed the following instruments to support the standardization of food safety inspection officer candidates</w:t>
      </w:r>
      <w:r w:rsidR="00105670">
        <w:t>.</w:t>
      </w:r>
    </w:p>
    <w:p w:rsidR="00705EC6" w:rsidRPr="00517411" w:rsidP="007469AA" w14:paraId="0EA09C4C" w14:textId="77777777">
      <w:pPr>
        <w:autoSpaceDE w:val="0"/>
        <w:autoSpaceDN w:val="0"/>
        <w:adjustRightInd w:val="0"/>
        <w:rPr>
          <w:rFonts w:eastAsia="Calibri"/>
          <w:color w:val="000000"/>
        </w:rPr>
      </w:pPr>
    </w:p>
    <w:p w:rsidR="00357C8A" w:rsidRPr="00357C8A" w:rsidP="006705EA" w14:paraId="4298C2DC"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517411" w:rsidP="00705EC6" w14:paraId="7978550C" w14:textId="104E458A">
      <w:pPr>
        <w:autoSpaceDE w:val="0"/>
        <w:autoSpaceDN w:val="0"/>
        <w:adjustRightInd w:val="0"/>
        <w:rPr>
          <w:color w:val="000000"/>
        </w:rPr>
      </w:pPr>
      <w:r>
        <w:t xml:space="preserve">We are unaware of </w:t>
      </w:r>
      <w:r w:rsidR="00F35F7B">
        <w:t>duplicative information collection.</w:t>
      </w:r>
    </w:p>
    <w:p w:rsidR="00705EC6" w:rsidRPr="00517411" w:rsidP="007469AA" w14:paraId="1863B97A" w14:textId="77777777">
      <w:pPr>
        <w:autoSpaceDE w:val="0"/>
        <w:autoSpaceDN w:val="0"/>
        <w:adjustRightInd w:val="0"/>
        <w:rPr>
          <w:rFonts w:eastAsia="Calibri"/>
          <w:color w:val="000000"/>
        </w:rPr>
      </w:pPr>
    </w:p>
    <w:p w:rsidR="00357C8A" w:rsidRPr="00357C8A" w:rsidP="006705EA" w14:paraId="44CF4A92"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517411" w:rsidP="00705EC6" w14:paraId="5F6CA74B" w14:textId="4793EB36">
      <w:pPr>
        <w:autoSpaceDE w:val="0"/>
        <w:autoSpaceDN w:val="0"/>
        <w:adjustRightInd w:val="0"/>
        <w:rPr>
          <w:rFonts w:eastAsia="Calibri"/>
          <w:color w:val="000000"/>
        </w:rPr>
      </w:pPr>
      <w:r>
        <w:t>There is no undue impact on small entities</w:t>
      </w:r>
      <w:r w:rsidR="00AF28A9">
        <w:t>.</w:t>
      </w:r>
    </w:p>
    <w:p w:rsidR="00705EC6" w:rsidRPr="00357C8A" w:rsidP="007469AA" w14:paraId="665AC36F" w14:textId="77777777">
      <w:pPr>
        <w:autoSpaceDE w:val="0"/>
        <w:autoSpaceDN w:val="0"/>
        <w:adjustRightInd w:val="0"/>
        <w:rPr>
          <w:rFonts w:eastAsia="Calibri"/>
        </w:rPr>
      </w:pPr>
    </w:p>
    <w:p w:rsidR="00357C8A" w:rsidRPr="00357C8A" w:rsidP="006705EA" w14:paraId="43085556"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517411" w:rsidP="00705EC6" w14:paraId="31BEA02E" w14:textId="1E20143F">
      <w:pPr>
        <w:autoSpaceDE w:val="0"/>
        <w:autoSpaceDN w:val="0"/>
        <w:adjustRightInd w:val="0"/>
        <w:rPr>
          <w:rFonts w:eastAsia="Calibri"/>
          <w:color w:val="000000"/>
        </w:rPr>
      </w:pPr>
      <w:r>
        <w:t xml:space="preserve">The information collection schedule </w:t>
      </w:r>
      <w:r w:rsidR="005C2B7F">
        <w:t xml:space="preserve">occurs occasionally, i.e., upon enrollment in the </w:t>
      </w:r>
      <w:r w:rsidR="005755DE">
        <w:t xml:space="preserve">program </w:t>
      </w:r>
      <w:r w:rsidR="005C2B7F">
        <w:t>and within a</w:t>
      </w:r>
      <w:r w:rsidR="00705EC6">
        <w:t xml:space="preserve"> </w:t>
      </w:r>
      <w:r w:rsidR="005C2B7F">
        <w:t xml:space="preserve">12- to 60-month period thereafter. </w:t>
      </w:r>
      <w:r w:rsidR="00705EC6">
        <w:t xml:space="preserve"> </w:t>
      </w:r>
      <w:r w:rsidR="005C2B7F">
        <w:t xml:space="preserve">Although the collection of information related to </w:t>
      </w:r>
      <w:r w:rsidR="007666C1">
        <w:t xml:space="preserve">both </w:t>
      </w:r>
      <w:r w:rsidR="005C2B7F">
        <w:t xml:space="preserve">the </w:t>
      </w:r>
      <w:r w:rsidR="001C4609">
        <w:t xml:space="preserve">Retail </w:t>
      </w:r>
      <w:r w:rsidR="005C2B7F">
        <w:t>Program</w:t>
      </w:r>
      <w:r w:rsidR="00705EC6">
        <w:t xml:space="preserve"> </w:t>
      </w:r>
      <w:r w:rsidR="005C2B7F">
        <w:t xml:space="preserve">Standards </w:t>
      </w:r>
      <w:r w:rsidR="007666C1">
        <w:t xml:space="preserve">and Standardization </w:t>
      </w:r>
      <w:r w:rsidR="005C2B7F">
        <w:t>is voluntary</w:t>
      </w:r>
      <w:r w:rsidR="00797C92">
        <w:t xml:space="preserve">, it </w:t>
      </w:r>
      <w:r w:rsidR="005755DE">
        <w:t>serves as an</w:t>
      </w:r>
      <w:r w:rsidR="00FB4379">
        <w:t xml:space="preserve"> effective tool in protecting against </w:t>
      </w:r>
      <w:r w:rsidR="005C2B7F">
        <w:t xml:space="preserve">foodborne illness risk factors. </w:t>
      </w:r>
      <w:r w:rsidR="00705EC6">
        <w:t xml:space="preserve"> </w:t>
      </w:r>
    </w:p>
    <w:p w:rsidR="00705EC6" w:rsidRPr="00517411" w:rsidP="007469AA" w14:paraId="7913D9AD" w14:textId="77777777">
      <w:pPr>
        <w:autoSpaceDE w:val="0"/>
        <w:autoSpaceDN w:val="0"/>
        <w:adjustRightInd w:val="0"/>
        <w:rPr>
          <w:rFonts w:eastAsia="Calibri"/>
          <w:color w:val="000000"/>
        </w:rPr>
      </w:pPr>
    </w:p>
    <w:p w:rsidR="00357C8A" w:rsidRPr="00357C8A" w:rsidP="006705EA" w14:paraId="0992C14E"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5E0E7FC3" w14:textId="77777777">
      <w:pPr>
        <w:spacing w:after="200"/>
        <w:rPr>
          <w:rFonts w:eastAsia="Calibri"/>
        </w:rPr>
      </w:pPr>
      <w:r>
        <w:t>There are no special circumstances associated with this collection of information.</w:t>
      </w:r>
    </w:p>
    <w:p w:rsidR="00357C8A" w:rsidRPr="00357C8A" w:rsidP="006705EA" w14:paraId="6D483F0B"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5C2B7F" w:rsidP="005C2B7F" w14:paraId="07A775B9" w14:textId="77777777">
      <w:pPr>
        <w:autoSpaceDE w:val="0"/>
        <w:autoSpaceDN w:val="0"/>
        <w:adjustRightInd w:val="0"/>
      </w:pPr>
      <w:r>
        <w:t>In accordance with 5 CFR 1320.8(d), we published a 60-day notice for public comment in the</w:t>
      </w:r>
    </w:p>
    <w:p w:rsidR="00357C8A" w:rsidRPr="00517411" w:rsidP="00357C8A" w14:paraId="3E5BDCE6" w14:textId="3963BFC2">
      <w:pPr>
        <w:spacing w:after="200"/>
        <w:rPr>
          <w:rFonts w:eastAsia="Calibri"/>
          <w:color w:val="000000"/>
        </w:rPr>
      </w:pPr>
      <w:r>
        <w:rPr>
          <w:i/>
          <w:iCs/>
        </w:rPr>
        <w:t xml:space="preserve">Federal Register </w:t>
      </w:r>
      <w:r>
        <w:t xml:space="preserve">on </w:t>
      </w:r>
      <w:r w:rsidR="00614F84">
        <w:t>June 30</w:t>
      </w:r>
      <w:r>
        <w:t>, 202</w:t>
      </w:r>
      <w:r w:rsidR="00705EC6">
        <w:t>3</w:t>
      </w:r>
      <w:r>
        <w:t xml:space="preserve"> (8</w:t>
      </w:r>
      <w:r w:rsidR="00705EC6">
        <w:t>8</w:t>
      </w:r>
      <w:r>
        <w:t xml:space="preserve"> FR </w:t>
      </w:r>
      <w:r w:rsidR="00614F84">
        <w:t>43272</w:t>
      </w:r>
      <w:r>
        <w:t xml:space="preserve">). </w:t>
      </w:r>
      <w:r w:rsidR="00FC2876">
        <w:t xml:space="preserve"> </w:t>
      </w:r>
      <w:r w:rsidRPr="0053774C">
        <w:t>No comments were received.</w:t>
      </w:r>
    </w:p>
    <w:p w:rsidR="00357C8A" w:rsidRPr="00357C8A" w:rsidP="006705EA" w14:paraId="65364137"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517411" w:rsidP="00357C8A" w14:paraId="6D70B6C4" w14:textId="77777777">
      <w:pPr>
        <w:spacing w:after="200"/>
        <w:rPr>
          <w:rFonts w:eastAsia="Calibri"/>
          <w:color w:val="000000"/>
        </w:rPr>
      </w:pPr>
      <w:r w:rsidRPr="002074FE">
        <w:rPr>
          <w:rFonts w:eastAsia="Calibri"/>
        </w:rPr>
        <w:t>There are no incentives, payments or gifts associated with this information collection.</w:t>
      </w:r>
    </w:p>
    <w:p w:rsidR="005C2B7F" w:rsidRPr="00797C92" w:rsidP="00797C92" w14:paraId="3D7AF8F9" w14:textId="73F8FBA3">
      <w:pPr>
        <w:numPr>
          <w:ilvl w:val="0"/>
          <w:numId w:val="6"/>
        </w:numPr>
        <w:spacing w:after="200" w:line="276" w:lineRule="auto"/>
        <w:rPr>
          <w:rFonts w:eastAsia="Calibri"/>
        </w:rPr>
      </w:pPr>
      <w:r w:rsidRPr="00357C8A">
        <w:rPr>
          <w:rFonts w:eastAsia="Calibri"/>
          <w:u w:val="single"/>
        </w:rPr>
        <w:t>Assurance of Confidentiality Provided to Respondents</w:t>
      </w:r>
    </w:p>
    <w:p w:rsidR="005C2B7F" w:rsidP="005C2B7F" w14:paraId="31AE4BBD" w14:textId="3AB22515">
      <w:pPr>
        <w:autoSpaceDE w:val="0"/>
        <w:autoSpaceDN w:val="0"/>
        <w:adjustRightInd w:val="0"/>
        <w:rPr>
          <w:i/>
          <w:iCs/>
        </w:rPr>
      </w:pPr>
      <w:r>
        <w:rPr>
          <w:i/>
          <w:iCs/>
        </w:rPr>
        <w:t xml:space="preserve">The </w:t>
      </w:r>
      <w:r>
        <w:rPr>
          <w:i/>
          <w:iCs/>
        </w:rPr>
        <w:t>Privacy Act</w:t>
      </w:r>
      <w:r>
        <w:rPr>
          <w:i/>
          <w:iCs/>
        </w:rPr>
        <w:t xml:space="preserve"> of 1974</w:t>
      </w:r>
    </w:p>
    <w:p w:rsidR="001C4609" w:rsidRPr="00863ED9" w:rsidP="005C2B7F" w14:paraId="5191C0D9" w14:textId="77777777">
      <w:pPr>
        <w:autoSpaceDE w:val="0"/>
        <w:autoSpaceDN w:val="0"/>
        <w:adjustRightInd w:val="0"/>
      </w:pPr>
    </w:p>
    <w:p w:rsidR="00614F84" w:rsidP="00614F84" w14:paraId="069C5EFD" w14:textId="72D961B4">
      <w:pPr>
        <w:autoSpaceDE w:val="0"/>
        <w:autoSpaceDN w:val="0"/>
        <w:adjustRightInd w:val="0"/>
      </w:pPr>
      <w:bookmarkStart w:id="7" w:name="_Hlk136443207"/>
      <w:r w:rsidRPr="00797C92">
        <w:t xml:space="preserve">In preparing this supporting statement, we consulted with our Privacy Office to ensure appropriate handling of information collected.  </w:t>
      </w:r>
      <w: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Forms </w:t>
      </w:r>
      <w:r w:rsidRPr="00797C92">
        <w:rPr>
          <w:b/>
          <w:bCs/>
        </w:rPr>
        <w:t>FDA 3958</w:t>
      </w:r>
      <w:r>
        <w:t xml:space="preserve"> (</w:t>
      </w:r>
      <w:r w:rsidRPr="00797C92">
        <w:rPr>
          <w:i/>
          <w:iCs/>
        </w:rPr>
        <w:t>Voluntary National Retail Food Regulatory Program Standards FDA National Registry Report</w:t>
      </w:r>
      <w:r>
        <w:t xml:space="preserve">), </w:t>
      </w:r>
      <w:r w:rsidRPr="00797C92">
        <w:rPr>
          <w:b/>
          <w:bCs/>
        </w:rPr>
        <w:t>FDA 5017</w:t>
      </w:r>
      <w:r>
        <w:t xml:space="preserve"> (</w:t>
      </w:r>
      <w:r w:rsidRPr="00797C92">
        <w:rPr>
          <w:i/>
          <w:iCs/>
        </w:rPr>
        <w:t>Standardized Retail Food Safety Inspection Officer Waiver of Annual Maintenance Requirement Form</w:t>
      </w:r>
      <w:r>
        <w:t xml:space="preserve">), </w:t>
      </w:r>
      <w:r w:rsidRPr="00797C92">
        <w:rPr>
          <w:b/>
          <w:bCs/>
        </w:rPr>
        <w:t>FDA 5018</w:t>
      </w:r>
      <w:r>
        <w:t xml:space="preserve"> (</w:t>
      </w:r>
      <w:r w:rsidRPr="00797C92">
        <w:rPr>
          <w:i/>
          <w:iCs/>
        </w:rPr>
        <w:t>Standardized Retail Food Safety Inspection Officer Annual Maintenance Form</w:t>
      </w:r>
      <w:r>
        <w:t>), and FDA 5019 (</w:t>
      </w:r>
      <w:r w:rsidRPr="00797C92">
        <w:rPr>
          <w:i/>
          <w:iCs/>
        </w:rPr>
        <w:t>Standardized Retail Food Safety Inspection Officer Nomination Form</w:t>
      </w:r>
      <w:r>
        <w:t xml:space="preserve">) is, name, email address, telephone number, work address and fax number.  Information collected via </w:t>
      </w:r>
      <w:r w:rsidRPr="00797C92">
        <w:rPr>
          <w:b/>
          <w:bCs/>
        </w:rPr>
        <w:t>Forms FDA 5017, 5018</w:t>
      </w:r>
      <w:r>
        <w:t xml:space="preserve">, and </w:t>
      </w:r>
      <w:r w:rsidRPr="00797C92">
        <w:rPr>
          <w:b/>
          <w:bCs/>
        </w:rPr>
        <w:t>5019</w:t>
      </w:r>
      <w:r>
        <w:t xml:space="preserve"> is maintained in a Privacy Act system of records as described in Government-wide System of Records Notice (SORN) OPM/GOVT-1 General Personnel Records.  </w:t>
      </w:r>
      <w:r w:rsidR="00142DC1">
        <w:t>(</w:t>
      </w:r>
      <w:r w:rsidR="00D30034">
        <w:t xml:space="preserve">See </w:t>
      </w:r>
      <w:r w:rsidR="00142DC1">
        <w:t xml:space="preserve">80 FR 74815.)  </w:t>
      </w:r>
      <w:r w:rsidRPr="002B0DCC">
        <w:t xml:space="preserve">Individuals completing Forms FDA 3958, 5017, 5018, and 5019 will </w:t>
      </w:r>
      <w:r w:rsidRPr="002B0DCC">
        <w:t xml:space="preserve">do </w:t>
      </w:r>
      <w:r w:rsidRPr="002B0DCC" w:rsidR="00183364">
        <w:t xml:space="preserve">so </w:t>
      </w:r>
      <w:r w:rsidRPr="00183364" w:rsidR="00183364">
        <w:t>electronically</w:t>
      </w:r>
      <w:r w:rsidRPr="002B0DCC">
        <w:t>.</w:t>
      </w:r>
      <w:r>
        <w:t xml:space="preserve">  Through appropriate form and webpage design, FDA limited submission fields and minimized the PII collected to protect the privacy of the individuals.</w:t>
      </w:r>
    </w:p>
    <w:p w:rsidR="00614F84" w:rsidP="00614F84" w14:paraId="37F4D4C5" w14:textId="77777777">
      <w:pPr>
        <w:autoSpaceDE w:val="0"/>
        <w:autoSpaceDN w:val="0"/>
        <w:adjustRightInd w:val="0"/>
      </w:pPr>
    </w:p>
    <w:p w:rsidR="001D43E8" w:rsidRPr="00D22DE2" w:rsidP="00614F84" w14:paraId="6F07AB9B" w14:textId="77777777">
      <w:pPr>
        <w:autoSpaceDE w:val="0"/>
        <w:autoSpaceDN w:val="0"/>
        <w:adjustRightInd w:val="0"/>
        <w:rPr>
          <w:i/>
          <w:iCs/>
        </w:rPr>
      </w:pPr>
      <w:r w:rsidRPr="00D22DE2">
        <w:rPr>
          <w:i/>
          <w:iCs/>
        </w:rPr>
        <w:t xml:space="preserve">Freedom of Information Act </w:t>
      </w:r>
      <w:r w:rsidRPr="00D22DE2" w:rsidR="00614F84">
        <w:rPr>
          <w:i/>
          <w:iCs/>
        </w:rPr>
        <w:t>(FOIA)</w:t>
      </w:r>
    </w:p>
    <w:p w:rsidR="001D43E8" w:rsidP="00614F84" w14:paraId="408366DC" w14:textId="77777777">
      <w:pPr>
        <w:autoSpaceDE w:val="0"/>
        <w:autoSpaceDN w:val="0"/>
        <w:adjustRightInd w:val="0"/>
      </w:pPr>
    </w:p>
    <w:p w:rsidR="00614F84" w:rsidRPr="00517411" w:rsidP="00614F84" w14:paraId="469360A2" w14:textId="40206495">
      <w:pPr>
        <w:autoSpaceDE w:val="0"/>
        <w:autoSpaceDN w:val="0"/>
        <w:adjustRightInd w:val="0"/>
        <w:rPr>
          <w:rFonts w:eastAsia="Calibri"/>
          <w:color w:val="000000"/>
        </w:rPr>
      </w:pPr>
      <w:r>
        <w:t xml:space="preserve">Under FOIA </w:t>
      </w:r>
      <w:r>
        <w:t>(5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bookmarkEnd w:id="7"/>
    <w:p w:rsidR="001075D3" w:rsidRPr="001075D3" w:rsidP="00054977" w14:paraId="1EEF033E" w14:textId="77777777"/>
    <w:p w:rsidR="00105670" w14:paraId="7DA55766" w14:textId="77777777">
      <w:pPr>
        <w:rPr>
          <w:rFonts w:eastAsia="Calibri"/>
          <w:u w:val="single"/>
        </w:rPr>
      </w:pPr>
      <w:r>
        <w:rPr>
          <w:rFonts w:eastAsia="Calibri"/>
          <w:u w:val="single"/>
        </w:rPr>
        <w:br w:type="page"/>
      </w:r>
    </w:p>
    <w:p w:rsidR="00357C8A" w:rsidRPr="00357C8A" w:rsidP="006705EA" w14:paraId="525C1393" w14:textId="5D9D7BDB">
      <w:pPr>
        <w:numPr>
          <w:ilvl w:val="0"/>
          <w:numId w:val="6"/>
        </w:numPr>
        <w:spacing w:after="200" w:line="276" w:lineRule="auto"/>
        <w:rPr>
          <w:rFonts w:eastAsia="Calibri"/>
        </w:rPr>
      </w:pPr>
      <w:r w:rsidRPr="00357C8A">
        <w:rPr>
          <w:rFonts w:eastAsia="Calibri"/>
          <w:u w:val="single"/>
        </w:rPr>
        <w:t>Justification for Sensitive Questions</w:t>
      </w:r>
    </w:p>
    <w:p w:rsidR="00357C8A" w:rsidRPr="00183364" w:rsidP="0022425B" w14:paraId="3167D521" w14:textId="77777777">
      <w:pPr>
        <w:spacing w:after="200"/>
        <w:rPr>
          <w:rFonts w:eastAsia="Calibri"/>
          <w:color w:val="000000" w:themeColor="text1"/>
        </w:rPr>
      </w:pPr>
      <w:r>
        <w:t>This information collection does not involve questions that are of a personally sensitive nature.</w:t>
      </w:r>
    </w:p>
    <w:p w:rsidR="00357C8A" w:rsidRPr="00357C8A" w:rsidP="006705EA" w14:paraId="77682DF3"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2F0194" w:rsidP="00A515E6" w14:paraId="3CA01C13" w14:textId="1AD70019">
      <w:pPr>
        <w:spacing w:after="200"/>
        <w:ind w:left="360"/>
        <w:rPr>
          <w:rFonts w:eastAsia="Calibri"/>
        </w:rPr>
      </w:pPr>
      <w:r w:rsidRPr="00A515E6">
        <w:rPr>
          <w:rFonts w:eastAsia="Calibri"/>
          <w:i/>
          <w:iCs/>
        </w:rPr>
        <w:t>12a.  Annualized Hour Burden Estimate</w:t>
      </w:r>
    </w:p>
    <w:p w:rsidR="00A515E6" w:rsidRPr="00A515E6" w:rsidP="00473C45" w14:paraId="452B7328" w14:textId="3655F521">
      <w:pPr>
        <w:spacing w:after="200"/>
        <w:rPr>
          <w:rFonts w:eastAsia="Calibri"/>
        </w:rPr>
      </w:pPr>
      <w:r>
        <w:rPr>
          <w:rFonts w:eastAsia="Calibri"/>
        </w:rPr>
        <w:t>We believe that the attendant recordkeeping associated with the attendant regulatory activities would be usual and customary business practice for regulating officials.  Accordingly, we characterize burden associated with the information collections as reporting burden.</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7"/>
        <w:gridCol w:w="1233"/>
        <w:gridCol w:w="1407"/>
        <w:gridCol w:w="1056"/>
        <w:gridCol w:w="1233"/>
        <w:gridCol w:w="1048"/>
      </w:tblGrid>
      <w:tr w14:paraId="6CA87A69" w14:textId="77777777" w:rsidTr="00677059">
        <w:tblPrEx>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rPr>
        <w:tc>
          <w:tcPr>
            <w:tcW w:w="9694" w:type="dxa"/>
            <w:gridSpan w:val="6"/>
            <w:tcBorders>
              <w:top w:val="nil"/>
              <w:left w:val="nil"/>
              <w:bottom w:val="single" w:sz="4" w:space="0" w:color="auto"/>
              <w:right w:val="nil"/>
            </w:tcBorders>
            <w:shd w:val="clear" w:color="auto" w:fill="auto"/>
          </w:tcPr>
          <w:p w:rsidR="0059586E" w:rsidRPr="0059586E" w:rsidP="0059586E" w14:paraId="045C86B5" w14:textId="6D3D71F4">
            <w:pPr>
              <w:jc w:val="center"/>
              <w:rPr>
                <w:sz w:val="20"/>
                <w:szCs w:val="20"/>
              </w:rPr>
            </w:pPr>
            <w:r w:rsidRPr="0059586E">
              <w:rPr>
                <w:sz w:val="20"/>
                <w:szCs w:val="20"/>
              </w:rPr>
              <w:t xml:space="preserve">Table </w:t>
            </w:r>
            <w:r w:rsidRPr="0059586E" w:rsidR="007B22DD">
              <w:rPr>
                <w:sz w:val="20"/>
                <w:szCs w:val="20"/>
              </w:rPr>
              <w:t>1. --</w:t>
            </w:r>
            <w:r w:rsidRPr="0059586E">
              <w:rPr>
                <w:sz w:val="20"/>
                <w:szCs w:val="20"/>
              </w:rPr>
              <w:t>Estimated Annual Reporting Burden</w:t>
            </w:r>
            <w:r w:rsidRPr="0059586E">
              <w:rPr>
                <w:sz w:val="20"/>
                <w:szCs w:val="20"/>
                <w:vertAlign w:val="superscript"/>
              </w:rPr>
              <w:t>1</w:t>
            </w:r>
          </w:p>
        </w:tc>
      </w:tr>
      <w:tr w14:paraId="74907E8E" w14:textId="77777777" w:rsidTr="00677059">
        <w:tblPrEx>
          <w:tblW w:w="9694" w:type="dxa"/>
          <w:tblLayout w:type="fixed"/>
          <w:tblLook w:val="01E0"/>
        </w:tblPrEx>
        <w:trPr>
          <w:cantSplit/>
          <w:trHeight w:val="20"/>
        </w:trPr>
        <w:tc>
          <w:tcPr>
            <w:tcW w:w="3717" w:type="dxa"/>
            <w:tcBorders>
              <w:top w:val="single" w:sz="4" w:space="0" w:color="auto"/>
            </w:tcBorders>
            <w:shd w:val="clear" w:color="auto" w:fill="auto"/>
          </w:tcPr>
          <w:p w:rsidR="0059586E" w:rsidRPr="0059586E" w:rsidP="0059586E" w14:paraId="166CF1E1" w14:textId="77777777">
            <w:pPr>
              <w:jc w:val="center"/>
              <w:rPr>
                <w:sz w:val="20"/>
                <w:szCs w:val="20"/>
              </w:rPr>
            </w:pPr>
            <w:r w:rsidRPr="0059586E">
              <w:rPr>
                <w:sz w:val="20"/>
                <w:szCs w:val="20"/>
              </w:rPr>
              <w:t>Voluntary National Retail Program Standards (August 2022)</w:t>
            </w:r>
          </w:p>
        </w:tc>
        <w:tc>
          <w:tcPr>
            <w:tcW w:w="1233" w:type="dxa"/>
            <w:tcBorders>
              <w:top w:val="single" w:sz="4" w:space="0" w:color="auto"/>
            </w:tcBorders>
            <w:shd w:val="clear" w:color="auto" w:fill="auto"/>
          </w:tcPr>
          <w:p w:rsidR="0059586E" w:rsidRPr="0059586E" w:rsidP="0059586E" w14:paraId="6C87EF38" w14:textId="77777777">
            <w:pPr>
              <w:jc w:val="center"/>
              <w:rPr>
                <w:sz w:val="20"/>
                <w:szCs w:val="20"/>
              </w:rPr>
            </w:pPr>
            <w:r w:rsidRPr="0059586E">
              <w:rPr>
                <w:sz w:val="20"/>
                <w:szCs w:val="20"/>
              </w:rPr>
              <w:t>No. of Respondents</w:t>
            </w:r>
          </w:p>
        </w:tc>
        <w:tc>
          <w:tcPr>
            <w:tcW w:w="1407" w:type="dxa"/>
            <w:tcBorders>
              <w:top w:val="single" w:sz="4" w:space="0" w:color="auto"/>
            </w:tcBorders>
            <w:shd w:val="clear" w:color="auto" w:fill="auto"/>
          </w:tcPr>
          <w:p w:rsidR="0059586E" w:rsidRPr="0059586E" w:rsidP="0059586E" w14:paraId="35F1372C" w14:textId="77777777">
            <w:pPr>
              <w:jc w:val="center"/>
              <w:rPr>
                <w:sz w:val="20"/>
                <w:szCs w:val="20"/>
              </w:rPr>
            </w:pPr>
            <w:r w:rsidRPr="0059586E">
              <w:rPr>
                <w:bCs/>
                <w:sz w:val="20"/>
                <w:szCs w:val="20"/>
              </w:rPr>
              <w:t>No. of Responses per Respondent</w:t>
            </w:r>
          </w:p>
        </w:tc>
        <w:tc>
          <w:tcPr>
            <w:tcW w:w="1056" w:type="dxa"/>
            <w:tcBorders>
              <w:top w:val="single" w:sz="4" w:space="0" w:color="auto"/>
            </w:tcBorders>
            <w:shd w:val="clear" w:color="auto" w:fill="auto"/>
          </w:tcPr>
          <w:p w:rsidR="0059586E" w:rsidRPr="0059586E" w:rsidP="0059586E" w14:paraId="01DE6855" w14:textId="77777777">
            <w:pPr>
              <w:jc w:val="center"/>
              <w:rPr>
                <w:sz w:val="20"/>
                <w:szCs w:val="20"/>
              </w:rPr>
            </w:pPr>
            <w:r w:rsidRPr="0059586E">
              <w:rPr>
                <w:sz w:val="20"/>
                <w:szCs w:val="20"/>
              </w:rPr>
              <w:t>Total Annual Responses</w:t>
            </w:r>
          </w:p>
        </w:tc>
        <w:tc>
          <w:tcPr>
            <w:tcW w:w="1233" w:type="dxa"/>
            <w:tcBorders>
              <w:top w:val="single" w:sz="4" w:space="0" w:color="auto"/>
            </w:tcBorders>
            <w:shd w:val="clear" w:color="auto" w:fill="auto"/>
          </w:tcPr>
          <w:p w:rsidR="0059586E" w:rsidRPr="0059586E" w:rsidP="0059586E" w14:paraId="4C553415" w14:textId="77777777">
            <w:pPr>
              <w:jc w:val="center"/>
              <w:rPr>
                <w:sz w:val="20"/>
                <w:szCs w:val="20"/>
              </w:rPr>
            </w:pPr>
            <w:r w:rsidRPr="0059586E">
              <w:rPr>
                <w:bCs/>
                <w:sz w:val="20"/>
                <w:szCs w:val="20"/>
              </w:rPr>
              <w:t>Average Burden per Response</w:t>
            </w:r>
          </w:p>
        </w:tc>
        <w:tc>
          <w:tcPr>
            <w:tcW w:w="1048" w:type="dxa"/>
            <w:tcBorders>
              <w:top w:val="single" w:sz="4" w:space="0" w:color="auto"/>
            </w:tcBorders>
            <w:shd w:val="clear" w:color="auto" w:fill="auto"/>
          </w:tcPr>
          <w:p w:rsidR="0059586E" w:rsidRPr="0059586E" w:rsidP="0059586E" w14:paraId="7BBBF41A" w14:textId="77777777">
            <w:pPr>
              <w:jc w:val="center"/>
              <w:rPr>
                <w:sz w:val="20"/>
                <w:szCs w:val="20"/>
              </w:rPr>
            </w:pPr>
            <w:r w:rsidRPr="0059586E">
              <w:rPr>
                <w:sz w:val="20"/>
                <w:szCs w:val="20"/>
              </w:rPr>
              <w:t>Total Hours</w:t>
            </w:r>
          </w:p>
        </w:tc>
      </w:tr>
      <w:tr w14:paraId="4BB0BC77" w14:textId="77777777" w:rsidTr="00677059">
        <w:tblPrEx>
          <w:tblW w:w="9694" w:type="dxa"/>
          <w:tblLayout w:type="fixed"/>
          <w:tblLook w:val="01E0"/>
        </w:tblPrEx>
        <w:trPr>
          <w:cantSplit/>
          <w:trHeight w:val="557"/>
        </w:trPr>
        <w:tc>
          <w:tcPr>
            <w:tcW w:w="3717" w:type="dxa"/>
            <w:shd w:val="clear" w:color="auto" w:fill="auto"/>
          </w:tcPr>
          <w:p w:rsidR="0059586E" w:rsidRPr="0059586E" w:rsidP="0059586E" w14:paraId="66540A31" w14:textId="77777777">
            <w:pPr>
              <w:rPr>
                <w:sz w:val="20"/>
                <w:szCs w:val="20"/>
              </w:rPr>
            </w:pPr>
            <w:r w:rsidRPr="0059586E">
              <w:rPr>
                <w:sz w:val="20"/>
                <w:szCs w:val="20"/>
              </w:rPr>
              <w:t>Program self-assessments for element Nos. 1 through 8</w:t>
            </w:r>
          </w:p>
        </w:tc>
        <w:tc>
          <w:tcPr>
            <w:tcW w:w="1233" w:type="dxa"/>
            <w:shd w:val="clear" w:color="auto" w:fill="auto"/>
          </w:tcPr>
          <w:p w:rsidR="0059586E" w:rsidRPr="0059586E" w:rsidP="0059586E" w14:paraId="4117D656" w14:textId="77777777">
            <w:pPr>
              <w:jc w:val="right"/>
              <w:rPr>
                <w:sz w:val="20"/>
                <w:szCs w:val="20"/>
              </w:rPr>
            </w:pPr>
            <w:r w:rsidRPr="0059586E">
              <w:rPr>
                <w:sz w:val="20"/>
                <w:szCs w:val="20"/>
              </w:rPr>
              <w:t>500</w:t>
            </w:r>
          </w:p>
        </w:tc>
        <w:tc>
          <w:tcPr>
            <w:tcW w:w="1407" w:type="dxa"/>
            <w:shd w:val="clear" w:color="auto" w:fill="auto"/>
          </w:tcPr>
          <w:p w:rsidR="0059586E" w:rsidRPr="0059586E" w:rsidP="0059586E" w14:paraId="4A868798" w14:textId="77777777">
            <w:pPr>
              <w:jc w:val="right"/>
              <w:rPr>
                <w:bCs/>
                <w:sz w:val="20"/>
                <w:szCs w:val="20"/>
              </w:rPr>
            </w:pPr>
            <w:r w:rsidRPr="0059586E">
              <w:rPr>
                <w:bCs/>
                <w:sz w:val="20"/>
                <w:szCs w:val="20"/>
              </w:rPr>
              <w:t>1</w:t>
            </w:r>
          </w:p>
        </w:tc>
        <w:tc>
          <w:tcPr>
            <w:tcW w:w="1056" w:type="dxa"/>
            <w:shd w:val="clear" w:color="auto" w:fill="auto"/>
          </w:tcPr>
          <w:p w:rsidR="0059586E" w:rsidRPr="0059586E" w:rsidP="0059586E" w14:paraId="260CB0B5" w14:textId="77777777">
            <w:pPr>
              <w:jc w:val="right"/>
              <w:rPr>
                <w:sz w:val="20"/>
                <w:szCs w:val="20"/>
              </w:rPr>
            </w:pPr>
            <w:r w:rsidRPr="0059586E">
              <w:rPr>
                <w:sz w:val="20"/>
                <w:szCs w:val="20"/>
              </w:rPr>
              <w:t>500</w:t>
            </w:r>
          </w:p>
        </w:tc>
        <w:tc>
          <w:tcPr>
            <w:tcW w:w="1233" w:type="dxa"/>
            <w:shd w:val="clear" w:color="auto" w:fill="auto"/>
          </w:tcPr>
          <w:p w:rsidR="0059586E" w:rsidRPr="0059586E" w:rsidP="0059586E" w14:paraId="4FE3C51A" w14:textId="77777777">
            <w:pPr>
              <w:jc w:val="right"/>
              <w:rPr>
                <w:bCs/>
                <w:sz w:val="20"/>
                <w:szCs w:val="20"/>
              </w:rPr>
            </w:pPr>
            <w:r w:rsidRPr="0059586E">
              <w:rPr>
                <w:bCs/>
                <w:sz w:val="20"/>
                <w:szCs w:val="20"/>
              </w:rPr>
              <w:t>92.3</w:t>
            </w:r>
          </w:p>
        </w:tc>
        <w:tc>
          <w:tcPr>
            <w:tcW w:w="1048" w:type="dxa"/>
            <w:shd w:val="clear" w:color="auto" w:fill="auto"/>
          </w:tcPr>
          <w:p w:rsidR="0059586E" w:rsidRPr="0059586E" w:rsidP="0059586E" w14:paraId="700D5CDF" w14:textId="77777777">
            <w:pPr>
              <w:jc w:val="right"/>
              <w:rPr>
                <w:sz w:val="20"/>
                <w:szCs w:val="20"/>
              </w:rPr>
            </w:pPr>
            <w:r w:rsidRPr="0059586E">
              <w:rPr>
                <w:sz w:val="20"/>
                <w:szCs w:val="20"/>
              </w:rPr>
              <w:t>46,150</w:t>
            </w:r>
          </w:p>
        </w:tc>
      </w:tr>
      <w:tr w14:paraId="55A928AD" w14:textId="77777777" w:rsidTr="00677059">
        <w:tblPrEx>
          <w:tblW w:w="9694" w:type="dxa"/>
          <w:tblLayout w:type="fixed"/>
          <w:tblLook w:val="01E0"/>
        </w:tblPrEx>
        <w:trPr>
          <w:cantSplit/>
          <w:trHeight w:val="530"/>
        </w:trPr>
        <w:tc>
          <w:tcPr>
            <w:tcW w:w="3717" w:type="dxa"/>
            <w:shd w:val="clear" w:color="auto" w:fill="auto"/>
          </w:tcPr>
          <w:p w:rsidR="0059586E" w:rsidRPr="0059586E" w:rsidP="0059586E" w14:paraId="563AF8F8" w14:textId="77777777">
            <w:pPr>
              <w:rPr>
                <w:color w:val="000000"/>
                <w:sz w:val="20"/>
                <w:szCs w:val="20"/>
              </w:rPr>
            </w:pPr>
            <w:r w:rsidRPr="0059586E">
              <w:rPr>
                <w:color w:val="000000"/>
                <w:sz w:val="20"/>
                <w:szCs w:val="20"/>
              </w:rPr>
              <w:t>Program element No. 9; risk factor study and intervention strategy</w:t>
            </w:r>
          </w:p>
        </w:tc>
        <w:tc>
          <w:tcPr>
            <w:tcW w:w="1233" w:type="dxa"/>
            <w:shd w:val="clear" w:color="auto" w:fill="auto"/>
          </w:tcPr>
          <w:p w:rsidR="0059586E" w:rsidRPr="0059586E" w:rsidP="0059586E" w14:paraId="2F6E36D5" w14:textId="77777777">
            <w:pPr>
              <w:jc w:val="right"/>
              <w:rPr>
                <w:sz w:val="20"/>
                <w:szCs w:val="20"/>
              </w:rPr>
            </w:pPr>
            <w:r w:rsidRPr="0059586E">
              <w:rPr>
                <w:sz w:val="20"/>
                <w:szCs w:val="20"/>
              </w:rPr>
              <w:t>500</w:t>
            </w:r>
          </w:p>
        </w:tc>
        <w:tc>
          <w:tcPr>
            <w:tcW w:w="1407" w:type="dxa"/>
            <w:shd w:val="clear" w:color="auto" w:fill="auto"/>
          </w:tcPr>
          <w:p w:rsidR="0059586E" w:rsidRPr="0059586E" w:rsidP="0059586E" w14:paraId="323A6312" w14:textId="77777777">
            <w:pPr>
              <w:jc w:val="right"/>
              <w:rPr>
                <w:bCs/>
                <w:sz w:val="20"/>
                <w:szCs w:val="20"/>
              </w:rPr>
            </w:pPr>
            <w:r w:rsidRPr="0059586E">
              <w:rPr>
                <w:bCs/>
                <w:sz w:val="20"/>
                <w:szCs w:val="20"/>
              </w:rPr>
              <w:t>1</w:t>
            </w:r>
          </w:p>
        </w:tc>
        <w:tc>
          <w:tcPr>
            <w:tcW w:w="1056" w:type="dxa"/>
            <w:shd w:val="clear" w:color="auto" w:fill="auto"/>
          </w:tcPr>
          <w:p w:rsidR="0059586E" w:rsidRPr="0059586E" w:rsidP="0059586E" w14:paraId="04F76D47" w14:textId="77777777">
            <w:pPr>
              <w:jc w:val="right"/>
              <w:rPr>
                <w:sz w:val="20"/>
                <w:szCs w:val="20"/>
              </w:rPr>
            </w:pPr>
            <w:r w:rsidRPr="0059586E">
              <w:rPr>
                <w:sz w:val="20"/>
                <w:szCs w:val="20"/>
              </w:rPr>
              <w:t>500</w:t>
            </w:r>
          </w:p>
        </w:tc>
        <w:tc>
          <w:tcPr>
            <w:tcW w:w="1233" w:type="dxa"/>
            <w:shd w:val="clear" w:color="auto" w:fill="auto"/>
          </w:tcPr>
          <w:p w:rsidR="0059586E" w:rsidRPr="0059586E" w:rsidP="0059586E" w14:paraId="2327F810" w14:textId="77777777">
            <w:pPr>
              <w:jc w:val="right"/>
              <w:rPr>
                <w:bCs/>
                <w:sz w:val="20"/>
                <w:szCs w:val="20"/>
              </w:rPr>
            </w:pPr>
            <w:r w:rsidRPr="0059586E">
              <w:rPr>
                <w:bCs/>
                <w:sz w:val="20"/>
                <w:szCs w:val="20"/>
              </w:rPr>
              <w:t>333</w:t>
            </w:r>
          </w:p>
        </w:tc>
        <w:tc>
          <w:tcPr>
            <w:tcW w:w="1048" w:type="dxa"/>
            <w:shd w:val="clear" w:color="auto" w:fill="auto"/>
          </w:tcPr>
          <w:p w:rsidR="0059586E" w:rsidRPr="0059586E" w:rsidP="0059586E" w14:paraId="4F644B4A" w14:textId="77777777">
            <w:pPr>
              <w:jc w:val="right"/>
              <w:rPr>
                <w:sz w:val="20"/>
                <w:szCs w:val="20"/>
              </w:rPr>
            </w:pPr>
            <w:r w:rsidRPr="0059586E">
              <w:rPr>
                <w:sz w:val="20"/>
                <w:szCs w:val="20"/>
              </w:rPr>
              <w:t>166,500</w:t>
            </w:r>
          </w:p>
        </w:tc>
      </w:tr>
      <w:tr w14:paraId="729019B3" w14:textId="77777777" w:rsidTr="00677059">
        <w:tblPrEx>
          <w:tblW w:w="9694" w:type="dxa"/>
          <w:tblLayout w:type="fixed"/>
          <w:tblLook w:val="01E0"/>
        </w:tblPrEx>
        <w:trPr>
          <w:cantSplit/>
          <w:trHeight w:val="350"/>
        </w:trPr>
        <w:tc>
          <w:tcPr>
            <w:tcW w:w="3717" w:type="dxa"/>
            <w:shd w:val="clear" w:color="auto" w:fill="auto"/>
          </w:tcPr>
          <w:p w:rsidR="0059586E" w:rsidRPr="0059586E" w:rsidP="0059586E" w14:paraId="558A6A09" w14:textId="77777777">
            <w:pPr>
              <w:rPr>
                <w:color w:val="000000"/>
                <w:sz w:val="20"/>
                <w:szCs w:val="20"/>
              </w:rPr>
            </w:pPr>
            <w:r w:rsidRPr="0059586E">
              <w:rPr>
                <w:color w:val="000000"/>
                <w:sz w:val="20"/>
                <w:szCs w:val="20"/>
              </w:rPr>
              <w:t>Program Verification audit</w:t>
            </w:r>
          </w:p>
        </w:tc>
        <w:tc>
          <w:tcPr>
            <w:tcW w:w="1233" w:type="dxa"/>
            <w:shd w:val="clear" w:color="auto" w:fill="auto"/>
          </w:tcPr>
          <w:p w:rsidR="0059586E" w:rsidRPr="0059586E" w:rsidP="0059586E" w14:paraId="3A12B868" w14:textId="77777777">
            <w:pPr>
              <w:jc w:val="right"/>
              <w:rPr>
                <w:sz w:val="20"/>
                <w:szCs w:val="20"/>
              </w:rPr>
            </w:pPr>
            <w:r w:rsidRPr="0059586E">
              <w:rPr>
                <w:sz w:val="20"/>
                <w:szCs w:val="20"/>
              </w:rPr>
              <w:t>500</w:t>
            </w:r>
          </w:p>
        </w:tc>
        <w:tc>
          <w:tcPr>
            <w:tcW w:w="1407" w:type="dxa"/>
            <w:shd w:val="clear" w:color="auto" w:fill="auto"/>
          </w:tcPr>
          <w:p w:rsidR="0059586E" w:rsidRPr="0059586E" w:rsidP="0059586E" w14:paraId="7B393F26" w14:textId="77777777">
            <w:pPr>
              <w:jc w:val="right"/>
              <w:rPr>
                <w:bCs/>
                <w:sz w:val="20"/>
                <w:szCs w:val="20"/>
              </w:rPr>
            </w:pPr>
            <w:r w:rsidRPr="0059586E">
              <w:rPr>
                <w:bCs/>
                <w:sz w:val="20"/>
                <w:szCs w:val="20"/>
              </w:rPr>
              <w:t>1</w:t>
            </w:r>
          </w:p>
        </w:tc>
        <w:tc>
          <w:tcPr>
            <w:tcW w:w="1056" w:type="dxa"/>
            <w:shd w:val="clear" w:color="auto" w:fill="auto"/>
          </w:tcPr>
          <w:p w:rsidR="0059586E" w:rsidRPr="0059586E" w:rsidP="0059586E" w14:paraId="5E389F0C" w14:textId="77777777">
            <w:pPr>
              <w:jc w:val="right"/>
              <w:rPr>
                <w:sz w:val="20"/>
                <w:szCs w:val="20"/>
              </w:rPr>
            </w:pPr>
            <w:r w:rsidRPr="0059586E">
              <w:rPr>
                <w:sz w:val="20"/>
                <w:szCs w:val="20"/>
              </w:rPr>
              <w:t>500</w:t>
            </w:r>
          </w:p>
        </w:tc>
        <w:tc>
          <w:tcPr>
            <w:tcW w:w="1233" w:type="dxa"/>
            <w:shd w:val="clear" w:color="auto" w:fill="auto"/>
          </w:tcPr>
          <w:p w:rsidR="0059586E" w:rsidRPr="0059586E" w:rsidP="0059586E" w14:paraId="3D3A6E25" w14:textId="77777777">
            <w:pPr>
              <w:jc w:val="right"/>
              <w:rPr>
                <w:sz w:val="20"/>
                <w:szCs w:val="20"/>
              </w:rPr>
            </w:pPr>
            <w:r w:rsidRPr="0059586E">
              <w:rPr>
                <w:sz w:val="20"/>
                <w:szCs w:val="20"/>
              </w:rPr>
              <w:t>46.15</w:t>
            </w:r>
          </w:p>
        </w:tc>
        <w:tc>
          <w:tcPr>
            <w:tcW w:w="1048" w:type="dxa"/>
            <w:shd w:val="clear" w:color="auto" w:fill="auto"/>
          </w:tcPr>
          <w:p w:rsidR="0059586E" w:rsidRPr="0059586E" w:rsidP="0059586E" w14:paraId="05A052AB" w14:textId="77777777">
            <w:pPr>
              <w:jc w:val="right"/>
              <w:rPr>
                <w:sz w:val="20"/>
                <w:szCs w:val="20"/>
              </w:rPr>
            </w:pPr>
            <w:r w:rsidRPr="0059586E">
              <w:rPr>
                <w:sz w:val="20"/>
                <w:szCs w:val="20"/>
              </w:rPr>
              <w:t>23,075</w:t>
            </w:r>
          </w:p>
        </w:tc>
      </w:tr>
      <w:tr w14:paraId="580237C4" w14:textId="77777777" w:rsidTr="00105670">
        <w:tblPrEx>
          <w:tblW w:w="9694" w:type="dxa"/>
          <w:tblLayout w:type="fixed"/>
          <w:tblLook w:val="01E0"/>
        </w:tblPrEx>
        <w:trPr>
          <w:cantSplit/>
          <w:trHeight w:val="746"/>
        </w:trPr>
        <w:tc>
          <w:tcPr>
            <w:tcW w:w="3717" w:type="dxa"/>
            <w:shd w:val="clear" w:color="auto" w:fill="auto"/>
          </w:tcPr>
          <w:p w:rsidR="0059586E" w:rsidRPr="0059586E" w:rsidP="0059586E" w14:paraId="1D36CEFB" w14:textId="77777777">
            <w:pPr>
              <w:rPr>
                <w:color w:val="000000"/>
                <w:sz w:val="20"/>
                <w:szCs w:val="20"/>
              </w:rPr>
            </w:pPr>
            <w:r w:rsidRPr="0059586E">
              <w:rPr>
                <w:color w:val="000000"/>
                <w:sz w:val="20"/>
                <w:szCs w:val="20"/>
              </w:rPr>
              <w:t>Program records; associated documentation/maintenance of worksheets, assessments, associated program tools</w:t>
            </w:r>
          </w:p>
        </w:tc>
        <w:tc>
          <w:tcPr>
            <w:tcW w:w="1233" w:type="dxa"/>
            <w:shd w:val="clear" w:color="auto" w:fill="auto"/>
          </w:tcPr>
          <w:p w:rsidR="0059586E" w:rsidRPr="0059586E" w:rsidP="0059586E" w14:paraId="5AAF3CD6" w14:textId="77777777">
            <w:pPr>
              <w:jc w:val="right"/>
              <w:rPr>
                <w:sz w:val="20"/>
                <w:szCs w:val="20"/>
              </w:rPr>
            </w:pPr>
            <w:r w:rsidRPr="0059586E">
              <w:rPr>
                <w:sz w:val="20"/>
                <w:szCs w:val="20"/>
              </w:rPr>
              <w:t>500</w:t>
            </w:r>
          </w:p>
        </w:tc>
        <w:tc>
          <w:tcPr>
            <w:tcW w:w="1407" w:type="dxa"/>
            <w:shd w:val="clear" w:color="auto" w:fill="auto"/>
          </w:tcPr>
          <w:p w:rsidR="0059586E" w:rsidRPr="0059586E" w:rsidP="0059586E" w14:paraId="0FBDCCCA" w14:textId="77777777">
            <w:pPr>
              <w:jc w:val="right"/>
              <w:rPr>
                <w:bCs/>
                <w:sz w:val="20"/>
                <w:szCs w:val="20"/>
              </w:rPr>
            </w:pPr>
            <w:r w:rsidRPr="0059586E">
              <w:rPr>
                <w:bCs/>
                <w:sz w:val="20"/>
                <w:szCs w:val="20"/>
              </w:rPr>
              <w:t>1</w:t>
            </w:r>
          </w:p>
        </w:tc>
        <w:tc>
          <w:tcPr>
            <w:tcW w:w="1056" w:type="dxa"/>
            <w:shd w:val="clear" w:color="auto" w:fill="auto"/>
          </w:tcPr>
          <w:p w:rsidR="0059586E" w:rsidRPr="0059586E" w:rsidP="0059586E" w14:paraId="7F661C33" w14:textId="77777777">
            <w:pPr>
              <w:jc w:val="right"/>
              <w:rPr>
                <w:sz w:val="20"/>
                <w:szCs w:val="20"/>
              </w:rPr>
            </w:pPr>
            <w:r w:rsidRPr="0059586E">
              <w:rPr>
                <w:sz w:val="20"/>
                <w:szCs w:val="20"/>
              </w:rPr>
              <w:t>500</w:t>
            </w:r>
          </w:p>
        </w:tc>
        <w:tc>
          <w:tcPr>
            <w:tcW w:w="1233" w:type="dxa"/>
            <w:shd w:val="clear" w:color="auto" w:fill="auto"/>
          </w:tcPr>
          <w:p w:rsidR="0059586E" w:rsidRPr="0059586E" w:rsidP="0059586E" w14:paraId="0B54C0EC" w14:textId="77777777">
            <w:pPr>
              <w:jc w:val="right"/>
              <w:rPr>
                <w:sz w:val="20"/>
                <w:szCs w:val="20"/>
              </w:rPr>
            </w:pPr>
            <w:r w:rsidRPr="0059586E">
              <w:rPr>
                <w:sz w:val="20"/>
                <w:szCs w:val="20"/>
              </w:rPr>
              <w:t>94.29</w:t>
            </w:r>
          </w:p>
        </w:tc>
        <w:tc>
          <w:tcPr>
            <w:tcW w:w="1048" w:type="dxa"/>
            <w:shd w:val="clear" w:color="auto" w:fill="auto"/>
          </w:tcPr>
          <w:p w:rsidR="0059586E" w:rsidRPr="0059586E" w:rsidP="0059586E" w14:paraId="4D79E2E5" w14:textId="77777777">
            <w:pPr>
              <w:jc w:val="right"/>
              <w:rPr>
                <w:sz w:val="20"/>
                <w:szCs w:val="20"/>
              </w:rPr>
            </w:pPr>
            <w:r w:rsidRPr="0059586E">
              <w:rPr>
                <w:sz w:val="20"/>
                <w:szCs w:val="20"/>
              </w:rPr>
              <w:t>47,145</w:t>
            </w:r>
          </w:p>
        </w:tc>
      </w:tr>
      <w:tr w14:paraId="51440C3D" w14:textId="77777777" w:rsidTr="00677059">
        <w:tblPrEx>
          <w:tblW w:w="9694" w:type="dxa"/>
          <w:tblLayout w:type="fixed"/>
          <w:tblLook w:val="01E0"/>
        </w:tblPrEx>
        <w:trPr>
          <w:cantSplit/>
          <w:trHeight w:val="530"/>
        </w:trPr>
        <w:tc>
          <w:tcPr>
            <w:tcW w:w="3717" w:type="dxa"/>
            <w:shd w:val="clear" w:color="auto" w:fill="auto"/>
          </w:tcPr>
          <w:p w:rsidR="0059586E" w:rsidRPr="0059586E" w:rsidP="0059586E" w14:paraId="68224C77" w14:textId="77777777">
            <w:pPr>
              <w:rPr>
                <w:color w:val="000000"/>
                <w:sz w:val="20"/>
                <w:szCs w:val="20"/>
              </w:rPr>
            </w:pPr>
            <w:r w:rsidRPr="0059586E">
              <w:rPr>
                <w:color w:val="000000"/>
                <w:sz w:val="20"/>
                <w:szCs w:val="20"/>
              </w:rPr>
              <w:t>FDA Form 3958; VNRFP National Registry Report</w:t>
            </w:r>
          </w:p>
        </w:tc>
        <w:tc>
          <w:tcPr>
            <w:tcW w:w="1233" w:type="dxa"/>
            <w:shd w:val="clear" w:color="auto" w:fill="auto"/>
          </w:tcPr>
          <w:p w:rsidR="0059586E" w:rsidRPr="0059586E" w:rsidP="0059586E" w14:paraId="06DC7183" w14:textId="77777777">
            <w:pPr>
              <w:jc w:val="right"/>
              <w:rPr>
                <w:sz w:val="20"/>
                <w:szCs w:val="20"/>
              </w:rPr>
            </w:pPr>
            <w:r w:rsidRPr="0059586E">
              <w:rPr>
                <w:sz w:val="20"/>
                <w:szCs w:val="20"/>
              </w:rPr>
              <w:t>500</w:t>
            </w:r>
          </w:p>
        </w:tc>
        <w:tc>
          <w:tcPr>
            <w:tcW w:w="1407" w:type="dxa"/>
            <w:shd w:val="clear" w:color="auto" w:fill="auto"/>
          </w:tcPr>
          <w:p w:rsidR="0059586E" w:rsidRPr="0059586E" w:rsidP="0059586E" w14:paraId="51FB60DE" w14:textId="77777777">
            <w:pPr>
              <w:jc w:val="right"/>
              <w:rPr>
                <w:bCs/>
                <w:sz w:val="20"/>
                <w:szCs w:val="20"/>
              </w:rPr>
            </w:pPr>
            <w:r w:rsidRPr="0059586E">
              <w:rPr>
                <w:bCs/>
                <w:sz w:val="20"/>
                <w:szCs w:val="20"/>
              </w:rPr>
              <w:t>1</w:t>
            </w:r>
          </w:p>
        </w:tc>
        <w:tc>
          <w:tcPr>
            <w:tcW w:w="1056" w:type="dxa"/>
            <w:shd w:val="clear" w:color="auto" w:fill="auto"/>
          </w:tcPr>
          <w:p w:rsidR="0059586E" w:rsidRPr="0059586E" w:rsidP="0059586E" w14:paraId="33BFF9EB" w14:textId="77777777">
            <w:pPr>
              <w:jc w:val="right"/>
              <w:rPr>
                <w:sz w:val="20"/>
                <w:szCs w:val="20"/>
              </w:rPr>
            </w:pPr>
            <w:r w:rsidRPr="0059586E">
              <w:rPr>
                <w:sz w:val="20"/>
                <w:szCs w:val="20"/>
              </w:rPr>
              <w:t>500</w:t>
            </w:r>
          </w:p>
        </w:tc>
        <w:tc>
          <w:tcPr>
            <w:tcW w:w="1233" w:type="dxa"/>
            <w:shd w:val="clear" w:color="auto" w:fill="auto"/>
          </w:tcPr>
          <w:p w:rsidR="0059586E" w:rsidRPr="0059586E" w:rsidP="0059586E" w14:paraId="66E37AF8" w14:textId="77777777">
            <w:pPr>
              <w:jc w:val="right"/>
              <w:rPr>
                <w:sz w:val="20"/>
                <w:szCs w:val="20"/>
              </w:rPr>
            </w:pPr>
            <w:r w:rsidRPr="0059586E">
              <w:rPr>
                <w:sz w:val="20"/>
                <w:szCs w:val="20"/>
              </w:rPr>
              <w:t>0.1</w:t>
            </w:r>
          </w:p>
          <w:p w:rsidR="0059586E" w:rsidRPr="0059586E" w:rsidP="0059586E" w14:paraId="3FF16AB0" w14:textId="77777777">
            <w:pPr>
              <w:jc w:val="right"/>
              <w:rPr>
                <w:sz w:val="20"/>
                <w:szCs w:val="20"/>
              </w:rPr>
            </w:pPr>
            <w:r w:rsidRPr="0059586E">
              <w:rPr>
                <w:sz w:val="20"/>
                <w:szCs w:val="20"/>
              </w:rPr>
              <w:t>(6 minutes)</w:t>
            </w:r>
          </w:p>
        </w:tc>
        <w:tc>
          <w:tcPr>
            <w:tcW w:w="1048" w:type="dxa"/>
            <w:shd w:val="clear" w:color="auto" w:fill="auto"/>
          </w:tcPr>
          <w:p w:rsidR="0059586E" w:rsidRPr="0059586E" w:rsidP="0059586E" w14:paraId="2B96BFAD" w14:textId="77777777">
            <w:pPr>
              <w:jc w:val="right"/>
              <w:rPr>
                <w:sz w:val="20"/>
                <w:szCs w:val="20"/>
              </w:rPr>
            </w:pPr>
            <w:r w:rsidRPr="0059586E">
              <w:rPr>
                <w:sz w:val="20"/>
                <w:szCs w:val="20"/>
              </w:rPr>
              <w:t>50</w:t>
            </w:r>
          </w:p>
        </w:tc>
      </w:tr>
      <w:tr w14:paraId="74A8B5A3" w14:textId="77777777" w:rsidTr="00677059">
        <w:tblPrEx>
          <w:tblW w:w="9694" w:type="dxa"/>
          <w:tblLayout w:type="fixed"/>
          <w:tblLook w:val="01E0"/>
        </w:tblPrEx>
        <w:trPr>
          <w:cantSplit/>
          <w:trHeight w:val="530"/>
        </w:trPr>
        <w:tc>
          <w:tcPr>
            <w:tcW w:w="3717" w:type="dxa"/>
            <w:shd w:val="clear" w:color="auto" w:fill="auto"/>
          </w:tcPr>
          <w:p w:rsidR="0059586E" w:rsidRPr="0059586E" w:rsidP="0059586E" w14:paraId="3A96696F" w14:textId="77777777">
            <w:pPr>
              <w:rPr>
                <w:color w:val="000000"/>
                <w:sz w:val="20"/>
                <w:szCs w:val="20"/>
              </w:rPr>
            </w:pPr>
            <w:r w:rsidRPr="0059586E">
              <w:rPr>
                <w:color w:val="000000"/>
                <w:sz w:val="20"/>
                <w:szCs w:val="20"/>
              </w:rPr>
              <w:t>Requests for program documentation (dedicated email)</w:t>
            </w:r>
          </w:p>
        </w:tc>
        <w:tc>
          <w:tcPr>
            <w:tcW w:w="1233" w:type="dxa"/>
            <w:shd w:val="clear" w:color="auto" w:fill="auto"/>
          </w:tcPr>
          <w:p w:rsidR="0059586E" w:rsidRPr="0059586E" w:rsidP="0059586E" w14:paraId="3757A908" w14:textId="77777777">
            <w:pPr>
              <w:jc w:val="right"/>
              <w:rPr>
                <w:sz w:val="20"/>
                <w:szCs w:val="20"/>
              </w:rPr>
            </w:pPr>
            <w:r w:rsidRPr="0059586E">
              <w:rPr>
                <w:sz w:val="20"/>
                <w:szCs w:val="20"/>
              </w:rPr>
              <w:t>500</w:t>
            </w:r>
          </w:p>
        </w:tc>
        <w:tc>
          <w:tcPr>
            <w:tcW w:w="1407" w:type="dxa"/>
            <w:shd w:val="clear" w:color="auto" w:fill="auto"/>
          </w:tcPr>
          <w:p w:rsidR="0059586E" w:rsidRPr="0059586E" w:rsidP="0059586E" w14:paraId="38FC6C5A" w14:textId="77777777">
            <w:pPr>
              <w:jc w:val="right"/>
              <w:rPr>
                <w:bCs/>
                <w:sz w:val="20"/>
                <w:szCs w:val="20"/>
              </w:rPr>
            </w:pPr>
            <w:r w:rsidRPr="0059586E">
              <w:rPr>
                <w:bCs/>
                <w:sz w:val="20"/>
                <w:szCs w:val="20"/>
              </w:rPr>
              <w:t>3</w:t>
            </w:r>
          </w:p>
        </w:tc>
        <w:tc>
          <w:tcPr>
            <w:tcW w:w="1056" w:type="dxa"/>
            <w:shd w:val="clear" w:color="auto" w:fill="auto"/>
          </w:tcPr>
          <w:p w:rsidR="0059586E" w:rsidRPr="0059586E" w:rsidP="0059586E" w14:paraId="46D5875F" w14:textId="77777777">
            <w:pPr>
              <w:jc w:val="right"/>
              <w:rPr>
                <w:sz w:val="20"/>
                <w:szCs w:val="20"/>
              </w:rPr>
            </w:pPr>
            <w:r w:rsidRPr="0059586E">
              <w:rPr>
                <w:sz w:val="20"/>
                <w:szCs w:val="20"/>
              </w:rPr>
              <w:t>1,500</w:t>
            </w:r>
          </w:p>
        </w:tc>
        <w:tc>
          <w:tcPr>
            <w:tcW w:w="1233" w:type="dxa"/>
            <w:shd w:val="clear" w:color="auto" w:fill="auto"/>
          </w:tcPr>
          <w:p w:rsidR="0059586E" w:rsidRPr="0059586E" w:rsidP="0059586E" w14:paraId="08B716B7" w14:textId="77777777">
            <w:pPr>
              <w:jc w:val="right"/>
              <w:rPr>
                <w:sz w:val="20"/>
                <w:szCs w:val="20"/>
              </w:rPr>
            </w:pPr>
            <w:r w:rsidRPr="0059586E">
              <w:rPr>
                <w:sz w:val="20"/>
                <w:szCs w:val="20"/>
              </w:rPr>
              <w:t>0.1</w:t>
            </w:r>
          </w:p>
          <w:p w:rsidR="0059586E" w:rsidRPr="0059586E" w:rsidP="0059586E" w14:paraId="72EF1DBB" w14:textId="77777777">
            <w:pPr>
              <w:jc w:val="right"/>
              <w:rPr>
                <w:sz w:val="20"/>
                <w:szCs w:val="20"/>
              </w:rPr>
            </w:pPr>
            <w:r w:rsidRPr="0059586E">
              <w:rPr>
                <w:sz w:val="20"/>
                <w:szCs w:val="20"/>
              </w:rPr>
              <w:t>(6 minutes)</w:t>
            </w:r>
          </w:p>
        </w:tc>
        <w:tc>
          <w:tcPr>
            <w:tcW w:w="1048" w:type="dxa"/>
            <w:shd w:val="clear" w:color="auto" w:fill="auto"/>
          </w:tcPr>
          <w:p w:rsidR="0059586E" w:rsidRPr="0059586E" w:rsidP="0059586E" w14:paraId="5A547210" w14:textId="77777777">
            <w:pPr>
              <w:jc w:val="right"/>
              <w:rPr>
                <w:sz w:val="20"/>
                <w:szCs w:val="20"/>
              </w:rPr>
            </w:pPr>
            <w:r w:rsidRPr="0059586E">
              <w:rPr>
                <w:sz w:val="20"/>
                <w:szCs w:val="20"/>
              </w:rPr>
              <w:t>150</w:t>
            </w:r>
          </w:p>
        </w:tc>
      </w:tr>
      <w:tr w14:paraId="7F8A7E69" w14:textId="77777777" w:rsidTr="00677059">
        <w:tblPrEx>
          <w:tblW w:w="9694" w:type="dxa"/>
          <w:tblLayout w:type="fixed"/>
          <w:tblLook w:val="01E0"/>
        </w:tblPrEx>
        <w:trPr>
          <w:cantSplit/>
          <w:trHeight w:val="530"/>
        </w:trPr>
        <w:tc>
          <w:tcPr>
            <w:tcW w:w="3717" w:type="dxa"/>
            <w:shd w:val="clear" w:color="auto" w:fill="auto"/>
          </w:tcPr>
          <w:p w:rsidR="0059586E" w:rsidRPr="0059586E" w:rsidP="0059586E" w14:paraId="074D28A7" w14:textId="77777777">
            <w:pPr>
              <w:rPr>
                <w:color w:val="000000"/>
                <w:sz w:val="20"/>
                <w:szCs w:val="20"/>
              </w:rPr>
            </w:pPr>
            <w:r w:rsidRPr="0059586E">
              <w:rPr>
                <w:color w:val="000000"/>
                <w:sz w:val="20"/>
                <w:szCs w:val="20"/>
              </w:rPr>
              <w:t>Proposed Form FDA 5017; Waiver of Annual Maintenance Requirement</w:t>
            </w:r>
          </w:p>
        </w:tc>
        <w:tc>
          <w:tcPr>
            <w:tcW w:w="1233" w:type="dxa"/>
            <w:shd w:val="clear" w:color="auto" w:fill="auto"/>
          </w:tcPr>
          <w:p w:rsidR="0059586E" w:rsidRPr="0059586E" w:rsidP="0059586E" w14:paraId="361D3AA7" w14:textId="77777777">
            <w:pPr>
              <w:jc w:val="right"/>
              <w:rPr>
                <w:sz w:val="20"/>
                <w:szCs w:val="20"/>
              </w:rPr>
            </w:pPr>
            <w:r w:rsidRPr="0059586E">
              <w:rPr>
                <w:sz w:val="20"/>
                <w:szCs w:val="20"/>
              </w:rPr>
              <w:t>10</w:t>
            </w:r>
          </w:p>
        </w:tc>
        <w:tc>
          <w:tcPr>
            <w:tcW w:w="1407" w:type="dxa"/>
            <w:shd w:val="clear" w:color="auto" w:fill="auto"/>
          </w:tcPr>
          <w:p w:rsidR="0059586E" w:rsidRPr="0059586E" w:rsidP="0059586E" w14:paraId="1A5FE40C" w14:textId="77777777">
            <w:pPr>
              <w:jc w:val="right"/>
              <w:rPr>
                <w:bCs/>
                <w:sz w:val="20"/>
                <w:szCs w:val="20"/>
              </w:rPr>
            </w:pPr>
            <w:r w:rsidRPr="0059586E">
              <w:rPr>
                <w:bCs/>
                <w:sz w:val="20"/>
                <w:szCs w:val="20"/>
              </w:rPr>
              <w:t>1</w:t>
            </w:r>
          </w:p>
        </w:tc>
        <w:tc>
          <w:tcPr>
            <w:tcW w:w="1056" w:type="dxa"/>
            <w:shd w:val="clear" w:color="auto" w:fill="auto"/>
          </w:tcPr>
          <w:p w:rsidR="0059586E" w:rsidRPr="0059586E" w:rsidP="0059586E" w14:paraId="6BBC6FDB" w14:textId="77777777">
            <w:pPr>
              <w:jc w:val="right"/>
              <w:rPr>
                <w:sz w:val="20"/>
                <w:szCs w:val="20"/>
              </w:rPr>
            </w:pPr>
            <w:r w:rsidRPr="0059586E">
              <w:rPr>
                <w:sz w:val="20"/>
                <w:szCs w:val="20"/>
              </w:rPr>
              <w:t>10</w:t>
            </w:r>
          </w:p>
        </w:tc>
        <w:tc>
          <w:tcPr>
            <w:tcW w:w="1233" w:type="dxa"/>
            <w:shd w:val="clear" w:color="auto" w:fill="auto"/>
          </w:tcPr>
          <w:p w:rsidR="0059586E" w:rsidRPr="0059586E" w:rsidP="0059586E" w14:paraId="371C1A0C" w14:textId="77777777">
            <w:pPr>
              <w:jc w:val="right"/>
              <w:rPr>
                <w:sz w:val="20"/>
                <w:szCs w:val="20"/>
              </w:rPr>
            </w:pPr>
            <w:r w:rsidRPr="0059586E">
              <w:rPr>
                <w:sz w:val="20"/>
                <w:szCs w:val="20"/>
              </w:rPr>
              <w:t>0.35</w:t>
            </w:r>
          </w:p>
          <w:p w:rsidR="0059586E" w:rsidRPr="0059586E" w:rsidP="0059586E" w14:paraId="4C201101" w14:textId="77777777">
            <w:pPr>
              <w:jc w:val="right"/>
              <w:rPr>
                <w:sz w:val="20"/>
                <w:szCs w:val="20"/>
              </w:rPr>
            </w:pPr>
            <w:r w:rsidRPr="0059586E">
              <w:rPr>
                <w:sz w:val="20"/>
                <w:szCs w:val="20"/>
              </w:rPr>
              <w:t>(21 minutes)</w:t>
            </w:r>
          </w:p>
        </w:tc>
        <w:tc>
          <w:tcPr>
            <w:tcW w:w="1048" w:type="dxa"/>
            <w:shd w:val="clear" w:color="auto" w:fill="auto"/>
          </w:tcPr>
          <w:p w:rsidR="0059586E" w:rsidRPr="0059586E" w:rsidP="0059586E" w14:paraId="05393A9E" w14:textId="77777777">
            <w:pPr>
              <w:jc w:val="right"/>
              <w:rPr>
                <w:sz w:val="20"/>
                <w:szCs w:val="20"/>
              </w:rPr>
            </w:pPr>
            <w:r w:rsidRPr="0059586E">
              <w:rPr>
                <w:sz w:val="20"/>
                <w:szCs w:val="20"/>
              </w:rPr>
              <w:t>3.5</w:t>
            </w:r>
          </w:p>
        </w:tc>
      </w:tr>
      <w:tr w14:paraId="75328312" w14:textId="77777777" w:rsidTr="00677059">
        <w:tblPrEx>
          <w:tblW w:w="9694" w:type="dxa"/>
          <w:tblLayout w:type="fixed"/>
          <w:tblLook w:val="01E0"/>
        </w:tblPrEx>
        <w:trPr>
          <w:cantSplit/>
          <w:trHeight w:val="530"/>
        </w:trPr>
        <w:tc>
          <w:tcPr>
            <w:tcW w:w="3717" w:type="dxa"/>
            <w:shd w:val="clear" w:color="auto" w:fill="auto"/>
          </w:tcPr>
          <w:p w:rsidR="0059586E" w:rsidRPr="0059586E" w:rsidP="0059586E" w14:paraId="7F207921" w14:textId="2C07E9F7">
            <w:pPr>
              <w:rPr>
                <w:color w:val="000000"/>
                <w:sz w:val="20"/>
                <w:szCs w:val="20"/>
              </w:rPr>
            </w:pPr>
            <w:r w:rsidRPr="0059586E">
              <w:rPr>
                <w:color w:val="000000"/>
                <w:sz w:val="20"/>
                <w:szCs w:val="20"/>
              </w:rPr>
              <w:t xml:space="preserve">Proposed Form FDA 5018; </w:t>
            </w:r>
            <w:r w:rsidR="0009093D">
              <w:rPr>
                <w:color w:val="000000"/>
                <w:sz w:val="20"/>
                <w:szCs w:val="20"/>
              </w:rPr>
              <w:t xml:space="preserve">Retail </w:t>
            </w:r>
            <w:r w:rsidRPr="0059586E">
              <w:rPr>
                <w:color w:val="000000"/>
                <w:sz w:val="20"/>
                <w:szCs w:val="20"/>
              </w:rPr>
              <w:t>Food Safety Inspection Officer Annual Maintenance</w:t>
            </w:r>
          </w:p>
        </w:tc>
        <w:tc>
          <w:tcPr>
            <w:tcW w:w="1233" w:type="dxa"/>
            <w:shd w:val="clear" w:color="auto" w:fill="auto"/>
          </w:tcPr>
          <w:p w:rsidR="0059586E" w:rsidRPr="0059586E" w:rsidP="0059586E" w14:paraId="1BD3D1EA" w14:textId="77777777">
            <w:pPr>
              <w:jc w:val="right"/>
              <w:rPr>
                <w:sz w:val="20"/>
                <w:szCs w:val="20"/>
              </w:rPr>
            </w:pPr>
            <w:r w:rsidRPr="0059586E">
              <w:rPr>
                <w:sz w:val="20"/>
                <w:szCs w:val="20"/>
              </w:rPr>
              <w:t>130</w:t>
            </w:r>
          </w:p>
        </w:tc>
        <w:tc>
          <w:tcPr>
            <w:tcW w:w="1407" w:type="dxa"/>
            <w:shd w:val="clear" w:color="auto" w:fill="auto"/>
          </w:tcPr>
          <w:p w:rsidR="0059586E" w:rsidRPr="0059586E" w:rsidP="0059586E" w14:paraId="2828B947" w14:textId="77777777">
            <w:pPr>
              <w:jc w:val="right"/>
              <w:rPr>
                <w:bCs/>
                <w:sz w:val="20"/>
                <w:szCs w:val="20"/>
              </w:rPr>
            </w:pPr>
            <w:r w:rsidRPr="0059586E">
              <w:rPr>
                <w:bCs/>
                <w:sz w:val="20"/>
                <w:szCs w:val="20"/>
              </w:rPr>
              <w:t>1</w:t>
            </w:r>
          </w:p>
        </w:tc>
        <w:tc>
          <w:tcPr>
            <w:tcW w:w="1056" w:type="dxa"/>
            <w:shd w:val="clear" w:color="auto" w:fill="auto"/>
          </w:tcPr>
          <w:p w:rsidR="0059586E" w:rsidRPr="0059586E" w:rsidP="0059586E" w14:paraId="3D58A645" w14:textId="77777777">
            <w:pPr>
              <w:jc w:val="right"/>
              <w:rPr>
                <w:sz w:val="20"/>
                <w:szCs w:val="20"/>
              </w:rPr>
            </w:pPr>
            <w:r w:rsidRPr="0059586E">
              <w:rPr>
                <w:sz w:val="20"/>
                <w:szCs w:val="20"/>
              </w:rPr>
              <w:t>130</w:t>
            </w:r>
          </w:p>
        </w:tc>
        <w:tc>
          <w:tcPr>
            <w:tcW w:w="1233" w:type="dxa"/>
            <w:shd w:val="clear" w:color="auto" w:fill="auto"/>
          </w:tcPr>
          <w:p w:rsidR="0059586E" w:rsidRPr="0059586E" w:rsidP="0059586E" w14:paraId="0CEF77DE" w14:textId="2432FAC5">
            <w:pPr>
              <w:jc w:val="right"/>
              <w:rPr>
                <w:sz w:val="20"/>
                <w:szCs w:val="20"/>
              </w:rPr>
            </w:pPr>
            <w:r>
              <w:rPr>
                <w:sz w:val="20"/>
                <w:szCs w:val="20"/>
              </w:rPr>
              <w:t>0.</w:t>
            </w:r>
            <w:r w:rsidR="00DF7D2E">
              <w:rPr>
                <w:sz w:val="20"/>
                <w:szCs w:val="20"/>
              </w:rPr>
              <w:t>3</w:t>
            </w:r>
            <w:r>
              <w:rPr>
                <w:sz w:val="20"/>
                <w:szCs w:val="20"/>
              </w:rPr>
              <w:t>5</w:t>
            </w:r>
          </w:p>
          <w:p w:rsidR="0059586E" w:rsidRPr="0059586E" w:rsidP="0059586E" w14:paraId="59D6281C" w14:textId="5533B6FB">
            <w:pPr>
              <w:jc w:val="right"/>
              <w:rPr>
                <w:sz w:val="20"/>
                <w:szCs w:val="20"/>
              </w:rPr>
            </w:pPr>
            <w:r w:rsidRPr="0059586E">
              <w:rPr>
                <w:sz w:val="20"/>
                <w:szCs w:val="20"/>
              </w:rPr>
              <w:t>(</w:t>
            </w:r>
            <w:r w:rsidR="00DF7D2E">
              <w:rPr>
                <w:sz w:val="20"/>
                <w:szCs w:val="20"/>
              </w:rPr>
              <w:t>21</w:t>
            </w:r>
            <w:r w:rsidRPr="0059586E" w:rsidR="000A1256">
              <w:rPr>
                <w:sz w:val="20"/>
                <w:szCs w:val="20"/>
              </w:rPr>
              <w:t xml:space="preserve"> </w:t>
            </w:r>
            <w:r w:rsidRPr="0059586E">
              <w:rPr>
                <w:sz w:val="20"/>
                <w:szCs w:val="20"/>
              </w:rPr>
              <w:t>minutes)</w:t>
            </w:r>
          </w:p>
        </w:tc>
        <w:tc>
          <w:tcPr>
            <w:tcW w:w="1048" w:type="dxa"/>
            <w:shd w:val="clear" w:color="auto" w:fill="auto"/>
          </w:tcPr>
          <w:p w:rsidR="0059586E" w:rsidRPr="0059586E" w:rsidP="0059586E" w14:paraId="07CD9750" w14:textId="5ADECC7E">
            <w:pPr>
              <w:jc w:val="right"/>
              <w:rPr>
                <w:sz w:val="20"/>
                <w:szCs w:val="20"/>
              </w:rPr>
            </w:pPr>
            <w:r>
              <w:rPr>
                <w:sz w:val="20"/>
                <w:szCs w:val="20"/>
              </w:rPr>
              <w:t>43</w:t>
            </w:r>
          </w:p>
        </w:tc>
      </w:tr>
      <w:tr w14:paraId="30653C27" w14:textId="77777777" w:rsidTr="00105670">
        <w:tblPrEx>
          <w:tblW w:w="9694" w:type="dxa"/>
          <w:tblLayout w:type="fixed"/>
          <w:tblLook w:val="01E0"/>
        </w:tblPrEx>
        <w:trPr>
          <w:cantSplit/>
          <w:trHeight w:val="539"/>
        </w:trPr>
        <w:tc>
          <w:tcPr>
            <w:tcW w:w="3717" w:type="dxa"/>
            <w:shd w:val="clear" w:color="auto" w:fill="auto"/>
          </w:tcPr>
          <w:p w:rsidR="0059586E" w:rsidRPr="0059586E" w:rsidP="00814305" w14:paraId="2DDB2D6B" w14:textId="05C18FE3">
            <w:pPr>
              <w:rPr>
                <w:color w:val="000000"/>
                <w:sz w:val="20"/>
                <w:szCs w:val="20"/>
              </w:rPr>
            </w:pPr>
            <w:r w:rsidRPr="0059586E">
              <w:rPr>
                <w:color w:val="000000"/>
                <w:sz w:val="20"/>
                <w:szCs w:val="20"/>
              </w:rPr>
              <w:t xml:space="preserve">Proposed Form FDA 5019; </w:t>
            </w:r>
            <w:r w:rsidR="0009093D">
              <w:rPr>
                <w:color w:val="000000"/>
                <w:sz w:val="20"/>
                <w:szCs w:val="20"/>
              </w:rPr>
              <w:t xml:space="preserve">Retail </w:t>
            </w:r>
            <w:r w:rsidRPr="0059586E">
              <w:rPr>
                <w:color w:val="000000"/>
                <w:sz w:val="20"/>
                <w:szCs w:val="20"/>
              </w:rPr>
              <w:t xml:space="preserve">Food Safety Inspection Officer Nomination </w:t>
            </w:r>
          </w:p>
        </w:tc>
        <w:tc>
          <w:tcPr>
            <w:tcW w:w="1233" w:type="dxa"/>
            <w:shd w:val="clear" w:color="auto" w:fill="auto"/>
          </w:tcPr>
          <w:p w:rsidR="0059586E" w:rsidRPr="0059586E" w:rsidP="0059586E" w14:paraId="4C6A40A8" w14:textId="77777777">
            <w:pPr>
              <w:jc w:val="right"/>
              <w:rPr>
                <w:sz w:val="20"/>
                <w:szCs w:val="20"/>
              </w:rPr>
            </w:pPr>
            <w:r w:rsidRPr="0059586E">
              <w:rPr>
                <w:sz w:val="20"/>
                <w:szCs w:val="20"/>
              </w:rPr>
              <w:t>14</w:t>
            </w:r>
          </w:p>
        </w:tc>
        <w:tc>
          <w:tcPr>
            <w:tcW w:w="1407" w:type="dxa"/>
            <w:shd w:val="clear" w:color="auto" w:fill="auto"/>
          </w:tcPr>
          <w:p w:rsidR="0059586E" w:rsidRPr="0059586E" w:rsidP="0059586E" w14:paraId="233F3E41" w14:textId="77777777">
            <w:pPr>
              <w:jc w:val="right"/>
              <w:rPr>
                <w:bCs/>
                <w:sz w:val="20"/>
                <w:szCs w:val="20"/>
              </w:rPr>
            </w:pPr>
            <w:r w:rsidRPr="0059586E">
              <w:rPr>
                <w:bCs/>
                <w:sz w:val="20"/>
                <w:szCs w:val="20"/>
              </w:rPr>
              <w:t>1</w:t>
            </w:r>
          </w:p>
        </w:tc>
        <w:tc>
          <w:tcPr>
            <w:tcW w:w="1056" w:type="dxa"/>
            <w:shd w:val="clear" w:color="auto" w:fill="auto"/>
          </w:tcPr>
          <w:p w:rsidR="0059586E" w:rsidRPr="0059586E" w:rsidP="0059586E" w14:paraId="4C44198E" w14:textId="77777777">
            <w:pPr>
              <w:jc w:val="right"/>
              <w:rPr>
                <w:sz w:val="20"/>
                <w:szCs w:val="20"/>
              </w:rPr>
            </w:pPr>
            <w:r w:rsidRPr="0059586E">
              <w:rPr>
                <w:sz w:val="20"/>
                <w:szCs w:val="20"/>
              </w:rPr>
              <w:t>14</w:t>
            </w:r>
          </w:p>
        </w:tc>
        <w:tc>
          <w:tcPr>
            <w:tcW w:w="1233" w:type="dxa"/>
            <w:shd w:val="clear" w:color="auto" w:fill="auto"/>
          </w:tcPr>
          <w:p w:rsidR="0059586E" w:rsidRPr="0059586E" w:rsidP="0059586E" w14:paraId="6B954389" w14:textId="35C94A44">
            <w:pPr>
              <w:jc w:val="right"/>
              <w:rPr>
                <w:sz w:val="20"/>
                <w:szCs w:val="20"/>
              </w:rPr>
            </w:pPr>
            <w:r>
              <w:rPr>
                <w:sz w:val="20"/>
                <w:szCs w:val="20"/>
              </w:rPr>
              <w:t>0.</w:t>
            </w:r>
            <w:r w:rsidR="00DF7D2E">
              <w:rPr>
                <w:sz w:val="20"/>
                <w:szCs w:val="20"/>
              </w:rPr>
              <w:t>35</w:t>
            </w:r>
          </w:p>
          <w:p w:rsidR="0059586E" w:rsidRPr="0059586E" w:rsidP="0059586E" w14:paraId="15A02466" w14:textId="42B03880">
            <w:pPr>
              <w:jc w:val="right"/>
              <w:rPr>
                <w:sz w:val="20"/>
                <w:szCs w:val="20"/>
              </w:rPr>
            </w:pPr>
            <w:r w:rsidRPr="0059586E">
              <w:rPr>
                <w:sz w:val="20"/>
                <w:szCs w:val="20"/>
              </w:rPr>
              <w:t>(</w:t>
            </w:r>
            <w:r w:rsidR="00DF7D2E">
              <w:rPr>
                <w:sz w:val="20"/>
                <w:szCs w:val="20"/>
              </w:rPr>
              <w:t>21</w:t>
            </w:r>
            <w:r w:rsidRPr="0059586E" w:rsidR="000A1256">
              <w:rPr>
                <w:sz w:val="20"/>
                <w:szCs w:val="20"/>
              </w:rPr>
              <w:t xml:space="preserve"> </w:t>
            </w:r>
            <w:r w:rsidRPr="0059586E">
              <w:rPr>
                <w:sz w:val="20"/>
                <w:szCs w:val="20"/>
              </w:rPr>
              <w:t>minutes)</w:t>
            </w:r>
          </w:p>
        </w:tc>
        <w:tc>
          <w:tcPr>
            <w:tcW w:w="1048" w:type="dxa"/>
            <w:shd w:val="clear" w:color="auto" w:fill="auto"/>
          </w:tcPr>
          <w:p w:rsidR="0059586E" w:rsidRPr="0059586E" w:rsidP="0059586E" w14:paraId="3BA12716" w14:textId="2FE4F186">
            <w:pPr>
              <w:jc w:val="right"/>
              <w:rPr>
                <w:sz w:val="20"/>
                <w:szCs w:val="20"/>
              </w:rPr>
            </w:pPr>
            <w:r>
              <w:rPr>
                <w:sz w:val="20"/>
                <w:szCs w:val="20"/>
              </w:rPr>
              <w:t>5</w:t>
            </w:r>
          </w:p>
        </w:tc>
      </w:tr>
      <w:tr w14:paraId="1F1184FF" w14:textId="77777777" w:rsidTr="00677059">
        <w:tblPrEx>
          <w:tblW w:w="9694" w:type="dxa"/>
          <w:tblLayout w:type="fixed"/>
          <w:tblLook w:val="01E0"/>
        </w:tblPrEx>
        <w:trPr>
          <w:cantSplit/>
          <w:trHeight w:val="20"/>
        </w:trPr>
        <w:tc>
          <w:tcPr>
            <w:tcW w:w="3717" w:type="dxa"/>
            <w:shd w:val="clear" w:color="auto" w:fill="auto"/>
          </w:tcPr>
          <w:p w:rsidR="0059586E" w:rsidRPr="0059586E" w:rsidP="0059586E" w14:paraId="36C170BF" w14:textId="4AB59985">
            <w:pPr>
              <w:rPr>
                <w:color w:val="000000"/>
                <w:sz w:val="20"/>
                <w:szCs w:val="20"/>
              </w:rPr>
            </w:pPr>
            <w:r>
              <w:rPr>
                <w:color w:val="000000"/>
                <w:sz w:val="20"/>
                <w:szCs w:val="20"/>
              </w:rPr>
              <w:t>Total</w:t>
            </w:r>
          </w:p>
        </w:tc>
        <w:tc>
          <w:tcPr>
            <w:tcW w:w="1233" w:type="dxa"/>
            <w:shd w:val="clear" w:color="auto" w:fill="auto"/>
          </w:tcPr>
          <w:p w:rsidR="0059586E" w:rsidRPr="0059586E" w:rsidP="0059586E" w14:paraId="360F1B4A" w14:textId="77777777">
            <w:pPr>
              <w:jc w:val="right"/>
              <w:rPr>
                <w:sz w:val="20"/>
                <w:szCs w:val="20"/>
              </w:rPr>
            </w:pPr>
          </w:p>
        </w:tc>
        <w:tc>
          <w:tcPr>
            <w:tcW w:w="1407" w:type="dxa"/>
            <w:shd w:val="clear" w:color="auto" w:fill="auto"/>
          </w:tcPr>
          <w:p w:rsidR="0059586E" w:rsidRPr="0059586E" w:rsidP="0059586E" w14:paraId="7C96BFCB" w14:textId="77777777">
            <w:pPr>
              <w:jc w:val="right"/>
              <w:rPr>
                <w:bCs/>
                <w:sz w:val="20"/>
                <w:szCs w:val="20"/>
              </w:rPr>
            </w:pPr>
          </w:p>
        </w:tc>
        <w:tc>
          <w:tcPr>
            <w:tcW w:w="1056" w:type="dxa"/>
            <w:shd w:val="clear" w:color="auto" w:fill="auto"/>
          </w:tcPr>
          <w:p w:rsidR="0059586E" w:rsidRPr="0059586E" w:rsidP="0059586E" w14:paraId="3E48CDC0" w14:textId="77777777">
            <w:pPr>
              <w:jc w:val="right"/>
              <w:rPr>
                <w:sz w:val="20"/>
                <w:szCs w:val="20"/>
              </w:rPr>
            </w:pPr>
            <w:r w:rsidRPr="0059586E">
              <w:rPr>
                <w:sz w:val="20"/>
                <w:szCs w:val="20"/>
              </w:rPr>
              <w:fldChar w:fldCharType="begin"/>
            </w:r>
            <w:r w:rsidRPr="0059586E">
              <w:rPr>
                <w:sz w:val="20"/>
                <w:szCs w:val="20"/>
              </w:rPr>
              <w:instrText xml:space="preserve"> =SUM(ABOVE) </w:instrText>
            </w:r>
            <w:r w:rsidRPr="0059586E">
              <w:rPr>
                <w:sz w:val="20"/>
                <w:szCs w:val="20"/>
              </w:rPr>
              <w:fldChar w:fldCharType="separate"/>
            </w:r>
            <w:r w:rsidRPr="0059586E">
              <w:rPr>
                <w:noProof/>
                <w:sz w:val="20"/>
                <w:szCs w:val="20"/>
              </w:rPr>
              <w:t>4,154</w:t>
            </w:r>
            <w:r w:rsidRPr="0059586E">
              <w:rPr>
                <w:sz w:val="20"/>
                <w:szCs w:val="20"/>
              </w:rPr>
              <w:fldChar w:fldCharType="end"/>
            </w:r>
          </w:p>
        </w:tc>
        <w:tc>
          <w:tcPr>
            <w:tcW w:w="1233" w:type="dxa"/>
            <w:shd w:val="clear" w:color="auto" w:fill="auto"/>
          </w:tcPr>
          <w:p w:rsidR="0059586E" w:rsidRPr="0059586E" w:rsidP="0059586E" w14:paraId="0A0A1419" w14:textId="77777777">
            <w:pPr>
              <w:jc w:val="right"/>
              <w:rPr>
                <w:sz w:val="20"/>
                <w:szCs w:val="20"/>
              </w:rPr>
            </w:pPr>
          </w:p>
        </w:tc>
        <w:tc>
          <w:tcPr>
            <w:tcW w:w="1048" w:type="dxa"/>
            <w:shd w:val="clear" w:color="auto" w:fill="auto"/>
          </w:tcPr>
          <w:p w:rsidR="0059586E" w:rsidRPr="0059586E" w:rsidP="00183364" w14:paraId="3FB1B24A" w14:textId="47A69FAC">
            <w:pPr>
              <w:ind w:left="-24"/>
              <w:jc w:val="right"/>
              <w:rPr>
                <w:sz w:val="20"/>
                <w:szCs w:val="20"/>
              </w:rPr>
            </w:pPr>
            <w:r>
              <w:rPr>
                <w:sz w:val="20"/>
                <w:szCs w:val="20"/>
              </w:rPr>
              <w:t xml:space="preserve">283, </w:t>
            </w:r>
            <w:r w:rsidR="00883361">
              <w:rPr>
                <w:sz w:val="20"/>
                <w:szCs w:val="20"/>
              </w:rPr>
              <w:t>121</w:t>
            </w:r>
            <w:r>
              <w:rPr>
                <w:sz w:val="20"/>
                <w:szCs w:val="20"/>
              </w:rPr>
              <w:t>.5</w:t>
            </w:r>
          </w:p>
        </w:tc>
      </w:tr>
    </w:tbl>
    <w:p w:rsidR="0059586E" w:rsidRPr="00863ED9" w:rsidP="00863ED9" w14:paraId="4FCE91B7" w14:textId="7949070F">
      <w:pPr>
        <w:keepNext/>
        <w:contextualSpacing/>
        <w:rPr>
          <w:sz w:val="20"/>
          <w:szCs w:val="20"/>
        </w:rPr>
      </w:pPr>
      <w:r>
        <w:rPr>
          <w:sz w:val="20"/>
          <w:szCs w:val="20"/>
          <w:vertAlign w:val="superscript"/>
        </w:rPr>
        <w:t xml:space="preserve">    </w:t>
      </w:r>
      <w:r w:rsidRPr="0059586E">
        <w:rPr>
          <w:sz w:val="20"/>
          <w:szCs w:val="20"/>
          <w:vertAlign w:val="superscript"/>
        </w:rPr>
        <w:t>1</w:t>
      </w:r>
      <w:r w:rsidRPr="0059586E">
        <w:rPr>
          <w:sz w:val="20"/>
          <w:szCs w:val="20"/>
        </w:rPr>
        <w:t xml:space="preserve"> There are no capital or operational and maintenance costs associated with this collection of information.</w:t>
      </w:r>
    </w:p>
    <w:p w:rsidR="002A3B43" w:rsidRPr="002F0194" w:rsidP="002F0194" w14:paraId="423250B7" w14:textId="77777777">
      <w:pPr>
        <w:rPr>
          <w:sz w:val="20"/>
          <w:szCs w:val="20"/>
        </w:rPr>
      </w:pPr>
    </w:p>
    <w:p w:rsidR="002F0194" w:rsidRPr="002A3B43" w:rsidP="00473C45" w14:paraId="3F0922C2" w14:textId="4662C2BE">
      <w:pPr>
        <w:contextualSpacing/>
      </w:pPr>
      <w:bookmarkStart w:id="8" w:name="_Hlk135731634"/>
      <w:r w:rsidRPr="002A3B43">
        <w:t xml:space="preserve">Our estimate of burden for the associated program activities as identified in </w:t>
      </w:r>
      <w:r>
        <w:t>T</w:t>
      </w:r>
      <w:r w:rsidRPr="002A3B43">
        <w:t xml:space="preserve">able 1 is based on our experience with the information collection, along with other regulatory standards programs we administer.  Upon reorganizing the collection to reflect the cumulative activities, we have </w:t>
      </w:r>
      <w:r w:rsidRPr="002A3B43">
        <w:t>accounted for burden that may be attributable recordkeeping for risk-factor studies and verification tasks that may have been previously overlooked.  The burden we attribute to completing and submitting Form FDA 3958, “</w:t>
      </w:r>
      <w:r w:rsidRPr="002A3B43">
        <w:rPr>
          <w:iCs/>
        </w:rPr>
        <w:t>Voluntary National Retail Food Regulatory Program Standards FDA National Registry Report</w:t>
      </w:r>
      <w:r w:rsidRPr="002A3B43">
        <w:rPr>
          <w:i/>
        </w:rPr>
        <w:t>,</w:t>
      </w:r>
      <w:r w:rsidRPr="002A3B43">
        <w:t xml:space="preserve">” is exclusive of other program records, which we account for in row </w:t>
      </w:r>
      <w:r>
        <w:t>5</w:t>
      </w:r>
      <w:r w:rsidRPr="002A3B43">
        <w:t xml:space="preserve">.  We have also accounted for burden we assume will be attendant to the completion and submission of newly developed </w:t>
      </w:r>
      <w:r>
        <w:t>a</w:t>
      </w:r>
      <w:r w:rsidRPr="002A3B43">
        <w:t xml:space="preserve">gency forms.  </w:t>
      </w:r>
      <w:r w:rsidRPr="00982B1B">
        <w:t xml:space="preserve">As a result of these changes and adjustments, the information collection reflects an increase of </w:t>
      </w:r>
      <w:r w:rsidRPr="00982B1B" w:rsidR="00AB0C7D">
        <w:t>235,</w:t>
      </w:r>
      <w:r w:rsidR="00AB0C7D">
        <w:t>776</w:t>
      </w:r>
      <w:r w:rsidRPr="00982B1B" w:rsidR="00AB0C7D">
        <w:t>.5 hours</w:t>
      </w:r>
      <w:r w:rsidRPr="00982B1B">
        <w:t xml:space="preserve"> and 1,654 responses annually.</w:t>
      </w:r>
    </w:p>
    <w:bookmarkEnd w:id="8"/>
    <w:p w:rsidR="00A95BDF" w:rsidRPr="00357C8A" w:rsidP="007469AA" w14:paraId="5C872F89" w14:textId="77777777">
      <w:pPr>
        <w:ind w:left="360"/>
        <w:rPr>
          <w:rFonts w:eastAsia="Calibri"/>
        </w:rPr>
      </w:pPr>
    </w:p>
    <w:p w:rsidR="00105670" w14:paraId="457F497C" w14:textId="77777777">
      <w:pPr>
        <w:rPr>
          <w:rFonts w:eastAsia="Calibri"/>
          <w:i/>
          <w:iCs/>
        </w:rPr>
      </w:pPr>
      <w:r>
        <w:rPr>
          <w:rFonts w:eastAsia="Calibri"/>
          <w:i/>
          <w:iCs/>
        </w:rPr>
        <w:br w:type="page"/>
      </w:r>
    </w:p>
    <w:p w:rsidR="00357C8A" w:rsidRPr="00473C45" w:rsidP="00DC371B" w14:paraId="49378A6A" w14:textId="4B16D1E6">
      <w:pPr>
        <w:spacing w:after="200"/>
        <w:ind w:left="360"/>
        <w:rPr>
          <w:rFonts w:eastAsia="Calibri"/>
          <w:i/>
          <w:iCs/>
        </w:rPr>
      </w:pPr>
      <w:r w:rsidRPr="00473C45">
        <w:rPr>
          <w:rFonts w:eastAsia="Calibri"/>
          <w:i/>
          <w:iCs/>
        </w:rPr>
        <w:t>12b.  Annualized Cost Burden Estimate</w:t>
      </w:r>
    </w:p>
    <w:p w:rsidR="00080E3F" w:rsidP="00473C45" w14:paraId="72C5D0B5" w14:textId="7FE83C5A">
      <w:pPr>
        <w:autoSpaceDE w:val="0"/>
        <w:autoSpaceDN w:val="0"/>
        <w:adjustRightInd w:val="0"/>
      </w:pPr>
      <w:r>
        <w:t>The annual hour cost burden to respondents is approximately $</w:t>
      </w:r>
      <w:r w:rsidR="007666C1">
        <w:t>10,</w:t>
      </w:r>
      <w:r w:rsidR="001F3DC2">
        <w:t>741</w:t>
      </w:r>
      <w:r w:rsidR="007666C1">
        <w:t>,</w:t>
      </w:r>
      <w:r w:rsidR="00A007F0">
        <w:t>629.71</w:t>
      </w:r>
      <w:r w:rsidR="00B01541">
        <w:t xml:space="preserve"> </w:t>
      </w:r>
      <w:r>
        <w:t>per year.</w:t>
      </w:r>
      <w:r w:rsidR="00B01541">
        <w:t xml:space="preserve">  </w:t>
      </w:r>
      <w:r>
        <w:t>We estimate that the average hourly wage for the employees submitting information to FDA would be equivalent to a GS-4/Step-2 level in the locality pay</w:t>
      </w:r>
      <w:r w:rsidR="00B01541">
        <w:t xml:space="preserve"> </w:t>
      </w:r>
      <w:r>
        <w:t>area of Washington-Baltimore in 202</w:t>
      </w:r>
      <w:r w:rsidR="00B01541">
        <w:t>3</w:t>
      </w:r>
      <w:r>
        <w:t>, approximately $</w:t>
      </w:r>
      <w:r w:rsidR="00B01541">
        <w:t>18</w:t>
      </w:r>
      <w:r>
        <w:t>.</w:t>
      </w:r>
      <w:r w:rsidR="00B01541">
        <w:t xml:space="preserve">97 </w:t>
      </w:r>
      <w:r>
        <w:t xml:space="preserve">per hour. </w:t>
      </w:r>
      <w:r w:rsidR="00B01541">
        <w:t xml:space="preserve"> </w:t>
      </w:r>
      <w:r>
        <w:t>Doubling this wage to</w:t>
      </w:r>
      <w:r w:rsidR="00B01541">
        <w:t xml:space="preserve"> </w:t>
      </w:r>
      <w:r>
        <w:t>account for overhead costs, we estimate the average hourly cost to respondents to be</w:t>
      </w:r>
      <w:r w:rsidR="00B01541">
        <w:t xml:space="preserve"> </w:t>
      </w:r>
      <w:r>
        <w:t>$</w:t>
      </w:r>
      <w:r w:rsidR="00B01541">
        <w:t>37</w:t>
      </w:r>
      <w:r>
        <w:t>.</w:t>
      </w:r>
      <w:r w:rsidR="00B01541">
        <w:t>94</w:t>
      </w:r>
      <w:r>
        <w:t xml:space="preserve">/hour. </w:t>
      </w:r>
      <w:r w:rsidR="00B01541">
        <w:t xml:space="preserve"> </w:t>
      </w:r>
      <w:r>
        <w:t>Thus, the overall estimated cost incurred by the respondents is $</w:t>
      </w:r>
      <w:r w:rsidR="007666C1">
        <w:t>10,74</w:t>
      </w:r>
      <w:r w:rsidR="00B47862">
        <w:t>1,</w:t>
      </w:r>
      <w:r w:rsidR="007666C1">
        <w:t>375</w:t>
      </w:r>
      <w:r w:rsidR="00477499">
        <w:t>.71</w:t>
      </w:r>
      <w:r w:rsidR="00B01541">
        <w:t xml:space="preserve"> </w:t>
      </w:r>
      <w:r>
        <w:t>(</w:t>
      </w:r>
      <w:r w:rsidR="00183364">
        <w:t>283,121.5 burden</w:t>
      </w:r>
      <w:r>
        <w:t xml:space="preserve"> hours x $</w:t>
      </w:r>
      <w:r w:rsidR="00B01541">
        <w:t>37</w:t>
      </w:r>
      <w:r>
        <w:t>.</w:t>
      </w:r>
      <w:r w:rsidR="00B01541">
        <w:t>94</w:t>
      </w:r>
      <w:r>
        <w:t>/hr).</w:t>
      </w:r>
    </w:p>
    <w:p w:rsidR="00B01541" w:rsidP="00080E3F" w14:paraId="29E4A58B" w14:textId="48BE54E4">
      <w:pPr>
        <w:autoSpaceDE w:val="0"/>
        <w:autoSpaceDN w:val="0"/>
        <w:adjustRightInd w:val="0"/>
      </w:pPr>
    </w:p>
    <w:p w:rsidR="00AE7C85" w:rsidRPr="00863ED9" w:rsidP="00863ED9" w14:paraId="48CB8020" w14:textId="6E5EA72C">
      <w:pPr>
        <w:autoSpaceDE w:val="0"/>
        <w:autoSpaceDN w:val="0"/>
        <w:adjustRightInd w:val="0"/>
        <w:ind w:left="360"/>
        <w:jc w:val="center"/>
        <w:rPr>
          <w:sz w:val="20"/>
          <w:szCs w:val="20"/>
        </w:rPr>
      </w:pPr>
      <w:r w:rsidRPr="00863ED9">
        <w:rPr>
          <w:sz w:val="20"/>
          <w:szCs w:val="20"/>
        </w:rPr>
        <w:t xml:space="preserve">Table </w:t>
      </w:r>
      <w:r w:rsidRPr="00863ED9" w:rsidR="007B22DD">
        <w:rPr>
          <w:sz w:val="20"/>
          <w:szCs w:val="20"/>
        </w:rPr>
        <w:t>2. --</w:t>
      </w:r>
      <w:r w:rsidRPr="007A10E6" w:rsidR="007A10E6">
        <w:rPr>
          <w:sz w:val="20"/>
          <w:szCs w:val="20"/>
        </w:rPr>
        <w:t xml:space="preserve"> </w:t>
      </w:r>
      <w:r w:rsidRPr="00863ED9" w:rsidR="007A10E6">
        <w:rPr>
          <w:sz w:val="20"/>
          <w:szCs w:val="20"/>
        </w:rPr>
        <w:t>Annual Cost Burden Estimate</w:t>
      </w:r>
    </w:p>
    <w:tbl>
      <w:tblPr>
        <w:tblW w:w="96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4"/>
        <w:gridCol w:w="2129"/>
        <w:gridCol w:w="1980"/>
        <w:gridCol w:w="2322"/>
      </w:tblGrid>
      <w:tr w14:paraId="154A72D4" w14:textId="77777777" w:rsidTr="00433DFF">
        <w:tblPrEx>
          <w:tblW w:w="96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32"/>
        </w:trPr>
        <w:tc>
          <w:tcPr>
            <w:tcW w:w="3204" w:type="dxa"/>
            <w:shd w:val="clear" w:color="auto" w:fill="auto"/>
          </w:tcPr>
          <w:p w:rsidR="00A707CC" w:rsidRPr="00863ED9" w:rsidP="0015141F" w14:paraId="43AF8DA7" w14:textId="7E611666">
            <w:pPr>
              <w:jc w:val="center"/>
              <w:rPr>
                <w:sz w:val="20"/>
                <w:szCs w:val="20"/>
              </w:rPr>
            </w:pPr>
            <w:r w:rsidRPr="00863ED9">
              <w:rPr>
                <w:sz w:val="20"/>
                <w:szCs w:val="20"/>
              </w:rPr>
              <w:t>Type of Respondent</w:t>
            </w:r>
          </w:p>
        </w:tc>
        <w:tc>
          <w:tcPr>
            <w:tcW w:w="2129" w:type="dxa"/>
            <w:shd w:val="clear" w:color="auto" w:fill="auto"/>
          </w:tcPr>
          <w:p w:rsidR="00A707CC" w:rsidRPr="00863ED9" w:rsidP="00312622" w14:paraId="40DA166F" w14:textId="77777777">
            <w:pPr>
              <w:jc w:val="center"/>
              <w:rPr>
                <w:sz w:val="20"/>
                <w:szCs w:val="20"/>
              </w:rPr>
            </w:pPr>
            <w:r w:rsidRPr="00863ED9">
              <w:rPr>
                <w:sz w:val="20"/>
                <w:szCs w:val="20"/>
              </w:rPr>
              <w:t>Total Burden Hours</w:t>
            </w:r>
          </w:p>
        </w:tc>
        <w:tc>
          <w:tcPr>
            <w:tcW w:w="1980" w:type="dxa"/>
            <w:shd w:val="clear" w:color="auto" w:fill="auto"/>
          </w:tcPr>
          <w:p w:rsidR="00A707CC" w:rsidRPr="00863ED9" w:rsidP="00312622" w14:paraId="099B8734" w14:textId="77777777">
            <w:pPr>
              <w:jc w:val="center"/>
              <w:rPr>
                <w:sz w:val="20"/>
                <w:szCs w:val="20"/>
              </w:rPr>
            </w:pPr>
            <w:r w:rsidRPr="00863ED9">
              <w:rPr>
                <w:sz w:val="20"/>
                <w:szCs w:val="20"/>
              </w:rPr>
              <w:t>Hourly Wage Rate</w:t>
            </w:r>
          </w:p>
        </w:tc>
        <w:tc>
          <w:tcPr>
            <w:tcW w:w="2322" w:type="dxa"/>
            <w:shd w:val="clear" w:color="auto" w:fill="auto"/>
          </w:tcPr>
          <w:p w:rsidR="00A707CC" w:rsidRPr="00863ED9" w:rsidP="00312622" w14:paraId="2E9E986E" w14:textId="77777777">
            <w:pPr>
              <w:jc w:val="center"/>
              <w:rPr>
                <w:sz w:val="20"/>
                <w:szCs w:val="20"/>
              </w:rPr>
            </w:pPr>
            <w:r w:rsidRPr="00863ED9">
              <w:rPr>
                <w:sz w:val="20"/>
                <w:szCs w:val="20"/>
              </w:rPr>
              <w:t>Total Respondent Costs</w:t>
            </w:r>
          </w:p>
        </w:tc>
      </w:tr>
      <w:tr w14:paraId="720BB178" w14:textId="77777777" w:rsidTr="00433DFF">
        <w:tblPrEx>
          <w:tblW w:w="9635" w:type="dxa"/>
          <w:tblInd w:w="85" w:type="dxa"/>
          <w:tblLayout w:type="fixed"/>
          <w:tblLook w:val="01E0"/>
        </w:tblPrEx>
        <w:trPr>
          <w:trHeight w:val="449"/>
        </w:trPr>
        <w:tc>
          <w:tcPr>
            <w:tcW w:w="3204" w:type="dxa"/>
            <w:shd w:val="clear" w:color="auto" w:fill="auto"/>
          </w:tcPr>
          <w:p w:rsidR="00A707CC" w:rsidRPr="00863ED9" w:rsidP="00312622" w14:paraId="6423F1B3" w14:textId="77777777">
            <w:pPr>
              <w:rPr>
                <w:sz w:val="20"/>
                <w:szCs w:val="20"/>
              </w:rPr>
            </w:pPr>
            <w:r w:rsidRPr="00863ED9">
              <w:rPr>
                <w:sz w:val="20"/>
                <w:szCs w:val="20"/>
              </w:rPr>
              <w:t>Cle</w:t>
            </w:r>
            <w:r w:rsidRPr="00863ED9" w:rsidR="00614F84">
              <w:rPr>
                <w:sz w:val="20"/>
                <w:szCs w:val="20"/>
              </w:rPr>
              <w:t>r</w:t>
            </w:r>
            <w:r w:rsidRPr="00863ED9">
              <w:rPr>
                <w:sz w:val="20"/>
                <w:szCs w:val="20"/>
              </w:rPr>
              <w:t>k/Assistant</w:t>
            </w:r>
          </w:p>
        </w:tc>
        <w:tc>
          <w:tcPr>
            <w:tcW w:w="2129" w:type="dxa"/>
            <w:shd w:val="clear" w:color="auto" w:fill="auto"/>
          </w:tcPr>
          <w:p w:rsidR="00A707CC" w:rsidRPr="00863ED9" w:rsidP="00863ED9" w14:paraId="51FC5331" w14:textId="4092B611">
            <w:pPr>
              <w:jc w:val="right"/>
              <w:rPr>
                <w:sz w:val="20"/>
                <w:szCs w:val="20"/>
              </w:rPr>
            </w:pPr>
            <w:r>
              <w:rPr>
                <w:sz w:val="20"/>
                <w:szCs w:val="20"/>
              </w:rPr>
              <w:t>283,</w:t>
            </w:r>
            <w:r w:rsidR="00B47862">
              <w:rPr>
                <w:sz w:val="20"/>
                <w:szCs w:val="20"/>
              </w:rPr>
              <w:t>121</w:t>
            </w:r>
            <w:r>
              <w:rPr>
                <w:sz w:val="20"/>
                <w:szCs w:val="20"/>
              </w:rPr>
              <w:t>.5</w:t>
            </w:r>
          </w:p>
        </w:tc>
        <w:tc>
          <w:tcPr>
            <w:tcW w:w="1980" w:type="dxa"/>
            <w:shd w:val="clear" w:color="auto" w:fill="auto"/>
          </w:tcPr>
          <w:p w:rsidR="00A707CC" w:rsidRPr="00863ED9" w:rsidP="00863ED9" w14:paraId="58105F9B" w14:textId="77777777">
            <w:pPr>
              <w:jc w:val="right"/>
              <w:rPr>
                <w:sz w:val="20"/>
                <w:szCs w:val="20"/>
              </w:rPr>
            </w:pPr>
            <w:r w:rsidRPr="00863ED9">
              <w:rPr>
                <w:sz w:val="20"/>
                <w:szCs w:val="20"/>
              </w:rPr>
              <w:t>$</w:t>
            </w:r>
            <w:r w:rsidRPr="00863ED9" w:rsidR="00B01541">
              <w:rPr>
                <w:sz w:val="20"/>
                <w:szCs w:val="20"/>
              </w:rPr>
              <w:t>37</w:t>
            </w:r>
            <w:r w:rsidRPr="00863ED9">
              <w:rPr>
                <w:sz w:val="20"/>
                <w:szCs w:val="20"/>
              </w:rPr>
              <w:t>.</w:t>
            </w:r>
            <w:r w:rsidRPr="00863ED9" w:rsidR="00B01541">
              <w:rPr>
                <w:sz w:val="20"/>
                <w:szCs w:val="20"/>
              </w:rPr>
              <w:t>94</w:t>
            </w:r>
          </w:p>
        </w:tc>
        <w:tc>
          <w:tcPr>
            <w:tcW w:w="2322" w:type="dxa"/>
            <w:shd w:val="clear" w:color="auto" w:fill="auto"/>
          </w:tcPr>
          <w:p w:rsidR="00A707CC" w:rsidRPr="00863ED9" w:rsidP="00863ED9" w14:paraId="0730B13A" w14:textId="508FD8F1">
            <w:pPr>
              <w:jc w:val="right"/>
              <w:rPr>
                <w:sz w:val="20"/>
                <w:szCs w:val="20"/>
              </w:rPr>
            </w:pPr>
            <w:r>
              <w:rPr>
                <w:sz w:val="20"/>
                <w:szCs w:val="20"/>
              </w:rPr>
              <w:t>$10,</w:t>
            </w:r>
            <w:r w:rsidR="00B47862">
              <w:rPr>
                <w:sz w:val="20"/>
                <w:szCs w:val="20"/>
              </w:rPr>
              <w:t>741</w:t>
            </w:r>
            <w:r>
              <w:rPr>
                <w:sz w:val="20"/>
                <w:szCs w:val="20"/>
              </w:rPr>
              <w:t>,375</w:t>
            </w:r>
            <w:r w:rsidR="00B47862">
              <w:rPr>
                <w:sz w:val="20"/>
                <w:szCs w:val="20"/>
              </w:rPr>
              <w:t>.71</w:t>
            </w:r>
          </w:p>
        </w:tc>
      </w:tr>
    </w:tbl>
    <w:p w:rsidR="00357C8A" w:rsidRPr="00357C8A" w:rsidP="00357C8A" w14:paraId="45A439A9" w14:textId="77777777">
      <w:pPr>
        <w:rPr>
          <w:rFonts w:eastAsia="Calibri"/>
        </w:rPr>
      </w:pPr>
    </w:p>
    <w:p w:rsidR="00357C8A" w:rsidRPr="00357C8A" w:rsidP="006705EA" w14:paraId="4844E5FB"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1637A301" w14:textId="77777777">
      <w:pPr>
        <w:spacing w:after="200" w:line="276" w:lineRule="auto"/>
        <w:rPr>
          <w:rFonts w:eastAsia="Calibri"/>
          <w:u w:val="single"/>
        </w:rPr>
      </w:pPr>
      <w:r w:rsidRPr="00080E3F">
        <w:rPr>
          <w:rFonts w:eastAsia="Calibri"/>
        </w:rPr>
        <w:t>There are no capital, start-up, operating, or maintenance costs associated with this collection.</w:t>
      </w:r>
    </w:p>
    <w:p w:rsidR="00357C8A" w:rsidRPr="00357C8A" w:rsidP="006705EA" w14:paraId="6F752884"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P="00B01541" w14:paraId="7CA030E8" w14:textId="76E5D2F1">
      <w:pPr>
        <w:autoSpaceDE w:val="0"/>
        <w:autoSpaceDN w:val="0"/>
        <w:adjustRightInd w:val="0"/>
      </w:pPr>
      <w:r>
        <w:t xml:space="preserve">We assume </w:t>
      </w:r>
      <w:r w:rsidR="00080E3F">
        <w:t>260 hours annually</w:t>
      </w:r>
      <w:r>
        <w:t xml:space="preserve"> to administer the information collection and factor</w:t>
      </w:r>
      <w:r w:rsidR="00080E3F">
        <w:t xml:space="preserve"> hourly</w:t>
      </w:r>
      <w:r w:rsidR="00B01541">
        <w:t xml:space="preserve"> </w:t>
      </w:r>
      <w:r w:rsidR="00080E3F">
        <w:t>cost</w:t>
      </w:r>
      <w:r>
        <w:t>s</w:t>
      </w:r>
      <w:r w:rsidR="00080E3F">
        <w:t xml:space="preserve"> for review</w:t>
      </w:r>
      <w:r>
        <w:t>ing</w:t>
      </w:r>
      <w:r w:rsidR="00080E3F">
        <w:t xml:space="preserve"> and evaluat</w:t>
      </w:r>
      <w:r>
        <w:t>ing</w:t>
      </w:r>
      <w:r w:rsidR="00080E3F">
        <w:t xml:space="preserve"> submissions </w:t>
      </w:r>
      <w:r>
        <w:t xml:space="preserve">at </w:t>
      </w:r>
      <w:r w:rsidR="00080E3F">
        <w:t>$</w:t>
      </w:r>
      <w:r w:rsidR="00B01541">
        <w:t>53</w:t>
      </w:r>
      <w:r w:rsidR="00080E3F">
        <w:t>.</w:t>
      </w:r>
      <w:r w:rsidR="00B01541">
        <w:t xml:space="preserve">67 </w:t>
      </w:r>
      <w:r w:rsidR="00080E3F">
        <w:t>per hour, the GS-13/Step-1 rate for the Washington-Baltimore locality pay area for the year 202</w:t>
      </w:r>
      <w:r w:rsidR="00B01541">
        <w:t>3</w:t>
      </w:r>
      <w:r w:rsidR="00080E3F">
        <w:t xml:space="preserve">. </w:t>
      </w:r>
      <w:r w:rsidR="00B01541">
        <w:t xml:space="preserve"> </w:t>
      </w:r>
      <w:r>
        <w:t xml:space="preserve">We </w:t>
      </w:r>
      <w:r w:rsidR="00080E3F">
        <w:t>account for</w:t>
      </w:r>
      <w:r w:rsidR="00B01541">
        <w:t xml:space="preserve"> </w:t>
      </w:r>
      <w:r w:rsidR="00080E3F">
        <w:t>overhead</w:t>
      </w:r>
      <w:r>
        <w:t xml:space="preserve"> by doubling this figure to </w:t>
      </w:r>
      <w:r w:rsidR="00080E3F">
        <w:t>$</w:t>
      </w:r>
      <w:r w:rsidR="00B01541">
        <w:t>107</w:t>
      </w:r>
      <w:r w:rsidR="00080E3F">
        <w:t>.</w:t>
      </w:r>
      <w:r w:rsidR="00B01541">
        <w:t xml:space="preserve">34 </w:t>
      </w:r>
      <w:r w:rsidR="00080E3F">
        <w:t>per hour</w:t>
      </w:r>
      <w:r>
        <w:t xml:space="preserve"> and calculate total annual costs to </w:t>
      </w:r>
      <w:r w:rsidR="00080E3F">
        <w:t>the Federal government to be $</w:t>
      </w:r>
      <w:r w:rsidR="00B01541">
        <w:t>27</w:t>
      </w:r>
      <w:r w:rsidR="00080E3F">
        <w:t>,</w:t>
      </w:r>
      <w:r w:rsidR="00B01541">
        <w:t>908</w:t>
      </w:r>
      <w:r w:rsidR="00080E3F">
        <w:t>.</w:t>
      </w:r>
      <w:r w:rsidR="00B01541">
        <w:t xml:space="preserve">40 </w:t>
      </w:r>
      <w:r w:rsidR="00080E3F">
        <w:t>($</w:t>
      </w:r>
      <w:r w:rsidR="00B01541">
        <w:t>107</w:t>
      </w:r>
      <w:r w:rsidR="00080E3F">
        <w:t>.</w:t>
      </w:r>
      <w:r w:rsidR="00B01541">
        <w:t>34</w:t>
      </w:r>
      <w:r w:rsidR="00080E3F">
        <w:t>/hour x 260 hours).</w:t>
      </w:r>
    </w:p>
    <w:p w:rsidR="00B01541" w:rsidRPr="00357C8A" w:rsidP="007469AA" w14:paraId="28813649" w14:textId="42A122F2">
      <w:pPr>
        <w:autoSpaceDE w:val="0"/>
        <w:autoSpaceDN w:val="0"/>
        <w:adjustRightInd w:val="0"/>
        <w:rPr>
          <w:rFonts w:eastAsia="Calibri"/>
        </w:rPr>
      </w:pPr>
    </w:p>
    <w:p w:rsidR="00357C8A" w:rsidP="006705EA" w14:paraId="000C47B2"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517411" w:rsidP="00357C8A" w14:paraId="72271B7A" w14:textId="3F25F6C5">
      <w:pPr>
        <w:spacing w:after="200"/>
        <w:rPr>
          <w:rFonts w:eastAsia="Calibri"/>
          <w:color w:val="000000"/>
        </w:rPr>
      </w:pPr>
      <w:r>
        <w:rPr>
          <w:rFonts w:eastAsia="Calibri"/>
        </w:rPr>
        <w:t>We have adjusted our estimate</w:t>
      </w:r>
      <w:r w:rsidR="000742FD">
        <w:rPr>
          <w:rFonts w:eastAsia="Calibri"/>
        </w:rPr>
        <w:t>d</w:t>
      </w:r>
      <w:r>
        <w:rPr>
          <w:rFonts w:eastAsia="Calibri"/>
        </w:rPr>
        <w:t xml:space="preserve"> burden to reflect </w:t>
      </w:r>
      <w:r w:rsidRPr="00F7732D" w:rsidR="00F7732D">
        <w:rPr>
          <w:rFonts w:eastAsia="Calibri"/>
        </w:rPr>
        <w:t>an increase of 235,776.5 hours and 1,654 responses annually</w:t>
      </w:r>
      <w:r w:rsidR="003F0CD6">
        <w:rPr>
          <w:rFonts w:eastAsia="Calibri"/>
        </w:rPr>
        <w:t xml:space="preserve">, which we attribute to </w:t>
      </w:r>
      <w:r>
        <w:rPr>
          <w:rFonts w:eastAsia="Calibri"/>
        </w:rPr>
        <w:t>increased participation in the program and the introduction of new collection instruments.</w:t>
      </w:r>
    </w:p>
    <w:p w:rsidR="00357C8A" w:rsidRPr="00357C8A" w:rsidP="006705EA" w14:paraId="615610C7"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7469AA" w14:paraId="3DCE9AB4" w14:textId="3BA50363">
      <w:pPr>
        <w:autoSpaceDE w:val="0"/>
        <w:autoSpaceDN w:val="0"/>
        <w:adjustRightInd w:val="0"/>
      </w:pPr>
      <w:r>
        <w:t>We list regulatory agencies that have enrolled in the Voluntary National Retail Food Regulatory</w:t>
      </w:r>
      <w:r w:rsidR="00B01541">
        <w:t xml:space="preserve"> </w:t>
      </w:r>
      <w:r>
        <w:t xml:space="preserve">Program Standards on </w:t>
      </w:r>
      <w:r w:rsidR="00B15A36">
        <w:t>our webpage at</w:t>
      </w:r>
      <w:r w:rsidR="001B0D38">
        <w:t xml:space="preserve"> </w:t>
      </w:r>
      <w:hyperlink r:id="rId6" w:history="1">
        <w:r w:rsidRPr="002E25BA" w:rsidR="001B0D38">
          <w:rPr>
            <w:rStyle w:val="Hyperlink"/>
          </w:rPr>
          <w:t>https://www.fda.gov/food/voluntary-national-retail-food-regulatory-program-standards/listing-jurisdictions-enrolled-voluntary-national-retail-food-regulatory-program-standards</w:t>
        </w:r>
      </w:hyperlink>
      <w:r>
        <w:t xml:space="preserve"> and update the list quarterly, including the enrolled jurisdictions’</w:t>
      </w:r>
      <w:r w:rsidR="00B01541">
        <w:t xml:space="preserve"> </w:t>
      </w:r>
      <w:r>
        <w:t>contact information, enrollment dates, and self-reported and verified status of each of the</w:t>
      </w:r>
      <w:r w:rsidR="00B01541">
        <w:t xml:space="preserve"> </w:t>
      </w:r>
      <w:r>
        <w:t>program standards.</w:t>
      </w:r>
    </w:p>
    <w:p w:rsidR="007469AA" w:rsidRPr="00517411" w:rsidP="007469AA" w14:paraId="3A11C142" w14:textId="77777777">
      <w:pPr>
        <w:autoSpaceDE w:val="0"/>
        <w:autoSpaceDN w:val="0"/>
        <w:adjustRightInd w:val="0"/>
        <w:rPr>
          <w:rFonts w:eastAsia="Calibri"/>
          <w:color w:val="000000"/>
        </w:rPr>
      </w:pPr>
    </w:p>
    <w:p w:rsidR="00357C8A" w:rsidRPr="00357C8A" w:rsidP="006705EA" w14:paraId="562FE0F5"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517411" w:rsidP="00357C8A" w14:paraId="05D60AFF" w14:textId="6398AB83">
      <w:pPr>
        <w:spacing w:after="200"/>
        <w:rPr>
          <w:rFonts w:eastAsia="Calibri"/>
          <w:color w:val="000000"/>
        </w:rPr>
      </w:pPr>
      <w:r>
        <w:t>The OMB control number and expiration date will be displayed as required by the PRA.</w:t>
      </w:r>
    </w:p>
    <w:p w:rsidR="00357C8A" w:rsidRPr="00357C8A" w:rsidP="006705EA" w14:paraId="7F70930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080E3F" w14:paraId="1CC47A50" w14:textId="77777777">
      <w:pPr>
        <w:spacing w:after="200"/>
        <w:rPr>
          <w:rFonts w:eastAsia="Calibri"/>
        </w:rPr>
      </w:pPr>
      <w:r>
        <w:t>There are no exceptions to the certification.</w:t>
      </w:r>
    </w:p>
    <w:sectPr w:rsidSect="00677059">
      <w:footerReference w:type="even" r:id="rId7"/>
      <w:footerReference w:type="default" r:id="rId8"/>
      <w:pgSz w:w="12240" w:h="15840" w:code="1"/>
      <w:pgMar w:top="1008" w:right="1296"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A3211E5" w14:textId="1B457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77059">
      <w:rPr>
        <w:rStyle w:val="PageNumber"/>
      </w:rPr>
      <w:fldChar w:fldCharType="separate"/>
    </w:r>
    <w:r w:rsidR="00677059">
      <w:rPr>
        <w:rStyle w:val="PageNumber"/>
        <w:noProof/>
      </w:rPr>
      <w:t>2</w:t>
    </w:r>
    <w:r>
      <w:rPr>
        <w:rStyle w:val="PageNumber"/>
      </w:rPr>
      <w:fldChar w:fldCharType="end"/>
    </w:r>
  </w:p>
  <w:p w:rsidR="00E63DE5" w14:paraId="5DE53C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C7799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337D9C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1F762EFE"/>
    <w:multiLevelType w:val="hybridMultilevel"/>
    <w:tmpl w:val="664A8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82991926">
    <w:abstractNumId w:val="6"/>
  </w:num>
  <w:num w:numId="2" w16cid:durableId="912545009">
    <w:abstractNumId w:val="1"/>
  </w:num>
  <w:num w:numId="3" w16cid:durableId="864174211">
    <w:abstractNumId w:val="7"/>
  </w:num>
  <w:num w:numId="4" w16cid:durableId="1886334729">
    <w:abstractNumId w:val="4"/>
  </w:num>
  <w:num w:numId="5" w16cid:durableId="625282111">
    <w:abstractNumId w:val="8"/>
  </w:num>
  <w:num w:numId="6" w16cid:durableId="637145573">
    <w:abstractNumId w:val="0"/>
  </w:num>
  <w:num w:numId="7" w16cid:durableId="1089084136">
    <w:abstractNumId w:val="2"/>
  </w:num>
  <w:num w:numId="8" w16cid:durableId="849562155">
    <w:abstractNumId w:val="5"/>
  </w:num>
  <w:num w:numId="9" w16cid:durableId="33025876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9DA"/>
    <w:rsid w:val="00031A2C"/>
    <w:rsid w:val="00042B93"/>
    <w:rsid w:val="00043C7F"/>
    <w:rsid w:val="000467A8"/>
    <w:rsid w:val="00054977"/>
    <w:rsid w:val="0006570F"/>
    <w:rsid w:val="000675E0"/>
    <w:rsid w:val="000676A2"/>
    <w:rsid w:val="000742FD"/>
    <w:rsid w:val="00075DE8"/>
    <w:rsid w:val="00080E3F"/>
    <w:rsid w:val="00082D63"/>
    <w:rsid w:val="00087439"/>
    <w:rsid w:val="0009093D"/>
    <w:rsid w:val="000A1256"/>
    <w:rsid w:val="000C1260"/>
    <w:rsid w:val="000C4731"/>
    <w:rsid w:val="000C560C"/>
    <w:rsid w:val="000D080B"/>
    <w:rsid w:val="000D48FD"/>
    <w:rsid w:val="000D79CC"/>
    <w:rsid w:val="000E1C64"/>
    <w:rsid w:val="000E232D"/>
    <w:rsid w:val="000F7119"/>
    <w:rsid w:val="00100739"/>
    <w:rsid w:val="0010493E"/>
    <w:rsid w:val="00105670"/>
    <w:rsid w:val="001075D3"/>
    <w:rsid w:val="00107885"/>
    <w:rsid w:val="00114FC4"/>
    <w:rsid w:val="0012329C"/>
    <w:rsid w:val="00134FA7"/>
    <w:rsid w:val="00137950"/>
    <w:rsid w:val="00142DC1"/>
    <w:rsid w:val="0015141F"/>
    <w:rsid w:val="00152F29"/>
    <w:rsid w:val="00174D54"/>
    <w:rsid w:val="00176425"/>
    <w:rsid w:val="0017702C"/>
    <w:rsid w:val="00183364"/>
    <w:rsid w:val="00185270"/>
    <w:rsid w:val="001A3B5A"/>
    <w:rsid w:val="001A458C"/>
    <w:rsid w:val="001B0D38"/>
    <w:rsid w:val="001B39B1"/>
    <w:rsid w:val="001B7CE9"/>
    <w:rsid w:val="001B7CEB"/>
    <w:rsid w:val="001C4609"/>
    <w:rsid w:val="001D43E8"/>
    <w:rsid w:val="001D495A"/>
    <w:rsid w:val="001D73BF"/>
    <w:rsid w:val="001E244C"/>
    <w:rsid w:val="001F1437"/>
    <w:rsid w:val="001F3DC2"/>
    <w:rsid w:val="00206799"/>
    <w:rsid w:val="002074FE"/>
    <w:rsid w:val="002170C9"/>
    <w:rsid w:val="0022425B"/>
    <w:rsid w:val="002259EF"/>
    <w:rsid w:val="00242ED1"/>
    <w:rsid w:val="002444BB"/>
    <w:rsid w:val="0025401A"/>
    <w:rsid w:val="00254069"/>
    <w:rsid w:val="00270748"/>
    <w:rsid w:val="002734E5"/>
    <w:rsid w:val="002746DB"/>
    <w:rsid w:val="00275686"/>
    <w:rsid w:val="00280CAF"/>
    <w:rsid w:val="00282F09"/>
    <w:rsid w:val="00291810"/>
    <w:rsid w:val="00294D62"/>
    <w:rsid w:val="00297532"/>
    <w:rsid w:val="00297FFD"/>
    <w:rsid w:val="002A1210"/>
    <w:rsid w:val="002A3B43"/>
    <w:rsid w:val="002A47D2"/>
    <w:rsid w:val="002A57EF"/>
    <w:rsid w:val="002A7FB5"/>
    <w:rsid w:val="002B0DCC"/>
    <w:rsid w:val="002B2074"/>
    <w:rsid w:val="002C0B0B"/>
    <w:rsid w:val="002C7845"/>
    <w:rsid w:val="002D14D8"/>
    <w:rsid w:val="002D37DE"/>
    <w:rsid w:val="002D4799"/>
    <w:rsid w:val="002E25BA"/>
    <w:rsid w:val="002E3FA4"/>
    <w:rsid w:val="002E53A5"/>
    <w:rsid w:val="002E64B8"/>
    <w:rsid w:val="002E6834"/>
    <w:rsid w:val="002F0194"/>
    <w:rsid w:val="003113FF"/>
    <w:rsid w:val="00312622"/>
    <w:rsid w:val="00322549"/>
    <w:rsid w:val="0032277F"/>
    <w:rsid w:val="0032508C"/>
    <w:rsid w:val="00336B69"/>
    <w:rsid w:val="00342FFF"/>
    <w:rsid w:val="0034302B"/>
    <w:rsid w:val="00350523"/>
    <w:rsid w:val="0035189D"/>
    <w:rsid w:val="00355B62"/>
    <w:rsid w:val="00357C8A"/>
    <w:rsid w:val="003740BC"/>
    <w:rsid w:val="0037456B"/>
    <w:rsid w:val="003801A3"/>
    <w:rsid w:val="00383D90"/>
    <w:rsid w:val="003870AE"/>
    <w:rsid w:val="003A1A27"/>
    <w:rsid w:val="003A50CC"/>
    <w:rsid w:val="003A630B"/>
    <w:rsid w:val="003B42B3"/>
    <w:rsid w:val="003B6384"/>
    <w:rsid w:val="003C0FE2"/>
    <w:rsid w:val="003C4EBB"/>
    <w:rsid w:val="003D1531"/>
    <w:rsid w:val="003E4EC6"/>
    <w:rsid w:val="003E527E"/>
    <w:rsid w:val="003E553E"/>
    <w:rsid w:val="003E7078"/>
    <w:rsid w:val="003F0CD6"/>
    <w:rsid w:val="003F3DF5"/>
    <w:rsid w:val="003F73B8"/>
    <w:rsid w:val="0040297E"/>
    <w:rsid w:val="00411D11"/>
    <w:rsid w:val="00414494"/>
    <w:rsid w:val="00415E23"/>
    <w:rsid w:val="0041670D"/>
    <w:rsid w:val="00423272"/>
    <w:rsid w:val="00424061"/>
    <w:rsid w:val="00433DFF"/>
    <w:rsid w:val="00442A3C"/>
    <w:rsid w:val="00443969"/>
    <w:rsid w:val="00447307"/>
    <w:rsid w:val="00447D74"/>
    <w:rsid w:val="00450A74"/>
    <w:rsid w:val="004546BF"/>
    <w:rsid w:val="00465350"/>
    <w:rsid w:val="00473C45"/>
    <w:rsid w:val="0047499C"/>
    <w:rsid w:val="00476B91"/>
    <w:rsid w:val="00477499"/>
    <w:rsid w:val="004846BF"/>
    <w:rsid w:val="00494912"/>
    <w:rsid w:val="004A2A26"/>
    <w:rsid w:val="004A5323"/>
    <w:rsid w:val="004A5A99"/>
    <w:rsid w:val="004B4EB6"/>
    <w:rsid w:val="004C6979"/>
    <w:rsid w:val="004D13A2"/>
    <w:rsid w:val="004D3E7A"/>
    <w:rsid w:val="004D4766"/>
    <w:rsid w:val="004F28EB"/>
    <w:rsid w:val="004F594B"/>
    <w:rsid w:val="004F61E1"/>
    <w:rsid w:val="0050115D"/>
    <w:rsid w:val="00517411"/>
    <w:rsid w:val="005265E2"/>
    <w:rsid w:val="00527165"/>
    <w:rsid w:val="0053380B"/>
    <w:rsid w:val="0053774C"/>
    <w:rsid w:val="00543194"/>
    <w:rsid w:val="00544138"/>
    <w:rsid w:val="00554E34"/>
    <w:rsid w:val="005755DE"/>
    <w:rsid w:val="00584583"/>
    <w:rsid w:val="00590E90"/>
    <w:rsid w:val="00590EEB"/>
    <w:rsid w:val="0059586E"/>
    <w:rsid w:val="005A4099"/>
    <w:rsid w:val="005C2B7F"/>
    <w:rsid w:val="005C38B2"/>
    <w:rsid w:val="005C5029"/>
    <w:rsid w:val="005C55C2"/>
    <w:rsid w:val="005C71CA"/>
    <w:rsid w:val="005C745C"/>
    <w:rsid w:val="005D4D23"/>
    <w:rsid w:val="005D4DF5"/>
    <w:rsid w:val="005E42BA"/>
    <w:rsid w:val="005F43F1"/>
    <w:rsid w:val="00611D6B"/>
    <w:rsid w:val="00614F84"/>
    <w:rsid w:val="00625CFD"/>
    <w:rsid w:val="006326EC"/>
    <w:rsid w:val="0064183F"/>
    <w:rsid w:val="006567C9"/>
    <w:rsid w:val="00663A42"/>
    <w:rsid w:val="006641C7"/>
    <w:rsid w:val="006705EA"/>
    <w:rsid w:val="00670BE2"/>
    <w:rsid w:val="006765DE"/>
    <w:rsid w:val="00677059"/>
    <w:rsid w:val="00683FFE"/>
    <w:rsid w:val="006916D9"/>
    <w:rsid w:val="006A0E05"/>
    <w:rsid w:val="006A26C6"/>
    <w:rsid w:val="006A3B02"/>
    <w:rsid w:val="006A465A"/>
    <w:rsid w:val="006A7D5D"/>
    <w:rsid w:val="006D0C12"/>
    <w:rsid w:val="006D5D57"/>
    <w:rsid w:val="006E2538"/>
    <w:rsid w:val="006E302F"/>
    <w:rsid w:val="006E3384"/>
    <w:rsid w:val="006E4309"/>
    <w:rsid w:val="006F2C02"/>
    <w:rsid w:val="006F4D6D"/>
    <w:rsid w:val="00705086"/>
    <w:rsid w:val="00705EC6"/>
    <w:rsid w:val="0071147F"/>
    <w:rsid w:val="0071256E"/>
    <w:rsid w:val="00722001"/>
    <w:rsid w:val="00744525"/>
    <w:rsid w:val="007469AA"/>
    <w:rsid w:val="00751E66"/>
    <w:rsid w:val="00754497"/>
    <w:rsid w:val="007666C1"/>
    <w:rsid w:val="00773201"/>
    <w:rsid w:val="00781FC0"/>
    <w:rsid w:val="00787C39"/>
    <w:rsid w:val="00792947"/>
    <w:rsid w:val="00795DF3"/>
    <w:rsid w:val="00797C92"/>
    <w:rsid w:val="007A10E6"/>
    <w:rsid w:val="007A373C"/>
    <w:rsid w:val="007A3889"/>
    <w:rsid w:val="007B225C"/>
    <w:rsid w:val="007B22DD"/>
    <w:rsid w:val="007B5894"/>
    <w:rsid w:val="007C75B1"/>
    <w:rsid w:val="007D3DFC"/>
    <w:rsid w:val="007E2F07"/>
    <w:rsid w:val="007E59A8"/>
    <w:rsid w:val="0080776D"/>
    <w:rsid w:val="00810145"/>
    <w:rsid w:val="008108FA"/>
    <w:rsid w:val="00810FF1"/>
    <w:rsid w:val="00814305"/>
    <w:rsid w:val="00817C57"/>
    <w:rsid w:val="00822336"/>
    <w:rsid w:val="00823DFA"/>
    <w:rsid w:val="00842DB7"/>
    <w:rsid w:val="00843752"/>
    <w:rsid w:val="0084479F"/>
    <w:rsid w:val="0085725E"/>
    <w:rsid w:val="00863ED9"/>
    <w:rsid w:val="00873D4F"/>
    <w:rsid w:val="0087509F"/>
    <w:rsid w:val="00883361"/>
    <w:rsid w:val="00885B09"/>
    <w:rsid w:val="00892400"/>
    <w:rsid w:val="008A209D"/>
    <w:rsid w:val="008A22BB"/>
    <w:rsid w:val="008B035D"/>
    <w:rsid w:val="008B0E29"/>
    <w:rsid w:val="008B0EFA"/>
    <w:rsid w:val="008B30AB"/>
    <w:rsid w:val="008C3BB8"/>
    <w:rsid w:val="008C4B65"/>
    <w:rsid w:val="008E5C4A"/>
    <w:rsid w:val="008E5F55"/>
    <w:rsid w:val="008E64BC"/>
    <w:rsid w:val="009009E7"/>
    <w:rsid w:val="00905DEF"/>
    <w:rsid w:val="00906056"/>
    <w:rsid w:val="009122AE"/>
    <w:rsid w:val="00913B43"/>
    <w:rsid w:val="00914912"/>
    <w:rsid w:val="00930203"/>
    <w:rsid w:val="009311D2"/>
    <w:rsid w:val="009311E6"/>
    <w:rsid w:val="00931275"/>
    <w:rsid w:val="00936AC7"/>
    <w:rsid w:val="00953B64"/>
    <w:rsid w:val="009646A7"/>
    <w:rsid w:val="00970A88"/>
    <w:rsid w:val="00974E69"/>
    <w:rsid w:val="009818A1"/>
    <w:rsid w:val="00982B1B"/>
    <w:rsid w:val="00995174"/>
    <w:rsid w:val="009A1674"/>
    <w:rsid w:val="009B332F"/>
    <w:rsid w:val="009B38BE"/>
    <w:rsid w:val="009B4DF2"/>
    <w:rsid w:val="009C684F"/>
    <w:rsid w:val="009D074C"/>
    <w:rsid w:val="009D6E73"/>
    <w:rsid w:val="009F1F1D"/>
    <w:rsid w:val="009F2B4F"/>
    <w:rsid w:val="009F3C63"/>
    <w:rsid w:val="009F66B5"/>
    <w:rsid w:val="00A007F0"/>
    <w:rsid w:val="00A02F10"/>
    <w:rsid w:val="00A1060C"/>
    <w:rsid w:val="00A1509E"/>
    <w:rsid w:val="00A16221"/>
    <w:rsid w:val="00A20A7D"/>
    <w:rsid w:val="00A35D42"/>
    <w:rsid w:val="00A46CCF"/>
    <w:rsid w:val="00A506DE"/>
    <w:rsid w:val="00A515E6"/>
    <w:rsid w:val="00A53451"/>
    <w:rsid w:val="00A62E3D"/>
    <w:rsid w:val="00A70426"/>
    <w:rsid w:val="00A707CC"/>
    <w:rsid w:val="00A71410"/>
    <w:rsid w:val="00A71DB8"/>
    <w:rsid w:val="00A91E9A"/>
    <w:rsid w:val="00A93ED9"/>
    <w:rsid w:val="00A95BDF"/>
    <w:rsid w:val="00A96221"/>
    <w:rsid w:val="00AB0C7D"/>
    <w:rsid w:val="00AC2DBB"/>
    <w:rsid w:val="00AC6A99"/>
    <w:rsid w:val="00AD6048"/>
    <w:rsid w:val="00AE7C85"/>
    <w:rsid w:val="00AF28A9"/>
    <w:rsid w:val="00B01541"/>
    <w:rsid w:val="00B055EF"/>
    <w:rsid w:val="00B06B5B"/>
    <w:rsid w:val="00B12D25"/>
    <w:rsid w:val="00B15A36"/>
    <w:rsid w:val="00B23769"/>
    <w:rsid w:val="00B321A9"/>
    <w:rsid w:val="00B41789"/>
    <w:rsid w:val="00B47862"/>
    <w:rsid w:val="00B5501F"/>
    <w:rsid w:val="00B64D51"/>
    <w:rsid w:val="00B81808"/>
    <w:rsid w:val="00B86DFA"/>
    <w:rsid w:val="00B936D0"/>
    <w:rsid w:val="00BB15FB"/>
    <w:rsid w:val="00BB4A07"/>
    <w:rsid w:val="00BD1304"/>
    <w:rsid w:val="00BD353E"/>
    <w:rsid w:val="00BD3D5B"/>
    <w:rsid w:val="00BD413B"/>
    <w:rsid w:val="00BE3600"/>
    <w:rsid w:val="00BE76DC"/>
    <w:rsid w:val="00C01F6F"/>
    <w:rsid w:val="00C041EA"/>
    <w:rsid w:val="00C13BBD"/>
    <w:rsid w:val="00C149AB"/>
    <w:rsid w:val="00C16929"/>
    <w:rsid w:val="00C20690"/>
    <w:rsid w:val="00C32BF6"/>
    <w:rsid w:val="00C36020"/>
    <w:rsid w:val="00C40694"/>
    <w:rsid w:val="00C479BF"/>
    <w:rsid w:val="00C5124B"/>
    <w:rsid w:val="00C70542"/>
    <w:rsid w:val="00C75CBF"/>
    <w:rsid w:val="00CB2272"/>
    <w:rsid w:val="00CC2894"/>
    <w:rsid w:val="00CD77C3"/>
    <w:rsid w:val="00CE112C"/>
    <w:rsid w:val="00CF18E1"/>
    <w:rsid w:val="00CF2DA0"/>
    <w:rsid w:val="00CF55D4"/>
    <w:rsid w:val="00D22DE2"/>
    <w:rsid w:val="00D30034"/>
    <w:rsid w:val="00D608DA"/>
    <w:rsid w:val="00D730BF"/>
    <w:rsid w:val="00D852F4"/>
    <w:rsid w:val="00DB1110"/>
    <w:rsid w:val="00DB3730"/>
    <w:rsid w:val="00DC10C5"/>
    <w:rsid w:val="00DC371B"/>
    <w:rsid w:val="00DC3788"/>
    <w:rsid w:val="00DC76C7"/>
    <w:rsid w:val="00DD09F5"/>
    <w:rsid w:val="00DD0E02"/>
    <w:rsid w:val="00DD4201"/>
    <w:rsid w:val="00DD5E9F"/>
    <w:rsid w:val="00DE5711"/>
    <w:rsid w:val="00DF7D2E"/>
    <w:rsid w:val="00E00EA0"/>
    <w:rsid w:val="00E021CB"/>
    <w:rsid w:val="00E138F1"/>
    <w:rsid w:val="00E2309D"/>
    <w:rsid w:val="00E26758"/>
    <w:rsid w:val="00E4357B"/>
    <w:rsid w:val="00E443A7"/>
    <w:rsid w:val="00E45904"/>
    <w:rsid w:val="00E55B81"/>
    <w:rsid w:val="00E63DE5"/>
    <w:rsid w:val="00E647AF"/>
    <w:rsid w:val="00E647C7"/>
    <w:rsid w:val="00E65A37"/>
    <w:rsid w:val="00E65EF7"/>
    <w:rsid w:val="00E66DC1"/>
    <w:rsid w:val="00E77B48"/>
    <w:rsid w:val="00E857FB"/>
    <w:rsid w:val="00E91799"/>
    <w:rsid w:val="00E97DF8"/>
    <w:rsid w:val="00EA21FE"/>
    <w:rsid w:val="00EA34E3"/>
    <w:rsid w:val="00EB7538"/>
    <w:rsid w:val="00EC1868"/>
    <w:rsid w:val="00EC2FE9"/>
    <w:rsid w:val="00EE4685"/>
    <w:rsid w:val="00EE6468"/>
    <w:rsid w:val="00EF120D"/>
    <w:rsid w:val="00EF392F"/>
    <w:rsid w:val="00F1299B"/>
    <w:rsid w:val="00F207A4"/>
    <w:rsid w:val="00F25173"/>
    <w:rsid w:val="00F355AC"/>
    <w:rsid w:val="00F35F7B"/>
    <w:rsid w:val="00F363E5"/>
    <w:rsid w:val="00F40CF7"/>
    <w:rsid w:val="00F44194"/>
    <w:rsid w:val="00F71A5A"/>
    <w:rsid w:val="00F73A1A"/>
    <w:rsid w:val="00F769E0"/>
    <w:rsid w:val="00F7732D"/>
    <w:rsid w:val="00FA4A46"/>
    <w:rsid w:val="00FA75FE"/>
    <w:rsid w:val="00FB1032"/>
    <w:rsid w:val="00FB39BC"/>
    <w:rsid w:val="00FB3E28"/>
    <w:rsid w:val="00FB4379"/>
    <w:rsid w:val="00FB6A53"/>
    <w:rsid w:val="00FC11CA"/>
    <w:rsid w:val="00FC2876"/>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DDA1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18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7469AA"/>
    <w:rPr>
      <w:sz w:val="24"/>
      <w:szCs w:val="24"/>
    </w:rPr>
  </w:style>
  <w:style w:type="character" w:styleId="CommentReference">
    <w:name w:val="annotation reference"/>
    <w:basedOn w:val="DefaultParagraphFont"/>
    <w:rsid w:val="00EF120D"/>
    <w:rPr>
      <w:sz w:val="16"/>
      <w:szCs w:val="16"/>
    </w:rPr>
  </w:style>
  <w:style w:type="paragraph" w:styleId="CommentText">
    <w:name w:val="annotation text"/>
    <w:basedOn w:val="Normal"/>
    <w:link w:val="CommentTextChar"/>
    <w:rsid w:val="00EF120D"/>
    <w:rPr>
      <w:sz w:val="20"/>
      <w:szCs w:val="20"/>
    </w:rPr>
  </w:style>
  <w:style w:type="character" w:customStyle="1" w:styleId="CommentTextChar">
    <w:name w:val="Comment Text Char"/>
    <w:basedOn w:val="DefaultParagraphFont"/>
    <w:link w:val="CommentText"/>
    <w:rsid w:val="00EF120D"/>
  </w:style>
  <w:style w:type="paragraph" w:styleId="CommentSubject">
    <w:name w:val="annotation subject"/>
    <w:basedOn w:val="CommentText"/>
    <w:next w:val="CommentText"/>
    <w:link w:val="CommentSubjectChar"/>
    <w:rsid w:val="00EF120D"/>
    <w:rPr>
      <w:b/>
      <w:bCs/>
    </w:rPr>
  </w:style>
  <w:style w:type="character" w:customStyle="1" w:styleId="CommentSubjectChar">
    <w:name w:val="Comment Subject Char"/>
    <w:basedOn w:val="CommentTextChar"/>
    <w:link w:val="CommentSubject"/>
    <w:rsid w:val="00EF1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food/voluntary-national-retail-food-regulatory-program-standards/voluntary-national-retail-food-regulatory-program-standards-august-2022" TargetMode="External" /><Relationship Id="rId5" Type="http://schemas.openxmlformats.org/officeDocument/2006/relationships/hyperlink" Target="mailto:retailfoodprotectionteam@fda.hhs.gov" TargetMode="External" /><Relationship Id="rId6" Type="http://schemas.openxmlformats.org/officeDocument/2006/relationships/hyperlink" Target="https://www.fda.gov/food/voluntary-national-retail-food-regulatory-program-standards/listing-jurisdictions-enrolled-voluntary-national-retail-food-regulatory-program-standards"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2230</Words>
  <Characters>12713</Characters>
  <Application>Microsoft Office Word</Application>
  <DocSecurity>0</DocSecurity>
  <Lines>105</Lines>
  <Paragraphs>29</Paragraphs>
  <ScaleCrop>false</ScaleCrop>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2023-09-20T13:31:00Z</dcterms:created>
  <dcterms:modified xsi:type="dcterms:W3CDTF">2023-09-20T13:31:00Z</dcterms:modified>
</cp:coreProperties>
</file>