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13257" w:rsidP="1B350551" w14:paraId="3D7A281B" w14:textId="7366EA68">
      <w:pPr>
        <w:spacing w:line="240" w:lineRule="auto"/>
        <w:rPr>
          <w:rFonts w:eastAsiaTheme="minorEastAsia"/>
        </w:rPr>
      </w:pPr>
      <w:r w:rsidRPr="7D7072E1">
        <w:rPr>
          <w:rFonts w:eastAsiaTheme="minorEastAsia"/>
        </w:rPr>
        <w:t xml:space="preserve">Appendix </w:t>
      </w:r>
      <w:r w:rsidRPr="7D7072E1" w:rsidR="26A1C0C2">
        <w:rPr>
          <w:rFonts w:eastAsiaTheme="minorEastAsia"/>
        </w:rPr>
        <w:t>B</w:t>
      </w:r>
      <w:r w:rsidRPr="7D7072E1" w:rsidR="1DC6BBCE">
        <w:rPr>
          <w:rFonts w:eastAsiaTheme="minorEastAsia"/>
        </w:rPr>
        <w:t>.</w:t>
      </w:r>
      <w:r w:rsidRPr="7D7072E1">
        <w:rPr>
          <w:rFonts w:eastAsiaTheme="minorEastAsia"/>
        </w:rPr>
        <w:t xml:space="preserve">  Power Analysis for FDA Front of Pack Nutrition Labeling Experiment</w:t>
      </w:r>
    </w:p>
    <w:p w:rsidR="6687D810" w:rsidP="6687D810" w14:paraId="13D411C8" w14:textId="7970603F">
      <w:pPr>
        <w:spacing w:line="240" w:lineRule="auto"/>
        <w:rPr>
          <w:rFonts w:eastAsiaTheme="minorEastAsia"/>
          <w:b/>
        </w:rPr>
      </w:pPr>
    </w:p>
    <w:p w:rsidR="00513257" w:rsidP="1B350551" w14:paraId="6B113254" w14:textId="792A5BD1">
      <w:pPr>
        <w:spacing w:line="240" w:lineRule="auto"/>
        <w:rPr>
          <w:rFonts w:eastAsiaTheme="minorEastAsia"/>
        </w:rPr>
      </w:pPr>
      <w:r w:rsidRPr="7D7072E1">
        <w:rPr>
          <w:rFonts w:eastAsiaTheme="minorEastAsia"/>
          <w:b/>
        </w:rPr>
        <w:t>OMB No</w:t>
      </w:r>
      <w:r w:rsidRPr="7D7072E1">
        <w:rPr>
          <w:rFonts w:eastAsiaTheme="minorEastAsia"/>
        </w:rPr>
        <w:t>. 0910-New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D7072E1">
        <w:rPr>
          <w:rFonts w:eastAsiaTheme="minorEastAsia"/>
          <w:b/>
        </w:rPr>
        <w:t>Expiration Dat</w:t>
      </w:r>
      <w:r w:rsidRPr="7D7072E1">
        <w:rPr>
          <w:rFonts w:eastAsiaTheme="minorEastAsia"/>
        </w:rPr>
        <w:t>e: XX/XX/XXXX</w:t>
      </w:r>
    </w:p>
    <w:p w:rsidR="00513257" w:rsidP="1B350551" w14:paraId="63FD57CF" w14:textId="09C0985D">
      <w:pPr>
        <w:spacing w:after="200" w:line="276" w:lineRule="auto"/>
        <w:rPr>
          <w:rFonts w:eastAsiaTheme="minorEastAsia"/>
          <w:color w:val="000000" w:themeColor="text1"/>
        </w:rPr>
      </w:pPr>
      <w:r w:rsidRPr="7D7072E1">
        <w:rPr>
          <w:rFonts w:eastAsiaTheme="minorEastAsia"/>
          <w:b/>
          <w:color w:val="000000" w:themeColor="text1"/>
        </w:rPr>
        <w:t>Paperwork Reduction Act Statemen</w:t>
      </w:r>
      <w:r w:rsidRPr="7D7072E1">
        <w:rPr>
          <w:rFonts w:eastAsiaTheme="minorEastAsia"/>
          <w:color w:val="000000" w:themeColor="text1"/>
        </w:rPr>
        <w:t>t</w:t>
      </w:r>
    </w:p>
    <w:p w:rsidR="00513257" w:rsidP="1B350551" w14:paraId="2316608F" w14:textId="7DCFE8A9">
      <w:pPr>
        <w:spacing w:after="200" w:line="276" w:lineRule="auto"/>
        <w:rPr>
          <w:rFonts w:eastAsiaTheme="minorEastAsia"/>
          <w:color w:val="000000" w:themeColor="text1"/>
        </w:rPr>
      </w:pPr>
      <w:r w:rsidRPr="7D7072E1">
        <w:rPr>
          <w:rFonts w:eastAsiaTheme="minorEastAsia"/>
          <w:color w:val="000000" w:themeColor="text1"/>
        </w:rPr>
        <w:t xml:space="preserve">Public reporting burden for this collection of information is estimated to average 15 minutes per response, including the time for reviewing instructions, searching existing data sources, </w:t>
      </w:r>
      <w:r w:rsidRPr="7D7072E1">
        <w:rPr>
          <w:rFonts w:eastAsiaTheme="minorEastAsia"/>
          <w:color w:val="000000" w:themeColor="text1"/>
        </w:rPr>
        <w:t>gathering</w:t>
      </w:r>
      <w:r w:rsidRPr="7D7072E1">
        <w:rPr>
          <w:rFonts w:eastAsiaTheme="minorEastAsia"/>
          <w:color w:val="000000" w:themeColor="text1"/>
        </w:rPr>
        <w:t xml:space="preserve"> and maintaining the data needed, and completing and reviewing the collection of information. 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</w:t>
      </w:r>
    </w:p>
    <w:p w:rsidR="00513257" w:rsidP="1B350551" w14:paraId="29FBA2BA" w14:textId="444AFE55">
      <w:pPr>
        <w:spacing w:beforeAutospacing="1" w:afterAutospacing="1" w:line="240" w:lineRule="auto"/>
        <w:rPr>
          <w:rFonts w:eastAsiaTheme="minorEastAsia"/>
          <w:color w:val="000000" w:themeColor="text1"/>
        </w:rPr>
      </w:pPr>
      <w:r>
        <w:br/>
      </w:r>
      <w:r w:rsidRPr="7D7072E1" w:rsidR="5D2DE77C">
        <w:rPr>
          <w:rFonts w:eastAsiaTheme="minorEastAsia"/>
          <w:color w:val="000000" w:themeColor="text1"/>
        </w:rPr>
        <w:t>Food and Drug Administration</w:t>
      </w:r>
      <w:r>
        <w:br/>
      </w:r>
      <w:r w:rsidRPr="7D7072E1" w:rsidR="5D2DE77C">
        <w:rPr>
          <w:rFonts w:eastAsiaTheme="minorEastAsia"/>
          <w:color w:val="000000" w:themeColor="text1"/>
        </w:rPr>
        <w:t>CFSAN/PRA Comments/HFS-24</w:t>
      </w:r>
      <w:r>
        <w:br/>
      </w:r>
      <w:r w:rsidRPr="7D7072E1" w:rsidR="5D2DE77C">
        <w:rPr>
          <w:rFonts w:eastAsiaTheme="minorEastAsia"/>
          <w:color w:val="000000" w:themeColor="text1"/>
        </w:rPr>
        <w:t xml:space="preserve">5001 Campus Dr. </w:t>
      </w:r>
      <w:r>
        <w:br/>
      </w:r>
      <w:r w:rsidRPr="7D7072E1" w:rsidR="5D2DE77C">
        <w:rPr>
          <w:rFonts w:eastAsiaTheme="minorEastAsia"/>
          <w:color w:val="000000" w:themeColor="text1"/>
        </w:rPr>
        <w:t>College Park, MD 20740-3835.</w:t>
      </w:r>
    </w:p>
    <w:p w:rsidR="00513257" w:rsidP="1B350551" w14:paraId="403979A6" w14:textId="40468091">
      <w:pPr>
        <w:spacing w:line="240" w:lineRule="auto"/>
        <w:rPr>
          <w:sz w:val="20"/>
          <w:szCs w:val="20"/>
        </w:rPr>
      </w:pPr>
      <w:r w:rsidRPr="1018E636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</w:t>
      </w:r>
    </w:p>
    <w:p w:rsidR="0084010C" w:rsidRPr="000D05B0" w:rsidP="1B350551" w14:paraId="60CD08AF" w14:textId="605BF36F">
      <w:pPr>
        <w:spacing w:line="240" w:lineRule="auto"/>
      </w:pPr>
      <w:r w:rsidRPr="000D05B0">
        <w:t xml:space="preserve">This collection of information is being conducted on behalf of the U.S. Food and Drug Administration.  </w:t>
      </w:r>
      <w:r w:rsidRPr="000D05B0">
        <w:t xml:space="preserve">The proposed sample size is </w:t>
      </w:r>
      <w:r w:rsidRPr="000D05B0">
        <w:rPr>
          <w:b/>
          <w:bCs/>
        </w:rPr>
        <w:t>9,000</w:t>
      </w:r>
      <w:r w:rsidRPr="000D05B0">
        <w:t xml:space="preserve">. </w:t>
      </w:r>
      <w:r w:rsidR="00497EF5">
        <w:t xml:space="preserve"> </w:t>
      </w:r>
      <w:r w:rsidRPr="000D05B0">
        <w:t xml:space="preserve">This sample size is sufficient to detect even small effects due to scheme on choosing the correct healthy/unhealthy label (Section 1) </w:t>
      </w:r>
      <w:r w:rsidRPr="000D05B0" w:rsidR="00A27E94">
        <w:t>or</w:t>
      </w:r>
      <w:r w:rsidRPr="000D05B0">
        <w:t xml:space="preserve"> agreement about product appropriateness depending on diet preferences (Section 2)</w:t>
      </w:r>
      <w:r w:rsidRPr="000D05B0" w:rsidR="006C4EF2">
        <w:t xml:space="preserve"> with 90% power</w:t>
      </w:r>
      <w:r w:rsidRPr="000D05B0" w:rsidR="001937E1">
        <w:t>.</w:t>
      </w:r>
    </w:p>
    <w:p w:rsidR="00EC5829" w:rsidRPr="000D05B0" w:rsidP="00430A38" w14:paraId="458CB610" w14:textId="77777777">
      <w:pPr>
        <w:rPr>
          <w:rFonts w:cstheme="minorHAnsi"/>
          <w:u w:val="single"/>
        </w:rPr>
      </w:pPr>
    </w:p>
    <w:p w:rsidR="00B16920" w:rsidRPr="000D05B0" w:rsidP="00430A38" w14:paraId="50AE0502" w14:textId="5E1422ED">
      <w:pPr>
        <w:rPr>
          <w:rFonts w:cstheme="minorHAnsi"/>
        </w:rPr>
      </w:pPr>
      <w:r w:rsidRPr="000D05B0">
        <w:rPr>
          <w:rFonts w:cstheme="minorHAnsi"/>
          <w:b/>
          <w:bCs/>
          <w:u w:val="single"/>
        </w:rPr>
        <w:t>Variables</w:t>
      </w:r>
      <w:r w:rsidRPr="000D05B0">
        <w:rPr>
          <w:rFonts w:cstheme="minorHAnsi"/>
        </w:rPr>
        <w:t>:</w:t>
      </w:r>
    </w:p>
    <w:p w:rsidR="00D11D60" w:rsidRPr="000D05B0" w:rsidP="00D11D60" w14:paraId="3F6F0B89" w14:textId="187D108B">
      <w:pPr>
        <w:rPr>
          <w:rFonts w:cstheme="minorHAnsi"/>
        </w:rPr>
      </w:pPr>
      <w:r w:rsidRPr="000D05B0">
        <w:rPr>
          <w:rFonts w:cstheme="minorHAnsi"/>
        </w:rPr>
        <w:t xml:space="preserve">In Section 1, label schemes will be randomized three at a time to each respondent. </w:t>
      </w:r>
      <w:r w:rsidR="001F29A7">
        <w:rPr>
          <w:rFonts w:cstheme="minorHAnsi"/>
        </w:rPr>
        <w:t xml:space="preserve"> </w:t>
      </w:r>
      <w:r w:rsidRPr="000D05B0">
        <w:rPr>
          <w:rFonts w:cstheme="minorHAnsi"/>
        </w:rPr>
        <w:t>In Section 2, one label scheme will be randomized to each respondent.</w:t>
      </w:r>
    </w:p>
    <w:p w:rsidR="00B16920" w:rsidRPr="000D05B0" w:rsidP="00B16920" w14:paraId="6F5B754D" w14:textId="5CC4246E">
      <w:r w:rsidRPr="000D05B0">
        <w:t>The main test predictor is label scheme, consisting of 8 levels (GDA</w:t>
      </w:r>
      <w:r w:rsidRPr="000D05B0" w:rsidR="00F369BD">
        <w:t>,</w:t>
      </w:r>
      <w:r w:rsidRPr="000D05B0">
        <w:t xml:space="preserve"> </w:t>
      </w:r>
      <w:r w:rsidRPr="000D05B0">
        <w:t>Nutr</w:t>
      </w:r>
      <w:r w:rsidRPr="000D05B0">
        <w:t xml:space="preserve"> Info B/W</w:t>
      </w:r>
      <w:r w:rsidRPr="000D05B0" w:rsidR="00F369BD">
        <w:t>,</w:t>
      </w:r>
      <w:r w:rsidRPr="000D05B0">
        <w:t xml:space="preserve"> </w:t>
      </w:r>
      <w:r w:rsidRPr="000D05B0">
        <w:t>Nutr</w:t>
      </w:r>
      <w:r w:rsidRPr="000D05B0">
        <w:t xml:space="preserve"> Info Color</w:t>
      </w:r>
      <w:r w:rsidRPr="000D05B0" w:rsidR="00985328">
        <w:t>,</w:t>
      </w:r>
      <w:r w:rsidRPr="000D05B0">
        <w:t xml:space="preserve"> </w:t>
      </w:r>
      <w:r w:rsidRPr="000D05B0">
        <w:t>Nutr</w:t>
      </w:r>
      <w:r w:rsidRPr="000D05B0">
        <w:t xml:space="preserve"> Info with DV B/W</w:t>
      </w:r>
      <w:r w:rsidRPr="000D05B0" w:rsidR="00985328">
        <w:t>,</w:t>
      </w:r>
      <w:r w:rsidRPr="000D05B0">
        <w:t xml:space="preserve"> </w:t>
      </w:r>
      <w:r w:rsidRPr="000D05B0">
        <w:t>Nutr</w:t>
      </w:r>
      <w:r w:rsidRPr="000D05B0">
        <w:t xml:space="preserve"> Info with DV Color</w:t>
      </w:r>
      <w:r w:rsidRPr="000D05B0" w:rsidR="00985328">
        <w:t>,</w:t>
      </w:r>
      <w:r w:rsidRPr="000D05B0">
        <w:t xml:space="preserve"> High In</w:t>
      </w:r>
      <w:r w:rsidRPr="000D05B0" w:rsidR="00985328">
        <w:t xml:space="preserve">, </w:t>
      </w:r>
      <w:r w:rsidRPr="000D05B0">
        <w:t>High In with DV</w:t>
      </w:r>
      <w:r w:rsidRPr="000D05B0" w:rsidR="00985328">
        <w:t xml:space="preserve">, </w:t>
      </w:r>
      <w:r w:rsidRPr="000D05B0">
        <w:t>No scheme - Control</w:t>
      </w:r>
      <w:r w:rsidRPr="000D05B0" w:rsidR="00985328">
        <w:t>)</w:t>
      </w:r>
      <w:r w:rsidRPr="000D05B0" w:rsidR="00D11D60">
        <w:t xml:space="preserve">. </w:t>
      </w:r>
      <w:r w:rsidR="001F29A7">
        <w:t xml:space="preserve"> </w:t>
      </w:r>
      <w:r w:rsidRPr="000D05B0">
        <w:t xml:space="preserve">Two more schemes:  </w:t>
      </w:r>
      <w:r w:rsidRPr="000D05B0">
        <w:t>Nutr</w:t>
      </w:r>
      <w:r w:rsidRPr="000D05B0">
        <w:t xml:space="preserve"> Info B/W w/ Magnifying Glass and </w:t>
      </w:r>
      <w:r w:rsidRPr="000D05B0">
        <w:t>Nutr</w:t>
      </w:r>
      <w:r w:rsidRPr="000D05B0">
        <w:t xml:space="preserve"> Info B/W Placement (lower right) will be further tested in Section 2.</w:t>
      </w:r>
    </w:p>
    <w:p w:rsidR="004A679B" w:rsidRPr="000D05B0" w:rsidP="004A679B" w14:paraId="259C8A10" w14:textId="3DF08F8A">
      <w:r w:rsidRPr="000D05B0">
        <w:t>The covariates, which will be adjusted for in the model</w:t>
      </w:r>
      <w:r w:rsidRPr="000D05B0" w:rsidR="590BFDE5">
        <w:t>,</w:t>
      </w:r>
      <w:r w:rsidRPr="000D05B0">
        <w:t xml:space="preserve"> </w:t>
      </w:r>
      <w:r w:rsidRPr="000D05B0" w:rsidR="590BFDE5">
        <w:t>are nutrition literacy (</w:t>
      </w:r>
      <w:r w:rsidRPr="000D05B0" w:rsidR="75891F64">
        <w:t>yes=literate, no=not literate</w:t>
      </w:r>
      <w:r w:rsidRPr="000D05B0" w:rsidR="590BFDE5">
        <w:t>)</w:t>
      </w:r>
      <w:r w:rsidRPr="000D05B0" w:rsidR="0B831731">
        <w:t xml:space="preserve"> and</w:t>
      </w:r>
      <w:r w:rsidRPr="000D05B0" w:rsidR="590BFDE5">
        <w:t xml:space="preserve"> use of the nutrition facts label (none, some, always).</w:t>
      </w:r>
      <w:r w:rsidRPr="000D05B0" w:rsidR="5FE1BFEB">
        <w:t xml:space="preserve"> </w:t>
      </w:r>
      <w:r w:rsidR="001F29A7">
        <w:t xml:space="preserve"> </w:t>
      </w:r>
      <w:r w:rsidRPr="000D05B0" w:rsidR="590BFDE5">
        <w:t xml:space="preserve">Covariates further included in the Section 2 analysis will be </w:t>
      </w:r>
      <w:r w:rsidRPr="000D05B0">
        <w:t>product type (breakfast cereal, frozen meal</w:t>
      </w:r>
      <w:r w:rsidRPr="000D05B0" w:rsidR="005D1395">
        <w:t>,</w:t>
      </w:r>
      <w:r w:rsidRPr="000D05B0">
        <w:t xml:space="preserve"> or soup), and nutrition profile (health</w:t>
      </w:r>
      <w:r w:rsidRPr="000D05B0" w:rsidR="7CB57FDF">
        <w:t>i</w:t>
      </w:r>
      <w:r w:rsidRPr="000D05B0" w:rsidR="0F5F1349">
        <w:t>est</w:t>
      </w:r>
      <w:r w:rsidRPr="000D05B0">
        <w:t>, middle</w:t>
      </w:r>
      <w:r w:rsidRPr="000D05B0" w:rsidR="006C7BA3">
        <w:t>,</w:t>
      </w:r>
      <w:r w:rsidRPr="000D05B0">
        <w:t xml:space="preserve"> or </w:t>
      </w:r>
      <w:r w:rsidRPr="000D05B0" w:rsidR="19B412CC">
        <w:t>least</w:t>
      </w:r>
      <w:r w:rsidRPr="000D05B0">
        <w:t xml:space="preserve"> healthy)</w:t>
      </w:r>
      <w:r w:rsidRPr="000D05B0" w:rsidR="590BFDE5">
        <w:t>.</w:t>
      </w:r>
    </w:p>
    <w:p w:rsidR="004A679B" w:rsidRPr="00241876" w:rsidP="00B16920" w14:paraId="48805AC4" w14:textId="0AE17003">
      <w:r w:rsidRPr="000D05B0">
        <w:t xml:space="preserve">Aggregate data will be </w:t>
      </w:r>
      <w:bookmarkStart w:id="0" w:name="_Int_5UT0Qh0e"/>
      <w:r w:rsidRPr="000D05B0">
        <w:t>analyzed</w:t>
      </w:r>
      <w:bookmarkEnd w:id="0"/>
      <w:r w:rsidR="000D05B0">
        <w:t>,</w:t>
      </w:r>
      <w:r w:rsidRPr="000D05B0">
        <w:t xml:space="preserve"> and </w:t>
      </w:r>
      <w:r w:rsidRPr="000D05B0" w:rsidR="001D0634">
        <w:t>any</w:t>
      </w:r>
      <w:r w:rsidRPr="000D05B0">
        <w:t xml:space="preserve"> subgroup</w:t>
      </w:r>
      <w:r w:rsidRPr="000D05B0" w:rsidR="001D0634">
        <w:t xml:space="preserve"> analyses might </w:t>
      </w:r>
      <w:r w:rsidRPr="000D05B0" w:rsidR="00214E07">
        <w:t>be conducted post</w:t>
      </w:r>
      <w:r w:rsidRPr="000D05B0" w:rsidR="00347ED6">
        <w:t xml:space="preserve"> </w:t>
      </w:r>
      <w:r w:rsidRPr="000D05B0" w:rsidR="00214E07">
        <w:t>hoc.</w:t>
      </w:r>
      <w:r w:rsidRPr="000D05B0">
        <w:t xml:space="preserve"> </w:t>
      </w:r>
      <w:r w:rsidR="001F29A7">
        <w:t xml:space="preserve"> </w:t>
      </w:r>
      <w:r w:rsidRPr="000D05B0">
        <w:t>The full model will contain the test predictor, covariates</w:t>
      </w:r>
      <w:r w:rsidRPr="000D05B0" w:rsidR="00347ED6">
        <w:t>,</w:t>
      </w:r>
      <w:r w:rsidRPr="000D05B0">
        <w:t xml:space="preserve"> and any interactions deemed of value. </w:t>
      </w:r>
      <w:r w:rsidR="001F29A7">
        <w:t xml:space="preserve"> </w:t>
      </w:r>
      <w:r w:rsidRPr="000D05B0">
        <w:t>The model may further account for sociodemographic factors such as race</w:t>
      </w:r>
      <w:r w:rsidRPr="000D05B0" w:rsidR="007C4907">
        <w:t>,</w:t>
      </w:r>
      <w:r w:rsidRPr="000D05B0">
        <w:t xml:space="preserve"> ethnicity, age, gender, income, </w:t>
      </w:r>
      <w:r w:rsidRPr="000D05B0" w:rsidR="00347ED6">
        <w:t xml:space="preserve">and </w:t>
      </w:r>
      <w:r w:rsidRPr="000D05B0">
        <w:t>education</w:t>
      </w:r>
      <w:r w:rsidRPr="00241876">
        <w:t>.</w:t>
      </w:r>
    </w:p>
    <w:p w:rsidR="00253B0D" w:rsidRPr="00241876" w:rsidP="00430A38" w14:paraId="3F320E80" w14:textId="19C54FB1">
      <w:pPr>
        <w:rPr>
          <w:rFonts w:cstheme="minorHAnsi"/>
        </w:rPr>
      </w:pPr>
    </w:p>
    <w:p w:rsidR="001165F8" w:rsidRPr="00241876" w:rsidP="00430A38" w14:paraId="418EFF95" w14:textId="1C4E24A9">
      <w:pPr>
        <w:rPr>
          <w:rFonts w:cstheme="minorHAnsi"/>
          <w:b/>
          <w:bCs/>
        </w:rPr>
      </w:pPr>
      <w:r w:rsidRPr="00241876">
        <w:rPr>
          <w:rFonts w:cstheme="minorHAnsi"/>
          <w:b/>
          <w:bCs/>
        </w:rPr>
        <w:t>Appendix A1</w:t>
      </w:r>
      <w:r w:rsidRPr="00241876" w:rsidR="00633585">
        <w:rPr>
          <w:rFonts w:cstheme="minorHAnsi"/>
          <w:b/>
          <w:bCs/>
        </w:rPr>
        <w:t xml:space="preserve"> (Section 1)</w:t>
      </w:r>
    </w:p>
    <w:p w:rsidR="001165F8" w:rsidRPr="00241876" w:rsidP="1B350551" w14:paraId="1481C739" w14:textId="532A0896">
      <w:r w:rsidRPr="00241876">
        <w:t>In Section 1, each respondent will be presented with 3 labels per scheme (healthiest, middle</w:t>
      </w:r>
      <w:r w:rsidRPr="00241876" w:rsidR="00347ED6">
        <w:t>,</w:t>
      </w:r>
      <w:r w:rsidRPr="00241876">
        <w:t xml:space="preserve"> </w:t>
      </w:r>
      <w:r w:rsidRPr="00241876" w:rsidR="281789A0">
        <w:t>or least</w:t>
      </w:r>
      <w:r w:rsidRPr="00241876">
        <w:t xml:space="preserve"> healthy) and 3 schemes total with both scheme order and label order within scheme randomized. </w:t>
      </w:r>
      <w:r w:rsidR="00E0232E">
        <w:t xml:space="preserve"> </w:t>
      </w:r>
      <w:r w:rsidRPr="00241876">
        <w:t>Using a repeated-scheme design will improve the power of the study and result in a lower required sample size.</w:t>
      </w:r>
    </w:p>
    <w:p w:rsidR="001165F8" w:rsidRPr="00241876" w:rsidP="001165F8" w14:paraId="302B152C" w14:textId="69E561BC">
      <w:pPr>
        <w:rPr>
          <w:rFonts w:cstheme="minorHAnsi"/>
        </w:rPr>
      </w:pPr>
      <w:r w:rsidRPr="00241876">
        <w:rPr>
          <w:rFonts w:cstheme="minorHAnsi"/>
        </w:rPr>
        <w:t xml:space="preserve">Sample sizes were calculated using a logistic regression scenario for predicting percent incorrect (healthiest or unhealthiest label; choice (1=incorrect, 0=correct) using label scheme as the main predictor (7 label schemes + control), and nutrition literacy (designed to capture nutrition literacy </w:t>
      </w:r>
      <w:r w:rsidRPr="00241876" w:rsidR="00995301">
        <w:rPr>
          <w:rFonts w:cstheme="minorHAnsi"/>
        </w:rPr>
        <w:t xml:space="preserve">- </w:t>
      </w:r>
      <w:r w:rsidRPr="00241876">
        <w:rPr>
          <w:rFonts w:cstheme="minorHAnsi"/>
        </w:rPr>
        <w:t xml:space="preserve">50% higher literacy, 50% lower literacy) and regular use of NFL (regular use, moderate use, no use) as co-predictors with moderate effect (Odds Ratio </w:t>
      </w:r>
      <w:r w:rsidRPr="00241876" w:rsidR="00847F14">
        <w:rPr>
          <w:rFonts w:cstheme="minorHAnsi"/>
        </w:rPr>
        <w:t>(</w:t>
      </w:r>
      <w:r w:rsidRPr="00241876">
        <w:rPr>
          <w:rFonts w:cstheme="minorHAnsi"/>
        </w:rPr>
        <w:t>OR</w:t>
      </w:r>
      <w:r w:rsidRPr="00241876" w:rsidR="00847F14">
        <w:rPr>
          <w:rFonts w:cstheme="minorHAnsi"/>
        </w:rPr>
        <w:t>)</w:t>
      </w:r>
      <w:r w:rsidRPr="00241876">
        <w:rPr>
          <w:rFonts w:cstheme="minorHAnsi"/>
        </w:rPr>
        <w:t>=2.5)</w:t>
      </w:r>
      <w:r w:rsidRPr="00241876" w:rsidR="00847F14">
        <w:rPr>
          <w:rFonts w:cstheme="minorHAnsi"/>
        </w:rPr>
        <w:t>.</w:t>
      </w:r>
    </w:p>
    <w:p w:rsidR="001165F8" w:rsidRPr="00241876" w:rsidP="001165F8" w14:paraId="7FD80555" w14:textId="37946397">
      <w:pPr>
        <w:rPr>
          <w:rFonts w:cstheme="minorHAnsi"/>
        </w:rPr>
      </w:pPr>
      <w:r w:rsidRPr="00241876">
        <w:rPr>
          <w:rFonts w:cstheme="minorHAnsi"/>
        </w:rPr>
        <w:t>For % incorrect choice ranging from 5% (rare) to 30% (more prevalent), the sample size was estimated for small scheme effect (OR=1.5), medium scheme effect (OR=3)</w:t>
      </w:r>
      <w:r w:rsidRPr="00241876" w:rsidR="00DE7646">
        <w:rPr>
          <w:rFonts w:cstheme="minorHAnsi"/>
        </w:rPr>
        <w:t>,</w:t>
      </w:r>
      <w:r w:rsidRPr="00241876">
        <w:rPr>
          <w:rFonts w:cstheme="minorHAnsi"/>
        </w:rPr>
        <w:t xml:space="preserve"> and high scheme effect (</w:t>
      </w:r>
      <w:r w:rsidRPr="00241876" w:rsidR="00DE7646">
        <w:rPr>
          <w:rFonts w:cstheme="minorHAnsi"/>
        </w:rPr>
        <w:t>OR=</w:t>
      </w:r>
      <w:r w:rsidRPr="00241876">
        <w:rPr>
          <w:rFonts w:cstheme="minorHAnsi"/>
        </w:rPr>
        <w:t xml:space="preserve">5). </w:t>
      </w:r>
      <w:r w:rsidR="00E0232E">
        <w:rPr>
          <w:rFonts w:cstheme="minorHAnsi"/>
        </w:rPr>
        <w:t xml:space="preserve"> </w:t>
      </w:r>
      <w:r w:rsidRPr="00241876">
        <w:rPr>
          <w:rFonts w:cstheme="minorHAnsi"/>
        </w:rPr>
        <w:t>The sample size was also modified for multiplicity (Appendix A1</w:t>
      </w:r>
      <w:r w:rsidRPr="00241876" w:rsidR="00CE1D7A">
        <w:rPr>
          <w:rFonts w:cstheme="minorHAnsi"/>
        </w:rPr>
        <w:t>a</w:t>
      </w:r>
      <w:r w:rsidRPr="00241876">
        <w:rPr>
          <w:rFonts w:cstheme="minorHAnsi"/>
        </w:rPr>
        <w:t>).</w:t>
      </w:r>
    </w:p>
    <w:p w:rsidR="001165F8" w:rsidRPr="00241876" w:rsidP="001165F8" w14:paraId="1D51919B" w14:textId="77777777">
      <w:pPr>
        <w:rPr>
          <w:rFonts w:cstheme="minorHAnsi"/>
        </w:rPr>
      </w:pPr>
    </w:p>
    <w:p w:rsidR="001165F8" w:rsidRPr="00241876" w:rsidP="001165F8" w14:paraId="5D4BA75F" w14:textId="75CBB1E8">
      <w:pPr>
        <w:rPr>
          <w:rFonts w:cstheme="minorHAnsi"/>
        </w:rPr>
      </w:pPr>
      <w:r w:rsidRPr="00241876">
        <w:rPr>
          <w:rFonts w:cstheme="minorHAnsi"/>
          <w:u w:val="single"/>
        </w:rPr>
        <w:t>Figure 1</w:t>
      </w:r>
      <w:r w:rsidRPr="00241876">
        <w:rPr>
          <w:rFonts w:cstheme="minorHAnsi"/>
        </w:rPr>
        <w:t>: Power for sample sizes ranging from 0 to 1</w:t>
      </w:r>
      <w:r w:rsidRPr="00241876" w:rsidR="00FD28F4">
        <w:rPr>
          <w:rFonts w:cstheme="minorHAnsi"/>
        </w:rPr>
        <w:t>2</w:t>
      </w:r>
      <w:r w:rsidRPr="00241876">
        <w:rPr>
          <w:rFonts w:cstheme="minorHAnsi"/>
        </w:rPr>
        <w:t>,000, % incorrect choice ranging as .05, .1, .2</w:t>
      </w:r>
      <w:r w:rsidR="00E0232E">
        <w:rPr>
          <w:rFonts w:cstheme="minorHAnsi"/>
        </w:rPr>
        <w:t>,</w:t>
      </w:r>
      <w:r w:rsidRPr="00241876">
        <w:rPr>
          <w:rFonts w:cstheme="minorHAnsi"/>
        </w:rPr>
        <w:t xml:space="preserve"> or .3, and small (OR=1.5)</w:t>
      </w:r>
      <w:r w:rsidRPr="00241876" w:rsidR="00FD28F4">
        <w:rPr>
          <w:rFonts w:cstheme="minorHAnsi"/>
        </w:rPr>
        <w:t xml:space="preserve"> or </w:t>
      </w:r>
      <w:r w:rsidRPr="00241876">
        <w:rPr>
          <w:rFonts w:cstheme="minorHAnsi"/>
        </w:rPr>
        <w:t>medium (OR=3) effect of scheme on % incorrect choice.</w:t>
      </w:r>
    </w:p>
    <w:p w:rsidR="001165F8" w:rsidRPr="00847BD8" w:rsidP="001165F8" w14:paraId="3A60CCF7" w14:textId="7E52E6C5">
      <w:pPr>
        <w:rPr>
          <w:rFonts w:cstheme="minorHAnsi"/>
          <w:sz w:val="20"/>
          <w:szCs w:val="20"/>
        </w:rPr>
      </w:pPr>
      <w:r w:rsidRPr="00847BD8">
        <w:rPr>
          <w:rFonts w:cstheme="minorHAnsi"/>
          <w:noProof/>
          <w:color w:val="000000"/>
          <w:sz w:val="20"/>
          <w:szCs w:val="20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5492750</wp:posOffset>
                </wp:positionH>
                <wp:positionV relativeFrom="paragraph">
                  <wp:posOffset>4133850</wp:posOffset>
                </wp:positionV>
                <wp:extent cx="95250" cy="88900"/>
                <wp:effectExtent l="0" t="0" r="19050" b="254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0" cy="889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5" style="width:7.5pt;height:7pt;margin-top:325.5pt;margin-left:432.5pt;mso-wrap-distance-bottom:0;mso-wrap-distance-left:9pt;mso-wrap-distance-right:9pt;mso-wrap-distance-top:0;mso-wrap-style:square;position:absolute;visibility:visible;v-text-anchor:middle;z-index:251669504" filled="f" strokecolor="#1f3763" strokeweight="1pt">
                <v:stroke joinstyle="miter"/>
              </v:oval>
            </w:pict>
          </mc:Fallback>
        </mc:AlternateContent>
      </w:r>
      <w:r w:rsidRPr="00847BD8" w:rsidR="007E6C45">
        <w:rPr>
          <w:rFonts w:cstheme="minorHAnsi"/>
          <w:noProof/>
          <w:color w:val="000000"/>
          <w:sz w:val="20"/>
          <w:szCs w:val="20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615950</wp:posOffset>
                </wp:positionH>
                <wp:positionV relativeFrom="paragraph">
                  <wp:posOffset>3771900</wp:posOffset>
                </wp:positionV>
                <wp:extent cx="1200150" cy="787400"/>
                <wp:effectExtent l="0" t="0" r="1905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015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65F8" w:rsidRPr="00F86059" w:rsidP="00F86059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86059">
                              <w:rPr>
                                <w:sz w:val="18"/>
                                <w:szCs w:val="18"/>
                              </w:rPr>
                              <w:t xml:space="preserve">% incorrect choice </w:t>
                            </w:r>
                          </w:p>
                          <w:p w:rsidR="001165F8" w:rsidRPr="00F86059" w:rsidP="00F86059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86059">
                              <w:rPr>
                                <w:sz w:val="18"/>
                                <w:szCs w:val="18"/>
                              </w:rPr>
                              <w:t xml:space="preserve">5% </w:t>
                            </w:r>
                          </w:p>
                          <w:p w:rsidR="001165F8" w:rsidRPr="00F86059" w:rsidP="00F86059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86059">
                              <w:rPr>
                                <w:sz w:val="18"/>
                                <w:szCs w:val="18"/>
                              </w:rPr>
                              <w:t xml:space="preserve">10%  </w:t>
                            </w:r>
                          </w:p>
                          <w:p w:rsidR="001165F8" w:rsidRPr="00F86059" w:rsidP="00F86059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86059">
                              <w:rPr>
                                <w:sz w:val="18"/>
                                <w:szCs w:val="18"/>
                              </w:rPr>
                              <w:t xml:space="preserve">20% </w:t>
                            </w:r>
                          </w:p>
                          <w:p w:rsidR="001165F8" w:rsidRPr="008E7BE2" w:rsidP="00F86059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E7BE2">
                              <w:rPr>
                                <w:sz w:val="18"/>
                                <w:szCs w:val="18"/>
                              </w:rPr>
                              <w:t xml:space="preserve">30%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94.5pt;height:62pt;margin-top:297pt;margin-left:48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weight="0.5pt">
                <v:textbox>
                  <w:txbxContent>
                    <w:p w:rsidR="001165F8" w:rsidRPr="00F86059" w:rsidP="00F86059" w14:paraId="1D507180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F86059">
                        <w:rPr>
                          <w:sz w:val="18"/>
                          <w:szCs w:val="18"/>
                        </w:rPr>
                        <w:t xml:space="preserve">% </w:t>
                      </w:r>
                      <w:r w:rsidRPr="00F86059">
                        <w:rPr>
                          <w:sz w:val="18"/>
                          <w:szCs w:val="18"/>
                        </w:rPr>
                        <w:t>incorrect</w:t>
                      </w:r>
                      <w:r w:rsidRPr="00F86059">
                        <w:rPr>
                          <w:sz w:val="18"/>
                          <w:szCs w:val="18"/>
                        </w:rPr>
                        <w:t xml:space="preserve"> choice </w:t>
                      </w:r>
                    </w:p>
                    <w:p w:rsidR="001165F8" w:rsidRPr="00F86059" w:rsidP="00F86059" w14:paraId="321EF618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F86059">
                        <w:rPr>
                          <w:sz w:val="18"/>
                          <w:szCs w:val="18"/>
                        </w:rPr>
                        <w:t xml:space="preserve">5% </w:t>
                      </w:r>
                    </w:p>
                    <w:p w:rsidR="001165F8" w:rsidRPr="00F86059" w:rsidP="00F86059" w14:paraId="68D3D234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F86059">
                        <w:rPr>
                          <w:sz w:val="18"/>
                          <w:szCs w:val="18"/>
                        </w:rPr>
                        <w:t xml:space="preserve">10%  </w:t>
                      </w:r>
                    </w:p>
                    <w:p w:rsidR="001165F8" w:rsidRPr="00F86059" w:rsidP="00F86059" w14:paraId="21340CC7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F86059">
                        <w:rPr>
                          <w:sz w:val="18"/>
                          <w:szCs w:val="18"/>
                        </w:rPr>
                        <w:t xml:space="preserve">20% </w:t>
                      </w:r>
                    </w:p>
                    <w:p w:rsidR="001165F8" w:rsidRPr="008E7BE2" w:rsidP="00F86059" w14:paraId="64DAF9BE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8E7BE2">
                        <w:rPr>
                          <w:sz w:val="18"/>
                          <w:szCs w:val="18"/>
                        </w:rPr>
                        <w:t xml:space="preserve">30%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7BD8" w:rsidR="007E6C45">
        <w:rPr>
          <w:rFonts w:cstheme="minorHAnsi"/>
          <w:noProof/>
          <w:color w:val="000000"/>
          <w:sz w:val="20"/>
          <w:szCs w:val="20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4041775</wp:posOffset>
                </wp:positionV>
                <wp:extent cx="4318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0528" from="86.5pt,318.25pt" to="120.5pt,318.25pt" strokecolor="#4472c4">
                <v:stroke joinstyle="miter"/>
              </v:line>
            </w:pict>
          </mc:Fallback>
        </mc:AlternateContent>
      </w:r>
      <w:r w:rsidRPr="00847BD8" w:rsidR="007E6C45">
        <w:rPr>
          <w:rFonts w:cstheme="minorHAnsi"/>
          <w:noProof/>
          <w:color w:val="000000"/>
          <w:sz w:val="20"/>
          <w:szCs w:val="20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4175125</wp:posOffset>
                </wp:positionV>
                <wp:extent cx="43180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ln w="1587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8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1552" from="85.5pt,328.75pt" to="119.5pt,328.75pt" strokecolor="#4472c4" strokeweight="1.25pt">
                <v:stroke joinstyle="miter" dashstyle="dash"/>
              </v:line>
            </w:pict>
          </mc:Fallback>
        </mc:AlternateContent>
      </w:r>
      <w:r w:rsidRPr="00847BD8" w:rsidR="007E6C45">
        <w:rPr>
          <w:rFonts w:cstheme="minorHAnsi"/>
          <w:noProof/>
          <w:color w:val="000000"/>
          <w:sz w:val="20"/>
          <w:szCs w:val="20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4321175</wp:posOffset>
                </wp:positionV>
                <wp:extent cx="43180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ln w="9525"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2576" from="82pt,340.25pt" to="116pt,340.25pt" strokecolor="#4472c4">
                <v:stroke joinstyle="miter" dashstyle="longDashDot"/>
              </v:line>
            </w:pict>
          </mc:Fallback>
        </mc:AlternateContent>
      </w:r>
      <w:r w:rsidRPr="00847BD8" w:rsidR="007E6C45">
        <w:rPr>
          <w:rFonts w:cstheme="minorHAnsi"/>
          <w:noProof/>
          <w:color w:val="000000"/>
          <w:sz w:val="20"/>
          <w:szCs w:val="20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4441825</wp:posOffset>
                </wp:positionV>
                <wp:extent cx="43180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ln w="9525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3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3600" from="82.5pt,349.75pt" to="116.5pt,349.75pt" strokecolor="#4472c4">
                <v:stroke joinstyle="miter" dashstyle="longDash"/>
              </v:line>
            </w:pict>
          </mc:Fallback>
        </mc:AlternateContent>
      </w:r>
      <w:r w:rsidRPr="00847BD8" w:rsidR="00FD28F4">
        <w:rPr>
          <w:rFonts w:cstheme="minorHAnsi"/>
          <w:noProof/>
          <w:color w:val="000000"/>
          <w:sz w:val="20"/>
          <w:szCs w:val="20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4267200</wp:posOffset>
                </wp:positionH>
                <wp:positionV relativeFrom="paragraph">
                  <wp:posOffset>3917315</wp:posOffset>
                </wp:positionV>
                <wp:extent cx="1530350" cy="552450"/>
                <wp:effectExtent l="0" t="0" r="1270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03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65F8" w:rsidRPr="008E7BE2" w:rsidP="001165F8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label scheme effect:</w:t>
                            </w:r>
                          </w:p>
                          <w:p w:rsidR="001165F8" w:rsidRPr="008E7BE2" w:rsidP="001165F8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small effect (OR=1.5)</w:t>
                            </w:r>
                          </w:p>
                          <w:p w:rsidR="001165F8" w:rsidRPr="008E7BE2" w:rsidP="001165F8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moderate effect (OR=3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)  </w:t>
                            </w:r>
                            <w:r w:rsidRPr="0065051B">
                              <w:rPr>
                                <w:color w:val="2F5496" w:themeColor="accent1" w:themeShade="BF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width:120.5pt;height:43.5pt;margin-top:308.45pt;margin-left:33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1312" filled="f" strokeweight="0.5pt">
                <v:textbox>
                  <w:txbxContent>
                    <w:p w:rsidR="001165F8" w:rsidRPr="008E7BE2" w:rsidP="001165F8" w14:paraId="415D9E90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label scheme effect:</w:t>
                      </w:r>
                    </w:p>
                    <w:p w:rsidR="001165F8" w:rsidRPr="008E7BE2" w:rsidP="001165F8" w14:paraId="3F98CD55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small effect (OR=1.5)</w:t>
                      </w:r>
                    </w:p>
                    <w:p w:rsidR="001165F8" w:rsidRPr="008E7BE2" w:rsidP="001165F8" w14:paraId="640A199B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moderate effect (OR=3</w:t>
                      </w:r>
                      <w:r>
                        <w:rPr>
                          <w:sz w:val="18"/>
                          <w:szCs w:val="18"/>
                        </w:rPr>
                        <w:t xml:space="preserve">)  </w:t>
                      </w:r>
                      <w:r w:rsidRPr="0065051B">
                        <w:rPr>
                          <w:color w:val="2F5496" w:themeColor="accent1" w:themeShade="BF"/>
                        </w:rPr>
                        <w:t>+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7BD8" w:rsidR="00FD28F4">
        <w:rPr>
          <w:rFonts w:cstheme="minorHAnsi"/>
          <w:noProof/>
          <w:color w:val="000000"/>
          <w:sz w:val="20"/>
          <w:szCs w:val="20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723265</wp:posOffset>
                </wp:positionV>
                <wp:extent cx="127000" cy="146050"/>
                <wp:effectExtent l="19050" t="19050" r="25400" b="254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0" cy="1460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6" o:spid="_x0000_s1032" style="width:10pt;height:11.5pt;margin-top:56.95pt;margin-left:378.3pt;mso-wrap-distance-bottom:0;mso-wrap-distance-left:9pt;mso-wrap-distance-right:9pt;mso-wrap-distance-top:0;mso-wrap-style:square;position:absolute;visibility:visible;v-text-anchor:middle;z-index:251668480" filled="f" strokecolor="#ffc000" strokeweight="2.25pt">
                <v:stroke joinstyle="miter"/>
              </v:oval>
            </w:pict>
          </mc:Fallback>
        </mc:AlternateContent>
      </w:r>
      <w:r w:rsidRPr="00847BD8">
        <w:rPr>
          <w:rFonts w:cstheme="minorHAnsi"/>
          <w:noProof/>
          <w:color w:val="2B579A"/>
          <w:sz w:val="20"/>
          <w:szCs w:val="20"/>
          <w:shd w:val="clear" w:color="auto" w:fill="E6E6E6"/>
        </w:rPr>
        <w:drawing>
          <wp:inline distT="0" distB="0" distL="0" distR="0">
            <wp:extent cx="6068587" cy="4551440"/>
            <wp:effectExtent l="0" t="0" r="889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8587" cy="455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5F8" w:rsidRPr="00847BD8" w:rsidP="001165F8" w14:paraId="2EA3F753" w14:textId="77777777">
      <w:pPr>
        <w:rPr>
          <w:rFonts w:cstheme="minorHAnsi"/>
          <w:sz w:val="20"/>
          <w:szCs w:val="20"/>
        </w:rPr>
      </w:pPr>
    </w:p>
    <w:p w:rsidR="001165F8" w:rsidRPr="00241876" w:rsidP="001165F8" w14:paraId="6353EB97" w14:textId="60BCED4C">
      <w:r w:rsidRPr="00241876">
        <w:t xml:space="preserve">Even for low % incorrect choice (5%), n=10,000 consumers </w:t>
      </w:r>
      <w:r w:rsidRPr="00241876">
        <w:t>is</w:t>
      </w:r>
      <w:r w:rsidRPr="00241876">
        <w:t xml:space="preserve"> sufficient to detect even small scheme effects (OR=1.5) with </w:t>
      </w:r>
      <w:r w:rsidRPr="00241876" w:rsidR="001B6298">
        <w:t>9</w:t>
      </w:r>
      <w:r w:rsidRPr="00241876">
        <w:t xml:space="preserve">0% power. </w:t>
      </w:r>
      <w:r w:rsidR="00E0232E">
        <w:t xml:space="preserve"> </w:t>
      </w:r>
      <w:r w:rsidRPr="00241876">
        <w:t>Adjusted for the repeated measures design (Appendix A</w:t>
      </w:r>
      <w:r w:rsidRPr="00241876" w:rsidR="00CE1D7A">
        <w:t>1b</w:t>
      </w:r>
      <w:r w:rsidRPr="00241876">
        <w:t xml:space="preserve">), the recommended sample size is </w:t>
      </w:r>
      <w:r w:rsidRPr="00241876" w:rsidR="00CE73C7">
        <w:t>8,333</w:t>
      </w:r>
      <w:r w:rsidRPr="00241876">
        <w:t xml:space="preserve">. Rounding to nearest hundred, </w:t>
      </w:r>
      <w:r w:rsidRPr="00241876" w:rsidR="00CE73C7">
        <w:t>we</w:t>
      </w:r>
      <w:r w:rsidRPr="00241876">
        <w:t xml:space="preserve"> recommend </w:t>
      </w:r>
      <w:r w:rsidRPr="00241876" w:rsidR="00241876">
        <w:t xml:space="preserve">9,000 </w:t>
      </w:r>
      <w:r w:rsidRPr="00241876">
        <w:t>consumers.</w:t>
      </w:r>
    </w:p>
    <w:p w:rsidR="001165F8" w:rsidP="001165F8" w14:paraId="02BFC55F" w14:textId="55FE02CC">
      <w:r w:rsidRPr="00241876">
        <w:t xml:space="preserve">Randomizing 8 </w:t>
      </w:r>
      <w:r w:rsidRPr="00241876" w:rsidR="00F51437">
        <w:t xml:space="preserve">label </w:t>
      </w:r>
      <w:r w:rsidRPr="00241876">
        <w:t xml:space="preserve">schemes, three at a time, results in 56 possible </w:t>
      </w:r>
      <w:r w:rsidRPr="00241876" w:rsidR="00290BD9">
        <w:t xml:space="preserve">3-label </w:t>
      </w:r>
      <w:r w:rsidRPr="00241876">
        <w:t>permutations</w:t>
      </w:r>
      <w:r w:rsidRPr="00241876" w:rsidR="00024738">
        <w:t>,</w:t>
      </w:r>
      <w:r w:rsidRPr="00241876">
        <w:t xml:space="preserve"> and further randomizing nutrition literacy to each </w:t>
      </w:r>
      <w:r w:rsidRPr="00241876" w:rsidR="00290BD9">
        <w:t>permutation</w:t>
      </w:r>
      <w:r w:rsidRPr="00241876">
        <w:t xml:space="preserve"> results in 112 </w:t>
      </w:r>
      <w:r w:rsidRPr="00241876" w:rsidR="00290BD9">
        <w:t>‘</w:t>
      </w:r>
      <w:r w:rsidRPr="00241876">
        <w:t>cells</w:t>
      </w:r>
      <w:r w:rsidRPr="00241876" w:rsidR="00290BD9">
        <w:t>’;</w:t>
      </w:r>
      <w:r w:rsidRPr="00241876" w:rsidR="00290BD9">
        <w:t xml:space="preserve"> </w:t>
      </w:r>
      <w:r w:rsidRPr="00241876">
        <w:t>i.e.</w:t>
      </w:r>
      <w:r w:rsidRPr="00241876" w:rsidR="00386F03">
        <w:t>,</w:t>
      </w:r>
      <w:r w:rsidRPr="00241876">
        <w:t xml:space="preserve"> 9000/112=80 respondents per </w:t>
      </w:r>
      <w:r w:rsidRPr="00241876" w:rsidR="00290BD9">
        <w:t>‘</w:t>
      </w:r>
      <w:r w:rsidRPr="00241876">
        <w:t>cell</w:t>
      </w:r>
      <w:r w:rsidRPr="00241876" w:rsidR="00290BD9">
        <w:t>’.</w:t>
      </w:r>
      <w:r w:rsidRPr="00241876">
        <w:t xml:space="preserve"> </w:t>
      </w:r>
      <w:r w:rsidRPr="00241876">
        <w:t xml:space="preserve"> </w:t>
      </w:r>
    </w:p>
    <w:p w:rsidR="00AD272E" w:rsidP="001165F8" w14:paraId="650580C0" w14:textId="77777777"/>
    <w:p w:rsidR="00AD272E" w:rsidP="001165F8" w14:paraId="22A6B950" w14:textId="77777777"/>
    <w:p w:rsidR="00AD272E" w:rsidRPr="00241876" w:rsidP="001165F8" w14:paraId="21ACA85F" w14:textId="77777777">
      <w:pPr>
        <w:rPr>
          <w:rFonts w:eastAsiaTheme="minorEastAsia"/>
        </w:rPr>
      </w:pPr>
    </w:p>
    <w:p w:rsidR="001165F8" w:rsidRPr="00AD272E" w:rsidP="31E6D23B" w14:paraId="7CB593BA" w14:textId="2785914C">
      <w:r w:rsidRPr="00AD272E">
        <w:rPr>
          <w:b/>
          <w:bCs/>
        </w:rPr>
        <w:t>A1</w:t>
      </w:r>
      <w:r w:rsidRPr="00AD272E" w:rsidR="135D7C0C">
        <w:rPr>
          <w:b/>
          <w:bCs/>
        </w:rPr>
        <w:t>a</w:t>
      </w:r>
      <w:r w:rsidRPr="00AD272E">
        <w:rPr>
          <w:b/>
          <w:bCs/>
        </w:rPr>
        <w:t>.</w:t>
      </w:r>
      <w:r w:rsidRPr="00AD272E">
        <w:t xml:space="preserve"> </w:t>
      </w:r>
      <w:r w:rsidRPr="00AD272E">
        <w:rPr>
          <w:i/>
          <w:iCs/>
        </w:rPr>
        <w:t>Adjusting sample size for multiplicity</w:t>
      </w:r>
    </w:p>
    <w:p w:rsidR="001165F8" w:rsidRPr="00AD272E" w:rsidP="001165F8" w14:paraId="5CF13BD5" w14:textId="1FBAB706">
      <w:pPr>
        <w:rPr>
          <w:rFonts w:cstheme="minorHAnsi"/>
        </w:rPr>
      </w:pPr>
      <w:r w:rsidRPr="00AD272E">
        <w:rPr>
          <w:rFonts w:cstheme="minorHAnsi"/>
        </w:rPr>
        <w:t xml:space="preserve">The type 1 error rate, α=.05, was adjusted for multiplicity, using Bonferroni, to account for the number of all pairwise </w:t>
      </w:r>
      <w:r w:rsidRPr="00AD272E" w:rsidR="0090783B">
        <w:rPr>
          <w:rFonts w:cstheme="minorHAnsi"/>
        </w:rPr>
        <w:t xml:space="preserve">label </w:t>
      </w:r>
      <w:r w:rsidRPr="00AD272E">
        <w:rPr>
          <w:rFonts w:cstheme="minorHAnsi"/>
        </w:rPr>
        <w:t>scheme comparisons (k=2</w:t>
      </w:r>
      <w:r w:rsidRPr="00AD272E" w:rsidR="008F308E">
        <w:rPr>
          <w:rFonts w:cstheme="minorHAnsi"/>
        </w:rPr>
        <w:t>8</w:t>
      </w:r>
      <w:r w:rsidRPr="00AD272E">
        <w:rPr>
          <w:rFonts w:cstheme="minorHAnsi"/>
        </w:rPr>
        <w:t>).</w:t>
      </w:r>
    </w:p>
    <w:p w:rsidR="001165F8" w:rsidRPr="00AD272E" w:rsidP="001165F8" w14:paraId="2D913E8F" w14:textId="618DC52D">
      <w:pPr>
        <w:rPr>
          <w:rFonts w:cstheme="minorHAnsi"/>
        </w:rPr>
      </w:pPr>
      <m:oMath>
        <m:r>
          <w:rPr>
            <w:rFonts w:ascii="Cambria Math" w:hAnsi="Cambria Math" w:cstheme="minorHAnsi"/>
          </w:rPr>
          <m:t>α = 0.05/28=0.0018</m:t>
        </m:r>
      </m:oMath>
      <w:r w:rsidRPr="00AD272E">
        <w:rPr>
          <w:rFonts w:cstheme="minorHAnsi"/>
        </w:rPr>
        <w:t>.</w:t>
      </w:r>
    </w:p>
    <w:p w:rsidR="001165F8" w:rsidRPr="00AD272E" w:rsidP="001165F8" w14:paraId="1C1A3CAE" w14:textId="77777777">
      <w:pPr>
        <w:rPr>
          <w:rFonts w:cstheme="minorHAnsi"/>
        </w:rPr>
      </w:pPr>
    </w:p>
    <w:p w:rsidR="001165F8" w:rsidRPr="00AD272E" w:rsidP="001165F8" w14:paraId="35969157" w14:textId="4D2C7460">
      <w:pPr>
        <w:rPr>
          <w:rFonts w:cstheme="minorHAnsi"/>
        </w:rPr>
      </w:pPr>
      <w:r w:rsidRPr="00AD272E">
        <w:rPr>
          <w:rFonts w:cstheme="minorHAnsi"/>
          <w:b/>
          <w:bCs/>
        </w:rPr>
        <w:t>A</w:t>
      </w:r>
      <w:r w:rsidRPr="00AD272E" w:rsidR="00CE1D7A">
        <w:rPr>
          <w:rFonts w:cstheme="minorHAnsi"/>
          <w:b/>
          <w:bCs/>
        </w:rPr>
        <w:t>1b</w:t>
      </w:r>
      <w:r w:rsidRPr="00AD272E">
        <w:rPr>
          <w:rFonts w:cstheme="minorHAnsi"/>
          <w:b/>
          <w:bCs/>
        </w:rPr>
        <w:t>.</w:t>
      </w:r>
      <w:r w:rsidRPr="00AD272E">
        <w:rPr>
          <w:rFonts w:cstheme="minorHAnsi"/>
        </w:rPr>
        <w:t xml:space="preserve"> </w:t>
      </w:r>
      <w:r w:rsidRPr="00AD272E">
        <w:rPr>
          <w:rFonts w:cstheme="minorHAnsi"/>
          <w:i/>
          <w:iCs/>
        </w:rPr>
        <w:t>Adjusting sample size for repeated measures</w:t>
      </w:r>
    </w:p>
    <w:p w:rsidR="001165F8" w:rsidRPr="003E17F4" w:rsidP="001165F8" w14:paraId="6C527DEF" w14:textId="05458F41">
      <w:r w:rsidRPr="003E17F4">
        <w:t>In the proposed repeated-scheme design, where each consumer would get 3 schemes to evaluate, the ‘cluster’ (i.e</w:t>
      </w:r>
      <w:r w:rsidRPr="003E17F4" w:rsidR="7792B292">
        <w:t>.,</w:t>
      </w:r>
      <w:r w:rsidRPr="003E17F4">
        <w:t xml:space="preserve"> consumer) size (m) is 3. </w:t>
      </w:r>
      <w:r w:rsidR="003E17F4">
        <w:t xml:space="preserve"> </w:t>
      </w:r>
      <w:r w:rsidRPr="003E17F4">
        <w:t xml:space="preserve">Assuming a </w:t>
      </w:r>
      <w:r w:rsidRPr="003E17F4" w:rsidR="0090783B">
        <w:t>slight</w:t>
      </w:r>
      <w:r w:rsidRPr="003E17F4">
        <w:t xml:space="preserve"> correlation (</w:t>
      </w:r>
      <m:oMath>
        <m:r>
          <w:rPr>
            <w:rFonts w:ascii="Cambria Math" w:hAnsi="Cambria Math" w:cstheme="minorHAnsi"/>
          </w:rPr>
          <m:t>ρ</m:t>
        </m:r>
      </m:oMath>
      <w:r w:rsidRPr="003E17F4">
        <w:t xml:space="preserve">) </w:t>
      </w:r>
      <w:bookmarkStart w:id="1" w:name="_Int_BLNrxDrY"/>
      <w:r w:rsidRPr="003E17F4">
        <w:t>within</w:t>
      </w:r>
      <w:bookmarkEnd w:id="1"/>
      <w:r w:rsidRPr="003E17F4">
        <w:t xml:space="preserve"> consumer of .</w:t>
      </w:r>
      <w:r w:rsidRPr="003E17F4" w:rsidR="0090783B">
        <w:t>1</w:t>
      </w:r>
      <w:r w:rsidRPr="003E17F4">
        <w:t xml:space="preserve"> (Hemphill, 2003), the design effect (DE) accounting for correlated observations within consumer (Eldridge et al., 2006) is</w:t>
      </w:r>
    </w:p>
    <w:p w:rsidR="001165F8" w:rsidRPr="003E17F4" w:rsidP="001165F8" w14:paraId="33B63708" w14:textId="7521B130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DE = 1 + ρ(m-1) = 1+ .1*2 = 1.2</m:t>
          </m:r>
        </m:oMath>
      </m:oMathPara>
    </w:p>
    <w:p w:rsidR="001165F8" w:rsidRPr="003E17F4" w:rsidP="001165F8" w14:paraId="7069F576" w14:textId="7B315004">
      <w:pPr>
        <w:rPr>
          <w:rFonts w:cstheme="minorHAnsi"/>
        </w:rPr>
      </w:pPr>
      <w:r w:rsidRPr="003E17F4">
        <w:rPr>
          <w:rFonts w:eastAsiaTheme="minorEastAsia" w:cstheme="minorHAnsi"/>
        </w:rPr>
        <w:t xml:space="preserve">The proposed sample size of </w:t>
      </w:r>
      <w:r w:rsidRPr="003E17F4" w:rsidR="00DE2FAE">
        <w:rPr>
          <w:rFonts w:eastAsiaTheme="minorEastAsia" w:cstheme="minorHAnsi"/>
        </w:rPr>
        <w:t>9</w:t>
      </w:r>
      <w:r w:rsidRPr="003E17F4">
        <w:rPr>
          <w:rFonts w:eastAsiaTheme="minorEastAsia" w:cstheme="minorHAnsi"/>
        </w:rPr>
        <w:t>,000 is a</w:t>
      </w:r>
      <w:r w:rsidRPr="003E17F4">
        <w:rPr>
          <w:rFonts w:cstheme="minorHAnsi"/>
        </w:rPr>
        <w:t>djusted for this DE: the effective sample size is n/DE = 10,000/1.</w:t>
      </w:r>
      <w:r w:rsidRPr="003E17F4" w:rsidR="0090783B">
        <w:rPr>
          <w:rFonts w:cstheme="minorHAnsi"/>
        </w:rPr>
        <w:t>2</w:t>
      </w:r>
      <w:r w:rsidRPr="003E17F4">
        <w:rPr>
          <w:rFonts w:cstheme="minorHAnsi"/>
        </w:rPr>
        <w:t xml:space="preserve"> = </w:t>
      </w:r>
      <w:r w:rsidRPr="003E17F4" w:rsidR="0090783B">
        <w:rPr>
          <w:rFonts w:cstheme="minorHAnsi"/>
        </w:rPr>
        <w:t>8</w:t>
      </w:r>
      <w:r w:rsidRPr="003E17F4">
        <w:rPr>
          <w:rFonts w:cstheme="minorHAnsi"/>
        </w:rPr>
        <w:t>,</w:t>
      </w:r>
      <w:r w:rsidRPr="003E17F4" w:rsidR="0090783B">
        <w:rPr>
          <w:rFonts w:cstheme="minorHAnsi"/>
        </w:rPr>
        <w:t>333</w:t>
      </w:r>
      <w:r w:rsidRPr="003E17F4" w:rsidR="007254FB">
        <w:rPr>
          <w:rFonts w:cstheme="minorHAnsi"/>
        </w:rPr>
        <w:t>.</w:t>
      </w:r>
    </w:p>
    <w:p w:rsidR="00B072D9" w:rsidRPr="003E17F4" w:rsidP="003C42B3" w14:paraId="42CE34C9" w14:textId="77777777">
      <w:pPr>
        <w:rPr>
          <w:rFonts w:cstheme="minorHAnsi"/>
          <w:u w:val="single"/>
        </w:rPr>
      </w:pPr>
    </w:p>
    <w:p w:rsidR="003C42B3" w:rsidRPr="00AD272E" w:rsidP="003C42B3" w14:paraId="35B7EE20" w14:textId="3D10A672">
      <w:pPr>
        <w:rPr>
          <w:rFonts w:cstheme="minorHAnsi"/>
          <w:b/>
          <w:bCs/>
        </w:rPr>
      </w:pPr>
      <w:r w:rsidRPr="003E17F4">
        <w:rPr>
          <w:rFonts w:cstheme="minorHAnsi"/>
          <w:b/>
          <w:bCs/>
        </w:rPr>
        <w:t>Appendix 2 (</w:t>
      </w:r>
      <w:r w:rsidRPr="00AD272E">
        <w:rPr>
          <w:rFonts w:cstheme="minorHAnsi"/>
          <w:b/>
          <w:bCs/>
        </w:rPr>
        <w:t>Section 2)</w:t>
      </w:r>
    </w:p>
    <w:p w:rsidR="001165F8" w:rsidRPr="00AD272E" w:rsidP="00430A38" w14:paraId="5D0B209B" w14:textId="5036D600">
      <w:r w:rsidRPr="00AD272E">
        <w:t>An ordinal regression will be used to assess scheme effect on Likert-type dependent variable</w:t>
      </w:r>
      <w:r w:rsidRPr="00AD272E" w:rsidR="00FA5950">
        <w:t>s</w:t>
      </w:r>
      <w:r w:rsidRPr="00AD272E">
        <w:t xml:space="preserve"> -- e.g</w:t>
      </w:r>
      <w:r w:rsidRPr="00AD272E" w:rsidR="4A9C2A85">
        <w:t>.,</w:t>
      </w:r>
      <w:r w:rsidRPr="00AD272E">
        <w:t xml:space="preserve"> “a person can eat this product even if they are limiting their consumption of saturated fat, sodium, or added sugars” (</w:t>
      </w:r>
      <w:bookmarkStart w:id="2" w:name="_Int_toTcD8VS"/>
      <w:r w:rsidRPr="00AD272E" w:rsidR="00FA5950">
        <w:t>ranging</w:t>
      </w:r>
      <w:bookmarkEnd w:id="2"/>
      <w:r w:rsidRPr="00AD272E" w:rsidR="00FA5950">
        <w:t xml:space="preserve"> from </w:t>
      </w:r>
      <w:r w:rsidRPr="00AD272E">
        <w:t xml:space="preserve">strongly disagree to strongly agree), while adjusting for the covariates. </w:t>
      </w:r>
    </w:p>
    <w:p w:rsidR="00A27E94" w:rsidRPr="00AD272E" w:rsidP="00A27E94" w14:paraId="4851B361" w14:textId="015B698F">
      <w:pPr>
        <w:rPr>
          <w:rFonts w:cstheme="minorHAnsi"/>
        </w:rPr>
      </w:pPr>
      <w:r w:rsidRPr="00AD272E">
        <w:rPr>
          <w:rFonts w:cstheme="minorHAnsi"/>
        </w:rPr>
        <w:t>Adjusting alpha for multiplicity of test predictor (k=45 pairwise comparisons), 9,000 is sufficient to detect even small scheme effects with over 95% power.</w:t>
      </w:r>
    </w:p>
    <w:p w:rsidR="00837AC7" w:rsidP="31E6D23B" w14:paraId="2F5E4F46" w14:textId="19BB26D2">
      <w:pPr>
        <w:rPr>
          <w:i/>
          <w:iCs/>
          <w:sz w:val="20"/>
          <w:szCs w:val="20"/>
        </w:rPr>
      </w:pPr>
      <w:bookmarkStart w:id="3" w:name="_Hlk131589137"/>
      <w:r w:rsidRPr="00AD272E">
        <w:t xml:space="preserve">Randomizing scheme, </w:t>
      </w:r>
      <w:r w:rsidRPr="00AD272E" w:rsidR="6AE5C9B7">
        <w:t xml:space="preserve">one at a time, </w:t>
      </w:r>
      <w:r w:rsidRPr="00AD272E">
        <w:t>product type</w:t>
      </w:r>
      <w:r w:rsidRPr="00AD272E" w:rsidR="6AE5C9B7">
        <w:t xml:space="preserve">, </w:t>
      </w:r>
      <w:r w:rsidRPr="00AD272E">
        <w:t xml:space="preserve">nutrition profile to respondents results in </w:t>
      </w:r>
      <w:r w:rsidRPr="00AD272E" w:rsidR="6AE5C9B7">
        <w:t>10</w:t>
      </w:r>
      <w:r w:rsidRPr="00AD272E" w:rsidR="054C2BC6">
        <w:t>*3*</w:t>
      </w:r>
      <w:r w:rsidRPr="00AD272E" w:rsidR="6AE5C9B7">
        <w:t>3</w:t>
      </w:r>
      <w:r w:rsidRPr="00AD272E" w:rsidR="054C2BC6">
        <w:t>=</w:t>
      </w:r>
      <w:r w:rsidRPr="00AD272E" w:rsidR="6AE5C9B7">
        <w:t>90</w:t>
      </w:r>
      <w:r w:rsidRPr="00AD272E">
        <w:t xml:space="preserve"> </w:t>
      </w:r>
      <w:r w:rsidRPr="00AD272E" w:rsidR="6AE5C9B7">
        <w:t>permutations</w:t>
      </w:r>
      <w:r w:rsidRPr="00AD272E" w:rsidR="054C2BC6">
        <w:t>.</w:t>
      </w:r>
      <w:r w:rsidRPr="00AD272E" w:rsidR="6AE5C9B7">
        <w:t xml:space="preserve"> Further splitting by nutrition literacy, 9,000 respondents </w:t>
      </w:r>
      <w:r w:rsidRPr="00AD272E" w:rsidR="6BD6D46C">
        <w:t>would</w:t>
      </w:r>
      <w:r w:rsidRPr="00AD272E" w:rsidR="6AE5C9B7">
        <w:t xml:space="preserve"> be </w:t>
      </w:r>
      <w:r w:rsidRPr="00AD272E" w:rsidR="6BD6D46C">
        <w:t xml:space="preserve">randomized to 180 ‘cells’ with </w:t>
      </w:r>
      <w:r w:rsidRPr="00AD272E" w:rsidR="6AE5C9B7">
        <w:t>50</w:t>
      </w:r>
      <w:r w:rsidRPr="00AD272E" w:rsidR="054C2BC6">
        <w:t xml:space="preserve"> respondents per </w:t>
      </w:r>
      <w:r w:rsidRPr="00AD272E" w:rsidR="6AE5C9B7">
        <w:t>‘cell’</w:t>
      </w:r>
      <w:r w:rsidRPr="00AD272E" w:rsidR="054C2BC6">
        <w:t>.</w:t>
      </w:r>
      <w:bookmarkEnd w:id="3"/>
    </w:p>
    <w:p w:rsidR="004273A5" w:rsidRPr="00CA78BA" w:rsidP="31E6D23B" w14:paraId="2FBCDBC8" w14:textId="7E15CBEC">
      <w:r w:rsidRPr="00AD272E">
        <w:t>SAS code available upon request.</w:t>
      </w:r>
    </w:p>
    <w:p w:rsidR="00A27E94" w:rsidRPr="00AD272E" w:rsidP="00430A38" w14:paraId="3428AF30" w14:textId="77777777">
      <w:pPr>
        <w:rPr>
          <w:rFonts w:cstheme="minorHAnsi"/>
        </w:rPr>
      </w:pPr>
    </w:p>
    <w:p w:rsidR="004273A5" w:rsidRPr="00AD272E" w:rsidP="004273A5" w14:paraId="0F836E26" w14:textId="77777777">
      <w:pPr>
        <w:rPr>
          <w:rFonts w:cstheme="minorHAnsi"/>
        </w:rPr>
      </w:pPr>
      <w:r w:rsidRPr="00AD272E">
        <w:rPr>
          <w:rFonts w:cstheme="minorHAnsi"/>
          <w:u w:val="single"/>
        </w:rPr>
        <w:t>References</w:t>
      </w:r>
      <w:r w:rsidRPr="00AD272E">
        <w:rPr>
          <w:rFonts w:cstheme="minorHAnsi"/>
        </w:rPr>
        <w:t>:</w:t>
      </w:r>
    </w:p>
    <w:p w:rsidR="004273A5" w:rsidRPr="00AD272E" w:rsidP="004273A5" w14:paraId="402555A9" w14:textId="1F2DA1EA">
      <w:pPr>
        <w:rPr>
          <w:rFonts w:cstheme="minorHAnsi"/>
        </w:rPr>
      </w:pPr>
      <w:r w:rsidRPr="00AD272E">
        <w:rPr>
          <w:rFonts w:cstheme="minorHAnsi"/>
        </w:rPr>
        <w:t xml:space="preserve">Eldridge, Sandra M., Ashby, Deborah, Kerry, Sally. (2006). Sample size for cluster randomized trials: effect of coefficient of variation of cluster size and analysis method, </w:t>
      </w:r>
      <w:r w:rsidRPr="00AD272E">
        <w:rPr>
          <w:rStyle w:val="Emphasis"/>
          <w:rFonts w:cstheme="minorHAnsi"/>
        </w:rPr>
        <w:t>International Journal of Epidemiology</w:t>
      </w:r>
      <w:r w:rsidRPr="00AD272E">
        <w:rPr>
          <w:rFonts w:cstheme="minorHAnsi"/>
        </w:rPr>
        <w:t xml:space="preserve">, Volume 35, Issue 5, October 2006, Pages 1292–1300, </w:t>
      </w:r>
      <w:hyperlink r:id="rId8" w:history="1">
        <w:r w:rsidRPr="00AD272E">
          <w:rPr>
            <w:rStyle w:val="Hyperlink"/>
            <w:rFonts w:cstheme="minorHAnsi"/>
          </w:rPr>
          <w:t>https://doi.org/10.1093/ije/dyl129</w:t>
        </w:r>
      </w:hyperlink>
      <w:r w:rsidRPr="00AD272E" w:rsidR="00BF6E20">
        <w:rPr>
          <w:rStyle w:val="Hyperlink"/>
          <w:rFonts w:cstheme="minorHAnsi"/>
        </w:rPr>
        <w:t>.</w:t>
      </w:r>
    </w:p>
    <w:p w:rsidR="004273A5" w:rsidRPr="00AD272E" w:rsidP="004273A5" w14:paraId="73541486" w14:textId="77777777">
      <w:pPr>
        <w:rPr>
          <w:rFonts w:cstheme="minorHAnsi"/>
        </w:rPr>
      </w:pPr>
      <w:r w:rsidRPr="00AD272E">
        <w:rPr>
          <w:rFonts w:cstheme="minorHAnsi"/>
        </w:rPr>
        <w:t>Hemphill, James. (2003). Interpreting the Magnitude of Correlation Coefficients. The American psychologist. 58. 78-9. 10.1037/0003-066X.58.1.78.</w:t>
      </w:r>
    </w:p>
    <w:p w:rsidR="004273A5" w:rsidRPr="00AD272E" w:rsidP="00847BD8" w14:paraId="21A34464" w14:textId="77777777">
      <w:pPr>
        <w:spacing w:line="240" w:lineRule="auto"/>
        <w:rPr>
          <w:rFonts w:cstheme="minorHAnsi"/>
        </w:rPr>
      </w:pPr>
    </w:p>
    <w:sectPr w:rsidSect="004273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38"/>
    <w:rsid w:val="00024738"/>
    <w:rsid w:val="0004035E"/>
    <w:rsid w:val="000952D8"/>
    <w:rsid w:val="000A1FFB"/>
    <w:rsid w:val="000A6D08"/>
    <w:rsid w:val="000A76C4"/>
    <w:rsid w:val="000D05B0"/>
    <w:rsid w:val="000D25AE"/>
    <w:rsid w:val="000E0D64"/>
    <w:rsid w:val="000F591E"/>
    <w:rsid w:val="001165F8"/>
    <w:rsid w:val="001374C9"/>
    <w:rsid w:val="00147AF1"/>
    <w:rsid w:val="0017062B"/>
    <w:rsid w:val="001937E1"/>
    <w:rsid w:val="001B6298"/>
    <w:rsid w:val="001D0634"/>
    <w:rsid w:val="001D4A7A"/>
    <w:rsid w:val="001F29A7"/>
    <w:rsid w:val="00204CA2"/>
    <w:rsid w:val="00207FDA"/>
    <w:rsid w:val="00214E07"/>
    <w:rsid w:val="00241876"/>
    <w:rsid w:val="00241BE9"/>
    <w:rsid w:val="00244637"/>
    <w:rsid w:val="00252057"/>
    <w:rsid w:val="00253B0D"/>
    <w:rsid w:val="00256466"/>
    <w:rsid w:val="00262200"/>
    <w:rsid w:val="00290BD9"/>
    <w:rsid w:val="002A1157"/>
    <w:rsid w:val="002A1395"/>
    <w:rsid w:val="002C6D92"/>
    <w:rsid w:val="00316114"/>
    <w:rsid w:val="003262CC"/>
    <w:rsid w:val="00331CA5"/>
    <w:rsid w:val="00335EAE"/>
    <w:rsid w:val="00347ED6"/>
    <w:rsid w:val="003569BD"/>
    <w:rsid w:val="00357C96"/>
    <w:rsid w:val="00370460"/>
    <w:rsid w:val="00384A78"/>
    <w:rsid w:val="00385C76"/>
    <w:rsid w:val="00386F03"/>
    <w:rsid w:val="003B38A7"/>
    <w:rsid w:val="003C42B3"/>
    <w:rsid w:val="003E04F8"/>
    <w:rsid w:val="003E17F4"/>
    <w:rsid w:val="0040636B"/>
    <w:rsid w:val="004273A5"/>
    <w:rsid w:val="00430A38"/>
    <w:rsid w:val="00435B01"/>
    <w:rsid w:val="004431D6"/>
    <w:rsid w:val="0045570D"/>
    <w:rsid w:val="00490280"/>
    <w:rsid w:val="00497EF5"/>
    <w:rsid w:val="004A3D96"/>
    <w:rsid w:val="004A679B"/>
    <w:rsid w:val="004B06D8"/>
    <w:rsid w:val="004D0D91"/>
    <w:rsid w:val="00513257"/>
    <w:rsid w:val="00517AF4"/>
    <w:rsid w:val="00555310"/>
    <w:rsid w:val="005846BE"/>
    <w:rsid w:val="005A710C"/>
    <w:rsid w:val="005B6B36"/>
    <w:rsid w:val="005D1395"/>
    <w:rsid w:val="005E4A02"/>
    <w:rsid w:val="005E4BD2"/>
    <w:rsid w:val="005E6698"/>
    <w:rsid w:val="00633585"/>
    <w:rsid w:val="006336ED"/>
    <w:rsid w:val="0065051B"/>
    <w:rsid w:val="006B4E1A"/>
    <w:rsid w:val="006C4EF2"/>
    <w:rsid w:val="006C7BA3"/>
    <w:rsid w:val="007254FB"/>
    <w:rsid w:val="0079035B"/>
    <w:rsid w:val="007C4907"/>
    <w:rsid w:val="007D6FBF"/>
    <w:rsid w:val="007E6C45"/>
    <w:rsid w:val="007F12B5"/>
    <w:rsid w:val="008112CF"/>
    <w:rsid w:val="00822702"/>
    <w:rsid w:val="00822F25"/>
    <w:rsid w:val="00827263"/>
    <w:rsid w:val="00837AC7"/>
    <w:rsid w:val="0084010C"/>
    <w:rsid w:val="00847BD8"/>
    <w:rsid w:val="00847F14"/>
    <w:rsid w:val="00851684"/>
    <w:rsid w:val="00873C95"/>
    <w:rsid w:val="00874951"/>
    <w:rsid w:val="008970FA"/>
    <w:rsid w:val="008E4D0B"/>
    <w:rsid w:val="008E68A8"/>
    <w:rsid w:val="008E7BE2"/>
    <w:rsid w:val="008F308E"/>
    <w:rsid w:val="0090783B"/>
    <w:rsid w:val="00985328"/>
    <w:rsid w:val="00995301"/>
    <w:rsid w:val="00A23EAB"/>
    <w:rsid w:val="00A27E94"/>
    <w:rsid w:val="00AA1EF0"/>
    <w:rsid w:val="00AD272E"/>
    <w:rsid w:val="00B072D9"/>
    <w:rsid w:val="00B162E5"/>
    <w:rsid w:val="00B16920"/>
    <w:rsid w:val="00B66084"/>
    <w:rsid w:val="00BA58C8"/>
    <w:rsid w:val="00BC3DEA"/>
    <w:rsid w:val="00BC3E4B"/>
    <w:rsid w:val="00BD0705"/>
    <w:rsid w:val="00BF6E20"/>
    <w:rsid w:val="00C8644E"/>
    <w:rsid w:val="00C92CA6"/>
    <w:rsid w:val="00CA78BA"/>
    <w:rsid w:val="00CB4ADA"/>
    <w:rsid w:val="00CD2238"/>
    <w:rsid w:val="00CE1D7A"/>
    <w:rsid w:val="00CE73C7"/>
    <w:rsid w:val="00D11D60"/>
    <w:rsid w:val="00D173C9"/>
    <w:rsid w:val="00D502DB"/>
    <w:rsid w:val="00D64A57"/>
    <w:rsid w:val="00DA21DA"/>
    <w:rsid w:val="00DB14EB"/>
    <w:rsid w:val="00DD25E2"/>
    <w:rsid w:val="00DE2FAE"/>
    <w:rsid w:val="00DE7646"/>
    <w:rsid w:val="00E0232E"/>
    <w:rsid w:val="00EC5829"/>
    <w:rsid w:val="00EC610F"/>
    <w:rsid w:val="00EF4C20"/>
    <w:rsid w:val="00F369BD"/>
    <w:rsid w:val="00F51437"/>
    <w:rsid w:val="00F556D4"/>
    <w:rsid w:val="00F70495"/>
    <w:rsid w:val="00F86059"/>
    <w:rsid w:val="00FA5950"/>
    <w:rsid w:val="00FD28F4"/>
    <w:rsid w:val="027C02F1"/>
    <w:rsid w:val="033A63DE"/>
    <w:rsid w:val="054C2BC6"/>
    <w:rsid w:val="05CC317F"/>
    <w:rsid w:val="07F4823F"/>
    <w:rsid w:val="098A7186"/>
    <w:rsid w:val="0B52690D"/>
    <w:rsid w:val="0B831731"/>
    <w:rsid w:val="0E7C988C"/>
    <w:rsid w:val="0F3025D0"/>
    <w:rsid w:val="0F5F1349"/>
    <w:rsid w:val="1018E636"/>
    <w:rsid w:val="11EDC00B"/>
    <w:rsid w:val="12DE0752"/>
    <w:rsid w:val="135D7C0C"/>
    <w:rsid w:val="16759C68"/>
    <w:rsid w:val="19599D83"/>
    <w:rsid w:val="19B412CC"/>
    <w:rsid w:val="1B350551"/>
    <w:rsid w:val="1DC6BBCE"/>
    <w:rsid w:val="1ECCFA0B"/>
    <w:rsid w:val="24D1D6BC"/>
    <w:rsid w:val="26A1C0C2"/>
    <w:rsid w:val="2771AC5B"/>
    <w:rsid w:val="281789A0"/>
    <w:rsid w:val="3099A15F"/>
    <w:rsid w:val="31E6D23B"/>
    <w:rsid w:val="32957D90"/>
    <w:rsid w:val="32DD2339"/>
    <w:rsid w:val="332A76E6"/>
    <w:rsid w:val="33A46E1F"/>
    <w:rsid w:val="36DFCCB1"/>
    <w:rsid w:val="3B20CFCC"/>
    <w:rsid w:val="3C7C5A62"/>
    <w:rsid w:val="3E7372FC"/>
    <w:rsid w:val="4337A594"/>
    <w:rsid w:val="45F65A29"/>
    <w:rsid w:val="49F5005A"/>
    <w:rsid w:val="4A3D231D"/>
    <w:rsid w:val="4A9C2A85"/>
    <w:rsid w:val="4B76ADCF"/>
    <w:rsid w:val="4EFF4A2B"/>
    <w:rsid w:val="51341832"/>
    <w:rsid w:val="52407B44"/>
    <w:rsid w:val="55871253"/>
    <w:rsid w:val="5730B9EA"/>
    <w:rsid w:val="590BFDE5"/>
    <w:rsid w:val="5A7D5025"/>
    <w:rsid w:val="5D2DE77C"/>
    <w:rsid w:val="5D92D52F"/>
    <w:rsid w:val="5FAE4214"/>
    <w:rsid w:val="5FE1BFEB"/>
    <w:rsid w:val="608001FE"/>
    <w:rsid w:val="644D3757"/>
    <w:rsid w:val="66365972"/>
    <w:rsid w:val="6687D810"/>
    <w:rsid w:val="67F8FDA9"/>
    <w:rsid w:val="6AE5C9B7"/>
    <w:rsid w:val="6BD6D46C"/>
    <w:rsid w:val="6C081513"/>
    <w:rsid w:val="6DF5B453"/>
    <w:rsid w:val="71711D14"/>
    <w:rsid w:val="71829B4D"/>
    <w:rsid w:val="75891F64"/>
    <w:rsid w:val="7760BC20"/>
    <w:rsid w:val="7790E0B7"/>
    <w:rsid w:val="7792B292"/>
    <w:rsid w:val="78FBFFBB"/>
    <w:rsid w:val="7CB57FDF"/>
    <w:rsid w:val="7D7072E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551C64"/>
  <w15:chartTrackingRefBased/>
  <w15:docId w15:val="{1200265B-E6E9-4CC1-8183-978CEC6A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65F8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165F8"/>
    <w:rPr>
      <w:i/>
      <w:iCs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A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A7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52D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827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https://doi.org/10.1093/ije/dyl129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E18A5CA9B548BDD1DEA2CDEA1044" ma:contentTypeVersion="15" ma:contentTypeDescription="Create a new document." ma:contentTypeScope="" ma:versionID="ffa6d1a9690cea8169e4483e355160b5">
  <xsd:schema xmlns:xsd="http://www.w3.org/2001/XMLSchema" xmlns:xs="http://www.w3.org/2001/XMLSchema" xmlns:p="http://schemas.microsoft.com/office/2006/metadata/properties" xmlns:ns1="http://schemas.microsoft.com/sharepoint/v3" xmlns:ns2="6f38b1c7-e28f-49bf-938a-b360dcb916c0" xmlns:ns3="14c8ce7b-d2df-469d-b2c3-96f4c56193cb" xmlns:ns4="20867c8d-1cc9-4acd-a073-94634f6a764f" targetNamespace="http://schemas.microsoft.com/office/2006/metadata/properties" ma:root="true" ma:fieldsID="81f5a1bb5b482852acbd4cfb8e817e12" ns1:_="" ns2:_="" ns3:_="" ns4:_="">
    <xsd:import namespace="http://schemas.microsoft.com/sharepoint/v3"/>
    <xsd:import namespace="6f38b1c7-e28f-49bf-938a-b360dcb916c0"/>
    <xsd:import namespace="14c8ce7b-d2df-469d-b2c3-96f4c56193cb"/>
    <xsd:import namespace="20867c8d-1cc9-4acd-a073-94634f6a7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b1c7-e28f-49bf-938a-b360dcb91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8ce7b-d2df-469d-b2c3-96f4c56193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67c8d-1cc9-4acd-a073-94634f6a76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29919b5-cc35-461a-b198-8a2241ea1f88}" ma:internalName="TaxCatchAll" ma:showField="CatchAllData" ma:web="14c8ce7b-d2df-469d-b2c3-96f4c56193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0867c8d-1cc9-4acd-a073-94634f6a764f" xsi:nil="true"/>
    <_ip_UnifiedCompliancePolicyProperties xmlns="http://schemas.microsoft.com/sharepoint/v3" xsi:nil="true"/>
    <lcf76f155ced4ddcb4097134ff3c332f xmlns="6f38b1c7-e28f-49bf-938a-b360dcb916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B78112-2BC4-4A28-9216-E5C3D43CA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56694C-1AF5-45B6-9776-D9E5F4A96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38b1c7-e28f-49bf-938a-b360dcb916c0"/>
    <ds:schemaRef ds:uri="14c8ce7b-d2df-469d-b2c3-96f4c56193cb"/>
    <ds:schemaRef ds:uri="20867c8d-1cc9-4acd-a073-94634f6a7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53B9BE-D39C-4FB3-83F3-F4A12B0F0A03}">
  <ds:schemaRefs>
    <ds:schemaRef ds:uri="http://purl.org/dc/elements/1.1/"/>
    <ds:schemaRef ds:uri="http://schemas.microsoft.com/office/2006/metadata/properties"/>
    <ds:schemaRef ds:uri="20867c8d-1cc9-4acd-a073-94634f6a764f"/>
    <ds:schemaRef ds:uri="http://schemas.microsoft.com/office/infopath/2007/PartnerControls"/>
    <ds:schemaRef ds:uri="http://schemas.microsoft.com/sharepoint/v3"/>
    <ds:schemaRef ds:uri="14c8ce7b-d2df-469d-b2c3-96f4c56193cb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f38b1c7-e28f-49bf-938a-b360dcb916c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950</Words>
  <Characters>5419</Characters>
  <Application>Microsoft Office Word</Application>
  <DocSecurity>0</DocSecurity>
  <Lines>45</Lines>
  <Paragraphs>12</Paragraphs>
  <ScaleCrop>false</ScaleCrop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Martine</dc:creator>
  <cp:lastModifiedBy>Capezzuto, JonnaLynn</cp:lastModifiedBy>
  <cp:revision>2</cp:revision>
  <dcterms:created xsi:type="dcterms:W3CDTF">2023-06-12T12:42:00Z</dcterms:created>
  <dcterms:modified xsi:type="dcterms:W3CDTF">2023-06-12T12:42:00Z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0x0101007C7FE18A5CA9B548BDD1DEA2CDEA1044</vt:lpwstr>
  </property>
  <property fmtid="{D5CDD505-2E9C-101B-9397-08002B2CF9AE}" pid="3" name="MediaServiceImageTags">
    <vt:lpwstr/>
  </property>
</Properties>
</file>