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5CB4E2F1" w14:textId="7AB5DE4E">
      <w:pPr>
        <w:jc w:val="center"/>
        <w:rPr>
          <w:rFonts w:eastAsia="Calibri"/>
        </w:rPr>
      </w:pPr>
      <w:r>
        <w:rPr>
          <w:rFonts w:eastAsia="Calibri"/>
        </w:rPr>
        <w:t>U</w:t>
      </w:r>
      <w:r w:rsidRPr="00357C8A">
        <w:rPr>
          <w:rFonts w:eastAsia="Calibri"/>
        </w:rPr>
        <w:t>NITED STATES FOOD</w:t>
      </w:r>
      <w:r>
        <w:rPr>
          <w:rFonts w:eastAsia="Calibri"/>
        </w:rPr>
        <w:t xml:space="preserve"> &amp;</w:t>
      </w:r>
      <w:r w:rsidRPr="00357C8A">
        <w:rPr>
          <w:rFonts w:eastAsia="Calibri"/>
        </w:rPr>
        <w:t xml:space="preserve"> DRUG ADMINISTRATION</w:t>
      </w:r>
    </w:p>
    <w:p w:rsidR="00357C8A" w:rsidP="00357C8A" w14:paraId="2273173D" w14:textId="77777777">
      <w:pPr>
        <w:jc w:val="center"/>
        <w:rPr>
          <w:rFonts w:eastAsia="Calibri"/>
        </w:rPr>
      </w:pPr>
    </w:p>
    <w:p w:rsidR="00357C8A" w:rsidP="00357C8A" w14:paraId="344F47EB" w14:textId="6043B96C">
      <w:pPr>
        <w:jc w:val="center"/>
        <w:rPr>
          <w:lang w:eastAsia="ar-SA"/>
        </w:rPr>
      </w:pPr>
      <w:r>
        <w:rPr>
          <w:lang w:eastAsia="ar-SA"/>
        </w:rPr>
        <w:t>Adverse Event</w:t>
      </w:r>
      <w:r w:rsidR="00BA5A10">
        <w:rPr>
          <w:lang w:eastAsia="ar-SA"/>
        </w:rPr>
        <w:t>s Associated With New Animal Drugs</w:t>
      </w:r>
    </w:p>
    <w:p w:rsidR="00BA5A10" w:rsidP="00357C8A" w14:paraId="212D4E69" w14:textId="77777777">
      <w:pPr>
        <w:jc w:val="center"/>
        <w:rPr>
          <w:rFonts w:eastAsia="Calibri"/>
        </w:rPr>
      </w:pPr>
    </w:p>
    <w:p w:rsidR="00357C8A" w:rsidRPr="00BA5A10" w:rsidP="00357C8A" w14:paraId="6086C428" w14:textId="77777777">
      <w:pPr>
        <w:jc w:val="center"/>
        <w:rPr>
          <w:rFonts w:eastAsia="Calibri"/>
          <w:u w:val="single"/>
        </w:rPr>
      </w:pPr>
      <w:r w:rsidRPr="00BA5A10">
        <w:rPr>
          <w:rFonts w:eastAsia="Calibri"/>
          <w:u w:val="single"/>
        </w:rPr>
        <w:t>OMB Control No. 0910-</w:t>
      </w:r>
      <w:r w:rsidRPr="00BA5A10" w:rsidR="002B4A0E">
        <w:rPr>
          <w:rFonts w:eastAsia="Calibri"/>
          <w:u w:val="single"/>
        </w:rPr>
        <w:t>0284</w:t>
      </w:r>
    </w:p>
    <w:p w:rsidR="00357C8A" w:rsidP="00357C8A" w14:paraId="2D201ECE" w14:textId="77777777">
      <w:pPr>
        <w:jc w:val="center"/>
        <w:rPr>
          <w:rFonts w:eastAsia="Calibri"/>
        </w:rPr>
      </w:pPr>
    </w:p>
    <w:p w:rsidR="00357C8A" w:rsidP="00357C8A" w14:paraId="444A8A5F" w14:textId="77777777">
      <w:pPr>
        <w:jc w:val="center"/>
        <w:rPr>
          <w:rFonts w:eastAsia="Calibri"/>
        </w:rPr>
      </w:pPr>
      <w:r w:rsidRPr="00357C8A">
        <w:rPr>
          <w:rFonts w:eastAsia="Calibri"/>
        </w:rPr>
        <w:t>SUPPORTING STATEMENT</w:t>
      </w:r>
    </w:p>
    <w:p w:rsidR="009B4DF2" w:rsidP="00357C8A" w14:paraId="7AAB2790" w14:textId="77777777">
      <w:pPr>
        <w:jc w:val="center"/>
        <w:rPr>
          <w:rFonts w:eastAsia="Calibri"/>
        </w:rPr>
      </w:pPr>
    </w:p>
    <w:p w:rsidR="009B4DF2" w:rsidRPr="00357C8A" w:rsidP="009B4DF2" w14:paraId="1319C357" w14:textId="77777777">
      <w:pPr>
        <w:rPr>
          <w:rFonts w:eastAsia="Calibri"/>
        </w:rPr>
      </w:pPr>
      <w:r w:rsidRPr="009122AE">
        <w:rPr>
          <w:rFonts w:eastAsia="Calibri"/>
          <w:u w:val="single"/>
        </w:rPr>
        <w:t>Terms of Clearance</w:t>
      </w:r>
      <w:r>
        <w:rPr>
          <w:rFonts w:eastAsia="Calibri"/>
        </w:rPr>
        <w:t xml:space="preserve">: </w:t>
      </w:r>
      <w:r w:rsidR="002B4A0E">
        <w:rPr>
          <w:rFonts w:eastAsia="Calibri"/>
        </w:rPr>
        <w:t>None.</w:t>
      </w:r>
    </w:p>
    <w:p w:rsidR="00357C8A" w:rsidRPr="00357C8A" w:rsidP="00357C8A" w14:paraId="5E67962D" w14:textId="77777777">
      <w:pPr>
        <w:rPr>
          <w:rFonts w:eastAsia="Calibri"/>
          <w:b/>
        </w:rPr>
      </w:pPr>
    </w:p>
    <w:p w:rsidR="00357C8A" w:rsidP="000D79CC" w14:paraId="46F937AE" w14:textId="77777777">
      <w:pPr>
        <w:rPr>
          <w:rFonts w:eastAsia="Calibri"/>
        </w:rPr>
      </w:pPr>
      <w:r w:rsidRPr="00357C8A">
        <w:rPr>
          <w:rFonts w:eastAsia="Calibri"/>
          <w:b/>
        </w:rPr>
        <w:t>Part A:  Justification</w:t>
      </w:r>
      <w:r w:rsidRPr="00357C8A">
        <w:rPr>
          <w:rFonts w:eastAsia="Calibri"/>
        </w:rPr>
        <w:t>:</w:t>
      </w:r>
    </w:p>
    <w:p w:rsidR="000D79CC" w:rsidRPr="00357C8A" w:rsidP="000D79CC" w14:paraId="61D9E74D" w14:textId="77777777">
      <w:pPr>
        <w:rPr>
          <w:rFonts w:eastAsia="Calibri"/>
        </w:rPr>
      </w:pPr>
    </w:p>
    <w:p w:rsidR="00357C8A" w:rsidRPr="00357C8A" w:rsidP="006705EA" w14:paraId="7F8B4DA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723C9" w:rsidP="002B4A0E" w14:paraId="3FCD1AB6" w14:textId="77777777">
      <w:pPr>
        <w:spacing w:after="200"/>
        <w:rPr>
          <w:rFonts w:eastAsia="Calibri"/>
        </w:rPr>
      </w:pPr>
      <w:r w:rsidRPr="002B4A0E">
        <w:rPr>
          <w:rFonts w:eastAsia="Calibri"/>
        </w:rPr>
        <w:t>This information collection supports statutory and regulatory requirements governing reporting associated with certain animal drug products.  With regard to adverse events and product/manufacturing defects associated with approved new animal drugs, section 512(l) of the Federal Food, Drug, and Cosmetic Act (FD&amp;C Act) (21 U.S.C. 360b(l)) requires applicants with approved new animal drug applications (NADAs) and abbreviated new animal drug applications (ANADAs) to establish and maintain records and reports of data relating to experience with uses of such drug, or with respect to animal feeds bearing or containing such drug, to facilitate a determination under section 512(e) as to whether there may be grounds for suspending or withdrawing approval of the NADA or ANADA under section 512(e) or 512(m)(4).</w:t>
      </w:r>
      <w:r w:rsidR="00A41E6D">
        <w:rPr>
          <w:rFonts w:eastAsia="Calibri"/>
        </w:rPr>
        <w:t xml:space="preserve">  </w:t>
      </w:r>
      <w:r w:rsidR="00B020A4">
        <w:rPr>
          <w:rFonts w:eastAsia="Calibri"/>
        </w:rPr>
        <w:t xml:space="preserve">Regulations in </w:t>
      </w:r>
      <w:r w:rsidRPr="002B4A0E">
        <w:rPr>
          <w:rFonts w:eastAsia="Calibri"/>
        </w:rPr>
        <w:t xml:space="preserve">§ 514.80 (21 CFR 514.80) require </w:t>
      </w:r>
      <w:r w:rsidR="00A41E6D">
        <w:rPr>
          <w:rFonts w:eastAsia="Calibri"/>
        </w:rPr>
        <w:t xml:space="preserve">the </w:t>
      </w:r>
      <w:r w:rsidRPr="002B4A0E">
        <w:rPr>
          <w:rFonts w:eastAsia="Calibri"/>
        </w:rPr>
        <w:t xml:space="preserve">electronic submission of postmarketing safety reports for approved new animal drugs </w:t>
      </w:r>
      <w:r w:rsidR="00AB554A">
        <w:rPr>
          <w:rFonts w:eastAsia="Calibri"/>
        </w:rPr>
        <w:t xml:space="preserve">but </w:t>
      </w:r>
      <w:r w:rsidRPr="002B4A0E">
        <w:rPr>
          <w:rFonts w:eastAsia="Calibri"/>
        </w:rPr>
        <w:t xml:space="preserve">provide a procedure for requesting a temporary waiver </w:t>
      </w:r>
      <w:r w:rsidR="00AB554A">
        <w:rPr>
          <w:rFonts w:eastAsia="Calibri"/>
        </w:rPr>
        <w:t xml:space="preserve">from </w:t>
      </w:r>
      <w:r w:rsidRPr="002B4A0E">
        <w:rPr>
          <w:rFonts w:eastAsia="Calibri"/>
        </w:rPr>
        <w:t xml:space="preserve">the requirement.  We, therefore, retain use of certain paper-based forms.  Section 514.80 requires applicants and nonapplicants to keep records of and report to us data, studies, and other information concerning experience with new animal drugs for each approved NADA and ANADA.  </w:t>
      </w:r>
    </w:p>
    <w:p w:rsidR="00E72E8E" w:rsidRPr="002B4A0E" w:rsidP="002B4A0E" w14:paraId="028EF5BC" w14:textId="23397BD0">
      <w:pPr>
        <w:spacing w:after="200"/>
        <w:rPr>
          <w:rFonts w:eastAsia="Calibri"/>
        </w:rPr>
      </w:pPr>
      <w:r w:rsidRPr="002B4A0E">
        <w:rPr>
          <w:rFonts w:eastAsia="Calibri"/>
        </w:rPr>
        <w:t xml:space="preserve">Following complaints from animal owners or veterinarians, or following their own detection of a problem, applicants or nonapplicants are required to submit adverse event reports and product/manufacturing defect reports under § 514.80(b)(1), (b)(2)(i) and (ii), (b)(3), and (b)(4)(iv)(A) and (C) on </w:t>
      </w:r>
      <w:r w:rsidRPr="004C253E">
        <w:rPr>
          <w:rFonts w:eastAsia="Calibri"/>
          <w:b/>
          <w:bCs/>
        </w:rPr>
        <w:t>Form FDA 1932</w:t>
      </w:r>
      <w:r w:rsidR="003C7BE3">
        <w:rPr>
          <w:rFonts w:eastAsia="Calibri"/>
        </w:rPr>
        <w:t xml:space="preserve"> (to include FDA </w:t>
      </w:r>
      <w:r w:rsidR="00A24782">
        <w:rPr>
          <w:rFonts w:eastAsia="Calibri"/>
        </w:rPr>
        <w:t>1932 and 1932a (e-form).</w:t>
      </w:r>
      <w:r w:rsidR="00FA7287">
        <w:rPr>
          <w:rFonts w:eastAsia="Calibri"/>
        </w:rPr>
        <w:t xml:space="preserve">  </w:t>
      </w:r>
      <w:r>
        <w:rPr>
          <w:rFonts w:eastAsia="Calibri"/>
        </w:rPr>
        <w:t xml:space="preserve">The information collection also includes </w:t>
      </w:r>
      <w:r w:rsidRPr="003A592F">
        <w:rPr>
          <w:rFonts w:eastAsia="Calibri"/>
          <w:b/>
          <w:bCs/>
        </w:rPr>
        <w:t>Form FDA 2301</w:t>
      </w:r>
      <w:r>
        <w:rPr>
          <w:rFonts w:eastAsia="Calibri"/>
        </w:rPr>
        <w:t xml:space="preserve">; </w:t>
      </w:r>
      <w:r w:rsidRPr="003A592F">
        <w:rPr>
          <w:rFonts w:eastAsia="Calibri"/>
        </w:rPr>
        <w:t>Transmittal of Periodic Reports and Promotional Material for New Animal Drugs</w:t>
      </w:r>
      <w:r w:rsidR="00FA7287">
        <w:rPr>
          <w:rFonts w:eastAsia="Calibri"/>
        </w:rPr>
        <w:t>.</w:t>
      </w:r>
    </w:p>
    <w:p w:rsidR="00423272" w:rsidP="00423272" w14:paraId="1A9F21DE" w14:textId="77777777">
      <w:pPr>
        <w:rPr>
          <w:rFonts w:eastAsia="Calibri"/>
        </w:rPr>
      </w:pPr>
      <w:r w:rsidRPr="002B4A0E">
        <w:rPr>
          <w:rFonts w:eastAsia="Calibri"/>
        </w:rPr>
        <w:t>The information collection also includes submissions under § 514.80(d)(2), by an applicant or nonapplicant requesting, in writing, a temporary waiver of the electronic submission requirements.  The initial request may be by telephone or email to CVM’s Division of Pharmacovigilance and Surveillance, with prompt written follow-up submitted as a letter to the application(s).  FDA will grant waivers on a limited basis for good cause shown.  If FDA grants a waiver, the applicant or nonapplicant must comply with the conditions for reporting specified by FDA upon granting the waiver.</w:t>
      </w:r>
    </w:p>
    <w:p w:rsidR="009723C9" w:rsidP="00423272" w14:paraId="54DFB51A" w14:textId="77777777">
      <w:pPr>
        <w:rPr>
          <w:rFonts w:eastAsia="Calibri"/>
        </w:rPr>
      </w:pPr>
    </w:p>
    <w:p w:rsidR="00357C8A" w:rsidRPr="00DF58D7" w:rsidP="00DF58D7" w14:paraId="682AF587" w14:textId="713E6291">
      <w:pPr>
        <w:rPr>
          <w:rFonts w:eastAsia="Calibri"/>
          <w:i/>
        </w:rPr>
      </w:pPr>
      <w:r w:rsidRPr="005C71CA">
        <w:rPr>
          <w:rFonts w:eastAsia="Calibri"/>
        </w:rPr>
        <w:t>We therefore request OMB extension of OMB approval of</w:t>
      </w:r>
      <w:r w:rsidR="00F4262A">
        <w:rPr>
          <w:rFonts w:eastAsia="Calibri"/>
        </w:rPr>
        <w:t xml:space="preserve"> the reporting requirements</w:t>
      </w:r>
      <w:r w:rsidRPr="005C71CA">
        <w:rPr>
          <w:rFonts w:eastAsia="Calibri"/>
        </w:rPr>
        <w:t xml:space="preserve"> found in 21 CFR </w:t>
      </w:r>
      <w:r w:rsidR="00F4262A">
        <w:rPr>
          <w:rFonts w:eastAsia="Calibri"/>
        </w:rPr>
        <w:t>514.80</w:t>
      </w:r>
      <w:r w:rsidR="00DE405F">
        <w:rPr>
          <w:rFonts w:eastAsia="Calibri"/>
        </w:rPr>
        <w:t xml:space="preserve"> and </w:t>
      </w:r>
      <w:r w:rsidR="00DF58D7">
        <w:rPr>
          <w:rFonts w:eastAsia="Calibri"/>
        </w:rPr>
        <w:t xml:space="preserve">the associated forms, as </w:t>
      </w:r>
      <w:r w:rsidRPr="005C71CA">
        <w:rPr>
          <w:rFonts w:eastAsia="Calibri"/>
        </w:rPr>
        <w:t>discussed in this supporting statement.</w:t>
      </w:r>
    </w:p>
    <w:p w:rsidR="00357C8A" w:rsidRPr="00357C8A" w:rsidP="006705EA" w14:paraId="531A1E6C" w14:textId="16F7254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RPr="00357C8A" w:rsidP="0022425B" w14:paraId="2C0E0208" w14:textId="0857B1AC">
      <w:pPr>
        <w:spacing w:after="200"/>
        <w:rPr>
          <w:rFonts w:eastAsia="Calibri"/>
          <w:color w:val="FF0000"/>
        </w:rPr>
      </w:pPr>
      <w:r w:rsidRPr="009D2BE6">
        <w:rPr>
          <w:rFonts w:eastAsia="Calibri"/>
        </w:rPr>
        <w:t>Respondents to th</w:t>
      </w:r>
      <w:r>
        <w:rPr>
          <w:rFonts w:eastAsia="Calibri"/>
        </w:rPr>
        <w:t>e</w:t>
      </w:r>
      <w:r w:rsidRPr="009D2BE6">
        <w:rPr>
          <w:rFonts w:eastAsia="Calibri"/>
        </w:rPr>
        <w:t xml:space="preserve"> collection of information are applicants and nonapplicants as defined in 21 CFR 514.3.  Respondents include individuals and the private sector (for-profit businesses).</w:t>
      </w:r>
      <w:r>
        <w:rPr>
          <w:rFonts w:eastAsia="Calibri"/>
        </w:rPr>
        <w:t xml:space="preserve">  </w:t>
      </w:r>
      <w:r w:rsidR="009C24F5">
        <w:rPr>
          <w:rFonts w:eastAsia="Calibri"/>
        </w:rPr>
        <w:t>The information collection allows FDA to implement specified public health protection provisions under the FD&amp;C Act regarding approved new animal drugs.</w:t>
      </w:r>
    </w:p>
    <w:p w:rsidR="00357C8A" w:rsidRPr="00357C8A" w:rsidP="006705EA" w14:paraId="3070BCD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P="0022425B" w14:paraId="7009F021" w14:textId="2C2C1D8F">
      <w:pPr>
        <w:spacing w:after="200"/>
        <w:rPr>
          <w:rFonts w:eastAsia="Calibri"/>
        </w:rPr>
      </w:pPr>
      <w:r>
        <w:rPr>
          <w:rFonts w:eastAsia="Calibri"/>
        </w:rPr>
        <w:t xml:space="preserve">We estimate 95% of the respondents will use electronic means to fulfill the </w:t>
      </w:r>
      <w:r w:rsidR="00DE405F">
        <w:rPr>
          <w:rFonts w:eastAsia="Calibri"/>
        </w:rPr>
        <w:t>information collection.</w:t>
      </w:r>
      <w:r w:rsidR="00281B5D">
        <w:rPr>
          <w:rFonts w:eastAsia="Calibri"/>
        </w:rPr>
        <w:t xml:space="preserve">  As communicated on our website at </w:t>
      </w:r>
      <w:hyperlink r:id="rId4" w:history="1">
        <w:r w:rsidRPr="00C81C0B" w:rsidR="00B45D8F">
          <w:rPr>
            <w:rStyle w:val="Hyperlink"/>
            <w:rFonts w:eastAsia="Calibri"/>
          </w:rPr>
          <w:t>https://www.fda.gov/animal-veterinary/report-problem/veterinary-adverse-event-reporting-manufacturers</w:t>
        </w:r>
      </w:hyperlink>
      <w:r w:rsidR="00B45D8F">
        <w:rPr>
          <w:rFonts w:eastAsia="Calibri"/>
        </w:rPr>
        <w:t>,</w:t>
      </w:r>
      <w:r w:rsidR="00281B5D">
        <w:rPr>
          <w:rFonts w:eastAsia="Calibri"/>
        </w:rPr>
        <w:t xml:space="preserve"> we provide instruction on submission of the information:</w:t>
      </w:r>
    </w:p>
    <w:p w:rsidR="00281B5D" w:rsidRPr="00281B5D" w:rsidP="00281B5D" w14:paraId="7EE584DA" w14:textId="77777777">
      <w:pPr>
        <w:spacing w:after="200"/>
        <w:rPr>
          <w:rFonts w:eastAsia="Calibri"/>
          <w:b/>
          <w:bCs/>
        </w:rPr>
      </w:pPr>
      <w:r w:rsidRPr="00281B5D">
        <w:rPr>
          <w:rFonts w:eastAsia="Calibri"/>
          <w:b/>
          <w:bCs/>
        </w:rPr>
        <w:t>Electronic Reporting:</w:t>
      </w:r>
    </w:p>
    <w:p w:rsidR="00281B5D" w:rsidRPr="00281B5D" w:rsidP="00281B5D" w14:paraId="46268AA4" w14:textId="77777777">
      <w:pPr>
        <w:spacing w:after="200"/>
        <w:rPr>
          <w:rFonts w:eastAsia="Calibri"/>
        </w:rPr>
      </w:pPr>
      <w:r w:rsidRPr="00281B5D">
        <w:rPr>
          <w:rFonts w:eastAsia="Calibri"/>
        </w:rPr>
        <w:t>CVM accepts electronic submission of adverse event information for veterinary drugs through the Electronic Submissions System (ESS) and the Rational Questionnaire (RQ) in the Safety Reporting Portal (SRP), a joint FDA-National Institutes of Health initiative.</w:t>
      </w:r>
    </w:p>
    <w:p w:rsidR="00281B5D" w:rsidRPr="00281B5D" w:rsidP="00281B5D" w14:paraId="4FA1A1B3" w14:textId="77777777">
      <w:pPr>
        <w:spacing w:after="200"/>
        <w:rPr>
          <w:rFonts w:eastAsia="Calibri"/>
        </w:rPr>
      </w:pPr>
      <w:r w:rsidRPr="00281B5D">
        <w:rPr>
          <w:rFonts w:eastAsia="Calibri"/>
        </w:rPr>
        <w:t>The ESS integrates with the FDA Electronic Submissions Gateway (FDA ESG) to allow adverse drug experience reports, either individually or in batches, to be transmitted directly from industry to CVM via gateway-to-gateway submission.</w:t>
      </w:r>
    </w:p>
    <w:p w:rsidR="00281B5D" w:rsidRPr="00281B5D" w:rsidP="00281B5D" w14:paraId="06C52DFE" w14:textId="77777777">
      <w:pPr>
        <w:spacing w:after="200"/>
        <w:rPr>
          <w:rFonts w:eastAsia="Calibri"/>
        </w:rPr>
      </w:pPr>
      <w:r w:rsidRPr="00281B5D">
        <w:rPr>
          <w:rFonts w:eastAsia="Calibri"/>
        </w:rPr>
        <w:t>The Rational Questionnaire in the SRP provides another option for animal drug manufacturers to submit adverse event reports electronically to CVM.  The Rational Questionnaire is a web-based questionnaire that displays a series of questions to be answered by the person submitting the report.  These questions are intended to ensure proper collection of the information that is needed by FDA to appropriately evaluate the reported incident. Since the SRP only supports transmission of individual reports via the Rational Questionnaire, companies wanting to send batches of multiple reports might prefer the gateway-to-gateway method.</w:t>
      </w:r>
    </w:p>
    <w:p w:rsidR="00281B5D" w:rsidRPr="00281B5D" w:rsidP="00281B5D" w14:paraId="7A4E1229" w14:textId="77777777">
      <w:pPr>
        <w:spacing w:after="200"/>
        <w:rPr>
          <w:rFonts w:eastAsia="Calibri"/>
          <w:b/>
          <w:bCs/>
        </w:rPr>
      </w:pPr>
      <w:r w:rsidRPr="00281B5D">
        <w:rPr>
          <w:rFonts w:eastAsia="Calibri"/>
          <w:b/>
          <w:bCs/>
        </w:rPr>
        <w:t>Three-day Field Alert Reports:</w:t>
      </w:r>
    </w:p>
    <w:p w:rsidR="00281B5D" w:rsidRPr="00281B5D" w:rsidP="00281B5D" w14:paraId="201BB817" w14:textId="77777777">
      <w:pPr>
        <w:spacing w:after="200"/>
        <w:rPr>
          <w:rFonts w:eastAsia="Calibri"/>
        </w:rPr>
      </w:pPr>
      <w:r w:rsidRPr="00281B5D">
        <w:rPr>
          <w:rFonts w:eastAsia="Calibri"/>
        </w:rPr>
        <w:t>Three-day NADA/ANADA Field Alert Reports must be submitted directly to the appropriate FDA District Field Office or local FDA resident post. The information initially may be provided by telephone or other telecommunication means, with prompt written follow up using Form FDA 1932. (See 21 CFR 514.80(b)(1)).</w:t>
      </w:r>
    </w:p>
    <w:p w:rsidR="00281B5D" w:rsidRPr="00281B5D" w:rsidP="00281B5D" w14:paraId="6272144F" w14:textId="77777777">
      <w:pPr>
        <w:numPr>
          <w:ilvl w:val="0"/>
          <w:numId w:val="9"/>
        </w:numPr>
        <w:spacing w:after="200"/>
        <w:rPr>
          <w:rFonts w:eastAsia="Calibri"/>
        </w:rPr>
      </w:pPr>
      <w:r w:rsidRPr="00281B5D">
        <w:rPr>
          <w:rFonts w:eastAsia="Calibri"/>
        </w:rPr>
        <w:t>If the Marketing Authorization Holder (MAH, also referred to as the applicant) elects to submit a three-day NADA/ANADA field alert report </w:t>
      </w:r>
      <w:r w:rsidRPr="00281B5D">
        <w:rPr>
          <w:rFonts w:eastAsia="Calibri"/>
          <w:i/>
          <w:iCs/>
        </w:rPr>
        <w:t>electronically via gateway to gateway submission or the Safety Reporting Portal directly to FDA’s CVM</w:t>
      </w:r>
      <w:r w:rsidRPr="00281B5D">
        <w:rPr>
          <w:rFonts w:eastAsia="Calibri"/>
        </w:rPr>
        <w:t>, a copy of the report will automatically be sent to the District Office identified in the report.</w:t>
      </w:r>
    </w:p>
    <w:p w:rsidR="00281B5D" w:rsidRPr="00442A07" w:rsidP="0022425B" w14:paraId="583896E4" w14:textId="44F0FEBC">
      <w:pPr>
        <w:numPr>
          <w:ilvl w:val="0"/>
          <w:numId w:val="9"/>
        </w:numPr>
        <w:spacing w:after="200"/>
        <w:rPr>
          <w:rFonts w:eastAsia="Calibri"/>
        </w:rPr>
      </w:pPr>
      <w:r w:rsidRPr="00281B5D">
        <w:rPr>
          <w:rFonts w:eastAsia="Calibri"/>
        </w:rPr>
        <w:t>If the MAH chooses to submit a paper copy of Form FDA 1932 to FDA’s CVM, this does not alleviate the MAH’s responsibility to submit this report (via paper form) to the FDA District Field Office or local FDA resident post.  If submitting a three-day NADA/ANADA field alert report using the paper form, we prefer that the revised Form FDA 1932 (OMB No. 0910-0284) be used. </w:t>
      </w:r>
    </w:p>
    <w:p w:rsidR="00357C8A" w:rsidRPr="00357C8A" w:rsidP="006705EA" w14:paraId="484E024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53380B" w14:paraId="73B9FAA3" w14:textId="77777777">
      <w:pPr>
        <w:spacing w:after="200"/>
        <w:rPr>
          <w:rFonts w:eastAsia="Calibri"/>
          <w:color w:val="FF0000"/>
        </w:rPr>
      </w:pPr>
      <w:r w:rsidRPr="009C24F5">
        <w:t>We are unaware of duplicative information.  Reporting and recordkeeping associated with the index of legally marketed unapproved new animal drugs for minor species (21 CFR part 516) is approved under OMB control number 0910-0620.</w:t>
      </w:r>
    </w:p>
    <w:p w:rsidR="00357C8A" w:rsidRPr="00357C8A" w:rsidP="006705EA" w14:paraId="40D13CCC"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974E6F" w:rsidRPr="00974E6F" w:rsidP="00974E6F" w14:paraId="36162212" w14:textId="379B7AF9">
      <w:pPr>
        <w:spacing w:after="200"/>
        <w:rPr>
          <w:rFonts w:eastAsia="Calibri"/>
        </w:rPr>
      </w:pPr>
      <w:r>
        <w:rPr>
          <w:rFonts w:eastAsia="Calibri"/>
        </w:rPr>
        <w:t>No undue burden is imposed on small entities.  At the same time,</w:t>
      </w:r>
      <w:r w:rsidRPr="00974E6F">
        <w:rPr>
          <w:rFonts w:eastAsia="Calibri"/>
        </w:rPr>
        <w:t xml:space="preserve"> FDA aids small businesses in complying with its requirements through Regional Small Business Representatives and scientific and administrative staffs within the agency.  Also, a Small Business Guide is available on our website at:  </w:t>
      </w:r>
      <w:hyperlink r:id="rId5" w:history="1">
        <w:r w:rsidRPr="00974E6F">
          <w:rPr>
            <w:rStyle w:val="Hyperlink"/>
            <w:rFonts w:eastAsia="Calibri"/>
          </w:rPr>
          <w:t>www.fda.gov/ForIndustry/SmallBusinessAssistance/default.htm</w:t>
        </w:r>
      </w:hyperlink>
      <w:r w:rsidRPr="00974E6F">
        <w:rPr>
          <w:rFonts w:eastAsia="Calibri"/>
        </w:rPr>
        <w:t xml:space="preserve">.   </w:t>
      </w:r>
    </w:p>
    <w:p w:rsidR="00974E6F" w:rsidP="00974E6F" w14:paraId="0A25DCB7" w14:textId="77777777">
      <w:pPr>
        <w:spacing w:after="200"/>
        <w:rPr>
          <w:rFonts w:eastAsia="Calibri"/>
        </w:rPr>
      </w:pPr>
      <w:r w:rsidRPr="00974E6F">
        <w:rPr>
          <w:rFonts w:eastAsia="Calibri"/>
        </w:rPr>
        <w:t>We estimate that 10% of the respondents are small businesses.</w:t>
      </w:r>
    </w:p>
    <w:p w:rsidR="00357C8A" w:rsidRPr="00357C8A" w:rsidP="006705EA" w14:paraId="6991199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4029CD" w14:paraId="59EBEDAF" w14:textId="564A0B21">
      <w:pPr>
        <w:autoSpaceDE w:val="0"/>
        <w:autoSpaceDN w:val="0"/>
        <w:adjustRightInd w:val="0"/>
      </w:pPr>
      <w:r>
        <w:t>The information collection schedule is consistent with statutory and regulatory requirements.</w:t>
      </w:r>
    </w:p>
    <w:p w:rsidR="004029CD" w:rsidRPr="004029CD" w:rsidP="004029CD" w14:paraId="7199DD7C" w14:textId="77777777">
      <w:pPr>
        <w:autoSpaceDE w:val="0"/>
        <w:autoSpaceDN w:val="0"/>
        <w:adjustRightInd w:val="0"/>
      </w:pPr>
    </w:p>
    <w:p w:rsidR="00357C8A" w:rsidRPr="00357C8A" w:rsidP="006705EA" w14:paraId="4B0A2F7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D94B4B" w14:paraId="60CC8AE0" w14:textId="77777777">
      <w:pPr>
        <w:spacing w:after="200"/>
        <w:rPr>
          <w:rFonts w:eastAsia="Calibri"/>
          <w:color w:val="FF0000"/>
        </w:rPr>
      </w:pPr>
      <w:r w:rsidRPr="00D94B4B">
        <w:rPr>
          <w:rFonts w:eastAsia="Calibri"/>
        </w:rPr>
        <w:t xml:space="preserve">The reporting requirements under 21 CFR 510.301(a) and (b), 21 CFR 514.80(b)(1), (b)(2)(i)-(ii), (b)(3), and (e) are inconsistent with 5 CFR 1320.5.  This section requires justification for requesting respondents to report more often than quarterly.  Under 21 CFR 510.301(a) and (b), a licensed medicated feed manufacturer must submit certain information to us immediately and other information to us within 15 days.  Pursuant to 21 CFR 514.80(b)(1), the applicant is required to submit product and manufacturing defects that may result in serious adverse drug events within 3 working days of first becoming aware that a defect may exist.  Pursuant to 21 CFR 514.80(b)(2)(i)-(ii), the applicant is required to submit initial and follow-up reports within 15 working days.  Pursuant to 21 CFR 514.80(b)(3), the non-applicant required to report adverse drug experiences to the applicant within 3 working days of first receiving the information or if reported to FDA within 15 working days.  This shorter reporting time is necessary to inform FDA as soon as possible of serious problems associated with a regulated product so that appropriate action may be taken to offset threats to the public health. </w:t>
      </w:r>
    </w:p>
    <w:p w:rsidR="00D94B4B" w:rsidRPr="00357C8A" w:rsidP="00752BB7" w14:paraId="21F8A39F" w14:textId="77777777">
      <w:pPr>
        <w:spacing w:after="200"/>
        <w:rPr>
          <w:rFonts w:eastAsia="Calibri"/>
        </w:rPr>
      </w:pPr>
      <w:r w:rsidRPr="00D94B4B">
        <w:rPr>
          <w:rFonts w:eastAsia="Calibri"/>
        </w:rPr>
        <w:t>The maintenance period for keeping records is also inconsistent with 5 CFR 1320.6.  Pursuant to 21 CFR 514.80(e), the applicant and non-applicant must maintain records and reports of all information for a period of 5 years after the date of submission.  This extended period is due to the potential for litigation, delayed recognition of adverse drug experiences, long expiration dates, and needed for studies of delayed effects such as carcinogenicity.</w:t>
      </w:r>
    </w:p>
    <w:p w:rsidR="00357C8A" w:rsidRPr="00357C8A" w:rsidP="006705EA" w14:paraId="5AA9C1FC" w14:textId="36D2CF7D">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57C8A" w:rsidP="00357C8A" w14:paraId="3D83B55E" w14:textId="4532AE0C">
      <w:pPr>
        <w:spacing w:after="200"/>
        <w:rPr>
          <w:rFonts w:eastAsia="Calibri"/>
          <w:color w:val="FF0000"/>
        </w:rPr>
      </w:pPr>
      <w:r>
        <w:rPr>
          <w:rFonts w:eastAsia="Calibri"/>
        </w:rPr>
        <w:t xml:space="preserve">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B924EE">
        <w:rPr>
          <w:rFonts w:eastAsia="Calibri"/>
        </w:rPr>
        <w:t>December 22, 2022</w:t>
      </w:r>
      <w:r w:rsidR="009009E7">
        <w:rPr>
          <w:rFonts w:eastAsia="Calibri"/>
        </w:rPr>
        <w:t xml:space="preserve"> (</w:t>
      </w:r>
      <w:r w:rsidR="00B924EE">
        <w:rPr>
          <w:rFonts w:eastAsia="Calibri"/>
        </w:rPr>
        <w:t>87</w:t>
      </w:r>
      <w:r w:rsidR="009009E7">
        <w:rPr>
          <w:rFonts w:eastAsia="Calibri"/>
        </w:rPr>
        <w:t xml:space="preserve"> FR </w:t>
      </w:r>
      <w:r w:rsidR="00B924EE">
        <w:rPr>
          <w:rFonts w:eastAsia="Calibri"/>
        </w:rPr>
        <w:t>78694</w:t>
      </w:r>
      <w:r w:rsidR="009009E7">
        <w:rPr>
          <w:rFonts w:eastAsia="Calibri"/>
        </w:rPr>
        <w:t>)</w:t>
      </w:r>
      <w:r w:rsidR="00B924EE">
        <w:rPr>
          <w:rFonts w:eastAsia="Calibri"/>
        </w:rPr>
        <w:t>.  One comment was received</w:t>
      </w:r>
      <w:r>
        <w:rPr>
          <w:rFonts w:eastAsia="Calibri"/>
        </w:rPr>
        <w:t>, however it was not responsive to the four information collection topics solicited</w:t>
      </w:r>
      <w:r w:rsidR="00F109F8">
        <w:rPr>
          <w:rFonts w:eastAsia="Calibri"/>
        </w:rPr>
        <w:t xml:space="preserve"> by FDA</w:t>
      </w:r>
      <w:r w:rsidR="00B924EE">
        <w:rPr>
          <w:rFonts w:eastAsia="Calibri"/>
        </w:rPr>
        <w:t>.</w:t>
      </w:r>
    </w:p>
    <w:p w:rsidR="00442A07" w14:paraId="267E14A0" w14:textId="77777777">
      <w:pPr>
        <w:rPr>
          <w:rFonts w:eastAsia="Calibri"/>
          <w:u w:val="single"/>
        </w:rPr>
      </w:pPr>
      <w:r>
        <w:rPr>
          <w:rFonts w:eastAsia="Calibri"/>
          <w:u w:val="single"/>
        </w:rPr>
        <w:br w:type="page"/>
      </w:r>
    </w:p>
    <w:p w:rsidR="00357C8A" w:rsidRPr="00357C8A" w:rsidP="006705EA" w14:paraId="00D1A24E" w14:textId="6CD79BBA">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57C8A" w:rsidP="00357C8A" w14:paraId="054C44EF" w14:textId="77777777">
      <w:pPr>
        <w:spacing w:after="200"/>
        <w:rPr>
          <w:rFonts w:eastAsia="Calibri"/>
          <w:color w:val="FF0000"/>
        </w:rPr>
      </w:pPr>
      <w:r w:rsidRPr="002074FE">
        <w:rPr>
          <w:rFonts w:eastAsia="Calibri"/>
        </w:rPr>
        <w:t>There are no incentives, payments or gifts associated with this information collection.</w:t>
      </w:r>
    </w:p>
    <w:p w:rsidR="00357C8A" w:rsidRPr="00357C8A" w:rsidP="006705EA" w14:paraId="59FD39F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F109F8" w:rsidRPr="00F109F8" w:rsidP="00752BB7" w14:paraId="5836A4CC" w14:textId="77777777">
      <w:pPr>
        <w:spacing w:after="200"/>
        <w:rPr>
          <w:rFonts w:eastAsia="Calibri"/>
          <w:i/>
          <w:iCs/>
        </w:rPr>
      </w:pPr>
      <w:r w:rsidRPr="00F109F8">
        <w:rPr>
          <w:rFonts w:eastAsia="Calibri"/>
          <w:i/>
          <w:iCs/>
        </w:rPr>
        <w:t>The Privacy Act of 1974</w:t>
      </w:r>
    </w:p>
    <w:p w:rsidR="003A592F" w:rsidP="00671B29" w14:paraId="158EC0FD" w14:textId="13D25510">
      <w:pPr>
        <w:rPr>
          <w:rFonts w:eastAsia="Calibri"/>
        </w:rPr>
      </w:pPr>
      <w:r w:rsidRPr="00F109F8">
        <w:rPr>
          <w:rFonts w:eastAsia="Calibri"/>
        </w:rPr>
        <w:t>In preparing this</w:t>
      </w:r>
      <w:r>
        <w:rPr>
          <w:rFonts w:eastAsia="Calibri"/>
        </w:rPr>
        <w:t xml:space="preserve"> s</w:t>
      </w:r>
      <w:r w:rsidRPr="00F109F8">
        <w:rPr>
          <w:rFonts w:eastAsia="Calibri"/>
        </w:rPr>
        <w:t xml:space="preserve">upporting </w:t>
      </w:r>
      <w:r>
        <w:rPr>
          <w:rFonts w:eastAsia="Calibri"/>
        </w:rPr>
        <w:t>s</w:t>
      </w:r>
      <w:r w:rsidRPr="00F109F8">
        <w:rPr>
          <w:rFonts w:eastAsia="Calibri"/>
        </w:rPr>
        <w:t>tatement, we consulted our Privacy Office to ensure appropriate identification and handling of information collected.</w:t>
      </w:r>
      <w:r>
        <w:rPr>
          <w:rFonts w:eastAsia="Calibri"/>
        </w:rPr>
        <w:t xml:space="preserve">  Although t</w:t>
      </w:r>
      <w:r w:rsidRPr="003A592F">
        <w:rPr>
          <w:rFonts w:eastAsia="Calibri"/>
        </w:rPr>
        <w:t>his ICR collects personally identifiable information (PII)</w:t>
      </w:r>
      <w:r>
        <w:rPr>
          <w:rFonts w:eastAsia="Calibri"/>
        </w:rPr>
        <w:t xml:space="preserve">, it </w:t>
      </w:r>
      <w:r w:rsidRPr="003A592F">
        <w:rPr>
          <w:rFonts w:eastAsia="Calibri"/>
        </w:rPr>
        <w:t>is collected in the context of the subject individuals’ professional capacity and the FDA-related work perform</w:t>
      </w:r>
      <w:r>
        <w:rPr>
          <w:rFonts w:eastAsia="Calibri"/>
        </w:rPr>
        <w:t>ed</w:t>
      </w:r>
      <w:r w:rsidRPr="003A592F">
        <w:rPr>
          <w:rFonts w:eastAsia="Calibri"/>
        </w:rPr>
        <w:t xml:space="preserve"> for their employer (e.g., point of contact at a regulated entity). The PII submitted via </w:t>
      </w:r>
      <w:r w:rsidRPr="003A592F">
        <w:rPr>
          <w:rFonts w:eastAsia="Calibri"/>
          <w:b/>
          <w:bCs/>
        </w:rPr>
        <w:t>Form FDA 1932</w:t>
      </w:r>
      <w:r w:rsidRPr="003A592F">
        <w:rPr>
          <w:rFonts w:eastAsia="Calibri"/>
        </w:rPr>
        <w:t xml:space="preserve"> (Veterinary Adverse Drug Reaction, Lack of Effectiveness, Product Defect Report), </w:t>
      </w:r>
      <w:r w:rsidRPr="003A592F">
        <w:rPr>
          <w:rFonts w:eastAsia="Calibri"/>
          <w:b/>
          <w:bCs/>
        </w:rPr>
        <w:t>Form FDA 1932a</w:t>
      </w:r>
      <w:r w:rsidRPr="003A592F">
        <w:rPr>
          <w:rFonts w:eastAsia="Calibri"/>
        </w:rPr>
        <w:t xml:space="preserve"> (Veterinary Adverse Drug Reaction, Lack of Effectiveness, or Product Defect Report (for Voluntary Reporting)), </w:t>
      </w:r>
      <w:bookmarkStart w:id="0" w:name="_Hlk139008662"/>
      <w:r w:rsidRPr="003A592F">
        <w:rPr>
          <w:rFonts w:eastAsia="Calibri"/>
        </w:rPr>
        <w:t xml:space="preserve">and </w:t>
      </w:r>
      <w:r w:rsidRPr="003A592F">
        <w:rPr>
          <w:rFonts w:eastAsia="Calibri"/>
          <w:b/>
          <w:bCs/>
        </w:rPr>
        <w:t>Form FDA 2301</w:t>
      </w:r>
      <w:r w:rsidRPr="003A592F">
        <w:rPr>
          <w:rFonts w:eastAsia="Calibri"/>
        </w:rPr>
        <w:t xml:space="preserve"> (Transmittal of Periodic Reports and Promotional Material for New Animal Drugs)</w:t>
      </w:r>
      <w:bookmarkEnd w:id="0"/>
      <w:r w:rsidRPr="003A592F">
        <w:rPr>
          <w:rFonts w:eastAsia="Calibri"/>
        </w:rPr>
        <w:t xml:space="preserve"> is point of contact name, work address, work telephone number, work fax number, and work email address. FDA determined that although PII is collected, the collection is not subject to the Privacy Act of 1974 and the particular notice and other requirements of the</w:t>
      </w:r>
      <w:r w:rsidR="00671B29">
        <w:rPr>
          <w:rFonts w:eastAsia="Calibri"/>
        </w:rPr>
        <w:t xml:space="preserve"> Privacy</w:t>
      </w:r>
      <w:r w:rsidRPr="003A592F">
        <w:rPr>
          <w:rFonts w:eastAsia="Calibri"/>
        </w:rPr>
        <w:t xml:space="preserve"> Act do not apply.</w:t>
      </w:r>
      <w:r w:rsidR="0075072C">
        <w:rPr>
          <w:rFonts w:eastAsia="Calibri"/>
        </w:rPr>
        <w:t xml:space="preserve">  </w:t>
      </w:r>
      <w:r w:rsidRPr="003A592F">
        <w:rPr>
          <w:rFonts w:eastAsia="Calibri"/>
        </w:rPr>
        <w:t>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671B29" w:rsidP="00671B29" w14:paraId="0715FA97" w14:textId="77777777">
      <w:pPr>
        <w:rPr>
          <w:rFonts w:eastAsia="Calibri"/>
        </w:rPr>
      </w:pPr>
    </w:p>
    <w:p w:rsidR="000E0669" w:rsidRPr="008E33DA" w:rsidP="008E33DA" w14:paraId="50765F1F" w14:textId="2FC5E184">
      <w:pPr>
        <w:spacing w:after="200"/>
        <w:rPr>
          <w:rFonts w:eastAsia="Calibri"/>
          <w:i/>
          <w:iCs/>
        </w:rPr>
      </w:pPr>
      <w:r w:rsidRPr="00671B29">
        <w:rPr>
          <w:rFonts w:eastAsia="Calibri"/>
          <w:i/>
          <w:iCs/>
        </w:rPr>
        <w:t>Freedom of Information Act (FOIA)</w:t>
      </w:r>
    </w:p>
    <w:p w:rsidR="001075D3" w:rsidRPr="008E33DA" w:rsidP="008E33DA" w14:paraId="773B7535" w14:textId="203A7FB2">
      <w:pPr>
        <w:spacing w:after="200"/>
        <w:rPr>
          <w:rFonts w:eastAsia="Calibri"/>
        </w:rPr>
      </w:pPr>
      <w:r w:rsidRPr="00B924EE">
        <w:t>Under FOIA</w:t>
      </w:r>
      <w:r w:rsidR="008E33DA">
        <w:t xml:space="preserve"> </w:t>
      </w:r>
      <w:r w:rsidRPr="00B924EE">
        <w:t>(5 U.S.C. 552), the public has broad access to government documents. However, FOIA provides certain exemptions from mandatory public disclosure of government records (5 U.S.C. 552(b)(1-9)).</w:t>
      </w:r>
      <w:r w:rsidR="008E33DA">
        <w:t xml:space="preserve">  </w:t>
      </w:r>
      <w:r w:rsidRPr="00D94B4B" w:rsidR="00671B29">
        <w:rPr>
          <w:rFonts w:eastAsia="Calibri"/>
        </w:rPr>
        <w:t>Confidentiality of the information submitted under these reporting requirements is protected under 21 CFR 514.11 and under 21 CFR part 20.  The unauthorized use of disclosure of the trade secrets required in applications is specifically prohibited under the Section 310(j) of the Act.  Further, under the terms of the Freedom of Information Act, the veterinarian’s name, address, and phone number, and the owner’s name, etc., reported on Form FDA 1932 cannot be made available to a public request.</w:t>
      </w:r>
    </w:p>
    <w:p w:rsidR="00357C8A" w:rsidRPr="00357C8A" w:rsidP="006705EA" w14:paraId="3F0C6844"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22425B" w14:paraId="5A08D5D6" w14:textId="77777777">
      <w:pPr>
        <w:spacing w:after="200"/>
        <w:rPr>
          <w:rFonts w:eastAsia="Calibri"/>
          <w:color w:val="FF0000"/>
        </w:rPr>
      </w:pPr>
      <w:r w:rsidRPr="00752BB7">
        <w:rPr>
          <w:rFonts w:eastAsia="Calibri"/>
        </w:rPr>
        <w:t>The collection of information does not involve sensitive questions.</w:t>
      </w:r>
    </w:p>
    <w:p w:rsidR="00442A07" w14:paraId="2530D83D" w14:textId="77777777">
      <w:pPr>
        <w:rPr>
          <w:rFonts w:eastAsia="Calibri"/>
          <w:u w:val="single"/>
        </w:rPr>
      </w:pPr>
      <w:r>
        <w:rPr>
          <w:rFonts w:eastAsia="Calibri"/>
          <w:u w:val="single"/>
        </w:rPr>
        <w:br w:type="page"/>
      </w:r>
    </w:p>
    <w:p w:rsidR="00357C8A" w:rsidRPr="00357C8A" w:rsidP="006705EA" w14:paraId="20006A7B" w14:textId="4DEA00E3">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8E33DA" w:rsidP="0022425B" w14:paraId="4B01AE33" w14:textId="77777777">
      <w:pPr>
        <w:spacing w:after="200"/>
        <w:ind w:left="360"/>
        <w:rPr>
          <w:rFonts w:eastAsia="Calibri"/>
          <w:i/>
          <w:iCs/>
        </w:rPr>
      </w:pPr>
      <w:r w:rsidRPr="008E33DA">
        <w:rPr>
          <w:rFonts w:eastAsia="Calibri"/>
          <w:i/>
          <w:iCs/>
        </w:rPr>
        <w:t>12a.  Annualized Hour Burden Estimate</w:t>
      </w:r>
    </w:p>
    <w:p w:rsidR="0000697E" w:rsidRPr="0000697E" w:rsidP="0000697E" w14:paraId="09327393" w14:textId="77777777">
      <w:pPr>
        <w:keepNext/>
        <w:contextualSpacing/>
        <w:jc w:val="center"/>
        <w:rPr>
          <w:sz w:val="20"/>
          <w:szCs w:val="20"/>
        </w:rPr>
      </w:pPr>
      <w:r w:rsidRPr="0000697E">
        <w:rPr>
          <w:sz w:val="20"/>
          <w:szCs w:val="20"/>
        </w:rPr>
        <w:t>Table 1.--Estimated Annual Reporting Burden</w:t>
      </w:r>
      <w:r w:rsidRPr="0000697E">
        <w:rPr>
          <w:sz w:val="20"/>
          <w:szCs w:val="20"/>
          <w:vertAlign w:val="superscript"/>
        </w:rPr>
        <w:t>1</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721"/>
        <w:gridCol w:w="1350"/>
        <w:gridCol w:w="1440"/>
        <w:gridCol w:w="1169"/>
        <w:gridCol w:w="1261"/>
        <w:gridCol w:w="990"/>
      </w:tblGrid>
      <w:tr w14:paraId="07526258" w14:textId="77777777" w:rsidTr="001E61BE">
        <w:tblPrEx>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1366" w:type="pct"/>
            <w:shd w:val="clear" w:color="auto" w:fill="auto"/>
          </w:tcPr>
          <w:p w:rsidR="0000697E" w:rsidRPr="0000697E" w:rsidP="0000697E" w14:paraId="6F888EC3" w14:textId="77777777">
            <w:pPr>
              <w:jc w:val="center"/>
              <w:rPr>
                <w:sz w:val="20"/>
                <w:szCs w:val="20"/>
              </w:rPr>
            </w:pPr>
            <w:r w:rsidRPr="0000697E">
              <w:rPr>
                <w:sz w:val="20"/>
                <w:szCs w:val="20"/>
              </w:rPr>
              <w:t xml:space="preserve">21 CFR Section </w:t>
            </w:r>
          </w:p>
        </w:tc>
        <w:tc>
          <w:tcPr>
            <w:tcW w:w="378" w:type="pct"/>
          </w:tcPr>
          <w:p w:rsidR="0000697E" w:rsidRPr="0000697E" w:rsidP="0000697E" w14:paraId="64D9D02A" w14:textId="057FA532">
            <w:pPr>
              <w:jc w:val="center"/>
              <w:rPr>
                <w:sz w:val="20"/>
                <w:szCs w:val="20"/>
              </w:rPr>
            </w:pPr>
            <w:r w:rsidRPr="0000697E">
              <w:rPr>
                <w:sz w:val="20"/>
                <w:szCs w:val="20"/>
              </w:rPr>
              <w:t>Form No.</w:t>
            </w:r>
          </w:p>
        </w:tc>
        <w:tc>
          <w:tcPr>
            <w:tcW w:w="708" w:type="pct"/>
            <w:shd w:val="clear" w:color="auto" w:fill="auto"/>
          </w:tcPr>
          <w:p w:rsidR="0000697E" w:rsidRPr="0000697E" w:rsidP="0000697E" w14:paraId="1313C8E2" w14:textId="77777777">
            <w:pPr>
              <w:jc w:val="center"/>
              <w:rPr>
                <w:sz w:val="20"/>
                <w:szCs w:val="20"/>
              </w:rPr>
            </w:pPr>
            <w:r w:rsidRPr="0000697E">
              <w:rPr>
                <w:sz w:val="20"/>
                <w:szCs w:val="20"/>
              </w:rPr>
              <w:t>No. of Respondents</w:t>
            </w:r>
          </w:p>
        </w:tc>
        <w:tc>
          <w:tcPr>
            <w:tcW w:w="755" w:type="pct"/>
            <w:shd w:val="clear" w:color="auto" w:fill="auto"/>
          </w:tcPr>
          <w:p w:rsidR="0000697E" w:rsidRPr="0000697E" w:rsidP="0000697E" w14:paraId="790E2F9C" w14:textId="77777777">
            <w:pPr>
              <w:jc w:val="center"/>
              <w:rPr>
                <w:sz w:val="20"/>
                <w:szCs w:val="20"/>
              </w:rPr>
            </w:pPr>
            <w:r w:rsidRPr="0000697E">
              <w:rPr>
                <w:bCs/>
                <w:sz w:val="20"/>
                <w:szCs w:val="20"/>
              </w:rPr>
              <w:t>No. of Responses per Respondent</w:t>
            </w:r>
          </w:p>
        </w:tc>
        <w:tc>
          <w:tcPr>
            <w:tcW w:w="613" w:type="pct"/>
            <w:shd w:val="clear" w:color="auto" w:fill="auto"/>
          </w:tcPr>
          <w:p w:rsidR="0000697E" w:rsidRPr="0000697E" w:rsidP="0000697E" w14:paraId="304565A4" w14:textId="77777777">
            <w:pPr>
              <w:jc w:val="center"/>
              <w:rPr>
                <w:sz w:val="20"/>
                <w:szCs w:val="20"/>
              </w:rPr>
            </w:pPr>
            <w:r w:rsidRPr="0000697E">
              <w:rPr>
                <w:sz w:val="20"/>
                <w:szCs w:val="20"/>
              </w:rPr>
              <w:t>Total Annual Responses</w:t>
            </w:r>
          </w:p>
        </w:tc>
        <w:tc>
          <w:tcPr>
            <w:tcW w:w="661" w:type="pct"/>
            <w:shd w:val="clear" w:color="auto" w:fill="auto"/>
          </w:tcPr>
          <w:p w:rsidR="0000697E" w:rsidRPr="0000697E" w:rsidP="0000697E" w14:paraId="715902B1" w14:textId="77777777">
            <w:pPr>
              <w:jc w:val="center"/>
              <w:rPr>
                <w:sz w:val="20"/>
                <w:szCs w:val="20"/>
              </w:rPr>
            </w:pPr>
            <w:r w:rsidRPr="0000697E">
              <w:rPr>
                <w:bCs/>
                <w:sz w:val="20"/>
                <w:szCs w:val="20"/>
              </w:rPr>
              <w:t>Average Burden per Response</w:t>
            </w:r>
          </w:p>
        </w:tc>
        <w:tc>
          <w:tcPr>
            <w:tcW w:w="520" w:type="pct"/>
            <w:shd w:val="clear" w:color="auto" w:fill="auto"/>
          </w:tcPr>
          <w:p w:rsidR="0000697E" w:rsidRPr="0000697E" w:rsidP="0000697E" w14:paraId="7EC93064" w14:textId="77777777">
            <w:pPr>
              <w:jc w:val="center"/>
              <w:rPr>
                <w:sz w:val="20"/>
                <w:szCs w:val="20"/>
              </w:rPr>
            </w:pPr>
            <w:r w:rsidRPr="0000697E">
              <w:rPr>
                <w:sz w:val="20"/>
                <w:szCs w:val="20"/>
              </w:rPr>
              <w:t>Total Hours</w:t>
            </w:r>
          </w:p>
        </w:tc>
      </w:tr>
      <w:tr w14:paraId="38DEBB8E"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7E9380BD" w14:textId="77777777">
            <w:pPr>
              <w:rPr>
                <w:sz w:val="20"/>
                <w:szCs w:val="20"/>
              </w:rPr>
            </w:pPr>
            <w:r w:rsidRPr="0000697E">
              <w:rPr>
                <w:sz w:val="20"/>
                <w:szCs w:val="20"/>
              </w:rPr>
              <w:t>Medicated feed reports, 510.301(a) and (b)</w:t>
            </w:r>
          </w:p>
        </w:tc>
        <w:tc>
          <w:tcPr>
            <w:tcW w:w="378" w:type="pct"/>
            <w:vAlign w:val="center"/>
          </w:tcPr>
          <w:p w:rsidR="0000697E" w:rsidRPr="0000697E" w:rsidP="000205F0" w14:paraId="7BBECA64" w14:textId="77777777">
            <w:pPr>
              <w:jc w:val="right"/>
              <w:rPr>
                <w:sz w:val="20"/>
                <w:szCs w:val="20"/>
              </w:rPr>
            </w:pPr>
            <w:r w:rsidRPr="0000697E">
              <w:rPr>
                <w:sz w:val="20"/>
                <w:szCs w:val="20"/>
              </w:rPr>
              <w:t>N/A</w:t>
            </w:r>
          </w:p>
        </w:tc>
        <w:tc>
          <w:tcPr>
            <w:tcW w:w="708" w:type="pct"/>
            <w:shd w:val="clear" w:color="auto" w:fill="auto"/>
            <w:vAlign w:val="center"/>
          </w:tcPr>
          <w:p w:rsidR="0000697E" w:rsidRPr="0000697E" w:rsidP="000205F0" w14:paraId="616768B8" w14:textId="77777777">
            <w:pPr>
              <w:jc w:val="right"/>
              <w:rPr>
                <w:sz w:val="20"/>
                <w:szCs w:val="20"/>
              </w:rPr>
            </w:pPr>
            <w:r w:rsidRPr="0000697E">
              <w:rPr>
                <w:sz w:val="20"/>
                <w:szCs w:val="20"/>
              </w:rPr>
              <w:t>8</w:t>
            </w:r>
          </w:p>
        </w:tc>
        <w:tc>
          <w:tcPr>
            <w:tcW w:w="755" w:type="pct"/>
            <w:shd w:val="clear" w:color="auto" w:fill="auto"/>
            <w:vAlign w:val="center"/>
          </w:tcPr>
          <w:p w:rsidR="0000697E" w:rsidRPr="0000697E" w:rsidP="000205F0" w14:paraId="57294790" w14:textId="77777777">
            <w:pPr>
              <w:jc w:val="right"/>
              <w:rPr>
                <w:sz w:val="20"/>
                <w:szCs w:val="20"/>
              </w:rPr>
            </w:pPr>
            <w:r w:rsidRPr="0000697E">
              <w:rPr>
                <w:sz w:val="20"/>
                <w:szCs w:val="20"/>
              </w:rPr>
              <w:t>1</w:t>
            </w:r>
          </w:p>
        </w:tc>
        <w:tc>
          <w:tcPr>
            <w:tcW w:w="613" w:type="pct"/>
            <w:shd w:val="clear" w:color="auto" w:fill="auto"/>
            <w:vAlign w:val="center"/>
          </w:tcPr>
          <w:p w:rsidR="0000697E" w:rsidRPr="0000697E" w:rsidP="000205F0" w14:paraId="65AB4EA7" w14:textId="77777777">
            <w:pPr>
              <w:jc w:val="right"/>
              <w:rPr>
                <w:sz w:val="20"/>
                <w:szCs w:val="20"/>
              </w:rPr>
            </w:pPr>
            <w:r w:rsidRPr="0000697E">
              <w:rPr>
                <w:sz w:val="20"/>
                <w:szCs w:val="20"/>
              </w:rPr>
              <w:t>8</w:t>
            </w:r>
          </w:p>
        </w:tc>
        <w:tc>
          <w:tcPr>
            <w:tcW w:w="661" w:type="pct"/>
            <w:shd w:val="clear" w:color="auto" w:fill="auto"/>
            <w:vAlign w:val="center"/>
          </w:tcPr>
          <w:p w:rsidR="001E61BE" w:rsidP="000205F0" w14:paraId="36A554D3" w14:textId="77777777">
            <w:pPr>
              <w:jc w:val="right"/>
              <w:rPr>
                <w:sz w:val="20"/>
                <w:szCs w:val="20"/>
              </w:rPr>
            </w:pPr>
            <w:r w:rsidRPr="0000697E">
              <w:rPr>
                <w:sz w:val="20"/>
                <w:szCs w:val="20"/>
              </w:rPr>
              <w:t xml:space="preserve">.25 </w:t>
            </w:r>
          </w:p>
          <w:p w:rsidR="0000697E" w:rsidRPr="0000697E" w:rsidP="000205F0" w14:paraId="77F559B8" w14:textId="787B8B8B">
            <w:pPr>
              <w:jc w:val="right"/>
              <w:rPr>
                <w:sz w:val="20"/>
                <w:szCs w:val="20"/>
              </w:rPr>
            </w:pPr>
            <w:r w:rsidRPr="0000697E">
              <w:rPr>
                <w:sz w:val="20"/>
                <w:szCs w:val="20"/>
              </w:rPr>
              <w:t>(15 minutes)</w:t>
            </w:r>
          </w:p>
        </w:tc>
        <w:tc>
          <w:tcPr>
            <w:tcW w:w="520" w:type="pct"/>
            <w:shd w:val="clear" w:color="auto" w:fill="auto"/>
            <w:vAlign w:val="center"/>
          </w:tcPr>
          <w:p w:rsidR="0000697E" w:rsidRPr="0000697E" w:rsidP="000205F0" w14:paraId="1A7FEE1E" w14:textId="77777777">
            <w:pPr>
              <w:jc w:val="right"/>
              <w:rPr>
                <w:sz w:val="20"/>
                <w:szCs w:val="20"/>
              </w:rPr>
            </w:pPr>
            <w:r w:rsidRPr="0000697E">
              <w:rPr>
                <w:sz w:val="20"/>
                <w:szCs w:val="20"/>
              </w:rPr>
              <w:t>2</w:t>
            </w:r>
          </w:p>
        </w:tc>
      </w:tr>
      <w:tr w14:paraId="1B6D9176"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53CE1B70" w14:textId="77777777">
            <w:pPr>
              <w:rPr>
                <w:sz w:val="20"/>
                <w:szCs w:val="20"/>
              </w:rPr>
            </w:pPr>
            <w:r w:rsidRPr="0000697E">
              <w:rPr>
                <w:sz w:val="20"/>
                <w:szCs w:val="20"/>
              </w:rPr>
              <w:t>Submission of postmarketing safety reports under § 514.80(b)(1), (2)(i) and (ii), (3) , and (4)(iv)(A) and (C)</w:t>
            </w:r>
          </w:p>
        </w:tc>
        <w:tc>
          <w:tcPr>
            <w:tcW w:w="378" w:type="pct"/>
            <w:vAlign w:val="center"/>
          </w:tcPr>
          <w:p w:rsidR="0000697E" w:rsidRPr="0000697E" w:rsidP="000205F0" w14:paraId="24FF8443" w14:textId="77777777">
            <w:pPr>
              <w:jc w:val="right"/>
              <w:rPr>
                <w:sz w:val="20"/>
                <w:szCs w:val="20"/>
              </w:rPr>
            </w:pPr>
            <w:r w:rsidRPr="0000697E">
              <w:rPr>
                <w:sz w:val="20"/>
                <w:szCs w:val="20"/>
              </w:rPr>
              <w:t>1932</w:t>
            </w:r>
          </w:p>
        </w:tc>
        <w:tc>
          <w:tcPr>
            <w:tcW w:w="708" w:type="pct"/>
            <w:shd w:val="clear" w:color="auto" w:fill="auto"/>
            <w:vAlign w:val="center"/>
          </w:tcPr>
          <w:p w:rsidR="0000697E" w:rsidRPr="0000697E" w:rsidP="000205F0" w14:paraId="7981B961" w14:textId="77777777">
            <w:pPr>
              <w:jc w:val="right"/>
              <w:rPr>
                <w:sz w:val="20"/>
                <w:szCs w:val="20"/>
              </w:rPr>
            </w:pPr>
            <w:r w:rsidRPr="0000697E">
              <w:rPr>
                <w:sz w:val="20"/>
                <w:szCs w:val="20"/>
              </w:rPr>
              <w:t>85</w:t>
            </w:r>
          </w:p>
        </w:tc>
        <w:tc>
          <w:tcPr>
            <w:tcW w:w="755" w:type="pct"/>
            <w:shd w:val="clear" w:color="auto" w:fill="auto"/>
            <w:vAlign w:val="center"/>
          </w:tcPr>
          <w:p w:rsidR="0000697E" w:rsidRPr="0000697E" w:rsidP="000205F0" w14:paraId="00B1C38A" w14:textId="77777777">
            <w:pPr>
              <w:jc w:val="right"/>
              <w:rPr>
                <w:sz w:val="20"/>
                <w:szCs w:val="20"/>
              </w:rPr>
            </w:pPr>
            <w:r w:rsidRPr="0000697E">
              <w:rPr>
                <w:sz w:val="20"/>
                <w:szCs w:val="20"/>
              </w:rPr>
              <w:t>1249</w:t>
            </w:r>
          </w:p>
        </w:tc>
        <w:tc>
          <w:tcPr>
            <w:tcW w:w="613" w:type="pct"/>
            <w:shd w:val="clear" w:color="auto" w:fill="auto"/>
            <w:vAlign w:val="center"/>
          </w:tcPr>
          <w:p w:rsidR="0000697E" w:rsidRPr="0000697E" w:rsidP="000205F0" w14:paraId="3EA73E01" w14:textId="77777777">
            <w:pPr>
              <w:jc w:val="right"/>
              <w:rPr>
                <w:sz w:val="20"/>
                <w:szCs w:val="20"/>
              </w:rPr>
            </w:pPr>
            <w:r w:rsidRPr="0000697E">
              <w:rPr>
                <w:sz w:val="20"/>
                <w:szCs w:val="20"/>
              </w:rPr>
              <w:t>98,639</w:t>
            </w:r>
          </w:p>
        </w:tc>
        <w:tc>
          <w:tcPr>
            <w:tcW w:w="661" w:type="pct"/>
            <w:shd w:val="clear" w:color="auto" w:fill="auto"/>
            <w:vAlign w:val="center"/>
          </w:tcPr>
          <w:p w:rsidR="0000697E" w:rsidRPr="0000697E" w:rsidP="000205F0" w14:paraId="31028109" w14:textId="77777777">
            <w:pPr>
              <w:jc w:val="right"/>
              <w:rPr>
                <w:sz w:val="20"/>
                <w:szCs w:val="20"/>
              </w:rPr>
            </w:pPr>
            <w:r w:rsidRPr="0000697E">
              <w:rPr>
                <w:sz w:val="20"/>
                <w:szCs w:val="20"/>
              </w:rPr>
              <w:t>1</w:t>
            </w:r>
          </w:p>
        </w:tc>
        <w:tc>
          <w:tcPr>
            <w:tcW w:w="520" w:type="pct"/>
            <w:shd w:val="clear" w:color="auto" w:fill="auto"/>
            <w:vAlign w:val="center"/>
          </w:tcPr>
          <w:p w:rsidR="0000697E" w:rsidRPr="0000697E" w:rsidP="000205F0" w14:paraId="481CFEF3" w14:textId="77777777">
            <w:pPr>
              <w:jc w:val="right"/>
              <w:rPr>
                <w:sz w:val="20"/>
                <w:szCs w:val="20"/>
              </w:rPr>
            </w:pPr>
            <w:r w:rsidRPr="0000697E">
              <w:rPr>
                <w:sz w:val="20"/>
                <w:szCs w:val="20"/>
              </w:rPr>
              <w:t>98,639</w:t>
            </w:r>
          </w:p>
        </w:tc>
      </w:tr>
      <w:tr w14:paraId="17C239AF"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557225E5" w14:textId="77777777">
            <w:pPr>
              <w:rPr>
                <w:sz w:val="20"/>
                <w:szCs w:val="20"/>
              </w:rPr>
            </w:pPr>
            <w:r w:rsidRPr="0000697E">
              <w:rPr>
                <w:sz w:val="20"/>
                <w:szCs w:val="20"/>
              </w:rPr>
              <w:t>Voluntary reporting FDA Form 1932a for the public</w:t>
            </w:r>
          </w:p>
        </w:tc>
        <w:tc>
          <w:tcPr>
            <w:tcW w:w="378" w:type="pct"/>
            <w:vAlign w:val="center"/>
          </w:tcPr>
          <w:p w:rsidR="0000697E" w:rsidRPr="0000697E" w:rsidP="000205F0" w14:paraId="1724ADB7" w14:textId="77777777">
            <w:pPr>
              <w:jc w:val="right"/>
              <w:rPr>
                <w:sz w:val="20"/>
                <w:szCs w:val="20"/>
              </w:rPr>
            </w:pPr>
            <w:r w:rsidRPr="0000697E">
              <w:rPr>
                <w:sz w:val="20"/>
                <w:szCs w:val="20"/>
              </w:rPr>
              <w:t>1932a</w:t>
            </w:r>
          </w:p>
        </w:tc>
        <w:tc>
          <w:tcPr>
            <w:tcW w:w="708" w:type="pct"/>
            <w:shd w:val="clear" w:color="auto" w:fill="auto"/>
            <w:vAlign w:val="center"/>
          </w:tcPr>
          <w:p w:rsidR="0000697E" w:rsidRPr="0000697E" w:rsidP="000205F0" w14:paraId="7529120E" w14:textId="77777777">
            <w:pPr>
              <w:jc w:val="right"/>
              <w:rPr>
                <w:sz w:val="20"/>
                <w:szCs w:val="20"/>
              </w:rPr>
            </w:pPr>
            <w:r w:rsidRPr="0000697E">
              <w:rPr>
                <w:sz w:val="20"/>
                <w:szCs w:val="20"/>
              </w:rPr>
              <w:t>106</w:t>
            </w:r>
          </w:p>
        </w:tc>
        <w:tc>
          <w:tcPr>
            <w:tcW w:w="755" w:type="pct"/>
            <w:shd w:val="clear" w:color="auto" w:fill="auto"/>
            <w:vAlign w:val="center"/>
          </w:tcPr>
          <w:p w:rsidR="0000697E" w:rsidRPr="0000697E" w:rsidP="000205F0" w14:paraId="43A6955A" w14:textId="77777777">
            <w:pPr>
              <w:jc w:val="right"/>
              <w:rPr>
                <w:sz w:val="20"/>
                <w:szCs w:val="20"/>
              </w:rPr>
            </w:pPr>
            <w:r w:rsidRPr="0000697E">
              <w:rPr>
                <w:sz w:val="20"/>
                <w:szCs w:val="20"/>
              </w:rPr>
              <w:t>1</w:t>
            </w:r>
          </w:p>
        </w:tc>
        <w:tc>
          <w:tcPr>
            <w:tcW w:w="613" w:type="pct"/>
            <w:shd w:val="clear" w:color="auto" w:fill="auto"/>
            <w:vAlign w:val="center"/>
          </w:tcPr>
          <w:p w:rsidR="0000697E" w:rsidRPr="0000697E" w:rsidP="000205F0" w14:paraId="68BC77AF" w14:textId="77777777">
            <w:pPr>
              <w:jc w:val="right"/>
              <w:rPr>
                <w:sz w:val="20"/>
                <w:szCs w:val="20"/>
              </w:rPr>
            </w:pPr>
            <w:r w:rsidRPr="0000697E">
              <w:rPr>
                <w:sz w:val="20"/>
                <w:szCs w:val="20"/>
              </w:rPr>
              <w:t>106</w:t>
            </w:r>
          </w:p>
        </w:tc>
        <w:tc>
          <w:tcPr>
            <w:tcW w:w="661" w:type="pct"/>
            <w:shd w:val="clear" w:color="auto" w:fill="auto"/>
            <w:vAlign w:val="center"/>
          </w:tcPr>
          <w:p w:rsidR="0000697E" w:rsidRPr="0000697E" w:rsidP="000205F0" w14:paraId="2148542F" w14:textId="77777777">
            <w:pPr>
              <w:jc w:val="right"/>
              <w:rPr>
                <w:sz w:val="20"/>
                <w:szCs w:val="20"/>
              </w:rPr>
            </w:pPr>
            <w:r w:rsidRPr="0000697E">
              <w:rPr>
                <w:sz w:val="20"/>
                <w:szCs w:val="20"/>
              </w:rPr>
              <w:t>1</w:t>
            </w:r>
          </w:p>
        </w:tc>
        <w:tc>
          <w:tcPr>
            <w:tcW w:w="520" w:type="pct"/>
            <w:shd w:val="clear" w:color="auto" w:fill="auto"/>
            <w:vAlign w:val="center"/>
          </w:tcPr>
          <w:p w:rsidR="0000697E" w:rsidRPr="0000697E" w:rsidP="000205F0" w14:paraId="6ED26038" w14:textId="77777777">
            <w:pPr>
              <w:jc w:val="right"/>
              <w:rPr>
                <w:sz w:val="20"/>
                <w:szCs w:val="20"/>
              </w:rPr>
            </w:pPr>
            <w:r w:rsidRPr="0000697E">
              <w:rPr>
                <w:sz w:val="20"/>
                <w:szCs w:val="20"/>
              </w:rPr>
              <w:t>106</w:t>
            </w:r>
          </w:p>
        </w:tc>
      </w:tr>
      <w:tr w14:paraId="49819B86"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112BB370" w14:textId="77777777">
            <w:pPr>
              <w:rPr>
                <w:sz w:val="20"/>
                <w:szCs w:val="20"/>
              </w:rPr>
            </w:pPr>
            <w:r w:rsidRPr="0000697E">
              <w:rPr>
                <w:sz w:val="20"/>
                <w:szCs w:val="20"/>
              </w:rPr>
              <w:t>514.80(b)(4) Periodic Drug Experience Reports</w:t>
            </w:r>
          </w:p>
        </w:tc>
        <w:tc>
          <w:tcPr>
            <w:tcW w:w="378" w:type="pct"/>
            <w:vAlign w:val="center"/>
          </w:tcPr>
          <w:p w:rsidR="0000697E" w:rsidRPr="0000697E" w:rsidP="000205F0" w14:paraId="548F8064" w14:textId="77777777">
            <w:pPr>
              <w:jc w:val="right"/>
              <w:rPr>
                <w:sz w:val="20"/>
                <w:szCs w:val="20"/>
              </w:rPr>
            </w:pPr>
            <w:r w:rsidRPr="0000697E">
              <w:rPr>
                <w:sz w:val="20"/>
                <w:szCs w:val="20"/>
              </w:rPr>
              <w:t>2301</w:t>
            </w:r>
          </w:p>
        </w:tc>
        <w:tc>
          <w:tcPr>
            <w:tcW w:w="708" w:type="pct"/>
            <w:shd w:val="clear" w:color="auto" w:fill="auto"/>
            <w:vAlign w:val="center"/>
          </w:tcPr>
          <w:p w:rsidR="0000697E" w:rsidRPr="0000697E" w:rsidP="000205F0" w14:paraId="203D58B8" w14:textId="77777777">
            <w:pPr>
              <w:jc w:val="right"/>
              <w:rPr>
                <w:sz w:val="20"/>
                <w:szCs w:val="20"/>
              </w:rPr>
            </w:pPr>
            <w:r w:rsidRPr="0000697E">
              <w:rPr>
                <w:sz w:val="20"/>
                <w:szCs w:val="20"/>
              </w:rPr>
              <w:t>79</w:t>
            </w:r>
          </w:p>
        </w:tc>
        <w:tc>
          <w:tcPr>
            <w:tcW w:w="755" w:type="pct"/>
            <w:shd w:val="clear" w:color="auto" w:fill="auto"/>
            <w:vAlign w:val="center"/>
          </w:tcPr>
          <w:p w:rsidR="0000697E" w:rsidRPr="0000697E" w:rsidP="000205F0" w14:paraId="6C813CE5" w14:textId="77777777">
            <w:pPr>
              <w:jc w:val="right"/>
              <w:rPr>
                <w:sz w:val="20"/>
                <w:szCs w:val="20"/>
              </w:rPr>
            </w:pPr>
            <w:r w:rsidRPr="0000697E">
              <w:rPr>
                <w:sz w:val="20"/>
                <w:szCs w:val="20"/>
              </w:rPr>
              <w:t>20</w:t>
            </w:r>
          </w:p>
        </w:tc>
        <w:tc>
          <w:tcPr>
            <w:tcW w:w="613" w:type="pct"/>
            <w:shd w:val="clear" w:color="auto" w:fill="auto"/>
            <w:vAlign w:val="center"/>
          </w:tcPr>
          <w:p w:rsidR="0000697E" w:rsidRPr="0000697E" w:rsidP="000205F0" w14:paraId="350A03EB" w14:textId="77777777">
            <w:pPr>
              <w:jc w:val="right"/>
              <w:rPr>
                <w:sz w:val="20"/>
                <w:szCs w:val="20"/>
              </w:rPr>
            </w:pPr>
            <w:r w:rsidRPr="0000697E">
              <w:rPr>
                <w:sz w:val="20"/>
                <w:szCs w:val="20"/>
              </w:rPr>
              <w:t>1,582</w:t>
            </w:r>
          </w:p>
        </w:tc>
        <w:tc>
          <w:tcPr>
            <w:tcW w:w="661" w:type="pct"/>
            <w:shd w:val="clear" w:color="auto" w:fill="auto"/>
            <w:vAlign w:val="center"/>
          </w:tcPr>
          <w:p w:rsidR="0000697E" w:rsidRPr="0000697E" w:rsidP="000205F0" w14:paraId="5C452968" w14:textId="77777777">
            <w:pPr>
              <w:jc w:val="right"/>
              <w:rPr>
                <w:sz w:val="20"/>
                <w:szCs w:val="20"/>
              </w:rPr>
            </w:pPr>
            <w:r w:rsidRPr="0000697E">
              <w:rPr>
                <w:sz w:val="20"/>
                <w:szCs w:val="20"/>
              </w:rPr>
              <w:t>16</w:t>
            </w:r>
          </w:p>
        </w:tc>
        <w:tc>
          <w:tcPr>
            <w:tcW w:w="520" w:type="pct"/>
            <w:shd w:val="clear" w:color="auto" w:fill="auto"/>
            <w:vAlign w:val="center"/>
          </w:tcPr>
          <w:p w:rsidR="0000697E" w:rsidRPr="0000697E" w:rsidP="000205F0" w14:paraId="64526F38" w14:textId="77777777">
            <w:pPr>
              <w:jc w:val="right"/>
              <w:rPr>
                <w:sz w:val="20"/>
                <w:szCs w:val="20"/>
              </w:rPr>
            </w:pPr>
            <w:r w:rsidRPr="0000697E">
              <w:rPr>
                <w:sz w:val="20"/>
                <w:szCs w:val="20"/>
              </w:rPr>
              <w:t>25,312</w:t>
            </w:r>
          </w:p>
        </w:tc>
      </w:tr>
      <w:tr w14:paraId="47719B15"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0C3837E7" w14:textId="77777777">
            <w:pPr>
              <w:rPr>
                <w:sz w:val="20"/>
                <w:szCs w:val="20"/>
              </w:rPr>
            </w:pPr>
            <w:r w:rsidRPr="0000697E">
              <w:rPr>
                <w:sz w:val="20"/>
                <w:szCs w:val="20"/>
              </w:rPr>
              <w:t>514.80(b)(5)(i) Special Drug Experience Reports</w:t>
            </w:r>
          </w:p>
        </w:tc>
        <w:tc>
          <w:tcPr>
            <w:tcW w:w="378" w:type="pct"/>
            <w:vAlign w:val="center"/>
          </w:tcPr>
          <w:p w:rsidR="0000697E" w:rsidRPr="0000697E" w:rsidP="000205F0" w14:paraId="63C552B0" w14:textId="77777777">
            <w:pPr>
              <w:jc w:val="right"/>
              <w:rPr>
                <w:sz w:val="20"/>
                <w:szCs w:val="20"/>
              </w:rPr>
            </w:pPr>
            <w:r w:rsidRPr="0000697E">
              <w:rPr>
                <w:sz w:val="20"/>
                <w:szCs w:val="20"/>
              </w:rPr>
              <w:t>2301</w:t>
            </w:r>
          </w:p>
        </w:tc>
        <w:tc>
          <w:tcPr>
            <w:tcW w:w="708" w:type="pct"/>
            <w:shd w:val="clear" w:color="auto" w:fill="auto"/>
            <w:vAlign w:val="center"/>
          </w:tcPr>
          <w:p w:rsidR="0000697E" w:rsidRPr="0000697E" w:rsidP="000205F0" w14:paraId="24020580" w14:textId="77777777">
            <w:pPr>
              <w:jc w:val="right"/>
              <w:rPr>
                <w:sz w:val="20"/>
                <w:szCs w:val="20"/>
              </w:rPr>
            </w:pPr>
            <w:r w:rsidRPr="0000697E">
              <w:rPr>
                <w:sz w:val="20"/>
                <w:szCs w:val="20"/>
              </w:rPr>
              <w:t>78</w:t>
            </w:r>
          </w:p>
        </w:tc>
        <w:tc>
          <w:tcPr>
            <w:tcW w:w="755" w:type="pct"/>
            <w:shd w:val="clear" w:color="auto" w:fill="auto"/>
            <w:vAlign w:val="center"/>
          </w:tcPr>
          <w:p w:rsidR="0000697E" w:rsidRPr="0000697E" w:rsidP="000205F0" w14:paraId="7C99D7FD" w14:textId="77777777">
            <w:pPr>
              <w:jc w:val="right"/>
              <w:rPr>
                <w:sz w:val="20"/>
                <w:szCs w:val="20"/>
              </w:rPr>
            </w:pPr>
            <w:r w:rsidRPr="0000697E">
              <w:rPr>
                <w:sz w:val="20"/>
                <w:szCs w:val="20"/>
              </w:rPr>
              <w:t>215</w:t>
            </w:r>
          </w:p>
        </w:tc>
        <w:tc>
          <w:tcPr>
            <w:tcW w:w="613" w:type="pct"/>
            <w:shd w:val="clear" w:color="auto" w:fill="auto"/>
            <w:vAlign w:val="center"/>
          </w:tcPr>
          <w:p w:rsidR="0000697E" w:rsidRPr="0000697E" w:rsidP="000205F0" w14:paraId="34FFF29B" w14:textId="77777777">
            <w:pPr>
              <w:jc w:val="right"/>
              <w:rPr>
                <w:sz w:val="20"/>
                <w:szCs w:val="20"/>
              </w:rPr>
            </w:pPr>
            <w:r w:rsidRPr="0000697E">
              <w:rPr>
                <w:sz w:val="20"/>
                <w:szCs w:val="20"/>
              </w:rPr>
              <w:t>16,790</w:t>
            </w:r>
          </w:p>
        </w:tc>
        <w:tc>
          <w:tcPr>
            <w:tcW w:w="661" w:type="pct"/>
            <w:shd w:val="clear" w:color="auto" w:fill="auto"/>
            <w:vAlign w:val="center"/>
          </w:tcPr>
          <w:p w:rsidR="0000697E" w:rsidRPr="0000697E" w:rsidP="000205F0" w14:paraId="5A0AFB26" w14:textId="77777777">
            <w:pPr>
              <w:jc w:val="right"/>
              <w:rPr>
                <w:sz w:val="20"/>
                <w:szCs w:val="20"/>
              </w:rPr>
            </w:pPr>
            <w:r w:rsidRPr="0000697E">
              <w:rPr>
                <w:sz w:val="20"/>
                <w:szCs w:val="20"/>
              </w:rPr>
              <w:t>2</w:t>
            </w:r>
          </w:p>
        </w:tc>
        <w:tc>
          <w:tcPr>
            <w:tcW w:w="520" w:type="pct"/>
            <w:shd w:val="clear" w:color="auto" w:fill="auto"/>
            <w:vAlign w:val="center"/>
          </w:tcPr>
          <w:p w:rsidR="0000697E" w:rsidRPr="0000697E" w:rsidP="000205F0" w14:paraId="7251CEA6" w14:textId="77777777">
            <w:pPr>
              <w:jc w:val="right"/>
              <w:rPr>
                <w:sz w:val="20"/>
                <w:szCs w:val="20"/>
              </w:rPr>
            </w:pPr>
            <w:r w:rsidRPr="0000697E">
              <w:rPr>
                <w:sz w:val="20"/>
                <w:szCs w:val="20"/>
              </w:rPr>
              <w:t>33,580</w:t>
            </w:r>
          </w:p>
        </w:tc>
      </w:tr>
      <w:tr w14:paraId="592B0A40"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6C575A4E" w14:textId="77777777">
            <w:pPr>
              <w:rPr>
                <w:sz w:val="20"/>
                <w:szCs w:val="20"/>
              </w:rPr>
            </w:pPr>
            <w:r w:rsidRPr="0000697E">
              <w:rPr>
                <w:sz w:val="20"/>
                <w:szCs w:val="20"/>
              </w:rPr>
              <w:t>514.80(b(5)(ii) Advertisement and Promotional labeling</w:t>
            </w:r>
          </w:p>
        </w:tc>
        <w:tc>
          <w:tcPr>
            <w:tcW w:w="378" w:type="pct"/>
            <w:vAlign w:val="center"/>
          </w:tcPr>
          <w:p w:rsidR="0000697E" w:rsidRPr="0000697E" w:rsidP="000205F0" w14:paraId="6E304ED4" w14:textId="77777777">
            <w:pPr>
              <w:jc w:val="right"/>
              <w:rPr>
                <w:sz w:val="20"/>
                <w:szCs w:val="20"/>
              </w:rPr>
            </w:pPr>
            <w:r w:rsidRPr="0000697E">
              <w:rPr>
                <w:sz w:val="20"/>
                <w:szCs w:val="20"/>
              </w:rPr>
              <w:t>2301</w:t>
            </w:r>
          </w:p>
        </w:tc>
        <w:tc>
          <w:tcPr>
            <w:tcW w:w="708" w:type="pct"/>
            <w:shd w:val="clear" w:color="auto" w:fill="auto"/>
            <w:vAlign w:val="center"/>
          </w:tcPr>
          <w:p w:rsidR="0000697E" w:rsidRPr="0000697E" w:rsidP="000205F0" w14:paraId="4E4D1BD1" w14:textId="77777777">
            <w:pPr>
              <w:jc w:val="right"/>
              <w:rPr>
                <w:sz w:val="20"/>
                <w:szCs w:val="20"/>
              </w:rPr>
            </w:pPr>
            <w:r w:rsidRPr="0000697E">
              <w:rPr>
                <w:sz w:val="20"/>
                <w:szCs w:val="20"/>
              </w:rPr>
              <w:t>38</w:t>
            </w:r>
          </w:p>
        </w:tc>
        <w:tc>
          <w:tcPr>
            <w:tcW w:w="755" w:type="pct"/>
            <w:shd w:val="clear" w:color="auto" w:fill="auto"/>
            <w:vAlign w:val="center"/>
          </w:tcPr>
          <w:p w:rsidR="0000697E" w:rsidRPr="0000697E" w:rsidP="000205F0" w14:paraId="7F31040D" w14:textId="77777777">
            <w:pPr>
              <w:jc w:val="right"/>
              <w:rPr>
                <w:sz w:val="20"/>
                <w:szCs w:val="20"/>
              </w:rPr>
            </w:pPr>
            <w:r w:rsidRPr="0000697E">
              <w:rPr>
                <w:sz w:val="20"/>
                <w:szCs w:val="20"/>
              </w:rPr>
              <w:t>192</w:t>
            </w:r>
          </w:p>
        </w:tc>
        <w:tc>
          <w:tcPr>
            <w:tcW w:w="613" w:type="pct"/>
            <w:shd w:val="clear" w:color="auto" w:fill="auto"/>
            <w:vAlign w:val="center"/>
          </w:tcPr>
          <w:p w:rsidR="0000697E" w:rsidRPr="0000697E" w:rsidP="000205F0" w14:paraId="167572D7" w14:textId="77777777">
            <w:pPr>
              <w:jc w:val="right"/>
              <w:rPr>
                <w:sz w:val="20"/>
                <w:szCs w:val="20"/>
              </w:rPr>
            </w:pPr>
            <w:r w:rsidRPr="0000697E">
              <w:rPr>
                <w:sz w:val="20"/>
                <w:szCs w:val="20"/>
              </w:rPr>
              <w:t>7,282</w:t>
            </w:r>
          </w:p>
        </w:tc>
        <w:tc>
          <w:tcPr>
            <w:tcW w:w="661" w:type="pct"/>
            <w:shd w:val="clear" w:color="auto" w:fill="auto"/>
            <w:vAlign w:val="center"/>
          </w:tcPr>
          <w:p w:rsidR="0000697E" w:rsidRPr="0000697E" w:rsidP="000205F0" w14:paraId="32C36F5C" w14:textId="77777777">
            <w:pPr>
              <w:jc w:val="right"/>
              <w:rPr>
                <w:sz w:val="20"/>
                <w:szCs w:val="20"/>
              </w:rPr>
            </w:pPr>
            <w:r w:rsidRPr="0000697E">
              <w:rPr>
                <w:sz w:val="20"/>
                <w:szCs w:val="20"/>
              </w:rPr>
              <w:t>2</w:t>
            </w:r>
          </w:p>
        </w:tc>
        <w:tc>
          <w:tcPr>
            <w:tcW w:w="520" w:type="pct"/>
            <w:shd w:val="clear" w:color="auto" w:fill="auto"/>
            <w:vAlign w:val="center"/>
          </w:tcPr>
          <w:p w:rsidR="0000697E" w:rsidRPr="0000697E" w:rsidP="000205F0" w14:paraId="0E93DA51" w14:textId="77777777">
            <w:pPr>
              <w:jc w:val="right"/>
              <w:rPr>
                <w:sz w:val="20"/>
                <w:szCs w:val="20"/>
              </w:rPr>
            </w:pPr>
            <w:r w:rsidRPr="0000697E">
              <w:rPr>
                <w:sz w:val="20"/>
                <w:szCs w:val="20"/>
              </w:rPr>
              <w:t>14,564</w:t>
            </w:r>
          </w:p>
        </w:tc>
      </w:tr>
      <w:tr w14:paraId="19756E11" w14:textId="77777777" w:rsidTr="001E61BE">
        <w:tblPrEx>
          <w:tblW w:w="5022" w:type="pct"/>
          <w:tblLayout w:type="fixed"/>
          <w:tblLook w:val="01E0"/>
        </w:tblPrEx>
        <w:trPr>
          <w:cantSplit/>
          <w:trHeight w:val="70"/>
        </w:trPr>
        <w:tc>
          <w:tcPr>
            <w:tcW w:w="1366" w:type="pct"/>
            <w:shd w:val="clear" w:color="auto" w:fill="auto"/>
          </w:tcPr>
          <w:p w:rsidR="0000697E" w:rsidRPr="0000697E" w:rsidP="0000697E" w14:paraId="63351543" w14:textId="77777777">
            <w:pPr>
              <w:rPr>
                <w:sz w:val="20"/>
                <w:szCs w:val="20"/>
              </w:rPr>
            </w:pPr>
            <w:r w:rsidRPr="0000697E">
              <w:rPr>
                <w:sz w:val="20"/>
                <w:szCs w:val="20"/>
              </w:rPr>
              <w:t>514.80(b)(5)(iii) Distributor’s Statements</w:t>
            </w:r>
          </w:p>
        </w:tc>
        <w:tc>
          <w:tcPr>
            <w:tcW w:w="378" w:type="pct"/>
            <w:vAlign w:val="center"/>
          </w:tcPr>
          <w:p w:rsidR="0000697E" w:rsidRPr="0000697E" w:rsidP="000205F0" w14:paraId="067D8748" w14:textId="77777777">
            <w:pPr>
              <w:jc w:val="right"/>
              <w:rPr>
                <w:sz w:val="20"/>
                <w:szCs w:val="20"/>
              </w:rPr>
            </w:pPr>
            <w:r w:rsidRPr="0000697E">
              <w:rPr>
                <w:sz w:val="20"/>
                <w:szCs w:val="20"/>
              </w:rPr>
              <w:t>2301</w:t>
            </w:r>
          </w:p>
        </w:tc>
        <w:tc>
          <w:tcPr>
            <w:tcW w:w="708" w:type="pct"/>
            <w:shd w:val="clear" w:color="auto" w:fill="auto"/>
            <w:vAlign w:val="center"/>
          </w:tcPr>
          <w:p w:rsidR="0000697E" w:rsidRPr="0000697E" w:rsidP="000205F0" w14:paraId="18BB83C4" w14:textId="77777777">
            <w:pPr>
              <w:jc w:val="right"/>
              <w:rPr>
                <w:sz w:val="20"/>
                <w:szCs w:val="20"/>
              </w:rPr>
            </w:pPr>
            <w:r w:rsidRPr="0000697E">
              <w:rPr>
                <w:sz w:val="20"/>
                <w:szCs w:val="20"/>
              </w:rPr>
              <w:t>22</w:t>
            </w:r>
          </w:p>
        </w:tc>
        <w:tc>
          <w:tcPr>
            <w:tcW w:w="755" w:type="pct"/>
            <w:shd w:val="clear" w:color="auto" w:fill="auto"/>
            <w:vAlign w:val="center"/>
          </w:tcPr>
          <w:p w:rsidR="0000697E" w:rsidRPr="0000697E" w:rsidP="000205F0" w14:paraId="6CBAA8ED" w14:textId="77777777">
            <w:pPr>
              <w:jc w:val="right"/>
              <w:rPr>
                <w:sz w:val="20"/>
                <w:szCs w:val="20"/>
              </w:rPr>
            </w:pPr>
            <w:r w:rsidRPr="0000697E">
              <w:rPr>
                <w:sz w:val="20"/>
                <w:szCs w:val="20"/>
              </w:rPr>
              <w:t>2</w:t>
            </w:r>
          </w:p>
        </w:tc>
        <w:tc>
          <w:tcPr>
            <w:tcW w:w="613" w:type="pct"/>
            <w:shd w:val="clear" w:color="auto" w:fill="auto"/>
            <w:vAlign w:val="center"/>
          </w:tcPr>
          <w:p w:rsidR="0000697E" w:rsidRPr="0000697E" w:rsidP="000205F0" w14:paraId="4FEF8B2D" w14:textId="77777777">
            <w:pPr>
              <w:jc w:val="right"/>
              <w:rPr>
                <w:sz w:val="20"/>
                <w:szCs w:val="20"/>
              </w:rPr>
            </w:pPr>
            <w:r w:rsidRPr="0000697E">
              <w:rPr>
                <w:sz w:val="20"/>
                <w:szCs w:val="20"/>
              </w:rPr>
              <w:t>36</w:t>
            </w:r>
          </w:p>
        </w:tc>
        <w:tc>
          <w:tcPr>
            <w:tcW w:w="661" w:type="pct"/>
            <w:shd w:val="clear" w:color="auto" w:fill="auto"/>
            <w:vAlign w:val="center"/>
          </w:tcPr>
          <w:p w:rsidR="0000697E" w:rsidRPr="0000697E" w:rsidP="000205F0" w14:paraId="33BB1996" w14:textId="77777777">
            <w:pPr>
              <w:jc w:val="right"/>
              <w:rPr>
                <w:sz w:val="20"/>
                <w:szCs w:val="20"/>
              </w:rPr>
            </w:pPr>
            <w:r w:rsidRPr="0000697E">
              <w:rPr>
                <w:sz w:val="20"/>
                <w:szCs w:val="20"/>
              </w:rPr>
              <w:t>2</w:t>
            </w:r>
          </w:p>
        </w:tc>
        <w:tc>
          <w:tcPr>
            <w:tcW w:w="520" w:type="pct"/>
            <w:shd w:val="clear" w:color="auto" w:fill="auto"/>
            <w:vAlign w:val="center"/>
          </w:tcPr>
          <w:p w:rsidR="0000697E" w:rsidRPr="0000697E" w:rsidP="000205F0" w14:paraId="2BD159F9" w14:textId="77777777">
            <w:pPr>
              <w:jc w:val="right"/>
              <w:rPr>
                <w:sz w:val="20"/>
                <w:szCs w:val="20"/>
              </w:rPr>
            </w:pPr>
            <w:r w:rsidRPr="0000697E">
              <w:rPr>
                <w:sz w:val="20"/>
                <w:szCs w:val="20"/>
              </w:rPr>
              <w:t>72</w:t>
            </w:r>
          </w:p>
        </w:tc>
      </w:tr>
      <w:tr w14:paraId="33920C55"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490C3607" w14:textId="77777777">
            <w:pPr>
              <w:rPr>
                <w:sz w:val="20"/>
                <w:szCs w:val="20"/>
              </w:rPr>
            </w:pPr>
            <w:r w:rsidRPr="0000697E">
              <w:rPr>
                <w:sz w:val="20"/>
                <w:szCs w:val="20"/>
              </w:rPr>
              <w:t>514.80(d)(2)</w:t>
            </w:r>
          </w:p>
        </w:tc>
        <w:tc>
          <w:tcPr>
            <w:tcW w:w="378" w:type="pct"/>
          </w:tcPr>
          <w:p w:rsidR="0000697E" w:rsidRPr="0000697E" w:rsidP="000205F0" w14:paraId="748178B1" w14:textId="77777777">
            <w:pPr>
              <w:jc w:val="right"/>
              <w:rPr>
                <w:sz w:val="20"/>
                <w:szCs w:val="20"/>
              </w:rPr>
            </w:pPr>
            <w:r w:rsidRPr="0000697E">
              <w:rPr>
                <w:sz w:val="20"/>
                <w:szCs w:val="20"/>
              </w:rPr>
              <w:t>N/A</w:t>
            </w:r>
          </w:p>
        </w:tc>
        <w:tc>
          <w:tcPr>
            <w:tcW w:w="708" w:type="pct"/>
            <w:shd w:val="clear" w:color="auto" w:fill="auto"/>
          </w:tcPr>
          <w:p w:rsidR="0000697E" w:rsidRPr="0000697E" w:rsidP="000205F0" w14:paraId="26000973" w14:textId="77777777">
            <w:pPr>
              <w:jc w:val="right"/>
              <w:rPr>
                <w:sz w:val="20"/>
                <w:szCs w:val="20"/>
              </w:rPr>
            </w:pPr>
            <w:r w:rsidRPr="0000697E">
              <w:rPr>
                <w:sz w:val="20"/>
                <w:szCs w:val="20"/>
              </w:rPr>
              <w:t>1</w:t>
            </w:r>
          </w:p>
        </w:tc>
        <w:tc>
          <w:tcPr>
            <w:tcW w:w="755" w:type="pct"/>
            <w:shd w:val="clear" w:color="auto" w:fill="auto"/>
          </w:tcPr>
          <w:p w:rsidR="0000697E" w:rsidRPr="0000697E" w:rsidP="000205F0" w14:paraId="6A775106" w14:textId="77777777">
            <w:pPr>
              <w:jc w:val="right"/>
              <w:rPr>
                <w:sz w:val="20"/>
                <w:szCs w:val="20"/>
              </w:rPr>
            </w:pPr>
            <w:r w:rsidRPr="0000697E">
              <w:rPr>
                <w:sz w:val="20"/>
                <w:szCs w:val="20"/>
              </w:rPr>
              <w:t>1</w:t>
            </w:r>
          </w:p>
        </w:tc>
        <w:tc>
          <w:tcPr>
            <w:tcW w:w="613" w:type="pct"/>
            <w:shd w:val="clear" w:color="auto" w:fill="auto"/>
          </w:tcPr>
          <w:p w:rsidR="0000697E" w:rsidRPr="0000697E" w:rsidP="000205F0" w14:paraId="7E6C419F" w14:textId="77777777">
            <w:pPr>
              <w:jc w:val="right"/>
              <w:rPr>
                <w:sz w:val="20"/>
                <w:szCs w:val="20"/>
              </w:rPr>
            </w:pPr>
            <w:r w:rsidRPr="0000697E">
              <w:rPr>
                <w:sz w:val="20"/>
                <w:szCs w:val="20"/>
              </w:rPr>
              <w:t>1</w:t>
            </w:r>
          </w:p>
        </w:tc>
        <w:tc>
          <w:tcPr>
            <w:tcW w:w="661" w:type="pct"/>
            <w:shd w:val="clear" w:color="auto" w:fill="auto"/>
          </w:tcPr>
          <w:p w:rsidR="0000697E" w:rsidRPr="0000697E" w:rsidP="000205F0" w14:paraId="1A1E66ED" w14:textId="77777777">
            <w:pPr>
              <w:jc w:val="right"/>
              <w:rPr>
                <w:sz w:val="20"/>
                <w:szCs w:val="20"/>
              </w:rPr>
            </w:pPr>
            <w:r w:rsidRPr="0000697E">
              <w:rPr>
                <w:sz w:val="20"/>
                <w:szCs w:val="20"/>
              </w:rPr>
              <w:t>1</w:t>
            </w:r>
          </w:p>
        </w:tc>
        <w:tc>
          <w:tcPr>
            <w:tcW w:w="520" w:type="pct"/>
            <w:shd w:val="clear" w:color="auto" w:fill="auto"/>
          </w:tcPr>
          <w:p w:rsidR="0000697E" w:rsidRPr="0000697E" w:rsidP="000205F0" w14:paraId="1B5F56CF" w14:textId="77777777">
            <w:pPr>
              <w:jc w:val="right"/>
              <w:rPr>
                <w:sz w:val="20"/>
                <w:szCs w:val="20"/>
              </w:rPr>
            </w:pPr>
            <w:r w:rsidRPr="0000697E">
              <w:rPr>
                <w:sz w:val="20"/>
                <w:szCs w:val="20"/>
              </w:rPr>
              <w:t>1</w:t>
            </w:r>
          </w:p>
        </w:tc>
      </w:tr>
      <w:tr w14:paraId="2BD9F105" w14:textId="77777777" w:rsidTr="001E61BE">
        <w:tblPrEx>
          <w:tblW w:w="5022" w:type="pct"/>
          <w:tblLayout w:type="fixed"/>
          <w:tblLook w:val="01E0"/>
        </w:tblPrEx>
        <w:trPr>
          <w:cantSplit/>
          <w:trHeight w:val="20"/>
        </w:trPr>
        <w:tc>
          <w:tcPr>
            <w:tcW w:w="1366" w:type="pct"/>
            <w:shd w:val="clear" w:color="auto" w:fill="auto"/>
          </w:tcPr>
          <w:p w:rsidR="0000697E" w:rsidRPr="0000697E" w:rsidP="0000697E" w14:paraId="04EFD726" w14:textId="77777777">
            <w:pPr>
              <w:rPr>
                <w:sz w:val="20"/>
                <w:szCs w:val="20"/>
              </w:rPr>
            </w:pPr>
            <w:r w:rsidRPr="0000697E">
              <w:rPr>
                <w:sz w:val="20"/>
                <w:szCs w:val="20"/>
              </w:rPr>
              <w:t>Total</w:t>
            </w:r>
          </w:p>
        </w:tc>
        <w:tc>
          <w:tcPr>
            <w:tcW w:w="378" w:type="pct"/>
          </w:tcPr>
          <w:p w:rsidR="0000697E" w:rsidRPr="0000697E" w:rsidP="000205F0" w14:paraId="001D7E1D" w14:textId="77777777">
            <w:pPr>
              <w:jc w:val="right"/>
              <w:rPr>
                <w:sz w:val="20"/>
                <w:szCs w:val="20"/>
              </w:rPr>
            </w:pPr>
          </w:p>
        </w:tc>
        <w:tc>
          <w:tcPr>
            <w:tcW w:w="708" w:type="pct"/>
            <w:shd w:val="clear" w:color="auto" w:fill="auto"/>
          </w:tcPr>
          <w:p w:rsidR="0000697E" w:rsidRPr="0000697E" w:rsidP="000205F0" w14:paraId="067BBF95" w14:textId="0D21F101">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417</w:t>
            </w:r>
            <w:r>
              <w:rPr>
                <w:sz w:val="20"/>
                <w:szCs w:val="20"/>
              </w:rPr>
              <w:fldChar w:fldCharType="end"/>
            </w:r>
          </w:p>
        </w:tc>
        <w:tc>
          <w:tcPr>
            <w:tcW w:w="755" w:type="pct"/>
            <w:shd w:val="clear" w:color="auto" w:fill="auto"/>
          </w:tcPr>
          <w:p w:rsidR="0000697E" w:rsidRPr="0000697E" w:rsidP="000205F0" w14:paraId="54716E94" w14:textId="77777777">
            <w:pPr>
              <w:jc w:val="right"/>
              <w:rPr>
                <w:sz w:val="20"/>
                <w:szCs w:val="20"/>
              </w:rPr>
            </w:pPr>
          </w:p>
        </w:tc>
        <w:tc>
          <w:tcPr>
            <w:tcW w:w="613" w:type="pct"/>
            <w:shd w:val="clear" w:color="auto" w:fill="auto"/>
          </w:tcPr>
          <w:p w:rsidR="0000697E" w:rsidRPr="0000697E" w:rsidP="000205F0" w14:paraId="1EABF580" w14:textId="6FA0E501">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124,444</w:t>
            </w:r>
            <w:r>
              <w:rPr>
                <w:sz w:val="20"/>
                <w:szCs w:val="20"/>
              </w:rPr>
              <w:fldChar w:fldCharType="end"/>
            </w:r>
          </w:p>
        </w:tc>
        <w:tc>
          <w:tcPr>
            <w:tcW w:w="661" w:type="pct"/>
            <w:shd w:val="clear" w:color="auto" w:fill="auto"/>
          </w:tcPr>
          <w:p w:rsidR="0000697E" w:rsidRPr="0000697E" w:rsidP="000205F0" w14:paraId="45F5F901" w14:textId="77777777">
            <w:pPr>
              <w:jc w:val="right"/>
              <w:rPr>
                <w:sz w:val="20"/>
                <w:szCs w:val="20"/>
              </w:rPr>
            </w:pPr>
          </w:p>
        </w:tc>
        <w:tc>
          <w:tcPr>
            <w:tcW w:w="520" w:type="pct"/>
            <w:shd w:val="clear" w:color="auto" w:fill="auto"/>
          </w:tcPr>
          <w:p w:rsidR="0000697E" w:rsidRPr="0000697E" w:rsidP="000205F0" w14:paraId="085E7C79" w14:textId="77777777">
            <w:pPr>
              <w:jc w:val="right"/>
              <w:rPr>
                <w:sz w:val="20"/>
                <w:szCs w:val="20"/>
              </w:rPr>
            </w:pPr>
            <w:r w:rsidRPr="0000697E">
              <w:rPr>
                <w:sz w:val="20"/>
                <w:szCs w:val="20"/>
              </w:rPr>
              <w:t>172,276</w:t>
            </w:r>
          </w:p>
        </w:tc>
      </w:tr>
    </w:tbl>
    <w:p w:rsidR="0000697E" w:rsidRPr="0000697E" w:rsidP="0000697E" w14:paraId="63001618" w14:textId="77777777">
      <w:pPr>
        <w:rPr>
          <w:sz w:val="20"/>
          <w:szCs w:val="20"/>
        </w:rPr>
      </w:pPr>
      <w:r w:rsidRPr="0000697E">
        <w:rPr>
          <w:sz w:val="20"/>
          <w:szCs w:val="20"/>
          <w:vertAlign w:val="superscript"/>
        </w:rPr>
        <w:t>1</w:t>
      </w:r>
      <w:r w:rsidRPr="0000697E">
        <w:rPr>
          <w:sz w:val="20"/>
          <w:szCs w:val="20"/>
        </w:rPr>
        <w:t xml:space="preserve"> There are no capital costs or operating and maintenance costs associated with this collection of information.</w:t>
      </w:r>
    </w:p>
    <w:p w:rsidR="0000697E" w:rsidRPr="0000697E" w:rsidP="0000697E" w14:paraId="155C8949" w14:textId="77777777"/>
    <w:p w:rsidR="0000697E" w:rsidRPr="0000697E" w:rsidP="0000697E" w14:paraId="1A0B84F2" w14:textId="77777777">
      <w:pPr>
        <w:contextualSpacing/>
        <w:jc w:val="center"/>
        <w:rPr>
          <w:sz w:val="20"/>
          <w:szCs w:val="20"/>
        </w:rPr>
      </w:pPr>
      <w:r w:rsidRPr="0000697E">
        <w:rPr>
          <w:sz w:val="20"/>
          <w:szCs w:val="20"/>
        </w:rPr>
        <w:t>Table 2.--Estimated Annual Recordkeeping Burden</w:t>
      </w:r>
      <w:r w:rsidRPr="0000697E">
        <w:rPr>
          <w:sz w:val="20"/>
          <w:szCs w:val="2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5"/>
        <w:gridCol w:w="1462"/>
        <w:gridCol w:w="1737"/>
        <w:gridCol w:w="1369"/>
        <w:gridCol w:w="1829"/>
        <w:gridCol w:w="1092"/>
      </w:tblGrid>
      <w:tr w14:paraId="369D6FCB" w14:textId="77777777" w:rsidTr="00AD1C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85"/>
          <w:tblHeader/>
        </w:trPr>
        <w:tc>
          <w:tcPr>
            <w:tcW w:w="1056" w:type="pct"/>
            <w:shd w:val="clear" w:color="auto" w:fill="auto"/>
          </w:tcPr>
          <w:p w:rsidR="0000697E" w:rsidRPr="0000697E" w:rsidP="0000697E" w14:paraId="46F80012" w14:textId="77777777">
            <w:pPr>
              <w:keepNext/>
              <w:jc w:val="center"/>
              <w:rPr>
                <w:sz w:val="20"/>
                <w:szCs w:val="20"/>
              </w:rPr>
            </w:pPr>
            <w:r w:rsidRPr="0000697E">
              <w:rPr>
                <w:sz w:val="20"/>
                <w:szCs w:val="20"/>
              </w:rPr>
              <w:t xml:space="preserve">21 CFR Section </w:t>
            </w:r>
          </w:p>
        </w:tc>
        <w:tc>
          <w:tcPr>
            <w:tcW w:w="770" w:type="pct"/>
            <w:shd w:val="clear" w:color="auto" w:fill="auto"/>
          </w:tcPr>
          <w:p w:rsidR="0000697E" w:rsidRPr="0000697E" w:rsidP="0000697E" w14:paraId="3327894F" w14:textId="77777777">
            <w:pPr>
              <w:keepNext/>
              <w:jc w:val="center"/>
              <w:rPr>
                <w:sz w:val="20"/>
                <w:szCs w:val="20"/>
              </w:rPr>
            </w:pPr>
            <w:r w:rsidRPr="0000697E">
              <w:rPr>
                <w:sz w:val="20"/>
                <w:szCs w:val="20"/>
              </w:rPr>
              <w:t>No. of Recordkeepers</w:t>
            </w:r>
          </w:p>
        </w:tc>
        <w:tc>
          <w:tcPr>
            <w:tcW w:w="915" w:type="pct"/>
            <w:shd w:val="clear" w:color="auto" w:fill="auto"/>
          </w:tcPr>
          <w:p w:rsidR="0000697E" w:rsidRPr="0000697E" w:rsidP="0000697E" w14:paraId="0ECB5C37" w14:textId="77777777">
            <w:pPr>
              <w:keepNext/>
              <w:jc w:val="center"/>
              <w:rPr>
                <w:sz w:val="20"/>
                <w:szCs w:val="20"/>
              </w:rPr>
            </w:pPr>
            <w:r w:rsidRPr="0000697E">
              <w:rPr>
                <w:bCs/>
                <w:sz w:val="20"/>
                <w:szCs w:val="20"/>
              </w:rPr>
              <w:t>No. of Records per Recordkeeper</w:t>
            </w:r>
          </w:p>
        </w:tc>
        <w:tc>
          <w:tcPr>
            <w:tcW w:w="721" w:type="pct"/>
            <w:shd w:val="clear" w:color="auto" w:fill="auto"/>
          </w:tcPr>
          <w:p w:rsidR="0000697E" w:rsidRPr="0000697E" w:rsidP="0000697E" w14:paraId="2A9D6C85" w14:textId="77777777">
            <w:pPr>
              <w:keepNext/>
              <w:jc w:val="center"/>
              <w:rPr>
                <w:sz w:val="20"/>
                <w:szCs w:val="20"/>
              </w:rPr>
            </w:pPr>
            <w:r w:rsidRPr="0000697E">
              <w:rPr>
                <w:sz w:val="20"/>
                <w:szCs w:val="20"/>
              </w:rPr>
              <w:t>Total Annual Records</w:t>
            </w:r>
          </w:p>
        </w:tc>
        <w:tc>
          <w:tcPr>
            <w:tcW w:w="963" w:type="pct"/>
            <w:shd w:val="clear" w:color="auto" w:fill="auto"/>
          </w:tcPr>
          <w:p w:rsidR="0000697E" w:rsidRPr="0000697E" w:rsidP="0000697E" w14:paraId="7458E92E" w14:textId="77777777">
            <w:pPr>
              <w:keepNext/>
              <w:jc w:val="center"/>
              <w:rPr>
                <w:sz w:val="20"/>
                <w:szCs w:val="20"/>
              </w:rPr>
            </w:pPr>
            <w:r w:rsidRPr="0000697E">
              <w:rPr>
                <w:bCs/>
                <w:sz w:val="20"/>
                <w:szCs w:val="20"/>
              </w:rPr>
              <w:t xml:space="preserve">Average Burden per Recordkeeping </w:t>
            </w:r>
          </w:p>
        </w:tc>
        <w:tc>
          <w:tcPr>
            <w:tcW w:w="575" w:type="pct"/>
            <w:shd w:val="clear" w:color="auto" w:fill="auto"/>
          </w:tcPr>
          <w:p w:rsidR="0000697E" w:rsidRPr="0000697E" w:rsidP="0000697E" w14:paraId="11F672C3" w14:textId="77777777">
            <w:pPr>
              <w:keepNext/>
              <w:jc w:val="center"/>
              <w:rPr>
                <w:sz w:val="20"/>
                <w:szCs w:val="20"/>
              </w:rPr>
            </w:pPr>
            <w:r w:rsidRPr="0000697E">
              <w:rPr>
                <w:sz w:val="20"/>
                <w:szCs w:val="20"/>
              </w:rPr>
              <w:t>Total Hours</w:t>
            </w:r>
          </w:p>
        </w:tc>
      </w:tr>
      <w:tr w14:paraId="34CCEAE8" w14:textId="77777777" w:rsidTr="00AD1C73">
        <w:tblPrEx>
          <w:tblW w:w="5000" w:type="pct"/>
          <w:tblLayout w:type="fixed"/>
          <w:tblLook w:val="01E0"/>
        </w:tblPrEx>
        <w:trPr>
          <w:trHeight w:val="440"/>
        </w:trPr>
        <w:tc>
          <w:tcPr>
            <w:tcW w:w="1056" w:type="pct"/>
            <w:shd w:val="clear" w:color="auto" w:fill="auto"/>
            <w:vAlign w:val="center"/>
          </w:tcPr>
          <w:p w:rsidR="0000697E" w:rsidRPr="0000697E" w:rsidP="0000697E" w14:paraId="50D68720" w14:textId="77777777">
            <w:pPr>
              <w:keepNext/>
              <w:rPr>
                <w:sz w:val="20"/>
                <w:szCs w:val="20"/>
              </w:rPr>
            </w:pPr>
            <w:r w:rsidRPr="0000697E">
              <w:rPr>
                <w:sz w:val="20"/>
                <w:szCs w:val="20"/>
              </w:rPr>
              <w:t>Recordkeeping, 510.301</w:t>
            </w:r>
            <w:r w:rsidRPr="0000697E">
              <w:rPr>
                <w:sz w:val="20"/>
                <w:szCs w:val="20"/>
                <w:vertAlign w:val="superscript"/>
              </w:rPr>
              <w:t>2</w:t>
            </w:r>
          </w:p>
        </w:tc>
        <w:tc>
          <w:tcPr>
            <w:tcW w:w="770" w:type="pct"/>
            <w:shd w:val="clear" w:color="auto" w:fill="auto"/>
            <w:vAlign w:val="center"/>
          </w:tcPr>
          <w:p w:rsidR="0000697E" w:rsidRPr="0000697E" w:rsidP="00BB40D9" w14:paraId="510AC24C" w14:textId="77777777">
            <w:pPr>
              <w:keepNext/>
              <w:jc w:val="right"/>
              <w:rPr>
                <w:sz w:val="20"/>
                <w:szCs w:val="20"/>
              </w:rPr>
            </w:pPr>
            <w:r w:rsidRPr="0000697E">
              <w:rPr>
                <w:sz w:val="20"/>
                <w:szCs w:val="20"/>
              </w:rPr>
              <w:t>8</w:t>
            </w:r>
          </w:p>
        </w:tc>
        <w:tc>
          <w:tcPr>
            <w:tcW w:w="915" w:type="pct"/>
            <w:shd w:val="clear" w:color="auto" w:fill="auto"/>
            <w:vAlign w:val="center"/>
          </w:tcPr>
          <w:p w:rsidR="0000697E" w:rsidRPr="0000697E" w:rsidP="00BB40D9" w14:paraId="24CCB820" w14:textId="77777777">
            <w:pPr>
              <w:keepNext/>
              <w:jc w:val="right"/>
              <w:rPr>
                <w:sz w:val="20"/>
                <w:szCs w:val="20"/>
              </w:rPr>
            </w:pPr>
            <w:r w:rsidRPr="0000697E">
              <w:rPr>
                <w:sz w:val="20"/>
                <w:szCs w:val="20"/>
              </w:rPr>
              <w:t>1</w:t>
            </w:r>
          </w:p>
        </w:tc>
        <w:tc>
          <w:tcPr>
            <w:tcW w:w="721" w:type="pct"/>
            <w:shd w:val="clear" w:color="auto" w:fill="auto"/>
            <w:vAlign w:val="center"/>
          </w:tcPr>
          <w:p w:rsidR="0000697E" w:rsidRPr="0000697E" w:rsidP="00BB40D9" w14:paraId="5CC06749" w14:textId="77777777">
            <w:pPr>
              <w:keepNext/>
              <w:jc w:val="right"/>
              <w:rPr>
                <w:sz w:val="20"/>
                <w:szCs w:val="20"/>
              </w:rPr>
            </w:pPr>
            <w:r w:rsidRPr="0000697E">
              <w:rPr>
                <w:sz w:val="20"/>
                <w:szCs w:val="20"/>
              </w:rPr>
              <w:t>8</w:t>
            </w:r>
          </w:p>
        </w:tc>
        <w:tc>
          <w:tcPr>
            <w:tcW w:w="963" w:type="pct"/>
            <w:shd w:val="clear" w:color="auto" w:fill="auto"/>
            <w:vAlign w:val="center"/>
          </w:tcPr>
          <w:p w:rsidR="0000697E" w:rsidRPr="0000697E" w:rsidP="00BB40D9" w14:paraId="5C47362E" w14:textId="77777777">
            <w:pPr>
              <w:keepNext/>
              <w:jc w:val="right"/>
              <w:rPr>
                <w:sz w:val="20"/>
                <w:szCs w:val="20"/>
              </w:rPr>
            </w:pPr>
            <w:r w:rsidRPr="0000697E">
              <w:rPr>
                <w:sz w:val="20"/>
                <w:szCs w:val="20"/>
              </w:rPr>
              <w:t>4</w:t>
            </w:r>
          </w:p>
        </w:tc>
        <w:tc>
          <w:tcPr>
            <w:tcW w:w="575" w:type="pct"/>
            <w:shd w:val="clear" w:color="auto" w:fill="auto"/>
            <w:vAlign w:val="center"/>
          </w:tcPr>
          <w:p w:rsidR="0000697E" w:rsidRPr="0000697E" w:rsidP="00BB40D9" w14:paraId="32F67AAC" w14:textId="77777777">
            <w:pPr>
              <w:keepNext/>
              <w:jc w:val="right"/>
              <w:rPr>
                <w:sz w:val="20"/>
                <w:szCs w:val="20"/>
              </w:rPr>
            </w:pPr>
            <w:r w:rsidRPr="0000697E">
              <w:rPr>
                <w:sz w:val="20"/>
                <w:szCs w:val="20"/>
              </w:rPr>
              <w:t>32</w:t>
            </w:r>
          </w:p>
        </w:tc>
      </w:tr>
      <w:tr w14:paraId="5AF7CBD3" w14:textId="77777777" w:rsidTr="00AD1C73">
        <w:tblPrEx>
          <w:tblW w:w="5000" w:type="pct"/>
          <w:tblLayout w:type="fixed"/>
          <w:tblLook w:val="01E0"/>
        </w:tblPrEx>
        <w:trPr>
          <w:trHeight w:val="440"/>
        </w:trPr>
        <w:tc>
          <w:tcPr>
            <w:tcW w:w="1056" w:type="pct"/>
            <w:shd w:val="clear" w:color="auto" w:fill="auto"/>
            <w:vAlign w:val="center"/>
          </w:tcPr>
          <w:p w:rsidR="0000697E" w:rsidRPr="0000697E" w:rsidP="0000697E" w14:paraId="345C98A1" w14:textId="77777777">
            <w:pPr>
              <w:keepNext/>
              <w:rPr>
                <w:sz w:val="20"/>
                <w:szCs w:val="20"/>
                <w:vertAlign w:val="superscript"/>
              </w:rPr>
            </w:pPr>
            <w:r w:rsidRPr="0000697E">
              <w:rPr>
                <w:sz w:val="20"/>
                <w:szCs w:val="20"/>
              </w:rPr>
              <w:t>Recordkeeping, 21 U.S.C. 360b(1) and 514.80(e)</w:t>
            </w:r>
            <w:r w:rsidRPr="0000697E">
              <w:rPr>
                <w:sz w:val="20"/>
                <w:szCs w:val="20"/>
                <w:vertAlign w:val="superscript"/>
              </w:rPr>
              <w:t>3</w:t>
            </w:r>
          </w:p>
        </w:tc>
        <w:tc>
          <w:tcPr>
            <w:tcW w:w="770" w:type="pct"/>
            <w:shd w:val="clear" w:color="auto" w:fill="auto"/>
            <w:vAlign w:val="center"/>
          </w:tcPr>
          <w:p w:rsidR="0000697E" w:rsidRPr="0000697E" w:rsidP="00BB40D9" w14:paraId="5F5823DD" w14:textId="77777777">
            <w:pPr>
              <w:keepNext/>
              <w:jc w:val="right"/>
              <w:rPr>
                <w:sz w:val="20"/>
                <w:szCs w:val="20"/>
              </w:rPr>
            </w:pPr>
            <w:r w:rsidRPr="0000697E">
              <w:rPr>
                <w:sz w:val="20"/>
                <w:szCs w:val="20"/>
              </w:rPr>
              <w:t>79</w:t>
            </w:r>
          </w:p>
        </w:tc>
        <w:tc>
          <w:tcPr>
            <w:tcW w:w="915" w:type="pct"/>
            <w:shd w:val="clear" w:color="auto" w:fill="auto"/>
            <w:vAlign w:val="center"/>
          </w:tcPr>
          <w:p w:rsidR="0000697E" w:rsidRPr="0000697E" w:rsidP="00BB40D9" w14:paraId="5364CB26" w14:textId="77777777">
            <w:pPr>
              <w:keepNext/>
              <w:jc w:val="right"/>
              <w:rPr>
                <w:sz w:val="20"/>
                <w:szCs w:val="20"/>
              </w:rPr>
            </w:pPr>
            <w:r w:rsidRPr="0000697E">
              <w:rPr>
                <w:sz w:val="20"/>
                <w:szCs w:val="20"/>
              </w:rPr>
              <w:t>1,575.14</w:t>
            </w:r>
          </w:p>
        </w:tc>
        <w:tc>
          <w:tcPr>
            <w:tcW w:w="721" w:type="pct"/>
            <w:shd w:val="clear" w:color="auto" w:fill="auto"/>
            <w:vAlign w:val="center"/>
          </w:tcPr>
          <w:p w:rsidR="0000697E" w:rsidRPr="0000697E" w:rsidP="00BB40D9" w14:paraId="5CD23FED" w14:textId="77777777">
            <w:pPr>
              <w:keepNext/>
              <w:jc w:val="right"/>
              <w:rPr>
                <w:sz w:val="20"/>
                <w:szCs w:val="20"/>
              </w:rPr>
            </w:pPr>
            <w:r w:rsidRPr="0000697E">
              <w:rPr>
                <w:sz w:val="20"/>
                <w:szCs w:val="20"/>
              </w:rPr>
              <w:t>124,436</w:t>
            </w:r>
          </w:p>
        </w:tc>
        <w:tc>
          <w:tcPr>
            <w:tcW w:w="963" w:type="pct"/>
            <w:shd w:val="clear" w:color="auto" w:fill="auto"/>
            <w:vAlign w:val="center"/>
          </w:tcPr>
          <w:p w:rsidR="0000697E" w:rsidRPr="0000697E" w:rsidP="00BB40D9" w14:paraId="08EB601C" w14:textId="77777777">
            <w:pPr>
              <w:keepNext/>
              <w:jc w:val="right"/>
              <w:rPr>
                <w:sz w:val="20"/>
                <w:szCs w:val="20"/>
              </w:rPr>
            </w:pPr>
            <w:r w:rsidRPr="0000697E">
              <w:rPr>
                <w:sz w:val="20"/>
                <w:szCs w:val="20"/>
              </w:rPr>
              <w:t>14</w:t>
            </w:r>
          </w:p>
        </w:tc>
        <w:tc>
          <w:tcPr>
            <w:tcW w:w="575" w:type="pct"/>
            <w:shd w:val="clear" w:color="auto" w:fill="auto"/>
            <w:vAlign w:val="center"/>
          </w:tcPr>
          <w:p w:rsidR="0000697E" w:rsidRPr="0000697E" w:rsidP="00BB40D9" w14:paraId="48D2D30F" w14:textId="77777777">
            <w:pPr>
              <w:keepNext/>
              <w:jc w:val="right"/>
              <w:rPr>
                <w:sz w:val="20"/>
                <w:szCs w:val="20"/>
              </w:rPr>
            </w:pPr>
            <w:r w:rsidRPr="0000697E">
              <w:rPr>
                <w:sz w:val="20"/>
                <w:szCs w:val="20"/>
              </w:rPr>
              <w:t>1,742,104</w:t>
            </w:r>
          </w:p>
        </w:tc>
      </w:tr>
      <w:tr w14:paraId="74F4F747" w14:textId="77777777" w:rsidTr="00AD1C73">
        <w:tblPrEx>
          <w:tblW w:w="5000" w:type="pct"/>
          <w:tblLayout w:type="fixed"/>
          <w:tblLook w:val="01E0"/>
        </w:tblPrEx>
        <w:trPr>
          <w:trHeight w:val="440"/>
        </w:trPr>
        <w:tc>
          <w:tcPr>
            <w:tcW w:w="1056" w:type="pct"/>
            <w:shd w:val="clear" w:color="auto" w:fill="auto"/>
            <w:vAlign w:val="center"/>
          </w:tcPr>
          <w:p w:rsidR="0000697E" w:rsidRPr="0000697E" w:rsidP="0000697E" w14:paraId="6F5354A3" w14:textId="77777777">
            <w:pPr>
              <w:keepNext/>
              <w:rPr>
                <w:sz w:val="20"/>
                <w:szCs w:val="20"/>
              </w:rPr>
            </w:pPr>
            <w:r w:rsidRPr="0000697E">
              <w:rPr>
                <w:sz w:val="20"/>
                <w:szCs w:val="20"/>
              </w:rPr>
              <w:t>Total</w:t>
            </w:r>
          </w:p>
        </w:tc>
        <w:tc>
          <w:tcPr>
            <w:tcW w:w="770" w:type="pct"/>
            <w:shd w:val="clear" w:color="auto" w:fill="auto"/>
            <w:vAlign w:val="center"/>
          </w:tcPr>
          <w:p w:rsidR="0000697E" w:rsidRPr="0000697E" w:rsidP="00BB40D9" w14:paraId="6AE2DC23" w14:textId="77777777">
            <w:pPr>
              <w:keepNext/>
              <w:jc w:val="right"/>
              <w:rPr>
                <w:sz w:val="20"/>
                <w:szCs w:val="20"/>
              </w:rPr>
            </w:pPr>
          </w:p>
        </w:tc>
        <w:tc>
          <w:tcPr>
            <w:tcW w:w="915" w:type="pct"/>
            <w:shd w:val="clear" w:color="auto" w:fill="auto"/>
            <w:vAlign w:val="center"/>
          </w:tcPr>
          <w:p w:rsidR="0000697E" w:rsidRPr="0000697E" w:rsidP="00BB40D9" w14:paraId="1C240C59" w14:textId="77777777">
            <w:pPr>
              <w:keepNext/>
              <w:jc w:val="right"/>
              <w:rPr>
                <w:sz w:val="20"/>
                <w:szCs w:val="20"/>
              </w:rPr>
            </w:pPr>
          </w:p>
        </w:tc>
        <w:tc>
          <w:tcPr>
            <w:tcW w:w="721" w:type="pct"/>
            <w:shd w:val="clear" w:color="auto" w:fill="auto"/>
            <w:vAlign w:val="center"/>
          </w:tcPr>
          <w:p w:rsidR="0000697E" w:rsidRPr="0000697E" w:rsidP="00BB40D9" w14:paraId="2DFA7FE2" w14:textId="1A4CD77E">
            <w:pPr>
              <w:keepNext/>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124,444</w:t>
            </w:r>
            <w:r>
              <w:rPr>
                <w:sz w:val="20"/>
                <w:szCs w:val="20"/>
              </w:rPr>
              <w:fldChar w:fldCharType="end"/>
            </w:r>
          </w:p>
        </w:tc>
        <w:tc>
          <w:tcPr>
            <w:tcW w:w="963" w:type="pct"/>
            <w:shd w:val="clear" w:color="auto" w:fill="auto"/>
            <w:vAlign w:val="center"/>
          </w:tcPr>
          <w:p w:rsidR="0000697E" w:rsidRPr="0000697E" w:rsidP="00BB40D9" w14:paraId="7E08DADD" w14:textId="77777777">
            <w:pPr>
              <w:keepNext/>
              <w:jc w:val="right"/>
              <w:rPr>
                <w:sz w:val="20"/>
                <w:szCs w:val="20"/>
              </w:rPr>
            </w:pPr>
          </w:p>
        </w:tc>
        <w:tc>
          <w:tcPr>
            <w:tcW w:w="575" w:type="pct"/>
            <w:shd w:val="clear" w:color="auto" w:fill="auto"/>
            <w:vAlign w:val="center"/>
          </w:tcPr>
          <w:p w:rsidR="0000697E" w:rsidRPr="0000697E" w:rsidP="00BB40D9" w14:paraId="34C1415A" w14:textId="77777777">
            <w:pPr>
              <w:keepNext/>
              <w:jc w:val="right"/>
              <w:rPr>
                <w:sz w:val="20"/>
                <w:szCs w:val="20"/>
              </w:rPr>
            </w:pPr>
            <w:r w:rsidRPr="0000697E">
              <w:rPr>
                <w:sz w:val="20"/>
                <w:szCs w:val="20"/>
              </w:rPr>
              <w:t>1,742,136</w:t>
            </w:r>
          </w:p>
        </w:tc>
      </w:tr>
    </w:tbl>
    <w:p w:rsidR="0000697E" w:rsidRPr="0000697E" w:rsidP="0000697E" w14:paraId="74BF59F9" w14:textId="77777777">
      <w:pPr>
        <w:rPr>
          <w:sz w:val="20"/>
          <w:szCs w:val="20"/>
        </w:rPr>
      </w:pPr>
      <w:r w:rsidRPr="0000697E">
        <w:rPr>
          <w:sz w:val="20"/>
          <w:szCs w:val="20"/>
          <w:vertAlign w:val="superscript"/>
        </w:rPr>
        <w:t>1</w:t>
      </w:r>
      <w:r w:rsidRPr="0000697E">
        <w:rPr>
          <w:sz w:val="20"/>
          <w:szCs w:val="20"/>
        </w:rPr>
        <w:t xml:space="preserve"> There are no capital costs or operating and maintenance costs associated with this collection of information.</w:t>
      </w:r>
    </w:p>
    <w:p w:rsidR="0000697E" w:rsidRPr="0000697E" w:rsidP="0000697E" w14:paraId="6BEB96F9" w14:textId="77777777">
      <w:pPr>
        <w:rPr>
          <w:sz w:val="20"/>
          <w:szCs w:val="20"/>
        </w:rPr>
      </w:pPr>
      <w:r w:rsidRPr="0000697E">
        <w:rPr>
          <w:sz w:val="20"/>
          <w:szCs w:val="20"/>
          <w:vertAlign w:val="superscript"/>
        </w:rPr>
        <w:t xml:space="preserve">2 </w:t>
      </w:r>
      <w:r w:rsidRPr="0000697E">
        <w:rPr>
          <w:sz w:val="20"/>
          <w:szCs w:val="20"/>
        </w:rPr>
        <w:t>This estimate includes all recordkeeping by licensed medicated feed manufacturers under § 510.301.</w:t>
      </w:r>
    </w:p>
    <w:p w:rsidR="0000697E" w:rsidRPr="0000697E" w:rsidP="0000697E" w14:paraId="480BAF7D" w14:textId="77777777">
      <w:pPr>
        <w:rPr>
          <w:szCs w:val="20"/>
        </w:rPr>
      </w:pPr>
      <w:r w:rsidRPr="0000697E">
        <w:rPr>
          <w:sz w:val="20"/>
          <w:szCs w:val="20"/>
          <w:vertAlign w:val="superscript"/>
        </w:rPr>
        <w:t xml:space="preserve">3 </w:t>
      </w:r>
      <w:r w:rsidRPr="0000697E">
        <w:rPr>
          <w:sz w:val="20"/>
          <w:szCs w:val="20"/>
        </w:rPr>
        <w:t>This estimate includes all recordkeeping by applicants of approved NADAs, ANADAs, and conditional NADAs under § 514.80(e).</w:t>
      </w:r>
    </w:p>
    <w:p w:rsidR="000D79CC" w:rsidP="00DC371B" w14:paraId="035830F2" w14:textId="77777777">
      <w:pPr>
        <w:spacing w:after="200"/>
        <w:ind w:left="360"/>
        <w:rPr>
          <w:rFonts w:eastAsia="Calibri"/>
        </w:rPr>
      </w:pPr>
    </w:p>
    <w:p w:rsidR="00A707CC" w:rsidRPr="00442A07" w:rsidP="00442A07" w14:paraId="4B6B6271" w14:textId="14F322B4">
      <w:pPr>
        <w:spacing w:after="200"/>
        <w:rPr>
          <w:rFonts w:eastAsia="Calibri"/>
          <w:i/>
          <w:iCs/>
        </w:rPr>
      </w:pPr>
      <w:r w:rsidRPr="00E20735">
        <w:rPr>
          <w:rFonts w:eastAsia="Calibri"/>
          <w:i/>
          <w:iCs/>
        </w:rPr>
        <w:t>12b.  Annualized Cost Burden Estimate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3"/>
        <w:gridCol w:w="1890"/>
        <w:gridCol w:w="1944"/>
        <w:gridCol w:w="2353"/>
      </w:tblGrid>
      <w:tr w14:paraId="25FADF80" w14:textId="77777777" w:rsidTr="00442A07">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53" w:type="dxa"/>
            <w:shd w:val="clear" w:color="auto" w:fill="auto"/>
          </w:tcPr>
          <w:p w:rsidR="00A707CC" w:rsidRPr="00E20735" w:rsidP="00312622" w14:paraId="71AC5C5E" w14:textId="77777777">
            <w:pPr>
              <w:jc w:val="center"/>
              <w:rPr>
                <w:sz w:val="20"/>
                <w:szCs w:val="20"/>
              </w:rPr>
            </w:pPr>
            <w:r w:rsidRPr="00E20735">
              <w:rPr>
                <w:sz w:val="20"/>
                <w:szCs w:val="20"/>
              </w:rPr>
              <w:t>Type of Respondent</w:t>
            </w:r>
          </w:p>
        </w:tc>
        <w:tc>
          <w:tcPr>
            <w:tcW w:w="1890" w:type="dxa"/>
            <w:shd w:val="clear" w:color="auto" w:fill="auto"/>
          </w:tcPr>
          <w:p w:rsidR="00A707CC" w:rsidRPr="00E20735" w:rsidP="00312622" w14:paraId="7C6081BF" w14:textId="77777777">
            <w:pPr>
              <w:jc w:val="center"/>
              <w:rPr>
                <w:sz w:val="20"/>
                <w:szCs w:val="20"/>
              </w:rPr>
            </w:pPr>
            <w:r w:rsidRPr="00E20735">
              <w:rPr>
                <w:sz w:val="20"/>
                <w:szCs w:val="20"/>
              </w:rPr>
              <w:t>Total Burden Hours</w:t>
            </w:r>
          </w:p>
        </w:tc>
        <w:tc>
          <w:tcPr>
            <w:tcW w:w="1944" w:type="dxa"/>
            <w:shd w:val="clear" w:color="auto" w:fill="auto"/>
          </w:tcPr>
          <w:p w:rsidR="00A707CC" w:rsidRPr="00E20735" w:rsidP="00312622" w14:paraId="1D5E897B" w14:textId="77777777">
            <w:pPr>
              <w:jc w:val="center"/>
              <w:rPr>
                <w:sz w:val="20"/>
                <w:szCs w:val="20"/>
              </w:rPr>
            </w:pPr>
            <w:r w:rsidRPr="00E20735">
              <w:rPr>
                <w:sz w:val="20"/>
                <w:szCs w:val="20"/>
              </w:rPr>
              <w:t>Hourly Wage Rate</w:t>
            </w:r>
          </w:p>
        </w:tc>
        <w:tc>
          <w:tcPr>
            <w:tcW w:w="2353" w:type="dxa"/>
            <w:shd w:val="clear" w:color="auto" w:fill="auto"/>
          </w:tcPr>
          <w:p w:rsidR="00A707CC" w:rsidRPr="00E20735" w:rsidP="00312622" w14:paraId="4ECCE85C" w14:textId="77777777">
            <w:pPr>
              <w:jc w:val="center"/>
              <w:rPr>
                <w:sz w:val="20"/>
                <w:szCs w:val="20"/>
              </w:rPr>
            </w:pPr>
            <w:r w:rsidRPr="00E20735">
              <w:rPr>
                <w:sz w:val="20"/>
                <w:szCs w:val="20"/>
              </w:rPr>
              <w:t>Total Respondent Costs</w:t>
            </w:r>
          </w:p>
        </w:tc>
      </w:tr>
      <w:tr w14:paraId="4F3FEDB8" w14:textId="77777777" w:rsidTr="00442A07">
        <w:tblPrEx>
          <w:tblW w:w="9540" w:type="dxa"/>
          <w:tblInd w:w="-5" w:type="dxa"/>
          <w:tblLook w:val="01E0"/>
        </w:tblPrEx>
        <w:tc>
          <w:tcPr>
            <w:tcW w:w="3353" w:type="dxa"/>
            <w:shd w:val="clear" w:color="auto" w:fill="auto"/>
          </w:tcPr>
          <w:p w:rsidR="00A707CC" w:rsidRPr="00E20735" w:rsidP="00312622" w14:paraId="245CEF51" w14:textId="77777777">
            <w:pPr>
              <w:rPr>
                <w:sz w:val="20"/>
                <w:szCs w:val="20"/>
              </w:rPr>
            </w:pPr>
            <w:r w:rsidRPr="00E20735">
              <w:rPr>
                <w:sz w:val="20"/>
                <w:szCs w:val="20"/>
              </w:rPr>
              <w:t>Industry Compliance Officer</w:t>
            </w:r>
          </w:p>
        </w:tc>
        <w:tc>
          <w:tcPr>
            <w:tcW w:w="1890" w:type="dxa"/>
            <w:shd w:val="clear" w:color="auto" w:fill="auto"/>
          </w:tcPr>
          <w:p w:rsidR="00A707CC" w:rsidRPr="00E20735" w:rsidP="00312622" w14:paraId="1C55CAA6" w14:textId="77777777">
            <w:pPr>
              <w:rPr>
                <w:sz w:val="20"/>
                <w:szCs w:val="20"/>
              </w:rPr>
            </w:pPr>
            <w:r w:rsidRPr="00E20735">
              <w:rPr>
                <w:sz w:val="20"/>
                <w:szCs w:val="20"/>
              </w:rPr>
              <w:t>1,914,412</w:t>
            </w:r>
          </w:p>
        </w:tc>
        <w:tc>
          <w:tcPr>
            <w:tcW w:w="1944" w:type="dxa"/>
            <w:shd w:val="clear" w:color="auto" w:fill="auto"/>
          </w:tcPr>
          <w:p w:rsidR="00A707CC" w:rsidRPr="00E20735" w:rsidP="00312622" w14:paraId="224BFC14" w14:textId="77777777">
            <w:pPr>
              <w:rPr>
                <w:sz w:val="20"/>
                <w:szCs w:val="20"/>
              </w:rPr>
            </w:pPr>
            <w:r w:rsidRPr="00E20735">
              <w:rPr>
                <w:sz w:val="20"/>
                <w:szCs w:val="20"/>
              </w:rPr>
              <w:t>$</w:t>
            </w:r>
            <w:r w:rsidRPr="00E20735" w:rsidR="002140B5">
              <w:rPr>
                <w:sz w:val="20"/>
                <w:szCs w:val="20"/>
              </w:rPr>
              <w:t>55.09</w:t>
            </w:r>
          </w:p>
        </w:tc>
        <w:tc>
          <w:tcPr>
            <w:tcW w:w="2353" w:type="dxa"/>
            <w:shd w:val="clear" w:color="auto" w:fill="auto"/>
          </w:tcPr>
          <w:p w:rsidR="00A707CC" w:rsidRPr="00E20735" w:rsidP="00312622" w14:paraId="58124077" w14:textId="77777777">
            <w:pPr>
              <w:rPr>
                <w:sz w:val="20"/>
                <w:szCs w:val="20"/>
              </w:rPr>
            </w:pPr>
            <w:r w:rsidRPr="00E20735">
              <w:rPr>
                <w:sz w:val="20"/>
                <w:szCs w:val="20"/>
              </w:rPr>
              <w:t>$105,464,957.08</w:t>
            </w:r>
          </w:p>
        </w:tc>
      </w:tr>
    </w:tbl>
    <w:p w:rsidR="002140B5" w:rsidP="00E20735" w14:paraId="628F9989" w14:textId="57FD59B4">
      <w:pPr>
        <w:autoSpaceDE w:val="0"/>
        <w:autoSpaceDN w:val="0"/>
        <w:adjustRightInd w:val="0"/>
        <w:rPr>
          <w:color w:val="000000"/>
          <w:sz w:val="18"/>
          <w:szCs w:val="18"/>
        </w:rPr>
      </w:pPr>
      <w:r>
        <w:rPr>
          <w:color w:val="000000"/>
          <w:sz w:val="12"/>
          <w:szCs w:val="12"/>
        </w:rPr>
        <w:t xml:space="preserve">  </w:t>
      </w:r>
      <w:r>
        <w:rPr>
          <w:color w:val="000000"/>
          <w:sz w:val="12"/>
          <w:szCs w:val="12"/>
        </w:rPr>
        <w:t xml:space="preserve">1 </w:t>
      </w:r>
      <w:r>
        <w:rPr>
          <w:color w:val="000000"/>
          <w:sz w:val="18"/>
          <w:szCs w:val="18"/>
        </w:rPr>
        <w:t>May 2021 National Industry-Specific Occupational Employment and Wage Estimates, Bureau of Labor Statistics and</w:t>
      </w:r>
    </w:p>
    <w:p w:rsidR="002140B5" w:rsidP="00E20735" w14:paraId="3A0219FA" w14:textId="77777777">
      <w:pPr>
        <w:autoSpaceDE w:val="0"/>
        <w:autoSpaceDN w:val="0"/>
        <w:adjustRightInd w:val="0"/>
        <w:rPr>
          <w:color w:val="000000"/>
          <w:sz w:val="18"/>
          <w:szCs w:val="18"/>
        </w:rPr>
      </w:pPr>
      <w:r>
        <w:rPr>
          <w:color w:val="000000"/>
          <w:sz w:val="18"/>
          <w:szCs w:val="18"/>
        </w:rPr>
        <w:t>including 30% for benefits (</w:t>
      </w:r>
      <w:r w:rsidRPr="002140B5">
        <w:rPr>
          <w:color w:val="0563C2"/>
          <w:sz w:val="18"/>
          <w:szCs w:val="18"/>
        </w:rPr>
        <w:t>https://www.bls.gov/oes/current/naics3_325000.htm</w:t>
      </w:r>
      <w:r>
        <w:rPr>
          <w:color w:val="000000"/>
          <w:sz w:val="18"/>
          <w:szCs w:val="18"/>
        </w:rPr>
        <w:t>).</w:t>
      </w:r>
    </w:p>
    <w:p w:rsidR="002140B5" w:rsidRPr="00357C8A" w:rsidP="00357C8A" w14:paraId="30A795C1" w14:textId="77777777">
      <w:pPr>
        <w:rPr>
          <w:rFonts w:eastAsia="Calibri"/>
        </w:rPr>
      </w:pPr>
    </w:p>
    <w:p w:rsidR="00AE2DAB" w14:paraId="5F94151A" w14:textId="77777777">
      <w:pPr>
        <w:rPr>
          <w:rFonts w:eastAsia="Calibri"/>
          <w:u w:val="single"/>
        </w:rPr>
      </w:pPr>
      <w:r>
        <w:rPr>
          <w:rFonts w:eastAsia="Calibri"/>
          <w:u w:val="single"/>
        </w:rPr>
        <w:br w:type="page"/>
      </w:r>
    </w:p>
    <w:p w:rsidR="00357C8A" w:rsidRPr="00357C8A" w:rsidP="006705EA" w14:paraId="2828CC6E" w14:textId="4417C958">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752BB7" w14:paraId="40375E18" w14:textId="77777777">
      <w:pPr>
        <w:spacing w:after="200"/>
        <w:rPr>
          <w:rFonts w:eastAsia="Calibri"/>
          <w:u w:val="single"/>
        </w:rPr>
      </w:pPr>
      <w:r>
        <w:rPr>
          <w:rFonts w:eastAsia="Calibri"/>
        </w:rPr>
        <w:t>There are no capital, start-up, operating or maintenance costs associated with this information collection.</w:t>
      </w:r>
    </w:p>
    <w:p w:rsidR="00357C8A" w:rsidRPr="00357C8A" w:rsidP="006705EA" w14:paraId="2721992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4EFD7696" w14:textId="16098286">
      <w:pPr>
        <w:spacing w:after="200"/>
        <w:rPr>
          <w:rFonts w:eastAsia="Calibri"/>
        </w:rPr>
      </w:pPr>
      <w:r>
        <w:t xml:space="preserve">We estimate </w:t>
      </w:r>
      <w:r w:rsidR="00442A07">
        <w:t>Federal government</w:t>
      </w:r>
      <w:r>
        <w:t xml:space="preserve"> costs in the amount of $3,000,000</w:t>
      </w:r>
      <w:r w:rsidR="009507D8">
        <w:t xml:space="preserve"> to reflect a percentage of the agency’s overall expenditures to maintain its adverse event </w:t>
      </w:r>
      <w:r w:rsidR="0055662C">
        <w:t xml:space="preserve">information collection </w:t>
      </w:r>
      <w:r w:rsidR="009507D8">
        <w:t>activities</w:t>
      </w:r>
      <w:r w:rsidR="00B035ED">
        <w:t>.</w:t>
      </w:r>
      <w:r w:rsidRPr="00357C8A">
        <w:rPr>
          <w:rFonts w:eastAsia="Calibri"/>
        </w:rPr>
        <w:t xml:space="preserve"> </w:t>
      </w:r>
    </w:p>
    <w:p w:rsidR="00357C8A" w:rsidP="006705EA" w14:paraId="6CBB3746"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357C8A" w14:paraId="65447003" w14:textId="5DA5988A">
      <w:pPr>
        <w:spacing w:after="200"/>
        <w:rPr>
          <w:rFonts w:eastAsia="Calibri"/>
        </w:rPr>
      </w:pPr>
      <w:r w:rsidRPr="00B035ED">
        <w:rPr>
          <w:szCs w:val="20"/>
        </w:rPr>
        <w:t xml:space="preserve">Upon review of the information collection, we have adjusted our estimated burden to reflect an overall increase of </w:t>
      </w:r>
      <w:r w:rsidR="00331E30">
        <w:rPr>
          <w:szCs w:val="20"/>
        </w:rPr>
        <w:t>1,814,530</w:t>
      </w:r>
      <w:r w:rsidRPr="00B035ED">
        <w:rPr>
          <w:szCs w:val="20"/>
        </w:rPr>
        <w:t xml:space="preserve"> hours and </w:t>
      </w:r>
      <w:r w:rsidR="00331E30">
        <w:rPr>
          <w:szCs w:val="20"/>
        </w:rPr>
        <w:t>2</w:t>
      </w:r>
      <w:r w:rsidR="007A0E40">
        <w:rPr>
          <w:szCs w:val="20"/>
        </w:rPr>
        <w:t>37,951</w:t>
      </w:r>
      <w:r w:rsidRPr="00B035ED">
        <w:rPr>
          <w:szCs w:val="20"/>
        </w:rPr>
        <w:t xml:space="preserve"> responses/records, annually</w:t>
      </w:r>
      <w:r w:rsidR="00C17C97">
        <w:rPr>
          <w:szCs w:val="20"/>
        </w:rPr>
        <w:t xml:space="preserve"> to correspond with current submission data.</w:t>
      </w:r>
    </w:p>
    <w:p w:rsidR="00357C8A" w:rsidRPr="00357C8A" w:rsidP="006705EA" w14:paraId="0D8A1F6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06E34CA6" w14:textId="77777777">
      <w:pPr>
        <w:spacing w:after="200"/>
        <w:rPr>
          <w:rFonts w:eastAsia="Calibri"/>
          <w:color w:val="FF0000"/>
        </w:rPr>
      </w:pPr>
      <w:r w:rsidRPr="005C71CA">
        <w:rPr>
          <w:rFonts w:eastAsia="Calibri"/>
        </w:rPr>
        <w:t>This information collected will not be published or tabulated.</w:t>
      </w:r>
    </w:p>
    <w:p w:rsidR="00357C8A" w:rsidRPr="00357C8A" w:rsidP="006705EA" w14:paraId="59001F72"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74C33985" w14:textId="77777777">
      <w:pPr>
        <w:spacing w:after="200"/>
        <w:rPr>
          <w:rFonts w:eastAsia="Calibri"/>
          <w:color w:val="FF0000"/>
        </w:rPr>
      </w:pPr>
      <w:r w:rsidRPr="00B035ED">
        <w:rPr>
          <w:rFonts w:eastAsia="Calibri"/>
        </w:rPr>
        <w:t>Display of the OMB Expiration Date is appropriate</w:t>
      </w:r>
      <w:r>
        <w:rPr>
          <w:rFonts w:eastAsia="Calibri"/>
        </w:rPr>
        <w:t>.</w:t>
      </w:r>
    </w:p>
    <w:p w:rsidR="00357C8A" w:rsidRPr="00357C8A" w:rsidP="006705EA" w14:paraId="00828CB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2B5E1E61"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C20690" w14:paraId="54C04269" w14:textId="77777777">
      <w:pPr>
        <w:spacing w:after="200"/>
        <w:rPr>
          <w:rFonts w:eastAsia="Calibri"/>
        </w:rPr>
      </w:pPr>
    </w:p>
    <w:sectPr w:rsidSect="00DF58D7">
      <w:footerReference w:type="even" r:id="rId6"/>
      <w:footerReference w:type="default" r:id="rId7"/>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CCBCC6B" w14:textId="78A3C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240">
      <w:rPr>
        <w:rStyle w:val="PageNumber"/>
        <w:noProof/>
      </w:rPr>
      <w:t>2</w:t>
    </w:r>
    <w:r>
      <w:rPr>
        <w:rStyle w:val="PageNumber"/>
      </w:rPr>
      <w:fldChar w:fldCharType="end"/>
    </w:r>
  </w:p>
  <w:p w:rsidR="00E63DE5" w14:paraId="216DE2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6EC582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3FED0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7F3F5B"/>
    <w:multiLevelType w:val="multilevel"/>
    <w:tmpl w:val="7D0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39044227">
    <w:abstractNumId w:val="6"/>
  </w:num>
  <w:num w:numId="2" w16cid:durableId="1191531374">
    <w:abstractNumId w:val="2"/>
  </w:num>
  <w:num w:numId="3" w16cid:durableId="1614745581">
    <w:abstractNumId w:val="7"/>
  </w:num>
  <w:num w:numId="4" w16cid:durableId="543061934">
    <w:abstractNumId w:val="4"/>
  </w:num>
  <w:num w:numId="5" w16cid:durableId="267586113">
    <w:abstractNumId w:val="8"/>
  </w:num>
  <w:num w:numId="6" w16cid:durableId="585505542">
    <w:abstractNumId w:val="0"/>
  </w:num>
  <w:num w:numId="7" w16cid:durableId="1601916149">
    <w:abstractNumId w:val="3"/>
  </w:num>
  <w:num w:numId="8" w16cid:durableId="221912308">
    <w:abstractNumId w:val="5"/>
  </w:num>
  <w:num w:numId="9" w16cid:durableId="9157479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97E"/>
    <w:rsid w:val="000161E3"/>
    <w:rsid w:val="000205F0"/>
    <w:rsid w:val="00030CD2"/>
    <w:rsid w:val="00031A2C"/>
    <w:rsid w:val="00042B93"/>
    <w:rsid w:val="00043C7F"/>
    <w:rsid w:val="000467A8"/>
    <w:rsid w:val="00052521"/>
    <w:rsid w:val="0006570F"/>
    <w:rsid w:val="00075DE8"/>
    <w:rsid w:val="00087439"/>
    <w:rsid w:val="000C1260"/>
    <w:rsid w:val="000C560C"/>
    <w:rsid w:val="000D080B"/>
    <w:rsid w:val="000D48FD"/>
    <w:rsid w:val="000D79CC"/>
    <w:rsid w:val="000E0669"/>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947BF"/>
    <w:rsid w:val="001A3B5A"/>
    <w:rsid w:val="001A458C"/>
    <w:rsid w:val="001B7CE9"/>
    <w:rsid w:val="001D495A"/>
    <w:rsid w:val="001E244C"/>
    <w:rsid w:val="001E61BE"/>
    <w:rsid w:val="001F1437"/>
    <w:rsid w:val="00206799"/>
    <w:rsid w:val="002074FE"/>
    <w:rsid w:val="002140B5"/>
    <w:rsid w:val="0022425B"/>
    <w:rsid w:val="002259EF"/>
    <w:rsid w:val="00242ED1"/>
    <w:rsid w:val="002444BB"/>
    <w:rsid w:val="00254069"/>
    <w:rsid w:val="00270748"/>
    <w:rsid w:val="002734E5"/>
    <w:rsid w:val="002746DB"/>
    <w:rsid w:val="00280CAF"/>
    <w:rsid w:val="00281B5D"/>
    <w:rsid w:val="00282F09"/>
    <w:rsid w:val="00291810"/>
    <w:rsid w:val="00294D62"/>
    <w:rsid w:val="00297532"/>
    <w:rsid w:val="00297FFD"/>
    <w:rsid w:val="002A1210"/>
    <w:rsid w:val="002A47D2"/>
    <w:rsid w:val="002A7FB5"/>
    <w:rsid w:val="002B2074"/>
    <w:rsid w:val="002B4A0E"/>
    <w:rsid w:val="002D14D8"/>
    <w:rsid w:val="002D4799"/>
    <w:rsid w:val="002E3FA4"/>
    <w:rsid w:val="002E53A5"/>
    <w:rsid w:val="002E64B8"/>
    <w:rsid w:val="002E6834"/>
    <w:rsid w:val="003113FF"/>
    <w:rsid w:val="00312622"/>
    <w:rsid w:val="00320167"/>
    <w:rsid w:val="0032277F"/>
    <w:rsid w:val="00331E30"/>
    <w:rsid w:val="00336B69"/>
    <w:rsid w:val="0034302B"/>
    <w:rsid w:val="00350523"/>
    <w:rsid w:val="0035189D"/>
    <w:rsid w:val="00355B62"/>
    <w:rsid w:val="00357C8A"/>
    <w:rsid w:val="003740BC"/>
    <w:rsid w:val="0037456B"/>
    <w:rsid w:val="003801A3"/>
    <w:rsid w:val="00383D90"/>
    <w:rsid w:val="003870AE"/>
    <w:rsid w:val="003A1A27"/>
    <w:rsid w:val="003A50CC"/>
    <w:rsid w:val="003A592F"/>
    <w:rsid w:val="003B42B3"/>
    <w:rsid w:val="003B6384"/>
    <w:rsid w:val="003C0FE2"/>
    <w:rsid w:val="003C4EBB"/>
    <w:rsid w:val="003C7BE3"/>
    <w:rsid w:val="003D1531"/>
    <w:rsid w:val="003E4EC6"/>
    <w:rsid w:val="003E527E"/>
    <w:rsid w:val="003E553E"/>
    <w:rsid w:val="003E7078"/>
    <w:rsid w:val="003F3DF5"/>
    <w:rsid w:val="003F52F2"/>
    <w:rsid w:val="003F73B8"/>
    <w:rsid w:val="0040297E"/>
    <w:rsid w:val="004029CD"/>
    <w:rsid w:val="00411D11"/>
    <w:rsid w:val="00414494"/>
    <w:rsid w:val="00415E23"/>
    <w:rsid w:val="0041670D"/>
    <w:rsid w:val="00423272"/>
    <w:rsid w:val="00424061"/>
    <w:rsid w:val="00442A07"/>
    <w:rsid w:val="00442A3C"/>
    <w:rsid w:val="00443969"/>
    <w:rsid w:val="00447D74"/>
    <w:rsid w:val="00450A74"/>
    <w:rsid w:val="004546BF"/>
    <w:rsid w:val="00465350"/>
    <w:rsid w:val="00476B91"/>
    <w:rsid w:val="004846BF"/>
    <w:rsid w:val="00494912"/>
    <w:rsid w:val="004A5323"/>
    <w:rsid w:val="004A5A99"/>
    <w:rsid w:val="004C253E"/>
    <w:rsid w:val="004C6979"/>
    <w:rsid w:val="004D13A2"/>
    <w:rsid w:val="004D3E7A"/>
    <w:rsid w:val="004F594B"/>
    <w:rsid w:val="004F61E1"/>
    <w:rsid w:val="0053380B"/>
    <w:rsid w:val="00543194"/>
    <w:rsid w:val="00544138"/>
    <w:rsid w:val="00554E34"/>
    <w:rsid w:val="0055662C"/>
    <w:rsid w:val="00583240"/>
    <w:rsid w:val="00584583"/>
    <w:rsid w:val="00590E90"/>
    <w:rsid w:val="00590EEB"/>
    <w:rsid w:val="005A4099"/>
    <w:rsid w:val="005C38B2"/>
    <w:rsid w:val="005C5029"/>
    <w:rsid w:val="005C55C2"/>
    <w:rsid w:val="005C71CA"/>
    <w:rsid w:val="005C745C"/>
    <w:rsid w:val="005D4DF5"/>
    <w:rsid w:val="005D66E5"/>
    <w:rsid w:val="005E42BA"/>
    <w:rsid w:val="00611D6B"/>
    <w:rsid w:val="00625CFD"/>
    <w:rsid w:val="006326EC"/>
    <w:rsid w:val="00663A42"/>
    <w:rsid w:val="006641C7"/>
    <w:rsid w:val="006705EA"/>
    <w:rsid w:val="00670BE2"/>
    <w:rsid w:val="00671B29"/>
    <w:rsid w:val="00681545"/>
    <w:rsid w:val="006916D9"/>
    <w:rsid w:val="006A0E05"/>
    <w:rsid w:val="006A26C6"/>
    <w:rsid w:val="006A465A"/>
    <w:rsid w:val="006A7D5D"/>
    <w:rsid w:val="006D0C12"/>
    <w:rsid w:val="006D5D57"/>
    <w:rsid w:val="006E2538"/>
    <w:rsid w:val="006E302F"/>
    <w:rsid w:val="006E3E60"/>
    <w:rsid w:val="006F4D6D"/>
    <w:rsid w:val="006F7896"/>
    <w:rsid w:val="00705086"/>
    <w:rsid w:val="00722001"/>
    <w:rsid w:val="00744525"/>
    <w:rsid w:val="0075072C"/>
    <w:rsid w:val="00751E66"/>
    <w:rsid w:val="00752BB7"/>
    <w:rsid w:val="00754497"/>
    <w:rsid w:val="00773201"/>
    <w:rsid w:val="00787C39"/>
    <w:rsid w:val="00792947"/>
    <w:rsid w:val="00795DF3"/>
    <w:rsid w:val="007A0E40"/>
    <w:rsid w:val="007A373C"/>
    <w:rsid w:val="007B225C"/>
    <w:rsid w:val="007C75B1"/>
    <w:rsid w:val="007D3DFC"/>
    <w:rsid w:val="007E2F07"/>
    <w:rsid w:val="007E59A8"/>
    <w:rsid w:val="0080776D"/>
    <w:rsid w:val="00810145"/>
    <w:rsid w:val="008108FA"/>
    <w:rsid w:val="00810FF1"/>
    <w:rsid w:val="00822336"/>
    <w:rsid w:val="00823DFA"/>
    <w:rsid w:val="00824DE0"/>
    <w:rsid w:val="00842DB7"/>
    <w:rsid w:val="00843752"/>
    <w:rsid w:val="0084479F"/>
    <w:rsid w:val="0085725E"/>
    <w:rsid w:val="00867566"/>
    <w:rsid w:val="00873D4F"/>
    <w:rsid w:val="0087509F"/>
    <w:rsid w:val="00880D20"/>
    <w:rsid w:val="00885B09"/>
    <w:rsid w:val="00892400"/>
    <w:rsid w:val="008A209D"/>
    <w:rsid w:val="008A22BB"/>
    <w:rsid w:val="008B035D"/>
    <w:rsid w:val="008B0E29"/>
    <w:rsid w:val="008B0ED2"/>
    <w:rsid w:val="008B0EFA"/>
    <w:rsid w:val="008B30AB"/>
    <w:rsid w:val="008C3BB8"/>
    <w:rsid w:val="008C40C6"/>
    <w:rsid w:val="008C4B65"/>
    <w:rsid w:val="008E33DA"/>
    <w:rsid w:val="008E5F55"/>
    <w:rsid w:val="009009E7"/>
    <w:rsid w:val="00905DEF"/>
    <w:rsid w:val="00906056"/>
    <w:rsid w:val="009122AE"/>
    <w:rsid w:val="00913B43"/>
    <w:rsid w:val="0091759C"/>
    <w:rsid w:val="00930203"/>
    <w:rsid w:val="009311D2"/>
    <w:rsid w:val="009311E6"/>
    <w:rsid w:val="00931275"/>
    <w:rsid w:val="00936AC7"/>
    <w:rsid w:val="00947761"/>
    <w:rsid w:val="00950230"/>
    <w:rsid w:val="009507D8"/>
    <w:rsid w:val="00953B64"/>
    <w:rsid w:val="009646A7"/>
    <w:rsid w:val="00970A88"/>
    <w:rsid w:val="009723C9"/>
    <w:rsid w:val="00974E6F"/>
    <w:rsid w:val="009818A1"/>
    <w:rsid w:val="009A1674"/>
    <w:rsid w:val="009A6E71"/>
    <w:rsid w:val="009B38BE"/>
    <w:rsid w:val="009B4DF2"/>
    <w:rsid w:val="009C24F5"/>
    <w:rsid w:val="009C684F"/>
    <w:rsid w:val="009D074C"/>
    <w:rsid w:val="009D2BE6"/>
    <w:rsid w:val="009D6E73"/>
    <w:rsid w:val="009F1F1D"/>
    <w:rsid w:val="009F2B4F"/>
    <w:rsid w:val="009F3C63"/>
    <w:rsid w:val="009F66B5"/>
    <w:rsid w:val="009F7DDD"/>
    <w:rsid w:val="00A02F10"/>
    <w:rsid w:val="00A1060C"/>
    <w:rsid w:val="00A16221"/>
    <w:rsid w:val="00A20A7D"/>
    <w:rsid w:val="00A24782"/>
    <w:rsid w:val="00A35D42"/>
    <w:rsid w:val="00A41E6D"/>
    <w:rsid w:val="00A46CCF"/>
    <w:rsid w:val="00A506DE"/>
    <w:rsid w:val="00A53451"/>
    <w:rsid w:val="00A70426"/>
    <w:rsid w:val="00A707CC"/>
    <w:rsid w:val="00A71410"/>
    <w:rsid w:val="00A91E9A"/>
    <w:rsid w:val="00A93ED9"/>
    <w:rsid w:val="00A96221"/>
    <w:rsid w:val="00AB554A"/>
    <w:rsid w:val="00AC2DBB"/>
    <w:rsid w:val="00AC6A99"/>
    <w:rsid w:val="00AD1C73"/>
    <w:rsid w:val="00AD6048"/>
    <w:rsid w:val="00AE2DAB"/>
    <w:rsid w:val="00AF0A45"/>
    <w:rsid w:val="00B020A4"/>
    <w:rsid w:val="00B035ED"/>
    <w:rsid w:val="00B055EF"/>
    <w:rsid w:val="00B06B5B"/>
    <w:rsid w:val="00B23769"/>
    <w:rsid w:val="00B41789"/>
    <w:rsid w:val="00B45D8F"/>
    <w:rsid w:val="00B76A2C"/>
    <w:rsid w:val="00B81808"/>
    <w:rsid w:val="00B86DFA"/>
    <w:rsid w:val="00B91606"/>
    <w:rsid w:val="00B924EE"/>
    <w:rsid w:val="00B936D0"/>
    <w:rsid w:val="00BA5A10"/>
    <w:rsid w:val="00BB15FB"/>
    <w:rsid w:val="00BB40D9"/>
    <w:rsid w:val="00BD3D5B"/>
    <w:rsid w:val="00BE3600"/>
    <w:rsid w:val="00C01F6F"/>
    <w:rsid w:val="00C041EA"/>
    <w:rsid w:val="00C13BBD"/>
    <w:rsid w:val="00C149AB"/>
    <w:rsid w:val="00C16929"/>
    <w:rsid w:val="00C17C97"/>
    <w:rsid w:val="00C20690"/>
    <w:rsid w:val="00C3334A"/>
    <w:rsid w:val="00C36020"/>
    <w:rsid w:val="00C40694"/>
    <w:rsid w:val="00C40A0D"/>
    <w:rsid w:val="00C479BF"/>
    <w:rsid w:val="00C5124B"/>
    <w:rsid w:val="00C70542"/>
    <w:rsid w:val="00C75CBF"/>
    <w:rsid w:val="00C81C0B"/>
    <w:rsid w:val="00C8650D"/>
    <w:rsid w:val="00CC2894"/>
    <w:rsid w:val="00CD77C3"/>
    <w:rsid w:val="00CE112C"/>
    <w:rsid w:val="00CE38C5"/>
    <w:rsid w:val="00CF55D4"/>
    <w:rsid w:val="00D0402C"/>
    <w:rsid w:val="00D608DA"/>
    <w:rsid w:val="00D730BF"/>
    <w:rsid w:val="00D852F4"/>
    <w:rsid w:val="00D94B4B"/>
    <w:rsid w:val="00DB1110"/>
    <w:rsid w:val="00DB3730"/>
    <w:rsid w:val="00DC371B"/>
    <w:rsid w:val="00DC3788"/>
    <w:rsid w:val="00DC76C7"/>
    <w:rsid w:val="00DD09F5"/>
    <w:rsid w:val="00DD0E02"/>
    <w:rsid w:val="00DD4201"/>
    <w:rsid w:val="00DD5E9F"/>
    <w:rsid w:val="00DE405F"/>
    <w:rsid w:val="00DE5711"/>
    <w:rsid w:val="00DF58D7"/>
    <w:rsid w:val="00E00EA0"/>
    <w:rsid w:val="00E021CB"/>
    <w:rsid w:val="00E138F1"/>
    <w:rsid w:val="00E20735"/>
    <w:rsid w:val="00E2309D"/>
    <w:rsid w:val="00E26758"/>
    <w:rsid w:val="00E4357B"/>
    <w:rsid w:val="00E443A7"/>
    <w:rsid w:val="00E45904"/>
    <w:rsid w:val="00E63DE5"/>
    <w:rsid w:val="00E647AF"/>
    <w:rsid w:val="00E647C7"/>
    <w:rsid w:val="00E65A37"/>
    <w:rsid w:val="00E65EF7"/>
    <w:rsid w:val="00E72E8E"/>
    <w:rsid w:val="00E77B48"/>
    <w:rsid w:val="00E857FB"/>
    <w:rsid w:val="00E91799"/>
    <w:rsid w:val="00E97DF8"/>
    <w:rsid w:val="00EA21FE"/>
    <w:rsid w:val="00EA34E3"/>
    <w:rsid w:val="00EB7538"/>
    <w:rsid w:val="00EC1868"/>
    <w:rsid w:val="00EE6468"/>
    <w:rsid w:val="00F109F8"/>
    <w:rsid w:val="00F1299B"/>
    <w:rsid w:val="00F207A4"/>
    <w:rsid w:val="00F25173"/>
    <w:rsid w:val="00F355AC"/>
    <w:rsid w:val="00F40CF7"/>
    <w:rsid w:val="00F4262A"/>
    <w:rsid w:val="00F44194"/>
    <w:rsid w:val="00F71A5A"/>
    <w:rsid w:val="00F73A1A"/>
    <w:rsid w:val="00F769E0"/>
    <w:rsid w:val="00FA4A46"/>
    <w:rsid w:val="00FA7287"/>
    <w:rsid w:val="00FA75FE"/>
    <w:rsid w:val="00FB1032"/>
    <w:rsid w:val="00FB39BC"/>
    <w:rsid w:val="00FB6A53"/>
    <w:rsid w:val="00FB6E6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15E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2B4A0E"/>
    <w:rPr>
      <w:sz w:val="24"/>
      <w:szCs w:val="24"/>
    </w:rPr>
  </w:style>
  <w:style w:type="character" w:styleId="CommentReference">
    <w:name w:val="annotation reference"/>
    <w:rsid w:val="00B924EE"/>
    <w:rPr>
      <w:sz w:val="16"/>
      <w:szCs w:val="16"/>
    </w:rPr>
  </w:style>
  <w:style w:type="paragraph" w:styleId="CommentText">
    <w:name w:val="annotation text"/>
    <w:basedOn w:val="Normal"/>
    <w:link w:val="CommentTextChar"/>
    <w:rsid w:val="00B924EE"/>
    <w:rPr>
      <w:sz w:val="20"/>
      <w:szCs w:val="20"/>
    </w:rPr>
  </w:style>
  <w:style w:type="character" w:customStyle="1" w:styleId="CommentTextChar">
    <w:name w:val="Comment Text Char"/>
    <w:basedOn w:val="DefaultParagraphFont"/>
    <w:link w:val="CommentText"/>
    <w:rsid w:val="00B9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animal-veterinary/report-problem/veterinary-adverse-event-reporting-manufacturers" TargetMode="External" /><Relationship Id="rId5" Type="http://schemas.openxmlformats.org/officeDocument/2006/relationships/hyperlink" Target="https://fda.sharepoint.com/sites/OC-Intranet-OC-OO-OEMS-DIG-Paperwork-Reduction/Shared%20Documents/www.fda.gov/ForIndustry/SmallBusinessAssistance/defaul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2023-06-30T14:36:00Z</dcterms:created>
  <dcterms:modified xsi:type="dcterms:W3CDTF">2023-06-30T14:38:00Z</dcterms:modified>
</cp:coreProperties>
</file>