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10F1" w:rsidRPr="00557B0B" w:rsidP="00B65660" w14:paraId="766B336E" w14:textId="77777777">
      <w:pPr>
        <w:pStyle w:val="BodyText"/>
        <w:spacing w:line="240" w:lineRule="auto"/>
        <w:rPr>
          <w:rFonts w:ascii="Times New Roman" w:hAnsi="Times New Roman" w:cs="Times New Roman"/>
          <w:bCs w:val="0"/>
          <w:sz w:val="28"/>
          <w:szCs w:val="28"/>
        </w:rPr>
      </w:pPr>
      <w:r w:rsidRPr="00557B0B">
        <w:rPr>
          <w:rFonts w:ascii="Times New Roman" w:hAnsi="Times New Roman" w:cs="Times New Roman"/>
          <w:bCs w:val="0"/>
          <w:sz w:val="28"/>
          <w:szCs w:val="28"/>
        </w:rPr>
        <w:t>Supporting Statement</w:t>
      </w:r>
    </w:p>
    <w:p w:rsidR="002F53FD" w:rsidRPr="00236F36" w:rsidP="00B65660" w14:paraId="09A0FB13" w14:textId="77777777">
      <w:pPr>
        <w:pStyle w:val="BodyText"/>
        <w:spacing w:line="240" w:lineRule="auto"/>
        <w:rPr>
          <w:rFonts w:ascii="Times New Roman" w:hAnsi="Times New Roman" w:cs="Times New Roman"/>
          <w:sz w:val="28"/>
          <w:szCs w:val="28"/>
        </w:rPr>
      </w:pPr>
      <w:r w:rsidRPr="00236F36">
        <w:rPr>
          <w:rFonts w:ascii="Times New Roman" w:hAnsi="Times New Roman" w:cs="Times New Roman"/>
          <w:sz w:val="28"/>
          <w:szCs w:val="28"/>
        </w:rPr>
        <w:t xml:space="preserve">Ryan White HIV/AIDS </w:t>
      </w:r>
      <w:r w:rsidRPr="00236F36" w:rsidR="00376B85">
        <w:rPr>
          <w:rFonts w:ascii="Times New Roman" w:hAnsi="Times New Roman" w:cs="Times New Roman"/>
          <w:sz w:val="28"/>
          <w:szCs w:val="28"/>
        </w:rPr>
        <w:t xml:space="preserve">Program </w:t>
      </w:r>
      <w:r w:rsidRPr="00236F36" w:rsidR="00236F36">
        <w:rPr>
          <w:rFonts w:ascii="Times New Roman" w:hAnsi="Times New Roman" w:cs="Times New Roman"/>
          <w:sz w:val="28"/>
          <w:szCs w:val="28"/>
        </w:rPr>
        <w:t xml:space="preserve">Part </w:t>
      </w:r>
      <w:r w:rsidRPr="00236F36" w:rsidR="00236F36">
        <w:rPr>
          <w:rFonts w:ascii="Times New Roman" w:hAnsi="Times New Roman" w:cs="Times New Roman"/>
          <w:sz w:val="28"/>
          <w:szCs w:val="28"/>
        </w:rPr>
        <w:t>F</w:t>
      </w:r>
      <w:r w:rsidRPr="00236F36" w:rsidR="00236F36">
        <w:rPr>
          <w:rFonts w:ascii="Times New Roman" w:hAnsi="Times New Roman" w:cs="Times New Roman"/>
          <w:sz w:val="28"/>
          <w:szCs w:val="28"/>
        </w:rPr>
        <w:t xml:space="preserve"> </w:t>
      </w:r>
      <w:r w:rsidRPr="00236F36">
        <w:rPr>
          <w:rFonts w:ascii="Times New Roman" w:hAnsi="Times New Roman" w:cs="Times New Roman"/>
          <w:sz w:val="28"/>
          <w:szCs w:val="28"/>
        </w:rPr>
        <w:t>De</w:t>
      </w:r>
      <w:r w:rsidRPr="00236F36" w:rsidR="006D7A24">
        <w:rPr>
          <w:rFonts w:ascii="Times New Roman" w:hAnsi="Times New Roman" w:cs="Times New Roman"/>
          <w:sz w:val="28"/>
          <w:szCs w:val="28"/>
        </w:rPr>
        <w:t xml:space="preserve">ntal Services Report </w:t>
      </w:r>
    </w:p>
    <w:p w:rsidR="002F53FD" w:rsidRPr="00557B0B" w:rsidP="009338B1" w14:paraId="7FCCC1F8" w14:textId="77777777">
      <w:pPr>
        <w:pStyle w:val="Title"/>
        <w:rPr>
          <w:rStyle w:val="BodyTextFi"/>
          <w:rFonts w:ascii="Times New Roman" w:hAnsi="Times New Roman" w:cs="Times New Roman"/>
          <w:bCs w:val="0"/>
          <w:caps w:val="0"/>
          <w:szCs w:val="28"/>
        </w:rPr>
      </w:pPr>
      <w:r w:rsidRPr="00557B0B">
        <w:rPr>
          <w:rStyle w:val="BodyTextFi"/>
          <w:rFonts w:ascii="Times New Roman" w:hAnsi="Times New Roman" w:cs="Times New Roman"/>
          <w:bCs w:val="0"/>
          <w:caps w:val="0"/>
          <w:szCs w:val="28"/>
        </w:rPr>
        <w:t>OMB Control No. 0915-0151</w:t>
      </w:r>
    </w:p>
    <w:p w:rsidR="00236F36" w:rsidRPr="00236F36" w:rsidP="00236F36" w14:paraId="6D3A3E87" w14:textId="77777777">
      <w:pPr>
        <w:pStyle w:val="Title"/>
        <w:jc w:val="left"/>
        <w:rPr>
          <w:rStyle w:val="BodyTextFi"/>
          <w:rFonts w:ascii="Times New Roman" w:hAnsi="Times New Roman" w:cs="Times New Roman"/>
          <w:b w:val="0"/>
          <w:caps w:val="0"/>
          <w:sz w:val="24"/>
          <w:szCs w:val="24"/>
        </w:rPr>
      </w:pPr>
      <w:r w:rsidRPr="00236F36">
        <w:rPr>
          <w:rStyle w:val="BodyTextFi"/>
          <w:rFonts w:ascii="Times New Roman" w:hAnsi="Times New Roman" w:cs="Times New Roman"/>
          <w:caps w:val="0"/>
          <w:sz w:val="24"/>
          <w:szCs w:val="24"/>
        </w:rPr>
        <w:t>Terms of Clearance:</w:t>
      </w:r>
      <w:r w:rsidRPr="00236F36">
        <w:rPr>
          <w:rStyle w:val="BodyTextFi"/>
          <w:rFonts w:ascii="Times New Roman" w:hAnsi="Times New Roman" w:cs="Times New Roman"/>
          <w:b w:val="0"/>
          <w:caps w:val="0"/>
          <w:sz w:val="24"/>
          <w:szCs w:val="24"/>
        </w:rPr>
        <w:t xml:space="preserve"> None</w:t>
      </w:r>
    </w:p>
    <w:p w:rsidR="002F53FD" w:rsidRPr="00236F36" w:rsidP="009338B1" w14:paraId="6E7DAF8F" w14:textId="77777777">
      <w:pPr>
        <w:pStyle w:val="Heading1"/>
        <w:spacing w:line="240" w:lineRule="auto"/>
        <w:rPr>
          <w:rFonts w:cs="Times New Roman"/>
          <w:sz w:val="24"/>
          <w:szCs w:val="24"/>
        </w:rPr>
      </w:pPr>
      <w:bookmarkStart w:id="0" w:name="_Toc46022708"/>
      <w:r w:rsidRPr="00236F36">
        <w:rPr>
          <w:rFonts w:cs="Times New Roman"/>
          <w:sz w:val="24"/>
          <w:szCs w:val="24"/>
        </w:rPr>
        <w:t>A.</w:t>
      </w:r>
      <w:r w:rsidRPr="00236F36">
        <w:rPr>
          <w:rFonts w:cs="Times New Roman"/>
          <w:sz w:val="24"/>
          <w:szCs w:val="24"/>
        </w:rPr>
        <w:tab/>
        <w:t>Justification</w:t>
      </w:r>
      <w:bookmarkEnd w:id="0"/>
    </w:p>
    <w:p w:rsidR="002F53FD" w:rsidRPr="00236F36" w:rsidP="009338B1" w14:paraId="66C4FE27" w14:textId="2C5130A5">
      <w:pPr>
        <w:pStyle w:val="Heading2"/>
        <w:spacing w:line="240" w:lineRule="auto"/>
        <w:rPr>
          <w:rFonts w:cs="Times New Roman"/>
          <w:szCs w:val="24"/>
        </w:rPr>
      </w:pPr>
      <w:bookmarkStart w:id="1" w:name="_Toc46022709"/>
      <w:r w:rsidRPr="00236F36">
        <w:rPr>
          <w:rFonts w:cs="Times New Roman"/>
          <w:szCs w:val="24"/>
        </w:rPr>
        <w:t>1.</w:t>
      </w:r>
      <w:r w:rsidRPr="00236F36">
        <w:rPr>
          <w:rFonts w:cs="Times New Roman"/>
          <w:szCs w:val="24"/>
        </w:rPr>
        <w:tab/>
      </w:r>
      <w:r w:rsidRPr="00236F36">
        <w:rPr>
          <w:rFonts w:cs="Times New Roman"/>
          <w:szCs w:val="24"/>
          <w:u w:val="single"/>
        </w:rPr>
        <w:t xml:space="preserve">Circumstances </w:t>
      </w:r>
      <w:r w:rsidR="00236F36">
        <w:rPr>
          <w:rFonts w:cs="Times New Roman"/>
          <w:szCs w:val="24"/>
          <w:u w:val="single"/>
        </w:rPr>
        <w:t xml:space="preserve">Making the Collection of </w:t>
      </w:r>
      <w:r w:rsidRPr="00236F36">
        <w:rPr>
          <w:rFonts w:cs="Times New Roman"/>
          <w:szCs w:val="24"/>
          <w:u w:val="single"/>
        </w:rPr>
        <w:t xml:space="preserve">Information </w:t>
      </w:r>
      <w:bookmarkEnd w:id="1"/>
      <w:r w:rsidR="00236F36">
        <w:rPr>
          <w:rFonts w:cs="Times New Roman"/>
          <w:szCs w:val="24"/>
          <w:u w:val="single"/>
        </w:rPr>
        <w:t>Necessary</w:t>
      </w:r>
    </w:p>
    <w:p w:rsidR="00934456" w:rsidP="00D65D38" w14:paraId="4627D530" w14:textId="73C5280F">
      <w:pPr>
        <w:spacing w:after="0" w:line="240" w:lineRule="auto"/>
        <w:rPr>
          <w:rStyle w:val="BodyTextFi"/>
        </w:rPr>
      </w:pPr>
      <w:r>
        <w:rPr>
          <w:rStyle w:val="BodyTextFi"/>
        </w:rPr>
        <w:t>T</w:t>
      </w:r>
      <w:r w:rsidRPr="00236F36">
        <w:rPr>
          <w:rStyle w:val="BodyTextFi"/>
        </w:rPr>
        <w:t>he Health Resources and Services Administration’s (HRSA</w:t>
      </w:r>
      <w:r w:rsidR="00C02C85">
        <w:rPr>
          <w:rStyle w:val="BodyTextFi"/>
        </w:rPr>
        <w:t>)</w:t>
      </w:r>
      <w:r w:rsidRPr="00236F36" w:rsidR="002F53FD">
        <w:rPr>
          <w:rStyle w:val="BodyTextFi"/>
        </w:rPr>
        <w:t xml:space="preserve"> </w:t>
      </w:r>
      <w:r w:rsidR="00BF0B0A">
        <w:rPr>
          <w:rStyle w:val="BodyTextFi"/>
        </w:rPr>
        <w:t xml:space="preserve">HIV/AIDS Bureau (HAB) </w:t>
      </w:r>
      <w:r w:rsidRPr="00236F36" w:rsidR="002F53FD">
        <w:rPr>
          <w:rStyle w:val="BodyTextFi"/>
        </w:rPr>
        <w:t xml:space="preserve">is </w:t>
      </w:r>
      <w:r w:rsidRPr="00236F36" w:rsidR="006D7A24">
        <w:rPr>
          <w:rStyle w:val="BodyTextFi"/>
        </w:rPr>
        <w:t>request</w:t>
      </w:r>
      <w:r>
        <w:rPr>
          <w:rStyle w:val="BodyTextFi"/>
        </w:rPr>
        <w:t>ing</w:t>
      </w:r>
      <w:r w:rsidRPr="00236F36" w:rsidR="006D7A24">
        <w:rPr>
          <w:rStyle w:val="BodyTextFi"/>
        </w:rPr>
        <w:t xml:space="preserve"> </w:t>
      </w:r>
      <w:r>
        <w:rPr>
          <w:rStyle w:val="BodyTextFi"/>
        </w:rPr>
        <w:t>from the Office of Management and Budget (</w:t>
      </w:r>
      <w:r w:rsidRPr="00236F36" w:rsidR="006D7A24">
        <w:rPr>
          <w:rStyle w:val="BodyTextFi"/>
        </w:rPr>
        <w:t>OMB</w:t>
      </w:r>
      <w:r>
        <w:rPr>
          <w:rStyle w:val="BodyTextFi"/>
        </w:rPr>
        <w:t xml:space="preserve">) </w:t>
      </w:r>
      <w:r w:rsidRPr="00236F36" w:rsidR="006D7A24">
        <w:rPr>
          <w:rStyle w:val="BodyTextFi"/>
        </w:rPr>
        <w:t xml:space="preserve">approval </w:t>
      </w:r>
      <w:r w:rsidR="00C02C85">
        <w:rPr>
          <w:rStyle w:val="BodyTextFi"/>
        </w:rPr>
        <w:t>of</w:t>
      </w:r>
      <w:r w:rsidRPr="00236F36" w:rsidR="00C02C85">
        <w:rPr>
          <w:rStyle w:val="BodyTextFi"/>
        </w:rPr>
        <w:t xml:space="preserve"> </w:t>
      </w:r>
      <w:r w:rsidRPr="00236F36" w:rsidR="006D7A24">
        <w:rPr>
          <w:rStyle w:val="BodyTextFi"/>
        </w:rPr>
        <w:t>a</w:t>
      </w:r>
      <w:r w:rsidR="007825D7">
        <w:rPr>
          <w:rStyle w:val="BodyTextFi"/>
        </w:rPr>
        <w:t xml:space="preserve">n extension with minor revisions </w:t>
      </w:r>
      <w:r w:rsidRPr="00236F36" w:rsidR="00717BD1">
        <w:rPr>
          <w:rStyle w:val="BodyTextFi"/>
        </w:rPr>
        <w:t>to</w:t>
      </w:r>
      <w:r w:rsidRPr="00236F36" w:rsidR="006D7A24">
        <w:rPr>
          <w:rStyle w:val="BodyTextFi"/>
        </w:rPr>
        <w:t xml:space="preserve"> </w:t>
      </w:r>
      <w:r w:rsidR="00C02C85">
        <w:rPr>
          <w:rStyle w:val="BodyTextFi"/>
        </w:rPr>
        <w:t xml:space="preserve">the </w:t>
      </w:r>
      <w:r>
        <w:rPr>
          <w:rStyle w:val="BodyTextFi"/>
        </w:rPr>
        <w:t xml:space="preserve">Ryan White HIV/AIDS Program </w:t>
      </w:r>
      <w:r w:rsidR="004A7B45">
        <w:rPr>
          <w:rStyle w:val="BodyTextFi"/>
        </w:rPr>
        <w:t xml:space="preserve">(RWHAP) </w:t>
      </w:r>
      <w:r w:rsidRPr="00236F36" w:rsidR="002F53FD">
        <w:rPr>
          <w:rStyle w:val="BodyTextFi"/>
        </w:rPr>
        <w:t xml:space="preserve">Dental Services </w:t>
      </w:r>
      <w:r w:rsidR="00A971D5">
        <w:rPr>
          <w:rStyle w:val="BodyTextFi"/>
        </w:rPr>
        <w:t xml:space="preserve">Report </w:t>
      </w:r>
      <w:r w:rsidR="0023266F">
        <w:rPr>
          <w:rStyle w:val="BodyTextFi"/>
        </w:rPr>
        <w:t>(DSR)</w:t>
      </w:r>
      <w:r w:rsidRPr="00236F36" w:rsidR="00C02C85">
        <w:rPr>
          <w:rStyle w:val="BodyTextFi"/>
        </w:rPr>
        <w:t xml:space="preserve"> </w:t>
      </w:r>
      <w:r w:rsidR="00A971D5">
        <w:rPr>
          <w:rStyle w:val="BodyTextFi"/>
        </w:rPr>
        <w:t>form</w:t>
      </w:r>
      <w:r w:rsidR="004A7B45">
        <w:rPr>
          <w:rStyle w:val="BodyTextFi"/>
        </w:rPr>
        <w:t>,</w:t>
      </w:r>
      <w:r w:rsidR="00A971D5">
        <w:rPr>
          <w:rStyle w:val="BodyTextFi"/>
        </w:rPr>
        <w:t xml:space="preserve"> </w:t>
      </w:r>
      <w:r w:rsidRPr="00236F36" w:rsidR="004C0767">
        <w:rPr>
          <w:rStyle w:val="BodyTextFi"/>
        </w:rPr>
        <w:t>which expir</w:t>
      </w:r>
      <w:r w:rsidRPr="00236F36" w:rsidR="006D7A24">
        <w:rPr>
          <w:rStyle w:val="BodyTextFi"/>
        </w:rPr>
        <w:t xml:space="preserve">es </w:t>
      </w:r>
      <w:r w:rsidRPr="00F610F1" w:rsidR="006D7A24">
        <w:rPr>
          <w:rStyle w:val="BodyTextFi"/>
        </w:rPr>
        <w:t>J</w:t>
      </w:r>
      <w:r w:rsidRPr="00F610F1" w:rsidR="00236F36">
        <w:rPr>
          <w:rStyle w:val="BodyTextFi"/>
        </w:rPr>
        <w:t>u</w:t>
      </w:r>
      <w:r w:rsidR="009F3045">
        <w:rPr>
          <w:rStyle w:val="BodyTextFi"/>
        </w:rPr>
        <w:t>ly</w:t>
      </w:r>
      <w:r w:rsidRPr="00F610F1" w:rsidR="006D7A24">
        <w:rPr>
          <w:rStyle w:val="BodyTextFi"/>
        </w:rPr>
        <w:t xml:space="preserve"> 3</w:t>
      </w:r>
      <w:r w:rsidR="009F3045">
        <w:rPr>
          <w:rStyle w:val="BodyTextFi"/>
        </w:rPr>
        <w:t>1</w:t>
      </w:r>
      <w:r w:rsidRPr="00F610F1" w:rsidR="006D7A24">
        <w:rPr>
          <w:rStyle w:val="BodyTextFi"/>
        </w:rPr>
        <w:t xml:space="preserve">, </w:t>
      </w:r>
      <w:r w:rsidR="00D65D38">
        <w:rPr>
          <w:rStyle w:val="BodyTextFi"/>
        </w:rPr>
        <w:t>202</w:t>
      </w:r>
      <w:r w:rsidR="009F3045">
        <w:rPr>
          <w:rStyle w:val="BodyTextFi"/>
        </w:rPr>
        <w:t>3</w:t>
      </w:r>
      <w:r w:rsidR="00D65D38">
        <w:rPr>
          <w:rStyle w:val="BodyTextFi"/>
        </w:rPr>
        <w:t>.</w:t>
      </w:r>
      <w:r w:rsidRPr="00236F36" w:rsidR="002F53FD">
        <w:rPr>
          <w:rStyle w:val="BodyTextFi"/>
        </w:rPr>
        <w:t xml:space="preserve">  Th</w:t>
      </w:r>
      <w:r w:rsidR="0023266F">
        <w:rPr>
          <w:rStyle w:val="BodyTextFi"/>
        </w:rPr>
        <w:t>e DSR</w:t>
      </w:r>
      <w:r w:rsidRPr="00236F36" w:rsidR="00C02C85">
        <w:rPr>
          <w:rStyle w:val="BodyTextFi"/>
        </w:rPr>
        <w:t xml:space="preserve"> </w:t>
      </w:r>
      <w:r w:rsidR="00C02C85">
        <w:rPr>
          <w:rStyle w:val="BodyTextFi"/>
        </w:rPr>
        <w:t>is</w:t>
      </w:r>
      <w:r w:rsidRPr="00236F36" w:rsidR="00C02C85">
        <w:rPr>
          <w:rStyle w:val="BodyTextFi"/>
        </w:rPr>
        <w:t xml:space="preserve"> </w:t>
      </w:r>
      <w:r w:rsidRPr="00236F36" w:rsidR="002F53FD">
        <w:rPr>
          <w:rStyle w:val="BodyTextFi"/>
        </w:rPr>
        <w:t>used</w:t>
      </w:r>
      <w:r w:rsidRPr="00236F36" w:rsidR="002F53FD">
        <w:rPr>
          <w:rStyle w:val="BodyTextFi"/>
        </w:rPr>
        <w:t xml:space="preserve"> by accredited schools of dentistry, pre- and post-doctoral dental training programs, and dental hygiene education programs to meet the requirements of two oral health services programs under </w:t>
      </w:r>
      <w:r>
        <w:rPr>
          <w:rStyle w:val="BodyTextFi"/>
        </w:rPr>
        <w:t xml:space="preserve">RWHAP Part F.  </w:t>
      </w:r>
      <w:r w:rsidRPr="0049376E" w:rsidR="00C02C85">
        <w:rPr>
          <w:rStyle w:val="BodyTextFi"/>
        </w:rPr>
        <w:t xml:space="preserve">See </w:t>
      </w:r>
      <w:r w:rsidRPr="0049376E" w:rsidR="0023266F">
        <w:rPr>
          <w:rStyle w:val="BodyTextFi"/>
        </w:rPr>
        <w:t xml:space="preserve">Tab A for the legislation, </w:t>
      </w:r>
      <w:r w:rsidRPr="0049376E" w:rsidR="00C02C85">
        <w:rPr>
          <w:rStyle w:val="BodyTextFi"/>
        </w:rPr>
        <w:t xml:space="preserve">Tab </w:t>
      </w:r>
      <w:r w:rsidRPr="0049376E" w:rsidR="0023266F">
        <w:rPr>
          <w:rStyle w:val="BodyTextFi"/>
        </w:rPr>
        <w:t xml:space="preserve">B </w:t>
      </w:r>
      <w:r w:rsidRPr="0049376E" w:rsidR="00C02C85">
        <w:rPr>
          <w:rStyle w:val="BodyTextFi"/>
        </w:rPr>
        <w:t>for the Dental Services Report</w:t>
      </w:r>
      <w:r w:rsidR="004A7B45">
        <w:rPr>
          <w:rStyle w:val="BodyTextFi"/>
        </w:rPr>
        <w:t>,</w:t>
      </w:r>
      <w:r w:rsidRPr="0049376E" w:rsidR="00C02C85">
        <w:rPr>
          <w:rStyle w:val="BodyTextFi"/>
        </w:rPr>
        <w:t xml:space="preserve"> and Tab </w:t>
      </w:r>
      <w:r w:rsidRPr="0049376E" w:rsidR="0023266F">
        <w:rPr>
          <w:rStyle w:val="BodyTextFi"/>
        </w:rPr>
        <w:t xml:space="preserve">C </w:t>
      </w:r>
      <w:r w:rsidRPr="0049376E" w:rsidR="00C02C85">
        <w:rPr>
          <w:rStyle w:val="BodyTextFi"/>
        </w:rPr>
        <w:t>for the instruction manual.</w:t>
      </w:r>
    </w:p>
    <w:p w:rsidR="00BF0B0A" w:rsidP="00934456" w14:paraId="58D6BABC" w14:textId="59E02D02">
      <w:pPr>
        <w:spacing w:after="0" w:line="240" w:lineRule="auto"/>
      </w:pPr>
    </w:p>
    <w:p w:rsidR="00ED5E09" w:rsidP="0061473F" w14:paraId="73AD15DD" w14:textId="6FD300CD">
      <w:pPr>
        <w:spacing w:line="240" w:lineRule="auto"/>
        <w:rPr>
          <w:rStyle w:val="BodyTextFi"/>
        </w:rPr>
      </w:pPr>
      <w:r>
        <w:t xml:space="preserve">The </w:t>
      </w:r>
      <w:r w:rsidR="00BF0B0A">
        <w:t xml:space="preserve">RWHAP </w:t>
      </w:r>
      <w:r w:rsidR="00DD5297">
        <w:rPr>
          <w:rStyle w:val="BodyTextFi"/>
        </w:rPr>
        <w:t xml:space="preserve">Part F </w:t>
      </w:r>
      <w:r w:rsidR="000B67ED">
        <w:rPr>
          <w:rStyle w:val="BodyTextFi"/>
        </w:rPr>
        <w:t>includes</w:t>
      </w:r>
      <w:r w:rsidR="007C3577">
        <w:rPr>
          <w:rStyle w:val="BodyTextFi"/>
        </w:rPr>
        <w:t xml:space="preserve"> </w:t>
      </w:r>
      <w:r w:rsidR="004B78B7">
        <w:rPr>
          <w:rStyle w:val="BodyTextFi"/>
        </w:rPr>
        <w:t xml:space="preserve">two </w:t>
      </w:r>
      <w:r w:rsidR="007C3577">
        <w:rPr>
          <w:rStyle w:val="BodyTextFi"/>
        </w:rPr>
        <w:t xml:space="preserve">oral </w:t>
      </w:r>
      <w:r w:rsidR="000B67ED">
        <w:rPr>
          <w:rStyle w:val="BodyTextFi"/>
        </w:rPr>
        <w:t>health care programs</w:t>
      </w:r>
      <w:r w:rsidR="00AB5B4E">
        <w:rPr>
          <w:rStyle w:val="BodyTextFi"/>
        </w:rPr>
        <w:t>:</w:t>
      </w:r>
      <w:r w:rsidRPr="00F760F6" w:rsidR="007C3577">
        <w:rPr>
          <w:rStyle w:val="BodyTextFi"/>
        </w:rPr>
        <w:t xml:space="preserve"> the </w:t>
      </w:r>
      <w:r w:rsidR="002F53FD">
        <w:rPr>
          <w:rStyle w:val="BodyTextFi"/>
        </w:rPr>
        <w:t>Dental Reimbursement Program (DRP) and the Community-Based Dental Partnership Program (CBDPP)</w:t>
      </w:r>
      <w:r w:rsidR="00C02C85">
        <w:rPr>
          <w:rStyle w:val="BodyTextFi"/>
        </w:rPr>
        <w:t xml:space="preserve">, </w:t>
      </w:r>
      <w:r w:rsidR="009306EC">
        <w:rPr>
          <w:rStyle w:val="BodyTextFi"/>
        </w:rPr>
        <w:t xml:space="preserve">authorized </w:t>
      </w:r>
      <w:r w:rsidRPr="00F760F6" w:rsidR="007C3577">
        <w:rPr>
          <w:rStyle w:val="BodyTextFi"/>
        </w:rPr>
        <w:t xml:space="preserve">to expand the availability of oral health care services to </w:t>
      </w:r>
      <w:r w:rsidR="00AB5B4E">
        <w:rPr>
          <w:rStyle w:val="BodyTextFi"/>
        </w:rPr>
        <w:t>person</w:t>
      </w:r>
      <w:r w:rsidRPr="00F760F6" w:rsidR="00AB5B4E">
        <w:rPr>
          <w:rStyle w:val="BodyTextFi"/>
        </w:rPr>
        <w:t xml:space="preserve">s </w:t>
      </w:r>
      <w:r w:rsidRPr="00F760F6" w:rsidR="007C3577">
        <w:rPr>
          <w:rStyle w:val="BodyTextFi"/>
        </w:rPr>
        <w:t>with HIV.</w:t>
      </w:r>
      <w:r w:rsidR="00BF0B0A">
        <w:rPr>
          <w:rStyle w:val="BodyTextFi"/>
        </w:rPr>
        <w:t xml:space="preserve"> </w:t>
      </w:r>
    </w:p>
    <w:p w:rsidR="00BF0B0A" w:rsidP="0061473F" w14:paraId="01896A7F" w14:textId="0CD2BDB3">
      <w:pPr>
        <w:spacing w:line="240" w:lineRule="auto"/>
        <w:rPr>
          <w:rStyle w:val="BodyTextFi"/>
        </w:rPr>
      </w:pPr>
      <w:r>
        <w:rPr>
          <w:rStyle w:val="BodyTextFi"/>
        </w:rPr>
        <w:t xml:space="preserve">The </w:t>
      </w:r>
      <w:r w:rsidR="0023266F">
        <w:rPr>
          <w:rStyle w:val="BodyTextFi"/>
        </w:rPr>
        <w:t>DRP</w:t>
      </w:r>
      <w:r>
        <w:rPr>
          <w:rStyle w:val="BodyTextFi"/>
        </w:rPr>
        <w:t xml:space="preserve"> reimburses dental education programs for uncompensated funds to provide oral health services to </w:t>
      </w:r>
      <w:r w:rsidR="00AB5B4E">
        <w:rPr>
          <w:rStyle w:val="BodyTextFi"/>
        </w:rPr>
        <w:t xml:space="preserve">persons </w:t>
      </w:r>
      <w:r>
        <w:rPr>
          <w:rStyle w:val="BodyTextFi"/>
        </w:rPr>
        <w:t xml:space="preserve">with HIV. </w:t>
      </w:r>
      <w:r w:rsidR="00ED5E09">
        <w:rPr>
          <w:rStyle w:val="BodyTextFi"/>
        </w:rPr>
        <w:t xml:space="preserve"> </w:t>
      </w:r>
      <w:r w:rsidRPr="00F760F6">
        <w:rPr>
          <w:rStyle w:val="BodyTextFi"/>
        </w:rPr>
        <w:t>The C</w:t>
      </w:r>
      <w:r w:rsidR="00BF7989">
        <w:rPr>
          <w:rStyle w:val="BodyTextFi"/>
        </w:rPr>
        <w:t>BDPP</w:t>
      </w:r>
      <w:r w:rsidRPr="00F760F6">
        <w:rPr>
          <w:rStyle w:val="BodyTextFi"/>
        </w:rPr>
        <w:t xml:space="preserve"> program funds eligible entities in their efforts to increase access to oral health care for unserved and underserved rural and urban HIV positive populations. </w:t>
      </w:r>
    </w:p>
    <w:p w:rsidR="00BF0B0A" w:rsidP="00BF0B0A" w14:paraId="3E7AEA35" w14:textId="6D9ECCBF">
      <w:pPr>
        <w:spacing w:line="240" w:lineRule="auto"/>
        <w:rPr>
          <w:rStyle w:val="BodyTextFi"/>
        </w:rPr>
      </w:pPr>
      <w:r>
        <w:rPr>
          <w:rStyle w:val="BodyTextFi"/>
        </w:rPr>
        <w:t xml:space="preserve">Participation in both </w:t>
      </w:r>
      <w:r w:rsidR="004A7B45">
        <w:rPr>
          <w:rStyle w:val="BodyTextFi"/>
        </w:rPr>
        <w:t xml:space="preserve">the </w:t>
      </w:r>
      <w:r>
        <w:rPr>
          <w:rStyle w:val="BodyTextFi"/>
        </w:rPr>
        <w:t xml:space="preserve">DRP and CBDPP </w:t>
      </w:r>
      <w:r>
        <w:rPr>
          <w:rStyle w:val="BodyTextFi"/>
        </w:rPr>
        <w:t>is limited</w:t>
      </w:r>
      <w:r>
        <w:rPr>
          <w:rStyle w:val="BodyTextFi"/>
        </w:rPr>
        <w:t xml:space="preserve"> to accredited predoctoral and postdoctoral dental, and dental hygiene education programs.  DRP reimburses applicants for a portion of their uncompensated services provided to </w:t>
      </w:r>
      <w:r w:rsidR="00AB5B4E">
        <w:rPr>
          <w:rStyle w:val="BodyTextFi"/>
        </w:rPr>
        <w:t xml:space="preserve">persons </w:t>
      </w:r>
      <w:r>
        <w:rPr>
          <w:rStyle w:val="BodyTextFi"/>
        </w:rPr>
        <w:t xml:space="preserve">with HIV.  The CBDPP awards grants to dental programs to develop partnerships with community-based oral health programs to expand the reach of trained dental professionals to serve </w:t>
      </w:r>
      <w:r w:rsidR="001545AC">
        <w:rPr>
          <w:rStyle w:val="BodyTextFi"/>
        </w:rPr>
        <w:t xml:space="preserve">persons </w:t>
      </w:r>
      <w:r>
        <w:rPr>
          <w:rStyle w:val="BodyTextFi"/>
        </w:rPr>
        <w:t xml:space="preserve">with HIV.  While the same institutions are eligible to receive funds under both programs, the programs must </w:t>
      </w:r>
      <w:r>
        <w:rPr>
          <w:rStyle w:val="BodyTextFi"/>
        </w:rPr>
        <w:t>be administered</w:t>
      </w:r>
      <w:r>
        <w:rPr>
          <w:rStyle w:val="BodyTextFi"/>
        </w:rPr>
        <w:t xml:space="preserve"> separately.</w:t>
      </w:r>
    </w:p>
    <w:p w:rsidR="0061473F" w:rsidRPr="00F760F6" w:rsidP="0061473F" w14:paraId="0DC359EF" w14:textId="65A8C757">
      <w:pPr>
        <w:spacing w:line="240" w:lineRule="auto"/>
        <w:rPr>
          <w:rStyle w:val="BodyTextFi"/>
        </w:rPr>
      </w:pPr>
      <w:r>
        <w:rPr>
          <w:rStyle w:val="BodyTextFi"/>
        </w:rPr>
        <w:t xml:space="preserve">The DSR serves as </w:t>
      </w:r>
      <w:r w:rsidR="004A7B45">
        <w:rPr>
          <w:rStyle w:val="BodyTextFi"/>
        </w:rPr>
        <w:t>part of the</w:t>
      </w:r>
      <w:r>
        <w:rPr>
          <w:rStyle w:val="BodyTextFi"/>
        </w:rPr>
        <w:t xml:space="preserve"> application for funding from</w:t>
      </w:r>
      <w:r w:rsidR="00ED5E09">
        <w:rPr>
          <w:rStyle w:val="BodyTextFi"/>
        </w:rPr>
        <w:t xml:space="preserve"> the </w:t>
      </w:r>
      <w:r>
        <w:rPr>
          <w:rStyle w:val="BodyTextFi"/>
        </w:rPr>
        <w:t xml:space="preserve">DRP.  </w:t>
      </w:r>
      <w:r w:rsidRPr="00F760F6" w:rsidR="002F53FD">
        <w:rPr>
          <w:rStyle w:val="BodyTextFi"/>
        </w:rPr>
        <w:t xml:space="preserve">The form </w:t>
      </w:r>
      <w:r w:rsidRPr="00F760F6" w:rsidR="002F53FD">
        <w:rPr>
          <w:rStyle w:val="BodyTextFi"/>
        </w:rPr>
        <w:t xml:space="preserve">is </w:t>
      </w:r>
      <w:r w:rsidR="004A7B45">
        <w:rPr>
          <w:rStyle w:val="BodyTextFi"/>
        </w:rPr>
        <w:t xml:space="preserve">also </w:t>
      </w:r>
      <w:r w:rsidRPr="00F760F6" w:rsidR="002F53FD">
        <w:rPr>
          <w:rStyle w:val="BodyTextFi"/>
        </w:rPr>
        <w:t>used</w:t>
      </w:r>
      <w:r w:rsidRPr="00F760F6" w:rsidR="002F53FD">
        <w:rPr>
          <w:rStyle w:val="BodyTextFi"/>
        </w:rPr>
        <w:t xml:space="preserve"> </w:t>
      </w:r>
      <w:r w:rsidRPr="00F760F6" w:rsidR="00BF7989">
        <w:rPr>
          <w:rStyle w:val="BodyTextFi"/>
        </w:rPr>
        <w:t>by</w:t>
      </w:r>
      <w:r w:rsidR="00BF7989">
        <w:rPr>
          <w:rStyle w:val="BodyTextFi"/>
        </w:rPr>
        <w:t xml:space="preserve"> CBDPP </w:t>
      </w:r>
      <w:r w:rsidR="00E52D7E">
        <w:rPr>
          <w:rStyle w:val="BodyTextFi"/>
        </w:rPr>
        <w:t>recipients</w:t>
      </w:r>
      <w:r w:rsidRPr="00F760F6" w:rsidR="002F53FD">
        <w:rPr>
          <w:rStyle w:val="BodyTextFi"/>
        </w:rPr>
        <w:t xml:space="preserve"> to report on services rendered, patients served, and partnerships</w:t>
      </w:r>
      <w:r>
        <w:rPr>
          <w:rStyle w:val="BodyTextFi"/>
        </w:rPr>
        <w:t xml:space="preserve"> </w:t>
      </w:r>
      <w:r w:rsidRPr="00F760F6">
        <w:rPr>
          <w:rStyle w:val="BodyTextFi"/>
        </w:rPr>
        <w:t>as an annual data report</w:t>
      </w:r>
      <w:r>
        <w:rPr>
          <w:rStyle w:val="BodyTextFi"/>
        </w:rPr>
        <w:t>.</w:t>
      </w:r>
      <w:r w:rsidR="00E01FD6">
        <w:rPr>
          <w:rStyle w:val="BodyTextFi"/>
        </w:rPr>
        <w:t xml:space="preserve"> </w:t>
      </w:r>
      <w:r w:rsidRPr="00F760F6">
        <w:rPr>
          <w:rStyle w:val="BodyTextFi"/>
        </w:rPr>
        <w:t xml:space="preserve"> CBDPP funds selected eligible entities in their efforts to increase access to oral health care for unserved and underserved rural and urban HIV positive populations. </w:t>
      </w:r>
      <w:r w:rsidR="00ED5E09">
        <w:rPr>
          <w:rStyle w:val="BodyTextFi"/>
        </w:rPr>
        <w:t xml:space="preserve"> </w:t>
      </w:r>
      <w:r w:rsidRPr="00F760F6">
        <w:rPr>
          <w:rStyle w:val="BodyTextFi"/>
        </w:rPr>
        <w:t xml:space="preserve">Funding supports oral health service delivery and provider training in community settings.  </w:t>
      </w:r>
    </w:p>
    <w:p w:rsidR="002F53FD" w:rsidRPr="00236F36" w:rsidP="009338B1" w14:paraId="269609D6" w14:textId="77777777">
      <w:pPr>
        <w:pStyle w:val="Heading2"/>
        <w:spacing w:line="240" w:lineRule="auto"/>
        <w:rPr>
          <w:u w:val="single"/>
        </w:rPr>
      </w:pPr>
      <w:bookmarkStart w:id="2" w:name="_Toc46022710"/>
      <w:r>
        <w:t>2.</w:t>
      </w:r>
      <w:r>
        <w:tab/>
      </w:r>
      <w:r w:rsidRPr="00236F36">
        <w:rPr>
          <w:u w:val="single"/>
        </w:rPr>
        <w:t>Purpose and Use of Information</w:t>
      </w:r>
      <w:bookmarkEnd w:id="2"/>
      <w:r w:rsidR="00236F36">
        <w:rPr>
          <w:u w:val="single"/>
        </w:rPr>
        <w:t xml:space="preserve"> Collection</w:t>
      </w:r>
    </w:p>
    <w:p w:rsidR="002F53FD" w:rsidP="009338B1" w14:paraId="65042AF6" w14:textId="1B0E31FF">
      <w:pPr>
        <w:spacing w:line="240" w:lineRule="auto"/>
      </w:pPr>
      <w:r>
        <w:t xml:space="preserve">There are two </w:t>
      </w:r>
      <w:r w:rsidR="00663BEC">
        <w:t>major purposes for</w:t>
      </w:r>
      <w:r>
        <w:t xml:space="preserve"> this data collection. </w:t>
      </w:r>
      <w:r w:rsidR="00ED5E09">
        <w:t xml:space="preserve"> </w:t>
      </w:r>
      <w:r>
        <w:t xml:space="preserve">The first purpose is to allow accredited dental education programs (predoctoral, postdoctoral, and dental hygiene) </w:t>
      </w:r>
      <w:r w:rsidR="00DD7C61">
        <w:t xml:space="preserve">to </w:t>
      </w:r>
      <w:r>
        <w:t xml:space="preserve">apply for reimbursement of uncompensated expenditures for provision of oral health care services to people with HIV under </w:t>
      </w:r>
      <w:r w:rsidR="004A7B45">
        <w:t xml:space="preserve">the </w:t>
      </w:r>
      <w:r>
        <w:t xml:space="preserve">DRP. </w:t>
      </w:r>
      <w:r w:rsidR="00437BE1">
        <w:t xml:space="preserve"> </w:t>
      </w:r>
      <w:r>
        <w:t xml:space="preserve">The second purpose is </w:t>
      </w:r>
      <w:r w:rsidR="00BF0B0A">
        <w:t xml:space="preserve">to support </w:t>
      </w:r>
      <w:r>
        <w:t>annual data report</w:t>
      </w:r>
      <w:r w:rsidR="00BF0B0A">
        <w:t>ing</w:t>
      </w:r>
      <w:r>
        <w:t xml:space="preserve"> for </w:t>
      </w:r>
      <w:r>
        <w:t xml:space="preserve">CBDPP </w:t>
      </w:r>
      <w:r w:rsidR="00E52D7E">
        <w:t>recipients</w:t>
      </w:r>
      <w:r w:rsidR="00BF0B0A">
        <w:t xml:space="preserve">. </w:t>
      </w:r>
      <w:r w:rsidR="00ED5E09">
        <w:t xml:space="preserve"> </w:t>
      </w:r>
      <w:r w:rsidR="00BF0B0A">
        <w:t xml:space="preserve">These data allow </w:t>
      </w:r>
      <w:r>
        <w:t xml:space="preserve">HRSA </w:t>
      </w:r>
      <w:r w:rsidR="00BF0B0A">
        <w:t xml:space="preserve">HAB to </w:t>
      </w:r>
      <w:r w:rsidR="00D553B1">
        <w:t xml:space="preserve">review </w:t>
      </w:r>
      <w:r w:rsidR="00BF0B0A">
        <w:t xml:space="preserve">the </w:t>
      </w:r>
      <w:r w:rsidR="00F760F6">
        <w:t xml:space="preserve">progress </w:t>
      </w:r>
      <w:r w:rsidR="00BF0B0A">
        <w:t xml:space="preserve">of its dental training programs and better </w:t>
      </w:r>
      <w:r>
        <w:t xml:space="preserve">understand </w:t>
      </w:r>
      <w:r w:rsidR="00BF0B0A">
        <w:t xml:space="preserve">the education and </w:t>
      </w:r>
      <w:r>
        <w:t xml:space="preserve">services </w:t>
      </w:r>
      <w:r>
        <w:t>being provided</w:t>
      </w:r>
      <w:r>
        <w:t>.</w:t>
      </w:r>
    </w:p>
    <w:p w:rsidR="0061473F" w:rsidP="0061473F" w14:paraId="251429E4" w14:textId="5AB0B505">
      <w:pPr>
        <w:spacing w:line="240" w:lineRule="auto"/>
        <w:rPr>
          <w:rStyle w:val="BodyTextFi"/>
        </w:rPr>
      </w:pPr>
      <w:r w:rsidRPr="00F760F6">
        <w:rPr>
          <w:rStyle w:val="BodyTextFi"/>
        </w:rPr>
        <w:t xml:space="preserve">The </w:t>
      </w:r>
      <w:r>
        <w:rPr>
          <w:rStyle w:val="BodyTextFi"/>
        </w:rPr>
        <w:t>DSR</w:t>
      </w:r>
      <w:r w:rsidRPr="00F760F6">
        <w:rPr>
          <w:rStyle w:val="BodyTextFi"/>
        </w:rPr>
        <w:t xml:space="preserve"> collects information about the program, patient demographics, oral health services, and</w:t>
      </w:r>
      <w:r>
        <w:rPr>
          <w:rStyle w:val="BodyTextFi"/>
        </w:rPr>
        <w:t xml:space="preserve"> funding.  In addition, </w:t>
      </w:r>
      <w:r w:rsidRPr="00F760F6">
        <w:rPr>
          <w:rStyle w:val="BodyTextFi"/>
        </w:rPr>
        <w:t xml:space="preserve">DRP applicants </w:t>
      </w:r>
      <w:r>
        <w:rPr>
          <w:rStyle w:val="BodyTextFi"/>
        </w:rPr>
        <w:t>complete Section 5</w:t>
      </w:r>
      <w:r w:rsidR="004A7B45">
        <w:rPr>
          <w:rStyle w:val="BodyTextFi"/>
        </w:rPr>
        <w:t>,</w:t>
      </w:r>
      <w:r>
        <w:rPr>
          <w:rStyle w:val="BodyTextFi"/>
        </w:rPr>
        <w:t xml:space="preserve"> which gathers </w:t>
      </w:r>
      <w:r w:rsidRPr="00F760F6">
        <w:rPr>
          <w:rStyle w:val="BodyTextFi"/>
        </w:rPr>
        <w:t>information on unreimbursed expenses and descriptions of selected program components (e.g., settings of training</w:t>
      </w:r>
      <w:r w:rsidR="00716BF5">
        <w:rPr>
          <w:rStyle w:val="BodyTextFi"/>
        </w:rPr>
        <w:t xml:space="preserve"> and</w:t>
      </w:r>
      <w:r w:rsidRPr="00F760F6">
        <w:rPr>
          <w:rStyle w:val="BodyTextFi"/>
        </w:rPr>
        <w:t xml:space="preserve"> outreach activities). </w:t>
      </w:r>
      <w:r w:rsidR="00716BF5">
        <w:rPr>
          <w:rStyle w:val="BodyTextFi"/>
        </w:rPr>
        <w:t xml:space="preserve"> </w:t>
      </w:r>
      <w:r w:rsidRPr="00F760F6">
        <w:rPr>
          <w:rStyle w:val="BodyTextFi"/>
        </w:rPr>
        <w:t xml:space="preserve">This information </w:t>
      </w:r>
      <w:r w:rsidRPr="00F760F6">
        <w:rPr>
          <w:rStyle w:val="BodyTextFi"/>
        </w:rPr>
        <w:t>is needed</w:t>
      </w:r>
      <w:r w:rsidRPr="00F760F6">
        <w:rPr>
          <w:rStyle w:val="BodyTextFi"/>
        </w:rPr>
        <w:t xml:space="preserve"> to calculate an award amount. CBDPP </w:t>
      </w:r>
      <w:r w:rsidR="00E52D7E">
        <w:rPr>
          <w:rStyle w:val="BodyTextFi"/>
        </w:rPr>
        <w:t>recipients</w:t>
      </w:r>
      <w:r w:rsidRPr="00F760F6">
        <w:rPr>
          <w:rStyle w:val="BodyTextFi"/>
        </w:rPr>
        <w:t xml:space="preserve"> complete </w:t>
      </w:r>
      <w:r>
        <w:rPr>
          <w:rStyle w:val="BodyTextFi"/>
        </w:rPr>
        <w:t>Section 4</w:t>
      </w:r>
      <w:r w:rsidR="004A7B45">
        <w:rPr>
          <w:rStyle w:val="BodyTextFi"/>
        </w:rPr>
        <w:t>,</w:t>
      </w:r>
      <w:r>
        <w:rPr>
          <w:rStyle w:val="BodyTextFi"/>
        </w:rPr>
        <w:t xml:space="preserve"> which gathers </w:t>
      </w:r>
      <w:r w:rsidRPr="00F760F6">
        <w:rPr>
          <w:rStyle w:val="BodyTextFi"/>
        </w:rPr>
        <w:t>information on community partner</w:t>
      </w:r>
      <w:r>
        <w:rPr>
          <w:rStyle w:val="BodyTextFi"/>
        </w:rPr>
        <w:t>ships and populations</w:t>
      </w:r>
      <w:r w:rsidRPr="00F760F6">
        <w:rPr>
          <w:rStyle w:val="BodyTextFi"/>
        </w:rPr>
        <w:t xml:space="preserve"> serve</w:t>
      </w:r>
      <w:r>
        <w:rPr>
          <w:rStyle w:val="BodyTextFi"/>
        </w:rPr>
        <w:t>d</w:t>
      </w:r>
      <w:r w:rsidRPr="00F760F6">
        <w:rPr>
          <w:rStyle w:val="BodyTextFi"/>
        </w:rPr>
        <w:t xml:space="preserve"> through these partnerships.  </w:t>
      </w:r>
    </w:p>
    <w:p w:rsidR="002F53FD" w:rsidP="00B65660" w14:paraId="6BF10B00" w14:textId="0072D7C0">
      <w:pPr>
        <w:spacing w:line="240" w:lineRule="auto"/>
      </w:pPr>
      <w:r>
        <w:t xml:space="preserve">The information collected </w:t>
      </w:r>
      <w:r w:rsidR="00BF0B0A">
        <w:t xml:space="preserve">in the DSR </w:t>
      </w:r>
      <w:r>
        <w:t>enable</w:t>
      </w:r>
      <w:r>
        <w:t>s</w:t>
      </w:r>
      <w:r>
        <w:t xml:space="preserve"> HRSA to:</w:t>
      </w:r>
    </w:p>
    <w:p w:rsidR="00467A37" w:rsidP="009338B1" w14:paraId="193FE940" w14:textId="77777777">
      <w:pPr>
        <w:numPr>
          <w:ilvl w:val="0"/>
          <w:numId w:val="8"/>
        </w:numPr>
        <w:spacing w:line="240" w:lineRule="auto"/>
      </w:pPr>
      <w:r>
        <w:t>Determine the unreimbursed costs of</w:t>
      </w:r>
      <w:r w:rsidR="00D553B1">
        <w:t xml:space="preserve"> DRP applicants and calculate a</w:t>
      </w:r>
      <w:r>
        <w:t xml:space="preserve"> reimbursement award </w:t>
      </w:r>
      <w:r>
        <w:t>amount;</w:t>
      </w:r>
      <w:r w:rsidRPr="00F760F6" w:rsidR="00F760F6">
        <w:t xml:space="preserve"> </w:t>
      </w:r>
    </w:p>
    <w:p w:rsidR="00D553B1" w:rsidP="009338B1" w14:paraId="43E4059B" w14:textId="477BAD11">
      <w:pPr>
        <w:numPr>
          <w:ilvl w:val="0"/>
          <w:numId w:val="8"/>
        </w:numPr>
        <w:spacing w:line="240" w:lineRule="auto"/>
      </w:pPr>
      <w:r>
        <w:t xml:space="preserve">Understand the extent of dental education </w:t>
      </w:r>
      <w:r>
        <w:t>programs’</w:t>
      </w:r>
      <w:r w:rsidR="00E52D7E">
        <w:t xml:space="preserve"> </w:t>
      </w:r>
      <w:r>
        <w:t>and their partners’</w:t>
      </w:r>
      <w:r w:rsidR="00E52D7E">
        <w:t xml:space="preserve"> </w:t>
      </w:r>
      <w:r>
        <w:t xml:space="preserve">involvement in the treatment of </w:t>
      </w:r>
      <w:r w:rsidR="00BC264D">
        <w:t xml:space="preserve">people </w:t>
      </w:r>
      <w:r>
        <w:t>with HIV;</w:t>
      </w:r>
    </w:p>
    <w:p w:rsidR="00D553B1" w:rsidP="009338B1" w14:paraId="1DB7DE7B" w14:textId="49C9E3E9">
      <w:pPr>
        <w:numPr>
          <w:ilvl w:val="0"/>
          <w:numId w:val="8"/>
        </w:numPr>
        <w:spacing w:line="240" w:lineRule="auto"/>
      </w:pPr>
      <w:r>
        <w:t xml:space="preserve">Determine the characteristics of </w:t>
      </w:r>
      <w:r w:rsidR="00BC264D">
        <w:t xml:space="preserve">people </w:t>
      </w:r>
      <w:r>
        <w:t xml:space="preserve">with HIV receiving oral health </w:t>
      </w:r>
      <w:r>
        <w:t>services;</w:t>
      </w:r>
    </w:p>
    <w:p w:rsidR="00D553B1" w:rsidP="009338B1" w14:paraId="31DEDFFD" w14:textId="6D46E339">
      <w:pPr>
        <w:numPr>
          <w:ilvl w:val="0"/>
          <w:numId w:val="8"/>
        </w:numPr>
        <w:spacing w:line="240" w:lineRule="auto"/>
      </w:pPr>
      <w:r>
        <w:t xml:space="preserve">Determine the scope and extent of oral health services provided to </w:t>
      </w:r>
      <w:r w:rsidR="00BC264D">
        <w:t xml:space="preserve">people </w:t>
      </w:r>
      <w:r w:rsidR="009306EC">
        <w:t xml:space="preserve">with HIV through the </w:t>
      </w:r>
      <w:r>
        <w:t xml:space="preserve">Act funding, including types of services and number of </w:t>
      </w:r>
      <w:r w:rsidR="00B60171">
        <w:t>visits</w:t>
      </w:r>
      <w:r>
        <w:t xml:space="preserve"> by </w:t>
      </w:r>
      <w:r>
        <w:t>service;</w:t>
      </w:r>
    </w:p>
    <w:p w:rsidR="00D553B1" w:rsidP="009338B1" w14:paraId="4E43B571" w14:textId="77777777">
      <w:pPr>
        <w:numPr>
          <w:ilvl w:val="0"/>
          <w:numId w:val="8"/>
        </w:numPr>
        <w:spacing w:line="240" w:lineRule="auto"/>
      </w:pPr>
      <w:r>
        <w:t>Calculate the costs of services and types of reimbursement funds received;</w:t>
      </w:r>
      <w:r>
        <w:t xml:space="preserve"> and</w:t>
      </w:r>
    </w:p>
    <w:p w:rsidR="002F53FD" w:rsidP="009338B1" w14:paraId="1694834D" w14:textId="77777777">
      <w:pPr>
        <w:numPr>
          <w:ilvl w:val="0"/>
          <w:numId w:val="8"/>
        </w:numPr>
        <w:spacing w:line="240" w:lineRule="auto"/>
      </w:pPr>
      <w:r>
        <w:t>Understand how the</w:t>
      </w:r>
      <w:r>
        <w:t xml:space="preserve"> </w:t>
      </w:r>
      <w:r w:rsidR="00437BE1">
        <w:t xml:space="preserve">Ryan White Program </w:t>
      </w:r>
      <w:r>
        <w:t xml:space="preserve">funds for oral health services </w:t>
      </w:r>
      <w:r>
        <w:t>are used</w:t>
      </w:r>
      <w:r>
        <w:t>.</w:t>
      </w:r>
    </w:p>
    <w:p w:rsidR="00551081" w:rsidRPr="00551081" w:rsidP="009338B1" w14:paraId="2E4ED58F" w14:textId="66CD8339">
      <w:pPr>
        <w:pStyle w:val="Heading2"/>
        <w:spacing w:line="240" w:lineRule="auto"/>
        <w:rPr>
          <w:u w:val="single"/>
        </w:rPr>
      </w:pPr>
      <w:bookmarkStart w:id="3" w:name="_Toc46022711"/>
      <w:r>
        <w:t>3.</w:t>
      </w:r>
      <w:r>
        <w:tab/>
      </w:r>
      <w:r w:rsidRPr="00236F36">
        <w:rPr>
          <w:u w:val="single"/>
        </w:rPr>
        <w:t>Use of Improved Information Technology</w:t>
      </w:r>
      <w:bookmarkEnd w:id="3"/>
      <w:r w:rsidRPr="00236F36" w:rsidR="00236F36">
        <w:rPr>
          <w:u w:val="single"/>
        </w:rPr>
        <w:t xml:space="preserve"> and Burden Reduction</w:t>
      </w:r>
      <w:bookmarkStart w:id="4" w:name="_Toc46022712"/>
      <w:r>
        <w:rPr>
          <w:u w:val="single"/>
        </w:rPr>
        <w:br/>
      </w:r>
      <w:r w:rsidRPr="00551081">
        <w:rPr>
          <w:b w:val="0"/>
          <w:bCs w:val="0"/>
          <w:szCs w:val="24"/>
        </w:rPr>
        <w:t xml:space="preserve">The DSR instructions and </w:t>
      </w:r>
      <w:r w:rsidR="00D619E8">
        <w:rPr>
          <w:b w:val="0"/>
          <w:bCs w:val="0"/>
          <w:szCs w:val="24"/>
        </w:rPr>
        <w:t>a</w:t>
      </w:r>
      <w:r w:rsidR="00C118FD">
        <w:rPr>
          <w:b w:val="0"/>
          <w:bCs w:val="0"/>
          <w:szCs w:val="24"/>
        </w:rPr>
        <w:t xml:space="preserve"> </w:t>
      </w:r>
      <w:r w:rsidR="00D619E8">
        <w:rPr>
          <w:b w:val="0"/>
          <w:bCs w:val="0"/>
          <w:szCs w:val="24"/>
        </w:rPr>
        <w:t>link</w:t>
      </w:r>
      <w:r w:rsidR="00C118FD">
        <w:rPr>
          <w:b w:val="0"/>
          <w:bCs w:val="0"/>
          <w:szCs w:val="24"/>
        </w:rPr>
        <w:t xml:space="preserve"> to the re</w:t>
      </w:r>
      <w:r w:rsidR="00B5560B">
        <w:rPr>
          <w:b w:val="0"/>
          <w:bCs w:val="0"/>
          <w:szCs w:val="24"/>
        </w:rPr>
        <w:t xml:space="preserve">port website </w:t>
      </w:r>
      <w:r w:rsidR="000B7B67">
        <w:rPr>
          <w:b w:val="0"/>
          <w:bCs w:val="0"/>
          <w:szCs w:val="24"/>
        </w:rPr>
        <w:t xml:space="preserve">can </w:t>
      </w:r>
      <w:r w:rsidR="000B7B67">
        <w:rPr>
          <w:b w:val="0"/>
          <w:bCs w:val="0"/>
          <w:szCs w:val="24"/>
        </w:rPr>
        <w:t>be accessed</w:t>
      </w:r>
      <w:r w:rsidR="000B7B67">
        <w:rPr>
          <w:b w:val="0"/>
          <w:bCs w:val="0"/>
          <w:szCs w:val="24"/>
        </w:rPr>
        <w:t xml:space="preserve"> on</w:t>
      </w:r>
      <w:r w:rsidR="00D619E8">
        <w:rPr>
          <w:b w:val="0"/>
          <w:bCs w:val="0"/>
          <w:szCs w:val="24"/>
        </w:rPr>
        <w:t xml:space="preserve"> the</w:t>
      </w:r>
      <w:r w:rsidRPr="00551081">
        <w:rPr>
          <w:b w:val="0"/>
          <w:bCs w:val="0"/>
          <w:szCs w:val="24"/>
        </w:rPr>
        <w:t xml:space="preserve"> </w:t>
      </w:r>
      <w:r>
        <w:rPr>
          <w:b w:val="0"/>
          <w:bCs w:val="0"/>
          <w:szCs w:val="24"/>
        </w:rPr>
        <w:t>HRSA</w:t>
      </w:r>
      <w:r w:rsidRPr="00551081">
        <w:rPr>
          <w:b w:val="0"/>
          <w:bCs w:val="0"/>
          <w:szCs w:val="24"/>
        </w:rPr>
        <w:t xml:space="preserve"> </w:t>
      </w:r>
      <w:r>
        <w:rPr>
          <w:b w:val="0"/>
          <w:bCs w:val="0"/>
          <w:szCs w:val="24"/>
        </w:rPr>
        <w:t>HAB’s</w:t>
      </w:r>
      <w:r w:rsidRPr="00551081">
        <w:rPr>
          <w:b w:val="0"/>
          <w:bCs w:val="0"/>
          <w:szCs w:val="24"/>
        </w:rPr>
        <w:t xml:space="preserve"> </w:t>
      </w:r>
      <w:r w:rsidR="002B2A54">
        <w:rPr>
          <w:b w:val="0"/>
          <w:bCs w:val="0"/>
          <w:szCs w:val="24"/>
        </w:rPr>
        <w:t>website</w:t>
      </w:r>
      <w:r w:rsidRPr="00551081">
        <w:rPr>
          <w:b w:val="0"/>
          <w:bCs w:val="0"/>
          <w:szCs w:val="24"/>
        </w:rPr>
        <w:t xml:space="preserve">. </w:t>
      </w:r>
    </w:p>
    <w:p w:rsidR="002F53FD" w:rsidP="009338B1" w14:paraId="13F40D52" w14:textId="13D6B0F1">
      <w:pPr>
        <w:pStyle w:val="Heading2"/>
        <w:spacing w:line="240" w:lineRule="auto"/>
      </w:pPr>
      <w:r>
        <w:t>4.</w:t>
      </w:r>
      <w:r>
        <w:tab/>
      </w:r>
      <w:r w:rsidRPr="00236F36">
        <w:rPr>
          <w:u w:val="single"/>
        </w:rPr>
        <w:t>Efforts to Identify Duplication</w:t>
      </w:r>
      <w:bookmarkEnd w:id="4"/>
      <w:r w:rsidRPr="00236F36" w:rsidR="00236F36">
        <w:rPr>
          <w:u w:val="single"/>
        </w:rPr>
        <w:t xml:space="preserve"> and Use of Similar Information</w:t>
      </w:r>
    </w:p>
    <w:p w:rsidR="0019279F" w:rsidP="009338B1" w14:paraId="14AFB1EC" w14:textId="45684EC7">
      <w:pPr>
        <w:spacing w:line="240" w:lineRule="auto"/>
      </w:pPr>
      <w:r>
        <w:t xml:space="preserve">Data that describe the activities of the DRP applicants and CBDPP </w:t>
      </w:r>
      <w:r w:rsidR="00E52D7E">
        <w:t>recipients</w:t>
      </w:r>
      <w:r>
        <w:t xml:space="preserve"> are not available elsewhere. </w:t>
      </w:r>
      <w:r w:rsidR="00B85CB5">
        <w:t xml:space="preserve"> </w:t>
      </w:r>
      <w:r>
        <w:t xml:space="preserve">This is the only effort to characterize the impact that these programs are making on the provision of services.  </w:t>
      </w:r>
    </w:p>
    <w:p w:rsidR="002F53FD" w:rsidRPr="00236F36" w:rsidP="009338B1" w14:paraId="334967E1" w14:textId="7D751266">
      <w:pPr>
        <w:pStyle w:val="Heading2"/>
        <w:numPr>
          <w:ilvl w:val="0"/>
          <w:numId w:val="5"/>
        </w:numPr>
        <w:tabs>
          <w:tab w:val="num" w:pos="360"/>
          <w:tab w:val="clear" w:pos="720"/>
        </w:tabs>
        <w:spacing w:line="240" w:lineRule="auto"/>
        <w:ind w:left="0" w:firstLine="0"/>
        <w:rPr>
          <w:u w:val="single"/>
        </w:rPr>
      </w:pPr>
      <w:bookmarkStart w:id="5" w:name="_Toc46022713"/>
      <w:r>
        <w:rPr>
          <w:u w:val="single"/>
        </w:rPr>
        <w:t>Impact</w:t>
      </w:r>
      <w:r w:rsidRPr="00236F36">
        <w:rPr>
          <w:u w:val="single"/>
        </w:rPr>
        <w:t xml:space="preserve"> </w:t>
      </w:r>
      <w:r w:rsidRPr="00236F36" w:rsidR="00236F36">
        <w:rPr>
          <w:u w:val="single"/>
        </w:rPr>
        <w:t>on</w:t>
      </w:r>
      <w:r w:rsidRPr="00236F36">
        <w:rPr>
          <w:u w:val="single"/>
        </w:rPr>
        <w:t xml:space="preserve"> Small </w:t>
      </w:r>
      <w:bookmarkEnd w:id="5"/>
      <w:r w:rsidRPr="00236F36" w:rsidR="00236F36">
        <w:rPr>
          <w:u w:val="single"/>
        </w:rPr>
        <w:t>Businesses or Other Small Entities</w:t>
      </w:r>
    </w:p>
    <w:p w:rsidR="0019279F" w:rsidP="009338B1" w14:paraId="2222DE9C" w14:textId="77777777">
      <w:pPr>
        <w:spacing w:line="240" w:lineRule="auto"/>
      </w:pPr>
      <w:r>
        <w:t>This data collection does not involve small businesses</w:t>
      </w:r>
      <w:r w:rsidR="00CE6620">
        <w:t xml:space="preserve"> and does not have a significant impact on small entities</w:t>
      </w:r>
      <w:r>
        <w:t>.</w:t>
      </w:r>
    </w:p>
    <w:p w:rsidR="002F53FD" w:rsidRPr="00236F36" w:rsidP="009338B1" w14:paraId="2EC2BF2B" w14:textId="77777777">
      <w:pPr>
        <w:pStyle w:val="Heading2"/>
        <w:spacing w:line="240" w:lineRule="auto"/>
        <w:rPr>
          <w:b w:val="0"/>
          <w:bCs w:val="0"/>
          <w:u w:val="single"/>
        </w:rPr>
      </w:pPr>
      <w:bookmarkStart w:id="6" w:name="_Toc46022714"/>
      <w:r>
        <w:t>6.</w:t>
      </w:r>
      <w:r>
        <w:tab/>
      </w:r>
      <w:r w:rsidRPr="00236F36">
        <w:rPr>
          <w:u w:val="single"/>
        </w:rPr>
        <w:t>Consequences</w:t>
      </w:r>
      <w:r w:rsidRPr="00236F36" w:rsidR="00236F36">
        <w:rPr>
          <w:u w:val="single"/>
        </w:rPr>
        <w:t xml:space="preserve"> of Collecting the Information</w:t>
      </w:r>
      <w:r w:rsidRPr="00236F36">
        <w:rPr>
          <w:u w:val="single"/>
        </w:rPr>
        <w:t xml:space="preserve"> Less Frequently</w:t>
      </w:r>
      <w:bookmarkEnd w:id="6"/>
    </w:p>
    <w:p w:rsidR="002F53FD" w:rsidP="009338B1" w14:paraId="002CACD1" w14:textId="033D928B">
      <w:pPr>
        <w:spacing w:line="240" w:lineRule="auto"/>
      </w:pPr>
      <w:r>
        <w:t xml:space="preserve">Dental reimbursement funds </w:t>
      </w:r>
      <w:r>
        <w:t>are disseminated</w:t>
      </w:r>
      <w:r>
        <w:t xml:space="preserve"> once each year based on the dental education programs applications. </w:t>
      </w:r>
      <w:r w:rsidR="00867257">
        <w:t xml:space="preserve"> </w:t>
      </w:r>
      <w:r>
        <w:t>Collection of DRP applications on a less-than-annual basis would not be consistent with the availability and distribution of the reimbursement funds.</w:t>
      </w:r>
      <w:r w:rsidR="00867257">
        <w:t xml:space="preserve"> </w:t>
      </w:r>
      <w:r>
        <w:t xml:space="preserve"> CBDPP </w:t>
      </w:r>
      <w:r w:rsidR="00E52D7E">
        <w:t>recipients</w:t>
      </w:r>
      <w:r>
        <w:t xml:space="preserve"> submit data annually to allow HRSA to monitor the services provided by the grant program and to allow HRSA to compare data across DRP and CBDPP.</w:t>
      </w:r>
    </w:p>
    <w:p w:rsidR="002F53FD" w:rsidP="009338B1" w14:paraId="4CEE7962" w14:textId="77777777">
      <w:pPr>
        <w:pStyle w:val="Heading2"/>
        <w:spacing w:line="240" w:lineRule="auto"/>
      </w:pPr>
      <w:bookmarkStart w:id="7" w:name="_Toc46022715"/>
      <w:r>
        <w:t>7.</w:t>
      </w:r>
      <w:r>
        <w:tab/>
      </w:r>
      <w:r w:rsidRPr="0019279F">
        <w:rPr>
          <w:u w:val="single"/>
        </w:rPr>
        <w:t xml:space="preserve">Special Circumstances Relating to the </w:t>
      </w:r>
      <w:r w:rsidRPr="0019279F">
        <w:rPr>
          <w:u w:val="single"/>
        </w:rPr>
        <w:t>Guidelines in 5 CFR 1320.5</w:t>
      </w:r>
      <w:bookmarkEnd w:id="7"/>
    </w:p>
    <w:p w:rsidR="00A17738" w:rsidP="009338B1" w14:paraId="73B38BED" w14:textId="77777777">
      <w:pPr>
        <w:spacing w:line="240" w:lineRule="auto"/>
        <w:rPr>
          <w:rStyle w:val="BodyTextFi"/>
        </w:rPr>
      </w:pPr>
      <w:r>
        <w:rPr>
          <w:rStyle w:val="BodyTextFi"/>
        </w:rPr>
        <w:t>The</w:t>
      </w:r>
      <w:r w:rsidR="00621F60">
        <w:rPr>
          <w:rStyle w:val="BodyTextFi"/>
        </w:rPr>
        <w:t>se</w:t>
      </w:r>
      <w:r>
        <w:rPr>
          <w:rStyle w:val="BodyTextFi"/>
        </w:rPr>
        <w:t xml:space="preserve"> data will </w:t>
      </w:r>
      <w:r>
        <w:rPr>
          <w:rStyle w:val="BodyTextFi"/>
        </w:rPr>
        <w:t>be collected</w:t>
      </w:r>
      <w:r>
        <w:rPr>
          <w:rStyle w:val="BodyTextFi"/>
        </w:rPr>
        <w:t xml:space="preserve"> in a manner consistent wit</w:t>
      </w:r>
      <w:r>
        <w:rPr>
          <w:rStyle w:val="BodyTextFi"/>
        </w:rPr>
        <w:t xml:space="preserve">h the </w:t>
      </w:r>
      <w:r w:rsidR="00236F36">
        <w:rPr>
          <w:rStyle w:val="BodyTextFi"/>
        </w:rPr>
        <w:t>guidelines in 5 CFR 1320.5</w:t>
      </w:r>
      <w:r>
        <w:rPr>
          <w:rStyle w:val="BodyTextFi"/>
        </w:rPr>
        <w:t>.</w:t>
      </w:r>
    </w:p>
    <w:p w:rsidR="002F53FD" w:rsidRPr="00236F36" w:rsidP="009338B1" w14:paraId="4A0BFDD4" w14:textId="77777777">
      <w:pPr>
        <w:pStyle w:val="Heading2"/>
        <w:spacing w:line="240" w:lineRule="auto"/>
        <w:rPr>
          <w:u w:val="single"/>
        </w:rPr>
      </w:pPr>
      <w:bookmarkStart w:id="8" w:name="_Toc46022716"/>
      <w:r>
        <w:t>8.</w:t>
      </w:r>
      <w:r>
        <w:tab/>
      </w:r>
      <w:r w:rsidRPr="00236F36" w:rsidR="00236F36">
        <w:rPr>
          <w:u w:val="single"/>
        </w:rPr>
        <w:t>Comments in Response to the Federal Register Notice/</w:t>
      </w:r>
      <w:r w:rsidRPr="00236F36">
        <w:rPr>
          <w:u w:val="single"/>
        </w:rPr>
        <w:t>Outside</w:t>
      </w:r>
      <w:bookmarkEnd w:id="8"/>
      <w:r w:rsidRPr="00236F36" w:rsidR="00236F36">
        <w:rPr>
          <w:u w:val="single"/>
        </w:rPr>
        <w:t xml:space="preserve"> Consultation</w:t>
      </w:r>
    </w:p>
    <w:p w:rsidR="00236F36" w:rsidRPr="00DD7C61" w:rsidP="009338B1" w14:paraId="49159C3C" w14:textId="77777777">
      <w:pPr>
        <w:spacing w:line="240" w:lineRule="auto"/>
        <w:rPr>
          <w:b/>
        </w:rPr>
      </w:pPr>
      <w:r w:rsidRPr="00DD7C61">
        <w:rPr>
          <w:b/>
        </w:rPr>
        <w:t>Section 8A:</w:t>
      </w:r>
    </w:p>
    <w:p w:rsidR="002F53FD" w:rsidP="009338B1" w14:paraId="5D178B0D" w14:textId="6D59031F">
      <w:pPr>
        <w:spacing w:line="240" w:lineRule="auto"/>
      </w:pPr>
      <w:r>
        <w:t xml:space="preserve">A 60-day Federal Register Notice </w:t>
      </w:r>
      <w:r>
        <w:t>was published</w:t>
      </w:r>
      <w:r>
        <w:t xml:space="preserve"> </w:t>
      </w:r>
      <w:r>
        <w:t xml:space="preserve">in the </w:t>
      </w:r>
      <w:r>
        <w:rPr>
          <w:i/>
          <w:iCs/>
        </w:rPr>
        <w:t>Federal Register</w:t>
      </w:r>
      <w:r>
        <w:t xml:space="preserve"> </w:t>
      </w:r>
      <w:r w:rsidRPr="00AD3655">
        <w:t xml:space="preserve">on </w:t>
      </w:r>
      <w:r w:rsidR="005D3587">
        <w:t>March 8</w:t>
      </w:r>
      <w:r w:rsidR="003E02F4">
        <w:t>, 202</w:t>
      </w:r>
      <w:r w:rsidR="005D3587">
        <w:t>3</w:t>
      </w:r>
      <w:r w:rsidRPr="00AD3655">
        <w:t xml:space="preserve"> (Volume </w:t>
      </w:r>
      <w:r w:rsidR="003E02F4">
        <w:t>8</w:t>
      </w:r>
      <w:r w:rsidR="005D3587">
        <w:t>8</w:t>
      </w:r>
      <w:r w:rsidRPr="00AD3655">
        <w:t xml:space="preserve">, </w:t>
      </w:r>
      <w:r w:rsidRPr="00AD3655" w:rsidR="00CD4ABF">
        <w:t xml:space="preserve">No. </w:t>
      </w:r>
      <w:r w:rsidR="00BD56B8">
        <w:t>45</w:t>
      </w:r>
      <w:r w:rsidRPr="00AD3655" w:rsidR="00CD4ABF">
        <w:t xml:space="preserve">, </w:t>
      </w:r>
      <w:r w:rsidRPr="00AD3655" w:rsidR="00E33F2E">
        <w:t>p</w:t>
      </w:r>
      <w:r w:rsidRPr="00AD3655" w:rsidR="00CD4ABF">
        <w:t>age</w:t>
      </w:r>
      <w:r w:rsidRPr="00AD3655" w:rsidR="00E33F2E">
        <w:t>s</w:t>
      </w:r>
      <w:r w:rsidRPr="00AD3655" w:rsidR="00CD4ABF">
        <w:t xml:space="preserve"> </w:t>
      </w:r>
      <w:r w:rsidR="00BD56B8">
        <w:t>14375-76</w:t>
      </w:r>
      <w:r w:rsidRPr="00AD3655">
        <w:t>)</w:t>
      </w:r>
      <w:r w:rsidRPr="00AD3655" w:rsidR="00CD4ABF">
        <w:t>.</w:t>
      </w:r>
      <w:r w:rsidR="006D7A24">
        <w:t xml:space="preserve"> </w:t>
      </w:r>
      <w:r>
        <w:t xml:space="preserve"> </w:t>
      </w:r>
      <w:r w:rsidR="000B4586">
        <w:t>There were no public comments in response to the Federal Register Notice.</w:t>
      </w:r>
    </w:p>
    <w:p w:rsidR="001D02DC" w:rsidP="009338B1" w14:paraId="0AD9A6BD" w14:textId="7654AD51">
      <w:pPr>
        <w:spacing w:line="240" w:lineRule="auto"/>
      </w:pPr>
      <w:r>
        <w:t xml:space="preserve">A </w:t>
      </w:r>
      <w:r>
        <w:t>30</w:t>
      </w:r>
      <w:r>
        <w:t xml:space="preserve">-day Federal Register Notice </w:t>
      </w:r>
      <w:r>
        <w:t>was published</w:t>
      </w:r>
      <w:r>
        <w:t xml:space="preserve"> in the </w:t>
      </w:r>
      <w:r>
        <w:rPr>
          <w:i/>
          <w:iCs/>
        </w:rPr>
        <w:t>Federal Register</w:t>
      </w:r>
      <w:r>
        <w:t xml:space="preserve"> </w:t>
      </w:r>
      <w:r w:rsidRPr="00AD3655">
        <w:t xml:space="preserve">on </w:t>
      </w:r>
      <w:r>
        <w:t>June 1, 2023</w:t>
      </w:r>
      <w:r w:rsidRPr="00AD3655">
        <w:t xml:space="preserve"> (Volume </w:t>
      </w:r>
      <w:r>
        <w:t>88</w:t>
      </w:r>
      <w:r w:rsidRPr="00AD3655">
        <w:t xml:space="preserve">, No. </w:t>
      </w:r>
      <w:r>
        <w:t>105</w:t>
      </w:r>
      <w:r w:rsidRPr="00AD3655">
        <w:t xml:space="preserve">, pages </w:t>
      </w:r>
      <w:r>
        <w:t>35888-</w:t>
      </w:r>
      <w:r>
        <w:t>89</w:t>
      </w:r>
      <w:r w:rsidRPr="00AD3655">
        <w:t>).</w:t>
      </w:r>
      <w:r>
        <w:t xml:space="preserve">  </w:t>
      </w:r>
    </w:p>
    <w:p w:rsidR="00236F36" w:rsidRPr="00DD7C61" w:rsidP="00B65660" w14:paraId="6B3E6915" w14:textId="77777777">
      <w:pPr>
        <w:spacing w:line="240" w:lineRule="auto"/>
        <w:rPr>
          <w:b/>
        </w:rPr>
      </w:pPr>
      <w:r w:rsidRPr="00DD7C61">
        <w:rPr>
          <w:b/>
        </w:rPr>
        <w:t>Section 8B:</w:t>
      </w:r>
    </w:p>
    <w:p w:rsidR="000203B7" w:rsidP="00B65660" w14:paraId="54523207" w14:textId="25E63D27">
      <w:pPr>
        <w:spacing w:line="240" w:lineRule="auto"/>
      </w:pPr>
      <w:r>
        <w:t>I</w:t>
      </w:r>
      <w:r w:rsidR="002F53FD">
        <w:t>n determining</w:t>
      </w:r>
      <w:r w:rsidR="009514C5">
        <w:t xml:space="preserve"> the burden estimate and the clarity of the information requested in the report</w:t>
      </w:r>
      <w:r w:rsidR="002F53FD">
        <w:t xml:space="preserve"> from </w:t>
      </w:r>
      <w:r w:rsidR="00E52D7E">
        <w:t>recipients</w:t>
      </w:r>
      <w:r w:rsidR="002F53FD">
        <w:t xml:space="preserve">, </w:t>
      </w:r>
      <w:r w:rsidR="00E52D7E">
        <w:t xml:space="preserve">HRSA </w:t>
      </w:r>
      <w:r w:rsidR="002F53FD">
        <w:t>HAB consulted with</w:t>
      </w:r>
      <w:r w:rsidR="00315585">
        <w:t xml:space="preserve"> two</w:t>
      </w:r>
      <w:r w:rsidR="002F53FD">
        <w:t xml:space="preserve"> </w:t>
      </w:r>
      <w:r w:rsidR="00315585">
        <w:t>(</w:t>
      </w:r>
      <w:r w:rsidRPr="00AD3655" w:rsidR="00611B3D">
        <w:t>2</w:t>
      </w:r>
      <w:r w:rsidR="00315585">
        <w:t>)</w:t>
      </w:r>
      <w:r w:rsidRPr="00AD3655" w:rsidR="00611B3D">
        <w:t xml:space="preserve"> DRP applicants and </w:t>
      </w:r>
      <w:r w:rsidR="00315585">
        <w:t>two (</w:t>
      </w:r>
      <w:r w:rsidR="00BD56B8">
        <w:t>2</w:t>
      </w:r>
      <w:r w:rsidR="00315585">
        <w:t>)</w:t>
      </w:r>
      <w:r w:rsidRPr="00AD3655" w:rsidR="00611B3D">
        <w:t xml:space="preserve"> CBDPP </w:t>
      </w:r>
      <w:r w:rsidR="00E52D7E">
        <w:t>recipients</w:t>
      </w:r>
      <w:r w:rsidR="00AD3655">
        <w:t xml:space="preserve"> in </w:t>
      </w:r>
      <w:r w:rsidR="00BD56B8">
        <w:t>February 2023</w:t>
      </w:r>
      <w:r w:rsidR="009514C5">
        <w:t>.</w:t>
      </w:r>
      <w:r>
        <w:t xml:space="preserve"> </w:t>
      </w:r>
      <w:r w:rsidR="00315585">
        <w:t xml:space="preserve"> </w:t>
      </w:r>
      <w:r w:rsidR="00B05496">
        <w:t xml:space="preserve">The overall assessment by the </w:t>
      </w:r>
      <w:r w:rsidR="006C4FD2">
        <w:t xml:space="preserve">pilot group is that reporting has improved due to the </w:t>
      </w:r>
      <w:r w:rsidR="005E54B6">
        <w:t xml:space="preserve">implementation of the </w:t>
      </w:r>
      <w:r w:rsidR="00315585">
        <w:t xml:space="preserve">DSR </w:t>
      </w:r>
      <w:r w:rsidR="005E54B6">
        <w:t xml:space="preserve">website. </w:t>
      </w:r>
      <w:r>
        <w:t xml:space="preserve"> </w:t>
      </w:r>
    </w:p>
    <w:p w:rsidR="002F53FD" w:rsidP="009338B1" w14:paraId="3CE689B8" w14:textId="77777777">
      <w:pPr>
        <w:pStyle w:val="Heading2"/>
        <w:spacing w:line="240" w:lineRule="auto"/>
      </w:pPr>
      <w:bookmarkStart w:id="9" w:name="_Toc46022717"/>
      <w:r>
        <w:t>9.</w:t>
      </w:r>
      <w:r>
        <w:tab/>
      </w:r>
      <w:r w:rsidRPr="00236F36" w:rsidR="00236F36">
        <w:rPr>
          <w:u w:val="single"/>
        </w:rPr>
        <w:t>Explanation of any Payment/Gift to Respondents</w:t>
      </w:r>
      <w:bookmarkEnd w:id="9"/>
    </w:p>
    <w:p w:rsidR="002F53FD" w:rsidP="009338B1" w14:paraId="733E3B92" w14:textId="77777777">
      <w:pPr>
        <w:spacing w:line="240" w:lineRule="auto"/>
      </w:pPr>
      <w:r>
        <w:rPr>
          <w:rStyle w:val="BodyTextFi"/>
        </w:rPr>
        <w:t xml:space="preserve">Respondents will not </w:t>
      </w:r>
      <w:r>
        <w:rPr>
          <w:rStyle w:val="BodyTextFi"/>
        </w:rPr>
        <w:t>be remunerated</w:t>
      </w:r>
      <w:r>
        <w:rPr>
          <w:rStyle w:val="BodyTextFi"/>
        </w:rPr>
        <w:t>.</w:t>
      </w:r>
    </w:p>
    <w:p w:rsidR="002F53FD" w:rsidP="009338B1" w14:paraId="3580472D" w14:textId="77777777">
      <w:pPr>
        <w:pStyle w:val="Heading2"/>
        <w:spacing w:line="240" w:lineRule="auto"/>
      </w:pPr>
      <w:bookmarkStart w:id="10" w:name="_Toc46022718"/>
      <w:r>
        <w:t>10.</w:t>
      </w:r>
      <w:r>
        <w:tab/>
      </w:r>
      <w:r w:rsidRPr="00212785">
        <w:rPr>
          <w:u w:val="single"/>
        </w:rPr>
        <w:t>Assurance of Confidentiality</w:t>
      </w:r>
      <w:bookmarkEnd w:id="10"/>
      <w:r w:rsidRPr="00212785" w:rsidR="00212785">
        <w:rPr>
          <w:u w:val="single"/>
        </w:rPr>
        <w:t xml:space="preserve"> Provided to Respondents</w:t>
      </w:r>
    </w:p>
    <w:p w:rsidR="002F53FD" w:rsidP="009338B1" w14:paraId="15375BFF" w14:textId="6E12262F">
      <w:pPr>
        <w:spacing w:line="240" w:lineRule="auto"/>
      </w:pPr>
      <w:r>
        <w:t xml:space="preserve">Only summary data will </w:t>
      </w:r>
      <w:r>
        <w:t>be included</w:t>
      </w:r>
      <w:r>
        <w:t xml:space="preserve"> in any reports developed from the collection of this information.</w:t>
      </w:r>
      <w:r w:rsidR="00315585">
        <w:t xml:space="preserve"> </w:t>
      </w:r>
      <w:r>
        <w:t xml:space="preserve"> No individual level data will </w:t>
      </w:r>
      <w:r>
        <w:t>be seen</w:t>
      </w:r>
      <w:r>
        <w:t xml:space="preserve"> by HRSA or any outside party.  </w:t>
      </w:r>
    </w:p>
    <w:p w:rsidR="002F53FD" w:rsidP="009338B1" w14:paraId="07D10687" w14:textId="77777777">
      <w:pPr>
        <w:pStyle w:val="Heading2"/>
        <w:spacing w:line="240" w:lineRule="auto"/>
      </w:pPr>
      <w:bookmarkStart w:id="11" w:name="_Toc46022719"/>
      <w:r>
        <w:t>11.</w:t>
      </w:r>
      <w:r>
        <w:tab/>
      </w:r>
      <w:r w:rsidRPr="00212785" w:rsidR="00212785">
        <w:rPr>
          <w:u w:val="single"/>
        </w:rPr>
        <w:t>Justification for</w:t>
      </w:r>
      <w:r w:rsidRPr="00212785">
        <w:rPr>
          <w:u w:val="single"/>
        </w:rPr>
        <w:t xml:space="preserve"> Sensitive </w:t>
      </w:r>
      <w:bookmarkEnd w:id="11"/>
      <w:r w:rsidRPr="00212785" w:rsidR="00212785">
        <w:rPr>
          <w:u w:val="single"/>
        </w:rPr>
        <w:t>Questions</w:t>
      </w:r>
    </w:p>
    <w:p w:rsidR="002F53FD" w:rsidP="009338B1" w14:paraId="78F4280E" w14:textId="5387F399">
      <w:pPr>
        <w:spacing w:line="240" w:lineRule="auto"/>
      </w:pPr>
      <w:r>
        <w:t xml:space="preserve">Data </w:t>
      </w:r>
      <w:r>
        <w:t>are reported</w:t>
      </w:r>
      <w:r>
        <w:t xml:space="preserve"> on </w:t>
      </w:r>
      <w:r w:rsidR="00C63B59">
        <w:t xml:space="preserve">the number of </w:t>
      </w:r>
      <w:r w:rsidR="00E2255B">
        <w:t xml:space="preserve">people </w:t>
      </w:r>
      <w:r w:rsidR="00C63B59">
        <w:t>with HIV;</w:t>
      </w:r>
      <w:r>
        <w:t xml:space="preserve"> however</w:t>
      </w:r>
      <w:r w:rsidR="00C63B59">
        <w:t>,</w:t>
      </w:r>
      <w:r>
        <w:t xml:space="preserve"> data submitted to HRSA do not include any client-level data or client-identifying information.  </w:t>
      </w:r>
    </w:p>
    <w:p w:rsidR="002F53FD" w:rsidP="009338B1" w14:paraId="49B19812" w14:textId="77777777">
      <w:pPr>
        <w:pStyle w:val="Heading2"/>
        <w:spacing w:line="240" w:lineRule="auto"/>
      </w:pPr>
      <w:bookmarkStart w:id="12" w:name="_Toc46022720"/>
      <w:r>
        <w:t>12.</w:t>
      </w:r>
      <w:r>
        <w:tab/>
      </w:r>
      <w:r w:rsidRPr="00212785">
        <w:rPr>
          <w:u w:val="single"/>
        </w:rPr>
        <w:t xml:space="preserve">Estimates of Annualized Hour </w:t>
      </w:r>
      <w:r w:rsidRPr="00212785" w:rsidR="00212785">
        <w:rPr>
          <w:u w:val="single"/>
        </w:rPr>
        <w:t xml:space="preserve">and Cost </w:t>
      </w:r>
      <w:r w:rsidRPr="00212785">
        <w:rPr>
          <w:u w:val="single"/>
        </w:rPr>
        <w:t>Burden</w:t>
      </w:r>
      <w:bookmarkEnd w:id="12"/>
    </w:p>
    <w:p w:rsidR="002F53FD" w:rsidP="009338B1" w14:paraId="3D23D576" w14:textId="77777777">
      <w:pPr>
        <w:pStyle w:val="HTMLPreformatted"/>
        <w:rPr>
          <w:rFonts w:ascii="Times New Roman" w:hAnsi="Times New Roman" w:cs="Times New Roman"/>
          <w:sz w:val="24"/>
          <w:szCs w:val="24"/>
        </w:rPr>
      </w:pPr>
      <w:bookmarkStart w:id="13" w:name="_Toc46022721"/>
      <w:r>
        <w:rPr>
          <w:rFonts w:ascii="Times New Roman" w:hAnsi="Times New Roman" w:cs="Times New Roman"/>
          <w:sz w:val="24"/>
          <w:szCs w:val="24"/>
        </w:rPr>
        <w:t>The estimated annual burden to complete the Dental Services Form i</w:t>
      </w:r>
      <w:r w:rsidR="007613BF">
        <w:rPr>
          <w:rFonts w:ascii="Times New Roman" w:hAnsi="Times New Roman" w:cs="Times New Roman"/>
          <w:sz w:val="24"/>
          <w:szCs w:val="24"/>
        </w:rPr>
        <w:t>s as follows:</w:t>
      </w:r>
    </w:p>
    <w:p w:rsidR="00B60171" w:rsidP="00B60171" w14:paraId="4F8F4EB1" w14:textId="77777777">
      <w:pPr>
        <w:pStyle w:val="Footer"/>
        <w:tabs>
          <w:tab w:val="clear" w:pos="4320"/>
          <w:tab w:val="clear" w:pos="8640"/>
        </w:tabs>
        <w:spacing w:after="0" w:line="240" w:lineRule="auto"/>
        <w:rPr>
          <w:b/>
          <w:u w:val="single"/>
        </w:rPr>
      </w:pPr>
    </w:p>
    <w:p w:rsidR="002F53FD" w:rsidRPr="00B60171" w:rsidP="00B60171" w14:paraId="2A6A7906" w14:textId="0EB4F7B3">
      <w:pPr>
        <w:pStyle w:val="Footer"/>
        <w:tabs>
          <w:tab w:val="clear" w:pos="4320"/>
          <w:tab w:val="clear" w:pos="8640"/>
        </w:tabs>
        <w:spacing w:after="0" w:line="240" w:lineRule="auto"/>
        <w:rPr>
          <w:b/>
        </w:rPr>
      </w:pPr>
      <w:r w:rsidRPr="00B60171">
        <w:rPr>
          <w:b/>
        </w:rPr>
        <w:t>12A. Estimated Annualized Burden Hours</w:t>
      </w:r>
    </w:p>
    <w:p w:rsidR="00AB24E5" w:rsidRPr="00551081" w:rsidP="00AB24E5" w14:paraId="5F353585" w14:textId="1A2719C2">
      <w:pPr>
        <w:spacing w:line="240" w:lineRule="auto"/>
      </w:pPr>
      <w:r w:rsidRPr="00551081">
        <w:t>The past OMB inventory of burden hours for this activity was 45 hours for DRP applicants and 3</w:t>
      </w:r>
      <w:r w:rsidR="002879AC">
        <w:t>9</w:t>
      </w:r>
      <w:r w:rsidRPr="00551081">
        <w:t xml:space="preserve"> hours for CBDPP </w:t>
      </w:r>
      <w:r w:rsidR="00E52D7E">
        <w:t>recipients</w:t>
      </w:r>
      <w:r w:rsidRPr="00551081">
        <w:t xml:space="preserve">. </w:t>
      </w:r>
      <w:r w:rsidR="00315585">
        <w:t xml:space="preserve"> </w:t>
      </w:r>
      <w:r w:rsidRPr="00551081">
        <w:t xml:space="preserve">The recent pilot produced </w:t>
      </w:r>
      <w:r w:rsidR="00991150">
        <w:t xml:space="preserve">a significantly </w:t>
      </w:r>
      <w:r w:rsidR="00074403">
        <w:t>lower</w:t>
      </w:r>
      <w:r w:rsidR="00991150">
        <w:t xml:space="preserve"> </w:t>
      </w:r>
      <w:r w:rsidRPr="00551081">
        <w:t xml:space="preserve">burden estimate with </w:t>
      </w:r>
      <w:r w:rsidR="004F532D">
        <w:t>32</w:t>
      </w:r>
      <w:r w:rsidR="007136AB">
        <w:t xml:space="preserve"> hours for DRP recipients and 1.5 hours </w:t>
      </w:r>
      <w:r w:rsidR="00991150">
        <w:t xml:space="preserve">for </w:t>
      </w:r>
      <w:r w:rsidRPr="00551081">
        <w:t xml:space="preserve">CBDPP recipients. </w:t>
      </w:r>
      <w:r w:rsidR="00991150">
        <w:t>Both DRP</w:t>
      </w:r>
      <w:r w:rsidR="00464094">
        <w:t xml:space="preserve"> and</w:t>
      </w:r>
      <w:r w:rsidRPr="00551081">
        <w:t xml:space="preserve"> CBDPP respondents reported </w:t>
      </w:r>
      <w:r w:rsidR="00796E45">
        <w:t xml:space="preserve">lower </w:t>
      </w:r>
      <w:r w:rsidRPr="00551081">
        <w:t>burden estimate</w:t>
      </w:r>
      <w:r w:rsidR="00C45E41">
        <w:t>s</w:t>
      </w:r>
      <w:r w:rsidRPr="00551081">
        <w:t xml:space="preserve"> </w:t>
      </w:r>
      <w:r w:rsidR="00505FFA">
        <w:t xml:space="preserve">due to the </w:t>
      </w:r>
      <w:r w:rsidR="00D47CED">
        <w:t>deployment</w:t>
      </w:r>
      <w:r w:rsidR="00505FFA">
        <w:t xml:space="preserve"> of the DSR website in 2022. </w:t>
      </w:r>
    </w:p>
    <w:tbl>
      <w:tblPr>
        <w:tblStyle w:val="TableGrid"/>
        <w:tblW w:w="10345" w:type="dxa"/>
        <w:tblLook w:val="04A0"/>
      </w:tblPr>
      <w:tblGrid>
        <w:gridCol w:w="1265"/>
        <w:gridCol w:w="1474"/>
        <w:gridCol w:w="1511"/>
        <w:gridCol w:w="1474"/>
        <w:gridCol w:w="1651"/>
        <w:gridCol w:w="1530"/>
        <w:gridCol w:w="1440"/>
      </w:tblGrid>
      <w:tr w14:paraId="12A90E68" w14:textId="77777777" w:rsidTr="008559A6">
        <w:tblPrEx>
          <w:tblW w:w="10345" w:type="dxa"/>
          <w:tblLook w:val="04A0"/>
        </w:tblPrEx>
        <w:trPr>
          <w:trHeight w:val="719"/>
        </w:trPr>
        <w:tc>
          <w:tcPr>
            <w:tcW w:w="1265" w:type="dxa"/>
            <w:vAlign w:val="bottom"/>
          </w:tcPr>
          <w:p w:rsidR="006F6F91" w:rsidP="008559A6" w14:paraId="4C9A9F88" w14:textId="77777777">
            <w:pPr>
              <w:spacing w:after="0" w:line="240" w:lineRule="auto"/>
              <w:jc w:val="center"/>
            </w:pPr>
            <w:r w:rsidRPr="00296D03">
              <w:t>Form Name</w:t>
            </w:r>
          </w:p>
        </w:tc>
        <w:tc>
          <w:tcPr>
            <w:tcW w:w="1474" w:type="dxa"/>
            <w:vAlign w:val="bottom"/>
          </w:tcPr>
          <w:p w:rsidR="006F6F91" w:rsidP="008559A6" w14:paraId="62E6FF25" w14:textId="77777777">
            <w:pPr>
              <w:spacing w:after="0" w:line="240" w:lineRule="auto"/>
              <w:jc w:val="center"/>
            </w:pPr>
            <w:r w:rsidRPr="00296D03">
              <w:t>Type of Respondent</w:t>
            </w:r>
          </w:p>
        </w:tc>
        <w:tc>
          <w:tcPr>
            <w:tcW w:w="1511" w:type="dxa"/>
            <w:vAlign w:val="bottom"/>
          </w:tcPr>
          <w:p w:rsidR="006F6F91" w:rsidP="008559A6" w14:paraId="52D70701" w14:textId="77777777">
            <w:pPr>
              <w:spacing w:after="0" w:line="240" w:lineRule="auto"/>
              <w:jc w:val="center"/>
            </w:pPr>
            <w:r w:rsidRPr="00296D03">
              <w:t>N</w:t>
            </w:r>
            <w:r>
              <w:t>umber</w:t>
            </w:r>
            <w:r w:rsidRPr="00296D03">
              <w:t xml:space="preserve"> of Respondents</w:t>
            </w:r>
          </w:p>
        </w:tc>
        <w:tc>
          <w:tcPr>
            <w:tcW w:w="1474" w:type="dxa"/>
            <w:vAlign w:val="bottom"/>
          </w:tcPr>
          <w:p w:rsidR="006F6F91" w:rsidP="008559A6" w14:paraId="1E34A607" w14:textId="77777777">
            <w:pPr>
              <w:spacing w:after="0" w:line="240" w:lineRule="auto"/>
              <w:jc w:val="center"/>
            </w:pPr>
            <w:r w:rsidRPr="00296D03">
              <w:t>N</w:t>
            </w:r>
            <w:r>
              <w:t>umber</w:t>
            </w:r>
            <w:r w:rsidRPr="00296D03">
              <w:t xml:space="preserve"> of Responses per Respondent</w:t>
            </w:r>
          </w:p>
        </w:tc>
        <w:tc>
          <w:tcPr>
            <w:tcW w:w="1651" w:type="dxa"/>
            <w:vAlign w:val="bottom"/>
          </w:tcPr>
          <w:p w:rsidR="006F6F91" w:rsidP="008559A6" w14:paraId="64D22D43" w14:textId="77777777">
            <w:pPr>
              <w:spacing w:after="0" w:line="240" w:lineRule="auto"/>
              <w:jc w:val="center"/>
            </w:pPr>
            <w:r w:rsidRPr="00296D03">
              <w:t>Total Responses</w:t>
            </w:r>
          </w:p>
        </w:tc>
        <w:tc>
          <w:tcPr>
            <w:tcW w:w="1530" w:type="dxa"/>
            <w:vAlign w:val="bottom"/>
          </w:tcPr>
          <w:p w:rsidR="006F6F91" w:rsidP="008559A6" w14:paraId="6E1F518F" w14:textId="77777777">
            <w:pPr>
              <w:spacing w:after="0" w:line="240" w:lineRule="auto"/>
              <w:jc w:val="center"/>
            </w:pPr>
            <w:r w:rsidRPr="00296D03">
              <w:t>Average Burden per Response</w:t>
            </w:r>
            <w:r>
              <w:t xml:space="preserve"> (in hours)</w:t>
            </w:r>
          </w:p>
        </w:tc>
        <w:tc>
          <w:tcPr>
            <w:tcW w:w="1440" w:type="dxa"/>
            <w:vAlign w:val="bottom"/>
          </w:tcPr>
          <w:p w:rsidR="006F6F91" w:rsidP="008559A6" w14:paraId="4288BC35" w14:textId="77777777">
            <w:pPr>
              <w:spacing w:after="0" w:line="240" w:lineRule="auto"/>
              <w:jc w:val="center"/>
            </w:pPr>
            <w:r w:rsidRPr="00296D03">
              <w:t>Total Burden</w:t>
            </w:r>
          </w:p>
        </w:tc>
      </w:tr>
      <w:tr w14:paraId="0384ACE1" w14:textId="77777777" w:rsidTr="008559A6">
        <w:tblPrEx>
          <w:tblW w:w="10345" w:type="dxa"/>
          <w:tblLook w:val="04A0"/>
        </w:tblPrEx>
        <w:trPr>
          <w:trHeight w:val="269"/>
        </w:trPr>
        <w:tc>
          <w:tcPr>
            <w:tcW w:w="1265" w:type="dxa"/>
            <w:vMerge w:val="restart"/>
          </w:tcPr>
          <w:p w:rsidR="006F6F91" w:rsidP="008559A6" w14:paraId="7A9A5464" w14:textId="77777777">
            <w:pPr>
              <w:spacing w:after="0" w:line="240" w:lineRule="auto"/>
            </w:pPr>
            <w:r w:rsidRPr="00296D03">
              <w:t>Dental Services Report</w:t>
            </w:r>
          </w:p>
        </w:tc>
        <w:tc>
          <w:tcPr>
            <w:tcW w:w="1474" w:type="dxa"/>
          </w:tcPr>
          <w:p w:rsidR="006F6F91" w:rsidP="008559A6" w14:paraId="0DA46B67" w14:textId="77777777">
            <w:pPr>
              <w:spacing w:after="0" w:line="240" w:lineRule="auto"/>
            </w:pPr>
            <w:r w:rsidRPr="00296D03">
              <w:t>DRP</w:t>
            </w:r>
          </w:p>
        </w:tc>
        <w:tc>
          <w:tcPr>
            <w:tcW w:w="1511" w:type="dxa"/>
          </w:tcPr>
          <w:p w:rsidR="006F6F91" w:rsidP="008559A6" w14:paraId="77B9179F" w14:textId="77777777">
            <w:pPr>
              <w:spacing w:after="0" w:line="240" w:lineRule="auto"/>
              <w:jc w:val="right"/>
            </w:pPr>
            <w:r>
              <w:t>56</w:t>
            </w:r>
          </w:p>
        </w:tc>
        <w:tc>
          <w:tcPr>
            <w:tcW w:w="1474" w:type="dxa"/>
          </w:tcPr>
          <w:p w:rsidR="006F6F91" w:rsidP="008559A6" w14:paraId="12CC1A5D" w14:textId="77777777">
            <w:pPr>
              <w:spacing w:after="0" w:line="240" w:lineRule="auto"/>
              <w:jc w:val="right"/>
            </w:pPr>
            <w:r>
              <w:t>1</w:t>
            </w:r>
          </w:p>
        </w:tc>
        <w:tc>
          <w:tcPr>
            <w:tcW w:w="1651" w:type="dxa"/>
          </w:tcPr>
          <w:p w:rsidR="006F6F91" w:rsidP="008559A6" w14:paraId="3B1C0EF8" w14:textId="77777777">
            <w:pPr>
              <w:spacing w:after="0" w:line="240" w:lineRule="auto"/>
              <w:jc w:val="right"/>
            </w:pPr>
            <w:r>
              <w:t>56</w:t>
            </w:r>
          </w:p>
        </w:tc>
        <w:tc>
          <w:tcPr>
            <w:tcW w:w="1530" w:type="dxa"/>
          </w:tcPr>
          <w:p w:rsidR="006F6F91" w:rsidP="008559A6" w14:paraId="3E7707E0" w14:textId="77777777">
            <w:pPr>
              <w:spacing w:after="0" w:line="240" w:lineRule="auto"/>
              <w:jc w:val="right"/>
            </w:pPr>
            <w:r>
              <w:t>32.0</w:t>
            </w:r>
          </w:p>
        </w:tc>
        <w:tc>
          <w:tcPr>
            <w:tcW w:w="1440" w:type="dxa"/>
          </w:tcPr>
          <w:p w:rsidR="006F6F91" w:rsidP="008559A6" w14:paraId="7775F6A9" w14:textId="77777777">
            <w:pPr>
              <w:spacing w:after="0" w:line="240" w:lineRule="auto"/>
              <w:jc w:val="right"/>
            </w:pPr>
            <w:r>
              <w:t>1,792</w:t>
            </w:r>
          </w:p>
        </w:tc>
      </w:tr>
      <w:tr w14:paraId="674CD7C0" w14:textId="77777777" w:rsidTr="002B437D">
        <w:tblPrEx>
          <w:tblW w:w="10345" w:type="dxa"/>
          <w:tblLook w:val="04A0"/>
        </w:tblPrEx>
        <w:tc>
          <w:tcPr>
            <w:tcW w:w="1265" w:type="dxa"/>
            <w:vMerge/>
          </w:tcPr>
          <w:p w:rsidR="006F6F91" w:rsidRPr="00296D03" w:rsidP="008559A6" w14:paraId="13E8F468" w14:textId="77777777">
            <w:pPr>
              <w:spacing w:after="0" w:line="240" w:lineRule="auto"/>
            </w:pPr>
          </w:p>
        </w:tc>
        <w:tc>
          <w:tcPr>
            <w:tcW w:w="1474" w:type="dxa"/>
          </w:tcPr>
          <w:p w:rsidR="006F6F91" w:rsidRPr="00296D03" w:rsidP="008559A6" w14:paraId="6AF4E3E3" w14:textId="77777777">
            <w:pPr>
              <w:spacing w:after="0" w:line="240" w:lineRule="auto"/>
            </w:pPr>
            <w:r w:rsidRPr="00850404">
              <w:t>CBDPP</w:t>
            </w:r>
          </w:p>
        </w:tc>
        <w:tc>
          <w:tcPr>
            <w:tcW w:w="1511" w:type="dxa"/>
          </w:tcPr>
          <w:p w:rsidR="006F6F91" w:rsidP="008559A6" w14:paraId="4FD77ED0" w14:textId="77777777">
            <w:pPr>
              <w:spacing w:after="0" w:line="240" w:lineRule="auto"/>
              <w:jc w:val="right"/>
            </w:pPr>
            <w:r>
              <w:t>12</w:t>
            </w:r>
          </w:p>
        </w:tc>
        <w:tc>
          <w:tcPr>
            <w:tcW w:w="1474" w:type="dxa"/>
          </w:tcPr>
          <w:p w:rsidR="006F6F91" w:rsidP="008559A6" w14:paraId="1928DB70" w14:textId="77777777">
            <w:pPr>
              <w:spacing w:after="0" w:line="240" w:lineRule="auto"/>
              <w:jc w:val="right"/>
            </w:pPr>
            <w:r>
              <w:t>1</w:t>
            </w:r>
          </w:p>
        </w:tc>
        <w:tc>
          <w:tcPr>
            <w:tcW w:w="1651" w:type="dxa"/>
          </w:tcPr>
          <w:p w:rsidR="006F6F91" w:rsidP="008559A6" w14:paraId="4F77246A" w14:textId="77777777">
            <w:pPr>
              <w:spacing w:after="0" w:line="240" w:lineRule="auto"/>
              <w:jc w:val="right"/>
            </w:pPr>
            <w:r>
              <w:t>12</w:t>
            </w:r>
          </w:p>
        </w:tc>
        <w:tc>
          <w:tcPr>
            <w:tcW w:w="1530" w:type="dxa"/>
          </w:tcPr>
          <w:p w:rsidR="006F6F91" w:rsidP="008559A6" w14:paraId="28BCD059" w14:textId="77777777">
            <w:pPr>
              <w:spacing w:after="0" w:line="240" w:lineRule="auto"/>
              <w:jc w:val="right"/>
            </w:pPr>
            <w:r>
              <w:t>1.5</w:t>
            </w:r>
          </w:p>
        </w:tc>
        <w:tc>
          <w:tcPr>
            <w:tcW w:w="1440" w:type="dxa"/>
          </w:tcPr>
          <w:p w:rsidR="006F6F91" w:rsidP="008559A6" w14:paraId="6E91B800" w14:textId="77777777">
            <w:pPr>
              <w:spacing w:after="0" w:line="240" w:lineRule="auto"/>
              <w:jc w:val="right"/>
            </w:pPr>
            <w:r>
              <w:t>18</w:t>
            </w:r>
          </w:p>
        </w:tc>
      </w:tr>
      <w:tr w14:paraId="6AC0E743" w14:textId="77777777" w:rsidTr="002B437D">
        <w:tblPrEx>
          <w:tblW w:w="10345" w:type="dxa"/>
          <w:tblLook w:val="04A0"/>
        </w:tblPrEx>
        <w:tc>
          <w:tcPr>
            <w:tcW w:w="1265" w:type="dxa"/>
          </w:tcPr>
          <w:p w:rsidR="006F6F91" w:rsidP="008559A6" w14:paraId="09FDD56B" w14:textId="77777777">
            <w:pPr>
              <w:spacing w:after="0" w:line="240" w:lineRule="auto"/>
            </w:pPr>
            <w:r w:rsidRPr="00296D03">
              <w:t>Total</w:t>
            </w:r>
          </w:p>
        </w:tc>
        <w:tc>
          <w:tcPr>
            <w:tcW w:w="1474" w:type="dxa"/>
          </w:tcPr>
          <w:p w:rsidR="006F6F91" w:rsidP="008559A6" w14:paraId="69F1163A" w14:textId="77777777">
            <w:pPr>
              <w:spacing w:after="0" w:line="240" w:lineRule="auto"/>
            </w:pPr>
          </w:p>
        </w:tc>
        <w:tc>
          <w:tcPr>
            <w:tcW w:w="1511" w:type="dxa"/>
          </w:tcPr>
          <w:p w:rsidR="006F6F91" w:rsidP="008559A6" w14:paraId="60EE9D4A" w14:textId="77777777">
            <w:pPr>
              <w:spacing w:after="0" w:line="240" w:lineRule="auto"/>
              <w:jc w:val="right"/>
            </w:pPr>
            <w:r>
              <w:t>68</w:t>
            </w:r>
          </w:p>
        </w:tc>
        <w:tc>
          <w:tcPr>
            <w:tcW w:w="1474" w:type="dxa"/>
          </w:tcPr>
          <w:p w:rsidR="006F6F91" w:rsidP="008559A6" w14:paraId="3D150124" w14:textId="77777777">
            <w:pPr>
              <w:spacing w:after="0" w:line="240" w:lineRule="auto"/>
              <w:jc w:val="right"/>
            </w:pPr>
          </w:p>
        </w:tc>
        <w:tc>
          <w:tcPr>
            <w:tcW w:w="1651" w:type="dxa"/>
          </w:tcPr>
          <w:p w:rsidR="006F6F91" w:rsidP="008559A6" w14:paraId="69D99313" w14:textId="77777777">
            <w:pPr>
              <w:spacing w:after="0" w:line="240" w:lineRule="auto"/>
              <w:jc w:val="right"/>
            </w:pPr>
            <w:r>
              <w:t>68</w:t>
            </w:r>
          </w:p>
        </w:tc>
        <w:tc>
          <w:tcPr>
            <w:tcW w:w="1530" w:type="dxa"/>
          </w:tcPr>
          <w:p w:rsidR="006F6F91" w:rsidP="008559A6" w14:paraId="5AEC274D" w14:textId="77777777">
            <w:pPr>
              <w:spacing w:after="0" w:line="240" w:lineRule="auto"/>
              <w:jc w:val="right"/>
            </w:pPr>
          </w:p>
        </w:tc>
        <w:tc>
          <w:tcPr>
            <w:tcW w:w="1440" w:type="dxa"/>
          </w:tcPr>
          <w:p w:rsidR="006F6F91" w:rsidP="008559A6" w14:paraId="30ACA84A" w14:textId="77777777">
            <w:pPr>
              <w:spacing w:after="0" w:line="240" w:lineRule="auto"/>
              <w:jc w:val="right"/>
            </w:pPr>
            <w:r>
              <w:t>1,810</w:t>
            </w:r>
          </w:p>
        </w:tc>
      </w:tr>
    </w:tbl>
    <w:p w:rsidR="008E4597" w:rsidP="009338B1" w14:paraId="7E02B44A" w14:textId="177FF84A">
      <w:pPr>
        <w:pStyle w:val="Footer"/>
        <w:tabs>
          <w:tab w:val="clear" w:pos="4320"/>
          <w:tab w:val="clear" w:pos="8640"/>
        </w:tabs>
        <w:spacing w:line="240" w:lineRule="auto"/>
        <w:rPr>
          <w:b/>
        </w:rPr>
      </w:pPr>
    </w:p>
    <w:p w:rsidR="00E7612E" w:rsidRPr="00B91DF0" w:rsidP="009338B1" w14:paraId="5B64318D" w14:textId="77777777">
      <w:pPr>
        <w:pStyle w:val="Footer"/>
        <w:tabs>
          <w:tab w:val="clear" w:pos="4320"/>
          <w:tab w:val="clear" w:pos="8640"/>
        </w:tabs>
        <w:spacing w:line="240" w:lineRule="auto"/>
      </w:pPr>
    </w:p>
    <w:p w:rsidR="002F53FD" w:rsidRPr="00B91DF0" w:rsidP="009338B1" w14:paraId="2DCDC930" w14:textId="418CA4CC">
      <w:pPr>
        <w:pStyle w:val="Footer"/>
        <w:tabs>
          <w:tab w:val="clear" w:pos="4320"/>
          <w:tab w:val="clear" w:pos="8640"/>
        </w:tabs>
        <w:spacing w:line="240" w:lineRule="auto"/>
        <w:rPr>
          <w:b/>
        </w:rPr>
      </w:pPr>
      <w:r w:rsidRPr="00B91DF0">
        <w:rPr>
          <w:b/>
        </w:rPr>
        <w:t>12B. Estimated Annualize</w:t>
      </w:r>
      <w:r w:rsidR="00D96333">
        <w:rPr>
          <w:b/>
        </w:rPr>
        <w:t>d</w:t>
      </w:r>
      <w:r w:rsidRPr="00B91DF0">
        <w:rPr>
          <w:b/>
        </w:rPr>
        <w:t xml:space="preserve"> Burden Costs</w:t>
      </w:r>
    </w:p>
    <w:tbl>
      <w:tblPr>
        <w:tblStyle w:val="TableGrid"/>
        <w:tblW w:w="0" w:type="auto"/>
        <w:tblLook w:val="04A0"/>
      </w:tblPr>
      <w:tblGrid>
        <w:gridCol w:w="2348"/>
        <w:gridCol w:w="2328"/>
        <w:gridCol w:w="2327"/>
        <w:gridCol w:w="2347"/>
      </w:tblGrid>
      <w:tr w14:paraId="2CA7D76A" w14:textId="77777777" w:rsidTr="00B91DF0">
        <w:tblPrEx>
          <w:tblW w:w="0" w:type="auto"/>
          <w:tblLook w:val="04A0"/>
        </w:tblPrEx>
        <w:tc>
          <w:tcPr>
            <w:tcW w:w="2348" w:type="dxa"/>
            <w:vAlign w:val="center"/>
          </w:tcPr>
          <w:p w:rsidR="00DD7C61" w:rsidRPr="00B91DF0" w:rsidP="00B4782C" w14:paraId="4AABFD8B" w14:textId="77777777">
            <w:pPr>
              <w:pStyle w:val="Footer"/>
              <w:tabs>
                <w:tab w:val="clear" w:pos="4320"/>
                <w:tab w:val="clear" w:pos="8640"/>
              </w:tabs>
              <w:spacing w:line="240" w:lineRule="auto"/>
              <w:jc w:val="center"/>
            </w:pPr>
            <w:r w:rsidRPr="00B91DF0">
              <w:t>Type of Respondent</w:t>
            </w:r>
          </w:p>
        </w:tc>
        <w:tc>
          <w:tcPr>
            <w:tcW w:w="2328" w:type="dxa"/>
            <w:vAlign w:val="center"/>
          </w:tcPr>
          <w:p w:rsidR="00DD7C61" w:rsidRPr="00B91DF0" w:rsidP="00B4782C" w14:paraId="432AA5CC" w14:textId="77777777">
            <w:pPr>
              <w:pStyle w:val="Footer"/>
              <w:tabs>
                <w:tab w:val="clear" w:pos="4320"/>
                <w:tab w:val="clear" w:pos="8640"/>
              </w:tabs>
              <w:spacing w:line="240" w:lineRule="auto"/>
              <w:jc w:val="center"/>
            </w:pPr>
            <w:r w:rsidRPr="00B91DF0">
              <w:t>Total Burden Hours</w:t>
            </w:r>
          </w:p>
        </w:tc>
        <w:tc>
          <w:tcPr>
            <w:tcW w:w="2327" w:type="dxa"/>
            <w:vAlign w:val="center"/>
          </w:tcPr>
          <w:p w:rsidR="00DD7C61" w:rsidRPr="00B91DF0" w:rsidP="00B4782C" w14:paraId="562756F4" w14:textId="77777777">
            <w:pPr>
              <w:pStyle w:val="Footer"/>
              <w:tabs>
                <w:tab w:val="clear" w:pos="4320"/>
                <w:tab w:val="clear" w:pos="8640"/>
              </w:tabs>
              <w:spacing w:line="240" w:lineRule="auto"/>
              <w:jc w:val="center"/>
            </w:pPr>
            <w:r w:rsidRPr="00B91DF0">
              <w:t>Hourly Wage Rate</w:t>
            </w:r>
          </w:p>
        </w:tc>
        <w:tc>
          <w:tcPr>
            <w:tcW w:w="2347" w:type="dxa"/>
            <w:vAlign w:val="center"/>
          </w:tcPr>
          <w:p w:rsidR="00DD7C61" w:rsidRPr="00B91DF0" w:rsidP="00B4782C" w14:paraId="3E3FB24C" w14:textId="77777777">
            <w:pPr>
              <w:pStyle w:val="Footer"/>
              <w:tabs>
                <w:tab w:val="clear" w:pos="4320"/>
                <w:tab w:val="clear" w:pos="8640"/>
              </w:tabs>
              <w:spacing w:line="240" w:lineRule="auto"/>
              <w:jc w:val="center"/>
            </w:pPr>
            <w:r w:rsidRPr="00B91DF0">
              <w:t>Total Respondent Costs</w:t>
            </w:r>
          </w:p>
        </w:tc>
      </w:tr>
      <w:tr w14:paraId="0073C07F" w14:textId="77777777" w:rsidTr="00B91DF0">
        <w:tblPrEx>
          <w:tblW w:w="0" w:type="auto"/>
          <w:tblLook w:val="04A0"/>
        </w:tblPrEx>
        <w:tc>
          <w:tcPr>
            <w:tcW w:w="2348" w:type="dxa"/>
          </w:tcPr>
          <w:p w:rsidR="00DD7C61" w:rsidRPr="00B91DF0" w:rsidP="001D60CD" w14:paraId="3DFFD420" w14:textId="77777777">
            <w:pPr>
              <w:pStyle w:val="Footer"/>
              <w:tabs>
                <w:tab w:val="clear" w:pos="4320"/>
                <w:tab w:val="clear" w:pos="8640"/>
              </w:tabs>
              <w:spacing w:line="240" w:lineRule="auto"/>
            </w:pPr>
            <w:r w:rsidRPr="00B91DF0">
              <w:t>DRP</w:t>
            </w:r>
          </w:p>
        </w:tc>
        <w:tc>
          <w:tcPr>
            <w:tcW w:w="2328" w:type="dxa"/>
            <w:vAlign w:val="center"/>
          </w:tcPr>
          <w:p w:rsidR="00DD7C61" w:rsidRPr="00B91DF0" w:rsidP="008E63B4" w14:paraId="1A79A891" w14:textId="6A0E3E33">
            <w:pPr>
              <w:pStyle w:val="Footer"/>
              <w:tabs>
                <w:tab w:val="clear" w:pos="4320"/>
                <w:tab w:val="clear" w:pos="8640"/>
              </w:tabs>
              <w:spacing w:line="240" w:lineRule="auto"/>
              <w:jc w:val="right"/>
            </w:pPr>
            <w:r>
              <w:t>1</w:t>
            </w:r>
            <w:r w:rsidR="00E2255B">
              <w:t>,</w:t>
            </w:r>
            <w:r>
              <w:t>792</w:t>
            </w:r>
          </w:p>
        </w:tc>
        <w:tc>
          <w:tcPr>
            <w:tcW w:w="2327" w:type="dxa"/>
            <w:vAlign w:val="center"/>
          </w:tcPr>
          <w:p w:rsidR="00DD7C61" w:rsidRPr="00B91DF0" w:rsidP="008E63B4" w14:paraId="48448D74" w14:textId="55EC2884">
            <w:pPr>
              <w:pStyle w:val="Footer"/>
              <w:tabs>
                <w:tab w:val="clear" w:pos="4320"/>
                <w:tab w:val="clear" w:pos="8640"/>
              </w:tabs>
              <w:spacing w:line="240" w:lineRule="auto"/>
              <w:jc w:val="right"/>
            </w:pPr>
            <w:r>
              <w:t>37.53</w:t>
            </w:r>
          </w:p>
        </w:tc>
        <w:tc>
          <w:tcPr>
            <w:tcW w:w="2347" w:type="dxa"/>
            <w:vAlign w:val="center"/>
          </w:tcPr>
          <w:p w:rsidR="00DD7C61" w:rsidRPr="00B91DF0" w:rsidP="008E63B4" w14:paraId="08F37FA0" w14:textId="39B8EB5B">
            <w:pPr>
              <w:pStyle w:val="Footer"/>
              <w:tabs>
                <w:tab w:val="clear" w:pos="4320"/>
                <w:tab w:val="clear" w:pos="8640"/>
              </w:tabs>
              <w:spacing w:line="240" w:lineRule="auto"/>
              <w:jc w:val="right"/>
            </w:pPr>
            <w:r w:rsidRPr="00B91DF0">
              <w:t>$</w:t>
            </w:r>
            <w:r w:rsidR="008E71F4">
              <w:t>67,25</w:t>
            </w:r>
            <w:r w:rsidR="008559A6">
              <w:t>3.76</w:t>
            </w:r>
          </w:p>
        </w:tc>
      </w:tr>
      <w:tr w14:paraId="40EAADDA" w14:textId="77777777" w:rsidTr="00B91DF0">
        <w:tblPrEx>
          <w:tblW w:w="0" w:type="auto"/>
          <w:tblLook w:val="04A0"/>
        </w:tblPrEx>
        <w:tc>
          <w:tcPr>
            <w:tcW w:w="2348" w:type="dxa"/>
          </w:tcPr>
          <w:p w:rsidR="00DD7C61" w:rsidRPr="00B91DF0" w:rsidP="001D60CD" w14:paraId="73AC716B" w14:textId="77777777">
            <w:pPr>
              <w:pStyle w:val="Footer"/>
              <w:tabs>
                <w:tab w:val="clear" w:pos="4320"/>
                <w:tab w:val="clear" w:pos="8640"/>
              </w:tabs>
              <w:spacing w:line="240" w:lineRule="auto"/>
            </w:pPr>
            <w:r w:rsidRPr="00B91DF0">
              <w:t>CBDPP</w:t>
            </w:r>
          </w:p>
        </w:tc>
        <w:tc>
          <w:tcPr>
            <w:tcW w:w="2328" w:type="dxa"/>
            <w:vAlign w:val="center"/>
          </w:tcPr>
          <w:p w:rsidR="00DD7C61" w:rsidRPr="00B91DF0" w:rsidP="008E63B4" w14:paraId="3988194C" w14:textId="0B4A825D">
            <w:pPr>
              <w:pStyle w:val="Footer"/>
              <w:tabs>
                <w:tab w:val="clear" w:pos="4320"/>
                <w:tab w:val="clear" w:pos="8640"/>
              </w:tabs>
              <w:spacing w:line="240" w:lineRule="auto"/>
              <w:jc w:val="right"/>
            </w:pPr>
            <w:r>
              <w:t>18</w:t>
            </w:r>
          </w:p>
        </w:tc>
        <w:tc>
          <w:tcPr>
            <w:tcW w:w="2327" w:type="dxa"/>
            <w:vAlign w:val="center"/>
          </w:tcPr>
          <w:p w:rsidR="00DD7C61" w:rsidRPr="00B91DF0" w:rsidP="008E63B4" w14:paraId="353F4E8E" w14:textId="73A9039F">
            <w:pPr>
              <w:pStyle w:val="Footer"/>
              <w:tabs>
                <w:tab w:val="clear" w:pos="4320"/>
                <w:tab w:val="clear" w:pos="8640"/>
              </w:tabs>
              <w:spacing w:line="240" w:lineRule="auto"/>
              <w:jc w:val="right"/>
            </w:pPr>
            <w:r>
              <w:t>37.53</w:t>
            </w:r>
          </w:p>
        </w:tc>
        <w:tc>
          <w:tcPr>
            <w:tcW w:w="2347" w:type="dxa"/>
            <w:vAlign w:val="center"/>
          </w:tcPr>
          <w:p w:rsidR="00DD7C61" w:rsidRPr="00B91DF0" w:rsidP="008E63B4" w14:paraId="58B55E2C" w14:textId="7C9A1259">
            <w:pPr>
              <w:pStyle w:val="Footer"/>
              <w:tabs>
                <w:tab w:val="clear" w:pos="4320"/>
                <w:tab w:val="clear" w:pos="8640"/>
              </w:tabs>
              <w:spacing w:line="240" w:lineRule="auto"/>
              <w:jc w:val="right"/>
            </w:pPr>
            <w:r w:rsidRPr="00B91DF0">
              <w:t>$</w:t>
            </w:r>
            <w:r w:rsidR="008E71F4">
              <w:t>675.54</w:t>
            </w:r>
          </w:p>
        </w:tc>
      </w:tr>
      <w:tr w14:paraId="27E44DD7" w14:textId="77777777" w:rsidTr="00B91DF0">
        <w:tblPrEx>
          <w:tblW w:w="0" w:type="auto"/>
          <w:tblLook w:val="04A0"/>
        </w:tblPrEx>
        <w:tc>
          <w:tcPr>
            <w:tcW w:w="2348" w:type="dxa"/>
          </w:tcPr>
          <w:p w:rsidR="001D60CD" w:rsidRPr="00B91DF0" w:rsidP="002879AC" w14:paraId="061C654E" w14:textId="77777777">
            <w:pPr>
              <w:pStyle w:val="Footer"/>
              <w:tabs>
                <w:tab w:val="clear" w:pos="4320"/>
                <w:tab w:val="clear" w:pos="8640"/>
              </w:tabs>
              <w:spacing w:after="0" w:line="240" w:lineRule="auto"/>
            </w:pPr>
            <w:r w:rsidRPr="00B91DF0">
              <w:t>Total</w:t>
            </w:r>
          </w:p>
        </w:tc>
        <w:tc>
          <w:tcPr>
            <w:tcW w:w="2328" w:type="dxa"/>
            <w:vAlign w:val="center"/>
          </w:tcPr>
          <w:p w:rsidR="001D60CD" w:rsidRPr="00B91DF0" w:rsidP="008E63B4" w14:paraId="0A672466" w14:textId="77777777">
            <w:pPr>
              <w:pStyle w:val="Footer"/>
              <w:tabs>
                <w:tab w:val="clear" w:pos="4320"/>
                <w:tab w:val="clear" w:pos="8640"/>
              </w:tabs>
              <w:spacing w:after="0" w:line="240" w:lineRule="auto"/>
              <w:jc w:val="right"/>
            </w:pPr>
          </w:p>
        </w:tc>
        <w:tc>
          <w:tcPr>
            <w:tcW w:w="2327" w:type="dxa"/>
            <w:vAlign w:val="center"/>
          </w:tcPr>
          <w:p w:rsidR="001D60CD" w:rsidRPr="00B91DF0" w:rsidP="008E63B4" w14:paraId="31EC2656" w14:textId="77777777">
            <w:pPr>
              <w:pStyle w:val="Footer"/>
              <w:tabs>
                <w:tab w:val="clear" w:pos="4320"/>
                <w:tab w:val="clear" w:pos="8640"/>
              </w:tabs>
              <w:spacing w:after="0" w:line="240" w:lineRule="auto"/>
              <w:jc w:val="right"/>
            </w:pPr>
          </w:p>
        </w:tc>
        <w:tc>
          <w:tcPr>
            <w:tcW w:w="2347" w:type="dxa"/>
            <w:vAlign w:val="center"/>
          </w:tcPr>
          <w:p w:rsidR="001D60CD" w:rsidRPr="00B91DF0" w:rsidP="008E63B4" w14:paraId="4B877D72" w14:textId="0629DFDF">
            <w:pPr>
              <w:pStyle w:val="Footer"/>
              <w:tabs>
                <w:tab w:val="clear" w:pos="4320"/>
                <w:tab w:val="clear" w:pos="8640"/>
              </w:tabs>
              <w:spacing w:after="0" w:line="240" w:lineRule="auto"/>
              <w:jc w:val="right"/>
            </w:pPr>
            <w:r w:rsidRPr="00B91DF0">
              <w:t>$</w:t>
            </w:r>
            <w:r w:rsidR="00455464">
              <w:t>67,9</w:t>
            </w:r>
            <w:r w:rsidR="005C57BE">
              <w:t>29.30</w:t>
            </w:r>
          </w:p>
        </w:tc>
      </w:tr>
    </w:tbl>
    <w:p w:rsidR="00DD7C61" w:rsidP="002879AC" w14:paraId="7C8AF942" w14:textId="5AD4D1EE">
      <w:pPr>
        <w:pStyle w:val="Footer"/>
        <w:tabs>
          <w:tab w:val="clear" w:pos="4320"/>
          <w:tab w:val="clear" w:pos="8640"/>
        </w:tabs>
        <w:spacing w:after="0" w:line="240" w:lineRule="auto"/>
      </w:pPr>
      <w:hyperlink r:id="rId8" w:anchor="29-0000" w:history="1">
        <w:r w:rsidRPr="00B612B6" w:rsidR="002879AC">
          <w:rPr>
            <w:rStyle w:val="Hyperlink"/>
          </w:rPr>
          <w:t>https://www.bls.gov/oes/2020/may/oes_nat.htm#29-0000</w:t>
        </w:r>
      </w:hyperlink>
    </w:p>
    <w:p w:rsidR="00950827" w:rsidP="002879AC" w14:paraId="4464F3E1" w14:textId="77777777">
      <w:pPr>
        <w:pStyle w:val="Footer"/>
        <w:tabs>
          <w:tab w:val="clear" w:pos="4320"/>
          <w:tab w:val="clear" w:pos="8640"/>
        </w:tabs>
        <w:spacing w:after="0" w:line="240" w:lineRule="auto"/>
      </w:pPr>
    </w:p>
    <w:p w:rsidR="002F53FD" w:rsidRPr="00212785" w:rsidP="009338B1" w14:paraId="7A89561B" w14:textId="77777777">
      <w:pPr>
        <w:pStyle w:val="Heading2"/>
        <w:numPr>
          <w:ilvl w:val="0"/>
          <w:numId w:val="10"/>
        </w:numPr>
        <w:spacing w:line="240" w:lineRule="auto"/>
        <w:rPr>
          <w:u w:val="single"/>
        </w:rPr>
      </w:pPr>
      <w:r w:rsidRPr="00212785">
        <w:rPr>
          <w:u w:val="single"/>
        </w:rPr>
        <w:t>Estimates of Annualized Cost Burden to Respondents</w:t>
      </w:r>
      <w:bookmarkEnd w:id="13"/>
      <w:r w:rsidR="00212785">
        <w:rPr>
          <w:u w:val="single"/>
        </w:rPr>
        <w:t xml:space="preserve"> or Recordkeepers/Capital Costs</w:t>
      </w:r>
    </w:p>
    <w:p w:rsidR="002F53FD" w:rsidP="009338B1" w14:paraId="01B930D7" w14:textId="098D9D5A">
      <w:pPr>
        <w:spacing w:line="240" w:lineRule="auto"/>
      </w:pPr>
      <w:r>
        <w:t xml:space="preserve">There </w:t>
      </w:r>
      <w:r w:rsidR="00B60171">
        <w:t>is</w:t>
      </w:r>
      <w:r>
        <w:t xml:space="preserve"> no capital or </w:t>
      </w:r>
      <w:r w:rsidR="00B60171">
        <w:t>startup</w:t>
      </w:r>
      <w:r>
        <w:t xml:space="preserve"> costs for this activity.  </w:t>
      </w:r>
      <w:r w:rsidRPr="00851DC2">
        <w:t xml:space="preserve">There are no direct costs to respondents other than their time in participating in the data collection, which </w:t>
      </w:r>
      <w:r w:rsidRPr="00851DC2">
        <w:t>is shown</w:t>
      </w:r>
      <w:r w:rsidRPr="00851DC2">
        <w:t xml:space="preserve"> in </w:t>
      </w:r>
      <w:r w:rsidR="005A439B">
        <w:t xml:space="preserve">the </w:t>
      </w:r>
      <w:r w:rsidRPr="00851DC2">
        <w:t>table above.</w:t>
      </w:r>
    </w:p>
    <w:p w:rsidR="002F53FD" w:rsidRPr="00212785" w:rsidP="009338B1" w14:paraId="3893524A" w14:textId="77777777">
      <w:pPr>
        <w:pStyle w:val="Heading2"/>
        <w:numPr>
          <w:ilvl w:val="0"/>
          <w:numId w:val="10"/>
        </w:numPr>
        <w:spacing w:line="240" w:lineRule="auto"/>
        <w:rPr>
          <w:u w:val="single"/>
        </w:rPr>
      </w:pPr>
      <w:r>
        <w:rPr>
          <w:u w:val="single"/>
        </w:rPr>
        <w:t>Annualized Cost to Federal Government</w:t>
      </w:r>
    </w:p>
    <w:p w:rsidR="002F5E96" w:rsidP="004F51C8" w14:paraId="70871207" w14:textId="730C3897">
      <w:pPr>
        <w:spacing w:line="240" w:lineRule="auto"/>
        <w:rPr>
          <w:rStyle w:val="BodyTextFi"/>
        </w:rPr>
      </w:pPr>
      <w:r w:rsidRPr="004F51C8">
        <w:t>HRSA has maintained a contract to provide technical assistance, the distribution of OMB-approved dental services data report forms, data entr</w:t>
      </w:r>
      <w:r w:rsidRPr="004F51C8" w:rsidR="00FC6B7A">
        <w:t>y, and analysis.</w:t>
      </w:r>
      <w:r w:rsidR="00315585">
        <w:t xml:space="preserve"> </w:t>
      </w:r>
      <w:r w:rsidRPr="004F51C8" w:rsidR="00FC6B7A">
        <w:t xml:space="preserve"> </w:t>
      </w:r>
      <w:r w:rsidR="00A971D5">
        <w:rPr>
          <w:rStyle w:val="BodyTextFi"/>
        </w:rPr>
        <w:t>T</w:t>
      </w:r>
      <w:r>
        <w:rPr>
          <w:rStyle w:val="BodyTextFi"/>
        </w:rPr>
        <w:t xml:space="preserve">he estimated average annual cost </w:t>
      </w:r>
      <w:r w:rsidR="00A971D5">
        <w:rPr>
          <w:rStyle w:val="BodyTextFi"/>
        </w:rPr>
        <w:t xml:space="preserve">for this contract </w:t>
      </w:r>
      <w:r>
        <w:rPr>
          <w:rStyle w:val="BodyTextFi"/>
        </w:rPr>
        <w:t>is $</w:t>
      </w:r>
      <w:r w:rsidR="006278DD">
        <w:rPr>
          <w:rStyle w:val="BodyTextFi"/>
        </w:rPr>
        <w:t>83,077</w:t>
      </w:r>
      <w:r w:rsidR="006A7299">
        <w:rPr>
          <w:rStyle w:val="BodyTextFi"/>
        </w:rPr>
        <w:t>.60</w:t>
      </w:r>
      <w:r w:rsidR="00A971D5">
        <w:rPr>
          <w:rStyle w:val="BodyTextFi"/>
        </w:rPr>
        <w:t xml:space="preserve"> ($</w:t>
      </w:r>
      <w:r w:rsidR="006A7299">
        <w:rPr>
          <w:rStyle w:val="BodyTextFi"/>
        </w:rPr>
        <w:t>332.310.38</w:t>
      </w:r>
      <w:r w:rsidR="00A971D5">
        <w:rPr>
          <w:rStyle w:val="BodyTextFi"/>
        </w:rPr>
        <w:t>), based on the table below</w:t>
      </w:r>
      <w:r w:rsidR="004F51C8">
        <w:rPr>
          <w:rStyle w:val="BodyTextFi"/>
        </w:rPr>
        <w:t>.</w:t>
      </w:r>
    </w:p>
    <w:tbl>
      <w:tblPr>
        <w:tblW w:w="9360" w:type="dxa"/>
        <w:tblLayout w:type="fixed"/>
        <w:tblLook w:val="04A0"/>
      </w:tblPr>
      <w:tblGrid>
        <w:gridCol w:w="4320"/>
        <w:gridCol w:w="5040"/>
      </w:tblGrid>
      <w:tr w14:paraId="2A30AF56" w14:textId="77777777" w:rsidTr="00950827">
        <w:tblPrEx>
          <w:tblW w:w="9360" w:type="dxa"/>
          <w:tblLayout w:type="fixed"/>
          <w:tblLook w:val="04A0"/>
        </w:tblPrEx>
        <w:trPr>
          <w:trHeight w:val="423"/>
        </w:trPr>
        <w:tc>
          <w:tcPr>
            <w:tcW w:w="4320" w:type="dxa"/>
            <w:shd w:val="clear" w:color="auto" w:fill="6C6F71"/>
            <w:noWrap/>
            <w:vAlign w:val="bottom"/>
            <w:hideMark/>
          </w:tcPr>
          <w:p w:rsidR="00950827" w:rsidRPr="008851A7" w:rsidP="00C34956" w14:paraId="32592D97" w14:textId="77777777">
            <w:pPr>
              <w:pStyle w:val="TableHeaderLeft"/>
            </w:pPr>
            <w:r>
              <w:t>Contract y</w:t>
            </w:r>
            <w:r w:rsidRPr="008851A7">
              <w:t>ear</w:t>
            </w:r>
          </w:p>
        </w:tc>
        <w:tc>
          <w:tcPr>
            <w:tcW w:w="5040" w:type="dxa"/>
            <w:shd w:val="clear" w:color="auto" w:fill="6C6F71"/>
            <w:noWrap/>
            <w:vAlign w:val="bottom"/>
            <w:hideMark/>
          </w:tcPr>
          <w:p w:rsidR="00950827" w:rsidRPr="00854373" w:rsidP="00C34956" w14:paraId="284AF48B" w14:textId="4AEA1C45">
            <w:pPr>
              <w:pStyle w:val="TableHeaderCenter"/>
            </w:pPr>
            <w:r>
              <w:t xml:space="preserve">Task 4 (Dental Programs) </w:t>
            </w:r>
            <w:r w:rsidRPr="00854373">
              <w:t>cost</w:t>
            </w:r>
          </w:p>
        </w:tc>
      </w:tr>
      <w:tr w14:paraId="0C58B36B" w14:textId="77777777" w:rsidTr="00950827">
        <w:tblPrEx>
          <w:tblW w:w="9360" w:type="dxa"/>
          <w:tblLayout w:type="fixed"/>
          <w:tblLook w:val="04A0"/>
        </w:tblPrEx>
        <w:trPr>
          <w:trHeight w:val="300"/>
        </w:trPr>
        <w:tc>
          <w:tcPr>
            <w:tcW w:w="4320" w:type="dxa"/>
            <w:tcBorders>
              <w:bottom w:val="single" w:sz="2" w:space="0" w:color="BFBFBF" w:themeColor="background1" w:themeShade="BF"/>
            </w:tcBorders>
            <w:shd w:val="clear" w:color="auto" w:fill="auto"/>
            <w:noWrap/>
            <w:vAlign w:val="center"/>
            <w:hideMark/>
          </w:tcPr>
          <w:p w:rsidR="00950827" w:rsidRPr="008851A7" w:rsidP="00C34956" w14:paraId="28C34418" w14:textId="06E730B6">
            <w:pPr>
              <w:spacing w:before="40" w:after="40"/>
            </w:pPr>
            <w:r>
              <w:t>Base year (20</w:t>
            </w:r>
            <w:r w:rsidR="005A439B">
              <w:t>22</w:t>
            </w:r>
            <w:r>
              <w:t>-</w:t>
            </w:r>
            <w:r w:rsidR="005A439B">
              <w:t>23</w:t>
            </w:r>
            <w:r>
              <w:t>)</w:t>
            </w:r>
          </w:p>
        </w:tc>
        <w:tc>
          <w:tcPr>
            <w:tcW w:w="5040" w:type="dxa"/>
            <w:tcBorders>
              <w:bottom w:val="single" w:sz="2" w:space="0" w:color="BFBFBF" w:themeColor="background1" w:themeShade="BF"/>
            </w:tcBorders>
            <w:shd w:val="clear" w:color="auto" w:fill="auto"/>
            <w:noWrap/>
            <w:vAlign w:val="center"/>
          </w:tcPr>
          <w:p w:rsidR="00950827" w:rsidRPr="008851A7" w:rsidP="0049376E" w14:paraId="45F6BFDB" w14:textId="2D95EE84">
            <w:pPr>
              <w:tabs>
                <w:tab w:val="decimal" w:pos="702"/>
              </w:tabs>
              <w:spacing w:before="40" w:after="40"/>
              <w:ind w:left="-3170"/>
              <w:jc w:val="center"/>
            </w:pPr>
            <w:r w:rsidRPr="008851A7">
              <w:t>$</w:t>
            </w:r>
            <w:r>
              <w:t>81,023.01</w:t>
            </w:r>
          </w:p>
        </w:tc>
      </w:tr>
      <w:tr w14:paraId="1E0B3C84" w14:textId="77777777" w:rsidTr="00950827">
        <w:tblPrEx>
          <w:tblW w:w="9360" w:type="dxa"/>
          <w:tblLayout w:type="fixed"/>
          <w:tblLook w:val="04A0"/>
        </w:tblPrEx>
        <w:trPr>
          <w:trHeight w:val="300"/>
        </w:trPr>
        <w:tc>
          <w:tcPr>
            <w:tcW w:w="4320" w:type="dxa"/>
            <w:tcBorders>
              <w:top w:val="single" w:sz="2" w:space="0" w:color="BFBFBF" w:themeColor="background1" w:themeShade="BF"/>
              <w:bottom w:val="single" w:sz="2" w:space="0" w:color="BFBFBF" w:themeColor="background1" w:themeShade="BF"/>
            </w:tcBorders>
            <w:shd w:val="clear" w:color="auto" w:fill="auto"/>
            <w:noWrap/>
            <w:vAlign w:val="center"/>
            <w:hideMark/>
          </w:tcPr>
          <w:p w:rsidR="00950827" w:rsidRPr="008851A7" w:rsidP="00C34956" w14:paraId="41E7D195" w14:textId="51C863E7">
            <w:pPr>
              <w:spacing w:before="40" w:after="40"/>
            </w:pPr>
            <w:r>
              <w:t>Option year 1 (20</w:t>
            </w:r>
            <w:r w:rsidR="005A439B">
              <w:t>23</w:t>
            </w:r>
            <w:r>
              <w:t>-2</w:t>
            </w:r>
            <w:r w:rsidR="005A439B">
              <w:t>4</w:t>
            </w:r>
            <w:r>
              <w:t>)</w:t>
            </w:r>
          </w:p>
        </w:tc>
        <w:tc>
          <w:tcPr>
            <w:tcW w:w="5040" w:type="dxa"/>
            <w:tcBorders>
              <w:top w:val="single" w:sz="2" w:space="0" w:color="BFBFBF" w:themeColor="background1" w:themeShade="BF"/>
              <w:bottom w:val="single" w:sz="2" w:space="0" w:color="BFBFBF" w:themeColor="background1" w:themeShade="BF"/>
            </w:tcBorders>
            <w:shd w:val="clear" w:color="auto" w:fill="auto"/>
            <w:noWrap/>
            <w:vAlign w:val="center"/>
          </w:tcPr>
          <w:p w:rsidR="00950827" w:rsidRPr="008851A7" w:rsidP="0049376E" w14:paraId="04AF39FC" w14:textId="479C9689">
            <w:pPr>
              <w:tabs>
                <w:tab w:val="decimal" w:pos="702"/>
              </w:tabs>
              <w:spacing w:before="40" w:after="40"/>
              <w:ind w:left="-4610"/>
              <w:jc w:val="center"/>
            </w:pPr>
            <w:r w:rsidRPr="008851A7">
              <w:t>$</w:t>
            </w:r>
            <w:r>
              <w:t>82,425.75</w:t>
            </w:r>
          </w:p>
        </w:tc>
      </w:tr>
      <w:tr w14:paraId="68848DF1" w14:textId="77777777" w:rsidTr="00950827">
        <w:tblPrEx>
          <w:tblW w:w="9360" w:type="dxa"/>
          <w:tblLayout w:type="fixed"/>
          <w:tblLook w:val="04A0"/>
        </w:tblPrEx>
        <w:trPr>
          <w:trHeight w:val="300"/>
        </w:trPr>
        <w:tc>
          <w:tcPr>
            <w:tcW w:w="4320" w:type="dxa"/>
            <w:tcBorders>
              <w:top w:val="single" w:sz="2" w:space="0" w:color="BFBFBF" w:themeColor="background1" w:themeShade="BF"/>
              <w:bottom w:val="single" w:sz="2" w:space="0" w:color="BFBFBF" w:themeColor="background1" w:themeShade="BF"/>
            </w:tcBorders>
            <w:shd w:val="clear" w:color="auto" w:fill="auto"/>
            <w:noWrap/>
            <w:vAlign w:val="center"/>
            <w:hideMark/>
          </w:tcPr>
          <w:p w:rsidR="00950827" w:rsidRPr="008851A7" w:rsidP="00C34956" w14:paraId="301D597D" w14:textId="765773B2">
            <w:pPr>
              <w:spacing w:before="40" w:after="40"/>
            </w:pPr>
            <w:r>
              <w:t>Option year 2 (202</w:t>
            </w:r>
            <w:r w:rsidR="005A439B">
              <w:t>4</w:t>
            </w:r>
            <w:r>
              <w:t>-2</w:t>
            </w:r>
            <w:r w:rsidR="005A439B">
              <w:t>5</w:t>
            </w:r>
            <w:r>
              <w:t>)</w:t>
            </w:r>
          </w:p>
        </w:tc>
        <w:tc>
          <w:tcPr>
            <w:tcW w:w="5040" w:type="dxa"/>
            <w:tcBorders>
              <w:top w:val="single" w:sz="2" w:space="0" w:color="BFBFBF" w:themeColor="background1" w:themeShade="BF"/>
              <w:bottom w:val="single" w:sz="2" w:space="0" w:color="BFBFBF" w:themeColor="background1" w:themeShade="BF"/>
            </w:tcBorders>
            <w:shd w:val="clear" w:color="auto" w:fill="auto"/>
            <w:noWrap/>
            <w:vAlign w:val="center"/>
          </w:tcPr>
          <w:p w:rsidR="00950827" w:rsidRPr="008851A7" w:rsidP="0049376E" w14:paraId="7BE987E3" w14:textId="4CE8E7B9">
            <w:pPr>
              <w:tabs>
                <w:tab w:val="decimal" w:pos="702"/>
              </w:tabs>
              <w:spacing w:before="40" w:after="40"/>
              <w:ind w:left="-3710"/>
              <w:jc w:val="center"/>
            </w:pPr>
            <w:r w:rsidRPr="008851A7">
              <w:t>$</w:t>
            </w:r>
            <w:r>
              <w:t>83,748.61</w:t>
            </w:r>
          </w:p>
        </w:tc>
      </w:tr>
      <w:tr w14:paraId="3267B63B" w14:textId="77777777" w:rsidTr="00950827">
        <w:tblPrEx>
          <w:tblW w:w="9360" w:type="dxa"/>
          <w:tblLayout w:type="fixed"/>
          <w:tblLook w:val="04A0"/>
        </w:tblPrEx>
        <w:trPr>
          <w:trHeight w:val="300"/>
        </w:trPr>
        <w:tc>
          <w:tcPr>
            <w:tcW w:w="4320" w:type="dxa"/>
            <w:tcBorders>
              <w:top w:val="single" w:sz="2" w:space="0" w:color="BFBFBF" w:themeColor="background1" w:themeShade="BF"/>
              <w:bottom w:val="single" w:sz="2" w:space="0" w:color="BFBFBF" w:themeColor="background1" w:themeShade="BF"/>
            </w:tcBorders>
            <w:shd w:val="clear" w:color="auto" w:fill="auto"/>
            <w:noWrap/>
            <w:vAlign w:val="center"/>
            <w:hideMark/>
          </w:tcPr>
          <w:p w:rsidR="00950827" w:rsidRPr="008851A7" w:rsidP="00C34956" w14:paraId="40465182" w14:textId="2D53BE85">
            <w:pPr>
              <w:spacing w:before="40" w:after="40"/>
            </w:pPr>
            <w:r>
              <w:t>Option year 3 (202</w:t>
            </w:r>
            <w:r w:rsidR="005A439B">
              <w:t>5</w:t>
            </w:r>
            <w:r>
              <w:t>-2</w:t>
            </w:r>
            <w:r w:rsidR="005A439B">
              <w:t>6</w:t>
            </w:r>
            <w:r>
              <w:t>)</w:t>
            </w:r>
          </w:p>
        </w:tc>
        <w:tc>
          <w:tcPr>
            <w:tcW w:w="5040" w:type="dxa"/>
            <w:tcBorders>
              <w:top w:val="single" w:sz="2" w:space="0" w:color="BFBFBF" w:themeColor="background1" w:themeShade="BF"/>
              <w:bottom w:val="single" w:sz="2" w:space="0" w:color="BFBFBF" w:themeColor="background1" w:themeShade="BF"/>
            </w:tcBorders>
            <w:shd w:val="clear" w:color="auto" w:fill="auto"/>
            <w:noWrap/>
            <w:vAlign w:val="center"/>
          </w:tcPr>
          <w:p w:rsidR="00950827" w:rsidRPr="008851A7" w:rsidP="0049376E" w14:paraId="12D93311" w14:textId="0528ECD6">
            <w:pPr>
              <w:tabs>
                <w:tab w:val="decimal" w:pos="702"/>
              </w:tabs>
              <w:spacing w:before="40" w:after="40"/>
              <w:ind w:left="-3170"/>
              <w:jc w:val="center"/>
            </w:pPr>
            <w:r>
              <w:t>$85,113.01</w:t>
            </w:r>
          </w:p>
        </w:tc>
      </w:tr>
      <w:tr w14:paraId="7045E409" w14:textId="77777777" w:rsidTr="00950827">
        <w:tblPrEx>
          <w:tblW w:w="9360" w:type="dxa"/>
          <w:tblLayout w:type="fixed"/>
          <w:tblLook w:val="04A0"/>
        </w:tblPrEx>
        <w:trPr>
          <w:trHeight w:val="300"/>
        </w:trPr>
        <w:tc>
          <w:tcPr>
            <w:tcW w:w="4320" w:type="dxa"/>
            <w:tcBorders>
              <w:top w:val="single" w:sz="2" w:space="0" w:color="BFBFBF" w:themeColor="background1" w:themeShade="BF"/>
              <w:bottom w:val="single" w:sz="4" w:space="0" w:color="auto"/>
            </w:tcBorders>
            <w:shd w:val="clear" w:color="auto" w:fill="auto"/>
            <w:noWrap/>
            <w:vAlign w:val="center"/>
          </w:tcPr>
          <w:p w:rsidR="00950827" w:rsidP="00C34956" w14:paraId="4FC6C648" w14:textId="77777777">
            <w:pPr>
              <w:spacing w:before="40" w:after="40"/>
            </w:pPr>
            <w:r>
              <w:t>Total cost</w:t>
            </w:r>
          </w:p>
        </w:tc>
        <w:tc>
          <w:tcPr>
            <w:tcW w:w="5040" w:type="dxa"/>
            <w:tcBorders>
              <w:top w:val="single" w:sz="2" w:space="0" w:color="BFBFBF" w:themeColor="background1" w:themeShade="BF"/>
              <w:bottom w:val="single" w:sz="4" w:space="0" w:color="auto"/>
            </w:tcBorders>
            <w:shd w:val="clear" w:color="auto" w:fill="auto"/>
            <w:noWrap/>
            <w:vAlign w:val="center"/>
          </w:tcPr>
          <w:p w:rsidR="00950827" w:rsidP="0049376E" w14:paraId="122C55F5" w14:textId="53FD9C83">
            <w:pPr>
              <w:tabs>
                <w:tab w:val="decimal" w:pos="702"/>
              </w:tabs>
              <w:spacing w:before="40" w:after="40"/>
              <w:ind w:left="-4610"/>
              <w:jc w:val="center"/>
            </w:pPr>
            <w:r>
              <w:t>$332,310.38</w:t>
            </w:r>
          </w:p>
        </w:tc>
      </w:tr>
    </w:tbl>
    <w:p w:rsidR="002F53FD" w:rsidP="009338B1" w14:paraId="6A81150A" w14:textId="3B260996">
      <w:pPr>
        <w:spacing w:line="240" w:lineRule="auto"/>
      </w:pPr>
    </w:p>
    <w:p w:rsidR="004F51C8" w:rsidRPr="008851A7" w:rsidP="004F51C8" w14:paraId="64D1BB98" w14:textId="6D455473">
      <w:pPr>
        <w:pStyle w:val="NormalSS"/>
        <w:ind w:firstLine="0"/>
      </w:pPr>
      <w:r w:rsidRPr="008851A7">
        <w:t>In addition, there will be the cost for a GS 1</w:t>
      </w:r>
      <w:r>
        <w:t>3</w:t>
      </w:r>
      <w:r w:rsidRPr="008851A7">
        <w:t xml:space="preserve"> (Step </w:t>
      </w:r>
      <w:r>
        <w:t>5</w:t>
      </w:r>
      <w:r w:rsidRPr="008851A7">
        <w:t>) at 1</w:t>
      </w:r>
      <w:r>
        <w:t xml:space="preserve">0% </w:t>
      </w:r>
      <w:r w:rsidRPr="008851A7">
        <w:t>time</w:t>
      </w:r>
      <w:r>
        <w:t xml:space="preserve"> of 1 FTE </w:t>
      </w:r>
      <w:r w:rsidRPr="008851A7">
        <w:t>(</w:t>
      </w:r>
      <w:r>
        <w:t>$</w:t>
      </w:r>
      <w:r w:rsidR="00452EC0">
        <w:t>126,949</w:t>
      </w:r>
      <w:r w:rsidR="00DC6D6F">
        <w:t xml:space="preserve"> </w:t>
      </w:r>
      <w:r>
        <w:t xml:space="preserve">per year x 10% = </w:t>
      </w:r>
      <w:r w:rsidRPr="008851A7">
        <w:t xml:space="preserve">approximately </w:t>
      </w:r>
      <w:r>
        <w:t>$</w:t>
      </w:r>
      <w:r w:rsidR="00826486">
        <w:t>12,69</w:t>
      </w:r>
      <w:r w:rsidR="00BD4F8E">
        <w:t>5</w:t>
      </w:r>
      <w:r w:rsidR="00DC6D6F">
        <w:t xml:space="preserve"> </w:t>
      </w:r>
      <w:r w:rsidRPr="008851A7">
        <w:t>per year) to monitor the project.</w:t>
      </w:r>
      <w:r w:rsidR="00315585">
        <w:t xml:space="preserve"> </w:t>
      </w:r>
      <w:r w:rsidRPr="008851A7">
        <w:t xml:space="preserve"> The average annual total cost of the project is </w:t>
      </w:r>
      <w:r w:rsidRPr="004F7448">
        <w:t>$</w:t>
      </w:r>
      <w:r w:rsidR="001C0A96">
        <w:t>96,</w:t>
      </w:r>
      <w:r w:rsidR="00806F3E">
        <w:t>042</w:t>
      </w:r>
      <w:r w:rsidR="007D1082">
        <w:t xml:space="preserve"> </w:t>
      </w:r>
      <w:r w:rsidRPr="008851A7">
        <w:t xml:space="preserve">and the total cost of the </w:t>
      </w:r>
      <w:r>
        <w:t>four</w:t>
      </w:r>
      <w:r w:rsidRPr="008851A7">
        <w:t xml:space="preserve">-year project is </w:t>
      </w:r>
      <w:r w:rsidRPr="004F7448">
        <w:t>$</w:t>
      </w:r>
      <w:r w:rsidR="001B5BFA">
        <w:t>384,168</w:t>
      </w:r>
      <w:r w:rsidRPr="008851A7">
        <w:t>.</w:t>
      </w:r>
    </w:p>
    <w:p w:rsidR="002F53FD" w:rsidRPr="00212785" w:rsidP="00EF45F3" w14:paraId="7511143F" w14:textId="77777777">
      <w:pPr>
        <w:pStyle w:val="Heading2"/>
        <w:spacing w:line="240" w:lineRule="auto"/>
        <w:rPr>
          <w:u w:val="single"/>
        </w:rPr>
      </w:pPr>
      <w:bookmarkStart w:id="14" w:name="_Toc46022723"/>
      <w:r w:rsidRPr="00907570">
        <w:t>15.</w:t>
      </w:r>
      <w:r w:rsidRPr="00907570">
        <w:tab/>
      </w:r>
      <w:r w:rsidRPr="00212785" w:rsidR="00212785">
        <w:rPr>
          <w:u w:val="single"/>
        </w:rPr>
        <w:t>Explanation for Program Changes or Adjustments</w:t>
      </w:r>
      <w:bookmarkEnd w:id="14"/>
    </w:p>
    <w:p w:rsidR="00B60171" w:rsidRPr="00E65A52" w:rsidP="00B60171" w14:paraId="1E5C5B44" w14:textId="717D3834">
      <w:pPr>
        <w:pStyle w:val="BodyText"/>
        <w:spacing w:line="240" w:lineRule="auto"/>
        <w:jc w:val="left"/>
        <w:rPr>
          <w:rFonts w:ascii="Times New Roman" w:hAnsi="Times New Roman" w:cs="Times New Roman"/>
          <w:b w:val="0"/>
          <w:bCs w:val="0"/>
          <w:sz w:val="24"/>
        </w:rPr>
      </w:pPr>
      <w:r w:rsidRPr="00FF11E2">
        <w:rPr>
          <w:rFonts w:ascii="Times New Roman" w:hAnsi="Times New Roman" w:cs="Times New Roman"/>
          <w:b w:val="0"/>
          <w:bCs w:val="0"/>
          <w:sz w:val="24"/>
        </w:rPr>
        <w:t xml:space="preserve">Beginning with the 2022 DSR submission, the DSR website provided RWHAP DRP applicants and RWHAP CBDPP recipients an easily accessible and secure location to enter and submit their aggregate DSR data annually.  The web-based platform is accessible by all users and allows users to easily navigate and enter their data.  Users can see their report submission status and will no longer email their completed dataset to HRSA.  </w:t>
      </w:r>
      <w:r w:rsidRPr="00AE3810" w:rsidR="00AE3810">
        <w:rPr>
          <w:rFonts w:ascii="Times New Roman" w:hAnsi="Times New Roman" w:cs="Times New Roman"/>
          <w:b w:val="0"/>
          <w:bCs w:val="0"/>
          <w:sz w:val="24"/>
        </w:rPr>
        <w:t xml:space="preserve">HRSA HAB proposes two additions to the DSR data reporting tool. </w:t>
      </w:r>
      <w:r w:rsidR="00D76D53">
        <w:rPr>
          <w:rFonts w:ascii="Times New Roman" w:hAnsi="Times New Roman" w:cs="Times New Roman"/>
          <w:b w:val="0"/>
          <w:bCs w:val="0"/>
          <w:sz w:val="24"/>
        </w:rPr>
        <w:t xml:space="preserve"> </w:t>
      </w:r>
      <w:r w:rsidRPr="00AE3810" w:rsidR="00AE3810">
        <w:rPr>
          <w:rFonts w:ascii="Times New Roman" w:hAnsi="Times New Roman" w:cs="Times New Roman"/>
          <w:b w:val="0"/>
          <w:bCs w:val="0"/>
          <w:sz w:val="24"/>
        </w:rPr>
        <w:t>First, HRSA HAB proposes adding an additional response option to the HIV/AIDS Status question to capture clients whose HIV status is indeterminate.</w:t>
      </w:r>
      <w:r w:rsidR="00315585">
        <w:rPr>
          <w:rFonts w:ascii="Times New Roman" w:hAnsi="Times New Roman" w:cs="Times New Roman"/>
          <w:b w:val="0"/>
          <w:bCs w:val="0"/>
          <w:sz w:val="24"/>
        </w:rPr>
        <w:t xml:space="preserve"> </w:t>
      </w:r>
      <w:r w:rsidRPr="00AE3810" w:rsidR="00AE3810">
        <w:rPr>
          <w:rFonts w:ascii="Times New Roman" w:hAnsi="Times New Roman" w:cs="Times New Roman"/>
          <w:b w:val="0"/>
          <w:bCs w:val="0"/>
          <w:sz w:val="24"/>
        </w:rPr>
        <w:t xml:space="preserve"> </w:t>
      </w:r>
      <w:r w:rsidRPr="00533172" w:rsidR="00533172">
        <w:rPr>
          <w:rFonts w:ascii="Times New Roman" w:hAnsi="Times New Roman" w:cs="Times New Roman"/>
          <w:b w:val="0"/>
          <w:bCs w:val="0"/>
          <w:sz w:val="24"/>
        </w:rPr>
        <w:t>Second, HRSA HAB proposes adding a question that will identify specific populations such as LGBTQI, urban/</w:t>
      </w:r>
      <w:r w:rsidR="00533172">
        <w:rPr>
          <w:rFonts w:ascii="Times New Roman" w:hAnsi="Times New Roman" w:cs="Times New Roman"/>
          <w:b w:val="0"/>
          <w:bCs w:val="0"/>
          <w:sz w:val="24"/>
        </w:rPr>
        <w:t>suburban</w:t>
      </w:r>
      <w:r w:rsidRPr="00533172" w:rsidR="00533172">
        <w:rPr>
          <w:rFonts w:ascii="Times New Roman" w:hAnsi="Times New Roman" w:cs="Times New Roman"/>
          <w:b w:val="0"/>
          <w:bCs w:val="0"/>
          <w:sz w:val="24"/>
        </w:rPr>
        <w:t>/rural persons, homeless persons, persons</w:t>
      </w:r>
      <w:r w:rsidR="00D76D53">
        <w:rPr>
          <w:rFonts w:ascii="Times New Roman" w:hAnsi="Times New Roman" w:cs="Times New Roman"/>
          <w:b w:val="0"/>
          <w:bCs w:val="0"/>
          <w:sz w:val="24"/>
        </w:rPr>
        <w:t xml:space="preserve"> with substance use disorders</w:t>
      </w:r>
      <w:r w:rsidRPr="00533172" w:rsidR="00533172">
        <w:rPr>
          <w:rFonts w:ascii="Times New Roman" w:hAnsi="Times New Roman" w:cs="Times New Roman"/>
          <w:b w:val="0"/>
          <w:bCs w:val="0"/>
          <w:sz w:val="24"/>
        </w:rPr>
        <w:t xml:space="preserve">, migrant or seasonal workers, </w:t>
      </w:r>
      <w:r w:rsidR="00533172">
        <w:rPr>
          <w:rFonts w:ascii="Times New Roman" w:hAnsi="Times New Roman" w:cs="Times New Roman"/>
          <w:b w:val="0"/>
          <w:bCs w:val="0"/>
          <w:sz w:val="24"/>
        </w:rPr>
        <w:t>incarcerated</w:t>
      </w:r>
      <w:r w:rsidRPr="00533172" w:rsidR="00533172">
        <w:rPr>
          <w:rFonts w:ascii="Times New Roman" w:hAnsi="Times New Roman" w:cs="Times New Roman"/>
          <w:b w:val="0"/>
          <w:bCs w:val="0"/>
          <w:sz w:val="24"/>
        </w:rPr>
        <w:t xml:space="preserve">/paroled persons, and/or runaway youth, who </w:t>
      </w:r>
      <w:r w:rsidRPr="00533172" w:rsidR="00533172">
        <w:rPr>
          <w:rFonts w:ascii="Times New Roman" w:hAnsi="Times New Roman" w:cs="Times New Roman"/>
          <w:b w:val="0"/>
          <w:bCs w:val="0"/>
          <w:sz w:val="24"/>
        </w:rPr>
        <w:t xml:space="preserve">were specifically </w:t>
      </w:r>
      <w:r w:rsidR="00D76D53">
        <w:rPr>
          <w:rFonts w:ascii="Times New Roman" w:hAnsi="Times New Roman" w:cs="Times New Roman"/>
          <w:b w:val="0"/>
          <w:bCs w:val="0"/>
          <w:sz w:val="24"/>
        </w:rPr>
        <w:t>prioritized</w:t>
      </w:r>
      <w:r w:rsidRPr="00533172" w:rsidR="00D76D53">
        <w:rPr>
          <w:rFonts w:ascii="Times New Roman" w:hAnsi="Times New Roman" w:cs="Times New Roman"/>
          <w:b w:val="0"/>
          <w:bCs w:val="0"/>
          <w:sz w:val="24"/>
        </w:rPr>
        <w:t xml:space="preserve"> </w:t>
      </w:r>
      <w:r w:rsidRPr="00533172" w:rsidR="00533172">
        <w:rPr>
          <w:rFonts w:ascii="Times New Roman" w:hAnsi="Times New Roman" w:cs="Times New Roman"/>
          <w:b w:val="0"/>
          <w:bCs w:val="0"/>
          <w:sz w:val="24"/>
        </w:rPr>
        <w:t>to receive services through community-based partnership programs.</w:t>
      </w:r>
      <w:r w:rsidR="00AE3810">
        <w:t xml:space="preserve">     </w:t>
      </w:r>
    </w:p>
    <w:p w:rsidR="00A20B6F" w:rsidP="008010EC" w14:paraId="6F7D2D74" w14:textId="6EF53FEC">
      <w:pPr>
        <w:pStyle w:val="Heading2"/>
        <w:spacing w:before="0" w:after="0" w:line="240" w:lineRule="auto"/>
        <w:contextualSpacing/>
        <w:mirrorIndents/>
      </w:pPr>
      <w:r w:rsidRPr="00907570">
        <w:t>16.</w:t>
      </w:r>
      <w:r w:rsidRPr="00907570">
        <w:tab/>
      </w:r>
      <w:bookmarkStart w:id="15" w:name="_Toc46022724"/>
      <w:r w:rsidRPr="00212785" w:rsidR="00212785">
        <w:rPr>
          <w:u w:val="single"/>
        </w:rPr>
        <w:t xml:space="preserve">Plans for Tabulation, </w:t>
      </w:r>
      <w:r w:rsidRPr="00212785">
        <w:rPr>
          <w:u w:val="single"/>
        </w:rPr>
        <w:t>Publication</w:t>
      </w:r>
      <w:r w:rsidRPr="00212785" w:rsidR="00212785">
        <w:rPr>
          <w:u w:val="single"/>
        </w:rPr>
        <w:t>,</w:t>
      </w:r>
      <w:r w:rsidRPr="00212785">
        <w:rPr>
          <w:u w:val="single"/>
        </w:rPr>
        <w:t xml:space="preserve"> and </w:t>
      </w:r>
      <w:r w:rsidRPr="00212785" w:rsidR="00212785">
        <w:rPr>
          <w:u w:val="single"/>
        </w:rPr>
        <w:t>Project Time Schedule</w:t>
      </w:r>
      <w:bookmarkEnd w:id="15"/>
      <w:r w:rsidRPr="00A20B6F">
        <w:t xml:space="preserve"> </w:t>
      </w:r>
    </w:p>
    <w:p w:rsidR="0037333C" w:rsidRPr="00B60171" w:rsidP="00E01FD6" w14:paraId="0C405AAE" w14:textId="6BE21C92">
      <w:pPr>
        <w:pStyle w:val="TOC1"/>
      </w:pPr>
      <w:r w:rsidRPr="00B60171">
        <w:t xml:space="preserve">Respondents complete the DSR annually to report on services provided and </w:t>
      </w:r>
      <w:r w:rsidR="00D76D53">
        <w:t>people</w:t>
      </w:r>
      <w:r w:rsidRPr="00B60171" w:rsidR="00D76D53">
        <w:t xml:space="preserve"> </w:t>
      </w:r>
      <w:r w:rsidRPr="00B60171">
        <w:t xml:space="preserve">served. </w:t>
      </w:r>
      <w:r w:rsidR="00B85CB5">
        <w:t xml:space="preserve"> </w:t>
      </w:r>
      <w:r w:rsidRPr="00B60171">
        <w:t xml:space="preserve">The DRP reports data from July 1 through June 30 and the CBDPP reports data from January 1 through December 31.  </w:t>
      </w:r>
    </w:p>
    <w:p w:rsidR="00BA4AB6" w:rsidRPr="00B60171" w:rsidP="008010EC" w14:paraId="3045B533" w14:textId="6E8DC9E1">
      <w:pPr>
        <w:pStyle w:val="Heading2"/>
        <w:spacing w:before="0" w:after="0" w:line="240" w:lineRule="auto"/>
        <w:contextualSpacing/>
        <w:mirrorIndents/>
        <w:rPr>
          <w:rFonts w:cs="Times New Roman"/>
          <w:b w:val="0"/>
        </w:rPr>
      </w:pPr>
      <w:r w:rsidRPr="00B60171">
        <w:rPr>
          <w:rFonts w:cs="Times New Roman"/>
          <w:b w:val="0"/>
        </w:rPr>
        <w:t>The</w:t>
      </w:r>
      <w:bookmarkStart w:id="16" w:name="_Toc46022725"/>
      <w:r w:rsidRPr="00B60171" w:rsidR="005F6EAF">
        <w:rPr>
          <w:rFonts w:cs="Times New Roman"/>
          <w:b w:val="0"/>
        </w:rPr>
        <w:t>re are no plans for formal publication of the information, although there will be annual summary reports</w:t>
      </w:r>
      <w:r w:rsidRPr="00B60171" w:rsidR="00471F30">
        <w:rPr>
          <w:rFonts w:cs="Times New Roman"/>
          <w:b w:val="0"/>
        </w:rPr>
        <w:t xml:space="preserve"> </w:t>
      </w:r>
      <w:r w:rsidRPr="00B60171" w:rsidR="00BF0B0A">
        <w:rPr>
          <w:rFonts w:cs="Times New Roman"/>
          <w:b w:val="0"/>
        </w:rPr>
        <w:t>to</w:t>
      </w:r>
      <w:r w:rsidRPr="00B60171" w:rsidR="00471F30">
        <w:rPr>
          <w:rFonts w:cs="Times New Roman"/>
          <w:b w:val="0"/>
        </w:rPr>
        <w:t xml:space="preserve"> monitor grantee progress</w:t>
      </w:r>
      <w:r w:rsidRPr="00B60171" w:rsidR="005F6EAF">
        <w:rPr>
          <w:rFonts w:cs="Times New Roman"/>
          <w:b w:val="0"/>
        </w:rPr>
        <w:t xml:space="preserve">. </w:t>
      </w:r>
    </w:p>
    <w:p w:rsidR="002F53FD" w:rsidP="00EF45F3" w14:paraId="7D453B51" w14:textId="77777777">
      <w:pPr>
        <w:pStyle w:val="Heading2"/>
        <w:spacing w:line="240" w:lineRule="auto"/>
      </w:pPr>
      <w:r>
        <w:t>17.</w:t>
      </w:r>
      <w:r>
        <w:tab/>
      </w:r>
      <w:r w:rsidRPr="00212785" w:rsidR="00212785">
        <w:rPr>
          <w:u w:val="single"/>
        </w:rPr>
        <w:t xml:space="preserve">Reason(s) Display of OMB </w:t>
      </w:r>
      <w:r w:rsidRPr="00212785">
        <w:rPr>
          <w:u w:val="single"/>
        </w:rPr>
        <w:t>Expiration Date</w:t>
      </w:r>
      <w:bookmarkEnd w:id="16"/>
      <w:r w:rsidRPr="00212785" w:rsidR="00212785">
        <w:rPr>
          <w:u w:val="single"/>
        </w:rPr>
        <w:t xml:space="preserve"> is Inappropriate</w:t>
      </w:r>
    </w:p>
    <w:p w:rsidR="00BF7989" w14:paraId="640191CD" w14:textId="77777777">
      <w:pPr>
        <w:spacing w:line="240" w:lineRule="auto"/>
      </w:pPr>
      <w:r>
        <w:t xml:space="preserve">The expiration date will </w:t>
      </w:r>
      <w:r>
        <w:t>be displayed</w:t>
      </w:r>
      <w:r>
        <w:t>.</w:t>
      </w:r>
    </w:p>
    <w:p w:rsidR="00BF7989" w14:paraId="2B435D96" w14:textId="77777777">
      <w:pPr>
        <w:pStyle w:val="Heading2"/>
        <w:spacing w:line="240" w:lineRule="auto"/>
      </w:pPr>
      <w:bookmarkStart w:id="17" w:name="_Toc46022726"/>
      <w:r>
        <w:t>18.</w:t>
      </w:r>
      <w:r>
        <w:tab/>
      </w:r>
      <w:r w:rsidRPr="00212785">
        <w:rPr>
          <w:u w:val="single"/>
        </w:rPr>
        <w:t>Exceptions to Certification for P</w:t>
      </w:r>
      <w:r w:rsidRPr="00212785" w:rsidR="00212785">
        <w:rPr>
          <w:u w:val="single"/>
        </w:rPr>
        <w:t xml:space="preserve">aperwork </w:t>
      </w:r>
      <w:r w:rsidRPr="00212785">
        <w:rPr>
          <w:u w:val="single"/>
        </w:rPr>
        <w:t>R</w:t>
      </w:r>
      <w:r w:rsidRPr="00212785" w:rsidR="00212785">
        <w:rPr>
          <w:u w:val="single"/>
        </w:rPr>
        <w:t xml:space="preserve">eduction </w:t>
      </w:r>
      <w:r w:rsidRPr="00212785">
        <w:rPr>
          <w:u w:val="single"/>
        </w:rPr>
        <w:t>A</w:t>
      </w:r>
      <w:r w:rsidRPr="00212785" w:rsidR="00212785">
        <w:rPr>
          <w:u w:val="single"/>
        </w:rPr>
        <w:t>ct</w:t>
      </w:r>
      <w:r w:rsidRPr="00212785">
        <w:rPr>
          <w:u w:val="single"/>
        </w:rPr>
        <w:t xml:space="preserve"> Submissions</w:t>
      </w:r>
      <w:bookmarkEnd w:id="17"/>
    </w:p>
    <w:p w:rsidR="00BF7989" w14:paraId="5269FD7C" w14:textId="4A5C0DE9">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pPr>
      <w:r>
        <w:rPr>
          <w:rStyle w:val="BodyTextFi"/>
        </w:rPr>
        <w:t>This information collection fully complies with the guidelines in 5 CFR 1320.9.</w:t>
      </w:r>
      <w:r w:rsidR="00B85CB5">
        <w:rPr>
          <w:rStyle w:val="BodyTextFi"/>
        </w:rPr>
        <w:t xml:space="preserve"> </w:t>
      </w:r>
      <w:r>
        <w:rPr>
          <w:rStyle w:val="BodyTextFi"/>
        </w:rPr>
        <w:t xml:space="preserve"> The necessary certifications </w:t>
      </w:r>
      <w:r>
        <w:rPr>
          <w:rStyle w:val="BodyTextFi"/>
        </w:rPr>
        <w:t>are included</w:t>
      </w:r>
      <w:r>
        <w:rPr>
          <w:rStyle w:val="BodyTextFi"/>
        </w:rPr>
        <w:t xml:space="preserve"> in the package</w:t>
      </w:r>
      <w:r w:rsidR="005B5942">
        <w:rPr>
          <w:rStyle w:val="BodyTextFi"/>
        </w:rPr>
        <w:t>.</w:t>
      </w:r>
      <w:r w:rsidRPr="00E54AD4" w:rsidR="005B5942">
        <w:t xml:space="preserve"> </w:t>
      </w:r>
    </w:p>
    <w:sectPr w:rsidSect="00487ABC">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10F1" w14:paraId="28A761FF" w14:textId="0743FDA0">
    <w:pPr>
      <w:pStyle w:val="Footer"/>
      <w:jc w:val="right"/>
    </w:pPr>
    <w:r>
      <w:rPr>
        <w:rStyle w:val="PageNumber"/>
      </w:rPr>
      <w:fldChar w:fldCharType="begin"/>
    </w:r>
    <w:r>
      <w:rPr>
        <w:rStyle w:val="PageNumber"/>
      </w:rPr>
      <w:instrText xml:space="preserve"> PAGE </w:instrText>
    </w:r>
    <w:r>
      <w:rPr>
        <w:rStyle w:val="PageNumber"/>
      </w:rPr>
      <w:fldChar w:fldCharType="separate"/>
    </w:r>
    <w:r w:rsidR="00DE702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B02F9"/>
    <w:multiLevelType w:val="hybridMultilevel"/>
    <w:tmpl w:val="5FF809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8A97C0A"/>
    <w:multiLevelType w:val="hybridMultilevel"/>
    <w:tmpl w:val="D0529AF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716B1C"/>
    <w:multiLevelType w:val="hybridMultilevel"/>
    <w:tmpl w:val="1248D914"/>
    <w:lvl w:ilvl="0">
      <w:start w:val="1"/>
      <w:numFmt w:val="decimal"/>
      <w:lvlText w:val="%1."/>
      <w:lvlJc w:val="left"/>
      <w:pPr>
        <w:tabs>
          <w:tab w:val="num" w:pos="1080"/>
        </w:tabs>
        <w:ind w:left="1080" w:hanging="720"/>
      </w:pPr>
      <w:rPr>
        <w:rFonts w:hint="default"/>
      </w:rPr>
    </w:lvl>
    <w:lvl w:ilvl="1">
      <w:start w:val="2"/>
      <w:numFmt w:val="upp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5395B96"/>
    <w:multiLevelType w:val="hybridMultilevel"/>
    <w:tmpl w:val="CC38FBF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7D62D81"/>
    <w:multiLevelType w:val="hybridMultilevel"/>
    <w:tmpl w:val="C4F810B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D7A7CF5"/>
    <w:multiLevelType w:val="hybridMultilevel"/>
    <w:tmpl w:val="3F9CD6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DD77ED8"/>
    <w:multiLevelType w:val="hybridMultilevel"/>
    <w:tmpl w:val="D14C121E"/>
    <w:lvl w:ilvl="0">
      <w:start w:val="1"/>
      <w:numFmt w:val="decimal"/>
      <w:lvlText w:val="%1."/>
      <w:lvlJc w:val="left"/>
      <w:pPr>
        <w:tabs>
          <w:tab w:val="num" w:pos="1080"/>
        </w:tabs>
        <w:ind w:left="1080" w:hanging="72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027350C"/>
    <w:multiLevelType w:val="hybridMultilevel"/>
    <w:tmpl w:val="817C1A7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8D94390"/>
    <w:multiLevelType w:val="hybridMultilevel"/>
    <w:tmpl w:val="60CA9FEC"/>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6FC0D6B"/>
    <w:multiLevelType w:val="hybridMultilevel"/>
    <w:tmpl w:val="C08C37B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84A20CE"/>
    <w:multiLevelType w:val="hybridMultilevel"/>
    <w:tmpl w:val="70D869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BB67DB0"/>
    <w:multiLevelType w:val="hybridMultilevel"/>
    <w:tmpl w:val="F1BA2874"/>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6F7B11E3"/>
    <w:multiLevelType w:val="hybridMultilevel"/>
    <w:tmpl w:val="9062817C"/>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39C6F80"/>
    <w:multiLevelType w:val="multilevel"/>
    <w:tmpl w:val="B1767A9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355494652">
    <w:abstractNumId w:val="12"/>
  </w:num>
  <w:num w:numId="2" w16cid:durableId="1928032555">
    <w:abstractNumId w:val="2"/>
  </w:num>
  <w:num w:numId="3" w16cid:durableId="135729248">
    <w:abstractNumId w:val="8"/>
  </w:num>
  <w:num w:numId="4" w16cid:durableId="1013145190">
    <w:abstractNumId w:val="3"/>
  </w:num>
  <w:num w:numId="5" w16cid:durableId="287126293">
    <w:abstractNumId w:val="9"/>
  </w:num>
  <w:num w:numId="6" w16cid:durableId="102841636">
    <w:abstractNumId w:val="4"/>
  </w:num>
  <w:num w:numId="7" w16cid:durableId="1255357920">
    <w:abstractNumId w:val="7"/>
  </w:num>
  <w:num w:numId="8" w16cid:durableId="490800009">
    <w:abstractNumId w:val="6"/>
  </w:num>
  <w:num w:numId="9" w16cid:durableId="1810512572">
    <w:abstractNumId w:val="1"/>
  </w:num>
  <w:num w:numId="10" w16cid:durableId="52892170">
    <w:abstractNumId w:val="11"/>
  </w:num>
  <w:num w:numId="11" w16cid:durableId="1702364155">
    <w:abstractNumId w:val="13"/>
  </w:num>
  <w:num w:numId="12" w16cid:durableId="863129901">
    <w:abstractNumId w:val="0"/>
  </w:num>
  <w:num w:numId="13" w16cid:durableId="1607616242">
    <w:abstractNumId w:val="5"/>
  </w:num>
  <w:num w:numId="14" w16cid:durableId="7609549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29"/>
    <w:rsid w:val="000167C8"/>
    <w:rsid w:val="000203B7"/>
    <w:rsid w:val="0002147F"/>
    <w:rsid w:val="00044454"/>
    <w:rsid w:val="000523A9"/>
    <w:rsid w:val="00061552"/>
    <w:rsid w:val="00062925"/>
    <w:rsid w:val="0006393C"/>
    <w:rsid w:val="00074403"/>
    <w:rsid w:val="00087A2D"/>
    <w:rsid w:val="00087E74"/>
    <w:rsid w:val="00091A32"/>
    <w:rsid w:val="000971DB"/>
    <w:rsid w:val="000A6D98"/>
    <w:rsid w:val="000B2DC1"/>
    <w:rsid w:val="000B4586"/>
    <w:rsid w:val="000B67ED"/>
    <w:rsid w:val="000B7B67"/>
    <w:rsid w:val="000C128B"/>
    <w:rsid w:val="000C3B3D"/>
    <w:rsid w:val="000E2ACA"/>
    <w:rsid w:val="00116297"/>
    <w:rsid w:val="001257D0"/>
    <w:rsid w:val="001545AC"/>
    <w:rsid w:val="0019279F"/>
    <w:rsid w:val="001A26D5"/>
    <w:rsid w:val="001B5BFA"/>
    <w:rsid w:val="001C0A96"/>
    <w:rsid w:val="001C217E"/>
    <w:rsid w:val="001C7D42"/>
    <w:rsid w:val="001D02DC"/>
    <w:rsid w:val="001D60CD"/>
    <w:rsid w:val="00204DC5"/>
    <w:rsid w:val="0021251C"/>
    <w:rsid w:val="00212785"/>
    <w:rsid w:val="0023266F"/>
    <w:rsid w:val="00236F36"/>
    <w:rsid w:val="00240C33"/>
    <w:rsid w:val="002879AC"/>
    <w:rsid w:val="00296D03"/>
    <w:rsid w:val="00297286"/>
    <w:rsid w:val="002A71E5"/>
    <w:rsid w:val="002B0645"/>
    <w:rsid w:val="002B2A54"/>
    <w:rsid w:val="002B359B"/>
    <w:rsid w:val="002C1514"/>
    <w:rsid w:val="002C20A9"/>
    <w:rsid w:val="002E5B16"/>
    <w:rsid w:val="002E67FD"/>
    <w:rsid w:val="002F15CB"/>
    <w:rsid w:val="002F53FD"/>
    <w:rsid w:val="002F5E96"/>
    <w:rsid w:val="002F73DB"/>
    <w:rsid w:val="00315585"/>
    <w:rsid w:val="00321BD9"/>
    <w:rsid w:val="003241D7"/>
    <w:rsid w:val="00342BC2"/>
    <w:rsid w:val="00352A14"/>
    <w:rsid w:val="00361E15"/>
    <w:rsid w:val="0036275F"/>
    <w:rsid w:val="0037220C"/>
    <w:rsid w:val="0037333C"/>
    <w:rsid w:val="00376B85"/>
    <w:rsid w:val="00392C32"/>
    <w:rsid w:val="0039361A"/>
    <w:rsid w:val="003946B4"/>
    <w:rsid w:val="003A0D27"/>
    <w:rsid w:val="003A100C"/>
    <w:rsid w:val="003A2B14"/>
    <w:rsid w:val="003B2131"/>
    <w:rsid w:val="003C0327"/>
    <w:rsid w:val="003D0A52"/>
    <w:rsid w:val="003E0264"/>
    <w:rsid w:val="003E02F4"/>
    <w:rsid w:val="003E281A"/>
    <w:rsid w:val="003E2B5F"/>
    <w:rsid w:val="003F59CD"/>
    <w:rsid w:val="00404549"/>
    <w:rsid w:val="00437BE1"/>
    <w:rsid w:val="00452EC0"/>
    <w:rsid w:val="00455464"/>
    <w:rsid w:val="00462864"/>
    <w:rsid w:val="00464094"/>
    <w:rsid w:val="00467A37"/>
    <w:rsid w:val="00471F30"/>
    <w:rsid w:val="00476600"/>
    <w:rsid w:val="00487ABC"/>
    <w:rsid w:val="0049376E"/>
    <w:rsid w:val="004A7B45"/>
    <w:rsid w:val="004B25E3"/>
    <w:rsid w:val="004B78B7"/>
    <w:rsid w:val="004C0767"/>
    <w:rsid w:val="004D673E"/>
    <w:rsid w:val="004F51C8"/>
    <w:rsid w:val="004F532D"/>
    <w:rsid w:val="004F7448"/>
    <w:rsid w:val="00505AB9"/>
    <w:rsid w:val="00505FFA"/>
    <w:rsid w:val="00533172"/>
    <w:rsid w:val="00540763"/>
    <w:rsid w:val="00546333"/>
    <w:rsid w:val="00550004"/>
    <w:rsid w:val="00551081"/>
    <w:rsid w:val="00557B0B"/>
    <w:rsid w:val="00580DF0"/>
    <w:rsid w:val="00591754"/>
    <w:rsid w:val="005A046B"/>
    <w:rsid w:val="005A439B"/>
    <w:rsid w:val="005A6B54"/>
    <w:rsid w:val="005B5942"/>
    <w:rsid w:val="005C57BE"/>
    <w:rsid w:val="005D0737"/>
    <w:rsid w:val="005D3587"/>
    <w:rsid w:val="005D74FA"/>
    <w:rsid w:val="005E0B33"/>
    <w:rsid w:val="005E32E8"/>
    <w:rsid w:val="005E54B6"/>
    <w:rsid w:val="005F6EAF"/>
    <w:rsid w:val="00611B3D"/>
    <w:rsid w:val="0061473F"/>
    <w:rsid w:val="00621F60"/>
    <w:rsid w:val="00622DDE"/>
    <w:rsid w:val="00626CA6"/>
    <w:rsid w:val="006278DD"/>
    <w:rsid w:val="00656963"/>
    <w:rsid w:val="00663BEC"/>
    <w:rsid w:val="0069017C"/>
    <w:rsid w:val="006A4C1B"/>
    <w:rsid w:val="006A7299"/>
    <w:rsid w:val="006C2F5F"/>
    <w:rsid w:val="006C4FD2"/>
    <w:rsid w:val="006D645E"/>
    <w:rsid w:val="006D7A24"/>
    <w:rsid w:val="006E757B"/>
    <w:rsid w:val="006F6F91"/>
    <w:rsid w:val="006F7E8E"/>
    <w:rsid w:val="007136AB"/>
    <w:rsid w:val="00715FD2"/>
    <w:rsid w:val="00716BF5"/>
    <w:rsid w:val="00717A61"/>
    <w:rsid w:val="00717BD1"/>
    <w:rsid w:val="00725491"/>
    <w:rsid w:val="00753580"/>
    <w:rsid w:val="0075419B"/>
    <w:rsid w:val="007613BF"/>
    <w:rsid w:val="007825D7"/>
    <w:rsid w:val="00782846"/>
    <w:rsid w:val="007842A0"/>
    <w:rsid w:val="007870CF"/>
    <w:rsid w:val="00793147"/>
    <w:rsid w:val="0079578E"/>
    <w:rsid w:val="00796E45"/>
    <w:rsid w:val="007A4C7C"/>
    <w:rsid w:val="007C1745"/>
    <w:rsid w:val="007C2E76"/>
    <w:rsid w:val="007C3577"/>
    <w:rsid w:val="007C4EB7"/>
    <w:rsid w:val="007D1082"/>
    <w:rsid w:val="008010EC"/>
    <w:rsid w:val="00803F7C"/>
    <w:rsid w:val="00806F3E"/>
    <w:rsid w:val="008111D2"/>
    <w:rsid w:val="00821607"/>
    <w:rsid w:val="00822024"/>
    <w:rsid w:val="00826486"/>
    <w:rsid w:val="00850404"/>
    <w:rsid w:val="00851DC2"/>
    <w:rsid w:val="00854373"/>
    <w:rsid w:val="008559A6"/>
    <w:rsid w:val="00857CF3"/>
    <w:rsid w:val="00860347"/>
    <w:rsid w:val="00867257"/>
    <w:rsid w:val="008851A7"/>
    <w:rsid w:val="008927D0"/>
    <w:rsid w:val="0089285C"/>
    <w:rsid w:val="008A1782"/>
    <w:rsid w:val="008A43CC"/>
    <w:rsid w:val="008E4597"/>
    <w:rsid w:val="008E63B4"/>
    <w:rsid w:val="008E71F4"/>
    <w:rsid w:val="008E753A"/>
    <w:rsid w:val="008F6E85"/>
    <w:rsid w:val="00907570"/>
    <w:rsid w:val="0092213C"/>
    <w:rsid w:val="00925F4F"/>
    <w:rsid w:val="00927F6C"/>
    <w:rsid w:val="009306EC"/>
    <w:rsid w:val="009338B1"/>
    <w:rsid w:val="00934456"/>
    <w:rsid w:val="00945354"/>
    <w:rsid w:val="00950827"/>
    <w:rsid w:val="009514C5"/>
    <w:rsid w:val="00955D35"/>
    <w:rsid w:val="00970861"/>
    <w:rsid w:val="0098307B"/>
    <w:rsid w:val="0099011B"/>
    <w:rsid w:val="00991150"/>
    <w:rsid w:val="009B2D6A"/>
    <w:rsid w:val="009E48F6"/>
    <w:rsid w:val="009F3045"/>
    <w:rsid w:val="009F5677"/>
    <w:rsid w:val="009F5BFF"/>
    <w:rsid w:val="009F6A4E"/>
    <w:rsid w:val="00A1045D"/>
    <w:rsid w:val="00A17738"/>
    <w:rsid w:val="00A20B6F"/>
    <w:rsid w:val="00A26BC4"/>
    <w:rsid w:val="00A27485"/>
    <w:rsid w:val="00A4427D"/>
    <w:rsid w:val="00A46D19"/>
    <w:rsid w:val="00A51FD9"/>
    <w:rsid w:val="00A659AE"/>
    <w:rsid w:val="00A831C2"/>
    <w:rsid w:val="00A95324"/>
    <w:rsid w:val="00A971D5"/>
    <w:rsid w:val="00AA5D7A"/>
    <w:rsid w:val="00AB0DA6"/>
    <w:rsid w:val="00AB24E5"/>
    <w:rsid w:val="00AB5B4E"/>
    <w:rsid w:val="00AD3655"/>
    <w:rsid w:val="00AE3151"/>
    <w:rsid w:val="00AE3810"/>
    <w:rsid w:val="00AE71E3"/>
    <w:rsid w:val="00B05496"/>
    <w:rsid w:val="00B05B9C"/>
    <w:rsid w:val="00B200F1"/>
    <w:rsid w:val="00B4782C"/>
    <w:rsid w:val="00B47EFE"/>
    <w:rsid w:val="00B54BDF"/>
    <w:rsid w:val="00B5560B"/>
    <w:rsid w:val="00B60171"/>
    <w:rsid w:val="00B612B6"/>
    <w:rsid w:val="00B621EF"/>
    <w:rsid w:val="00B65660"/>
    <w:rsid w:val="00B71571"/>
    <w:rsid w:val="00B84029"/>
    <w:rsid w:val="00B85CB5"/>
    <w:rsid w:val="00B91DF0"/>
    <w:rsid w:val="00B9688D"/>
    <w:rsid w:val="00BA24F1"/>
    <w:rsid w:val="00BA273E"/>
    <w:rsid w:val="00BA4AB6"/>
    <w:rsid w:val="00BB0345"/>
    <w:rsid w:val="00BC264D"/>
    <w:rsid w:val="00BD036C"/>
    <w:rsid w:val="00BD4F8E"/>
    <w:rsid w:val="00BD56B8"/>
    <w:rsid w:val="00BD6796"/>
    <w:rsid w:val="00BF0B0A"/>
    <w:rsid w:val="00BF7989"/>
    <w:rsid w:val="00C0171A"/>
    <w:rsid w:val="00C02C85"/>
    <w:rsid w:val="00C112C4"/>
    <w:rsid w:val="00C118FD"/>
    <w:rsid w:val="00C1210E"/>
    <w:rsid w:val="00C34956"/>
    <w:rsid w:val="00C45E41"/>
    <w:rsid w:val="00C51861"/>
    <w:rsid w:val="00C63B59"/>
    <w:rsid w:val="00C75F67"/>
    <w:rsid w:val="00C87E6D"/>
    <w:rsid w:val="00CA7FFA"/>
    <w:rsid w:val="00CC22E2"/>
    <w:rsid w:val="00CD2854"/>
    <w:rsid w:val="00CD4ABF"/>
    <w:rsid w:val="00CE5C06"/>
    <w:rsid w:val="00CE6620"/>
    <w:rsid w:val="00D0014F"/>
    <w:rsid w:val="00D45DDF"/>
    <w:rsid w:val="00D47CED"/>
    <w:rsid w:val="00D553B1"/>
    <w:rsid w:val="00D619E8"/>
    <w:rsid w:val="00D65D38"/>
    <w:rsid w:val="00D76D53"/>
    <w:rsid w:val="00D8189E"/>
    <w:rsid w:val="00D96333"/>
    <w:rsid w:val="00DA7762"/>
    <w:rsid w:val="00DC6D6F"/>
    <w:rsid w:val="00DD5297"/>
    <w:rsid w:val="00DD7C61"/>
    <w:rsid w:val="00DE7026"/>
    <w:rsid w:val="00DE7130"/>
    <w:rsid w:val="00DE798A"/>
    <w:rsid w:val="00E01FD6"/>
    <w:rsid w:val="00E2255B"/>
    <w:rsid w:val="00E302DF"/>
    <w:rsid w:val="00E31946"/>
    <w:rsid w:val="00E33F2E"/>
    <w:rsid w:val="00E341B3"/>
    <w:rsid w:val="00E37E93"/>
    <w:rsid w:val="00E45210"/>
    <w:rsid w:val="00E50504"/>
    <w:rsid w:val="00E52D7E"/>
    <w:rsid w:val="00E54AD4"/>
    <w:rsid w:val="00E56695"/>
    <w:rsid w:val="00E65A52"/>
    <w:rsid w:val="00E70F63"/>
    <w:rsid w:val="00E7612E"/>
    <w:rsid w:val="00E9433E"/>
    <w:rsid w:val="00EA04C4"/>
    <w:rsid w:val="00EA1636"/>
    <w:rsid w:val="00EB1141"/>
    <w:rsid w:val="00EB2652"/>
    <w:rsid w:val="00EB6D9C"/>
    <w:rsid w:val="00ED5E09"/>
    <w:rsid w:val="00EF45F3"/>
    <w:rsid w:val="00F01A10"/>
    <w:rsid w:val="00F44D63"/>
    <w:rsid w:val="00F52DB4"/>
    <w:rsid w:val="00F5709E"/>
    <w:rsid w:val="00F610F1"/>
    <w:rsid w:val="00F760F6"/>
    <w:rsid w:val="00F9575A"/>
    <w:rsid w:val="00F9756B"/>
    <w:rsid w:val="00FA054A"/>
    <w:rsid w:val="00FC6B7A"/>
    <w:rsid w:val="00FF11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CF5649"/>
  <w15:docId w15:val="{D69C392B-62A9-47DC-9ABE-A72B5BFB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7ABC"/>
    <w:pPr>
      <w:spacing w:after="240" w:line="360" w:lineRule="auto"/>
    </w:pPr>
    <w:rPr>
      <w:sz w:val="24"/>
      <w:szCs w:val="24"/>
    </w:rPr>
  </w:style>
  <w:style w:type="paragraph" w:styleId="Heading1">
    <w:name w:val="heading 1"/>
    <w:basedOn w:val="Normal"/>
    <w:next w:val="Normal"/>
    <w:qFormat/>
    <w:rsid w:val="00487ABC"/>
    <w:pPr>
      <w:keepNext/>
      <w:spacing w:before="240" w:after="120"/>
      <w:outlineLvl w:val="0"/>
    </w:pPr>
    <w:rPr>
      <w:rFonts w:cs="Arial"/>
      <w:b/>
      <w:bCs/>
      <w:sz w:val="32"/>
      <w:szCs w:val="32"/>
    </w:rPr>
  </w:style>
  <w:style w:type="paragraph" w:styleId="Heading2">
    <w:name w:val="heading 2"/>
    <w:basedOn w:val="Normal"/>
    <w:next w:val="Normal"/>
    <w:qFormat/>
    <w:rsid w:val="00487ABC"/>
    <w:pPr>
      <w:keepNext/>
      <w:tabs>
        <w:tab w:val="left" w:pos="360"/>
      </w:tabs>
      <w:spacing w:before="240" w:after="60"/>
      <w:outlineLvl w:val="1"/>
    </w:pPr>
    <w:rPr>
      <w:rFonts w:cs="Arial"/>
      <w:b/>
      <w:bCs/>
      <w:iCs/>
      <w:szCs w:val="28"/>
    </w:rPr>
  </w:style>
  <w:style w:type="paragraph" w:styleId="Heading3">
    <w:name w:val="heading 3"/>
    <w:basedOn w:val="Normal"/>
    <w:next w:val="Normal"/>
    <w:qFormat/>
    <w:rsid w:val="00487A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B85CB5"/>
    <w:pPr>
      <w:spacing w:line="240" w:lineRule="auto"/>
    </w:pPr>
  </w:style>
  <w:style w:type="paragraph" w:styleId="TOC2">
    <w:name w:val="toc 2"/>
    <w:basedOn w:val="Normal"/>
    <w:next w:val="Normal"/>
    <w:autoRedefine/>
    <w:semiHidden/>
    <w:rsid w:val="00487ABC"/>
    <w:pPr>
      <w:tabs>
        <w:tab w:val="left" w:pos="360"/>
        <w:tab w:val="left" w:pos="720"/>
        <w:tab w:val="right" w:leader="dot" w:pos="9360"/>
      </w:tabs>
      <w:spacing w:after="0" w:line="240" w:lineRule="auto"/>
      <w:ind w:left="360"/>
    </w:pPr>
  </w:style>
  <w:style w:type="paragraph" w:styleId="TOC3">
    <w:name w:val="toc 3"/>
    <w:basedOn w:val="Normal"/>
    <w:next w:val="Normal"/>
    <w:autoRedefine/>
    <w:semiHidden/>
    <w:rsid w:val="00487ABC"/>
    <w:pPr>
      <w:tabs>
        <w:tab w:val="left" w:pos="360"/>
        <w:tab w:val="left" w:pos="720"/>
        <w:tab w:val="right" w:pos="9216"/>
      </w:tabs>
      <w:spacing w:after="0" w:line="240" w:lineRule="auto"/>
      <w:ind w:left="720"/>
    </w:pPr>
  </w:style>
  <w:style w:type="paragraph" w:styleId="TOC4">
    <w:name w:val="toc 4"/>
    <w:basedOn w:val="Normal"/>
    <w:next w:val="Normal"/>
    <w:autoRedefine/>
    <w:semiHidden/>
    <w:rsid w:val="00487ABC"/>
    <w:pPr>
      <w:ind w:left="720"/>
    </w:pPr>
  </w:style>
  <w:style w:type="paragraph" w:styleId="TOC5">
    <w:name w:val="toc 5"/>
    <w:basedOn w:val="Normal"/>
    <w:next w:val="Normal"/>
    <w:autoRedefine/>
    <w:semiHidden/>
    <w:rsid w:val="00487ABC"/>
    <w:pPr>
      <w:ind w:left="960"/>
    </w:pPr>
  </w:style>
  <w:style w:type="paragraph" w:styleId="TOC6">
    <w:name w:val="toc 6"/>
    <w:basedOn w:val="Normal"/>
    <w:next w:val="Normal"/>
    <w:autoRedefine/>
    <w:semiHidden/>
    <w:rsid w:val="00487ABC"/>
    <w:pPr>
      <w:ind w:left="1200"/>
    </w:pPr>
  </w:style>
  <w:style w:type="paragraph" w:styleId="TOC7">
    <w:name w:val="toc 7"/>
    <w:basedOn w:val="Normal"/>
    <w:next w:val="Normal"/>
    <w:autoRedefine/>
    <w:semiHidden/>
    <w:rsid w:val="00487ABC"/>
    <w:pPr>
      <w:ind w:left="1440"/>
    </w:pPr>
  </w:style>
  <w:style w:type="paragraph" w:styleId="TOC8">
    <w:name w:val="toc 8"/>
    <w:basedOn w:val="Normal"/>
    <w:next w:val="Normal"/>
    <w:autoRedefine/>
    <w:semiHidden/>
    <w:rsid w:val="00487ABC"/>
    <w:pPr>
      <w:ind w:left="1680"/>
    </w:pPr>
  </w:style>
  <w:style w:type="paragraph" w:styleId="TOC9">
    <w:name w:val="toc 9"/>
    <w:basedOn w:val="Normal"/>
    <w:next w:val="Normal"/>
    <w:autoRedefine/>
    <w:semiHidden/>
    <w:rsid w:val="00487ABC"/>
    <w:pPr>
      <w:ind w:left="1920"/>
    </w:pPr>
  </w:style>
  <w:style w:type="character" w:customStyle="1" w:styleId="BodyTextFi">
    <w:name w:val="Body Text Fi"/>
    <w:rsid w:val="00487ABC"/>
  </w:style>
  <w:style w:type="paragraph" w:styleId="BodyText">
    <w:name w:val="Body Text"/>
    <w:basedOn w:val="Normal"/>
    <w:rsid w:val="00487ABC"/>
    <w:pPr>
      <w:jc w:val="center"/>
    </w:pPr>
    <w:rPr>
      <w:rFonts w:ascii="Arial" w:hAnsi="Arial" w:cs="Arial"/>
      <w:b/>
      <w:bCs/>
      <w:sz w:val="48"/>
    </w:rPr>
  </w:style>
  <w:style w:type="paragraph" w:styleId="Header">
    <w:name w:val="header"/>
    <w:basedOn w:val="Normal"/>
    <w:rsid w:val="00487ABC"/>
    <w:pPr>
      <w:tabs>
        <w:tab w:val="center" w:pos="4320"/>
        <w:tab w:val="right" w:pos="8640"/>
      </w:tabs>
    </w:pPr>
  </w:style>
  <w:style w:type="paragraph" w:styleId="Footer">
    <w:name w:val="footer"/>
    <w:basedOn w:val="Normal"/>
    <w:rsid w:val="00487ABC"/>
    <w:pPr>
      <w:tabs>
        <w:tab w:val="center" w:pos="4320"/>
        <w:tab w:val="right" w:pos="8640"/>
      </w:tabs>
    </w:pPr>
  </w:style>
  <w:style w:type="character" w:styleId="PageNumber">
    <w:name w:val="page number"/>
    <w:basedOn w:val="DefaultParagraphFont"/>
    <w:rsid w:val="00487ABC"/>
  </w:style>
  <w:style w:type="paragraph" w:styleId="Title">
    <w:name w:val="Title"/>
    <w:basedOn w:val="Normal"/>
    <w:qFormat/>
    <w:rsid w:val="00487ABC"/>
    <w:pPr>
      <w:spacing w:before="240" w:after="60" w:line="240" w:lineRule="auto"/>
      <w:jc w:val="center"/>
    </w:pPr>
    <w:rPr>
      <w:rFonts w:ascii="Arial" w:hAnsi="Arial" w:cs="Arial"/>
      <w:b/>
      <w:bCs/>
      <w:caps/>
      <w:sz w:val="28"/>
      <w:szCs w:val="32"/>
    </w:rPr>
  </w:style>
  <w:style w:type="paragraph" w:customStyle="1" w:styleId="TitlePage">
    <w:name w:val="TitlePage"/>
    <w:basedOn w:val="Title"/>
    <w:rsid w:val="00487ABC"/>
    <w:rPr>
      <w:caps w:val="0"/>
      <w:sz w:val="48"/>
    </w:rPr>
  </w:style>
  <w:style w:type="character" w:styleId="Hyperlink">
    <w:name w:val="Hyperlink"/>
    <w:basedOn w:val="DefaultParagraphFont"/>
    <w:uiPriority w:val="99"/>
    <w:rsid w:val="00487ABC"/>
    <w:rPr>
      <w:color w:val="0000FF"/>
      <w:u w:val="single"/>
    </w:rPr>
  </w:style>
  <w:style w:type="paragraph" w:styleId="HTMLPreformatted">
    <w:name w:val="HTML Preformatted"/>
    <w:basedOn w:val="Normal"/>
    <w:rsid w:val="0048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paragraph" w:styleId="BalloonText">
    <w:name w:val="Balloon Text"/>
    <w:basedOn w:val="Normal"/>
    <w:semiHidden/>
    <w:rsid w:val="004B78B7"/>
    <w:rPr>
      <w:rFonts w:ascii="Tahoma" w:hAnsi="Tahoma" w:cs="Tahoma"/>
      <w:sz w:val="16"/>
      <w:szCs w:val="16"/>
    </w:rPr>
  </w:style>
  <w:style w:type="character" w:styleId="CommentReference">
    <w:name w:val="annotation reference"/>
    <w:basedOn w:val="DefaultParagraphFont"/>
    <w:uiPriority w:val="99"/>
    <w:rsid w:val="00437BE1"/>
    <w:rPr>
      <w:sz w:val="16"/>
      <w:szCs w:val="16"/>
    </w:rPr>
  </w:style>
  <w:style w:type="paragraph" w:styleId="CommentText">
    <w:name w:val="annotation text"/>
    <w:basedOn w:val="Normal"/>
    <w:link w:val="CommentTextChar"/>
    <w:uiPriority w:val="99"/>
    <w:rsid w:val="00437BE1"/>
    <w:rPr>
      <w:sz w:val="20"/>
      <w:szCs w:val="20"/>
    </w:rPr>
  </w:style>
  <w:style w:type="character" w:customStyle="1" w:styleId="CommentTextChar">
    <w:name w:val="Comment Text Char"/>
    <w:basedOn w:val="DefaultParagraphFont"/>
    <w:link w:val="CommentText"/>
    <w:uiPriority w:val="99"/>
    <w:rsid w:val="00437BE1"/>
  </w:style>
  <w:style w:type="paragraph" w:styleId="CommentSubject">
    <w:name w:val="annotation subject"/>
    <w:basedOn w:val="CommentText"/>
    <w:next w:val="CommentText"/>
    <w:link w:val="CommentSubjectChar"/>
    <w:rsid w:val="00437BE1"/>
    <w:rPr>
      <w:b/>
      <w:bCs/>
    </w:rPr>
  </w:style>
  <w:style w:type="character" w:customStyle="1" w:styleId="CommentSubjectChar">
    <w:name w:val="Comment Subject Char"/>
    <w:basedOn w:val="CommentTextChar"/>
    <w:link w:val="CommentSubject"/>
    <w:rsid w:val="00437BE1"/>
    <w:rPr>
      <w:b/>
      <w:bCs/>
    </w:rPr>
  </w:style>
  <w:style w:type="table" w:styleId="TableGrid">
    <w:name w:val="Table Grid"/>
    <w:basedOn w:val="TableNormal"/>
    <w:rsid w:val="00DD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B33"/>
    <w:pPr>
      <w:ind w:left="720"/>
      <w:contextualSpacing/>
    </w:pPr>
  </w:style>
  <w:style w:type="character" w:customStyle="1" w:styleId="FootnoteTextChar">
    <w:name w:val="Footnote Text Char"/>
    <w:aliases w:val="Char Char,F1 Char"/>
    <w:basedOn w:val="DefaultParagraphFont"/>
    <w:link w:val="FootnoteText"/>
    <w:uiPriority w:val="99"/>
    <w:semiHidden/>
    <w:locked/>
    <w:rsid w:val="00D65D38"/>
    <w:rPr>
      <w:rFonts w:ascii="Calibri" w:hAnsi="Calibri" w:eastAsiaTheme="minorHAnsi" w:cstheme="minorBidi"/>
    </w:rPr>
  </w:style>
  <w:style w:type="paragraph" w:styleId="FootnoteText">
    <w:name w:val="footnote text"/>
    <w:aliases w:val="Char,F1"/>
    <w:basedOn w:val="Normal"/>
    <w:link w:val="FootnoteTextChar"/>
    <w:uiPriority w:val="99"/>
    <w:semiHidden/>
    <w:unhideWhenUsed/>
    <w:qFormat/>
    <w:rsid w:val="00D65D38"/>
    <w:pPr>
      <w:spacing w:after="0" w:line="240" w:lineRule="auto"/>
    </w:pPr>
    <w:rPr>
      <w:rFonts w:ascii="Calibri" w:hAnsi="Calibri" w:eastAsiaTheme="minorHAnsi" w:cstheme="minorBidi"/>
      <w:sz w:val="20"/>
      <w:szCs w:val="20"/>
    </w:rPr>
  </w:style>
  <w:style w:type="character" w:customStyle="1" w:styleId="FootnoteTextChar1">
    <w:name w:val="Footnote Text Char1"/>
    <w:basedOn w:val="DefaultParagraphFont"/>
    <w:semiHidden/>
    <w:rsid w:val="00D65D38"/>
  </w:style>
  <w:style w:type="character" w:styleId="FootnoteReference">
    <w:name w:val="footnote reference"/>
    <w:uiPriority w:val="99"/>
    <w:semiHidden/>
    <w:unhideWhenUsed/>
    <w:rsid w:val="00D65D38"/>
    <w:rPr>
      <w:vertAlign w:val="superscript"/>
    </w:rPr>
  </w:style>
  <w:style w:type="character" w:customStyle="1" w:styleId="UnresolvedMention1">
    <w:name w:val="Unresolved Mention1"/>
    <w:basedOn w:val="DefaultParagraphFont"/>
    <w:uiPriority w:val="99"/>
    <w:semiHidden/>
    <w:unhideWhenUsed/>
    <w:rsid w:val="003E02F4"/>
    <w:rPr>
      <w:color w:val="605E5C"/>
      <w:shd w:val="clear" w:color="auto" w:fill="E1DFDD"/>
    </w:rPr>
  </w:style>
  <w:style w:type="paragraph" w:customStyle="1" w:styleId="TableHeaderCenter">
    <w:name w:val="Table Header Center"/>
    <w:basedOn w:val="TableHeaderLeft"/>
    <w:qFormat/>
    <w:rsid w:val="00C34956"/>
    <w:pPr>
      <w:jc w:val="center"/>
    </w:pPr>
  </w:style>
  <w:style w:type="paragraph" w:customStyle="1" w:styleId="TableHeaderLeft">
    <w:name w:val="Table Header Left"/>
    <w:qFormat/>
    <w:rsid w:val="00C34956"/>
    <w:pPr>
      <w:spacing w:before="120" w:after="60"/>
    </w:pPr>
    <w:rPr>
      <w:rFonts w:ascii="Arial" w:hAnsi="Arial"/>
      <w:b/>
      <w:color w:val="FFFFFF" w:themeColor="background1"/>
      <w:sz w:val="18"/>
    </w:rPr>
  </w:style>
  <w:style w:type="paragraph" w:customStyle="1" w:styleId="NormalSS">
    <w:name w:val="NormalSS"/>
    <w:basedOn w:val="Normal"/>
    <w:link w:val="NormalSSChar"/>
    <w:qFormat/>
    <w:rsid w:val="004F51C8"/>
    <w:pPr>
      <w:spacing w:line="240" w:lineRule="auto"/>
      <w:ind w:firstLine="432"/>
    </w:pPr>
    <w:rPr>
      <w:szCs w:val="20"/>
    </w:rPr>
  </w:style>
  <w:style w:type="character" w:customStyle="1" w:styleId="NormalSSChar">
    <w:name w:val="NormalSS Char"/>
    <w:basedOn w:val="DefaultParagraphFont"/>
    <w:link w:val="NormalSS"/>
    <w:locked/>
    <w:rsid w:val="004F51C8"/>
    <w:rPr>
      <w:sz w:val="24"/>
    </w:rPr>
  </w:style>
  <w:style w:type="paragraph" w:styleId="Revision">
    <w:name w:val="Revision"/>
    <w:hidden/>
    <w:uiPriority w:val="99"/>
    <w:semiHidden/>
    <w:rsid w:val="00FA054A"/>
    <w:rPr>
      <w:sz w:val="24"/>
      <w:szCs w:val="24"/>
    </w:rPr>
  </w:style>
  <w:style w:type="character" w:styleId="UnresolvedMention">
    <w:name w:val="Unresolved Mention"/>
    <w:basedOn w:val="DefaultParagraphFont"/>
    <w:uiPriority w:val="99"/>
    <w:semiHidden/>
    <w:unhideWhenUsed/>
    <w:rsid w:val="00287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2020/may/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21993b8-963c-40f8-bb77-721e51881077">DYXX3KQPS52K-1114335524-88416</_dlc_DocId>
    <_dlc_DocIdUrl xmlns="721993b8-963c-40f8-bb77-721e51881077">
      <Url>https://ogcintranet.hhs.gov/sites/DocumentCenter/_layouts/15/DocIdRedir.aspx?ID=DYXX3KQPS52K-1114335524-88416</Url>
      <Description>DYXX3KQPS52K-1114335524-88416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1DB03F3A7A704B96FA2859FDCE6C8D" ma:contentTypeVersion="" ma:contentTypeDescription="Create a new document." ma:contentTypeScope="" ma:versionID="18260a793ecc04d83f4e03bcefdaff78">
  <xsd:schema xmlns:xsd="http://www.w3.org/2001/XMLSchema" xmlns:xs="http://www.w3.org/2001/XMLSchema" xmlns:p="http://schemas.microsoft.com/office/2006/metadata/properties" xmlns:ns2="721993b8-963c-40f8-bb77-721e51881077" xmlns:ns3="0da5d3f8-c2bc-48c1-9c46-6ed742716744" targetNamespace="http://schemas.microsoft.com/office/2006/metadata/properties" ma:root="true" ma:fieldsID="81807f1e28012e5074b8dea5d3b84973" ns2:_="" ns3:_="">
    <xsd:import namespace="721993b8-963c-40f8-bb77-721e51881077"/>
    <xsd:import namespace="0da5d3f8-c2bc-48c1-9c46-6ed74271674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93b8-963c-40f8-bb77-721e518810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a5d3f8-c2bc-48c1-9c46-6ed74271674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F9EBF-66D0-4ECD-B963-47F6912CB2D9}">
  <ds:schemaRefs>
    <ds:schemaRef ds:uri="http://schemas.openxmlformats.org/officeDocument/2006/bibliography"/>
  </ds:schemaRefs>
</ds:datastoreItem>
</file>

<file path=customXml/itemProps2.xml><?xml version="1.0" encoding="utf-8"?>
<ds:datastoreItem xmlns:ds="http://schemas.openxmlformats.org/officeDocument/2006/customXml" ds:itemID="{D50093DB-7D27-4DF8-9BAF-6B2FDA5A721D}">
  <ds:schemaRefs>
    <ds:schemaRef ds:uri="http://schemas.microsoft.com/sharepoint/v3/contenttype/forms"/>
  </ds:schemaRefs>
</ds:datastoreItem>
</file>

<file path=customXml/itemProps3.xml><?xml version="1.0" encoding="utf-8"?>
<ds:datastoreItem xmlns:ds="http://schemas.openxmlformats.org/officeDocument/2006/customXml" ds:itemID="{D70D4C4B-2C12-44AD-9A86-532FC3C1C75F}">
  <ds:schemaRefs>
    <ds:schemaRef ds:uri="http://schemas.microsoft.com/office/2006/metadata/properties"/>
    <ds:schemaRef ds:uri="http://schemas.microsoft.com/office/infopath/2007/PartnerControls"/>
    <ds:schemaRef ds:uri="721993b8-963c-40f8-bb77-721e51881077"/>
  </ds:schemaRefs>
</ds:datastoreItem>
</file>

<file path=customXml/itemProps4.xml><?xml version="1.0" encoding="utf-8"?>
<ds:datastoreItem xmlns:ds="http://schemas.openxmlformats.org/officeDocument/2006/customXml" ds:itemID="{3D5CE269-D603-4569-82F1-F72BF3E06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993b8-963c-40f8-bb77-721e51881077"/>
    <ds:schemaRef ds:uri="0da5d3f8-c2bc-48c1-9c46-6ed74271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1607</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CSR Inc.</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Claudia Flatau</dc:creator>
  <cp:lastModifiedBy>Cooper, Laura (HRSA)</cp:lastModifiedBy>
  <cp:revision>4</cp:revision>
  <cp:lastPrinted>2014-05-08T19:32:00Z</cp:lastPrinted>
  <dcterms:created xsi:type="dcterms:W3CDTF">2023-05-23T16:57:00Z</dcterms:created>
  <dcterms:modified xsi:type="dcterms:W3CDTF">2023-06-01T12:40:00Z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0x010100961DB03F3A7A704B96FA2859FDCE6C8D</vt:lpwstr>
  </property>
  <property fmtid="{D5CDD505-2E9C-101B-9397-08002B2CF9AE}" pid="3" name="GrammarlyDocumentId">
    <vt:lpwstr>896e6dba202cc9e0b27937b4d6adc5de8897634cc8e678db0368f134ee9e39fb</vt:lpwstr>
  </property>
  <property fmtid="{D5CDD505-2E9C-101B-9397-08002B2CF9AE}" pid="4" name="_dlc_DocIdItemGuid">
    <vt:lpwstr>904487ab-3dd3-49e0-b0ec-ef5701852925</vt:lpwstr>
  </property>
</Properties>
</file>