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46D52" w:rsidRPr="00E972D1" w:rsidP="00E972D1" w14:paraId="032B8B3C" w14:textId="6371AFCE">
      <w:pPr>
        <w:tabs>
          <w:tab w:val="center" w:pos="4680"/>
        </w:tabs>
        <w:spacing w:before="120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E972D1">
        <w:rPr>
          <w:rFonts w:eastAsia="Times New Roman" w:asciiTheme="majorHAnsi" w:hAnsiTheme="majorHAnsi" w:cstheme="majorHAnsi"/>
          <w:b/>
          <w:bCs/>
          <w:color w:val="auto"/>
          <w:sz w:val="28"/>
          <w:szCs w:val="28"/>
        </w:rPr>
        <w:t xml:space="preserve">Request for Approval under the </w:t>
      </w:r>
      <w:r w:rsidRPr="00E972D1" w:rsidR="3ACA3C8E">
        <w:rPr>
          <w:rFonts w:eastAsia="Times New Roman" w:asciiTheme="majorHAnsi" w:hAnsiTheme="majorHAnsi" w:cstheme="majorHAnsi"/>
          <w:b/>
          <w:bCs/>
          <w:color w:val="auto"/>
          <w:sz w:val="28"/>
          <w:szCs w:val="28"/>
        </w:rPr>
        <w:t>“</w:t>
      </w:r>
      <w:r w:rsidRPr="00E972D1" w:rsidR="00A00C9C">
        <w:rPr>
          <w:rFonts w:asciiTheme="majorHAnsi" w:hAnsiTheme="majorHAnsi" w:cstheme="majorHAnsi"/>
          <w:b/>
          <w:color w:val="auto"/>
          <w:sz w:val="28"/>
          <w:szCs w:val="28"/>
        </w:rPr>
        <w:t>Questionnaire and Data Collection Testing and Developmental Research for the Health Resources and Services Administration (HRSA)</w:t>
      </w:r>
      <w:r w:rsidRPr="00E972D1" w:rsidR="3ACA3C8E">
        <w:rPr>
          <w:rFonts w:eastAsia="Times New Roman"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” </w:t>
      </w:r>
    </w:p>
    <w:p w:rsidR="0032537D" w:rsidRPr="00EF772A" w:rsidP="46A1F0DA" w14:paraId="3889282E" w14:textId="175BE173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eastAsia="Times New Roman" w:asciiTheme="majorHAnsi" w:hAnsiTheme="majorHAnsi" w:cstheme="majorHAnsi"/>
          <w:b/>
          <w:bCs/>
          <w:color w:val="000000"/>
          <w:sz w:val="24"/>
          <w:szCs w:val="24"/>
        </w:rPr>
      </w:pPr>
      <w:r w:rsidRPr="00EF772A">
        <w:rPr>
          <w:rFonts w:eastAsia="Times New Roman" w:asciiTheme="majorHAnsi" w:hAnsiTheme="majorHAnsi" w:cstheme="majorHAnsi"/>
          <w:b/>
          <w:bCs/>
          <w:color w:val="000000" w:themeColor="text1"/>
          <w:sz w:val="28"/>
          <w:szCs w:val="28"/>
        </w:rPr>
        <w:t>(OMB Control Number:</w:t>
      </w:r>
      <w:r w:rsidRPr="00EF772A" w:rsidR="4BC4D69B">
        <w:rPr>
          <w:rFonts w:eastAsia="Times New Roman"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EF772A" w:rsidR="005558FC">
        <w:rPr>
          <w:rFonts w:eastAsia="Times New Roman" w:asciiTheme="majorHAnsi" w:hAnsiTheme="majorHAnsi" w:cstheme="majorHAnsi"/>
          <w:b/>
          <w:bCs/>
          <w:color w:val="000000" w:themeColor="text1"/>
          <w:sz w:val="28"/>
          <w:szCs w:val="28"/>
        </w:rPr>
        <w:t>0915-</w:t>
      </w:r>
      <w:r w:rsidR="00055941">
        <w:rPr>
          <w:rFonts w:eastAsia="Times New Roman" w:asciiTheme="majorHAnsi" w:hAnsiTheme="majorHAnsi" w:cstheme="majorHAnsi"/>
          <w:b/>
          <w:bCs/>
          <w:color w:val="000000" w:themeColor="text1"/>
          <w:sz w:val="28"/>
          <w:szCs w:val="28"/>
        </w:rPr>
        <w:t>0379</w:t>
      </w:r>
      <w:r w:rsidRPr="00EF772A">
        <w:rPr>
          <w:rFonts w:eastAsia="Times New Roman" w:asciiTheme="majorHAnsi" w:hAnsiTheme="majorHAnsi" w:cstheme="majorHAnsi"/>
          <w:b/>
          <w:bCs/>
          <w:color w:val="000000" w:themeColor="text1"/>
          <w:sz w:val="28"/>
          <w:szCs w:val="28"/>
        </w:rPr>
        <w:t>)</w:t>
      </w:r>
      <w:r w:rsidR="00320AD4">
        <w:rPr>
          <w:rFonts w:eastAsia="Times New Roman"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</w:p>
    <w:p w:rsidR="0032537D" w:rsidRPr="00EF772A" w14:paraId="00D74D13" w14:textId="77777777">
      <w:pPr>
        <w:widowControl/>
        <w:spacing w:line="240" w:lineRule="auto"/>
        <w:rPr>
          <w:rFonts w:eastAsia="Times New Roman" w:asciiTheme="majorHAnsi" w:hAnsiTheme="majorHAnsi" w:cstheme="majorHAnsi"/>
          <w:b/>
          <w:color w:val="000000"/>
        </w:rPr>
      </w:pPr>
      <w:r w:rsidRPr="00EF772A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246566" w:rsidRPr="00B340A9" w14:paraId="5EB48CA5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</w:rPr>
        <w:t>TITLE OF INFORMATION COLLECTION:</w:t>
      </w:r>
      <w:r w:rsidRPr="00B340A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340A9" w:rsidR="23DBCB61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Health Center Community Engagement Network (CEN). </w:t>
      </w:r>
    </w:p>
    <w:p w:rsidR="00246566" w:rsidRPr="00B340A9" w14:paraId="4F847F5E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</w:pPr>
    </w:p>
    <w:p w:rsidR="005F3A3D" w:rsidRPr="005F3A3D" w:rsidP="005F3A3D" w14:paraId="0EB3A7A4" w14:textId="10A1ED35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 w:rsidRPr="00B340A9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PURPOSE:</w:t>
      </w:r>
      <w:r w:rsidRPr="00B340A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340A9" w:rsidR="2E970026">
        <w:rPr>
          <w:rFonts w:asciiTheme="majorHAnsi" w:hAnsiTheme="majorHAnsi" w:cstheme="majorHAnsi"/>
          <w:color w:val="000000" w:themeColor="text1"/>
          <w:sz w:val="22"/>
          <w:szCs w:val="22"/>
        </w:rPr>
        <w:t>The</w:t>
      </w:r>
      <w:r w:rsidRPr="00B340A9" w:rsidR="3992B0B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CEN is a multi-disciplinary group</w:t>
      </w:r>
      <w:r w:rsidRPr="00B340A9" w:rsidR="7E3337C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of stakeholders</w:t>
      </w:r>
      <w:r w:rsidRPr="00B340A9" w:rsidR="2A2C292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with diverse expertise and perspectives</w:t>
      </w:r>
      <w:r w:rsidRPr="00B340A9" w:rsidR="18F9B48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that will </w:t>
      </w:r>
      <w:r w:rsidRPr="00B340A9" w:rsidR="2E97002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elevate the voices of those impacted by the Health Center Program (HCP) to inform </w:t>
      </w:r>
      <w:r w:rsidR="00BC55E9">
        <w:rPr>
          <w:rFonts w:asciiTheme="majorHAnsi" w:hAnsiTheme="majorHAnsi" w:cstheme="majorHAnsi"/>
          <w:color w:val="000000" w:themeColor="text1"/>
          <w:sz w:val="22"/>
          <w:szCs w:val="22"/>
        </w:rPr>
        <w:t>HRSA’s</w:t>
      </w:r>
      <w:r w:rsidR="002A57F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340A9" w:rsidR="2E970026">
        <w:rPr>
          <w:rFonts w:asciiTheme="majorHAnsi" w:hAnsiTheme="majorHAnsi" w:cstheme="majorHAnsi"/>
          <w:color w:val="000000" w:themeColor="text1"/>
          <w:sz w:val="22"/>
          <w:szCs w:val="22"/>
        </w:rPr>
        <w:t>long-term strategy</w:t>
      </w:r>
      <w:r w:rsidRPr="00B340A9" w:rsidR="3F00C3F2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Pr="00B340A9" w:rsidR="2E97002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340A9" w:rsidR="481A0ED6">
        <w:rPr>
          <w:rFonts w:asciiTheme="majorHAnsi" w:hAnsiTheme="majorHAnsi" w:cstheme="majorHAnsi"/>
          <w:color w:val="000000" w:themeColor="text1"/>
          <w:sz w:val="22"/>
          <w:szCs w:val="22"/>
        </w:rPr>
        <w:t>vision,</w:t>
      </w:r>
      <w:r w:rsidRPr="00B340A9" w:rsidR="2E97002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planning. The CEN will provide </w:t>
      </w:r>
      <w:r w:rsidR="002A57F8">
        <w:rPr>
          <w:rFonts w:asciiTheme="majorHAnsi" w:hAnsiTheme="majorHAnsi" w:cstheme="majorHAnsi"/>
          <w:color w:val="000000" w:themeColor="text1"/>
          <w:sz w:val="22"/>
          <w:szCs w:val="22"/>
        </w:rPr>
        <w:t>HRSA</w:t>
      </w:r>
      <w:r w:rsidRPr="00B340A9" w:rsidR="2E97002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with independent, subject matter and stakeholder expertise </w:t>
      </w:r>
      <w:r w:rsidR="000429B7">
        <w:rPr>
          <w:rFonts w:asciiTheme="majorHAnsi" w:hAnsiTheme="majorHAnsi" w:cstheme="majorHAnsi"/>
          <w:color w:val="000000" w:themeColor="text1"/>
          <w:sz w:val="22"/>
          <w:szCs w:val="22"/>
        </w:rPr>
        <w:t>using questions and approaches designed to encourage feedback from different stakeholders and a conversation between the facilitator and participants</w:t>
      </w:r>
      <w:r w:rsidR="00340C9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:rsidR="00DD6383" w:rsidP="0D4F1437" w14:paraId="3B475DEA" w14:textId="41FCAB01">
      <w:pPr>
        <w:widowControl/>
        <w:spacing w:line="240" w:lineRule="auto"/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</w:pPr>
      <w:r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Focus group p</w:t>
      </w:r>
      <w:r w:rsidR="00DF016F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articipants will provide </w:t>
      </w:r>
      <w:r w:rsidR="002F62D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a </w:t>
      </w:r>
      <w:r w:rsidRPr="00B340A9" w:rsidR="00DF016F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detailed analysis of possible future</w:t>
      </w:r>
      <w:r w:rsidR="00DF016F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health center</w:t>
      </w:r>
      <w:r w:rsidRPr="00B340A9" w:rsidR="00DF016F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DF016F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operating </w:t>
      </w:r>
      <w:r w:rsidRPr="00B340A9" w:rsidR="00DF016F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environments</w:t>
      </w:r>
      <w:r w:rsidR="00DF016F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using </w:t>
      </w:r>
      <w:r w:rsidR="006862A0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a</w:t>
      </w:r>
      <w:r w:rsidRPr="00B340A9" w:rsidR="59669A45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3D2825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data driven</w:t>
      </w:r>
      <w:r w:rsidR="00583A9A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340A9" w:rsidR="755310CA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planning approach</w:t>
      </w:r>
      <w:r w:rsidR="00771F90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:rsidR="00DD6383" w:rsidP="0D4F1437" w14:paraId="300238CA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</w:pPr>
    </w:p>
    <w:p w:rsidR="00143B7D" w:rsidP="0D4F1437" w14:paraId="46ECA280" w14:textId="06A747FC">
      <w:pPr>
        <w:widowControl/>
        <w:spacing w:line="240" w:lineRule="auto"/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</w:pPr>
      <w:r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This collection falls under HRSA’s strategic foresight approach to </w:t>
      </w:r>
      <w:r w:rsidRPr="00DD6383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C</w:t>
      </w:r>
      <w:r w:rsidR="00C0533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ENs. </w:t>
      </w:r>
      <w:r w:rsidR="00771F90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S</w:t>
      </w:r>
      <w:r w:rsidR="00820DF0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trategic </w:t>
      </w:r>
      <w:r w:rsidR="00091BA8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f</w:t>
      </w:r>
      <w:r w:rsidR="00820DF0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oresight </w:t>
      </w:r>
      <w:r w:rsidR="00C0533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is a process that Federal government agencies are engaging in, which </w:t>
      </w:r>
      <w:r w:rsidR="007150D0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gather</w:t>
      </w:r>
      <w:r w:rsidR="00C0533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s</w:t>
      </w:r>
      <w:r w:rsidR="007150D0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information </w:t>
      </w:r>
      <w:r w:rsidR="0086027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in </w:t>
      </w:r>
      <w:r w:rsidR="00897B1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focus group</w:t>
      </w:r>
      <w:r w:rsidR="00F37E8E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86027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setting</w:t>
      </w:r>
      <w:r w:rsidR="007D706A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s</w:t>
      </w:r>
      <w:r w:rsidR="00F37E8E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88653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to</w:t>
      </w:r>
      <w:r w:rsidR="00DC54F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F37E8E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develop recommendations</w:t>
      </w:r>
      <w:r w:rsidR="00B6787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and actionable goals</w:t>
      </w:r>
      <w:r w:rsidR="00DC54F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88653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for</w:t>
      </w:r>
      <w:r w:rsidR="00DC54F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D24066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the </w:t>
      </w:r>
      <w:r w:rsidR="00C0533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agencies</w:t>
      </w:r>
      <w:r w:rsidR="002C4848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351FA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to work towards </w:t>
      </w:r>
      <w:r w:rsidR="00F37E8E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over the coming years. </w:t>
      </w:r>
      <w:r w:rsidR="00102A50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This meth</w:t>
      </w:r>
      <w:r w:rsidR="00DA7B53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odology</w:t>
      </w:r>
      <w:r w:rsidRPr="00B340A9" w:rsidR="00F37E8E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401071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involve</w:t>
      </w:r>
      <w:r w:rsidR="00820DF0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s</w:t>
      </w:r>
      <w:r w:rsidR="00401071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anticipating future trends, challenges, and opportun</w:t>
      </w:r>
      <w:r w:rsidR="0090322D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ities and using this information to guide future strategic planning decision-making</w:t>
      </w:r>
      <w:r w:rsidR="001847DF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2244B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by </w:t>
      </w:r>
      <w:r w:rsidR="001847DF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weighing </w:t>
      </w:r>
      <w:r w:rsidRPr="00B340A9" w:rsidR="6E9BD774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the impact of those</w:t>
      </w:r>
      <w:r w:rsidR="002363E2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decisions</w:t>
      </w:r>
      <w:r w:rsidRPr="00B340A9" w:rsidR="6E9BD774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on</w:t>
      </w:r>
      <w:r w:rsidR="001A0363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the </w:t>
      </w:r>
      <w:r w:rsidR="00D856A2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B</w:t>
      </w:r>
      <w:r w:rsidR="001A0363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ureau</w:t>
      </w:r>
      <w:r w:rsidR="00D856A2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’</w:t>
      </w:r>
      <w:r w:rsidR="001A0363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s</w:t>
      </w:r>
      <w:r w:rsidRPr="00B340A9" w:rsidR="676EE50D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mission</w:t>
      </w:r>
      <w:r w:rsidR="002244B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; </w:t>
      </w:r>
      <w:r w:rsidRPr="00B340A9" w:rsidR="2E970026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better prepar</w:t>
      </w:r>
      <w:r w:rsidR="002244B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ing</w:t>
      </w:r>
      <w:r w:rsidRPr="00B340A9" w:rsidR="2E970026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the health center program to meet public health </w:t>
      </w:r>
      <w:r w:rsidRPr="00B340A9" w:rsidR="394683F3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needs</w:t>
      </w:r>
      <w:r w:rsidR="0027110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,</w:t>
      </w:r>
      <w:r w:rsidRPr="00B340A9" w:rsidR="394683F3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F3F87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while honoring </w:t>
      </w:r>
      <w:r w:rsidRPr="00B340A9" w:rsidR="3E5FC1E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the </w:t>
      </w:r>
      <w:r w:rsidR="00D856A2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B</w:t>
      </w:r>
      <w:r w:rsidRPr="00B340A9" w:rsidR="3E5FC1E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ureau</w:t>
      </w:r>
      <w:r w:rsidR="00D856A2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’</w:t>
      </w:r>
      <w:r w:rsidRPr="00B340A9" w:rsidR="3E5FC1E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s commitment to </w:t>
      </w:r>
      <w:r w:rsidRPr="00B340A9" w:rsidR="2568D056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be more inclusive and</w:t>
      </w:r>
      <w:r w:rsidRPr="00B340A9" w:rsidR="2C579B66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provide</w:t>
      </w:r>
      <w:r w:rsidRPr="00B340A9" w:rsidR="2568D056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equitable</w:t>
      </w:r>
      <w:r w:rsidRPr="00B340A9" w:rsidR="155F4A17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health</w:t>
      </w:r>
      <w:r w:rsidRPr="00B340A9" w:rsidR="2568D056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outcomes</w:t>
      </w:r>
      <w:r w:rsidRPr="00B340A9" w:rsidR="2E970026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:rsidR="00143B7D" w:rsidP="0D4F1437" w14:paraId="471A9202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</w:pPr>
    </w:p>
    <w:p w:rsidR="00DD6428" w:rsidP="0D4F1437" w14:paraId="4B988BF9" w14:textId="73741548">
      <w:pPr>
        <w:widowControl/>
        <w:spacing w:line="240" w:lineRule="auto"/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</w:pPr>
      <w:r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HRSA’s </w:t>
      </w:r>
      <w:r w:rsidR="006E3BB1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Strategic Foresight approach for</w:t>
      </w:r>
      <w:r w:rsidRPr="00B340A9" w:rsidR="001F2DAA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long-term</w:t>
      </w:r>
      <w:r w:rsidRPr="00B340A9" w:rsidR="00441526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340A9" w:rsidR="13E13D3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strategic </w:t>
      </w:r>
      <w:r w:rsidRPr="00B340A9" w:rsidR="1D8CF02E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vision</w:t>
      </w:r>
      <w:r w:rsidRPr="00B340A9" w:rsidR="001F2DAA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for the Hea</w:t>
      </w:r>
      <w:r w:rsidRPr="00B340A9" w:rsidR="00CC6043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lth Center Program </w:t>
      </w:r>
      <w:r w:rsidRPr="00B340A9" w:rsidR="00FA5625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over the next 10</w:t>
      </w:r>
      <w:r w:rsidRPr="00B340A9" w:rsidR="3C68C851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months</w:t>
      </w:r>
      <w:r w:rsidR="008E720E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will include the below selected task areas</w:t>
      </w:r>
      <w:r w:rsidR="00A26F4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="000164D3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The</w:t>
      </w:r>
      <w:r w:rsidR="00A85CD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Health Center</w:t>
      </w:r>
      <w:r w:rsidR="000164D3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0B5CD5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Community Engagement Network (</w:t>
      </w:r>
      <w:r w:rsidRPr="00B340A9" w:rsidR="0081381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CEN</w:t>
      </w:r>
      <w:r w:rsidR="000B5CD5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)</w:t>
      </w:r>
      <w:r w:rsidRPr="00B340A9" w:rsidR="0081381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participants will engage in </w:t>
      </w:r>
      <w:r w:rsidR="000B5CD5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focus </w:t>
      </w:r>
      <w:r w:rsidRPr="00B340A9" w:rsidR="00F93700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group </w:t>
      </w:r>
      <w:r w:rsidR="00A808B5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meetings</w:t>
      </w:r>
      <w:r w:rsidRPr="00B340A9" w:rsidR="00A808B5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340A9" w:rsidR="00F93700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in the </w:t>
      </w:r>
      <w:r w:rsidR="00FC7328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steps</w:t>
      </w:r>
      <w:r w:rsidR="009E395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listed in the table below. Each engagement represents another focus group</w:t>
      </w:r>
      <w:r w:rsidR="00260E4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session</w:t>
      </w:r>
      <w:r w:rsidR="009E395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.</w:t>
      </w:r>
      <w:r w:rsidR="00260E4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This entire collection will consist of 4 focus group sessions with </w:t>
      </w:r>
      <w:r w:rsidR="008A51E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up to </w:t>
      </w:r>
      <w:r w:rsidR="00260E4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20 participants in each session.</w:t>
      </w:r>
    </w:p>
    <w:p w:rsidR="00046118" w:rsidRPr="00046118" w:rsidP="0D4F1437" w14:paraId="47615F38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</w:pPr>
    </w:p>
    <w:p w:rsidR="00FE2928" w:rsidP="0D4F1437" w14:paraId="73061DF3" w14:textId="14EAEA50">
      <w:pPr>
        <w:widowControl/>
        <w:spacing w:line="240" w:lineRule="auto"/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</w:rPr>
      </w:pPr>
      <w:r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</w:rPr>
        <w:t>HRSA APPROACH TO COLLECTION</w:t>
      </w:r>
      <w:r w:rsidR="00DE2305"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  <w:r w:rsidRPr="003970BF" w:rsidR="00772275"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</w:rPr>
        <w:t>FORESIGHT STRATEGY TASK AREAS</w:t>
      </w:r>
      <w:r w:rsidRPr="003970BF" w:rsidR="00FB31B7"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</w:rPr>
        <w:t>:</w:t>
      </w:r>
    </w:p>
    <w:p w:rsidR="003A7AB3" w:rsidP="0D4F1437" w14:paraId="4CB7F4D4" w14:textId="77777777">
      <w:pPr>
        <w:widowControl/>
        <w:spacing w:line="240" w:lineRule="auto"/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9455" w:type="dxa"/>
        <w:tblLayout w:type="fixed"/>
        <w:tblLook w:val="04A0"/>
      </w:tblPr>
      <w:tblGrid>
        <w:gridCol w:w="1535"/>
        <w:gridCol w:w="2611"/>
        <w:gridCol w:w="1709"/>
        <w:gridCol w:w="1620"/>
        <w:gridCol w:w="1980"/>
      </w:tblGrid>
      <w:tr w14:paraId="5DCBEBF4" w14:textId="77777777" w:rsidTr="002C4848">
        <w:tblPrEx>
          <w:tblW w:w="9455" w:type="dxa"/>
          <w:tblLayout w:type="fixed"/>
          <w:tblLook w:val="04A0"/>
        </w:tblPrEx>
        <w:trPr>
          <w:trHeight w:val="841"/>
        </w:trPr>
        <w:tc>
          <w:tcPr>
            <w:tcW w:w="1535" w:type="dxa"/>
            <w:shd w:val="clear" w:color="auto" w:fill="0070C0"/>
          </w:tcPr>
          <w:p w:rsidR="002C4848" w:rsidRPr="001F3ADC" w:rsidP="44AA1FFC" w14:paraId="4838451A" w14:textId="4E67B467">
            <w:pPr>
              <w:widowControl/>
              <w:spacing w:before="100" w:beforeAutospacing="1" w:after="100" w:afterAutospacing="1"/>
              <w:textAlignment w:val="baseline"/>
              <w:rPr>
                <w:rFonts w:eastAsia="Times New Roman" w:asciiTheme="majorHAnsi" w:hAnsiTheme="majorHAnsi" w:cstheme="majorBidi"/>
                <w:b/>
                <w:bCs/>
                <w:color w:val="FFFFFF"/>
                <w:sz w:val="21"/>
                <w:szCs w:val="21"/>
                <w:lang w:val="en-US"/>
              </w:rPr>
            </w:pPr>
            <w:r w:rsidRPr="44AA1FFC"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>Session Group</w:t>
            </w:r>
            <w:r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(see Community Engagement Network Descriptions)</w:t>
            </w:r>
          </w:p>
        </w:tc>
        <w:tc>
          <w:tcPr>
            <w:tcW w:w="2611" w:type="dxa"/>
            <w:shd w:val="clear" w:color="auto" w:fill="0070C0"/>
          </w:tcPr>
          <w:p w:rsidR="002C4848" w:rsidRPr="001F3ADC" w:rsidP="44AA1FFC" w14:paraId="2802228B" w14:textId="51C11B36">
            <w:pPr>
              <w:widowControl/>
              <w:spacing w:before="100" w:beforeAutospacing="1" w:after="100" w:afterAutospacing="1"/>
              <w:textAlignment w:val="baseline"/>
              <w:rPr>
                <w:rFonts w:eastAsia="Times New Roman" w:asciiTheme="majorHAnsi" w:hAnsiTheme="majorHAnsi" w:cstheme="majorBidi"/>
                <w:b/>
                <w:bCs/>
                <w:color w:val="FFFFFF"/>
                <w:sz w:val="21"/>
                <w:szCs w:val="21"/>
                <w:lang w:val="en-US"/>
              </w:rPr>
            </w:pPr>
            <w:r w:rsidRPr="44AA1FFC"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>Trend</w:t>
            </w:r>
            <w:r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&amp; Driver</w:t>
            </w:r>
            <w:r w:rsidRPr="44AA1FFC"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Analysis</w:t>
            </w:r>
          </w:p>
        </w:tc>
        <w:tc>
          <w:tcPr>
            <w:tcW w:w="1709" w:type="dxa"/>
            <w:shd w:val="clear" w:color="auto" w:fill="0070C0"/>
          </w:tcPr>
          <w:p w:rsidR="002C4848" w:rsidRPr="001F3ADC" w:rsidP="44AA1FFC" w14:paraId="50E23D8F" w14:textId="77777777">
            <w:pPr>
              <w:widowControl/>
              <w:spacing w:before="100" w:beforeAutospacing="1" w:after="100" w:afterAutospacing="1"/>
              <w:textAlignment w:val="baseline"/>
              <w:rPr>
                <w:rFonts w:eastAsia="Times New Roman" w:asciiTheme="majorHAnsi" w:hAnsiTheme="majorHAnsi" w:cstheme="majorBidi"/>
                <w:b/>
                <w:bCs/>
                <w:color w:val="FFFFFF"/>
                <w:sz w:val="21"/>
                <w:szCs w:val="21"/>
                <w:lang w:val="en-US"/>
              </w:rPr>
            </w:pPr>
            <w:r w:rsidRPr="44AA1FFC"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>Scenario Development</w:t>
            </w:r>
          </w:p>
        </w:tc>
        <w:tc>
          <w:tcPr>
            <w:tcW w:w="1620" w:type="dxa"/>
            <w:shd w:val="clear" w:color="auto" w:fill="0070C0"/>
          </w:tcPr>
          <w:p w:rsidR="002C4848" w:rsidRPr="001F3ADC" w:rsidP="44AA1FFC" w14:paraId="12608506" w14:textId="77777777">
            <w:pPr>
              <w:widowControl/>
              <w:spacing w:before="100" w:beforeAutospacing="1" w:after="100" w:afterAutospacing="1"/>
              <w:textAlignment w:val="baseline"/>
              <w:rPr>
                <w:rFonts w:eastAsia="Times New Roman" w:asciiTheme="majorHAnsi" w:hAnsiTheme="majorHAnsi" w:cstheme="majorBidi"/>
                <w:b/>
                <w:bCs/>
                <w:color w:val="FFFFFF"/>
                <w:sz w:val="21"/>
                <w:szCs w:val="21"/>
                <w:lang w:val="en-US"/>
              </w:rPr>
            </w:pPr>
            <w:r w:rsidRPr="44AA1FFC"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>Backcasting</w:t>
            </w:r>
          </w:p>
        </w:tc>
        <w:tc>
          <w:tcPr>
            <w:tcW w:w="1980" w:type="dxa"/>
            <w:shd w:val="clear" w:color="auto" w:fill="0070C0"/>
          </w:tcPr>
          <w:p w:rsidR="002C4848" w:rsidRPr="001F3ADC" w:rsidP="44AA1FFC" w14:paraId="1BDBE424" w14:textId="77777777">
            <w:pPr>
              <w:widowControl/>
              <w:spacing w:before="100" w:beforeAutospacing="1" w:after="100" w:afterAutospacing="1"/>
              <w:textAlignment w:val="baseline"/>
              <w:rPr>
                <w:rFonts w:eastAsia="Times New Roman" w:asciiTheme="majorHAnsi" w:hAnsiTheme="majorHAnsi" w:cstheme="majorBidi"/>
                <w:b/>
                <w:bCs/>
                <w:color w:val="FFFFFF"/>
                <w:sz w:val="21"/>
                <w:szCs w:val="21"/>
                <w:lang w:val="en-US"/>
              </w:rPr>
            </w:pPr>
            <w:r w:rsidRPr="44AA1FFC"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>Strategy Development</w:t>
            </w:r>
          </w:p>
        </w:tc>
      </w:tr>
      <w:tr w14:paraId="1B3BDC1F" w14:textId="77777777" w:rsidTr="002C4848">
        <w:tblPrEx>
          <w:tblW w:w="9455" w:type="dxa"/>
          <w:tblLayout w:type="fixed"/>
          <w:tblLook w:val="04A0"/>
        </w:tblPrEx>
        <w:trPr>
          <w:trHeight w:val="4400"/>
        </w:trPr>
        <w:tc>
          <w:tcPr>
            <w:tcW w:w="1535" w:type="dxa"/>
          </w:tcPr>
          <w:p w:rsidR="002C4848" w:rsidRPr="007B6768" w:rsidP="44AA1FFC" w14:paraId="00C01A82" w14:textId="61DD261A">
            <w:pPr>
              <w:widowControl/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CEN </w:t>
            </w:r>
            <w:r w:rsidRPr="44AA1FFC"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  <w:t>SME Group</w:t>
            </w:r>
          </w:p>
        </w:tc>
        <w:tc>
          <w:tcPr>
            <w:tcW w:w="2611" w:type="dxa"/>
          </w:tcPr>
          <w:p w:rsidR="002C4848" w:rsidRPr="0072453D" w:rsidP="44AA1FFC" w14:paraId="0B291CC9" w14:textId="76C30F22">
            <w:pPr>
              <w:widowControl/>
              <w:rPr>
                <w:rFonts w:eastAsia="Times New Roman" w:asciiTheme="majorHAnsi" w:hAnsiTheme="majorHAnsi" w:cstheme="majorBidi"/>
                <w:b/>
                <w:bCs/>
                <w:color w:val="FF0000"/>
                <w:sz w:val="21"/>
                <w:szCs w:val="21"/>
              </w:rPr>
            </w:pPr>
            <w:r w:rsidRPr="44AA1FFC"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  <w:t>Engagement #1:</w:t>
            </w:r>
            <w:r w:rsidRPr="44AA1FF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 Trends</w:t>
            </w:r>
            <w:r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/Driver</w:t>
            </w:r>
            <w:r w:rsidRPr="44AA1FF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 Analysis - Reviewing current state environmental scan</w:t>
            </w:r>
            <w:r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 of the health center program and mapping trends through RIGOR analysis, identifying themes, and future issues, plans, projections for the healthcare environment in 10-15 years. Using trend results and other indicators to provide an increased understanding of current and emerging environment, pinpoint drivers and impacts on different sub-populations.</w:t>
            </w:r>
          </w:p>
        </w:tc>
        <w:tc>
          <w:tcPr>
            <w:tcW w:w="1709" w:type="dxa"/>
          </w:tcPr>
          <w:p w:rsidR="002C4848" w:rsidRPr="007B6768" w:rsidP="44AA1FFC" w14:paraId="55D2DF8D" w14:textId="77777777">
            <w:pPr>
              <w:widowControl/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 w:val="21"/>
                <w:szCs w:val="21"/>
              </w:rPr>
            </w:pPr>
            <w:r w:rsidRPr="44AA1FFC"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  <w:t>Engagement # 2</w:t>
            </w:r>
            <w:r w:rsidRPr="44AA1FF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: Scenario Development - Experts will review 15 outlines (stories) of possible future events and identify 3 – 5 detailed, diverse scenarios</w:t>
            </w:r>
          </w:p>
        </w:tc>
        <w:tc>
          <w:tcPr>
            <w:tcW w:w="1620" w:type="dxa"/>
          </w:tcPr>
          <w:p w:rsidR="002C4848" w:rsidRPr="007B6768" w:rsidP="44AA1FFC" w14:paraId="15D6F55F" w14:textId="77777777">
            <w:pPr>
              <w:widowControl/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 w:val="21"/>
                <w:szCs w:val="21"/>
              </w:rPr>
            </w:pPr>
            <w:r w:rsidRPr="44AA1FFC"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  <w:t>Engagement #3</w:t>
            </w:r>
            <w:r w:rsidRPr="44AA1FF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44AA1FF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Backcasting</w:t>
            </w:r>
            <w:r w:rsidRPr="44AA1FF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-The experts will identify desirable future and then works backwards to identify the steps that would need to be taken to get there.</w:t>
            </w:r>
          </w:p>
        </w:tc>
        <w:tc>
          <w:tcPr>
            <w:tcW w:w="1980" w:type="dxa"/>
          </w:tcPr>
          <w:p w:rsidR="002C4848" w:rsidRPr="007B6768" w:rsidP="44AA1FFC" w14:paraId="72900C7C" w14:textId="0C0C1A81">
            <w:pPr>
              <w:widowControl/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 w:val="21"/>
                <w:szCs w:val="21"/>
              </w:rPr>
            </w:pPr>
            <w:r w:rsidRPr="44AA1FFC"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Engagement #4: </w:t>
            </w:r>
            <w:r w:rsidRPr="44AA1FF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Strategy Vision/Goal </w:t>
            </w:r>
            <w:r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–</w:t>
            </w:r>
            <w:r w:rsidRPr="44AA1FF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 </w:t>
            </w:r>
            <w:r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Participants will provide </w:t>
            </w:r>
            <w:r w:rsidRPr="44AA1FF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input o</w:t>
            </w:r>
            <w:r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n</w:t>
            </w:r>
            <w:r w:rsidRPr="44AA1FF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 drafted objectives and goals</w:t>
            </w:r>
            <w:r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.</w:t>
            </w:r>
          </w:p>
        </w:tc>
      </w:tr>
    </w:tbl>
    <w:p w:rsidR="003A7AB3" w:rsidRPr="003970BF" w:rsidP="0D4F1437" w14:paraId="62785A77" w14:textId="77777777">
      <w:pPr>
        <w:widowControl/>
        <w:spacing w:line="240" w:lineRule="auto"/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:rsidR="00FE2928" w:rsidRPr="00B340A9" w:rsidP="44AA1FFC" w14:paraId="3E3372D4" w14:textId="77777777">
      <w:pPr>
        <w:widowControl/>
        <w:spacing w:line="240" w:lineRule="auto"/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</w:pPr>
      <w:r w:rsidRPr="44AA1FFC">
        <w:rPr>
          <w:rFonts w:eastAsia="Times New Roman" w:asciiTheme="majorHAnsi" w:hAnsiTheme="majorHAnsi" w:cstheme="majorBidi"/>
          <w:b/>
          <w:bCs/>
          <w:color w:val="000000" w:themeColor="text1"/>
          <w:sz w:val="22"/>
          <w:szCs w:val="22"/>
        </w:rPr>
        <w:t>TYPE OF COLLECTION:</w:t>
      </w:r>
      <w:r w:rsidRPr="44AA1FFC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(Check one)</w:t>
      </w:r>
    </w:p>
    <w:p w:rsidR="00FE2928" w:rsidRPr="00B340A9" w:rsidP="44AA1FFC" w14:paraId="56C9028F" w14:textId="77777777">
      <w:pPr>
        <w:widowControl/>
        <w:tabs>
          <w:tab w:val="left" w:pos="360"/>
        </w:tabs>
        <w:spacing w:line="240" w:lineRule="auto"/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</w:pPr>
    </w:p>
    <w:p w:rsidR="00FE2928" w:rsidRPr="00B340A9" w:rsidP="44AA1FFC" w14:paraId="78741617" w14:textId="77777777">
      <w:pPr>
        <w:widowControl/>
        <w:tabs>
          <w:tab w:val="left" w:pos="360"/>
        </w:tabs>
        <w:spacing w:line="240" w:lineRule="auto"/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</w:pPr>
      <w:r w:rsidRPr="44AA1FFC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[ ]</w:t>
      </w:r>
      <w:r w:rsidRPr="44AA1FFC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Customer Comment Card/Complaint Form </w:t>
      </w:r>
      <w:r>
        <w:tab/>
      </w:r>
      <w:r w:rsidRPr="44AA1FFC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[ ] Customer Satisfaction Survey    </w:t>
      </w:r>
    </w:p>
    <w:p w:rsidR="00FE2928" w:rsidRPr="00B340A9" w:rsidP="44AA1FFC" w14:paraId="18807103" w14:textId="5375DA27">
      <w:pPr>
        <w:widowControl/>
        <w:tabs>
          <w:tab w:val="left" w:pos="360"/>
        </w:tabs>
        <w:spacing w:line="240" w:lineRule="auto"/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</w:pPr>
      <w:r w:rsidRPr="44AA1FFC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[ ]</w:t>
      </w:r>
      <w:r w:rsidRPr="44AA1FFC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Usability Testing (e.g., Website or Software)</w:t>
      </w:r>
      <w:r>
        <w:tab/>
      </w:r>
      <w:r w:rsidRPr="44AA1FFC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[</w:t>
      </w:r>
      <w:r w:rsidR="003F320F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44AA1FFC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] Small Discussion Group</w:t>
      </w:r>
    </w:p>
    <w:p w:rsidR="00FE2928" w:rsidRPr="00B340A9" w:rsidP="44AA1FFC" w14:paraId="127C2EEC" w14:textId="7C449D21">
      <w:pPr>
        <w:widowControl/>
        <w:tabs>
          <w:tab w:val="left" w:pos="360"/>
        </w:tabs>
        <w:spacing w:line="240" w:lineRule="auto"/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</w:pPr>
      <w:r w:rsidRPr="5DFBF031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[</w:t>
      </w:r>
      <w:r w:rsidR="009A6F99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X</w:t>
      </w:r>
      <w:r w:rsidRPr="5DFBF031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] Focus </w:t>
      </w:r>
      <w:r w:rsidRPr="5DFBF031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Group  </w:t>
      </w:r>
      <w:r>
        <w:tab/>
      </w:r>
      <w:r>
        <w:tab/>
      </w:r>
      <w:r>
        <w:tab/>
      </w:r>
      <w:r>
        <w:tab/>
      </w:r>
      <w:r w:rsidRPr="00430BEC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[ ] </w:t>
      </w:r>
      <w:r w:rsidRPr="00430BEC">
        <w:rPr>
          <w:rFonts w:eastAsia="Times New Roman" w:asciiTheme="majorHAnsi" w:hAnsiTheme="majorHAnsi" w:cstheme="majorBidi"/>
          <w:color w:val="auto"/>
          <w:sz w:val="22"/>
          <w:szCs w:val="22"/>
        </w:rPr>
        <w:t>Other:</w:t>
      </w:r>
      <w:r w:rsidRPr="00430BEC">
        <w:rPr>
          <w:rFonts w:asciiTheme="majorHAnsi" w:hAnsiTheme="majorHAnsi" w:cstheme="majorBidi"/>
          <w:color w:val="auto"/>
          <w:sz w:val="22"/>
          <w:szCs w:val="22"/>
        </w:rPr>
        <w:t xml:space="preserve"> Group Interviews</w:t>
      </w:r>
    </w:p>
    <w:p w:rsidR="00FE2928" w:rsidRPr="00B340A9" w:rsidP="44AA1FFC" w14:paraId="4120DB5E" w14:textId="77777777">
      <w:pPr>
        <w:spacing w:line="240" w:lineRule="auto"/>
        <w:rPr>
          <w:rFonts w:asciiTheme="majorHAnsi" w:hAnsiTheme="majorHAnsi" w:cstheme="majorBidi"/>
          <w:sz w:val="22"/>
          <w:szCs w:val="22"/>
        </w:rPr>
      </w:pPr>
    </w:p>
    <w:p w:rsidR="000F7939" w:rsidP="00CB48E9" w14:paraId="248C7181" w14:textId="77777777">
      <w:pPr>
        <w:spacing w:line="240" w:lineRule="auto"/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:rsidR="00CB48E9" w:rsidP="00CB48E9" w14:paraId="3AEB18DC" w14:textId="613CA23A">
      <w:pPr>
        <w:spacing w:line="240" w:lineRule="auto"/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</w:rPr>
        <w:t>DESCRIPTION OF RESPONDENTS</w:t>
      </w:r>
      <w:r w:rsidRPr="00B340A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: </w:t>
      </w:r>
      <w:r w:rsidRPr="00B340A9" w:rsidR="3A9F1B9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The CEN</w:t>
      </w:r>
      <w:r w:rsidR="002C4848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340A9" w:rsidR="3A9F1B9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will identify priority populations</w:t>
      </w:r>
      <w:r w:rsidRPr="00B340A9" w:rsidR="3575AB41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that will include</w:t>
      </w:r>
      <w:r w:rsidRPr="00B340A9" w:rsidR="6558F9C5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health center program</w:t>
      </w:r>
      <w:r w:rsidRPr="00B340A9" w:rsidR="3A9F1B9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partners, </w:t>
      </w:r>
      <w:r w:rsidRPr="00B340A9" w:rsidR="5EFD967B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leaders,</w:t>
      </w:r>
      <w:r w:rsidRPr="00B340A9" w:rsidR="3A9F1B9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340A9" w:rsidR="6558F9C5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as well as </w:t>
      </w:r>
      <w:r w:rsidRPr="00B340A9" w:rsidR="3A9F1B9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practitioners in health equity</w:t>
      </w:r>
      <w:r w:rsidRPr="00B340A9" w:rsidR="4FF039B3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.</w:t>
      </w:r>
      <w:r w:rsidRPr="00B340A9" w:rsidR="3A9F1B9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340A9" w:rsidR="6163A248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Th</w:t>
      </w:r>
      <w:r w:rsidRPr="00B340A9" w:rsidR="3C05005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is will include</w:t>
      </w:r>
      <w:r w:rsidRPr="00B340A9" w:rsidR="76D98C88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experts</w:t>
      </w:r>
      <w:r w:rsidRPr="00B340A9" w:rsidR="5671C5D0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, </w:t>
      </w:r>
      <w:r w:rsidRPr="00B340A9" w:rsidR="4109E00D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staff, </w:t>
      </w:r>
      <w:r w:rsidRPr="00B340A9" w:rsidR="00A46D52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patients,</w:t>
      </w:r>
      <w:r w:rsidRPr="00B340A9" w:rsidR="4109E00D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340A9" w:rsidR="61483791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and other individuals with lived experience </w:t>
      </w:r>
      <w:r w:rsidRPr="00B340A9" w:rsidR="334E72CD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that</w:t>
      </w:r>
      <w:r w:rsidRPr="00B340A9" w:rsidR="21E61D0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340A9" w:rsidR="0FF9D0FF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represent the populations served by health centers and organizations who serve or support the work of health center</w:t>
      </w:r>
      <w:r w:rsidR="00313D9C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programs</w:t>
      </w:r>
      <w:r w:rsidRPr="00B340A9" w:rsidR="3A9F1B9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. Potential CEN membership will </w:t>
      </w:r>
      <w:r w:rsidRPr="00B340A9" w:rsidR="3C05005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be </w:t>
      </w:r>
      <w:r w:rsidRPr="00B340A9" w:rsidR="3A9F1B9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partners representing health centers, community members, Primary Care Associations (PCAs), advocacy groups, </w:t>
      </w:r>
      <w:r w:rsidR="00125164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patient and </w:t>
      </w:r>
      <w:r w:rsidRPr="00B340A9" w:rsidR="3A9F1B9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patient advocates, National Technical Assistance Providers (NTTAPs), Health Center Controlled Networks (HCCNs)</w:t>
      </w:r>
      <w:r w:rsidRPr="00B340A9" w:rsidR="2A5DDD16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members</w:t>
      </w:r>
      <w:r w:rsidRPr="00B340A9" w:rsidR="3A9F1B9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, public health and health equity experts,</w:t>
      </w:r>
      <w:r w:rsidRPr="00B340A9" w:rsidR="2A5DDD16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primary care</w:t>
      </w:r>
      <w:r w:rsidRPr="00B340A9" w:rsidR="3A9F1B9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foundations, and federal partners</w:t>
      </w:r>
      <w:r w:rsidRPr="00B340A9" w:rsidR="2A5DDD16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.</w:t>
      </w:r>
    </w:p>
    <w:p w:rsidR="00DD6428" w:rsidP="00CB48E9" w14:paraId="5BCED14D" w14:textId="040E4909">
      <w:pPr>
        <w:spacing w:line="240" w:lineRule="auto"/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</w:pPr>
    </w:p>
    <w:p w:rsidR="003269F4" w:rsidRPr="003269F4" w:rsidP="00CB48E9" w14:paraId="510EDE59" w14:textId="6D59F212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>
        <w:rPr>
          <w:rFonts w:eastAsia="Times New Roman" w:asciiTheme="majorHAnsi" w:hAnsiTheme="majorHAnsi" w:cstheme="majorHAnsi"/>
          <w:b/>
          <w:bCs/>
          <w:color w:val="000000"/>
          <w:sz w:val="22"/>
          <w:szCs w:val="22"/>
        </w:rPr>
        <w:t xml:space="preserve">BPHC </w:t>
      </w:r>
      <w:r w:rsidRPr="00B340A9" w:rsidR="00772275">
        <w:rPr>
          <w:rFonts w:eastAsia="Times New Roman" w:asciiTheme="majorHAnsi" w:hAnsiTheme="majorHAnsi" w:cstheme="majorHAnsi"/>
          <w:b/>
          <w:bCs/>
          <w:color w:val="000000"/>
          <w:sz w:val="22"/>
          <w:szCs w:val="22"/>
        </w:rPr>
        <w:t>COMMUNITY ENGAGEMENT NETWORK DESCRIPTIONS:</w:t>
      </w:r>
    </w:p>
    <w:tbl>
      <w:tblPr>
        <w:tblStyle w:val="TableGrid"/>
        <w:tblpPr w:leftFromText="180" w:rightFromText="180" w:vertAnchor="text" w:horzAnchor="margin" w:tblpY="78"/>
        <w:tblW w:w="10890" w:type="dxa"/>
        <w:tblLook w:val="04A0"/>
      </w:tblPr>
      <w:tblGrid>
        <w:gridCol w:w="1170"/>
        <w:gridCol w:w="4231"/>
        <w:gridCol w:w="1710"/>
        <w:gridCol w:w="3779"/>
      </w:tblGrid>
      <w:tr w14:paraId="192A1997" w14:textId="77777777" w:rsidTr="003269F4">
        <w:tblPrEx>
          <w:tblW w:w="10890" w:type="dxa"/>
          <w:tblLook w:val="04A0"/>
        </w:tblPrEx>
        <w:tc>
          <w:tcPr>
            <w:tcW w:w="1170" w:type="dxa"/>
            <w:shd w:val="clear" w:color="auto" w:fill="0070C0"/>
          </w:tcPr>
          <w:p w:rsidR="003269F4" w:rsidP="003269F4" w14:paraId="2E0B8A04" w14:textId="77777777">
            <w:pPr>
              <w:widowControl/>
              <w:rPr>
                <w:rFonts w:eastAsia="Times New Roman" w:asciiTheme="majorHAnsi" w:hAnsiTheme="majorHAnsi" w:cstheme="majorBidi"/>
                <w:color w:val="auto"/>
                <w:sz w:val="21"/>
                <w:szCs w:val="21"/>
                <w:lang w:val="en-US"/>
              </w:rPr>
            </w:pPr>
            <w:r w:rsidRPr="44AA1FFC"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>Session Groups</w:t>
            </w:r>
          </w:p>
        </w:tc>
        <w:tc>
          <w:tcPr>
            <w:tcW w:w="4231" w:type="dxa"/>
            <w:shd w:val="clear" w:color="auto" w:fill="0070C0"/>
          </w:tcPr>
          <w:p w:rsidR="003269F4" w:rsidP="003269F4" w14:paraId="0BBA8DBA" w14:textId="77777777">
            <w:pPr>
              <w:widowControl/>
              <w:rPr>
                <w:rFonts w:eastAsia="Times New Roman" w:asciiTheme="majorHAnsi" w:hAnsiTheme="majorHAnsi" w:cstheme="majorBidi"/>
                <w:color w:val="auto"/>
                <w:sz w:val="21"/>
                <w:szCs w:val="21"/>
                <w:lang w:val="en-US"/>
              </w:rPr>
            </w:pPr>
            <w:r w:rsidRPr="44AA1FFC"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>Description of type of attendees</w:t>
            </w:r>
          </w:p>
        </w:tc>
        <w:tc>
          <w:tcPr>
            <w:tcW w:w="1710" w:type="dxa"/>
            <w:shd w:val="clear" w:color="auto" w:fill="0070C0"/>
          </w:tcPr>
          <w:p w:rsidR="003269F4" w:rsidP="003269F4" w14:paraId="0EDBDCFC" w14:textId="2F4B56BA">
            <w:pPr>
              <w:widowControl/>
              <w:rPr>
                <w:rFonts w:eastAsia="Times New Roman" w:asciiTheme="majorHAnsi" w:hAnsiTheme="majorHAnsi" w:cstheme="majorBidi"/>
                <w:color w:val="auto"/>
                <w:sz w:val="21"/>
                <w:szCs w:val="21"/>
                <w:lang w:val="en-US"/>
              </w:rPr>
            </w:pPr>
            <w:r w:rsidRPr="44AA1FFC"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# </w:t>
            </w:r>
            <w:r w:rsidRPr="44AA1FFC" w:rsidR="0038246B"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>Of</w:t>
            </w:r>
            <w:r w:rsidRPr="44AA1FFC"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Sessions</w:t>
            </w:r>
          </w:p>
        </w:tc>
        <w:tc>
          <w:tcPr>
            <w:tcW w:w="3779" w:type="dxa"/>
            <w:shd w:val="clear" w:color="auto" w:fill="0070C0"/>
          </w:tcPr>
          <w:p w:rsidR="003269F4" w:rsidP="003269F4" w14:paraId="23B95CCE" w14:textId="77777777">
            <w:pPr>
              <w:widowControl/>
              <w:rPr>
                <w:rFonts w:eastAsia="Times New Roman" w:asciiTheme="majorHAnsi" w:hAnsiTheme="majorHAnsi" w:cstheme="majorBidi"/>
                <w:color w:val="auto"/>
                <w:sz w:val="21"/>
                <w:szCs w:val="21"/>
                <w:lang w:val="en-US"/>
              </w:rPr>
            </w:pPr>
            <w:r w:rsidRPr="44AA1FFC">
              <w:rPr>
                <w:rFonts w:eastAsia="Times New Roman" w:asciiTheme="majorHAnsi" w:hAnsiTheme="majorHAnsi" w:cstheme="majorBidi"/>
                <w:b/>
                <w:bCs/>
                <w:color w:val="FFFFFF" w:themeColor="background1"/>
                <w:sz w:val="21"/>
                <w:szCs w:val="21"/>
                <w:lang w:val="en-US"/>
              </w:rPr>
              <w:t>Role of the participants </w:t>
            </w:r>
          </w:p>
        </w:tc>
      </w:tr>
      <w:tr w14:paraId="5AF6CF25" w14:textId="77777777" w:rsidTr="003269F4">
        <w:tblPrEx>
          <w:tblW w:w="10890" w:type="dxa"/>
          <w:tblLook w:val="04A0"/>
        </w:tblPrEx>
        <w:trPr>
          <w:trHeight w:val="3005"/>
        </w:trPr>
        <w:tc>
          <w:tcPr>
            <w:tcW w:w="1170" w:type="dxa"/>
          </w:tcPr>
          <w:p w:rsidR="003269F4" w:rsidRPr="00403B31" w:rsidP="003269F4" w14:paraId="7F2465A8" w14:textId="77777777">
            <w:pPr>
              <w:widowControl/>
              <w:rPr>
                <w:rFonts w:eastAsia="Times New Roman" w:asciiTheme="majorHAnsi" w:hAnsiTheme="majorHAnsi" w:cstheme="majorBidi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1 CEN </w:t>
            </w:r>
            <w:r w:rsidRPr="44AA1FFC"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  <w:t>SME Group</w:t>
            </w:r>
          </w:p>
        </w:tc>
        <w:tc>
          <w:tcPr>
            <w:tcW w:w="4231" w:type="dxa"/>
          </w:tcPr>
          <w:p w:rsidR="003269F4" w:rsidP="003269F4" w14:paraId="325CD9E4" w14:textId="52F53370">
            <w:pPr>
              <w:widowControl/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</w:pPr>
            <w:r w:rsidRPr="44AA1FF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Representing different groups (C-Suite, frontline workers/providers, Special populations, TTA partners, federal</w:t>
            </w:r>
          </w:p>
          <w:p w:rsidR="003269F4" w:rsidP="003269F4" w14:paraId="2F1FBD0C" w14:textId="77777777">
            <w:pPr>
              <w:widowControl/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</w:pPr>
          </w:p>
          <w:p w:rsidR="003269F4" w:rsidRPr="000F7939" w:rsidP="003269F4" w14:paraId="6FA43831" w14:textId="77777777">
            <w:pPr>
              <w:widowControl/>
              <w:spacing w:before="100" w:beforeAutospacing="1" w:after="100" w:afterAutospacing="1"/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</w:pPr>
            <w:r w:rsidRPr="44AA1FF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Up to 20 participants</w:t>
            </w:r>
          </w:p>
          <w:p w:rsidR="003269F4" w:rsidP="003269F4" w14:paraId="0A0CB0E8" w14:textId="77777777">
            <w:pPr>
              <w:widowControl/>
              <w:rPr>
                <w:rFonts w:eastAsia="Times New Roman" w:asciiTheme="majorHAnsi" w:hAnsiTheme="majorHAnsi" w:cstheme="majorBidi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10" w:type="dxa"/>
          </w:tcPr>
          <w:p w:rsidR="003269F4" w:rsidP="003269F4" w14:paraId="23EB668F" w14:textId="43D631B6">
            <w:pPr>
              <w:widowControl/>
              <w:rPr>
                <w:rFonts w:eastAsia="Times New Roman" w:asciiTheme="majorHAnsi" w:hAnsiTheme="majorHAnsi" w:cstheme="majorBidi"/>
                <w:color w:val="auto"/>
                <w:sz w:val="21"/>
                <w:szCs w:val="21"/>
                <w:lang w:val="en-US"/>
              </w:rPr>
            </w:pPr>
            <w:r w:rsidRPr="44AA1FF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4 engagements</w:t>
            </w:r>
            <w:r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:rsidR="003269F4" w:rsidRPr="000F7939" w:rsidP="003269F4" w14:paraId="18CA5138" w14:textId="0F518DEA">
            <w:pPr>
              <w:widowControl/>
              <w:spacing w:before="100" w:beforeAutospacing="1" w:after="100" w:afterAutospacing="1"/>
              <w:textAlignment w:val="baseline"/>
              <w:rPr>
                <w:rFonts w:eastAsia="Times New Roman" w:asciiTheme="majorHAnsi" w:hAnsiTheme="majorHAnsi" w:cstheme="majorBidi"/>
                <w:color w:val="000000"/>
                <w:sz w:val="21"/>
                <w:szCs w:val="21"/>
                <w:lang w:val="en-US"/>
              </w:rPr>
            </w:pPr>
            <w:r w:rsidRPr="04C19881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. During the </w:t>
            </w:r>
            <w:r w:rsidRPr="04C19881"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  <w:t>four</w:t>
            </w:r>
            <w:r w:rsidRPr="04C19881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 engagements participants will review content in the stages as listed above: Trends</w:t>
            </w:r>
            <w:r w:rsidR="00041C4E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/Driver</w:t>
            </w:r>
            <w:r w:rsidRPr="04C19881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 Analysis, Scenario Development, </w:t>
            </w:r>
            <w:r w:rsidRPr="04C19881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Backcasting</w:t>
            </w:r>
            <w:r w:rsidRPr="04C19881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 and Strategy Development ​</w:t>
            </w:r>
          </w:p>
          <w:p w:rsidR="003269F4" w:rsidP="003269F4" w14:paraId="249A9FF2" w14:textId="541748E3">
            <w:pPr>
              <w:widowControl/>
              <w:rPr>
                <w:rFonts w:eastAsia="Times New Roman" w:asciiTheme="majorHAnsi" w:hAnsiTheme="majorHAnsi" w:cstheme="majorBidi"/>
                <w:color w:val="auto"/>
                <w:sz w:val="21"/>
                <w:szCs w:val="21"/>
                <w:lang w:val="en-US"/>
              </w:rPr>
            </w:pPr>
            <w:r w:rsidRPr="04C19881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The participants will only provide input during the</w:t>
            </w:r>
            <w:r w:rsidR="00BF7DCC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>se four</w:t>
            </w:r>
            <w:r w:rsidRPr="04C19881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 sessions.​ Burden for capturing their feedback and analysis will fall on contractor(s) and our team, and not group.</w:t>
            </w:r>
            <w:r w:rsidR="00C7746F">
              <w:rPr>
                <w:rFonts w:eastAsia="Times New Roman" w:asciiTheme="majorHAnsi" w:hAnsiTheme="majorHAnsi" w:cstheme="majorBid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</w:tr>
    </w:tbl>
    <w:p w:rsidR="003269F4" w:rsidP="00CB48E9" w14:paraId="168E5011" w14:textId="6CA24E86">
      <w:pPr>
        <w:widowControl/>
        <w:spacing w:line="240" w:lineRule="auto"/>
        <w:rPr>
          <w:rFonts w:eastAsia="Times New Roman" w:asciiTheme="majorHAnsi" w:hAnsiTheme="majorHAnsi" w:cstheme="majorHAnsi"/>
          <w:color w:val="auto"/>
          <w:sz w:val="22"/>
          <w:szCs w:val="22"/>
          <w:lang w:val="en-US"/>
        </w:rPr>
      </w:pPr>
    </w:p>
    <w:p w:rsidR="0032537D" w:rsidRPr="003269F4" w:rsidP="003269F4" w14:paraId="11F1A293" w14:textId="737FEB07">
      <w:pPr>
        <w:widowControl/>
        <w:spacing w:line="240" w:lineRule="auto"/>
        <w:rPr>
          <w:rFonts w:eastAsia="Times New Roman" w:asciiTheme="majorHAnsi" w:hAnsiTheme="majorHAnsi" w:cstheme="majorHAnsi"/>
          <w:color w:val="auto"/>
          <w:sz w:val="22"/>
          <w:szCs w:val="22"/>
          <w:lang w:val="en-US"/>
        </w:rPr>
      </w:pPr>
    </w:p>
    <w:p w:rsidR="0032537D" w:rsidRPr="00B340A9" w14:paraId="7DF69CBE" w14:textId="77777777">
      <w:pPr>
        <w:widowControl/>
        <w:tabs>
          <w:tab w:val="left" w:pos="360"/>
        </w:tabs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b/>
          <w:color w:val="000000"/>
          <w:sz w:val="22"/>
          <w:szCs w:val="22"/>
        </w:rPr>
        <w:t>CERTIFICATION:</w:t>
      </w:r>
    </w:p>
    <w:p w:rsidR="0032537D" w:rsidRPr="00B340A9" w14:paraId="78E81FD4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</w:p>
    <w:p w:rsidR="0032537D" w:rsidRPr="00B340A9" w14:paraId="7C19FD20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I certify the following to be true: </w:t>
      </w:r>
    </w:p>
    <w:p w:rsidR="0032537D" w:rsidRPr="00B340A9" w14:paraId="0C10B13C" w14:textId="77777777">
      <w:pPr>
        <w:widowControl/>
        <w:numPr>
          <w:ilvl w:val="0"/>
          <w:numId w:val="1"/>
        </w:numPr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The collection is voluntary. </w:t>
      </w:r>
    </w:p>
    <w:p w:rsidR="0032537D" w:rsidRPr="00B340A9" w14:paraId="776C00F8" w14:textId="6F6F83E6">
      <w:pPr>
        <w:widowControl/>
        <w:numPr>
          <w:ilvl w:val="0"/>
          <w:numId w:val="1"/>
        </w:numPr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The collection is </w:t>
      </w:r>
      <w:r w:rsidRPr="00B340A9" w:rsidR="0038246B">
        <w:rPr>
          <w:rFonts w:eastAsia="Times New Roman" w:asciiTheme="majorHAnsi" w:hAnsiTheme="majorHAnsi" w:cstheme="majorHAnsi"/>
          <w:color w:val="000000"/>
          <w:sz w:val="22"/>
          <w:szCs w:val="22"/>
        </w:rPr>
        <w:t>low burden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for respondents and low-cost for the Federal Government.</w:t>
      </w:r>
    </w:p>
    <w:p w:rsidR="0032537D" w:rsidRPr="00B340A9" w14:paraId="056E1073" w14:textId="77777777">
      <w:pPr>
        <w:widowControl/>
        <w:numPr>
          <w:ilvl w:val="0"/>
          <w:numId w:val="1"/>
        </w:numPr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The collection is non-controversial and does 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  <w:u w:val="single"/>
        </w:rPr>
        <w:t>not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raise issues of concern to other federal agencies.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ab/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ab/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ab/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ab/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ab/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ab/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ab/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ab/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ab/>
      </w:r>
    </w:p>
    <w:p w:rsidR="0032537D" w:rsidRPr="00B340A9" w14:paraId="6A79C40C" w14:textId="77777777">
      <w:pPr>
        <w:widowControl/>
        <w:numPr>
          <w:ilvl w:val="0"/>
          <w:numId w:val="1"/>
        </w:numPr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The results are 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  <w:u w:val="single"/>
        </w:rPr>
        <w:t>not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intended to be disseminated to the public.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ab/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ab/>
      </w:r>
    </w:p>
    <w:p w:rsidR="0032537D" w:rsidRPr="00B340A9" w14:paraId="5C62EA02" w14:textId="77777777">
      <w:pPr>
        <w:widowControl/>
        <w:numPr>
          <w:ilvl w:val="0"/>
          <w:numId w:val="1"/>
        </w:numPr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Information gathered will not be used for the purpose of 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  <w:u w:val="single"/>
        </w:rPr>
        <w:t>substantially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informing 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  <w:u w:val="single"/>
        </w:rPr>
        <w:t xml:space="preserve">influential 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policy decisions. </w:t>
      </w:r>
    </w:p>
    <w:p w:rsidR="0032537D" w:rsidRPr="00B340A9" w14:paraId="59B82CE9" w14:textId="77777777">
      <w:pPr>
        <w:widowControl/>
        <w:numPr>
          <w:ilvl w:val="0"/>
          <w:numId w:val="1"/>
        </w:numPr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32537D" w:rsidRPr="00B340A9" w14:paraId="099FCCDA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</w:p>
    <w:p w:rsidR="0032537D" w:rsidRPr="00B340A9" w14:paraId="52827161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  <w:u w:val="single"/>
        </w:rPr>
        <w:t>Name:</w:t>
      </w:r>
      <w:r w:rsidRPr="00B340A9">
        <w:rPr>
          <w:rFonts w:eastAsia="Times New Roman" w:asciiTheme="majorHAnsi" w:hAnsiTheme="majorHAnsi" w:cstheme="majorHAnsi"/>
          <w:color w:val="000000" w:themeColor="text1"/>
          <w:sz w:val="22"/>
          <w:szCs w:val="22"/>
          <w:u w:val="single"/>
        </w:rPr>
        <w:t xml:space="preserve">  </w:t>
      </w:r>
      <w:r w:rsidRPr="00B340A9" w:rsidR="004F67CF">
        <w:rPr>
          <w:rFonts w:eastAsia="Times New Roman" w:asciiTheme="majorHAnsi" w:hAnsiTheme="majorHAnsi" w:cstheme="majorHAnsi"/>
          <w:color w:val="000000"/>
          <w:sz w:val="22"/>
          <w:szCs w:val="22"/>
          <w:u w:val="single"/>
        </w:rPr>
        <w:t>Cassandra Hadley, HRSA/BPHC/OPPD, Public Health Analyst</w:t>
      </w:r>
      <w:r w:rsidRPr="00B340A9">
        <w:rPr>
          <w:rFonts w:eastAsia="Times New Roman" w:asciiTheme="majorHAnsi" w:hAnsiTheme="majorHAnsi" w:cstheme="majorHAnsi"/>
          <w:color w:val="000000" w:themeColor="text1"/>
          <w:sz w:val="22"/>
          <w:szCs w:val="22"/>
          <w:u w:val="single"/>
        </w:rPr>
        <w:t xml:space="preserve">          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>To assist review, please provide answers to the following question:</w:t>
      </w:r>
    </w:p>
    <w:p w:rsidR="0032537D" w:rsidRPr="00B340A9" w14:paraId="71447A31" w14:textId="77777777">
      <w:pPr>
        <w:widowControl/>
        <w:spacing w:line="240" w:lineRule="auto"/>
        <w:ind w:left="360"/>
        <w:rPr>
          <w:rFonts w:eastAsia="Times New Roman" w:asciiTheme="majorHAnsi" w:hAnsiTheme="majorHAnsi" w:cstheme="majorHAnsi"/>
          <w:color w:val="000000"/>
          <w:sz w:val="22"/>
          <w:szCs w:val="22"/>
        </w:rPr>
      </w:pPr>
    </w:p>
    <w:p w:rsidR="0032537D" w:rsidRPr="00B340A9" w14:paraId="6B108F7A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b/>
          <w:color w:val="000000"/>
          <w:sz w:val="22"/>
          <w:szCs w:val="22"/>
        </w:rPr>
        <w:t>Personally Identifiable Information:</w:t>
      </w:r>
    </w:p>
    <w:p w:rsidR="0032537D" w:rsidRPr="00B340A9" w14:paraId="755D27E3" w14:textId="77777777">
      <w:pPr>
        <w:widowControl/>
        <w:numPr>
          <w:ilvl w:val="0"/>
          <w:numId w:val="2"/>
        </w:numPr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Is personally identifiable information (PII) collected?  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>[  ]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Yes  [ </w:t>
      </w:r>
      <w:r w:rsidRPr="00B340A9" w:rsidR="00991250">
        <w:rPr>
          <w:rFonts w:eastAsia="Times New Roman" w:asciiTheme="majorHAnsi" w:hAnsiTheme="majorHAnsi" w:cstheme="majorHAnsi"/>
          <w:color w:val="000000"/>
          <w:sz w:val="22"/>
          <w:szCs w:val="22"/>
        </w:rPr>
        <w:t>X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]  No </w:t>
      </w:r>
    </w:p>
    <w:p w:rsidR="0032537D" w:rsidRPr="00B340A9" w14:paraId="11D03750" w14:textId="77777777">
      <w:pPr>
        <w:widowControl/>
        <w:numPr>
          <w:ilvl w:val="0"/>
          <w:numId w:val="2"/>
        </w:numPr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If yes, will any information that is collected be included in records that are subject to the Privacy Act of 1974?   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>[  ]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Yes [  ] No   </w:t>
      </w:r>
    </w:p>
    <w:p w:rsidR="0032537D" w:rsidRPr="00B340A9" w14:paraId="7BE6B7AC" w14:textId="77777777">
      <w:pPr>
        <w:widowControl/>
        <w:numPr>
          <w:ilvl w:val="0"/>
          <w:numId w:val="2"/>
        </w:numPr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If yes, has an up-to-date System of Records Notice (SORN) been published?  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>[  ]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Yes  [  ] No</w:t>
      </w:r>
    </w:p>
    <w:p w:rsidR="0032537D" w:rsidRPr="00B340A9" w14:paraId="5D2149DA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</w:p>
    <w:p w:rsidR="0032537D" w:rsidRPr="00B340A9" w14:paraId="611B2083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</w:rPr>
        <w:t>Gifts or Payments:</w:t>
      </w:r>
    </w:p>
    <w:p w:rsidR="0032537D" w:rsidRPr="00B340A9" w14:paraId="68BB2624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Is an incentive (e.g., money or reimbursement of expenses, token of appreciation) provided to participants?  [ </w:t>
      </w:r>
      <w:r w:rsidRPr="00B340A9" w:rsidR="007B6D97">
        <w:rPr>
          <w:rFonts w:eastAsia="Times New Roman" w:asciiTheme="majorHAnsi" w:hAnsiTheme="majorHAnsi" w:cstheme="majorHAnsi"/>
          <w:color w:val="000000"/>
          <w:sz w:val="22"/>
          <w:szCs w:val="22"/>
        </w:rPr>
        <w:t>X]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Yes [] No  </w:t>
      </w:r>
    </w:p>
    <w:p w:rsidR="003407C1" w:rsidRPr="00B340A9" w14:paraId="6EB32A23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</w:p>
    <w:p w:rsidR="00481337" w:rsidP="044EB72E" w14:paraId="1649350C" w14:textId="516377DA">
      <w:pPr>
        <w:widowControl/>
        <w:spacing w:line="240" w:lineRule="auto"/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</w:pPr>
      <w:r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HRSA proposes to offer a monetary participation incentive, in order to help ensure that HRSA is able to reach populations that are part of </w:t>
      </w:r>
      <w:r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hard to reach</w:t>
      </w:r>
      <w:r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communities, such as </w:t>
      </w:r>
      <w:r w:rsidRPr="00562925" w:rsidR="00562925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frontline workers/providers</w:t>
      </w:r>
      <w:r w:rsidR="00562925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in rural areas who have a difficult time finding time in their schedules to do a 20-minute engagement session. HRSA needs the input of these workers to help ensure HRSA has </w:t>
      </w:r>
    </w:p>
    <w:p w:rsidR="003407C1" w:rsidP="044EB72E" w14:paraId="6A64729B" w14:textId="738302B6">
      <w:pPr>
        <w:widowControl/>
        <w:spacing w:line="240" w:lineRule="auto"/>
        <w:rPr>
          <w:rFonts w:eastAsia="Times New Roman" w:asciiTheme="majorHAnsi" w:hAnsiTheme="majorHAnsi" w:cstheme="majorBidi"/>
          <w:color w:val="000000"/>
          <w:sz w:val="22"/>
          <w:szCs w:val="22"/>
        </w:rPr>
      </w:pPr>
      <w:r w:rsidRPr="147EA536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diverse and meaningful input from </w:t>
      </w:r>
      <w:r w:rsidRPr="147EA536" w:rsidR="1F00B98A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health center program </w:t>
      </w:r>
      <w:r w:rsidRPr="147EA536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communities</w:t>
      </w:r>
      <w:r w:rsidRPr="147EA536" w:rsidR="09805206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and stakeholders</w:t>
      </w:r>
      <w:r w:rsidR="00044483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.</w:t>
      </w:r>
      <w:r w:rsidRPr="147EA536" w:rsidR="00A45810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147EA536" w:rsidR="002E7124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The focus groups will encourage information sharing </w:t>
      </w:r>
      <w:r w:rsidRPr="147EA536" w:rsidR="008F2B8A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from participants </w:t>
      </w:r>
      <w:r w:rsidRPr="147EA536" w:rsidR="007115C4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representing multiple groups thus providing</w:t>
      </w:r>
      <w:r w:rsidRPr="147EA536" w:rsidR="00373AE8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a comprehensive overview of </w:t>
      </w:r>
      <w:r w:rsidRPr="147EA536" w:rsidR="12E2D4D5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primary</w:t>
      </w:r>
      <w:r w:rsidRPr="147EA536" w:rsidR="0039316F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health</w:t>
      </w:r>
      <w:r w:rsidRPr="147EA536" w:rsidR="368A09DD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147EA536" w:rsidR="0039316F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care needs.</w:t>
      </w:r>
      <w:r w:rsidRPr="147EA536" w:rsidR="007115C4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147EA536" w:rsidR="00772275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AC7A90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HRSA believes that this collection is </w:t>
      </w:r>
      <w:r w:rsidR="00AC7A90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similar to</w:t>
      </w:r>
      <w:r w:rsidR="00AC7A90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previous information collections that have used incentives and involved focus groups conducted by the same contractor.  One such example is the </w:t>
      </w:r>
      <w:r w:rsidRPr="147EA536" w:rsidR="00772275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AHRQ 2-hour Patient Safety Summit (Contact: Erin Grace,</w:t>
      </w:r>
      <w:r w:rsidRPr="147EA536" w:rsidR="00772275">
        <w:rPr>
          <w:rFonts w:asciiTheme="majorHAnsi" w:hAnsiTheme="majorHAnsi" w:cstheme="majorBidi"/>
          <w:sz w:val="22"/>
          <w:szCs w:val="22"/>
        </w:rPr>
        <w:t xml:space="preserve"> </w:t>
      </w:r>
      <w:hyperlink r:id="rId8">
        <w:r w:rsidRPr="147EA536" w:rsidR="00772275">
          <w:rPr>
            <w:rStyle w:val="Hyperlink"/>
            <w:rFonts w:asciiTheme="majorHAnsi" w:hAnsiTheme="majorHAnsi" w:cstheme="majorBidi"/>
            <w:sz w:val="22"/>
            <w:szCs w:val="22"/>
          </w:rPr>
          <w:t>Erin.Grace@ahrq.hhs.gov</w:t>
        </w:r>
      </w:hyperlink>
      <w:r w:rsidRPr="147EA536" w:rsidR="00772275">
        <w:rPr>
          <w:rFonts w:asciiTheme="majorHAnsi" w:hAnsiTheme="majorHAnsi" w:cstheme="majorBidi"/>
          <w:sz w:val="22"/>
          <w:szCs w:val="22"/>
        </w:rPr>
        <w:t xml:space="preserve">) </w:t>
      </w:r>
      <w:r w:rsidRPr="147EA536" w:rsidR="00772275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convening with compensation of $300, which did not require any pre- or post-work.</w:t>
      </w:r>
      <w:r w:rsidR="00AC7A90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This summit engaged similar populations to this proposed collection. </w:t>
      </w:r>
      <w:r w:rsidRPr="147EA536" w:rsidR="00772275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AC7A90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In addition, it is similar to the </w:t>
      </w:r>
      <w:r w:rsidR="00A3151E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The</w:t>
      </w:r>
      <w:r w:rsidRPr="147EA536" w:rsidR="00386519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NIH’s ALL of Us program also provides incentives to the community members engaged in providing input into the program (Contact: Johnson, Angelica (NIH/OD) [E] </w:t>
      </w:r>
      <w:hyperlink r:id="rId9" w:history="1">
        <w:r w:rsidRPr="147EA536" w:rsidR="00386519">
          <w:rPr>
            <w:rStyle w:val="Hyperlink"/>
            <w:rFonts w:eastAsia="Times New Roman" w:asciiTheme="majorHAnsi" w:hAnsiTheme="majorHAnsi" w:cstheme="majorBidi"/>
            <w:sz w:val="22"/>
            <w:szCs w:val="22"/>
          </w:rPr>
          <w:t>angelica.johnson@nih.gov</w:t>
        </w:r>
      </w:hyperlink>
      <w:r w:rsidRPr="147EA536" w:rsidR="00386519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)</w:t>
      </w:r>
      <w:r w:rsidR="00AC7A90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, which is similar since this proposed collection also looks for input from community members.</w:t>
      </w:r>
    </w:p>
    <w:p w:rsidR="00197C4C" w14:paraId="2A8D81BF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</w:p>
    <w:p w:rsidR="00197C4C" w:rsidRPr="00B340A9" w14:paraId="11B74346" w14:textId="040C051E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6C7BF1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Based on our assessment, </w:t>
      </w:r>
      <w:r w:rsidRPr="006C7BF1" w:rsidR="007F79D2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a </w:t>
      </w:r>
      <w:r w:rsidRPr="006C7BF1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one-time</w:t>
      </w:r>
      <w:r w:rsidRPr="006C7BF1" w:rsidR="00C6374A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incentive </w:t>
      </w:r>
      <w:r w:rsidRPr="006C7BF1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payment for participation in the project</w:t>
      </w:r>
      <w:r w:rsidRPr="006C7BF1" w:rsidR="007F79D2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at $100/h</w:t>
      </w:r>
      <w:r w:rsidRPr="006C7BF1" w:rsidR="002208B7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ou</w:t>
      </w:r>
      <w:r w:rsidRPr="006C7BF1" w:rsidR="007F79D2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r per </w:t>
      </w:r>
      <w:r w:rsidRPr="006C7BF1" w:rsidR="00442DAA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patient or </w:t>
      </w:r>
      <w:r w:rsidRPr="006C7BF1" w:rsidR="003833A9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community </w:t>
      </w:r>
      <w:r w:rsidRPr="006C7BF1" w:rsidR="007F79D2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participant </w:t>
      </w:r>
      <w:r w:rsidRPr="006C7BF1" w:rsidR="000E70AD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would increase response rates</w:t>
      </w:r>
      <w:r w:rsidRPr="006C7BF1" w:rsidR="00252247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and </w:t>
      </w:r>
      <w:r w:rsidRPr="006C7BF1" w:rsidR="00EF0816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acknowledge the value of </w:t>
      </w:r>
      <w:r w:rsidRPr="006C7BF1" w:rsidR="00022E12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local </w:t>
      </w:r>
      <w:r w:rsidRPr="006C7BF1" w:rsidR="00442DAA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community-based</w:t>
      </w:r>
      <w:r w:rsidRPr="006C7BF1" w:rsidR="00EF0816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006C7BF1" w:rsidR="0043005D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participation</w:t>
      </w:r>
      <w:r w:rsidRPr="00B340A9">
        <w:rPr>
          <w:rFonts w:eastAsia="Times New Roman" w:asciiTheme="majorHAnsi" w:hAnsiTheme="majorHAnsi" w:cstheme="majorHAnsi"/>
          <w:color w:val="222222"/>
          <w:sz w:val="22"/>
          <w:szCs w:val="22"/>
          <w:highlight w:val="white"/>
        </w:rPr>
        <w:t xml:space="preserve">. </w:t>
      </w:r>
    </w:p>
    <w:p w:rsidR="00507136" w:rsidRPr="00B340A9" w14:paraId="3E9C8176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</w:p>
    <w:p w:rsidR="00AA0C95" w:rsidRPr="00B340A9" w:rsidP="00AA0C95" w14:paraId="151F6C14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b/>
          <w:color w:val="000000"/>
          <w:sz w:val="22"/>
          <w:szCs w:val="22"/>
        </w:rPr>
        <w:t>BURDEN HOURS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</w:t>
      </w:r>
    </w:p>
    <w:tbl>
      <w:tblPr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76A51466" w14:textId="77777777" w:rsidTr="46A1F0DA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AA0C95" w:rsidRPr="00B340A9" w:rsidP="0093502E" w14:paraId="7181F76E" w14:textId="77777777">
            <w:pPr>
              <w:widowControl/>
              <w:spacing w:line="240" w:lineRule="auto"/>
              <w:rPr>
                <w:rFonts w:eastAsia="Times New Roman" w:asciiTheme="majorHAnsi" w:hAnsiTheme="majorHAnsi" w:cstheme="majorHAnsi"/>
                <w:color w:val="000000"/>
                <w:sz w:val="22"/>
                <w:szCs w:val="22"/>
              </w:rPr>
            </w:pPr>
            <w:r w:rsidRPr="00B340A9">
              <w:rPr>
                <w:rFonts w:eastAsia="Times New Roman" w:asciiTheme="majorHAnsi" w:hAnsiTheme="majorHAnsi" w:cstheme="majorHAnsi"/>
                <w:b/>
                <w:color w:val="000000"/>
                <w:sz w:val="22"/>
                <w:szCs w:val="22"/>
              </w:rPr>
              <w:t xml:space="preserve">Category of Respondent </w:t>
            </w:r>
          </w:p>
        </w:tc>
        <w:tc>
          <w:tcPr>
            <w:tcW w:w="1620" w:type="dxa"/>
          </w:tcPr>
          <w:p w:rsidR="00AA0C95" w:rsidRPr="00B340A9" w:rsidP="0093502E" w14:paraId="21FE31B2" w14:textId="77777777">
            <w:pPr>
              <w:widowControl/>
              <w:spacing w:line="240" w:lineRule="auto"/>
              <w:rPr>
                <w:rFonts w:eastAsia="Times New Roman" w:asciiTheme="majorHAnsi" w:hAnsiTheme="majorHAnsi" w:cstheme="majorHAnsi"/>
                <w:color w:val="000000"/>
                <w:sz w:val="22"/>
                <w:szCs w:val="22"/>
              </w:rPr>
            </w:pPr>
            <w:r w:rsidRPr="00B340A9">
              <w:rPr>
                <w:rFonts w:eastAsia="Times New Roman" w:asciiTheme="majorHAnsi" w:hAnsiTheme="majorHAnsi" w:cstheme="majorHAnsi"/>
                <w:b/>
                <w:color w:val="000000"/>
                <w:sz w:val="22"/>
                <w:szCs w:val="22"/>
              </w:rPr>
              <w:t>No. of Respondents</w:t>
            </w:r>
          </w:p>
        </w:tc>
        <w:tc>
          <w:tcPr>
            <w:tcW w:w="2160" w:type="dxa"/>
          </w:tcPr>
          <w:p w:rsidR="00AA0C95" w:rsidRPr="00B340A9" w:rsidP="0093502E" w14:paraId="2FC54186" w14:textId="77777777">
            <w:pPr>
              <w:widowControl/>
              <w:spacing w:line="240" w:lineRule="auto"/>
              <w:rPr>
                <w:rFonts w:eastAsia="Times New Roman" w:asciiTheme="majorHAnsi" w:hAnsiTheme="majorHAnsi" w:cstheme="majorHAnsi"/>
                <w:color w:val="000000"/>
                <w:sz w:val="22"/>
                <w:szCs w:val="22"/>
              </w:rPr>
            </w:pPr>
            <w:r w:rsidRPr="00B340A9">
              <w:rPr>
                <w:rFonts w:eastAsia="Times New Roman" w:asciiTheme="majorHAnsi" w:hAnsiTheme="majorHAnsi" w:cstheme="majorHAnsi"/>
                <w:b/>
                <w:color w:val="000000"/>
                <w:sz w:val="22"/>
                <w:szCs w:val="22"/>
              </w:rPr>
              <w:t>Participation Time</w:t>
            </w:r>
          </w:p>
        </w:tc>
        <w:tc>
          <w:tcPr>
            <w:tcW w:w="1903" w:type="dxa"/>
          </w:tcPr>
          <w:p w:rsidR="00AA0C95" w:rsidRPr="00B340A9" w:rsidP="0093502E" w14:paraId="3D6F6C93" w14:textId="77777777">
            <w:pPr>
              <w:widowControl/>
              <w:spacing w:line="240" w:lineRule="auto"/>
              <w:rPr>
                <w:rFonts w:eastAsia="Times New Roman" w:asciiTheme="majorHAnsi" w:hAnsiTheme="majorHAnsi" w:cstheme="majorHAnsi"/>
                <w:color w:val="000000"/>
                <w:sz w:val="22"/>
                <w:szCs w:val="22"/>
              </w:rPr>
            </w:pPr>
            <w:r w:rsidRPr="00B340A9">
              <w:rPr>
                <w:rFonts w:eastAsia="Times New Roman" w:asciiTheme="majorHAnsi" w:hAnsiTheme="majorHAnsi" w:cstheme="majorHAnsi"/>
                <w:b/>
                <w:color w:val="000000"/>
                <w:sz w:val="22"/>
                <w:szCs w:val="22"/>
              </w:rPr>
              <w:t>Burden Hours Total</w:t>
            </w:r>
          </w:p>
        </w:tc>
      </w:tr>
      <w:tr w14:paraId="34B2B872" w14:textId="77777777" w:rsidTr="46A1F0DA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AA0C95" w:rsidRPr="00B340A9" w:rsidP="0093502E" w14:paraId="360C7475" w14:textId="5D0AD513">
            <w:pPr>
              <w:widowControl/>
              <w:spacing w:line="240" w:lineRule="auto"/>
              <w:rPr>
                <w:rFonts w:eastAsia="Times New Roman" w:asciiTheme="majorHAnsi" w:hAnsiTheme="majorHAnsi" w:cstheme="majorHAnsi"/>
                <w:color w:val="auto"/>
                <w:sz w:val="22"/>
                <w:szCs w:val="22"/>
              </w:rPr>
            </w:pPr>
            <w:r w:rsidRPr="00B340A9">
              <w:rPr>
                <w:rFonts w:eastAsia="Times New Roman" w:asciiTheme="majorHAnsi" w:hAnsiTheme="majorHAnsi" w:cstheme="majorHAnsi"/>
                <w:b/>
                <w:color w:val="auto"/>
                <w:sz w:val="22"/>
                <w:szCs w:val="22"/>
              </w:rPr>
              <w:t>Organizations:</w:t>
            </w:r>
            <w:r w:rsidRPr="00B340A9">
              <w:rPr>
                <w:rFonts w:eastAsia="Times New Roman"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875F11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1 CEN SME Group</w:t>
            </w:r>
            <w:r w:rsidRPr="00B340A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AA0C95" w:rsidRPr="00B340A9" w:rsidP="0093502E" w14:paraId="16DC7975" w14:textId="77777777">
            <w:pPr>
              <w:widowControl/>
              <w:spacing w:line="240" w:lineRule="auto"/>
              <w:rPr>
                <w:rFonts w:eastAsia="Times New Roman" w:asciiTheme="majorHAnsi" w:hAnsiTheme="majorHAnsi" w:cstheme="majorHAnsi"/>
                <w:color w:val="000000"/>
                <w:sz w:val="22"/>
                <w:szCs w:val="22"/>
              </w:rPr>
            </w:pPr>
            <w:r w:rsidRPr="00B340A9">
              <w:rPr>
                <w:rFonts w:eastAsia="Times New Roman" w:asciiTheme="majorHAnsi" w:hAnsiTheme="majorHAnsi" w:cstheme="maj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60" w:type="dxa"/>
          </w:tcPr>
          <w:p w:rsidR="00AA0C95" w:rsidRPr="00B340A9" w:rsidP="0093502E" w14:paraId="232C45E3" w14:textId="77777777">
            <w:pPr>
              <w:widowControl/>
              <w:spacing w:line="240" w:lineRule="auto"/>
              <w:rPr>
                <w:rFonts w:eastAsia="Times New Roman" w:asciiTheme="majorHAnsi" w:hAnsiTheme="majorHAnsi" w:cstheme="majorHAnsi"/>
                <w:color w:val="000000"/>
                <w:sz w:val="22"/>
                <w:szCs w:val="22"/>
              </w:rPr>
            </w:pPr>
            <w:r w:rsidRPr="00B340A9">
              <w:rPr>
                <w:rFonts w:eastAsia="Times New Roman" w:asciiTheme="majorHAnsi" w:hAnsiTheme="majorHAnsi" w:cstheme="majorHAnsi"/>
                <w:color w:val="000000" w:themeColor="text1"/>
                <w:sz w:val="22"/>
                <w:szCs w:val="22"/>
              </w:rPr>
              <w:t xml:space="preserve">320 </w:t>
            </w:r>
            <w:r w:rsidRPr="00B340A9" w:rsidR="1C6B3145">
              <w:rPr>
                <w:rFonts w:eastAsia="Times New Roman" w:asciiTheme="majorHAnsi" w:hAnsiTheme="majorHAnsi" w:cstheme="majorHAnsi"/>
                <w:color w:val="000000" w:themeColor="text1"/>
                <w:sz w:val="22"/>
                <w:szCs w:val="22"/>
              </w:rPr>
              <w:t>hours total</w:t>
            </w:r>
            <w:r w:rsidRPr="00B340A9" w:rsidR="4E31C3D0">
              <w:rPr>
                <w:rFonts w:eastAsia="Times New Roman" w:asciiTheme="majorHAnsi" w:hAnsiTheme="majorHAnsi" w:cstheme="majorHAnsi"/>
                <w:color w:val="000000" w:themeColor="text1"/>
                <w:sz w:val="22"/>
                <w:szCs w:val="22"/>
              </w:rPr>
              <w:t xml:space="preserve"> (</w:t>
            </w:r>
            <w:r w:rsidRPr="00B340A9" w:rsidR="3BAB3A10">
              <w:rPr>
                <w:rFonts w:eastAsia="Times New Roman" w:asciiTheme="majorHAnsi" w:hAnsiTheme="majorHAnsi" w:cstheme="majorHAnsi"/>
                <w:color w:val="000000" w:themeColor="text1"/>
                <w:sz w:val="22"/>
                <w:szCs w:val="22"/>
              </w:rPr>
              <w:t xml:space="preserve">4 </w:t>
            </w:r>
            <w:r w:rsidRPr="00B340A9" w:rsidR="4E31C3D0">
              <w:rPr>
                <w:rFonts w:eastAsia="Times New Roman" w:asciiTheme="majorHAnsi" w:hAnsiTheme="majorHAnsi" w:cstheme="majorHAnsi"/>
                <w:color w:val="000000" w:themeColor="text1"/>
                <w:sz w:val="22"/>
                <w:szCs w:val="22"/>
              </w:rPr>
              <w:t>hours per participant</w:t>
            </w:r>
            <w:r w:rsidRPr="00B340A9" w:rsidR="522478F2">
              <w:rPr>
                <w:rFonts w:eastAsia="Times New Roman"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B340A9" w:rsidR="3D4E732F">
              <w:rPr>
                <w:rFonts w:eastAsia="Times New Roman" w:asciiTheme="majorHAnsi" w:hAnsiTheme="majorHAnsi" w:cstheme="majorHAnsi"/>
                <w:color w:val="000000" w:themeColor="text1"/>
                <w:sz w:val="22"/>
                <w:szCs w:val="22"/>
              </w:rPr>
              <w:t>for 4 sessions)</w:t>
            </w:r>
          </w:p>
        </w:tc>
        <w:tc>
          <w:tcPr>
            <w:tcW w:w="1903" w:type="dxa"/>
          </w:tcPr>
          <w:p w:rsidR="00AA0C95" w:rsidRPr="00B340A9" w:rsidP="0093502E" w14:paraId="7481DAC5" w14:textId="41665058">
            <w:pPr>
              <w:widowControl/>
              <w:spacing w:line="240" w:lineRule="auto"/>
              <w:rPr>
                <w:rFonts w:eastAsia="Times New Roman"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22"/>
                <w:szCs w:val="22"/>
              </w:rPr>
              <w:t>320 hours</w:t>
            </w:r>
          </w:p>
        </w:tc>
      </w:tr>
    </w:tbl>
    <w:p w:rsidR="00A21E80" w:rsidRPr="00B340A9" w14:paraId="666038D1" w14:textId="77777777">
      <w:pPr>
        <w:widowControl/>
        <w:spacing w:line="240" w:lineRule="auto"/>
        <w:rPr>
          <w:rFonts w:eastAsia="Times New Roman" w:asciiTheme="majorHAnsi" w:hAnsiTheme="majorHAnsi" w:cstheme="majorHAnsi"/>
          <w:b/>
          <w:color w:val="000000"/>
          <w:sz w:val="22"/>
          <w:szCs w:val="22"/>
        </w:rPr>
      </w:pPr>
    </w:p>
    <w:p w:rsidR="0032537D" w:rsidRPr="00B340A9" w14:paraId="14708C89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FEDERAL COST:  </w:t>
      </w:r>
    </w:p>
    <w:p w:rsidR="0032537D" w:rsidRPr="00B340A9" w:rsidP="4EAAE2E7" w14:paraId="3CCC18BF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222222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HRSA is funding this information collection. </w:t>
      </w:r>
      <w:r w:rsidRPr="00B340A9" w:rsidR="56BFBE2C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The estimated annual one-time cost to the federal government </w:t>
      </w:r>
      <w:r w:rsidRPr="00B340A9" w:rsidR="1B8CDB78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for engagement activities </w:t>
      </w:r>
      <w:r w:rsidRPr="00B340A9" w:rsidR="6B17E2F1">
        <w:rPr>
          <w:rFonts w:eastAsia="Times New Roman" w:asciiTheme="majorHAnsi" w:hAnsiTheme="majorHAnsi" w:cstheme="majorHAnsi"/>
          <w:color w:val="222222"/>
          <w:sz w:val="22"/>
          <w:szCs w:val="22"/>
        </w:rPr>
        <w:t>which</w:t>
      </w:r>
      <w:r w:rsidRPr="00B340A9" w:rsidR="1B8CDB78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 </w:t>
      </w:r>
      <w:r w:rsidRPr="00B340A9" w:rsidR="00507136">
        <w:rPr>
          <w:rFonts w:eastAsia="Times New Roman" w:asciiTheme="majorHAnsi" w:hAnsiTheme="majorHAnsi" w:cstheme="majorHAnsi"/>
          <w:color w:val="222222"/>
          <w:sz w:val="22"/>
          <w:szCs w:val="22"/>
        </w:rPr>
        <w:t>includes</w:t>
      </w:r>
      <w:r w:rsidRPr="00B340A9" w:rsidR="1B8CDB78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 designing data collection instruments</w:t>
      </w:r>
      <w:r w:rsidRPr="00B340A9" w:rsidR="38704773">
        <w:rPr>
          <w:rFonts w:eastAsia="Times New Roman" w:asciiTheme="majorHAnsi" w:hAnsiTheme="majorHAnsi" w:cstheme="majorHAnsi"/>
          <w:color w:val="222222"/>
          <w:sz w:val="22"/>
          <w:szCs w:val="22"/>
        </w:rPr>
        <w:t>,</w:t>
      </w:r>
      <w:r w:rsidRPr="00B340A9" w:rsidR="357C6EB0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 project communication materials</w:t>
      </w:r>
      <w:r w:rsidRPr="00B340A9" w:rsidR="09DAE74D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, </w:t>
      </w:r>
      <w:r w:rsidRPr="00B340A9" w:rsidR="38704773">
        <w:rPr>
          <w:rFonts w:eastAsia="Times New Roman" w:asciiTheme="majorHAnsi" w:hAnsiTheme="majorHAnsi" w:cstheme="majorHAnsi"/>
          <w:color w:val="222222"/>
          <w:sz w:val="22"/>
          <w:szCs w:val="22"/>
        </w:rPr>
        <w:t>recruitment flyers, emails</w:t>
      </w:r>
      <w:r w:rsidRPr="00B340A9" w:rsidR="0D12880F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 and talking points, as well as</w:t>
      </w:r>
      <w:r w:rsidRPr="00B340A9" w:rsidR="38704773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 associated meeting facilitation materials </w:t>
      </w:r>
      <w:r w:rsidRPr="00B340A9" w:rsidR="56BFBE2C">
        <w:rPr>
          <w:rFonts w:eastAsia="Times New Roman" w:asciiTheme="majorHAnsi" w:hAnsiTheme="majorHAnsi" w:cstheme="majorHAnsi"/>
          <w:color w:val="222222"/>
          <w:sz w:val="22"/>
          <w:szCs w:val="22"/>
        </w:rPr>
        <w:t>is $</w:t>
      </w:r>
      <w:r w:rsidRPr="00B340A9" w:rsidR="5E44063B">
        <w:rPr>
          <w:rFonts w:eastAsia="Times New Roman" w:asciiTheme="majorHAnsi" w:hAnsiTheme="majorHAnsi" w:cstheme="majorHAnsi"/>
          <w:color w:val="222222"/>
          <w:sz w:val="22"/>
          <w:szCs w:val="22"/>
        </w:rPr>
        <w:t>58,889.61</w:t>
      </w:r>
      <w:r w:rsidRPr="00B340A9" w:rsidR="7DBD9A0F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. </w:t>
      </w:r>
      <w:r w:rsidRPr="00B340A9" w:rsidR="34705E60">
        <w:rPr>
          <w:rFonts w:eastAsia="Times New Roman" w:asciiTheme="majorHAnsi" w:hAnsiTheme="majorHAnsi" w:cstheme="majorHAnsi"/>
          <w:color w:val="222222"/>
          <w:sz w:val="22"/>
          <w:szCs w:val="22"/>
        </w:rPr>
        <w:t>T</w:t>
      </w:r>
      <w:r w:rsidRPr="00B340A9" w:rsidR="7DBD9A0F">
        <w:rPr>
          <w:rFonts w:eastAsia="Times New Roman" w:asciiTheme="majorHAnsi" w:hAnsiTheme="majorHAnsi" w:cstheme="majorHAnsi"/>
          <w:color w:val="222222"/>
          <w:sz w:val="22"/>
          <w:szCs w:val="22"/>
        </w:rPr>
        <w:t>he cost of federal staff time for</w:t>
      </w:r>
      <w:r w:rsidRPr="00B340A9" w:rsidR="3436389D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 analyzing and reviewing data collected,</w:t>
      </w:r>
      <w:r w:rsidRPr="00B340A9" w:rsidR="56BFBE2C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 </w:t>
      </w:r>
      <w:r w:rsidRPr="00B340A9" w:rsidR="21A71A26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and </w:t>
      </w:r>
      <w:r w:rsidRPr="00B340A9" w:rsidR="00A2C7B2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direct </w:t>
      </w:r>
      <w:r w:rsidRPr="00B340A9" w:rsidR="07B6B6C9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project </w:t>
      </w:r>
      <w:r w:rsidRPr="00B340A9" w:rsidR="2CAE7528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management and </w:t>
      </w:r>
      <w:r w:rsidRPr="00B340A9" w:rsidR="07B6B6C9">
        <w:rPr>
          <w:rFonts w:eastAsia="Times New Roman" w:asciiTheme="majorHAnsi" w:hAnsiTheme="majorHAnsi" w:cstheme="majorHAnsi"/>
          <w:color w:val="222222"/>
          <w:sz w:val="22"/>
          <w:szCs w:val="22"/>
        </w:rPr>
        <w:t>oversight</w:t>
      </w:r>
      <w:r w:rsidRPr="00B340A9" w:rsidR="18EC0D4D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 is </w:t>
      </w:r>
      <w:r w:rsidRPr="00B340A9" w:rsidR="56BFBE2C">
        <w:rPr>
          <w:rFonts w:eastAsia="Times New Roman" w:asciiTheme="majorHAnsi" w:hAnsiTheme="majorHAnsi" w:cstheme="majorHAnsi"/>
          <w:color w:val="222222"/>
          <w:sz w:val="22"/>
          <w:szCs w:val="22"/>
        </w:rPr>
        <w:t>(</w:t>
      </w:r>
      <w:r w:rsidRPr="00B340A9" w:rsidR="4F73C63E">
        <w:rPr>
          <w:rFonts w:eastAsia="Times New Roman" w:asciiTheme="majorHAnsi" w:hAnsiTheme="majorHAnsi" w:cstheme="majorHAnsi"/>
          <w:color w:val="222222"/>
          <w:sz w:val="22"/>
          <w:szCs w:val="22"/>
        </w:rPr>
        <w:t>60</w:t>
      </w:r>
      <w:r w:rsidRPr="00B340A9" w:rsidR="56BFBE2C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 hours at the GS-1</w:t>
      </w:r>
      <w:r w:rsidRPr="00B340A9" w:rsidR="4582C645">
        <w:rPr>
          <w:rFonts w:eastAsia="Times New Roman" w:asciiTheme="majorHAnsi" w:hAnsiTheme="majorHAnsi" w:cstheme="majorHAnsi"/>
          <w:color w:val="222222"/>
          <w:sz w:val="22"/>
          <w:szCs w:val="22"/>
        </w:rPr>
        <w:t>3</w:t>
      </w:r>
      <w:r w:rsidRPr="00B340A9" w:rsidR="56BFBE2C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 level)</w:t>
      </w:r>
      <w:r w:rsidRPr="00B340A9" w:rsidR="140ED5DF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 for a total cost of </w:t>
      </w:r>
      <w:r w:rsidRPr="00B340A9" w:rsidR="362E2651">
        <w:rPr>
          <w:rFonts w:eastAsia="Times New Roman" w:asciiTheme="majorHAnsi" w:hAnsiTheme="majorHAnsi" w:cstheme="majorHAnsi"/>
          <w:color w:val="222222"/>
          <w:sz w:val="22"/>
          <w:szCs w:val="22"/>
        </w:rPr>
        <w:t>3,542.40</w:t>
      </w:r>
      <w:r w:rsidRPr="00B340A9" w:rsidR="56BFBE2C">
        <w:rPr>
          <w:rFonts w:eastAsia="Times New Roman" w:asciiTheme="majorHAnsi" w:hAnsiTheme="majorHAnsi" w:cstheme="majorHAnsi"/>
          <w:color w:val="222222"/>
          <w:sz w:val="22"/>
          <w:szCs w:val="22"/>
        </w:rPr>
        <w:t xml:space="preserve">. </w:t>
      </w:r>
    </w:p>
    <w:p w:rsidR="00197C4C" w14:paraId="7CDE1AF8" w14:textId="77777777">
      <w:pPr>
        <w:widowControl/>
        <w:spacing w:line="240" w:lineRule="auto"/>
        <w:rPr>
          <w:rFonts w:eastAsia="Times New Roman" w:asciiTheme="majorHAnsi" w:hAnsiTheme="majorHAnsi" w:cstheme="majorHAnsi"/>
          <w:b/>
          <w:color w:val="000000"/>
          <w:sz w:val="22"/>
          <w:szCs w:val="22"/>
          <w:u w:val="single"/>
        </w:rPr>
      </w:pPr>
    </w:p>
    <w:p w:rsidR="0032537D" w:rsidRPr="00B340A9" w14:paraId="6FBD9626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b/>
          <w:color w:val="000000"/>
          <w:sz w:val="22"/>
          <w:szCs w:val="22"/>
          <w:u w:val="single"/>
        </w:rPr>
        <w:t>If you are conducting a focus group, survey, or plan to employ statistical methods, please provide answers to the following questions:</w:t>
      </w:r>
    </w:p>
    <w:p w:rsidR="0032537D" w:rsidRPr="00B340A9" w14:paraId="57362BF6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</w:p>
    <w:p w:rsidR="0032537D" w:rsidRPr="00B340A9" w14:paraId="54415575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b/>
          <w:color w:val="000000"/>
          <w:sz w:val="22"/>
          <w:szCs w:val="22"/>
        </w:rPr>
        <w:t>The selection of your targeted respondents</w:t>
      </w:r>
    </w:p>
    <w:p w:rsidR="0032537D" w:rsidRPr="007052A0" w14:paraId="69784238" w14:textId="063A5DE4">
      <w:pPr>
        <w:widowControl/>
        <w:numPr>
          <w:ilvl w:val="0"/>
          <w:numId w:val="3"/>
        </w:numPr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330EBE2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Do you have a customer list or something similar that defines the universe of potential respondents and do you have a sampling plan for selecting from this universe? [</w:t>
      </w:r>
      <w:r w:rsidRPr="0330EBE2" w:rsidR="00AA1254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X</w:t>
      </w:r>
      <w:r w:rsidRPr="0330EBE2" w:rsidR="002B10C5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0330EBE2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]</w:t>
      </w:r>
      <w:r w:rsidRPr="0330EBE2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 xml:space="preserve"> Yes</w:t>
      </w:r>
      <w:r>
        <w:tab/>
      </w:r>
      <w:r w:rsidRPr="0330EBE2"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  <w:t>[ ] No</w:t>
      </w:r>
    </w:p>
    <w:p w:rsidR="0032537D" w:rsidRPr="00B340A9" w14:paraId="45913A95" w14:textId="77777777">
      <w:pPr>
        <w:widowControl/>
        <w:spacing w:line="240" w:lineRule="auto"/>
        <w:ind w:left="720"/>
        <w:rPr>
          <w:rFonts w:eastAsia="Times New Roman" w:asciiTheme="majorHAnsi" w:hAnsiTheme="majorHAnsi" w:cstheme="majorHAnsi"/>
          <w:color w:val="000000"/>
          <w:sz w:val="22"/>
          <w:szCs w:val="22"/>
        </w:rPr>
      </w:pPr>
    </w:p>
    <w:p w:rsidR="0032537D" w:rsidRPr="00B340A9" w14:paraId="6F81309B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If the answer is yes, please </w:t>
      </w:r>
      <w:r w:rsidRPr="00B340A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provide</w:t>
      </w:r>
      <w:r w:rsidRPr="00B340A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a description of both below (or attach the sampling plan)? If the answer is no, please provide a description of how you plan to identify your potential group of respondents and how you will select them?</w:t>
      </w:r>
    </w:p>
    <w:p w:rsidR="007A6DC4" w:rsidRPr="00B340A9" w:rsidP="0330EBE2" w14:paraId="4A329947" w14:textId="77777777">
      <w:pPr>
        <w:widowControl/>
        <w:spacing w:line="240" w:lineRule="auto"/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</w:pPr>
    </w:p>
    <w:p w:rsidR="00FA34F0" w:rsidP="0330EBE2" w14:paraId="2E6FDB96" w14:textId="49025521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330EBE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We are working to develop a listing on potential respondents from our </w:t>
      </w:r>
      <w:hyperlink r:id="rId10">
        <w:r w:rsidRPr="0330EBE2">
          <w:rPr>
            <w:rStyle w:val="Hyperlink"/>
            <w:rFonts w:ascii="Calibri" w:eastAsia="Calibri" w:hAnsi="Calibri" w:cs="Calibri"/>
            <w:sz w:val="22"/>
            <w:szCs w:val="22"/>
          </w:rPr>
          <w:t>BPHC April 28 Bulletin</w:t>
        </w:r>
      </w:hyperlink>
      <w:r w:rsidRPr="0330EBE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announcement and our contractors Patient Partner Innovation Community (PPIC) network. Selection will be based on</w:t>
      </w:r>
      <w:r w:rsidRPr="0330EBE2" w:rsidR="56ABA9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</w:t>
      </w:r>
      <w:r w:rsidRPr="0330EBE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individual</w:t>
      </w:r>
      <w:r w:rsidRPr="0330EBE2" w:rsidR="643C018F">
        <w:rPr>
          <w:rFonts w:ascii="Calibri" w:eastAsia="Calibri" w:hAnsi="Calibri" w:cs="Calibri"/>
          <w:color w:val="000000" w:themeColor="text1"/>
          <w:sz w:val="22"/>
          <w:szCs w:val="22"/>
        </w:rPr>
        <w:t>’</w:t>
      </w:r>
      <w:r w:rsidRPr="0330EBE2">
        <w:rPr>
          <w:rFonts w:ascii="Calibri" w:eastAsia="Calibri" w:hAnsi="Calibri" w:cs="Calibri"/>
          <w:color w:val="000000" w:themeColor="text1"/>
          <w:sz w:val="22"/>
          <w:szCs w:val="22"/>
        </w:rPr>
        <w:t>s location in the country, population and sub-populations served, individuals subject matter expertise and their experiences with the HRSA Health Center program.</w:t>
      </w:r>
    </w:p>
    <w:p w:rsidR="0330EBE2" w:rsidP="0330EBE2" w14:paraId="235D442A" w14:textId="52EFBE5C">
      <w:pPr>
        <w:widowControl/>
        <w:spacing w:line="240" w:lineRule="auto"/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</w:pPr>
    </w:p>
    <w:p w:rsidR="0330EBE2" w:rsidP="0330EBE2" w14:paraId="0717A63E" w14:textId="71AF4BB7">
      <w:pPr>
        <w:widowControl/>
        <w:spacing w:line="240" w:lineRule="auto"/>
        <w:rPr>
          <w:rFonts w:eastAsia="Times New Roman" w:asciiTheme="majorHAnsi" w:hAnsiTheme="majorHAnsi" w:cstheme="majorBidi"/>
          <w:color w:val="000000" w:themeColor="text1"/>
          <w:sz w:val="22"/>
          <w:szCs w:val="22"/>
        </w:rPr>
      </w:pPr>
    </w:p>
    <w:p w:rsidR="0032537D" w:rsidRPr="00B340A9" w14:paraId="122F1316" w14:textId="77777777">
      <w:pPr>
        <w:widowControl/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b/>
          <w:color w:val="000000"/>
          <w:sz w:val="22"/>
          <w:szCs w:val="22"/>
        </w:rPr>
        <w:t>Administration of the Instrument</w:t>
      </w:r>
    </w:p>
    <w:p w:rsidR="0032537D" w:rsidRPr="00B340A9" w14:paraId="32FBE1C0" w14:textId="77777777">
      <w:pPr>
        <w:widowControl/>
        <w:numPr>
          <w:ilvl w:val="0"/>
          <w:numId w:val="4"/>
        </w:numPr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>How will you collect the information? (Check all that apply)</w:t>
      </w:r>
    </w:p>
    <w:p w:rsidR="0032537D" w:rsidRPr="00B340A9" w14:paraId="0410436B" w14:textId="77777777">
      <w:pPr>
        <w:widowControl/>
        <w:spacing w:line="240" w:lineRule="auto"/>
        <w:ind w:left="720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>[</w:t>
      </w:r>
      <w:r w:rsidRPr="00B340A9" w:rsidR="002B10C5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 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>]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Web-based or other forms of Social Media </w:t>
      </w:r>
    </w:p>
    <w:p w:rsidR="0032537D" w:rsidRPr="00B340A9" w14:paraId="7EF709FA" w14:textId="77777777">
      <w:pPr>
        <w:widowControl/>
        <w:spacing w:line="240" w:lineRule="auto"/>
        <w:ind w:left="720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>[  ]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Telephone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ab/>
      </w:r>
    </w:p>
    <w:p w:rsidR="0032537D" w:rsidRPr="00B340A9" w14:paraId="6646BF2B" w14:textId="77777777">
      <w:pPr>
        <w:widowControl/>
        <w:spacing w:line="240" w:lineRule="auto"/>
        <w:ind w:left="720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[</w:t>
      </w:r>
      <w:r w:rsidRPr="00B340A9" w:rsidR="00D43288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 </w:t>
      </w:r>
      <w:r w:rsidRPr="00B340A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]</w:t>
      </w:r>
      <w:r w:rsidRPr="00B340A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In-person</w:t>
      </w:r>
      <w:r w:rsidRPr="00B340A9">
        <w:rPr>
          <w:rFonts w:asciiTheme="majorHAnsi" w:hAnsiTheme="majorHAnsi" w:cstheme="majorHAnsi"/>
          <w:sz w:val="22"/>
          <w:szCs w:val="22"/>
        </w:rPr>
        <w:tab/>
      </w:r>
    </w:p>
    <w:p w:rsidR="0032537D" w:rsidRPr="00B340A9" w14:paraId="4320BE7F" w14:textId="77777777">
      <w:pPr>
        <w:widowControl/>
        <w:spacing w:line="240" w:lineRule="auto"/>
        <w:ind w:left="720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>[  ]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Mail </w:t>
      </w:r>
    </w:p>
    <w:p w:rsidR="0032537D" w:rsidRPr="00B340A9" w14:paraId="5A38DADD" w14:textId="77777777">
      <w:pPr>
        <w:widowControl/>
        <w:spacing w:line="240" w:lineRule="auto"/>
        <w:ind w:left="720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[</w:t>
      </w:r>
      <w:r w:rsidRPr="00B340A9" w:rsidR="006A51F0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X</w:t>
      </w:r>
      <w:r w:rsidRPr="00B340A9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>] Other, Explain</w:t>
      </w:r>
      <w:r w:rsidRPr="00B340A9" w:rsidR="00D43288">
        <w:rPr>
          <w:rFonts w:eastAsia="Times New Roman" w:asciiTheme="majorHAnsi" w:hAnsiTheme="majorHAnsi" w:cstheme="majorHAnsi"/>
          <w:color w:val="000000" w:themeColor="text1"/>
          <w:sz w:val="22"/>
          <w:szCs w:val="22"/>
        </w:rPr>
        <w:t xml:space="preserve"> The sessions will be held virtually through Zoom or Teams platform</w:t>
      </w:r>
    </w:p>
    <w:p w:rsidR="0032537D" w:rsidRPr="00B340A9" w14:paraId="52312A20" w14:textId="77777777">
      <w:pPr>
        <w:widowControl/>
        <w:numPr>
          <w:ilvl w:val="0"/>
          <w:numId w:val="4"/>
        </w:numPr>
        <w:spacing w:line="240" w:lineRule="auto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Will interviewers or facilitators be used?  [ </w:t>
      </w:r>
      <w:r w:rsidRPr="00B340A9" w:rsidR="006C5360">
        <w:rPr>
          <w:rFonts w:eastAsia="Times New Roman" w:asciiTheme="majorHAnsi" w:hAnsiTheme="majorHAnsi" w:cstheme="majorHAnsi"/>
          <w:color w:val="000000"/>
          <w:sz w:val="22"/>
          <w:szCs w:val="22"/>
        </w:rPr>
        <w:t>X]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Yes 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>[</w:t>
      </w:r>
      <w:r w:rsidRPr="00B340A9" w:rsidR="002B10C5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>]</w:t>
      </w: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No</w:t>
      </w:r>
    </w:p>
    <w:p w:rsidR="0032537D" w:rsidRPr="00B340A9" w14:paraId="4329DF4C" w14:textId="77777777">
      <w:pPr>
        <w:widowControl/>
        <w:spacing w:line="240" w:lineRule="auto"/>
        <w:ind w:left="360"/>
        <w:rPr>
          <w:rFonts w:eastAsia="Times New Roman" w:asciiTheme="majorHAnsi" w:hAnsiTheme="majorHAnsi" w:cstheme="majorHAnsi"/>
          <w:color w:val="000000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color w:val="000000"/>
          <w:sz w:val="22"/>
          <w:szCs w:val="22"/>
        </w:rPr>
        <w:t xml:space="preserve"> </w:t>
      </w:r>
    </w:p>
    <w:p w:rsidR="00E225A9" w:rsidRPr="00B340A9" w14:paraId="38684000" w14:textId="77777777">
      <w:pPr>
        <w:widowControl/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B340A9">
        <w:rPr>
          <w:rFonts w:eastAsia="Times New Roman" w:asciiTheme="majorHAnsi" w:hAnsiTheme="majorHAnsi" w:cstheme="majorHAnsi"/>
          <w:b/>
          <w:bCs/>
          <w:color w:val="000000" w:themeColor="text1"/>
          <w:sz w:val="22"/>
          <w:szCs w:val="22"/>
        </w:rPr>
        <w:t>Please make sure that all instruments, instructions, and scripts are submitted with the request.</w:t>
      </w:r>
    </w:p>
    <w:sectPr w:rsidSect="000F7939">
      <w:pgSz w:w="12240" w:h="15840"/>
      <w:pgMar w:top="1080" w:right="1080" w:bottom="1080" w:left="108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3E9B1105"/>
    <w:multiLevelType w:val="multilevel"/>
    <w:tmpl w:val="1C36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459F16C3"/>
    <w:multiLevelType w:val="hybridMultilevel"/>
    <w:tmpl w:val="C95A1186"/>
    <w:lvl w:ilvl="0">
      <w:start w:val="0"/>
      <w:numFmt w:val="bullet"/>
      <w:lvlText w:val="-"/>
      <w:lvlJc w:val="left"/>
      <w:pPr>
        <w:ind w:left="720" w:hanging="360"/>
      </w:pPr>
      <w:rPr>
        <w:rFonts w:ascii="Source Sans Pro" w:eastAsia="Source Sans Pro" w:hAnsi="Source Sans Pro" w:cs="Source Sans Pro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407282">
    <w:abstractNumId w:val="5"/>
  </w:num>
  <w:num w:numId="2" w16cid:durableId="394932513">
    <w:abstractNumId w:val="3"/>
  </w:num>
  <w:num w:numId="3" w16cid:durableId="1604145748">
    <w:abstractNumId w:val="0"/>
  </w:num>
  <w:num w:numId="4" w16cid:durableId="789513333">
    <w:abstractNumId w:val="1"/>
  </w:num>
  <w:num w:numId="5" w16cid:durableId="725952852">
    <w:abstractNumId w:val="6"/>
  </w:num>
  <w:num w:numId="6" w16cid:durableId="993794586">
    <w:abstractNumId w:val="4"/>
  </w:num>
  <w:num w:numId="7" w16cid:durableId="120212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0164D3"/>
    <w:rsid w:val="0001721A"/>
    <w:rsid w:val="00022E12"/>
    <w:rsid w:val="000368CE"/>
    <w:rsid w:val="00041C4E"/>
    <w:rsid w:val="000429B7"/>
    <w:rsid w:val="00044483"/>
    <w:rsid w:val="00046118"/>
    <w:rsid w:val="00046CD7"/>
    <w:rsid w:val="0005140E"/>
    <w:rsid w:val="000522C2"/>
    <w:rsid w:val="00055941"/>
    <w:rsid w:val="00064E1C"/>
    <w:rsid w:val="00066A56"/>
    <w:rsid w:val="0006706C"/>
    <w:rsid w:val="00071F5B"/>
    <w:rsid w:val="000728A4"/>
    <w:rsid w:val="00072B87"/>
    <w:rsid w:val="00073374"/>
    <w:rsid w:val="000747AB"/>
    <w:rsid w:val="000805DC"/>
    <w:rsid w:val="0008201C"/>
    <w:rsid w:val="00082BDA"/>
    <w:rsid w:val="00091BA8"/>
    <w:rsid w:val="000925FF"/>
    <w:rsid w:val="000B3FF6"/>
    <w:rsid w:val="000B5CD5"/>
    <w:rsid w:val="000E289F"/>
    <w:rsid w:val="000E70AD"/>
    <w:rsid w:val="000E7102"/>
    <w:rsid w:val="000F2409"/>
    <w:rsid w:val="000F5248"/>
    <w:rsid w:val="000F709A"/>
    <w:rsid w:val="000F7939"/>
    <w:rsid w:val="001018F1"/>
    <w:rsid w:val="001026B9"/>
    <w:rsid w:val="00102A50"/>
    <w:rsid w:val="00103960"/>
    <w:rsid w:val="00104A90"/>
    <w:rsid w:val="001118C9"/>
    <w:rsid w:val="0011543C"/>
    <w:rsid w:val="00116066"/>
    <w:rsid w:val="0011793A"/>
    <w:rsid w:val="00125164"/>
    <w:rsid w:val="001427F2"/>
    <w:rsid w:val="00143B7D"/>
    <w:rsid w:val="00152E6F"/>
    <w:rsid w:val="0016786D"/>
    <w:rsid w:val="00177BF6"/>
    <w:rsid w:val="001847DF"/>
    <w:rsid w:val="0019278D"/>
    <w:rsid w:val="001977D0"/>
    <w:rsid w:val="00197C4C"/>
    <w:rsid w:val="001A0363"/>
    <w:rsid w:val="001A0A2F"/>
    <w:rsid w:val="001A62B3"/>
    <w:rsid w:val="001B1080"/>
    <w:rsid w:val="001B4164"/>
    <w:rsid w:val="001C36B2"/>
    <w:rsid w:val="001C556A"/>
    <w:rsid w:val="001D26EC"/>
    <w:rsid w:val="001D3CB2"/>
    <w:rsid w:val="001D5A8C"/>
    <w:rsid w:val="001D650E"/>
    <w:rsid w:val="001D7113"/>
    <w:rsid w:val="001E3479"/>
    <w:rsid w:val="001E4D37"/>
    <w:rsid w:val="001E5F5D"/>
    <w:rsid w:val="001F2DAA"/>
    <w:rsid w:val="001F3ADC"/>
    <w:rsid w:val="001F44B5"/>
    <w:rsid w:val="002014FB"/>
    <w:rsid w:val="0020244D"/>
    <w:rsid w:val="0020394E"/>
    <w:rsid w:val="0020542A"/>
    <w:rsid w:val="00205B3D"/>
    <w:rsid w:val="00214AF2"/>
    <w:rsid w:val="002208B7"/>
    <w:rsid w:val="002225DE"/>
    <w:rsid w:val="002244BB"/>
    <w:rsid w:val="002250CF"/>
    <w:rsid w:val="00225127"/>
    <w:rsid w:val="002363E2"/>
    <w:rsid w:val="002374D9"/>
    <w:rsid w:val="00246566"/>
    <w:rsid w:val="00252247"/>
    <w:rsid w:val="00260472"/>
    <w:rsid w:val="00260E4C"/>
    <w:rsid w:val="0027110B"/>
    <w:rsid w:val="002737C4"/>
    <w:rsid w:val="00283716"/>
    <w:rsid w:val="002865BF"/>
    <w:rsid w:val="00287785"/>
    <w:rsid w:val="00291482"/>
    <w:rsid w:val="002938B5"/>
    <w:rsid w:val="002A57F8"/>
    <w:rsid w:val="002A6173"/>
    <w:rsid w:val="002A7F16"/>
    <w:rsid w:val="002B029B"/>
    <w:rsid w:val="002B0644"/>
    <w:rsid w:val="002B10C5"/>
    <w:rsid w:val="002B1EDD"/>
    <w:rsid w:val="002B792C"/>
    <w:rsid w:val="002C2987"/>
    <w:rsid w:val="002C36D0"/>
    <w:rsid w:val="002C4848"/>
    <w:rsid w:val="002D0462"/>
    <w:rsid w:val="002D1F72"/>
    <w:rsid w:val="002D268E"/>
    <w:rsid w:val="002D5470"/>
    <w:rsid w:val="002D6036"/>
    <w:rsid w:val="002D7C20"/>
    <w:rsid w:val="002E41F1"/>
    <w:rsid w:val="002E6F67"/>
    <w:rsid w:val="002E7124"/>
    <w:rsid w:val="002F01D0"/>
    <w:rsid w:val="002F2714"/>
    <w:rsid w:val="002F547A"/>
    <w:rsid w:val="002F62DB"/>
    <w:rsid w:val="002F72D1"/>
    <w:rsid w:val="00301BBA"/>
    <w:rsid w:val="00303756"/>
    <w:rsid w:val="00306E2C"/>
    <w:rsid w:val="0031301F"/>
    <w:rsid w:val="00313D9C"/>
    <w:rsid w:val="00315AB1"/>
    <w:rsid w:val="0031649C"/>
    <w:rsid w:val="00320AD4"/>
    <w:rsid w:val="00324D78"/>
    <w:rsid w:val="0032537D"/>
    <w:rsid w:val="003269F4"/>
    <w:rsid w:val="0033607D"/>
    <w:rsid w:val="003407C1"/>
    <w:rsid w:val="00340C9A"/>
    <w:rsid w:val="00342949"/>
    <w:rsid w:val="003434A4"/>
    <w:rsid w:val="00351FA9"/>
    <w:rsid w:val="00354C27"/>
    <w:rsid w:val="00360FB7"/>
    <w:rsid w:val="0036247F"/>
    <w:rsid w:val="00366365"/>
    <w:rsid w:val="00373AE8"/>
    <w:rsid w:val="00373E13"/>
    <w:rsid w:val="003802F8"/>
    <w:rsid w:val="0038208D"/>
    <w:rsid w:val="0038246B"/>
    <w:rsid w:val="003825C5"/>
    <w:rsid w:val="003833A9"/>
    <w:rsid w:val="00385434"/>
    <w:rsid w:val="00386519"/>
    <w:rsid w:val="00392A6C"/>
    <w:rsid w:val="0039316F"/>
    <w:rsid w:val="003970BF"/>
    <w:rsid w:val="003A1CB9"/>
    <w:rsid w:val="003A2990"/>
    <w:rsid w:val="003A5B2D"/>
    <w:rsid w:val="003A7AB3"/>
    <w:rsid w:val="003B23D4"/>
    <w:rsid w:val="003B487F"/>
    <w:rsid w:val="003B5C13"/>
    <w:rsid w:val="003B5D47"/>
    <w:rsid w:val="003C14B9"/>
    <w:rsid w:val="003C26EB"/>
    <w:rsid w:val="003C5F1D"/>
    <w:rsid w:val="003D2825"/>
    <w:rsid w:val="003E6133"/>
    <w:rsid w:val="003E6F29"/>
    <w:rsid w:val="003F320F"/>
    <w:rsid w:val="003F3225"/>
    <w:rsid w:val="003F3CDF"/>
    <w:rsid w:val="00401071"/>
    <w:rsid w:val="00402621"/>
    <w:rsid w:val="004038DE"/>
    <w:rsid w:val="00403B31"/>
    <w:rsid w:val="00405FF7"/>
    <w:rsid w:val="004065CD"/>
    <w:rsid w:val="004068C7"/>
    <w:rsid w:val="004114A5"/>
    <w:rsid w:val="004168A6"/>
    <w:rsid w:val="00426766"/>
    <w:rsid w:val="00426B9D"/>
    <w:rsid w:val="0043005D"/>
    <w:rsid w:val="00430BEC"/>
    <w:rsid w:val="00431682"/>
    <w:rsid w:val="00432C09"/>
    <w:rsid w:val="004338D7"/>
    <w:rsid w:val="0043636D"/>
    <w:rsid w:val="00441526"/>
    <w:rsid w:val="00442DAA"/>
    <w:rsid w:val="004430DD"/>
    <w:rsid w:val="004526BB"/>
    <w:rsid w:val="004541BE"/>
    <w:rsid w:val="00460B57"/>
    <w:rsid w:val="00461404"/>
    <w:rsid w:val="00462157"/>
    <w:rsid w:val="004635DF"/>
    <w:rsid w:val="0046577B"/>
    <w:rsid w:val="00474017"/>
    <w:rsid w:val="00476C95"/>
    <w:rsid w:val="00481337"/>
    <w:rsid w:val="00482B87"/>
    <w:rsid w:val="00482FB9"/>
    <w:rsid w:val="00483F22"/>
    <w:rsid w:val="00484BC5"/>
    <w:rsid w:val="0049098B"/>
    <w:rsid w:val="00494121"/>
    <w:rsid w:val="004A0278"/>
    <w:rsid w:val="004A37A9"/>
    <w:rsid w:val="004A3BE5"/>
    <w:rsid w:val="004A4DD9"/>
    <w:rsid w:val="004A655A"/>
    <w:rsid w:val="004A692A"/>
    <w:rsid w:val="004B07E3"/>
    <w:rsid w:val="004B18DF"/>
    <w:rsid w:val="004B1B40"/>
    <w:rsid w:val="004B4074"/>
    <w:rsid w:val="004B55D6"/>
    <w:rsid w:val="004B6179"/>
    <w:rsid w:val="004C18B6"/>
    <w:rsid w:val="004C3AAD"/>
    <w:rsid w:val="004C7675"/>
    <w:rsid w:val="004C77D6"/>
    <w:rsid w:val="004D0CA4"/>
    <w:rsid w:val="004D198E"/>
    <w:rsid w:val="004D3A50"/>
    <w:rsid w:val="004D55E1"/>
    <w:rsid w:val="004F42CB"/>
    <w:rsid w:val="004F67CF"/>
    <w:rsid w:val="00504020"/>
    <w:rsid w:val="00505B4E"/>
    <w:rsid w:val="00507136"/>
    <w:rsid w:val="00522181"/>
    <w:rsid w:val="005224F8"/>
    <w:rsid w:val="00523CD6"/>
    <w:rsid w:val="00524710"/>
    <w:rsid w:val="005309AC"/>
    <w:rsid w:val="00537245"/>
    <w:rsid w:val="00544149"/>
    <w:rsid w:val="005506AD"/>
    <w:rsid w:val="00554241"/>
    <w:rsid w:val="005558FC"/>
    <w:rsid w:val="00560347"/>
    <w:rsid w:val="00561F41"/>
    <w:rsid w:val="00562925"/>
    <w:rsid w:val="00562C07"/>
    <w:rsid w:val="00571A32"/>
    <w:rsid w:val="00575961"/>
    <w:rsid w:val="00583A9A"/>
    <w:rsid w:val="00583C4E"/>
    <w:rsid w:val="005864C2"/>
    <w:rsid w:val="0059016F"/>
    <w:rsid w:val="005910FE"/>
    <w:rsid w:val="00592C3A"/>
    <w:rsid w:val="005932C6"/>
    <w:rsid w:val="005A1E5A"/>
    <w:rsid w:val="005A2435"/>
    <w:rsid w:val="005B6635"/>
    <w:rsid w:val="005B7668"/>
    <w:rsid w:val="005C5355"/>
    <w:rsid w:val="005C72AA"/>
    <w:rsid w:val="005D2A9E"/>
    <w:rsid w:val="005D4E70"/>
    <w:rsid w:val="005E66D1"/>
    <w:rsid w:val="005F3A3D"/>
    <w:rsid w:val="00600403"/>
    <w:rsid w:val="00602020"/>
    <w:rsid w:val="00610203"/>
    <w:rsid w:val="006115B5"/>
    <w:rsid w:val="00612B5A"/>
    <w:rsid w:val="006230C8"/>
    <w:rsid w:val="0063205E"/>
    <w:rsid w:val="006330D2"/>
    <w:rsid w:val="00633D54"/>
    <w:rsid w:val="00640286"/>
    <w:rsid w:val="00640D99"/>
    <w:rsid w:val="006453DB"/>
    <w:rsid w:val="0065190A"/>
    <w:rsid w:val="00651B94"/>
    <w:rsid w:val="00656F91"/>
    <w:rsid w:val="0066401B"/>
    <w:rsid w:val="00664379"/>
    <w:rsid w:val="006649FD"/>
    <w:rsid w:val="00666FDF"/>
    <w:rsid w:val="00672D52"/>
    <w:rsid w:val="00673A37"/>
    <w:rsid w:val="00680B46"/>
    <w:rsid w:val="00681016"/>
    <w:rsid w:val="006862A0"/>
    <w:rsid w:val="006874BA"/>
    <w:rsid w:val="00687BE0"/>
    <w:rsid w:val="006921BC"/>
    <w:rsid w:val="006927B5"/>
    <w:rsid w:val="00693521"/>
    <w:rsid w:val="0069446A"/>
    <w:rsid w:val="006A12BD"/>
    <w:rsid w:val="006A51F0"/>
    <w:rsid w:val="006C3598"/>
    <w:rsid w:val="006C5360"/>
    <w:rsid w:val="006C73F8"/>
    <w:rsid w:val="006C78EC"/>
    <w:rsid w:val="006C7BF1"/>
    <w:rsid w:val="006D35B4"/>
    <w:rsid w:val="006E32B0"/>
    <w:rsid w:val="006E3BB1"/>
    <w:rsid w:val="006E7AC3"/>
    <w:rsid w:val="006F534E"/>
    <w:rsid w:val="006F599F"/>
    <w:rsid w:val="007019F4"/>
    <w:rsid w:val="00704EB2"/>
    <w:rsid w:val="007052A0"/>
    <w:rsid w:val="00707EE1"/>
    <w:rsid w:val="007115C4"/>
    <w:rsid w:val="00713E72"/>
    <w:rsid w:val="007150D0"/>
    <w:rsid w:val="00716445"/>
    <w:rsid w:val="0072453D"/>
    <w:rsid w:val="00726723"/>
    <w:rsid w:val="00726E85"/>
    <w:rsid w:val="007270F1"/>
    <w:rsid w:val="00727B60"/>
    <w:rsid w:val="007436DF"/>
    <w:rsid w:val="00745287"/>
    <w:rsid w:val="00752363"/>
    <w:rsid w:val="00757CF6"/>
    <w:rsid w:val="00757FF1"/>
    <w:rsid w:val="0076070C"/>
    <w:rsid w:val="0076170A"/>
    <w:rsid w:val="00762448"/>
    <w:rsid w:val="00764E34"/>
    <w:rsid w:val="00771DA9"/>
    <w:rsid w:val="00771F90"/>
    <w:rsid w:val="00772275"/>
    <w:rsid w:val="007727BD"/>
    <w:rsid w:val="00773C35"/>
    <w:rsid w:val="00774CA5"/>
    <w:rsid w:val="00776A32"/>
    <w:rsid w:val="007820B1"/>
    <w:rsid w:val="00782F24"/>
    <w:rsid w:val="007833EA"/>
    <w:rsid w:val="00794E69"/>
    <w:rsid w:val="007950AB"/>
    <w:rsid w:val="00795C8E"/>
    <w:rsid w:val="007A40EF"/>
    <w:rsid w:val="007A6DC4"/>
    <w:rsid w:val="007A70D4"/>
    <w:rsid w:val="007A7CC0"/>
    <w:rsid w:val="007B0F22"/>
    <w:rsid w:val="007B1167"/>
    <w:rsid w:val="007B1426"/>
    <w:rsid w:val="007B591F"/>
    <w:rsid w:val="007B5F19"/>
    <w:rsid w:val="007B6768"/>
    <w:rsid w:val="007B6D97"/>
    <w:rsid w:val="007C0494"/>
    <w:rsid w:val="007C329B"/>
    <w:rsid w:val="007C7D82"/>
    <w:rsid w:val="007D14A7"/>
    <w:rsid w:val="007D1C93"/>
    <w:rsid w:val="007D5028"/>
    <w:rsid w:val="007D706A"/>
    <w:rsid w:val="007E36E4"/>
    <w:rsid w:val="007E5A91"/>
    <w:rsid w:val="007F79D2"/>
    <w:rsid w:val="00800D80"/>
    <w:rsid w:val="00806054"/>
    <w:rsid w:val="008113D1"/>
    <w:rsid w:val="0081381B"/>
    <w:rsid w:val="00816C27"/>
    <w:rsid w:val="00820DF0"/>
    <w:rsid w:val="0082137A"/>
    <w:rsid w:val="0082303B"/>
    <w:rsid w:val="00831A2A"/>
    <w:rsid w:val="00832BCD"/>
    <w:rsid w:val="00832EE0"/>
    <w:rsid w:val="00837652"/>
    <w:rsid w:val="00840BED"/>
    <w:rsid w:val="008429CE"/>
    <w:rsid w:val="008433CB"/>
    <w:rsid w:val="008516D0"/>
    <w:rsid w:val="008556C9"/>
    <w:rsid w:val="0086027C"/>
    <w:rsid w:val="00870FDA"/>
    <w:rsid w:val="0087599B"/>
    <w:rsid w:val="00875F11"/>
    <w:rsid w:val="008772B4"/>
    <w:rsid w:val="00877D25"/>
    <w:rsid w:val="00880B7E"/>
    <w:rsid w:val="008857F0"/>
    <w:rsid w:val="0088653B"/>
    <w:rsid w:val="0089076C"/>
    <w:rsid w:val="00890841"/>
    <w:rsid w:val="00893D99"/>
    <w:rsid w:val="008942ED"/>
    <w:rsid w:val="00897387"/>
    <w:rsid w:val="00897B1C"/>
    <w:rsid w:val="008A2993"/>
    <w:rsid w:val="008A324C"/>
    <w:rsid w:val="008A51EB"/>
    <w:rsid w:val="008A7B63"/>
    <w:rsid w:val="008B4F14"/>
    <w:rsid w:val="008C275F"/>
    <w:rsid w:val="008C66E9"/>
    <w:rsid w:val="008D0760"/>
    <w:rsid w:val="008E18B1"/>
    <w:rsid w:val="008E3008"/>
    <w:rsid w:val="008E3D1C"/>
    <w:rsid w:val="008E53E1"/>
    <w:rsid w:val="008E62E1"/>
    <w:rsid w:val="008E720E"/>
    <w:rsid w:val="008F24D4"/>
    <w:rsid w:val="008F2B8A"/>
    <w:rsid w:val="008F3447"/>
    <w:rsid w:val="008F3716"/>
    <w:rsid w:val="008F5E1C"/>
    <w:rsid w:val="008F7B61"/>
    <w:rsid w:val="00902752"/>
    <w:rsid w:val="0090322D"/>
    <w:rsid w:val="00903931"/>
    <w:rsid w:val="00904EDA"/>
    <w:rsid w:val="0091406D"/>
    <w:rsid w:val="0091417D"/>
    <w:rsid w:val="0091500A"/>
    <w:rsid w:val="00923EA2"/>
    <w:rsid w:val="0093016D"/>
    <w:rsid w:val="009304E1"/>
    <w:rsid w:val="009312E0"/>
    <w:rsid w:val="009349F1"/>
    <w:rsid w:val="0093502E"/>
    <w:rsid w:val="00940711"/>
    <w:rsid w:val="00941CC9"/>
    <w:rsid w:val="00952B3B"/>
    <w:rsid w:val="009545DA"/>
    <w:rsid w:val="009557A3"/>
    <w:rsid w:val="0097563B"/>
    <w:rsid w:val="009774E2"/>
    <w:rsid w:val="00981F7C"/>
    <w:rsid w:val="00982F24"/>
    <w:rsid w:val="00983141"/>
    <w:rsid w:val="0098444F"/>
    <w:rsid w:val="00985DC5"/>
    <w:rsid w:val="009861C1"/>
    <w:rsid w:val="00990AF0"/>
    <w:rsid w:val="00991250"/>
    <w:rsid w:val="00991BB5"/>
    <w:rsid w:val="00994C0C"/>
    <w:rsid w:val="009A31A7"/>
    <w:rsid w:val="009A5193"/>
    <w:rsid w:val="009A5786"/>
    <w:rsid w:val="009A6F99"/>
    <w:rsid w:val="009B6E29"/>
    <w:rsid w:val="009C3B4F"/>
    <w:rsid w:val="009C67C4"/>
    <w:rsid w:val="009D247E"/>
    <w:rsid w:val="009D5E63"/>
    <w:rsid w:val="009E053E"/>
    <w:rsid w:val="009E0710"/>
    <w:rsid w:val="009E395B"/>
    <w:rsid w:val="009F1903"/>
    <w:rsid w:val="009F2C82"/>
    <w:rsid w:val="00A00C9C"/>
    <w:rsid w:val="00A043B2"/>
    <w:rsid w:val="00A11D2F"/>
    <w:rsid w:val="00A138FA"/>
    <w:rsid w:val="00A16FF4"/>
    <w:rsid w:val="00A21E80"/>
    <w:rsid w:val="00A26F4C"/>
    <w:rsid w:val="00A2C7B2"/>
    <w:rsid w:val="00A3151E"/>
    <w:rsid w:val="00A3378A"/>
    <w:rsid w:val="00A33C7F"/>
    <w:rsid w:val="00A4082F"/>
    <w:rsid w:val="00A42001"/>
    <w:rsid w:val="00A425B2"/>
    <w:rsid w:val="00A452FE"/>
    <w:rsid w:val="00A45810"/>
    <w:rsid w:val="00A46D52"/>
    <w:rsid w:val="00A53AF5"/>
    <w:rsid w:val="00A56B92"/>
    <w:rsid w:val="00A62C33"/>
    <w:rsid w:val="00A808B5"/>
    <w:rsid w:val="00A83EEA"/>
    <w:rsid w:val="00A85CDB"/>
    <w:rsid w:val="00A93655"/>
    <w:rsid w:val="00AA0C95"/>
    <w:rsid w:val="00AA1254"/>
    <w:rsid w:val="00AA2BF6"/>
    <w:rsid w:val="00AA2E8C"/>
    <w:rsid w:val="00AA5065"/>
    <w:rsid w:val="00AA6444"/>
    <w:rsid w:val="00AA7AAE"/>
    <w:rsid w:val="00AB2BFA"/>
    <w:rsid w:val="00AC0F97"/>
    <w:rsid w:val="00AC2CD2"/>
    <w:rsid w:val="00AC4EA3"/>
    <w:rsid w:val="00AC50E3"/>
    <w:rsid w:val="00AC65AB"/>
    <w:rsid w:val="00AC7A90"/>
    <w:rsid w:val="00AD0824"/>
    <w:rsid w:val="00AD4A50"/>
    <w:rsid w:val="00AD4AC7"/>
    <w:rsid w:val="00AE0346"/>
    <w:rsid w:val="00AE38C5"/>
    <w:rsid w:val="00AF0A13"/>
    <w:rsid w:val="00B0150A"/>
    <w:rsid w:val="00B14F31"/>
    <w:rsid w:val="00B22E5B"/>
    <w:rsid w:val="00B252D4"/>
    <w:rsid w:val="00B2549A"/>
    <w:rsid w:val="00B258A3"/>
    <w:rsid w:val="00B26AA0"/>
    <w:rsid w:val="00B340A9"/>
    <w:rsid w:val="00B41C0D"/>
    <w:rsid w:val="00B45C08"/>
    <w:rsid w:val="00B46194"/>
    <w:rsid w:val="00B5073A"/>
    <w:rsid w:val="00B51E03"/>
    <w:rsid w:val="00B56777"/>
    <w:rsid w:val="00B60DF7"/>
    <w:rsid w:val="00B6318C"/>
    <w:rsid w:val="00B657FD"/>
    <w:rsid w:val="00B67879"/>
    <w:rsid w:val="00B70DF7"/>
    <w:rsid w:val="00B800E2"/>
    <w:rsid w:val="00B90DF9"/>
    <w:rsid w:val="00BA09A0"/>
    <w:rsid w:val="00BA0F0B"/>
    <w:rsid w:val="00BA478F"/>
    <w:rsid w:val="00BB0D9E"/>
    <w:rsid w:val="00BB213A"/>
    <w:rsid w:val="00BB3960"/>
    <w:rsid w:val="00BB57A0"/>
    <w:rsid w:val="00BB70CD"/>
    <w:rsid w:val="00BB7A93"/>
    <w:rsid w:val="00BC55E9"/>
    <w:rsid w:val="00BD0031"/>
    <w:rsid w:val="00BD46F6"/>
    <w:rsid w:val="00BD77DF"/>
    <w:rsid w:val="00BD7A81"/>
    <w:rsid w:val="00BE1DA9"/>
    <w:rsid w:val="00BE1EAE"/>
    <w:rsid w:val="00BE60F1"/>
    <w:rsid w:val="00BF4749"/>
    <w:rsid w:val="00BF7DCC"/>
    <w:rsid w:val="00C01024"/>
    <w:rsid w:val="00C0533C"/>
    <w:rsid w:val="00C075FD"/>
    <w:rsid w:val="00C15790"/>
    <w:rsid w:val="00C160EB"/>
    <w:rsid w:val="00C254E1"/>
    <w:rsid w:val="00C42596"/>
    <w:rsid w:val="00C44ADA"/>
    <w:rsid w:val="00C4514F"/>
    <w:rsid w:val="00C475F9"/>
    <w:rsid w:val="00C500D9"/>
    <w:rsid w:val="00C6374A"/>
    <w:rsid w:val="00C73C88"/>
    <w:rsid w:val="00C745CC"/>
    <w:rsid w:val="00C75030"/>
    <w:rsid w:val="00C761BB"/>
    <w:rsid w:val="00C7624B"/>
    <w:rsid w:val="00C7666E"/>
    <w:rsid w:val="00C7746F"/>
    <w:rsid w:val="00C85647"/>
    <w:rsid w:val="00C91C56"/>
    <w:rsid w:val="00CA1065"/>
    <w:rsid w:val="00CA18BD"/>
    <w:rsid w:val="00CB14EE"/>
    <w:rsid w:val="00CB48E9"/>
    <w:rsid w:val="00CB5624"/>
    <w:rsid w:val="00CB612E"/>
    <w:rsid w:val="00CC1671"/>
    <w:rsid w:val="00CC6043"/>
    <w:rsid w:val="00CD071A"/>
    <w:rsid w:val="00CD0975"/>
    <w:rsid w:val="00CD5E60"/>
    <w:rsid w:val="00CE2E6F"/>
    <w:rsid w:val="00CE4900"/>
    <w:rsid w:val="00CE6B6E"/>
    <w:rsid w:val="00CE71CB"/>
    <w:rsid w:val="00CF3F87"/>
    <w:rsid w:val="00CF5687"/>
    <w:rsid w:val="00CF6498"/>
    <w:rsid w:val="00CF7911"/>
    <w:rsid w:val="00D017A1"/>
    <w:rsid w:val="00D10A0A"/>
    <w:rsid w:val="00D131D3"/>
    <w:rsid w:val="00D14C1E"/>
    <w:rsid w:val="00D2218F"/>
    <w:rsid w:val="00D24066"/>
    <w:rsid w:val="00D42D6C"/>
    <w:rsid w:val="00D43288"/>
    <w:rsid w:val="00D4431D"/>
    <w:rsid w:val="00D452DB"/>
    <w:rsid w:val="00D5607D"/>
    <w:rsid w:val="00D622C5"/>
    <w:rsid w:val="00D64D8A"/>
    <w:rsid w:val="00D66A7F"/>
    <w:rsid w:val="00D67FF0"/>
    <w:rsid w:val="00D70E3E"/>
    <w:rsid w:val="00D7160B"/>
    <w:rsid w:val="00D719B6"/>
    <w:rsid w:val="00D748F4"/>
    <w:rsid w:val="00D76A40"/>
    <w:rsid w:val="00D76E96"/>
    <w:rsid w:val="00D84A95"/>
    <w:rsid w:val="00D855F7"/>
    <w:rsid w:val="00D856A2"/>
    <w:rsid w:val="00D85CDD"/>
    <w:rsid w:val="00D86CF0"/>
    <w:rsid w:val="00D9208D"/>
    <w:rsid w:val="00D92DE9"/>
    <w:rsid w:val="00D95C3F"/>
    <w:rsid w:val="00DA7B53"/>
    <w:rsid w:val="00DB7137"/>
    <w:rsid w:val="00DC18D3"/>
    <w:rsid w:val="00DC54FB"/>
    <w:rsid w:val="00DD19BF"/>
    <w:rsid w:val="00DD2009"/>
    <w:rsid w:val="00DD572D"/>
    <w:rsid w:val="00DD6383"/>
    <w:rsid w:val="00DD6428"/>
    <w:rsid w:val="00DE2078"/>
    <w:rsid w:val="00DE2305"/>
    <w:rsid w:val="00DE4E82"/>
    <w:rsid w:val="00DE528E"/>
    <w:rsid w:val="00DF016F"/>
    <w:rsid w:val="00DF5C9E"/>
    <w:rsid w:val="00DF6503"/>
    <w:rsid w:val="00DF7E85"/>
    <w:rsid w:val="00E05FFA"/>
    <w:rsid w:val="00E06225"/>
    <w:rsid w:val="00E11500"/>
    <w:rsid w:val="00E12765"/>
    <w:rsid w:val="00E22552"/>
    <w:rsid w:val="00E225A9"/>
    <w:rsid w:val="00E22C50"/>
    <w:rsid w:val="00E27D32"/>
    <w:rsid w:val="00E335AB"/>
    <w:rsid w:val="00E5329F"/>
    <w:rsid w:val="00E5398B"/>
    <w:rsid w:val="00E750BA"/>
    <w:rsid w:val="00E760B7"/>
    <w:rsid w:val="00E81FDF"/>
    <w:rsid w:val="00E83DEE"/>
    <w:rsid w:val="00E85854"/>
    <w:rsid w:val="00E970B2"/>
    <w:rsid w:val="00E972D1"/>
    <w:rsid w:val="00E97C9A"/>
    <w:rsid w:val="00EA3D26"/>
    <w:rsid w:val="00EA65E4"/>
    <w:rsid w:val="00EB2625"/>
    <w:rsid w:val="00EB4AE0"/>
    <w:rsid w:val="00EB55E3"/>
    <w:rsid w:val="00EB7BD8"/>
    <w:rsid w:val="00EC7017"/>
    <w:rsid w:val="00EE18D7"/>
    <w:rsid w:val="00EE240A"/>
    <w:rsid w:val="00EF0411"/>
    <w:rsid w:val="00EF0816"/>
    <w:rsid w:val="00EF1178"/>
    <w:rsid w:val="00EF772A"/>
    <w:rsid w:val="00F054D6"/>
    <w:rsid w:val="00F10195"/>
    <w:rsid w:val="00F103FD"/>
    <w:rsid w:val="00F10727"/>
    <w:rsid w:val="00F1091E"/>
    <w:rsid w:val="00F125F7"/>
    <w:rsid w:val="00F12B24"/>
    <w:rsid w:val="00F176CB"/>
    <w:rsid w:val="00F22EB3"/>
    <w:rsid w:val="00F3182B"/>
    <w:rsid w:val="00F33ABF"/>
    <w:rsid w:val="00F34AA7"/>
    <w:rsid w:val="00F37E8E"/>
    <w:rsid w:val="00F4011A"/>
    <w:rsid w:val="00F4171A"/>
    <w:rsid w:val="00F41EF4"/>
    <w:rsid w:val="00F47AD1"/>
    <w:rsid w:val="00F549E9"/>
    <w:rsid w:val="00F614EC"/>
    <w:rsid w:val="00F64F09"/>
    <w:rsid w:val="00F7269F"/>
    <w:rsid w:val="00F77752"/>
    <w:rsid w:val="00F814BB"/>
    <w:rsid w:val="00F81745"/>
    <w:rsid w:val="00F8281F"/>
    <w:rsid w:val="00F85227"/>
    <w:rsid w:val="00F852DE"/>
    <w:rsid w:val="00F859FA"/>
    <w:rsid w:val="00F87A1E"/>
    <w:rsid w:val="00F93700"/>
    <w:rsid w:val="00F94608"/>
    <w:rsid w:val="00FA1D8F"/>
    <w:rsid w:val="00FA34F0"/>
    <w:rsid w:val="00FA5625"/>
    <w:rsid w:val="00FA5855"/>
    <w:rsid w:val="00FA7A52"/>
    <w:rsid w:val="00FB1B96"/>
    <w:rsid w:val="00FB31B7"/>
    <w:rsid w:val="00FB44DC"/>
    <w:rsid w:val="00FB5BB4"/>
    <w:rsid w:val="00FC089C"/>
    <w:rsid w:val="00FC304E"/>
    <w:rsid w:val="00FC4A0F"/>
    <w:rsid w:val="00FC5711"/>
    <w:rsid w:val="00FC5F04"/>
    <w:rsid w:val="00FC63BB"/>
    <w:rsid w:val="00FC7108"/>
    <w:rsid w:val="00FC7328"/>
    <w:rsid w:val="00FD279A"/>
    <w:rsid w:val="00FE221E"/>
    <w:rsid w:val="00FE2928"/>
    <w:rsid w:val="00FE42E9"/>
    <w:rsid w:val="00FE5FBA"/>
    <w:rsid w:val="00FE6657"/>
    <w:rsid w:val="00FF5280"/>
    <w:rsid w:val="02234B57"/>
    <w:rsid w:val="025AC193"/>
    <w:rsid w:val="0330EBE2"/>
    <w:rsid w:val="0332C640"/>
    <w:rsid w:val="036A9CB7"/>
    <w:rsid w:val="03823D0B"/>
    <w:rsid w:val="03BE8ECA"/>
    <w:rsid w:val="044EB72E"/>
    <w:rsid w:val="04C19881"/>
    <w:rsid w:val="04C60B45"/>
    <w:rsid w:val="05DB844E"/>
    <w:rsid w:val="060E3A5C"/>
    <w:rsid w:val="06443DF0"/>
    <w:rsid w:val="06D219BE"/>
    <w:rsid w:val="06D9E34F"/>
    <w:rsid w:val="07B6B6C9"/>
    <w:rsid w:val="07DB4BC9"/>
    <w:rsid w:val="07DDAFF9"/>
    <w:rsid w:val="07E010E6"/>
    <w:rsid w:val="08964DBC"/>
    <w:rsid w:val="08EF11E0"/>
    <w:rsid w:val="09805206"/>
    <w:rsid w:val="09AF7786"/>
    <w:rsid w:val="09DAE74D"/>
    <w:rsid w:val="0A8D71F7"/>
    <w:rsid w:val="0AA604F8"/>
    <w:rsid w:val="0AD724E4"/>
    <w:rsid w:val="0C665F06"/>
    <w:rsid w:val="0CCAB4B1"/>
    <w:rsid w:val="0CCCE895"/>
    <w:rsid w:val="0D040604"/>
    <w:rsid w:val="0D12880F"/>
    <w:rsid w:val="0D4F1437"/>
    <w:rsid w:val="0E2A451D"/>
    <w:rsid w:val="0E56C2D6"/>
    <w:rsid w:val="0E882BA9"/>
    <w:rsid w:val="0F0B237D"/>
    <w:rsid w:val="0F89D37A"/>
    <w:rsid w:val="0F8B7A58"/>
    <w:rsid w:val="0FC04B4E"/>
    <w:rsid w:val="0FF9D0FF"/>
    <w:rsid w:val="0FFAB3F9"/>
    <w:rsid w:val="10278607"/>
    <w:rsid w:val="102CD00A"/>
    <w:rsid w:val="10847663"/>
    <w:rsid w:val="1104FF2D"/>
    <w:rsid w:val="1107875C"/>
    <w:rsid w:val="1125A3DB"/>
    <w:rsid w:val="11C1DBD9"/>
    <w:rsid w:val="11CF45E2"/>
    <w:rsid w:val="12007BDA"/>
    <w:rsid w:val="120AEB3B"/>
    <w:rsid w:val="1275F102"/>
    <w:rsid w:val="12A0CF8E"/>
    <w:rsid w:val="12E2D4D5"/>
    <w:rsid w:val="13E13D3B"/>
    <w:rsid w:val="14086122"/>
    <w:rsid w:val="140ED5DF"/>
    <w:rsid w:val="147EA536"/>
    <w:rsid w:val="149F2484"/>
    <w:rsid w:val="1558F015"/>
    <w:rsid w:val="155F4A17"/>
    <w:rsid w:val="16A66725"/>
    <w:rsid w:val="1732558D"/>
    <w:rsid w:val="17344C84"/>
    <w:rsid w:val="18EC0D4D"/>
    <w:rsid w:val="18F9B48B"/>
    <w:rsid w:val="19129941"/>
    <w:rsid w:val="19178D63"/>
    <w:rsid w:val="19669B66"/>
    <w:rsid w:val="19B7A3AE"/>
    <w:rsid w:val="1A1B45A6"/>
    <w:rsid w:val="1A325825"/>
    <w:rsid w:val="1B6FA06A"/>
    <w:rsid w:val="1B8CDB78"/>
    <w:rsid w:val="1C6B3145"/>
    <w:rsid w:val="1CD8943E"/>
    <w:rsid w:val="1D7AE64C"/>
    <w:rsid w:val="1D7D7A0E"/>
    <w:rsid w:val="1D8CF02E"/>
    <w:rsid w:val="1DA31A6D"/>
    <w:rsid w:val="1ED506A8"/>
    <w:rsid w:val="1F00B98A"/>
    <w:rsid w:val="21130B00"/>
    <w:rsid w:val="21A71A26"/>
    <w:rsid w:val="21E61D09"/>
    <w:rsid w:val="22173BAE"/>
    <w:rsid w:val="22BAF880"/>
    <w:rsid w:val="233675B7"/>
    <w:rsid w:val="239158D8"/>
    <w:rsid w:val="23DBCB61"/>
    <w:rsid w:val="24623622"/>
    <w:rsid w:val="2504ABEF"/>
    <w:rsid w:val="254966D8"/>
    <w:rsid w:val="2568D056"/>
    <w:rsid w:val="25C1F5A1"/>
    <w:rsid w:val="25ED038A"/>
    <w:rsid w:val="2609C117"/>
    <w:rsid w:val="26A5B150"/>
    <w:rsid w:val="27C03F49"/>
    <w:rsid w:val="2832CFBA"/>
    <w:rsid w:val="287F5B9C"/>
    <w:rsid w:val="2887DD55"/>
    <w:rsid w:val="28DB8640"/>
    <w:rsid w:val="291A5E86"/>
    <w:rsid w:val="2A2C2924"/>
    <w:rsid w:val="2A5DDD16"/>
    <w:rsid w:val="2AD2BE1C"/>
    <w:rsid w:val="2B378CE6"/>
    <w:rsid w:val="2C3FE61B"/>
    <w:rsid w:val="2C579B66"/>
    <w:rsid w:val="2C8ECC72"/>
    <w:rsid w:val="2CAE7528"/>
    <w:rsid w:val="2CE20D8B"/>
    <w:rsid w:val="2D20440A"/>
    <w:rsid w:val="2D4C873E"/>
    <w:rsid w:val="2E8F43CD"/>
    <w:rsid w:val="2E970026"/>
    <w:rsid w:val="2EE8579F"/>
    <w:rsid w:val="2F2069D5"/>
    <w:rsid w:val="30496C77"/>
    <w:rsid w:val="307FB836"/>
    <w:rsid w:val="3158F881"/>
    <w:rsid w:val="317D4965"/>
    <w:rsid w:val="3264F571"/>
    <w:rsid w:val="327878F3"/>
    <w:rsid w:val="32B643E3"/>
    <w:rsid w:val="32BAC4BF"/>
    <w:rsid w:val="334E72CD"/>
    <w:rsid w:val="3436389D"/>
    <w:rsid w:val="34705E60"/>
    <w:rsid w:val="353DA561"/>
    <w:rsid w:val="3575AB41"/>
    <w:rsid w:val="357C6EB0"/>
    <w:rsid w:val="362E2651"/>
    <w:rsid w:val="364F94F4"/>
    <w:rsid w:val="366DCB6F"/>
    <w:rsid w:val="368A09DD"/>
    <w:rsid w:val="36B14D46"/>
    <w:rsid w:val="38704773"/>
    <w:rsid w:val="38CCEA78"/>
    <w:rsid w:val="390A78C8"/>
    <w:rsid w:val="394683F3"/>
    <w:rsid w:val="39640A66"/>
    <w:rsid w:val="3992B0BD"/>
    <w:rsid w:val="39BBC1C1"/>
    <w:rsid w:val="39C9AE06"/>
    <w:rsid w:val="39E3F9F8"/>
    <w:rsid w:val="3A485524"/>
    <w:rsid w:val="3A59F300"/>
    <w:rsid w:val="3A9F1B99"/>
    <w:rsid w:val="3ACA3C8E"/>
    <w:rsid w:val="3B34C1A9"/>
    <w:rsid w:val="3BAB3A10"/>
    <w:rsid w:val="3C050059"/>
    <w:rsid w:val="3C06F613"/>
    <w:rsid w:val="3C68C851"/>
    <w:rsid w:val="3CA21495"/>
    <w:rsid w:val="3D1E8E0F"/>
    <w:rsid w:val="3D2701D9"/>
    <w:rsid w:val="3D4E732F"/>
    <w:rsid w:val="3E1DB9DA"/>
    <w:rsid w:val="3E377B89"/>
    <w:rsid w:val="3E5FC1EC"/>
    <w:rsid w:val="3F00C3F2"/>
    <w:rsid w:val="3F037BD6"/>
    <w:rsid w:val="3F142402"/>
    <w:rsid w:val="3F33D902"/>
    <w:rsid w:val="3F35A246"/>
    <w:rsid w:val="3F76836E"/>
    <w:rsid w:val="4005952E"/>
    <w:rsid w:val="403C5982"/>
    <w:rsid w:val="4109E00D"/>
    <w:rsid w:val="424ED261"/>
    <w:rsid w:val="4269642C"/>
    <w:rsid w:val="42854088"/>
    <w:rsid w:val="43AAF049"/>
    <w:rsid w:val="44715539"/>
    <w:rsid w:val="44AA1FFC"/>
    <w:rsid w:val="45433CCE"/>
    <w:rsid w:val="456F1063"/>
    <w:rsid w:val="4582C645"/>
    <w:rsid w:val="46A1F0DA"/>
    <w:rsid w:val="46F65643"/>
    <w:rsid w:val="4773F142"/>
    <w:rsid w:val="47D29909"/>
    <w:rsid w:val="47DFB81A"/>
    <w:rsid w:val="47F77EB6"/>
    <w:rsid w:val="481A0ED6"/>
    <w:rsid w:val="481A85A2"/>
    <w:rsid w:val="48BD2E04"/>
    <w:rsid w:val="48E9703F"/>
    <w:rsid w:val="496E696A"/>
    <w:rsid w:val="4A09E97A"/>
    <w:rsid w:val="4A2FF339"/>
    <w:rsid w:val="4A91CFAA"/>
    <w:rsid w:val="4AEE7323"/>
    <w:rsid w:val="4AFAFEB9"/>
    <w:rsid w:val="4B72916D"/>
    <w:rsid w:val="4BC4D69B"/>
    <w:rsid w:val="4BF630BD"/>
    <w:rsid w:val="4C9BE594"/>
    <w:rsid w:val="4CFB4AF0"/>
    <w:rsid w:val="4D289E65"/>
    <w:rsid w:val="4D4EC894"/>
    <w:rsid w:val="4E31C3D0"/>
    <w:rsid w:val="4E3C647C"/>
    <w:rsid w:val="4EAAE2E7"/>
    <w:rsid w:val="4ECFF650"/>
    <w:rsid w:val="4F359D80"/>
    <w:rsid w:val="4F73C63E"/>
    <w:rsid w:val="4FF039B3"/>
    <w:rsid w:val="507AD077"/>
    <w:rsid w:val="50CE92AE"/>
    <w:rsid w:val="522478F2"/>
    <w:rsid w:val="523D7557"/>
    <w:rsid w:val="5307E819"/>
    <w:rsid w:val="53A7C8C8"/>
    <w:rsid w:val="54F5F2ED"/>
    <w:rsid w:val="55E5D595"/>
    <w:rsid w:val="5671C5D0"/>
    <w:rsid w:val="5673C600"/>
    <w:rsid w:val="56ABA965"/>
    <w:rsid w:val="56BFBE2C"/>
    <w:rsid w:val="57659512"/>
    <w:rsid w:val="5791DEE4"/>
    <w:rsid w:val="57E2E1AA"/>
    <w:rsid w:val="57E46C53"/>
    <w:rsid w:val="582D93AF"/>
    <w:rsid w:val="58342E97"/>
    <w:rsid w:val="59669A45"/>
    <w:rsid w:val="5989AB6B"/>
    <w:rsid w:val="5A0D553D"/>
    <w:rsid w:val="5A6AEC90"/>
    <w:rsid w:val="5AA53A22"/>
    <w:rsid w:val="5C4D1ABF"/>
    <w:rsid w:val="5D3582B1"/>
    <w:rsid w:val="5DED131C"/>
    <w:rsid w:val="5DFBF031"/>
    <w:rsid w:val="5E44063B"/>
    <w:rsid w:val="5E717AB8"/>
    <w:rsid w:val="5EFD967B"/>
    <w:rsid w:val="5F447554"/>
    <w:rsid w:val="6028A639"/>
    <w:rsid w:val="605354BA"/>
    <w:rsid w:val="6092CA6D"/>
    <w:rsid w:val="60D607C8"/>
    <w:rsid w:val="60FB5349"/>
    <w:rsid w:val="61483791"/>
    <w:rsid w:val="6163A248"/>
    <w:rsid w:val="61A4ABB0"/>
    <w:rsid w:val="61BC724C"/>
    <w:rsid w:val="62D1EB53"/>
    <w:rsid w:val="63286C79"/>
    <w:rsid w:val="6359B1BB"/>
    <w:rsid w:val="63CD7AD5"/>
    <w:rsid w:val="643A39FC"/>
    <w:rsid w:val="643C018F"/>
    <w:rsid w:val="64B60504"/>
    <w:rsid w:val="64C793DF"/>
    <w:rsid w:val="6531918A"/>
    <w:rsid w:val="654FDEB6"/>
    <w:rsid w:val="6558F9C5"/>
    <w:rsid w:val="655D4924"/>
    <w:rsid w:val="65625CD6"/>
    <w:rsid w:val="65F8DA15"/>
    <w:rsid w:val="663053AC"/>
    <w:rsid w:val="676EE50D"/>
    <w:rsid w:val="677DFD47"/>
    <w:rsid w:val="69542678"/>
    <w:rsid w:val="695C0F6C"/>
    <w:rsid w:val="69FC7B3F"/>
    <w:rsid w:val="6B17E2F1"/>
    <w:rsid w:val="6C0BA5E4"/>
    <w:rsid w:val="6D04DEE8"/>
    <w:rsid w:val="6D4F32AC"/>
    <w:rsid w:val="6E9BD774"/>
    <w:rsid w:val="6ECDBDC2"/>
    <w:rsid w:val="6FFC23C9"/>
    <w:rsid w:val="708DDEAC"/>
    <w:rsid w:val="70AB5A6B"/>
    <w:rsid w:val="70FD8734"/>
    <w:rsid w:val="713554C7"/>
    <w:rsid w:val="719A4807"/>
    <w:rsid w:val="71A96EFA"/>
    <w:rsid w:val="71E954DA"/>
    <w:rsid w:val="7222A3CF"/>
    <w:rsid w:val="7254C1B8"/>
    <w:rsid w:val="73154391"/>
    <w:rsid w:val="737F77A0"/>
    <w:rsid w:val="73EF6D6C"/>
    <w:rsid w:val="7470265A"/>
    <w:rsid w:val="749B0E85"/>
    <w:rsid w:val="74A6BAD5"/>
    <w:rsid w:val="7550509E"/>
    <w:rsid w:val="755310CA"/>
    <w:rsid w:val="766DC32D"/>
    <w:rsid w:val="768F30A3"/>
    <w:rsid w:val="76D98C88"/>
    <w:rsid w:val="76F420F9"/>
    <w:rsid w:val="78A590C8"/>
    <w:rsid w:val="78CBBFF3"/>
    <w:rsid w:val="79DB9317"/>
    <w:rsid w:val="7B1BC2D2"/>
    <w:rsid w:val="7BB1EDB1"/>
    <w:rsid w:val="7C21C9AE"/>
    <w:rsid w:val="7C7D7BC6"/>
    <w:rsid w:val="7D49DC6B"/>
    <w:rsid w:val="7DBD9A0F"/>
    <w:rsid w:val="7DFB765A"/>
    <w:rsid w:val="7E3337C8"/>
    <w:rsid w:val="7EB50233"/>
    <w:rsid w:val="7F974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7A2560"/>
  <w15:docId w15:val="{95A51DAB-E178-4769-AC8F-8B7BCE8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3655"/>
    <w:pPr>
      <w:widowControl/>
      <w:spacing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4F42CB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407C1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831A2A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qFormat/>
    <w:rsid w:val="00FE2928"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FE2928"/>
    <w:rPr>
      <w:rFonts w:ascii="Times New Roman" w:eastAsia="Times New Roman" w:hAnsi="Times New Roman" w:cs="Times New Roman"/>
      <w:color w:val="auto"/>
      <w:lang w:val="en-US"/>
    </w:rPr>
  </w:style>
  <w:style w:type="table" w:styleId="TableGrid">
    <w:name w:val="Table Grid"/>
    <w:basedOn w:val="TableNormal"/>
    <w:uiPriority w:val="39"/>
    <w:rsid w:val="007B67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3A3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styleId="Strong">
    <w:name w:val="Strong"/>
    <w:basedOn w:val="DefaultParagraphFont"/>
    <w:uiPriority w:val="22"/>
    <w:qFormat/>
    <w:rsid w:val="005F3A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C48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848"/>
  </w:style>
  <w:style w:type="paragraph" w:styleId="Footer">
    <w:name w:val="footer"/>
    <w:basedOn w:val="Normal"/>
    <w:link w:val="FooterChar"/>
    <w:uiPriority w:val="99"/>
    <w:unhideWhenUsed/>
    <w:rsid w:val="002C48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ontent.govdelivery.com/accounts/USHHSHRSA/bulletins/357b33e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rin.Grace@ahrq.hhs.gov" TargetMode="External" /><Relationship Id="rId9" Type="http://schemas.openxmlformats.org/officeDocument/2006/relationships/hyperlink" Target="mailto:angelica.johnson@nih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06B4CB1C18F42985B9BF8E573EF21" ma:contentTypeVersion="12" ma:contentTypeDescription="Create a new document." ma:contentTypeScope="" ma:versionID="5f06441fd8bd993ca206d3f80435b628">
  <xsd:schema xmlns:xsd="http://www.w3.org/2001/XMLSchema" xmlns:xs="http://www.w3.org/2001/XMLSchema" xmlns:p="http://schemas.microsoft.com/office/2006/metadata/properties" xmlns:ns2="9e464d94-cd16-4789-9525-f4423cc49d6e" xmlns:ns3="0ff5acf0-fef5-41f7-9208-ce8115fcb8c5" targetNamespace="http://schemas.microsoft.com/office/2006/metadata/properties" ma:root="true" ma:fieldsID="3411fb653549647be83a2e7fa83ad2ec" ns2:_="" ns3:_="">
    <xsd:import namespace="9e464d94-cd16-4789-9525-f4423cc49d6e"/>
    <xsd:import namespace="0ff5acf0-fef5-41f7-9208-ce8115fc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64d94-cd16-4789-9525-f4423cc49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5acf0-fef5-41f7-9208-ce8115fcb8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54e34e-4745-4a79-9200-ac3c3894c956}" ma:internalName="TaxCatchAll" ma:showField="CatchAllData" ma:web="0ff5acf0-fef5-41f7-9208-ce8115fc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5acf0-fef5-41f7-9208-ce8115fcb8c5" xsi:nil="true"/>
    <lcf76f155ced4ddcb4097134ff3c332f xmlns="9e464d94-cd16-4789-9525-f4423cc49d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8F21D-E9B7-4842-8392-17B557B803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C9173-CA7C-45DE-9394-4FA585F6E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64d94-cd16-4789-9525-f4423cc49d6e"/>
    <ds:schemaRef ds:uri="0ff5acf0-fef5-41f7-9208-ce8115fc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44A6A4-E8E1-405E-8A82-36B6B6B27352}">
  <ds:schemaRefs>
    <ds:schemaRef ds:uri="http://schemas.microsoft.com/office/2006/metadata/properties"/>
    <ds:schemaRef ds:uri="http://schemas.microsoft.com/office/infopath/2007/PartnerControls"/>
    <ds:schemaRef ds:uri="0ff5acf0-fef5-41f7-9208-ce8115fcb8c5"/>
    <ds:schemaRef ds:uri="9e464d94-cd16-4789-9525-f4423cc49d6e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PRA Usability Testing Memo</vt:lpstr>
    </vt:vector>
  </TitlesOfParts>
  <Company>HRSA</Company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Moore, Tierra (HRSA)</cp:lastModifiedBy>
  <cp:revision>4</cp:revision>
  <dcterms:created xsi:type="dcterms:W3CDTF">2023-06-07T16:41:00Z</dcterms:created>
  <dcterms:modified xsi:type="dcterms:W3CDTF">2023-06-07T16:49:00Z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0x01010060306B4CB1C18F42985B9BF8E573EF21</vt:lpwstr>
  </property>
  <property fmtid="{D5CDD505-2E9C-101B-9397-08002B2CF9AE}" pid="3" name="MediaServiceImageTags">
    <vt:lpwstr/>
  </property>
  <property fmtid="{D5CDD505-2E9C-101B-9397-08002B2CF9AE}" pid="4" name="_dlc_DocIdItemGuid">
    <vt:lpwstr>d4d1d4ba-0c7c-49e8-bc72-3917c91a4eae</vt:lpwstr>
  </property>
</Properties>
</file>