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2B2BE7" w:rsidRDefault="001039EB" w14:paraId="1E8B59E9" w14:textId="2496B649">
      <w:pPr>
        <w:jc w:val="center"/>
        <w:rPr>
          <w:b/>
        </w:rPr>
      </w:pPr>
      <w:r>
        <w:rPr>
          <w:b/>
        </w:rPr>
        <w:t xml:space="preserve">Non-Substantive </w:t>
      </w:r>
      <w:r w:rsidR="002B2BE7">
        <w:rPr>
          <w:b/>
        </w:rPr>
        <w:t xml:space="preserve">Change </w:t>
      </w:r>
      <w:r>
        <w:rPr>
          <w:b/>
        </w:rPr>
        <w:t xml:space="preserve">Request </w:t>
      </w:r>
      <w:r w:rsidR="002B2BE7">
        <w:rPr>
          <w:b/>
        </w:rPr>
        <w:t>Memo</w:t>
      </w:r>
    </w:p>
    <w:p w:rsidR="0000298C" w:rsidP="002B2BE7" w:rsidRDefault="0000298C" w14:paraId="6A72B750" w14:textId="4DEF7ABD">
      <w:pPr>
        <w:jc w:val="center"/>
        <w:rPr>
          <w:b/>
        </w:rPr>
      </w:pPr>
    </w:p>
    <w:p w:rsidRPr="0000298C" w:rsidR="0000298C" w:rsidP="0000298C" w:rsidRDefault="0000298C" w14:paraId="2DCF5639" w14:textId="77777777">
      <w:pPr>
        <w:pStyle w:val="CommentText"/>
        <w:jc w:val="center"/>
        <w:rPr>
          <w:rFonts w:cs="Times New Roman"/>
          <w:sz w:val="24"/>
          <w:szCs w:val="24"/>
        </w:rPr>
      </w:pPr>
      <w:r w:rsidRPr="0000298C">
        <w:rPr>
          <w:rFonts w:cs="Times New Roman"/>
          <w:sz w:val="24"/>
          <w:szCs w:val="24"/>
        </w:rPr>
        <w:t xml:space="preserve">Phased Approach to the Resumption of </w:t>
      </w:r>
    </w:p>
    <w:p w:rsidR="0000298C" w:rsidP="0000298C" w:rsidRDefault="0000298C" w14:paraId="51432D98" w14:textId="193913D6">
      <w:pPr>
        <w:pStyle w:val="CommentText"/>
        <w:jc w:val="center"/>
        <w:rPr>
          <w:rFonts w:cs="Times New Roman"/>
          <w:sz w:val="24"/>
          <w:szCs w:val="24"/>
        </w:rPr>
      </w:pPr>
      <w:r w:rsidRPr="0000298C">
        <w:rPr>
          <w:rFonts w:cs="Times New Roman"/>
          <w:sz w:val="24"/>
          <w:szCs w:val="24"/>
        </w:rPr>
        <w:t>Cruise Ship Passenger Operations</w:t>
      </w:r>
    </w:p>
    <w:p w:rsidRPr="0000298C" w:rsidR="002B2BE7" w:rsidP="0000298C" w:rsidRDefault="002B2BE7" w14:paraId="13B8078D" w14:textId="5FC4BA12">
      <w:pPr>
        <w:pStyle w:val="CommentText"/>
        <w:jc w:val="center"/>
        <w:rPr>
          <w:rFonts w:cs="Times New Roman"/>
          <w:sz w:val="24"/>
          <w:szCs w:val="24"/>
        </w:rPr>
      </w:pPr>
      <w:r w:rsidRPr="0000298C">
        <w:rPr>
          <w:b/>
          <w:sz w:val="24"/>
          <w:szCs w:val="24"/>
        </w:rPr>
        <w:t>(OMB Control No. 0920-</w:t>
      </w:r>
      <w:r w:rsidRPr="0000298C" w:rsidR="001039EB">
        <w:rPr>
          <w:b/>
          <w:sz w:val="24"/>
          <w:szCs w:val="24"/>
        </w:rPr>
        <w:t>13</w:t>
      </w:r>
      <w:r w:rsidRPr="0000298C" w:rsidR="0000298C">
        <w:rPr>
          <w:b/>
          <w:sz w:val="24"/>
          <w:szCs w:val="24"/>
        </w:rPr>
        <w:t>35</w:t>
      </w:r>
      <w:r w:rsidRPr="0000298C">
        <w:rPr>
          <w:b/>
          <w:sz w:val="24"/>
          <w:szCs w:val="24"/>
        </w:rPr>
        <w:t>)</w:t>
      </w:r>
    </w:p>
    <w:p w:rsidR="002B2BE7" w:rsidP="001039EB" w:rsidRDefault="002B2BE7" w14:paraId="16065C8E" w14:textId="0CBA6D1B">
      <w:pPr>
        <w:rPr>
          <w:b/>
        </w:rPr>
      </w:pP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4C7B35" w:rsidRDefault="002B2BE7" w14:paraId="0DDDF69B" w14:textId="77777777">
      <w:pP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E0C54" w:rsidP="00FE0C54" w:rsidRDefault="001039EB" w14:paraId="57502075" w14:textId="1D9CBBEF">
      <w:pPr>
        <w:rPr>
          <w:rFonts w:eastAsia="Calibri"/>
        </w:rPr>
      </w:pPr>
      <w:r>
        <w:rPr>
          <w:rFonts w:eastAsia="Calibri"/>
        </w:rPr>
        <w:t>Jeffrey M. Zirger</w:t>
      </w:r>
    </w:p>
    <w:p w:rsidRPr="001039EB" w:rsidR="001039EB" w:rsidP="001039EB" w:rsidRDefault="001039EB" w14:paraId="634CEA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HEALTH SCIENTIST</w:t>
      </w:r>
    </w:p>
    <w:p w:rsidRPr="001039EB" w:rsidR="001039EB" w:rsidP="001039EB" w:rsidRDefault="001039EB" w14:paraId="18BE65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 xml:space="preserve">Information Collection Review Office </w:t>
      </w:r>
    </w:p>
    <w:p w:rsidRPr="001039EB" w:rsidR="001039EB" w:rsidP="001039EB" w:rsidRDefault="001039EB" w14:paraId="5B4CA39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Office of Scientific Integrity</w:t>
      </w:r>
    </w:p>
    <w:p w:rsidRPr="001039EB" w:rsidR="001039EB" w:rsidP="001039EB" w:rsidRDefault="001039EB" w14:paraId="262C4E6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Office of Science</w:t>
      </w:r>
    </w:p>
    <w:p w:rsidRPr="001039EB" w:rsidR="001039EB" w:rsidP="001039EB" w:rsidRDefault="001039EB" w14:paraId="0CC916B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Centers for Disease Control and Prevention</w:t>
      </w:r>
    </w:p>
    <w:p w:rsidRPr="001039EB" w:rsidR="001039EB" w:rsidP="001039EB" w:rsidRDefault="001039EB" w14:paraId="19786A8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1600 Clifton Road, NE  MS D-74</w:t>
      </w:r>
    </w:p>
    <w:p w:rsidRPr="001039EB" w:rsidR="001039EB" w:rsidP="001039EB" w:rsidRDefault="001039EB" w14:paraId="3B9AA76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Atlanta, GA  30333</w:t>
      </w:r>
    </w:p>
    <w:p w:rsidRPr="001039EB" w:rsidR="001039EB" w:rsidP="001039EB" w:rsidRDefault="001039EB" w14:paraId="37154B1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Telephone: (404) 639-7118</w:t>
      </w:r>
    </w:p>
    <w:p w:rsidRPr="001039EB" w:rsidR="001039EB" w:rsidP="001039EB" w:rsidRDefault="001039EB" w14:paraId="46EEE3C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Mobile: (470) 217-8909</w:t>
      </w:r>
    </w:p>
    <w:p w:rsidR="001039EB" w:rsidP="001039EB" w:rsidRDefault="001039EB" w14:paraId="622553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Fax: (404) 639-3249</w:t>
      </w:r>
    </w:p>
    <w:p w:rsidRPr="000C5EF1" w:rsidR="002B2BE7" w:rsidP="001039EB" w:rsidRDefault="001039EB" w14:paraId="08760DF4" w14:textId="7485B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rFonts w:eastAsia="Calibri"/>
        </w:rPr>
        <w:t>Email: wtj5@cdc.gov</w:t>
      </w:r>
      <w:r w:rsidRPr="000C5EF1" w:rsidR="002B2BE7">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2B2BE7" w:rsidP="002B2BE7" w:rsidRDefault="002B2BE7" w14:paraId="4CC54925" w14:textId="613F224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00298C">
        <w:t xml:space="preserve">May </w:t>
      </w:r>
      <w:r w:rsidR="00C3223C">
        <w:t>20</w:t>
      </w:r>
      <w:r w:rsidR="00101F1D">
        <w:t>, 2021</w:t>
      </w:r>
    </w:p>
    <w:p w:rsidRPr="000C5EF1" w:rsidR="00C35D1A" w:rsidP="002B2BE7" w:rsidRDefault="00C35D1A" w14:paraId="79CD40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0298C" w:rsidR="0000298C" w:rsidP="0000298C" w:rsidRDefault="00281300" w14:paraId="68751C99" w14:textId="29418E7D">
      <w:pPr>
        <w:rPr>
          <w:rFonts w:eastAsiaTheme="minorHAnsi" w:cstheme="minorBidi"/>
          <w:szCs w:val="22"/>
        </w:rPr>
      </w:pPr>
      <w:r w:rsidRPr="00281300">
        <w:rPr>
          <w:rFonts w:eastAsiaTheme="minorHAnsi" w:cstheme="minorBidi"/>
          <w:szCs w:val="22"/>
        </w:rPr>
        <w:lastRenderedPageBreak/>
        <w:t>The Centers for Disease Control and Prevention (CDC</w:t>
      </w:r>
      <w:r w:rsidR="00FE0C54">
        <w:rPr>
          <w:rFonts w:eastAsiaTheme="minorHAnsi" w:cstheme="minorBidi"/>
          <w:szCs w:val="22"/>
        </w:rPr>
        <w:t xml:space="preserve">) </w:t>
      </w:r>
      <w:r w:rsidRPr="00281300">
        <w:rPr>
          <w:rFonts w:eastAsiaTheme="minorHAnsi" w:cstheme="minorBidi"/>
          <w:szCs w:val="22"/>
        </w:rPr>
        <w:t xml:space="preserve">requests a nonmaterial/non-substantive </w:t>
      </w:r>
      <w:r w:rsidR="00FE0C54">
        <w:rPr>
          <w:rFonts w:eastAsiaTheme="minorHAnsi" w:cstheme="minorBidi"/>
          <w:szCs w:val="22"/>
        </w:rPr>
        <w:t xml:space="preserve">change </w:t>
      </w:r>
      <w:r w:rsidRPr="00281300">
        <w:rPr>
          <w:rFonts w:eastAsiaTheme="minorHAnsi" w:cstheme="minorBidi"/>
          <w:szCs w:val="22"/>
        </w:rPr>
        <w:t>of the currently approved Information Collection Request: “</w:t>
      </w:r>
      <w:r w:rsidRPr="0000298C" w:rsidR="0000298C">
        <w:rPr>
          <w:rFonts w:eastAsiaTheme="minorHAnsi" w:cstheme="minorBidi"/>
          <w:szCs w:val="22"/>
        </w:rPr>
        <w:t xml:space="preserve">Phased Approach to the Resumption of </w:t>
      </w:r>
    </w:p>
    <w:p w:rsidRPr="00281300" w:rsidR="00281300" w:rsidP="0000298C" w:rsidRDefault="0000298C" w14:paraId="4793F78B" w14:textId="6FD714B0">
      <w:pPr>
        <w:rPr>
          <w:rFonts w:eastAsiaTheme="minorHAnsi" w:cstheme="minorBidi"/>
          <w:szCs w:val="22"/>
        </w:rPr>
      </w:pPr>
      <w:r w:rsidRPr="0000298C">
        <w:rPr>
          <w:rFonts w:eastAsiaTheme="minorHAnsi" w:cstheme="minorBidi"/>
          <w:szCs w:val="22"/>
        </w:rPr>
        <w:t>Cruise Ship Passenger Operations</w:t>
      </w:r>
      <w:r w:rsidRPr="00281300" w:rsidR="00281300">
        <w:rPr>
          <w:rFonts w:eastAsiaTheme="minorHAnsi" w:cstheme="minorBidi"/>
          <w:szCs w:val="22"/>
        </w:rPr>
        <w:t xml:space="preserve">”  </w:t>
      </w:r>
    </w:p>
    <w:p w:rsidRPr="00281300" w:rsidR="00281300" w:rsidP="00281300" w:rsidRDefault="00281300" w14:paraId="128C66F1" w14:textId="77777777">
      <w:pPr>
        <w:rPr>
          <w:rFonts w:eastAsiaTheme="minorHAnsi" w:cstheme="minorBidi"/>
          <w:szCs w:val="22"/>
        </w:rPr>
      </w:pPr>
    </w:p>
    <w:p w:rsidR="006E2ADC" w:rsidP="006E2ADC" w:rsidRDefault="00101F1D" w14:paraId="44ADB449" w14:textId="7BAA387D">
      <w:r>
        <w:t xml:space="preserve">This change request is to </w:t>
      </w:r>
      <w:r w:rsidR="001B4BA0">
        <w:t xml:space="preserve">add the following </w:t>
      </w:r>
      <w:r w:rsidR="00FE61E2">
        <w:t>form</w:t>
      </w:r>
      <w:r w:rsidR="006E2ADC">
        <w:t xml:space="preserve"> “</w:t>
      </w:r>
      <w:r w:rsidR="000B2B93">
        <w:t xml:space="preserve">Attestation </w:t>
      </w:r>
      <w:r w:rsidR="004D50FB">
        <w:t>by</w:t>
      </w:r>
      <w:r w:rsidR="000B2B93">
        <w:t xml:space="preserve"> A Cruise Ship Operator</w:t>
      </w:r>
    </w:p>
    <w:p w:rsidR="00E91787" w:rsidP="004B27C3" w:rsidRDefault="000B2B93" w14:paraId="3F412D77" w14:textId="6E41FC5D">
      <w:r>
        <w:t xml:space="preserve">In Lieu Of A Simulated Voyage” </w:t>
      </w:r>
      <w:r w:rsidR="00FE61E2">
        <w:t xml:space="preserve"> </w:t>
      </w:r>
    </w:p>
    <w:p w:rsidR="009E2D12" w:rsidP="004B27C3" w:rsidRDefault="009E2D12" w14:paraId="50A7FD68" w14:textId="77777777"/>
    <w:p w:rsidR="000B2B93" w:rsidP="00F10584" w:rsidRDefault="005D6DC4" w14:paraId="69DFFD74" w14:textId="3872266E">
      <w:r>
        <w:t>This change allows the cruise ship operators to Attest that</w:t>
      </w:r>
      <w:r w:rsidR="000B2B93">
        <w:t>:</w:t>
      </w:r>
    </w:p>
    <w:p w:rsidR="00F10584" w:rsidP="00366E9A" w:rsidRDefault="00F10584" w14:paraId="5AAB73F9" w14:textId="6006E94A">
      <w:pPr>
        <w:pStyle w:val="ListParagraph"/>
        <w:numPr>
          <w:ilvl w:val="0"/>
          <w:numId w:val="10"/>
        </w:numPr>
      </w:pPr>
      <w:r>
        <w:t>Restricted passenger voyages will only operate with 95%1 of crew who are fully vaccinated.2</w:t>
      </w:r>
    </w:p>
    <w:p w:rsidR="000B2B93" w:rsidP="00366E9A" w:rsidRDefault="00F10584" w14:paraId="7BB99DF0" w14:textId="4FD2CB15">
      <w:pPr>
        <w:pStyle w:val="ListParagraph"/>
        <w:numPr>
          <w:ilvl w:val="0"/>
          <w:numId w:val="10"/>
        </w:numPr>
      </w:pPr>
      <w:r>
        <w:t xml:space="preserve">A clear and specific vaccination plan and timeline to limit cruise ship sailings to 95% of </w:t>
      </w:r>
      <w:r w:rsidR="000B2B93">
        <w:t xml:space="preserve">   </w:t>
      </w:r>
    </w:p>
    <w:p w:rsidR="000B2B93" w:rsidP="00366E9A" w:rsidRDefault="00F10584" w14:paraId="29A101F1" w14:textId="79DECD08">
      <w:pPr>
        <w:pStyle w:val="ListParagraph"/>
        <w:numPr>
          <w:ilvl w:val="0"/>
          <w:numId w:val="10"/>
        </w:numPr>
      </w:pPr>
      <w:r>
        <w:t xml:space="preserve">passengers who will be confirmed as fully vaccinated prior to sailing has been submitted to </w:t>
      </w:r>
      <w:r w:rsidR="000B2B93">
        <w:t xml:space="preserve"> </w:t>
      </w:r>
    </w:p>
    <w:p w:rsidR="00152274" w:rsidP="00366E9A" w:rsidRDefault="00F10584" w14:paraId="38CE7F43" w14:textId="0A05FCD7">
      <w:pPr>
        <w:pStyle w:val="ListParagraph"/>
        <w:numPr>
          <w:ilvl w:val="0"/>
          <w:numId w:val="10"/>
        </w:numPr>
      </w:pPr>
      <w:r>
        <w:t>CDC.</w:t>
      </w:r>
    </w:p>
    <w:p w:rsidR="00C24E8A" w:rsidP="00A10607" w:rsidRDefault="00C24E8A" w14:paraId="7BFDCCA3" w14:textId="77777777"/>
    <w:p w:rsidR="00A10607" w:rsidP="00A10607" w:rsidRDefault="004D50FB" w14:paraId="143A2A4A" w14:textId="2DD2EC0E">
      <w:r>
        <w:t>CDC will dis</w:t>
      </w:r>
      <w:r w:rsidR="00FD1EB0">
        <w:t xml:space="preserve">continue the use of the following form </w:t>
      </w:r>
      <w:r w:rsidR="00A10607">
        <w:t>“Attestation for Commercial Transportation of Disembarking Crew for Cruise Ship Operators During the Initial Phases of</w:t>
      </w:r>
    </w:p>
    <w:p w:rsidR="0055559C" w:rsidP="001039EB" w:rsidRDefault="00A10607" w14:paraId="1B61488B" w14:textId="0FB6B094">
      <w:r>
        <w:t xml:space="preserve">CDC’s Framework for Conditional Sailing Order (CSO)” </w:t>
      </w:r>
    </w:p>
    <w:p w:rsidR="00C24E8A" w:rsidP="001039EB" w:rsidRDefault="00C24E8A" w14:paraId="6EA0C8EC" w14:textId="2948F78D"/>
    <w:p w:rsidR="00C24E8A" w:rsidP="001039EB" w:rsidRDefault="00A04F0C" w14:paraId="6F4DB2C3" w14:textId="7D95D490">
      <w:pPr>
        <w:rPr>
          <w:bCs/>
        </w:rPr>
      </w:pPr>
      <w:r>
        <w:t>Additionally,</w:t>
      </w:r>
      <w:r w:rsidR="00D16AAA">
        <w:t xml:space="preserve"> CDC has added the following changes to </w:t>
      </w:r>
      <w:r w:rsidR="0073652F">
        <w:t>the “</w:t>
      </w:r>
      <w:r w:rsidRPr="00CC5C6A" w:rsidR="00CC5C6A">
        <w:rPr>
          <w:bCs/>
        </w:rPr>
        <w:t>Enhanced Data Collection (EDC) During COVID-19 Pandemic</w:t>
      </w:r>
      <w:r w:rsidRPr="00CC5C6A" w:rsidR="00CC5C6A">
        <w:rPr>
          <w:bCs/>
        </w:rPr>
        <w:t>” form</w:t>
      </w:r>
      <w:r w:rsidR="005531A7">
        <w:rPr>
          <w:bCs/>
        </w:rPr>
        <w:t xml:space="preserve">: </w:t>
      </w:r>
    </w:p>
    <w:p w:rsidR="005531A7" w:rsidP="001039EB" w:rsidRDefault="005531A7" w14:paraId="7808892F" w14:textId="7A83CE2D">
      <w:pPr>
        <w:rPr>
          <w:bCs/>
        </w:rPr>
      </w:pPr>
    </w:p>
    <w:p w:rsidR="005531A7" w:rsidP="00366E9A" w:rsidRDefault="005531A7" w14:paraId="2D89892A" w14:textId="30C1F408">
      <w:pPr>
        <w:pStyle w:val="ListParagraph"/>
        <w:numPr>
          <w:ilvl w:val="0"/>
          <w:numId w:val="11"/>
        </w:numPr>
        <w:rPr>
          <w:bCs/>
        </w:rPr>
      </w:pPr>
      <w:r>
        <w:rPr>
          <w:bCs/>
        </w:rPr>
        <w:t xml:space="preserve">Changed the </w:t>
      </w:r>
      <w:r w:rsidR="00366E9A">
        <w:rPr>
          <w:bCs/>
        </w:rPr>
        <w:t xml:space="preserve">reporting time to </w:t>
      </w:r>
      <w:r w:rsidR="00355238">
        <w:rPr>
          <w:bCs/>
        </w:rPr>
        <w:t xml:space="preserve">1200ET </w:t>
      </w:r>
    </w:p>
    <w:p w:rsidRPr="0069228F" w:rsidR="00355238" w:rsidP="00366E9A" w:rsidRDefault="00833CB7" w14:paraId="1BBB9FF7" w14:textId="0E94BEF3">
      <w:pPr>
        <w:pStyle w:val="ListParagraph"/>
        <w:numPr>
          <w:ilvl w:val="0"/>
          <w:numId w:val="11"/>
        </w:numPr>
        <w:rPr>
          <w:bCs/>
        </w:rPr>
      </w:pPr>
      <w:r>
        <w:rPr>
          <w:bCs/>
        </w:rPr>
        <w:t xml:space="preserve">Clarified and added that the longitude and latitude, must </w:t>
      </w:r>
      <w:r w:rsidR="0069228F">
        <w:rPr>
          <w:bCs/>
        </w:rPr>
        <w:t>be reported as “</w:t>
      </w:r>
      <w:r w:rsidRPr="0069228F" w:rsidR="0069228F">
        <w:rPr>
          <w:bCs/>
          <w:sz w:val="20"/>
          <w:szCs w:val="20"/>
        </w:rPr>
        <w:t xml:space="preserve">(in </w:t>
      </w:r>
      <w:r w:rsidR="0069228F">
        <w:rPr>
          <w:bCs/>
          <w:sz w:val="20"/>
          <w:szCs w:val="20"/>
        </w:rPr>
        <w:t>D</w:t>
      </w:r>
      <w:r w:rsidRPr="0069228F" w:rsidR="0069228F">
        <w:rPr>
          <w:bCs/>
          <w:sz w:val="20"/>
          <w:szCs w:val="20"/>
        </w:rPr>
        <w:t xml:space="preserve">ecimal </w:t>
      </w:r>
      <w:r w:rsidR="0069228F">
        <w:rPr>
          <w:bCs/>
          <w:sz w:val="20"/>
          <w:szCs w:val="20"/>
        </w:rPr>
        <w:t>D</w:t>
      </w:r>
      <w:r w:rsidRPr="0069228F" w:rsidR="0069228F">
        <w:rPr>
          <w:bCs/>
          <w:sz w:val="20"/>
          <w:szCs w:val="20"/>
        </w:rPr>
        <w:t xml:space="preserve">egrees [DD])     </w:t>
      </w:r>
    </w:p>
    <w:p w:rsidR="0069228F" w:rsidP="00366E9A" w:rsidRDefault="00940AC8" w14:paraId="7B6E24A6" w14:textId="00DEB6DB">
      <w:pPr>
        <w:pStyle w:val="ListParagraph"/>
        <w:numPr>
          <w:ilvl w:val="0"/>
          <w:numId w:val="11"/>
        </w:numPr>
        <w:rPr>
          <w:bCs/>
        </w:rPr>
      </w:pPr>
      <w:r>
        <w:rPr>
          <w:bCs/>
        </w:rPr>
        <w:t xml:space="preserve">Added that crew ships can report </w:t>
      </w:r>
      <w:r w:rsidR="00045292">
        <w:rPr>
          <w:bCs/>
        </w:rPr>
        <w:t>“</w:t>
      </w:r>
      <w:r w:rsidRPr="00045292" w:rsidR="00045292">
        <w:rPr>
          <w:bCs/>
        </w:rPr>
        <w:t>Percentage of travelers fully vaccinated† for COVID-19</w:t>
      </w:r>
      <w:r w:rsidR="00045292">
        <w:rPr>
          <w:bCs/>
        </w:rPr>
        <w:t>”</w:t>
      </w:r>
    </w:p>
    <w:p w:rsidR="00045292" w:rsidP="00A1001E" w:rsidRDefault="00A1001E" w14:paraId="7B19A8A7" w14:textId="00FF2CC5">
      <w:pPr>
        <w:pStyle w:val="ListParagraph"/>
        <w:numPr>
          <w:ilvl w:val="0"/>
          <w:numId w:val="11"/>
        </w:numPr>
        <w:rPr>
          <w:bCs/>
        </w:rPr>
      </w:pPr>
      <w:r>
        <w:rPr>
          <w:bCs/>
        </w:rPr>
        <w:t xml:space="preserve">Added in” </w:t>
      </w:r>
      <w:r w:rsidRPr="00E3351E" w:rsidR="00E3351E">
        <w:rPr>
          <w:bCs/>
        </w:rPr>
        <w:t>FOR ASYMPTOMATIC TESTING ONLY (i.e., not testing for symptomatic persons): confirmatory testing for a positive antigen test should take place as soon as possible after the antigen test, and not longer than 48 hours after the initial antigen testing. If more than 48 hours separate the two specimen collections, or if there have been opportunities for new exposures, a NAAT should be considered a separate test – not a confirmation of the earlier test.</w:t>
      </w:r>
      <w:r>
        <w:rPr>
          <w:bCs/>
        </w:rPr>
        <w:t>”, “</w:t>
      </w:r>
      <w:r w:rsidRPr="00A1001E" w:rsidR="00E3351E">
        <w:rPr>
          <w:bCs/>
        </w:rPr>
        <w:t>Ships that choose to use antigen tests should follow CDC</w:t>
      </w:r>
      <w:r>
        <w:rPr>
          <w:bCs/>
        </w:rPr>
        <w:t>”</w:t>
      </w:r>
    </w:p>
    <w:p w:rsidR="006337E5" w:rsidP="006337E5" w:rsidRDefault="006337E5" w14:paraId="5EBD75CA" w14:textId="4038D869">
      <w:pPr>
        <w:pStyle w:val="ListParagraph"/>
        <w:numPr>
          <w:ilvl w:val="0"/>
          <w:numId w:val="11"/>
        </w:numPr>
        <w:rPr>
          <w:bCs/>
        </w:rPr>
      </w:pPr>
      <w:r>
        <w:rPr>
          <w:bCs/>
        </w:rPr>
        <w:t xml:space="preserve">Clarified that </w:t>
      </w:r>
      <w:r w:rsidRPr="006337E5">
        <w:rPr>
          <w:bCs/>
        </w:rPr>
        <w:t>End of newly embarking quarantine screening testing</w:t>
      </w:r>
      <w:r w:rsidR="00E607C4">
        <w:rPr>
          <w:bCs/>
        </w:rPr>
        <w:t xml:space="preserve"> and disembarking testing</w:t>
      </w:r>
      <w:r w:rsidRPr="006337E5">
        <w:rPr>
          <w:bCs/>
        </w:rPr>
        <w:t xml:space="preserve"> </w:t>
      </w:r>
      <w:r w:rsidR="00E607C4">
        <w:rPr>
          <w:bCs/>
        </w:rPr>
        <w:t xml:space="preserve"> only </w:t>
      </w:r>
      <w:r w:rsidRPr="006337E5">
        <w:rPr>
          <w:bCs/>
        </w:rPr>
        <w:t>applies to not fully vaccinated crew</w:t>
      </w:r>
    </w:p>
    <w:p w:rsidR="00F70879" w:rsidP="005871EC" w:rsidRDefault="009A7D9B" w14:paraId="17B11FD9" w14:textId="77777777">
      <w:pPr>
        <w:pStyle w:val="ListParagraph"/>
        <w:numPr>
          <w:ilvl w:val="0"/>
          <w:numId w:val="11"/>
        </w:numPr>
        <w:rPr>
          <w:bCs/>
        </w:rPr>
      </w:pPr>
      <w:r>
        <w:rPr>
          <w:bCs/>
        </w:rPr>
        <w:t xml:space="preserve">Clarified and updated that Viral </w:t>
      </w:r>
      <w:r w:rsidR="0003235E">
        <w:rPr>
          <w:bCs/>
        </w:rPr>
        <w:t xml:space="preserve">testing is not only restricted to “ </w:t>
      </w:r>
      <w:r w:rsidRPr="0003235E" w:rsidR="0003235E">
        <w:rPr>
          <w:bCs/>
        </w:rPr>
        <w:t>reverse transcription polymerase chain reaction (RT-PCR), reverse transcription loop-mediated isothermal amplification (RT-LAMP), transcription-mediated amplification (TMA), nicking enzyme amplification reaction (NEAR), and helicase-dependent amplification (</w:t>
      </w:r>
      <w:r w:rsidR="0003235E">
        <w:rPr>
          <w:bCs/>
        </w:rPr>
        <w:t xml:space="preserve">HAD)” </w:t>
      </w:r>
    </w:p>
    <w:p w:rsidRPr="00F70879" w:rsidR="0003235E" w:rsidP="00F70879" w:rsidRDefault="005871EC" w14:paraId="4982F859" w14:textId="7FF6D2EF">
      <w:pPr>
        <w:pStyle w:val="ListParagraph"/>
        <w:numPr>
          <w:ilvl w:val="0"/>
          <w:numId w:val="11"/>
        </w:numPr>
        <w:rPr>
          <w:bCs/>
        </w:rPr>
      </w:pPr>
      <w:r w:rsidRPr="00F70879">
        <w:rPr>
          <w:bCs/>
        </w:rPr>
        <w:t xml:space="preserve">Clarified and added that “ disembarkation testing for </w:t>
      </w:r>
      <w:r w:rsidRPr="00F70879" w:rsidR="00F70879">
        <w:rPr>
          <w:b/>
          <w:bCs/>
        </w:rPr>
        <w:t>“</w:t>
      </w:r>
      <w:r w:rsidRPr="00F70879">
        <w:rPr>
          <w:b/>
          <w:bCs/>
          <w:u w:val="single"/>
        </w:rPr>
        <w:t>NOT</w:t>
      </w:r>
      <w:r w:rsidRPr="00F70879">
        <w:rPr>
          <w:b/>
          <w:bCs/>
        </w:rPr>
        <w:t xml:space="preserve"> FULLY VACCINATED TRAVELERS</w:t>
      </w:r>
      <w:r w:rsidR="00F70879">
        <w:rPr>
          <w:b/>
          <w:bCs/>
        </w:rPr>
        <w:t xml:space="preserve"> </w:t>
      </w:r>
      <w:r w:rsidRPr="00F70879">
        <w:t xml:space="preserve">(Please report </w:t>
      </w:r>
      <w:r w:rsidRPr="00F70879">
        <w:rPr>
          <w:i/>
          <w:iCs/>
        </w:rPr>
        <w:t>final</w:t>
      </w:r>
      <w:r w:rsidRPr="00F70879">
        <w:t xml:space="preserve"> screening test results only [e.g., if an asymptomatic person is antigen-positive then tests NAAT-negative on the same day, do not report the initial antigen-positive result to EDC</w:t>
      </w:r>
      <w:r w:rsidR="00F70879">
        <w:t>]”</w:t>
      </w:r>
    </w:p>
    <w:p w:rsidR="00CB388F" w:rsidP="00CB388F" w:rsidRDefault="001055F0" w14:paraId="34ABEE9C" w14:textId="77777777">
      <w:pPr>
        <w:pStyle w:val="ListParagraph"/>
        <w:numPr>
          <w:ilvl w:val="0"/>
          <w:numId w:val="11"/>
        </w:numPr>
        <w:rPr>
          <w:bCs/>
        </w:rPr>
      </w:pPr>
      <w:r>
        <w:rPr>
          <w:bCs/>
        </w:rPr>
        <w:t>Added the word “</w:t>
      </w:r>
      <w:r w:rsidR="00256B94">
        <w:rPr>
          <w:bCs/>
        </w:rPr>
        <w:t>v</w:t>
      </w:r>
      <w:r>
        <w:rPr>
          <w:bCs/>
        </w:rPr>
        <w:t>iral</w:t>
      </w:r>
      <w:r w:rsidR="00256B94">
        <w:rPr>
          <w:bCs/>
        </w:rPr>
        <w:t>”</w:t>
      </w:r>
      <w:r>
        <w:rPr>
          <w:bCs/>
        </w:rPr>
        <w:t xml:space="preserve"> in lines</w:t>
      </w:r>
      <w:r w:rsidR="00CB388F">
        <w:rPr>
          <w:bCs/>
        </w:rPr>
        <w:t xml:space="preserve"> 39-54</w:t>
      </w:r>
    </w:p>
    <w:p w:rsidRPr="00DB3D92" w:rsidR="00CB388F" w:rsidP="00CB388F" w:rsidRDefault="00CB388F" w14:paraId="71F03DFA" w14:textId="4B649881">
      <w:pPr>
        <w:pStyle w:val="ListParagraph"/>
        <w:numPr>
          <w:ilvl w:val="0"/>
          <w:numId w:val="11"/>
        </w:numPr>
        <w:rPr>
          <w:bCs/>
        </w:rPr>
      </w:pPr>
      <w:r w:rsidRPr="00CB388F">
        <w:rPr>
          <w:bCs/>
        </w:rPr>
        <w:t>Added the words</w:t>
      </w:r>
      <w:r w:rsidRPr="00CB388F">
        <w:rPr>
          <w:sz w:val="20"/>
          <w:szCs w:val="20"/>
        </w:rPr>
        <w:t xml:space="preserve"> </w:t>
      </w:r>
      <w:r w:rsidRPr="00CB388F">
        <w:rPr>
          <w:sz w:val="20"/>
          <w:szCs w:val="20"/>
        </w:rPr>
        <w:t>“</w:t>
      </w:r>
      <w:r w:rsidRPr="00CB388F">
        <w:rPr>
          <w:sz w:val="20"/>
          <w:szCs w:val="20"/>
        </w:rPr>
        <w:t xml:space="preserve">viral test collected within </w:t>
      </w:r>
      <w:r w:rsidRPr="00CB388F">
        <w:rPr>
          <w:b/>
          <w:bCs/>
          <w:sz w:val="20"/>
          <w:szCs w:val="20"/>
        </w:rPr>
        <w:t>24 hours before</w:t>
      </w:r>
      <w:r w:rsidRPr="00CB388F">
        <w:rPr>
          <w:b/>
          <w:bCs/>
          <w:sz w:val="20"/>
          <w:szCs w:val="20"/>
        </w:rPr>
        <w:t>”</w:t>
      </w:r>
      <w:r w:rsidR="00DB3D92">
        <w:rPr>
          <w:b/>
          <w:bCs/>
          <w:sz w:val="20"/>
          <w:szCs w:val="20"/>
        </w:rPr>
        <w:t xml:space="preserve"> </w:t>
      </w:r>
      <w:r w:rsidR="00DB3D92">
        <w:rPr>
          <w:sz w:val="20"/>
          <w:szCs w:val="20"/>
        </w:rPr>
        <w:t xml:space="preserve">in lines 55-62 </w:t>
      </w:r>
    </w:p>
    <w:p w:rsidRPr="00DF703C" w:rsidR="00DB3D92" w:rsidP="00CB388F" w:rsidRDefault="004F4C6C" w14:paraId="6D3B7576" w14:textId="03390808">
      <w:pPr>
        <w:pStyle w:val="ListParagraph"/>
        <w:numPr>
          <w:ilvl w:val="0"/>
          <w:numId w:val="11"/>
        </w:numPr>
        <w:rPr>
          <w:bCs/>
        </w:rPr>
      </w:pPr>
      <w:r>
        <w:t>Added in the following sentences as clarification</w:t>
      </w:r>
    </w:p>
    <w:p w:rsidRPr="004F4C6C" w:rsidR="00DF703C" w:rsidP="00DF703C" w:rsidRDefault="00DF703C" w14:paraId="3DF5C8FD" w14:textId="558DE512">
      <w:pPr>
        <w:pStyle w:val="ListParagraph"/>
        <w:numPr>
          <w:ilvl w:val="1"/>
          <w:numId w:val="11"/>
        </w:numPr>
        <w:rPr>
          <w:bCs/>
        </w:rPr>
      </w:pPr>
      <w:r w:rsidRPr="00DF703C">
        <w:rPr>
          <w:bCs/>
        </w:rPr>
        <w:t>All overnight contractors/visitors/vendors should be identified as crew for all CDC reporting requirements [i.e., day contractor/visitors/vendors can be excluded]</w:t>
      </w:r>
    </w:p>
    <w:p w:rsidRPr="004F4C6C" w:rsidR="004F4C6C" w:rsidP="004F4C6C" w:rsidRDefault="004F4C6C" w14:paraId="1BEAFC80" w14:textId="77777777">
      <w:pPr>
        <w:pStyle w:val="ListParagraph"/>
        <w:numPr>
          <w:ilvl w:val="1"/>
          <w:numId w:val="11"/>
        </w:numPr>
        <w:rPr>
          <w:bCs/>
        </w:rPr>
      </w:pPr>
      <w:r w:rsidRPr="004F4C6C">
        <w:rPr>
          <w:bCs/>
        </w:rPr>
        <w:lastRenderedPageBreak/>
        <w:t>‡ A febrile person in the presence of a more likely diagnosis (e.g., cellulitis, urinary tract infection, tooth abscess) does not represent CLI and should not be reported via EDC.</w:t>
      </w:r>
    </w:p>
    <w:p w:rsidRPr="004F4C6C" w:rsidR="004F4C6C" w:rsidP="004F4C6C" w:rsidRDefault="004F4C6C" w14:paraId="20E57D0A" w14:textId="77777777">
      <w:pPr>
        <w:pStyle w:val="ListParagraph"/>
        <w:numPr>
          <w:ilvl w:val="1"/>
          <w:numId w:val="11"/>
        </w:numPr>
        <w:rPr>
          <w:bCs/>
        </w:rPr>
      </w:pPr>
      <w:r w:rsidRPr="004F4C6C">
        <w:rPr>
          <w:bCs/>
        </w:rPr>
        <w:t>§ Examples of available NAATs for SARS-CoV-2 include but are not restricted to: reverse transcription polymerase chain reaction (RT-PCR), reverse transcription loop-mediated isothermal amplification (RT-LAMP), transcription-mediated amplification (TMA), nicking enzyme amplification reaction (NEAR), and helicase-dependent amplification (HDA).</w:t>
      </w:r>
    </w:p>
    <w:p w:rsidRPr="004F4C6C" w:rsidR="004F4C6C" w:rsidP="004F4C6C" w:rsidRDefault="004F4C6C" w14:paraId="1EFAA780" w14:textId="77777777">
      <w:pPr>
        <w:pStyle w:val="ListParagraph"/>
        <w:numPr>
          <w:ilvl w:val="1"/>
          <w:numId w:val="11"/>
        </w:numPr>
        <w:rPr>
          <w:bCs/>
        </w:rPr>
      </w:pPr>
      <w:r w:rsidRPr="004F4C6C">
        <w:rPr>
          <w:bCs/>
        </w:rPr>
        <w:t>‖ Please refer to CDC’s antigen testing guidance.</w:t>
      </w:r>
    </w:p>
    <w:p w:rsidRPr="004F4C6C" w:rsidR="004F4C6C" w:rsidP="004F4C6C" w:rsidRDefault="004F4C6C" w14:paraId="10F89C30" w14:textId="77777777">
      <w:pPr>
        <w:pStyle w:val="ListParagraph"/>
        <w:numPr>
          <w:ilvl w:val="1"/>
          <w:numId w:val="11"/>
        </w:numPr>
        <w:rPr>
          <w:bCs/>
        </w:rPr>
      </w:pPr>
      <w:r w:rsidRPr="004F4C6C">
        <w:rPr>
          <w:bCs/>
        </w:rPr>
        <w:t>¶ If an alternate infectious etiology is identified through laboratory testing, routine infection control precautions recommended for the diagnosis should be followed.</w:t>
      </w:r>
    </w:p>
    <w:p w:rsidRPr="00CB388F" w:rsidR="004F4C6C" w:rsidP="004F4C6C" w:rsidRDefault="004F4C6C" w14:paraId="08CDCF69" w14:textId="2C8CAA3E">
      <w:pPr>
        <w:pStyle w:val="ListParagraph"/>
        <w:numPr>
          <w:ilvl w:val="1"/>
          <w:numId w:val="11"/>
        </w:numPr>
        <w:rPr>
          <w:bCs/>
        </w:rPr>
      </w:pPr>
      <w:r w:rsidRPr="004F4C6C">
        <w:rPr>
          <w:bCs/>
        </w:rPr>
        <w:t xml:space="preserve">¶¶ Embarkation day testing applies to all passengers on back-to-back sailings prior to the ship sailing on the next voyage, regardless of vaccination status.  </w:t>
      </w:r>
    </w:p>
    <w:p w:rsidR="00CC5C6A" w:rsidP="001039EB" w:rsidRDefault="00CC5C6A" w14:paraId="04E3633E" w14:textId="2262F800">
      <w:pPr>
        <w:rPr>
          <w:b/>
          <w:sz w:val="20"/>
          <w:szCs w:val="20"/>
        </w:rPr>
      </w:pPr>
    </w:p>
    <w:p w:rsidRPr="00A12855" w:rsidR="00FE0C54" w:rsidP="001039EB" w:rsidRDefault="00FA32FE" w14:paraId="513F6883" w14:textId="7E28C88B">
      <w:r w:rsidRPr="0078707D">
        <w:t xml:space="preserve">This </w:t>
      </w:r>
      <w:r w:rsidR="001039EB">
        <w:t>N</w:t>
      </w:r>
      <w:r w:rsidRPr="0078707D">
        <w:t>on-</w:t>
      </w:r>
      <w:r w:rsidR="001039EB">
        <w:t>S</w:t>
      </w:r>
      <w:r w:rsidRPr="0078707D">
        <w:t xml:space="preserve">ubstantive </w:t>
      </w:r>
      <w:r w:rsidR="001039EB">
        <w:t>C</w:t>
      </w:r>
      <w:r w:rsidRPr="0078707D">
        <w:t xml:space="preserve">hange </w:t>
      </w:r>
      <w:r w:rsidR="001039EB">
        <w:t>R</w:t>
      </w:r>
      <w:r w:rsidRPr="0078707D">
        <w:t xml:space="preserve">equest </w:t>
      </w:r>
      <w:r w:rsidR="001039EB">
        <w:t xml:space="preserve">results in no </w:t>
      </w:r>
      <w:r w:rsidR="00AC4D6E">
        <w:t xml:space="preserve">additional </w:t>
      </w:r>
      <w:r w:rsidR="001039EB">
        <w:t>changes t</w:t>
      </w:r>
      <w:r w:rsidR="00AC4D6E">
        <w:t>o</w:t>
      </w:r>
      <w:r w:rsidR="001039EB">
        <w:t xml:space="preserve"> currently approved information collection instruments and no change in burden hours.</w:t>
      </w:r>
      <w:r w:rsidRPr="0078707D">
        <w:t xml:space="preserve"> </w:t>
      </w:r>
    </w:p>
    <w:p w:rsidRPr="00281300" w:rsidR="00FE0C54" w:rsidP="00F569EF" w:rsidRDefault="00FE0C54" w14:paraId="5CC6D40C" w14:textId="77777777"/>
    <w:sectPr w:rsidRPr="00281300" w:rsidR="00FE0C54"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13101" w14:textId="77777777" w:rsidR="007E012D" w:rsidRDefault="007E012D" w:rsidP="00DB6136">
      <w:r>
        <w:separator/>
      </w:r>
    </w:p>
  </w:endnote>
  <w:endnote w:type="continuationSeparator" w:id="0">
    <w:p w14:paraId="32A8A06D" w14:textId="77777777" w:rsidR="007E012D" w:rsidRDefault="007E012D"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279E" w14:textId="77777777" w:rsidR="007E012D" w:rsidRDefault="007E012D" w:rsidP="00DB6136">
      <w:r>
        <w:separator/>
      </w:r>
    </w:p>
  </w:footnote>
  <w:footnote w:type="continuationSeparator" w:id="0">
    <w:p w14:paraId="530E3B63" w14:textId="77777777" w:rsidR="007E012D" w:rsidRDefault="007E012D"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58FA"/>
    <w:multiLevelType w:val="hybridMultilevel"/>
    <w:tmpl w:val="7E52ABA8"/>
    <w:lvl w:ilvl="0" w:tplc="81AAD4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61DC7"/>
    <w:multiLevelType w:val="hybridMultilevel"/>
    <w:tmpl w:val="40C66474"/>
    <w:lvl w:ilvl="0" w:tplc="81AAD44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65851"/>
    <w:multiLevelType w:val="hybridMultilevel"/>
    <w:tmpl w:val="E6D03A84"/>
    <w:lvl w:ilvl="0" w:tplc="81AAD4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EC3B18"/>
    <w:multiLevelType w:val="hybridMultilevel"/>
    <w:tmpl w:val="98AEB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6613"/>
    <w:multiLevelType w:val="hybridMultilevel"/>
    <w:tmpl w:val="7666B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7"/>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MTI3sjC3NLIwMDdQ0lEKTi0uzszPAymwqAUA8UG6mCwAAAA="/>
  </w:docVars>
  <w:rsids>
    <w:rsidRoot w:val="00281300"/>
    <w:rsid w:val="0000298C"/>
    <w:rsid w:val="0003235E"/>
    <w:rsid w:val="00045292"/>
    <w:rsid w:val="000B04E1"/>
    <w:rsid w:val="000B2B93"/>
    <w:rsid w:val="000B7CFE"/>
    <w:rsid w:val="0010088B"/>
    <w:rsid w:val="00101F1D"/>
    <w:rsid w:val="001039EB"/>
    <w:rsid w:val="001055F0"/>
    <w:rsid w:val="00152274"/>
    <w:rsid w:val="00161522"/>
    <w:rsid w:val="001B4BA0"/>
    <w:rsid w:val="001D4D72"/>
    <w:rsid w:val="001E5B1C"/>
    <w:rsid w:val="00256B94"/>
    <w:rsid w:val="00263B2F"/>
    <w:rsid w:val="00275C22"/>
    <w:rsid w:val="00281300"/>
    <w:rsid w:val="00286AC1"/>
    <w:rsid w:val="002B2BE7"/>
    <w:rsid w:val="00355238"/>
    <w:rsid w:val="00364B6A"/>
    <w:rsid w:val="00366E9A"/>
    <w:rsid w:val="003852F9"/>
    <w:rsid w:val="00472B2E"/>
    <w:rsid w:val="00494074"/>
    <w:rsid w:val="004B27C3"/>
    <w:rsid w:val="004C7B35"/>
    <w:rsid w:val="004D50FB"/>
    <w:rsid w:val="004E4C4F"/>
    <w:rsid w:val="004F4C6C"/>
    <w:rsid w:val="00502DA9"/>
    <w:rsid w:val="00504C3D"/>
    <w:rsid w:val="0054783C"/>
    <w:rsid w:val="005531A7"/>
    <w:rsid w:val="0055559C"/>
    <w:rsid w:val="005871EC"/>
    <w:rsid w:val="005B7B68"/>
    <w:rsid w:val="005D6DC4"/>
    <w:rsid w:val="005F1062"/>
    <w:rsid w:val="00615509"/>
    <w:rsid w:val="006337E5"/>
    <w:rsid w:val="00655BA1"/>
    <w:rsid w:val="0066582D"/>
    <w:rsid w:val="0069228F"/>
    <w:rsid w:val="006A5BC1"/>
    <w:rsid w:val="006C43AA"/>
    <w:rsid w:val="006E2ADC"/>
    <w:rsid w:val="007163CF"/>
    <w:rsid w:val="0073652F"/>
    <w:rsid w:val="0078707D"/>
    <w:rsid w:val="007E012D"/>
    <w:rsid w:val="00833CB7"/>
    <w:rsid w:val="00885647"/>
    <w:rsid w:val="008951A8"/>
    <w:rsid w:val="00901C09"/>
    <w:rsid w:val="0090768F"/>
    <w:rsid w:val="00940AC8"/>
    <w:rsid w:val="009A7D9B"/>
    <w:rsid w:val="009B34AA"/>
    <w:rsid w:val="009E2D12"/>
    <w:rsid w:val="00A04F0C"/>
    <w:rsid w:val="00A1001E"/>
    <w:rsid w:val="00A10607"/>
    <w:rsid w:val="00A35C1D"/>
    <w:rsid w:val="00A62E65"/>
    <w:rsid w:val="00AC4D6E"/>
    <w:rsid w:val="00BA22DA"/>
    <w:rsid w:val="00BB3B14"/>
    <w:rsid w:val="00BB6A0C"/>
    <w:rsid w:val="00BE67DD"/>
    <w:rsid w:val="00BF41CE"/>
    <w:rsid w:val="00C24E8A"/>
    <w:rsid w:val="00C3223C"/>
    <w:rsid w:val="00C35D1A"/>
    <w:rsid w:val="00C94D1A"/>
    <w:rsid w:val="00CB388F"/>
    <w:rsid w:val="00CC1BDA"/>
    <w:rsid w:val="00CC5C6A"/>
    <w:rsid w:val="00D16AAA"/>
    <w:rsid w:val="00D24C7E"/>
    <w:rsid w:val="00D26908"/>
    <w:rsid w:val="00DB3D92"/>
    <w:rsid w:val="00DB6136"/>
    <w:rsid w:val="00DF703C"/>
    <w:rsid w:val="00E04339"/>
    <w:rsid w:val="00E3351E"/>
    <w:rsid w:val="00E436DA"/>
    <w:rsid w:val="00E607C4"/>
    <w:rsid w:val="00E91787"/>
    <w:rsid w:val="00EC04B5"/>
    <w:rsid w:val="00EC5772"/>
    <w:rsid w:val="00EC61C1"/>
    <w:rsid w:val="00F01D93"/>
    <w:rsid w:val="00F071BD"/>
    <w:rsid w:val="00F10584"/>
    <w:rsid w:val="00F569EF"/>
    <w:rsid w:val="00F70879"/>
    <w:rsid w:val="00F96507"/>
    <w:rsid w:val="00FA32FE"/>
    <w:rsid w:val="00FC70C6"/>
    <w:rsid w:val="00FD1EB0"/>
    <w:rsid w:val="00FE0C54"/>
    <w:rsid w:val="00FE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3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paragraph" w:styleId="CommentText">
    <w:name w:val="annotation text"/>
    <w:basedOn w:val="Normal"/>
    <w:link w:val="CommentTextChar"/>
    <w:uiPriority w:val="99"/>
    <w:unhideWhenUsed/>
    <w:rsid w:val="0000298C"/>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00298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8409">
      <w:bodyDiv w:val="1"/>
      <w:marLeft w:val="0"/>
      <w:marRight w:val="0"/>
      <w:marTop w:val="0"/>
      <w:marBottom w:val="0"/>
      <w:divBdr>
        <w:top w:val="none" w:sz="0" w:space="0" w:color="auto"/>
        <w:left w:val="none" w:sz="0" w:space="0" w:color="auto"/>
        <w:bottom w:val="none" w:sz="0" w:space="0" w:color="auto"/>
        <w:right w:val="none" w:sz="0" w:space="0" w:color="auto"/>
      </w:divBdr>
    </w:div>
    <w:div w:id="362051360">
      <w:bodyDiv w:val="1"/>
      <w:marLeft w:val="0"/>
      <w:marRight w:val="0"/>
      <w:marTop w:val="0"/>
      <w:marBottom w:val="0"/>
      <w:divBdr>
        <w:top w:val="none" w:sz="0" w:space="0" w:color="auto"/>
        <w:left w:val="none" w:sz="0" w:space="0" w:color="auto"/>
        <w:bottom w:val="none" w:sz="0" w:space="0" w:color="auto"/>
        <w:right w:val="none" w:sz="0" w:space="0" w:color="auto"/>
      </w:divBdr>
    </w:div>
    <w:div w:id="592318668">
      <w:bodyDiv w:val="1"/>
      <w:marLeft w:val="0"/>
      <w:marRight w:val="0"/>
      <w:marTop w:val="0"/>
      <w:marBottom w:val="0"/>
      <w:divBdr>
        <w:top w:val="none" w:sz="0" w:space="0" w:color="auto"/>
        <w:left w:val="none" w:sz="0" w:space="0" w:color="auto"/>
        <w:bottom w:val="none" w:sz="0" w:space="0" w:color="auto"/>
        <w:right w:val="none" w:sz="0" w:space="0" w:color="auto"/>
      </w:divBdr>
    </w:div>
    <w:div w:id="615992402">
      <w:bodyDiv w:val="1"/>
      <w:marLeft w:val="0"/>
      <w:marRight w:val="0"/>
      <w:marTop w:val="0"/>
      <w:marBottom w:val="0"/>
      <w:divBdr>
        <w:top w:val="none" w:sz="0" w:space="0" w:color="auto"/>
        <w:left w:val="none" w:sz="0" w:space="0" w:color="auto"/>
        <w:bottom w:val="none" w:sz="0" w:space="0" w:color="auto"/>
        <w:right w:val="none" w:sz="0" w:space="0" w:color="auto"/>
      </w:divBdr>
    </w:div>
    <w:div w:id="876088809">
      <w:bodyDiv w:val="1"/>
      <w:marLeft w:val="0"/>
      <w:marRight w:val="0"/>
      <w:marTop w:val="0"/>
      <w:marBottom w:val="0"/>
      <w:divBdr>
        <w:top w:val="none" w:sz="0" w:space="0" w:color="auto"/>
        <w:left w:val="none" w:sz="0" w:space="0" w:color="auto"/>
        <w:bottom w:val="none" w:sz="0" w:space="0" w:color="auto"/>
        <w:right w:val="none" w:sz="0" w:space="0" w:color="auto"/>
      </w:divBdr>
    </w:div>
    <w:div w:id="1268809391">
      <w:bodyDiv w:val="1"/>
      <w:marLeft w:val="0"/>
      <w:marRight w:val="0"/>
      <w:marTop w:val="0"/>
      <w:marBottom w:val="0"/>
      <w:divBdr>
        <w:top w:val="none" w:sz="0" w:space="0" w:color="auto"/>
        <w:left w:val="none" w:sz="0" w:space="0" w:color="auto"/>
        <w:bottom w:val="none" w:sz="0" w:space="0" w:color="auto"/>
        <w:right w:val="none" w:sz="0" w:space="0" w:color="auto"/>
      </w:divBdr>
    </w:div>
    <w:div w:id="1931817359">
      <w:bodyDiv w:val="1"/>
      <w:marLeft w:val="0"/>
      <w:marRight w:val="0"/>
      <w:marTop w:val="0"/>
      <w:marBottom w:val="0"/>
      <w:divBdr>
        <w:top w:val="none" w:sz="0" w:space="0" w:color="auto"/>
        <w:left w:val="none" w:sz="0" w:space="0" w:color="auto"/>
        <w:bottom w:val="none" w:sz="0" w:space="0" w:color="auto"/>
        <w:right w:val="none" w:sz="0" w:space="0" w:color="auto"/>
      </w:divBdr>
    </w:div>
    <w:div w:id="21386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Staine, Ashleigh (CDC/DDID/NCEZID/DGMQ)</cp:lastModifiedBy>
  <cp:revision>34</cp:revision>
  <dcterms:created xsi:type="dcterms:W3CDTF">2021-05-20T15:08:00Z</dcterms:created>
  <dcterms:modified xsi:type="dcterms:W3CDTF">2021-05-21T15:58:00Z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2020-12-23T15:44:33Z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53ac0b63-5052-4801-bad9-378090f043a6</vt:lpwstr>
  </property>
  <property fmtid="{D5CDD505-2E9C-101B-9397-08002B2CF9AE}" pid="8" name="MSIP_Label_7b94a7b8-f06c-4dfe-bdcc-9b548fd58c31_ContentBits">
    <vt:lpwstr>0</vt:lpwstr>
  </property>
</Properties>
</file>