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9900" w:type="dxa"/>
        <w:tblInd w:w="-4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09"/>
        <w:gridCol w:w="7591"/>
      </w:tblGrid>
      <w:tr w14:paraId="70DD964F" w14:textId="77777777" w:rsidTr="786110A5">
        <w:tblPrEx>
          <w:tblW w:w="9900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</w:trPr>
        <w:tc>
          <w:tcPr>
            <w:tcW w:w="9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vAlign w:val="center"/>
          </w:tcPr>
          <w:p w:rsidR="00AE104B" w:rsidP="786110A5" w14:paraId="70DD964B" w14:textId="4AA5C746">
            <w:pPr>
              <w:spacing w:line="360" w:lineRule="auto"/>
              <w:jc w:val="center"/>
            </w:pPr>
            <w:r w:rsidRPr="786110A5">
              <w:rPr>
                <w:rFonts w:ascii="Verdana" w:hAnsi="Verdana"/>
                <w:b/>
                <w:bCs/>
                <w:smallCaps/>
                <w:color w:val="FFFFFF" w:themeColor="background1"/>
                <w:sz w:val="32"/>
                <w:szCs w:val="32"/>
              </w:rPr>
              <w:t>Environmental Public Health Tracking</w:t>
            </w:r>
          </w:p>
          <w:p w:rsidR="00AE104B" w:rsidRPr="006B4784" w:rsidP="00AE104B" w14:paraId="70DD964C" w14:textId="77777777">
            <w:pPr>
              <w:spacing w:line="360" w:lineRule="auto"/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>Childhood Blood Lead Poisoning</w:t>
            </w:r>
          </w:p>
          <w:p w:rsidR="00AE104B" w:rsidP="00AE104B" w14:paraId="70DD964D" w14:textId="77777777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 xml:space="preserve">Summary for </w:t>
            </w:r>
            <w:r w:rsidRPr="007D65F4">
              <w:rPr>
                <w:rFonts w:ascii="Verdana" w:hAnsi="Verdana"/>
                <w:b/>
                <w:bCs/>
                <w:color w:val="FFFFFF"/>
              </w:rPr>
              <w:t>CLP</w:t>
            </w:r>
            <w:r w:rsidR="00661753">
              <w:rPr>
                <w:rFonts w:ascii="Verdana" w:hAnsi="Verdana"/>
                <w:b/>
                <w:bCs/>
                <w:color w:val="FFFFFF"/>
              </w:rPr>
              <w:t>2</w:t>
            </w:r>
            <w:r w:rsidR="00A21CCD">
              <w:rPr>
                <w:rFonts w:ascii="Verdana" w:hAnsi="Verdana"/>
                <w:b/>
                <w:bCs/>
                <w:color w:val="FFFFFF"/>
              </w:rPr>
              <w:t>:</w:t>
            </w:r>
            <w:r w:rsidR="00661753">
              <w:rPr>
                <w:rFonts w:ascii="Verdana" w:hAnsi="Verdana"/>
                <w:b/>
                <w:bCs/>
                <w:color w:val="FFFFFF"/>
              </w:rPr>
              <w:t xml:space="preserve"> </w:t>
            </w:r>
          </w:p>
          <w:p w:rsidR="00BB580A" w:rsidRPr="006B4784" w:rsidP="00E74E55" w14:paraId="70DD964E" w14:textId="5143952F">
            <w:pPr>
              <w:spacing w:line="360" w:lineRule="auto"/>
              <w:jc w:val="center"/>
              <w:rPr>
                <w:rFonts w:ascii="Verdana" w:hAnsi="Verdana" w:cs="Shruti"/>
                <w:b/>
                <w:bCs/>
              </w:rPr>
            </w:pPr>
            <w:r w:rsidRPr="3C234F4C">
              <w:rPr>
                <w:rFonts w:ascii="Verdana" w:hAnsi="Verdana"/>
                <w:b/>
                <w:bCs/>
                <w:color w:val="FFFFFF" w:themeColor="background1"/>
              </w:rPr>
              <w:t xml:space="preserve">Blood Lead </w:t>
            </w:r>
            <w:r w:rsidRPr="3C234F4C" w:rsidR="001A201C">
              <w:rPr>
                <w:rFonts w:ascii="Verdana" w:hAnsi="Verdana"/>
                <w:b/>
                <w:bCs/>
                <w:color w:val="FFFFFF" w:themeColor="background1"/>
              </w:rPr>
              <w:t>Levels</w:t>
            </w:r>
            <w:r w:rsidRPr="3C234F4C">
              <w:rPr>
                <w:rFonts w:ascii="Verdana" w:hAnsi="Verdana"/>
                <w:b/>
                <w:bCs/>
                <w:color w:val="FFFFFF" w:themeColor="background1"/>
              </w:rPr>
              <w:t xml:space="preserve"> by </w:t>
            </w:r>
            <w:r w:rsidRPr="3C234F4C" w:rsidR="7AB32A95">
              <w:rPr>
                <w:rFonts w:ascii="Verdana" w:hAnsi="Verdana"/>
                <w:b/>
                <w:bCs/>
                <w:color w:val="FFFFFF" w:themeColor="background1"/>
              </w:rPr>
              <w:t xml:space="preserve">Year </w:t>
            </w:r>
            <w:r w:rsidRPr="3C234F4C" w:rsidR="724C3469">
              <w:rPr>
                <w:rFonts w:ascii="Verdana" w:hAnsi="Verdana"/>
                <w:b/>
                <w:bCs/>
                <w:color w:val="FFFFFF" w:themeColor="background1"/>
              </w:rPr>
              <w:t xml:space="preserve">or </w:t>
            </w:r>
            <w:r w:rsidRPr="3C234F4C">
              <w:rPr>
                <w:rFonts w:ascii="Verdana" w:hAnsi="Verdana"/>
                <w:b/>
                <w:bCs/>
                <w:color w:val="FFFFFF" w:themeColor="background1"/>
              </w:rPr>
              <w:t>Birth Cohort, by County</w:t>
            </w:r>
          </w:p>
        </w:tc>
      </w:tr>
      <w:tr w14:paraId="70DD9652" w14:textId="77777777" w:rsidTr="786110A5">
        <w:tblPrEx>
          <w:tblW w:w="9900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AE104B" w:rsidRPr="006B4784" w:rsidP="00AE104B" w14:paraId="70DD9650" w14:textId="77777777">
            <w:pPr>
              <w:spacing w:after="58"/>
              <w:rPr>
                <w:rFonts w:ascii="Verdana" w:hAnsi="Verdana" w:cs="Shruti"/>
                <w:b/>
              </w:rPr>
            </w:pPr>
            <w:r w:rsidRPr="006B4784">
              <w:rPr>
                <w:rFonts w:ascii="Verdana" w:hAnsi="Verdana" w:cs="Shruti"/>
                <w:b/>
              </w:rPr>
              <w:t>Characteristic</w:t>
            </w:r>
          </w:p>
        </w:tc>
        <w:tc>
          <w:tcPr>
            <w:tcW w:w="7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AE104B" w:rsidRPr="006B4784" w:rsidP="00AE104B" w14:paraId="70DD9651" w14:textId="77777777">
            <w:pPr>
              <w:spacing w:after="58"/>
              <w:rPr>
                <w:rFonts w:ascii="Verdana" w:hAnsi="Verdana" w:cs="Shruti"/>
                <w:b/>
              </w:rPr>
            </w:pPr>
            <w:r w:rsidRPr="006B4784">
              <w:rPr>
                <w:rFonts w:ascii="Verdana" w:hAnsi="Verdana" w:cs="Shruti"/>
                <w:b/>
                <w:bCs/>
              </w:rPr>
              <w:t>Description</w:t>
            </w:r>
          </w:p>
        </w:tc>
      </w:tr>
      <w:tr w14:paraId="70DD9655" w14:textId="77777777" w:rsidTr="786110A5">
        <w:tblPrEx>
          <w:tblW w:w="9900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</w:trPr>
        <w:tc>
          <w:tcPr>
            <w:tcW w:w="2309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E104B" w:rsidRPr="006B4784" w:rsidP="00AE104B" w14:paraId="70DD9653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Data Sources</w:t>
            </w:r>
          </w:p>
        </w:tc>
        <w:tc>
          <w:tcPr>
            <w:tcW w:w="7591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E104B" w:rsidRPr="006B4784" w:rsidP="00AE104B" w14:paraId="70DD9654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CDC Lead Program; CLPP Programs; Tracking Grantees</w:t>
            </w:r>
          </w:p>
        </w:tc>
      </w:tr>
      <w:tr w14:paraId="70DD965D" w14:textId="77777777" w:rsidTr="786110A5">
        <w:tblPrEx>
          <w:tblW w:w="9900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420"/>
        </w:trPr>
        <w:tc>
          <w:tcPr>
            <w:tcW w:w="2309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E104B" w:rsidP="00AE104B" w14:paraId="70DD9656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Purpose</w:t>
            </w:r>
          </w:p>
        </w:tc>
        <w:tc>
          <w:tcPr>
            <w:tcW w:w="7591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21CCD" w:rsidP="003F72A1" w14:paraId="70DD9657" w14:textId="31E0A9AD">
            <w:pPr>
              <w:rPr>
                <w:rFonts w:ascii="Verdana" w:hAnsi="Verdana"/>
              </w:rPr>
            </w:pPr>
            <w:r w:rsidRPr="788D2F8D">
              <w:rPr>
                <w:rFonts w:ascii="Verdana" w:hAnsi="Verdana"/>
              </w:rPr>
              <w:t xml:space="preserve">This dataset allows public health professionals and researchers to evaluate screening practices and monitor progress towards eliminating lead poisoning among children. Also, this dataset will be used to develop </w:t>
            </w:r>
            <w:r w:rsidRPr="788D2F8D" w:rsidR="00B017CE">
              <w:rPr>
                <w:rFonts w:ascii="Verdana" w:hAnsi="Verdana"/>
              </w:rPr>
              <w:t>indicators</w:t>
            </w:r>
            <w:r w:rsidRPr="788D2F8D">
              <w:rPr>
                <w:rFonts w:ascii="Verdana" w:hAnsi="Verdana"/>
              </w:rPr>
              <w:t xml:space="preserve"> (</w:t>
            </w:r>
            <w:r w:rsidRPr="788D2F8D">
              <w:rPr>
                <w:rFonts w:ascii="Verdana" w:hAnsi="Verdana"/>
              </w:rPr>
              <w:t xml:space="preserve">with appropriate </w:t>
            </w:r>
            <w:r w:rsidRPr="788D2F8D">
              <w:rPr>
                <w:rFonts w:ascii="Verdana" w:hAnsi="Verdana"/>
              </w:rPr>
              <w:t xml:space="preserve">procedures to protect </w:t>
            </w:r>
            <w:r w:rsidRPr="788D2F8D">
              <w:rPr>
                <w:rFonts w:ascii="Verdana" w:hAnsi="Verdana"/>
              </w:rPr>
              <w:t>confidentiality</w:t>
            </w:r>
            <w:r w:rsidRPr="788D2F8D">
              <w:rPr>
                <w:rFonts w:ascii="Verdana" w:hAnsi="Verdana"/>
              </w:rPr>
              <w:t xml:space="preserve">) </w:t>
            </w:r>
            <w:r w:rsidRPr="788D2F8D">
              <w:rPr>
                <w:rFonts w:ascii="Verdana" w:hAnsi="Verdana"/>
              </w:rPr>
              <w:t xml:space="preserve">for the national public portal. This dataset </w:t>
            </w:r>
            <w:r w:rsidRPr="788D2F8D" w:rsidR="00E74E55">
              <w:rPr>
                <w:rFonts w:ascii="Verdana" w:hAnsi="Verdana"/>
              </w:rPr>
              <w:t>can</w:t>
            </w:r>
            <w:r w:rsidRPr="788D2F8D">
              <w:rPr>
                <w:rFonts w:ascii="Verdana" w:hAnsi="Verdana"/>
              </w:rPr>
              <w:t xml:space="preserve"> be linked to </w:t>
            </w:r>
            <w:r w:rsidRPr="788D2F8D">
              <w:rPr>
                <w:rFonts w:ascii="Verdana" w:hAnsi="Verdana"/>
              </w:rPr>
              <w:t xml:space="preserve">US </w:t>
            </w:r>
            <w:r w:rsidRPr="788D2F8D">
              <w:rPr>
                <w:rFonts w:ascii="Verdana" w:hAnsi="Verdana"/>
              </w:rPr>
              <w:t xml:space="preserve">Census data and other data sources to identify </w:t>
            </w:r>
            <w:r w:rsidRPr="788D2F8D">
              <w:rPr>
                <w:rFonts w:ascii="Verdana" w:hAnsi="Verdana"/>
              </w:rPr>
              <w:t xml:space="preserve">geographic </w:t>
            </w:r>
            <w:r w:rsidRPr="788D2F8D">
              <w:rPr>
                <w:rFonts w:ascii="Verdana" w:hAnsi="Verdana"/>
              </w:rPr>
              <w:t xml:space="preserve">areas </w:t>
            </w:r>
            <w:r w:rsidRPr="788D2F8D">
              <w:rPr>
                <w:rFonts w:ascii="Verdana" w:hAnsi="Verdana"/>
              </w:rPr>
              <w:t xml:space="preserve">where children are </w:t>
            </w:r>
            <w:r w:rsidRPr="788D2F8D">
              <w:rPr>
                <w:rFonts w:ascii="Verdana" w:hAnsi="Verdana"/>
              </w:rPr>
              <w:t>at risk for lead poisoning.</w:t>
            </w:r>
          </w:p>
          <w:p w:rsidR="00A21CCD" w:rsidP="003F72A1" w14:paraId="70DD9658" w14:textId="77777777">
            <w:pPr>
              <w:rPr>
                <w:rFonts w:ascii="Verdana" w:hAnsi="Verdana"/>
              </w:rPr>
            </w:pPr>
          </w:p>
          <w:p w:rsidR="00BB580A" w:rsidP="003F72A1" w14:paraId="70DD9659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This dataset is used to create the following indicators:</w:t>
            </w:r>
          </w:p>
          <w:p w:rsidR="00BB580A" w:rsidP="00BB580A" w14:paraId="70DD965A" w14:textId="77777777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788D2F8D">
              <w:rPr>
                <w:rFonts w:ascii="Verdana" w:hAnsi="Verdana"/>
              </w:rPr>
              <w:t xml:space="preserve">Blood Lead </w:t>
            </w:r>
            <w:r w:rsidRPr="788D2F8D" w:rsidR="001A201C">
              <w:rPr>
                <w:rFonts w:ascii="Verdana" w:hAnsi="Verdana"/>
              </w:rPr>
              <w:t>Levels</w:t>
            </w:r>
            <w:r w:rsidRPr="788D2F8D">
              <w:rPr>
                <w:rFonts w:ascii="Verdana" w:hAnsi="Verdana"/>
              </w:rPr>
              <w:t xml:space="preserve"> by Birth Cohort</w:t>
            </w:r>
          </w:p>
          <w:p w:rsidR="00B966AD" w:rsidP="788D2F8D" w14:paraId="74667798" w14:textId="7FB32EC0">
            <w:pPr>
              <w:numPr>
                <w:ilvl w:val="0"/>
                <w:numId w:val="3"/>
              </w:numPr>
              <w:textAlignment w:val="baseline"/>
            </w:pPr>
            <w:r w:rsidRPr="788D2F8D">
              <w:rPr>
                <w:rFonts w:ascii="Verdana" w:hAnsi="Verdana"/>
              </w:rPr>
              <w:t>Annual Blood Lead Levels</w:t>
            </w:r>
          </w:p>
          <w:p w:rsidR="00B966AD" w:rsidP="788D2F8D" w14:paraId="6C3B47B3" w14:textId="13D5B2C3">
            <w:pPr>
              <w:numPr>
                <w:ilvl w:val="0"/>
                <w:numId w:val="3"/>
              </w:numPr>
              <w:textAlignment w:val="baseline"/>
            </w:pPr>
            <w:r w:rsidRPr="788D2F8D">
              <w:rPr>
                <w:rFonts w:ascii="Verdana" w:hAnsi="Verdana"/>
              </w:rPr>
              <w:t>State Blood Lead Testing Practices</w:t>
            </w:r>
            <w:r w:rsidRPr="788D2F8D">
              <w:rPr>
                <w:rStyle w:val="eop"/>
                <w:sz w:val="22"/>
                <w:szCs w:val="22"/>
              </w:rPr>
              <w:t> </w:t>
            </w:r>
          </w:p>
          <w:p w:rsidR="004D7207" w:rsidRPr="003F72A1" w:rsidP="00BB580A" w14:paraId="70DD965C" w14:textId="77777777">
            <w:pPr>
              <w:ind w:left="360"/>
              <w:rPr>
                <w:rFonts w:ascii="Verdana" w:hAnsi="Verdana"/>
              </w:rPr>
            </w:pPr>
          </w:p>
        </w:tc>
      </w:tr>
      <w:tr w14:paraId="70DD9660" w14:textId="77777777" w:rsidTr="786110A5">
        <w:tblPrEx>
          <w:tblW w:w="9900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</w:trPr>
        <w:tc>
          <w:tcPr>
            <w:tcW w:w="2309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E104B" w:rsidP="00AE104B" w14:paraId="70DD965E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Restrictions</w:t>
            </w:r>
          </w:p>
        </w:tc>
        <w:tc>
          <w:tcPr>
            <w:tcW w:w="7591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:rsidR="00AE104B" w:rsidP="00AE104B" w14:paraId="70DD965F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T</w:t>
            </w:r>
            <w:r w:rsidR="007A69CA">
              <w:rPr>
                <w:rFonts w:ascii="Verdana" w:hAnsi="Verdana" w:cs="Shruti"/>
              </w:rPr>
              <w:t>his is a restricted access data</w:t>
            </w:r>
            <w:r w:rsidR="00E74E55">
              <w:rPr>
                <w:rFonts w:ascii="Verdana" w:hAnsi="Verdana" w:cs="Shruti"/>
              </w:rPr>
              <w:t>set without appropriate confidentiality measures applied.</w:t>
            </w:r>
          </w:p>
        </w:tc>
      </w:tr>
    </w:tbl>
    <w:p w:rsidR="00AE104B" w:rsidP="00AE104B" w14:paraId="70DD9661" w14:textId="77777777"/>
    <w:p w:rsidR="00AE104B" w:rsidP="00AE104B" w14:paraId="70DD9662" w14:textId="77777777"/>
    <w:p w:rsidR="00AE104B" w:rsidP="00AE104B" w14:paraId="70DD9663" w14:textId="1B2F61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-586696</wp:posOffset>
                </wp:positionH>
                <wp:positionV relativeFrom="paragraph">
                  <wp:posOffset>158768</wp:posOffset>
                </wp:positionV>
                <wp:extent cx="6741994" cy="873457"/>
                <wp:effectExtent l="0" t="0" r="2095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994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F2F" w:rsidP="00A16F2F" w14:textId="71A271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CDC estimates the average public reporting burden for this collection of </w:t>
                            </w:r>
                            <w:r w:rsidRPr="003C62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3C62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hours per response, including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                      </w:r>
                            <w:r w:rsidR="008A6C0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H21-8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 Atlanta, Georgia 30333; ATTN: PRA (0920-</w:t>
                            </w:r>
                            <w:r w:rsidR="00642F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1175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0.85pt;height:68.8pt;margin-top:12.5pt;margin-left:-46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16F2F" w:rsidP="00A16F2F" w14:paraId="262D7C43" w14:textId="71A271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CDC estimates the average public reporting burden for this collection of </w:t>
                      </w:r>
                      <w:r w:rsidRPr="003C62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information as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40 </w:t>
                      </w:r>
                      <w:r w:rsidRPr="003C627B">
                        <w:rPr>
                          <w:rFonts w:ascii="Calibri" w:hAnsi="Calibri"/>
                          <w:sz w:val="16"/>
                          <w:szCs w:val="16"/>
                        </w:rPr>
                        <w:t>hours per response, including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                </w:r>
                      <w:r w:rsidR="008A6C08">
                        <w:rPr>
                          <w:rFonts w:ascii="Calibri" w:hAnsi="Calibri"/>
                          <w:sz w:val="16"/>
                          <w:szCs w:val="16"/>
                        </w:rPr>
                        <w:t>H21-8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, Atlanta, Georgia 30333; ATTN: PRA (0920-</w:t>
                      </w:r>
                      <w:r w:rsidR="00642F0D">
                        <w:rPr>
                          <w:rFonts w:ascii="Calibri" w:hAnsi="Calibri"/>
                          <w:sz w:val="16"/>
                          <w:szCs w:val="16"/>
                        </w:rPr>
                        <w:t>1175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04B" w:rsidP="00AE104B" w14:paraId="70DD9664" w14:textId="052FF0A3"/>
    <w:p w:rsidR="00AE104B" w:rsidP="00AE104B" w14:paraId="70DD9665" w14:textId="77777777"/>
    <w:p w:rsidR="00AE104B" w:rsidP="00AE104B" w14:paraId="70DD9666" w14:textId="77777777"/>
    <w:p w:rsidR="00AE104B" w:rsidP="00AE104B" w14:paraId="70DD9667" w14:textId="77777777"/>
    <w:p w:rsidR="00AE104B" w:rsidP="00AE104B" w14:paraId="70DD9668" w14:textId="77777777"/>
    <w:p w:rsidR="00AE104B" w:rsidP="00AE104B" w14:paraId="70DD9669" w14:textId="77777777">
      <w:pPr>
        <w:sectPr w:rsidSect="003138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E104B" w:rsidP="00AE104B" w14:paraId="70DD966A" w14:textId="77777777"/>
    <w:tbl>
      <w:tblPr>
        <w:tblW w:w="14326" w:type="dxa"/>
        <w:tblInd w:w="-4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715"/>
        <w:gridCol w:w="2138"/>
        <w:gridCol w:w="1563"/>
        <w:gridCol w:w="2056"/>
        <w:gridCol w:w="2056"/>
        <w:gridCol w:w="1727"/>
        <w:gridCol w:w="2071"/>
      </w:tblGrid>
      <w:tr w14:paraId="70DD9670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2221"/>
          <w:tblHeader/>
        </w:trPr>
        <w:tc>
          <w:tcPr>
            <w:tcW w:w="1432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3366"/>
            <w:vAlign w:val="center"/>
          </w:tcPr>
          <w:p w:rsidR="00DC0DF3" w:rsidP="00BB580A" w14:paraId="70DD966B" w14:textId="77777777">
            <w:pPr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 xml:space="preserve">CLP2: </w:t>
            </w:r>
            <w:r w:rsidRPr="00BB580A"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 xml:space="preserve">Blood Lead </w:t>
            </w: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>Levels</w:t>
            </w:r>
            <w:r w:rsidRPr="00BB580A"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 xml:space="preserve"> by Birth Cohort, by </w:t>
            </w: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>County</w:t>
            </w:r>
          </w:p>
          <w:p w:rsidR="00DC0DF3" w:rsidP="00A61632" w14:paraId="70DD966C" w14:textId="77777777">
            <w:pPr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>Childhood Lead Poisoning</w:t>
            </w:r>
          </w:p>
          <w:p w:rsidR="00DC0DF3" w:rsidP="00A61632" w14:paraId="70DD966D" w14:textId="77777777">
            <w:pPr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</w:p>
          <w:p w:rsidR="00DC0DF3" w:rsidP="00A61632" w14:paraId="70DD966E" w14:textId="77777777">
            <w:pPr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>Data Dictionary for Aggregate</w:t>
            </w:r>
            <w:r w:rsidRPr="00062656"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  <w:t xml:space="preserve"> Data</w:t>
            </w:r>
          </w:p>
          <w:p w:rsidR="00DC0DF3" w:rsidP="00BB580A" w14:paraId="70DD966F" w14:textId="77777777">
            <w:pPr>
              <w:jc w:val="center"/>
              <w:rPr>
                <w:rFonts w:ascii="Verdana" w:hAnsi="Verdana"/>
                <w:b/>
                <w:smallCaps/>
                <w:color w:val="FFFFFF"/>
                <w:sz w:val="32"/>
                <w:szCs w:val="32"/>
              </w:rPr>
            </w:pPr>
            <w:r w:rsidRPr="00062656">
              <w:rPr>
                <w:rFonts w:ascii="Verdana" w:hAnsi="Verdana"/>
                <w:b/>
                <w:bCs/>
                <w:color w:val="FFFFFF"/>
              </w:rPr>
              <w:t>Environmental Public Health Tracking</w:t>
            </w:r>
          </w:p>
        </w:tc>
      </w:tr>
      <w:tr w14:paraId="70DD9678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074"/>
          <w:tblHeader/>
        </w:trPr>
        <w:tc>
          <w:tcPr>
            <w:tcW w:w="2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1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 w:rsidRPr="00E20C78">
              <w:rPr>
                <w:rFonts w:ascii="Verdana" w:hAnsi="Verdana" w:cs="Shruti"/>
                <w:b/>
                <w:bCs/>
              </w:rPr>
              <w:t>Field Name</w:t>
            </w:r>
          </w:p>
        </w:tc>
        <w:tc>
          <w:tcPr>
            <w:tcW w:w="2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2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 w:rsidRPr="00E20C78">
              <w:rPr>
                <w:rFonts w:ascii="Verdana" w:hAnsi="Verdana" w:cs="Shruti"/>
                <w:b/>
                <w:bCs/>
              </w:rPr>
              <w:t>Field Description</w:t>
            </w:r>
          </w:p>
        </w:tc>
        <w:tc>
          <w:tcPr>
            <w:tcW w:w="15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3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>
              <w:rPr>
                <w:rFonts w:ascii="Verdana" w:hAnsi="Verdana" w:cs="Shruti"/>
                <w:b/>
                <w:bCs/>
              </w:rPr>
              <w:t>Data Type</w:t>
            </w:r>
          </w:p>
        </w:tc>
        <w:tc>
          <w:tcPr>
            <w:tcW w:w="2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4" w14:textId="77777777">
            <w:pPr>
              <w:spacing w:after="58"/>
              <w:rPr>
                <w:rFonts w:ascii="Verdana" w:hAnsi="Verdana" w:cs="Shruti"/>
                <w:b/>
              </w:rPr>
            </w:pPr>
            <w:r w:rsidRPr="00E20C78">
              <w:rPr>
                <w:rFonts w:ascii="Verdana" w:hAnsi="Verdana" w:cs="Shruti"/>
                <w:b/>
                <w:bCs/>
              </w:rPr>
              <w:t>Code Scheme</w:t>
            </w:r>
          </w:p>
        </w:tc>
        <w:tc>
          <w:tcPr>
            <w:tcW w:w="2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5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>
              <w:rPr>
                <w:rFonts w:ascii="Verdana" w:hAnsi="Verdana" w:cs="Shruti"/>
                <w:b/>
                <w:bCs/>
              </w:rPr>
              <w:t>Legal Values</w:t>
            </w:r>
          </w:p>
        </w:tc>
        <w:tc>
          <w:tcPr>
            <w:tcW w:w="17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RPr="00E20C78" w:rsidP="00A61632" w14:paraId="70DD9676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>
              <w:rPr>
                <w:rFonts w:ascii="Verdana" w:hAnsi="Verdana" w:cs="Shruti"/>
                <w:b/>
                <w:bCs/>
              </w:rPr>
              <w:t>Field Length</w:t>
            </w:r>
          </w:p>
        </w:tc>
        <w:tc>
          <w:tcPr>
            <w:tcW w:w="2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vAlign w:val="center"/>
          </w:tcPr>
          <w:p w:rsidR="00DC0DF3" w:rsidP="00DC0DF3" w14:paraId="70DD9677" w14:textId="77777777">
            <w:pPr>
              <w:spacing w:after="58"/>
              <w:rPr>
                <w:rFonts w:ascii="Verdana" w:hAnsi="Verdana" w:cs="Shruti"/>
                <w:b/>
                <w:bCs/>
              </w:rPr>
            </w:pPr>
            <w:r>
              <w:rPr>
                <w:rFonts w:ascii="Verdana" w:hAnsi="Verdana" w:cs="Shruti"/>
                <w:b/>
                <w:bCs/>
              </w:rPr>
              <w:t>Required</w:t>
            </w:r>
          </w:p>
        </w:tc>
      </w:tr>
      <w:tr w14:paraId="70DD9680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634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DC0DF3" w14:paraId="70DD9679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STATE</w:t>
            </w: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7A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State FIPS code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7B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String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7C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nn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7D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FIPS code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7E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2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DC0DF3" w:rsidRPr="004540E8" w:rsidP="00A61632" w14:paraId="70DD967F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Required</w:t>
            </w:r>
          </w:p>
        </w:tc>
      </w:tr>
      <w:tr w14:paraId="70D874CB" w14:textId="77777777" w:rsidTr="00175B07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63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P="003970E0" w14:paraId="42214661" w14:textId="63B361E4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spellingerror"/>
                <w:rFonts w:ascii="Verdana" w:hAnsi="Verdana" w:cs="Segoe UI"/>
              </w:rPr>
              <w:t>AgeGroup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RPr="004540E8" w:rsidP="003970E0" w14:paraId="1195C265" w14:textId="73BF628F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normaltextrun"/>
                <w:rFonts w:ascii="Verdana" w:hAnsi="Verdana" w:cs="Segoe UI"/>
              </w:rPr>
              <w:t>Age in months of child at time of test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RPr="004540E8" w:rsidP="003970E0" w14:paraId="394F5749" w14:textId="1034F606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normaltextrun"/>
                <w:rFonts w:ascii="Verdana" w:hAnsi="Verdana" w:cs="Segoe UI"/>
              </w:rPr>
              <w:t>Integer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P="003970E0" w14:paraId="5ACEF136" w14:textId="77777777">
            <w:pPr>
              <w:pStyle w:val="paragraph"/>
              <w:divId w:val="1284844429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1 = 0-&lt;12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500884D3" w14:textId="77777777">
            <w:pPr>
              <w:pStyle w:val="paragraph"/>
              <w:divId w:val="114126328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2 = 12-&lt;24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71DC752E" w14:textId="77777777">
            <w:pPr>
              <w:pStyle w:val="paragraph"/>
              <w:divId w:val="49958215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3 = 24-&lt;36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31886072" w14:textId="77777777">
            <w:pPr>
              <w:pStyle w:val="paragraph"/>
              <w:divId w:val="119048763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4 = 36-&lt;48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57E8BD45" w14:textId="77777777">
            <w:pPr>
              <w:pStyle w:val="paragraph"/>
              <w:divId w:val="230776642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5 = 48-&lt;60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16B1E154" w14:textId="77777777">
            <w:pPr>
              <w:pStyle w:val="paragraph"/>
              <w:divId w:val="44951769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6 = 60-&lt;72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411DFE26" w14:textId="77777777">
            <w:pPr>
              <w:pStyle w:val="paragraph"/>
              <w:divId w:val="621569548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9 = unknown age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36ABDF35" w14:textId="77777777">
            <w:pPr>
              <w:pStyle w:val="paragraph"/>
              <w:divId w:val="3724245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10=No Testing in county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P="003970E0" w14:paraId="7A9EC134" w14:textId="77777777">
            <w:pPr>
              <w:pStyle w:val="paragraph"/>
              <w:divId w:val="1304654879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>11=County not in system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3970E0" w:rsidRPr="004540E8" w:rsidP="003970E0" w14:paraId="33D46702" w14:textId="3766D6A3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P="003970E0" w14:paraId="7680893F" w14:textId="7F44F0AB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normaltextrun"/>
                <w:rFonts w:ascii="Verdana" w:hAnsi="Verdana" w:cs="Segoe UI"/>
              </w:rPr>
              <w:t>1-6, 9 – 11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0E0" w:rsidRPr="004540E8" w:rsidP="003970E0" w14:paraId="3C1E27B4" w14:textId="12D1DEF0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normaltextrun"/>
                <w:rFonts w:ascii="Verdana" w:hAnsi="Verdana" w:cs="Segoe UI"/>
              </w:rPr>
              <w:t>2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0E0" w:rsidP="003970E0" w14:paraId="6BE5FAEE" w14:textId="186258C2">
            <w:pPr>
              <w:spacing w:after="58"/>
              <w:rPr>
                <w:rFonts w:ascii="Verdana" w:hAnsi="Verdana" w:cs="Shruti"/>
              </w:rPr>
            </w:pPr>
            <w:r>
              <w:rPr>
                <w:rStyle w:val="normaltextrun"/>
                <w:rFonts w:ascii="Verdana" w:hAnsi="Verdana" w:cs="Segoe UI"/>
              </w:rPr>
              <w:t>Required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</w:tc>
      </w:tr>
      <w:tr w14:paraId="70DD9688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036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1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County</w:t>
            </w:r>
            <w:r w:rsidR="009B4155">
              <w:rPr>
                <w:rFonts w:ascii="Verdana" w:hAnsi="Verdana" w:cs="Shruti"/>
              </w:rPr>
              <w:t>FIPS</w:t>
            </w: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2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County FIPS code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3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String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4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nnn</w:t>
            </w:r>
            <w:r w:rsidRPr="004540E8">
              <w:rPr>
                <w:rFonts w:ascii="Verdana" w:hAnsi="Verdana" w:cs="Shruti"/>
              </w:rPr>
              <w:t>nn</w:t>
            </w:r>
            <w:r>
              <w:rPr>
                <w:rFonts w:ascii="Verdana" w:hAnsi="Verdana" w:cs="Shruti"/>
              </w:rPr>
              <w:t xml:space="preserve">                U = unknown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5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FIPS code, U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6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5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DC0DF3" w:rsidP="00A61632" w14:paraId="70DD9687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Required</w:t>
            </w:r>
          </w:p>
        </w:tc>
      </w:tr>
      <w:tr w14:paraId="70DD9690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865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9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BCYear</w:t>
            </w: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A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Year in which birth cohort was born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6B6B4A" w:rsidP="009242DD" w14:paraId="70DD968B" w14:textId="77777777">
            <w:pPr>
              <w:spacing w:after="58"/>
              <w:rPr>
                <w:rFonts w:ascii="Verdana" w:hAnsi="Verdana" w:cs="Shruti"/>
                <w:strike/>
              </w:rPr>
            </w:pPr>
            <w:r w:rsidRPr="006B6B4A">
              <w:rPr>
                <w:rFonts w:ascii="Verdana" w:hAnsi="Verdana" w:cs="Shruti"/>
              </w:rPr>
              <w:t>Integer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6B6B4A" w:rsidP="009242DD" w14:paraId="70DD968C" w14:textId="77777777">
            <w:pPr>
              <w:spacing w:after="58"/>
              <w:rPr>
                <w:rFonts w:ascii="Verdana" w:hAnsi="Verdana" w:cs="Shruti"/>
                <w:strike/>
              </w:rPr>
            </w:pPr>
            <w:r w:rsidRPr="006B6B4A">
              <w:rPr>
                <w:rFonts w:ascii="Verdana" w:hAnsi="Verdana" w:cs="Shruti"/>
              </w:rPr>
              <w:t>nnnn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D" w14:textId="77777777">
            <w:pPr>
              <w:spacing w:after="58"/>
              <w:rPr>
                <w:rFonts w:ascii="Verdana" w:hAnsi="Verdana" w:cs="Shruti"/>
              </w:rPr>
            </w:pPr>
            <w:r w:rsidRPr="004540E8">
              <w:rPr>
                <w:rFonts w:ascii="Verdana" w:hAnsi="Verdana" w:cs="Shruti"/>
              </w:rPr>
              <w:t>0-9999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A61632" w14:paraId="70DD968E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4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DC0DF3" w:rsidP="00A61632" w14:paraId="70DD968F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Required</w:t>
            </w:r>
          </w:p>
        </w:tc>
      </w:tr>
      <w:tr w14:paraId="70DD96A1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3124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49175C8E" w14:paraId="638A1995" w14:textId="77777777">
            <w:pPr>
              <w:rPr>
                <w:rFonts w:ascii="Verdana" w:hAnsi="Verdana" w:cs="Arial"/>
              </w:rPr>
            </w:pPr>
            <w:r w:rsidRPr="49175C8E">
              <w:rPr>
                <w:rFonts w:ascii="Verdana" w:hAnsi="Verdana" w:cs="Arial"/>
              </w:rPr>
              <w:t>BLLCategory</w:t>
            </w:r>
          </w:p>
          <w:p w:rsidR="00DC0DF3" w:rsidP="49175C8E" w14:paraId="70DD9691" w14:textId="522BC82A">
            <w:pPr>
              <w:rPr>
                <w:rFonts w:ascii="Verdana" w:hAnsi="Verdana" w:cs="Arial"/>
              </w:rPr>
            </w:pP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005144AB" w14:paraId="70DD9692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Categorization of blood lead test results </w:t>
            </w:r>
            <w:r w:rsidRPr="005707FA">
              <w:rPr>
                <w:rFonts w:ascii="Verdana" w:hAnsi="Verdana" w:cs="Arial"/>
              </w:rPr>
              <w:t>in units of μg/dL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005144AB" w14:paraId="70DD9693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Integer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922E19" w:rsidRPr="00D12C4A" w:rsidP="00922E19" w14:paraId="12CC1691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1 = &lt;3.5</w:t>
            </w:r>
          </w:p>
          <w:p w:rsidR="00922E19" w:rsidRPr="00D12C4A" w:rsidP="00922E19" w14:paraId="3A8A6A5B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2 = 3.5 - &lt;5</w:t>
            </w:r>
          </w:p>
          <w:p w:rsidR="00922E19" w:rsidRPr="00D12C4A" w:rsidP="00922E19" w14:paraId="6B1EE8F1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3 = 5 - &lt;10</w:t>
            </w:r>
          </w:p>
          <w:p w:rsidR="00922E19" w:rsidRPr="00D12C4A" w:rsidP="00922E19" w14:paraId="1BDB551F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4 = 10-&lt;15</w:t>
            </w:r>
          </w:p>
          <w:p w:rsidR="00922E19" w:rsidRPr="00D12C4A" w:rsidP="00922E19" w14:paraId="485D4B92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5 = 15-&lt;20</w:t>
            </w:r>
          </w:p>
          <w:p w:rsidR="00922E19" w:rsidRPr="00D12C4A" w:rsidP="00922E19" w14:paraId="3E28FA8E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6 = 20-&lt;25</w:t>
            </w:r>
          </w:p>
          <w:p w:rsidR="00922E19" w:rsidRPr="00D12C4A" w:rsidP="00922E19" w14:paraId="4520DD3F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7 = 25-&lt;45</w:t>
            </w:r>
          </w:p>
          <w:p w:rsidR="00922E19" w:rsidRPr="00D12C4A" w:rsidP="00922E19" w14:paraId="18D4948D" w14:textId="77777777">
            <w:pPr>
              <w:tabs>
                <w:tab w:val="left" w:pos="1739"/>
              </w:tabs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8 = 45-&lt;70</w:t>
            </w:r>
          </w:p>
          <w:p w:rsidR="00922E19" w:rsidRPr="00D12C4A" w:rsidP="00922E19" w14:paraId="2E53B6D2" w14:textId="77777777">
            <w:pPr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9 = ≥70</w:t>
            </w:r>
          </w:p>
          <w:p w:rsidR="00922E19" w:rsidRPr="00D12C4A" w:rsidP="00922E19" w14:paraId="5C9968B5" w14:textId="77777777">
            <w:pPr>
              <w:rPr>
                <w:bCs/>
                <w:highlight w:val="yellow"/>
              </w:rPr>
            </w:pPr>
            <w:r w:rsidRPr="00D12C4A">
              <w:rPr>
                <w:bCs/>
                <w:highlight w:val="yellow"/>
              </w:rPr>
              <w:t>10=No testing in county</w:t>
            </w:r>
          </w:p>
          <w:p w:rsidR="00922E19" w:rsidRPr="00860891" w:rsidP="00922E19" w14:paraId="0452E078" w14:textId="77777777">
            <w:pPr>
              <w:rPr>
                <w:bCs/>
              </w:rPr>
            </w:pPr>
            <w:r w:rsidRPr="00D12C4A">
              <w:rPr>
                <w:bCs/>
                <w:highlight w:val="yellow"/>
              </w:rPr>
              <w:t>11=County not in system</w:t>
            </w:r>
          </w:p>
          <w:p w:rsidR="00285CFB" w:rsidP="00CE18E6" w14:paraId="70DD969D" w14:textId="37F6D166">
            <w:pPr>
              <w:rPr>
                <w:rFonts w:ascii="Verdana" w:hAnsi="Verdana" w:cs="Arial"/>
              </w:rPr>
            </w:pP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00285CFB" w14:paraId="70DD969E" w14:textId="5B625CD5">
            <w:pPr>
              <w:rPr>
                <w:rFonts w:ascii="Verdana" w:hAnsi="Verdana" w:cs="Arial"/>
              </w:rPr>
            </w:pPr>
            <w:r w:rsidRPr="007673D6">
              <w:rPr>
                <w:rFonts w:ascii="Verdana" w:hAnsi="Verdana" w:cs="Arial"/>
                <w:highlight w:val="yellow"/>
              </w:rPr>
              <w:t>1-</w:t>
            </w:r>
            <w:r w:rsidRPr="007673D6" w:rsidR="00285CFB">
              <w:rPr>
                <w:rFonts w:ascii="Verdana" w:hAnsi="Verdana" w:cs="Arial"/>
                <w:highlight w:val="yellow"/>
              </w:rPr>
              <w:t>1</w:t>
            </w:r>
            <w:r w:rsidRPr="007673D6" w:rsidR="007673D6">
              <w:rPr>
                <w:rFonts w:ascii="Verdana" w:hAnsi="Verdana" w:cs="Arial"/>
                <w:highlight w:val="yellow"/>
              </w:rPr>
              <w:t>1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005144AB" w14:paraId="70DD969F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DC0DF3" w:rsidP="005144AB" w14:paraId="70DD96A0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Required</w:t>
            </w:r>
          </w:p>
        </w:tc>
      </w:tr>
      <w:tr w14:paraId="70DD96A9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522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P="005144AB" w14:paraId="70DD96A2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NumChildrenTested</w:t>
            </w: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5144AB" w14:paraId="70DD96A3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Number of children tested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5144AB" w14:paraId="70DD96A4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Integer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5144AB" w14:paraId="70DD96A5" w14:textId="77777777">
            <w:pPr>
              <w:spacing w:after="58"/>
              <w:rPr>
                <w:rFonts w:ascii="Verdana" w:hAnsi="Verdana" w:cs="Shruti"/>
              </w:rPr>
            </w:pP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5144AB" w14:paraId="70DD96A6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0-nnnnn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DC0DF3" w:rsidRPr="004540E8" w:rsidP="005144AB" w14:paraId="70DD96A7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5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DC0DF3" w:rsidP="005144AB" w14:paraId="70DD96A8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Required</w:t>
            </w:r>
          </w:p>
        </w:tc>
      </w:tr>
      <w:tr w14:paraId="70DD96B2" w14:textId="77777777" w:rsidTr="49175C8E">
        <w:tblPrEx>
          <w:tblW w:w="14326" w:type="dxa"/>
          <w:tblInd w:w="-42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522"/>
        </w:trPr>
        <w:tc>
          <w:tcPr>
            <w:tcW w:w="271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5144AB" w14:paraId="70DD96AA" w14:textId="7777777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Confirmed</w:t>
            </w:r>
          </w:p>
        </w:tc>
        <w:tc>
          <w:tcPr>
            <w:tcW w:w="213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5144AB" w14:paraId="70DD96AB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Arial"/>
              </w:rPr>
              <w:t>Classification of test result as either confirmed or unconfirmed</w:t>
            </w:r>
          </w:p>
        </w:tc>
        <w:tc>
          <w:tcPr>
            <w:tcW w:w="156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5144AB" w14:paraId="70DD96AC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Integer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C0004A" w14:paraId="70DD96AD" w14:textId="77777777">
            <w:pPr>
              <w:rPr>
                <w:bCs/>
              </w:rPr>
            </w:pPr>
            <w:r>
              <w:rPr>
                <w:bCs/>
              </w:rPr>
              <w:t>0=no, unconfirmed</w:t>
            </w:r>
          </w:p>
          <w:p w:rsidR="00C0004A" w:rsidRPr="004540E8" w:rsidP="005144AB" w14:paraId="70DD96AE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bCs/>
              </w:rPr>
              <w:t>1=yes, confirmed</w:t>
            </w:r>
          </w:p>
        </w:tc>
        <w:tc>
          <w:tcPr>
            <w:tcW w:w="205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5144AB" w14:paraId="70DD96AF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Arial"/>
              </w:rPr>
              <w:t>0-1</w:t>
            </w:r>
          </w:p>
        </w:tc>
        <w:tc>
          <w:tcPr>
            <w:tcW w:w="172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center"/>
          </w:tcPr>
          <w:p w:rsidR="00C0004A" w:rsidP="005144AB" w14:paraId="70DD96B0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20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C0004A" w:rsidP="005144AB" w14:paraId="70DD96B1" w14:textId="77777777">
            <w:pPr>
              <w:spacing w:after="58"/>
              <w:rPr>
                <w:rFonts w:ascii="Verdana" w:hAnsi="Verdana" w:cs="Shruti"/>
              </w:rPr>
            </w:pPr>
            <w:r>
              <w:rPr>
                <w:rFonts w:ascii="Verdana" w:hAnsi="Verdana" w:cs="Shruti"/>
              </w:rPr>
              <w:t>Required</w:t>
            </w:r>
          </w:p>
        </w:tc>
      </w:tr>
    </w:tbl>
    <w:p w:rsidR="00811423" w:rsidP="00080CD7" w14:paraId="70DD96B3" w14:textId="77777777"/>
    <w:p w:rsidR="00DE6D15" w:rsidP="00080CD7" w14:paraId="7E96A23A" w14:textId="77777777">
      <w:r>
        <w:br w:type="page"/>
      </w:r>
    </w:p>
    <w:tbl>
      <w:tblPr>
        <w:tblW w:w="13364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5"/>
        <w:gridCol w:w="2675"/>
        <w:gridCol w:w="1232"/>
        <w:gridCol w:w="3095"/>
        <w:gridCol w:w="1487"/>
        <w:gridCol w:w="1369"/>
        <w:gridCol w:w="1571"/>
      </w:tblGrid>
      <w:tr w14:paraId="77275875" w14:textId="77777777" w:rsidTr="00DE6D15">
        <w:tblPrEx>
          <w:tblW w:w="13364" w:type="dxa"/>
          <w:tblInd w:w="-4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85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07C0FF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LSPYear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120D3D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Year corresponding to the dataset submission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210C7F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String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7921C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nnnn-nnnn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3B6C69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0-9999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90C66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4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6D15" w:rsidP="00DE6D15" w14:paraId="7BC607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14:paraId="7FA6F8A9" w14:textId="77777777" w:rsidTr="00DE6D15">
        <w:tblPrEx>
          <w:tblW w:w="13364" w:type="dxa"/>
          <w:tblInd w:w="-420" w:type="dxa"/>
          <w:tblCellMar>
            <w:left w:w="0" w:type="dxa"/>
            <w:right w:w="0" w:type="dxa"/>
          </w:tblCellMar>
          <w:tblLook w:val="04A0"/>
        </w:tblPrEx>
        <w:trPr>
          <w:trHeight w:val="85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3B7977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BLLReported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3DF840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Blood </w:t>
            </w:r>
            <w:r>
              <w:rPr>
                <w:rStyle w:val="contextualspellingandgrammarerror"/>
                <w:sz w:val="22"/>
                <w:szCs w:val="22"/>
              </w:rPr>
              <w:t>lead</w:t>
            </w:r>
            <w:r>
              <w:rPr>
                <w:rStyle w:val="normaltextrun"/>
                <w:sz w:val="22"/>
                <w:szCs w:val="22"/>
              </w:rPr>
              <w:t xml:space="preserve"> levels reported to states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7D94C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Integer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666299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1=Blood Lead Levels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sz w:val="22"/>
                <w:szCs w:val="22"/>
              </w:rPr>
              <w:t xml:space="preserve">3.5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µ</w:t>
            </w:r>
            <w:r>
              <w:rPr>
                <w:rStyle w:val="normaltextrun"/>
                <w:sz w:val="22"/>
                <w:szCs w:val="22"/>
              </w:rPr>
              <w:t>g/dL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6F98403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2= Blood Lead Levels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sz w:val="22"/>
                <w:szCs w:val="22"/>
              </w:rPr>
              <w:t xml:space="preserve">5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µ</w:t>
            </w:r>
            <w:r>
              <w:rPr>
                <w:rStyle w:val="normaltextrun"/>
                <w:sz w:val="22"/>
                <w:szCs w:val="22"/>
              </w:rPr>
              <w:t>g/dL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3EE3E8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3 = Blood Lead Levels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sz w:val="22"/>
                <w:szCs w:val="22"/>
              </w:rPr>
              <w:t xml:space="preserve">10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µ</w:t>
            </w:r>
            <w:r>
              <w:rPr>
                <w:rStyle w:val="normaltextrun"/>
                <w:sz w:val="22"/>
                <w:szCs w:val="22"/>
              </w:rPr>
              <w:t>g/dL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4868C4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4=All tests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64CB2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1-4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765DA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6D15" w:rsidP="00DE6D15" w14:paraId="19702E2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14:paraId="1C9CCD16" w14:textId="77777777" w:rsidTr="00DE6D15">
        <w:tblPrEx>
          <w:tblW w:w="13364" w:type="dxa"/>
          <w:tblInd w:w="-420" w:type="dxa"/>
          <w:tblCellMar>
            <w:left w:w="0" w:type="dxa"/>
            <w:right w:w="0" w:type="dxa"/>
          </w:tblCellMar>
          <w:tblLook w:val="04A0"/>
        </w:tblPrEx>
        <w:trPr>
          <w:trHeight w:val="151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39E66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FollowupRequired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2ED206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Follow-up investigation 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A6046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Integer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6A76E0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0 = no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6D7C57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1= yes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56446A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0-1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19C68F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6D15" w:rsidP="00DE6D15" w14:paraId="718BD5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14:paraId="0CC043D4" w14:textId="77777777" w:rsidTr="00DE6D15">
        <w:tblPrEx>
          <w:tblW w:w="13364" w:type="dxa"/>
          <w:tblInd w:w="-420" w:type="dxa"/>
          <w:tblCellMar>
            <w:left w:w="0" w:type="dxa"/>
            <w:right w:w="0" w:type="dxa"/>
          </w:tblCellMar>
          <w:tblLook w:val="04A0"/>
        </w:tblPrEx>
        <w:trPr>
          <w:trHeight w:val="151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67482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CaseProtocol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ECB136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Protocol present for case management and risk assessment follow-up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FB4D0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Integer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669C92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1 =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3.</w:t>
            </w:r>
            <w:r>
              <w:rPr>
                <w:rStyle w:val="normaltextrun"/>
                <w:sz w:val="22"/>
                <w:szCs w:val="22"/>
              </w:rPr>
              <w:t>5µg/dL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1F99E9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2 =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sz w:val="22"/>
                <w:szCs w:val="22"/>
              </w:rPr>
              <w:t>5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µg/dL</w:t>
            </w:r>
            <w:r>
              <w:rPr>
                <w:rStyle w:val="eop"/>
                <w:rFonts w:ascii="Segoe UI" w:hAnsi="Segoe UI" w:cs="Segoe UI"/>
                <w:sz w:val="22"/>
                <w:szCs w:val="22"/>
              </w:rPr>
              <w:t> </w:t>
            </w:r>
          </w:p>
          <w:p w:rsidR="00DE6D15" w:rsidP="00DE6D15" w14:paraId="6E9E17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3 = 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>≥</w:t>
            </w:r>
            <w:r>
              <w:rPr>
                <w:rStyle w:val="normaltextrun"/>
                <w:sz w:val="22"/>
                <w:szCs w:val="22"/>
              </w:rPr>
              <w:t>10 µg/dL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41E831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4 = none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03BF26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1-4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5721EA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6D15" w:rsidP="00DE6D15" w14:paraId="4B3D61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14:paraId="57115FC4" w14:textId="77777777" w:rsidTr="00DE6D15">
        <w:tblPrEx>
          <w:tblW w:w="13364" w:type="dxa"/>
          <w:tblInd w:w="-420" w:type="dxa"/>
          <w:tblCellMar>
            <w:left w:w="0" w:type="dxa"/>
            <w:right w:w="0" w:type="dxa"/>
          </w:tblCellMar>
          <w:tblLook w:val="04A0"/>
        </w:tblPrEx>
        <w:trPr>
          <w:trHeight w:val="294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46F6E0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sz w:val="22"/>
                <w:szCs w:val="22"/>
              </w:rPr>
              <w:t>SurveillanceType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0806C9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Blood </w:t>
            </w:r>
            <w:r>
              <w:rPr>
                <w:rStyle w:val="contextualspellingandgrammarerror"/>
                <w:sz w:val="22"/>
                <w:szCs w:val="22"/>
              </w:rPr>
              <w:t>lead</w:t>
            </w:r>
            <w:r>
              <w:rPr>
                <w:rStyle w:val="normaltextrun"/>
                <w:sz w:val="22"/>
                <w:szCs w:val="22"/>
              </w:rPr>
              <w:t xml:space="preserve"> testing surveillance type: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076C24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Integer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5AB9E6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1 = Targeted - Where blood lead screening is conducted </w:t>
            </w:r>
            <w:r>
              <w:rPr>
                <w:rStyle w:val="advancedproofingissue"/>
                <w:sz w:val="22"/>
                <w:szCs w:val="22"/>
              </w:rPr>
              <w:t>on the basis of</w:t>
            </w:r>
            <w:r>
              <w:rPr>
                <w:rStyle w:val="normaltextrun"/>
                <w:sz w:val="22"/>
                <w:szCs w:val="22"/>
              </w:rPr>
              <w:t xml:space="preserve"> risk for elevated blood lead in children. For example, the screening of all children covered under state Medicaid Programs.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28CBD9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DE6D15" w:rsidP="00DE6D15" w14:paraId="2F591F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2 = Universal - Where blood Lead Screening is mandated by State Public Health Law or State Public Health Programs which require the screening of blood lead of ALL </w:t>
            </w:r>
            <w:r>
              <w:rPr>
                <w:rStyle w:val="normaltextrun"/>
                <w:sz w:val="22"/>
                <w:szCs w:val="22"/>
              </w:rPr>
              <w:t xml:space="preserve">children born in that state, regardless of a child’s risk for </w:t>
            </w:r>
            <w:r>
              <w:rPr>
                <w:rStyle w:val="contextualspellingandgrammarerror"/>
                <w:sz w:val="22"/>
                <w:szCs w:val="22"/>
              </w:rPr>
              <w:t>elevated  blood</w:t>
            </w:r>
            <w:r>
              <w:rPr>
                <w:rStyle w:val="normaltextrun"/>
                <w:sz w:val="22"/>
                <w:szCs w:val="22"/>
              </w:rPr>
              <w:t xml:space="preserve"> lead.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0921CE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1-2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6D15" w:rsidP="00DE6D15" w14:paraId="70EE63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6D15" w:rsidP="00DE6D15" w14:paraId="046CA5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Required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AE104B" w:rsidP="00080CD7" w14:paraId="70DD96B4" w14:textId="1DAC85D3"/>
    <w:p w:rsidR="00C66CF5" w:rsidP="00080CD7" w14:paraId="70DD96B5" w14:textId="77777777"/>
    <w:p w:rsidR="00C66CF5" w:rsidP="00080CD7" w14:paraId="70DD96FC" w14:textId="77777777"/>
    <w:sectPr w:rsidSect="008265AB">
      <w:footerReference w:type="default" r:id="rId1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F8B" w14:paraId="034ED2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2880"/>
      <w:gridCol w:w="2880"/>
      <w:gridCol w:w="2880"/>
    </w:tblGrid>
    <w:tr w14:paraId="5E61447D" w14:textId="77777777" w:rsidTr="49175C8E">
      <w:tblPrEx>
        <w:tblW w:w="0" w:type="auto"/>
        <w:tblLayout w:type="fixed"/>
        <w:tblLook w:val="06A0"/>
      </w:tblPrEx>
      <w:tc>
        <w:tcPr>
          <w:tcW w:w="2880" w:type="dxa"/>
        </w:tcPr>
        <w:p w:rsidR="49175C8E" w:rsidP="49175C8E" w14:paraId="00786F0B" w14:textId="5FAA8275">
          <w:pPr>
            <w:pStyle w:val="Header"/>
            <w:ind w:left="-115"/>
          </w:pPr>
        </w:p>
      </w:tc>
      <w:tc>
        <w:tcPr>
          <w:tcW w:w="2880" w:type="dxa"/>
        </w:tcPr>
        <w:p w:rsidR="49175C8E" w:rsidP="49175C8E" w14:paraId="3D5E986B" w14:textId="4D056505">
          <w:pPr>
            <w:pStyle w:val="Header"/>
            <w:jc w:val="center"/>
          </w:pPr>
        </w:p>
      </w:tc>
      <w:tc>
        <w:tcPr>
          <w:tcW w:w="2880" w:type="dxa"/>
        </w:tcPr>
        <w:p w:rsidR="49175C8E" w:rsidP="49175C8E" w14:paraId="1F2E6447" w14:textId="20E0A1E8">
          <w:pPr>
            <w:pStyle w:val="Header"/>
            <w:ind w:right="-115"/>
            <w:jc w:val="right"/>
          </w:pPr>
        </w:p>
      </w:tc>
    </w:tr>
  </w:tbl>
  <w:p w:rsidR="49175C8E" w:rsidP="49175C8E" w14:paraId="0CEB67EF" w14:textId="452D6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F8B" w14:paraId="694B816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320"/>
      <w:gridCol w:w="4320"/>
      <w:gridCol w:w="4320"/>
    </w:tblGrid>
    <w:tr w14:paraId="42EA8457" w14:textId="77777777" w:rsidTr="49175C8E">
      <w:tblPrEx>
        <w:tblW w:w="0" w:type="auto"/>
        <w:tblLayout w:type="fixed"/>
        <w:tblLook w:val="06A0"/>
      </w:tblPrEx>
      <w:tc>
        <w:tcPr>
          <w:tcW w:w="4320" w:type="dxa"/>
        </w:tcPr>
        <w:p w:rsidR="49175C8E" w:rsidP="49175C8E" w14:paraId="413C0751" w14:textId="51973175">
          <w:pPr>
            <w:pStyle w:val="Header"/>
            <w:ind w:left="-115"/>
          </w:pPr>
        </w:p>
      </w:tc>
      <w:tc>
        <w:tcPr>
          <w:tcW w:w="4320" w:type="dxa"/>
        </w:tcPr>
        <w:p w:rsidR="49175C8E" w:rsidP="49175C8E" w14:paraId="12B6E1B7" w14:textId="75BAD4A0">
          <w:pPr>
            <w:pStyle w:val="Header"/>
            <w:jc w:val="center"/>
          </w:pPr>
        </w:p>
      </w:tc>
      <w:tc>
        <w:tcPr>
          <w:tcW w:w="4320" w:type="dxa"/>
        </w:tcPr>
        <w:p w:rsidR="49175C8E" w:rsidP="49175C8E" w14:paraId="38FA7194" w14:textId="4FA64F3F">
          <w:pPr>
            <w:pStyle w:val="Header"/>
            <w:ind w:right="-115"/>
            <w:jc w:val="right"/>
          </w:pPr>
        </w:p>
      </w:tc>
    </w:tr>
  </w:tbl>
  <w:p w:rsidR="49175C8E" w:rsidP="49175C8E" w14:paraId="04A46911" w14:textId="548EA4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F8B" w14:paraId="7B3541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004A" w14:paraId="70DD9701" w14:textId="10B019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margin">
                <wp:posOffset>4720590</wp:posOffset>
              </wp:positionH>
              <wp:positionV relativeFrom="paragraph">
                <wp:posOffset>7620</wp:posOffset>
              </wp:positionV>
              <wp:extent cx="1228725" cy="495300"/>
              <wp:effectExtent l="0" t="0" r="28575" b="19050"/>
              <wp:wrapTight wrapText="bothSides">
                <wp:wrapPolygon>
                  <wp:start x="0" y="0"/>
                  <wp:lineTo x="0" y="21600"/>
                  <wp:lineTo x="21767" y="21600"/>
                  <wp:lineTo x="21767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2F8B" w:rsidP="00812F8B" w14:paraId="4F42B0A2" w14:textId="777777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:rsidR="00812F8B" w:rsidP="00812F8B" w14:paraId="4C7F260B" w14:textId="777777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OMB No. </w:t>
                          </w:r>
                          <w:r w:rsidRPr="008B146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0920-1175</w:t>
                          </w:r>
                        </w:p>
                        <w:p w:rsidR="00812F8B" w:rsidP="00812F8B" w14:paraId="44E3631D" w14:textId="777777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Exp. Date </w:t>
                          </w:r>
                          <w:r w:rsidRPr="008B146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7</w:t>
                          </w:r>
                          <w:r w:rsidRPr="008B146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/3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</w:t>
                          </w:r>
                          <w:r w:rsidRPr="008B1465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/202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6.75pt;height:39pt;margin-top:0.6pt;margin-left:371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overlap="f" strokecolor="#7f7f7f">
              <v:textbox>
                <w:txbxContent>
                  <w:p w:rsidR="00812F8B" w:rsidP="00812F8B" w14:paraId="308DA942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Form Approved</w:t>
                    </w:r>
                  </w:p>
                  <w:p w:rsidR="00812F8B" w:rsidP="00812F8B" w14:paraId="388037CF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OMB No. </w:t>
                    </w:r>
                    <w:r w:rsidRPr="008B1465">
                      <w:rPr>
                        <w:rFonts w:ascii="Calibri" w:hAnsi="Calibri"/>
                        <w:sz w:val="16"/>
                        <w:szCs w:val="16"/>
                      </w:rPr>
                      <w:t>0920-1175</w:t>
                    </w:r>
                  </w:p>
                  <w:p w:rsidR="00812F8B" w:rsidP="00812F8B" w14:paraId="020D2139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Exp. Date </w:t>
                    </w:r>
                    <w:r w:rsidRPr="008B1465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7</w:t>
                    </w:r>
                    <w:r w:rsidRPr="008B1465">
                      <w:rPr>
                        <w:rFonts w:ascii="Calibri" w:hAnsi="Calibri"/>
                        <w:sz w:val="16"/>
                        <w:szCs w:val="16"/>
                      </w:rPr>
                      <w:t>/3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1</w:t>
                    </w:r>
                    <w:r w:rsidRPr="008B1465">
                      <w:rPr>
                        <w:rFonts w:ascii="Calibri" w:hAnsi="Calibri"/>
                        <w:sz w:val="16"/>
                        <w:szCs w:val="16"/>
                      </w:rPr>
                      <w:t>/202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0004A">
      <w:t>V 6</w:t>
    </w:r>
    <w:r w:rsidR="00811423">
      <w:t>.</w:t>
    </w:r>
    <w:r w:rsidR="004F6BDC">
      <w:t>5</w:t>
    </w:r>
    <w:r w:rsidR="00C0004A">
      <w:tab/>
      <w:t>Childhood Lead Poisoning Data Dictionary</w:t>
    </w:r>
    <w:r w:rsidR="00C0004A">
      <w:tab/>
    </w:r>
    <w:r w:rsidR="00C0004A">
      <w:tab/>
    </w:r>
    <w:r w:rsidR="00C0004A">
      <w:tab/>
    </w:r>
    <w:r w:rsidR="00C000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F8B" w14:paraId="6F02E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8B3C56"/>
    <w:multiLevelType w:val="hybridMultilevel"/>
    <w:tmpl w:val="BE2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61C35"/>
    <w:multiLevelType w:val="multilevel"/>
    <w:tmpl w:val="C39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F82D05"/>
    <w:multiLevelType w:val="hybridMultilevel"/>
    <w:tmpl w:val="A3E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101C9"/>
    <w:multiLevelType w:val="hybridMultilevel"/>
    <w:tmpl w:val="51082C8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678652319">
    <w:abstractNumId w:val="0"/>
  </w:num>
  <w:num w:numId="2" w16cid:durableId="635768373">
    <w:abstractNumId w:val="2"/>
  </w:num>
  <w:num w:numId="3" w16cid:durableId="1681198333">
    <w:abstractNumId w:val="3"/>
  </w:num>
  <w:num w:numId="4" w16cid:durableId="150844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D7"/>
    <w:rsid w:val="000168E8"/>
    <w:rsid w:val="00062656"/>
    <w:rsid w:val="000640A1"/>
    <w:rsid w:val="00080CD7"/>
    <w:rsid w:val="000B3505"/>
    <w:rsid w:val="000B7FCA"/>
    <w:rsid w:val="000C0022"/>
    <w:rsid w:val="000E4FF5"/>
    <w:rsid w:val="001A201C"/>
    <w:rsid w:val="002169E8"/>
    <w:rsid w:val="0023236E"/>
    <w:rsid w:val="00241EB4"/>
    <w:rsid w:val="0024533E"/>
    <w:rsid w:val="00274217"/>
    <w:rsid w:val="00285CFB"/>
    <w:rsid w:val="00290C6C"/>
    <w:rsid w:val="00292213"/>
    <w:rsid w:val="00292D74"/>
    <w:rsid w:val="002B3DE0"/>
    <w:rsid w:val="002B4B7C"/>
    <w:rsid w:val="002C3615"/>
    <w:rsid w:val="002E2A24"/>
    <w:rsid w:val="003138E4"/>
    <w:rsid w:val="00376C92"/>
    <w:rsid w:val="00377CAE"/>
    <w:rsid w:val="003861C2"/>
    <w:rsid w:val="003970E0"/>
    <w:rsid w:val="003C627B"/>
    <w:rsid w:val="003C7C5C"/>
    <w:rsid w:val="003D2C25"/>
    <w:rsid w:val="003F5304"/>
    <w:rsid w:val="003F72A1"/>
    <w:rsid w:val="00443687"/>
    <w:rsid w:val="004540E8"/>
    <w:rsid w:val="00471349"/>
    <w:rsid w:val="00484A31"/>
    <w:rsid w:val="004D7207"/>
    <w:rsid w:val="004F6BDC"/>
    <w:rsid w:val="00504B87"/>
    <w:rsid w:val="005144AB"/>
    <w:rsid w:val="005172D8"/>
    <w:rsid w:val="00563CC9"/>
    <w:rsid w:val="005707FA"/>
    <w:rsid w:val="00573C1B"/>
    <w:rsid w:val="00574632"/>
    <w:rsid w:val="005858EC"/>
    <w:rsid w:val="005A0D36"/>
    <w:rsid w:val="005D20A5"/>
    <w:rsid w:val="006261FD"/>
    <w:rsid w:val="00642F0D"/>
    <w:rsid w:val="00661753"/>
    <w:rsid w:val="00661F8D"/>
    <w:rsid w:val="006B4784"/>
    <w:rsid w:val="006B6B4A"/>
    <w:rsid w:val="006E23C9"/>
    <w:rsid w:val="0070414B"/>
    <w:rsid w:val="00742D2B"/>
    <w:rsid w:val="007673D6"/>
    <w:rsid w:val="00794AF9"/>
    <w:rsid w:val="007A69CA"/>
    <w:rsid w:val="007B7520"/>
    <w:rsid w:val="007D65F4"/>
    <w:rsid w:val="007E1EB4"/>
    <w:rsid w:val="00810EF6"/>
    <w:rsid w:val="00811423"/>
    <w:rsid w:val="00812F8B"/>
    <w:rsid w:val="00815A33"/>
    <w:rsid w:val="008265AB"/>
    <w:rsid w:val="0086042E"/>
    <w:rsid w:val="00860891"/>
    <w:rsid w:val="008A6C08"/>
    <w:rsid w:val="008B1465"/>
    <w:rsid w:val="008D3DEE"/>
    <w:rsid w:val="008D4A55"/>
    <w:rsid w:val="00922E19"/>
    <w:rsid w:val="009242DD"/>
    <w:rsid w:val="009520F8"/>
    <w:rsid w:val="0096012C"/>
    <w:rsid w:val="00961A38"/>
    <w:rsid w:val="00962A2A"/>
    <w:rsid w:val="009664ED"/>
    <w:rsid w:val="009809DA"/>
    <w:rsid w:val="009A6826"/>
    <w:rsid w:val="009B4155"/>
    <w:rsid w:val="00A01200"/>
    <w:rsid w:val="00A16F2F"/>
    <w:rsid w:val="00A21CCD"/>
    <w:rsid w:val="00A61632"/>
    <w:rsid w:val="00A61B49"/>
    <w:rsid w:val="00AA47A1"/>
    <w:rsid w:val="00AC4075"/>
    <w:rsid w:val="00AE104B"/>
    <w:rsid w:val="00AE3CF5"/>
    <w:rsid w:val="00AF220D"/>
    <w:rsid w:val="00AF6BF1"/>
    <w:rsid w:val="00B017CE"/>
    <w:rsid w:val="00B0206A"/>
    <w:rsid w:val="00B46027"/>
    <w:rsid w:val="00B626CB"/>
    <w:rsid w:val="00B82843"/>
    <w:rsid w:val="00B966AD"/>
    <w:rsid w:val="00BA7B0D"/>
    <w:rsid w:val="00BB580A"/>
    <w:rsid w:val="00BF4408"/>
    <w:rsid w:val="00BF5EEA"/>
    <w:rsid w:val="00C0004A"/>
    <w:rsid w:val="00C27290"/>
    <w:rsid w:val="00C66CF5"/>
    <w:rsid w:val="00C753AE"/>
    <w:rsid w:val="00C835F9"/>
    <w:rsid w:val="00CB2318"/>
    <w:rsid w:val="00CD5CD9"/>
    <w:rsid w:val="00CE18E6"/>
    <w:rsid w:val="00CE4051"/>
    <w:rsid w:val="00D0636C"/>
    <w:rsid w:val="00D12C4A"/>
    <w:rsid w:val="00D267B6"/>
    <w:rsid w:val="00D515A0"/>
    <w:rsid w:val="00DC016C"/>
    <w:rsid w:val="00DC0DF3"/>
    <w:rsid w:val="00DD1C63"/>
    <w:rsid w:val="00DE6D15"/>
    <w:rsid w:val="00DF374C"/>
    <w:rsid w:val="00E04185"/>
    <w:rsid w:val="00E1012F"/>
    <w:rsid w:val="00E20C78"/>
    <w:rsid w:val="00E376B3"/>
    <w:rsid w:val="00E50514"/>
    <w:rsid w:val="00E74E55"/>
    <w:rsid w:val="00E94684"/>
    <w:rsid w:val="00EB47CC"/>
    <w:rsid w:val="00EB693C"/>
    <w:rsid w:val="00EC5B37"/>
    <w:rsid w:val="00ED0F6D"/>
    <w:rsid w:val="00F34BDD"/>
    <w:rsid w:val="00F43BB9"/>
    <w:rsid w:val="00F577AE"/>
    <w:rsid w:val="00F63229"/>
    <w:rsid w:val="00F74C66"/>
    <w:rsid w:val="00F8324F"/>
    <w:rsid w:val="00FA3D94"/>
    <w:rsid w:val="00FB5AA7"/>
    <w:rsid w:val="00FC19A4"/>
    <w:rsid w:val="00FC3B6C"/>
    <w:rsid w:val="08F3C12B"/>
    <w:rsid w:val="0FBAFC1A"/>
    <w:rsid w:val="13D562A0"/>
    <w:rsid w:val="22D649E8"/>
    <w:rsid w:val="2E6D0346"/>
    <w:rsid w:val="3C234F4C"/>
    <w:rsid w:val="49175C8E"/>
    <w:rsid w:val="4C0E69E5"/>
    <w:rsid w:val="5017B9C5"/>
    <w:rsid w:val="5565C5F9"/>
    <w:rsid w:val="61709301"/>
    <w:rsid w:val="64700BC1"/>
    <w:rsid w:val="6FF921E6"/>
    <w:rsid w:val="724C3469"/>
    <w:rsid w:val="786110A5"/>
    <w:rsid w:val="788D2F8D"/>
    <w:rsid w:val="7AB32A95"/>
  </w:rsids>
  <w:docVars>
    <w:docVar w:name="__Grammarly_42___1" w:val="H4sIAAAAAAAEAKtWcslP9kxRslIyNDY2NDYyNzYxMTcwtzQztzBT0lEKTi0uzszPAykwrgUAJ6/DciwAAAA="/>
    <w:docVar w:name="__Grammarly_42____i" w:val="H4sIAAAAAAAEAKtWckksSQxILCpxzi/NK1GyMqwFAAEhoTITAAAA"/>
  </w:docVar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DD9649"/>
  <w15:chartTrackingRefBased/>
  <w15:docId w15:val="{FE2FF090-0A91-43CE-8102-210DEA3E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C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361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6B6B4A"/>
    <w:rPr>
      <w:sz w:val="16"/>
      <w:szCs w:val="16"/>
    </w:rPr>
  </w:style>
  <w:style w:type="paragraph" w:styleId="CommentText">
    <w:name w:val="annotation text"/>
    <w:basedOn w:val="Normal"/>
    <w:semiHidden/>
    <w:rsid w:val="006B6B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6B4A"/>
    <w:rPr>
      <w:b/>
      <w:bCs/>
    </w:rPr>
  </w:style>
  <w:style w:type="paragraph" w:styleId="BalloonText">
    <w:name w:val="Balloon Text"/>
    <w:basedOn w:val="Normal"/>
    <w:semiHidden/>
    <w:rsid w:val="006B6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DefaultParagraphFont"/>
    <w:rsid w:val="00274217"/>
  </w:style>
  <w:style w:type="character" w:customStyle="1" w:styleId="eop">
    <w:name w:val="eop"/>
    <w:basedOn w:val="DefaultParagraphFont"/>
    <w:rsid w:val="00274217"/>
  </w:style>
  <w:style w:type="character" w:customStyle="1" w:styleId="normaltextrun">
    <w:name w:val="normaltextrun"/>
    <w:basedOn w:val="DefaultParagraphFont"/>
    <w:rsid w:val="00274217"/>
  </w:style>
  <w:style w:type="paragraph" w:customStyle="1" w:styleId="paragraph">
    <w:name w:val="paragraph"/>
    <w:basedOn w:val="Normal"/>
    <w:rsid w:val="00274217"/>
    <w:pPr>
      <w:spacing w:before="100" w:beforeAutospacing="1" w:after="100" w:afterAutospacing="1"/>
    </w:pPr>
    <w:rPr>
      <w:lang w:eastAsia="ko-KR"/>
    </w:rPr>
  </w:style>
  <w:style w:type="character" w:customStyle="1" w:styleId="contextualspellingandgrammarerror">
    <w:name w:val="contextualspellingandgrammarerror"/>
    <w:basedOn w:val="DefaultParagraphFont"/>
    <w:rsid w:val="00DE6D15"/>
  </w:style>
  <w:style w:type="character" w:customStyle="1" w:styleId="advancedproofingissue">
    <w:name w:val="advancedproofingissue"/>
    <w:basedOn w:val="DefaultParagraphFont"/>
    <w:rsid w:val="00DE6D15"/>
  </w:style>
  <w:style w:type="paragraph" w:styleId="NormalWeb">
    <w:name w:val="Normal (Web)"/>
    <w:basedOn w:val="Normal"/>
    <w:uiPriority w:val="99"/>
    <w:unhideWhenUsed/>
    <w:rsid w:val="00812F8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A6C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b1f0e93-9dee-42ef-b5aa-8a352d0746f3" xsi:nil="true"/>
    <lcf76f155ced4ddcb4097134ff3c332f xmlns="85af0595-0bea-44ae-8885-19a842fb39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3" ma:contentTypeDescription="Create a new document." ma:contentTypeScope="" ma:versionID="74e5196952072b3fe717d437544be17e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c24f03cab88eef765c9752ee712affed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3ff7c2-1d7a-4aa6-8ce3-085e2d9c7f76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9D8E8-FCF2-4052-94C8-D5BD96229ADC}">
  <ds:schemaRefs>
    <ds:schemaRef ds:uri="http://purl.org/dc/dcmitype/"/>
    <ds:schemaRef ds:uri="http://schemas.microsoft.com/office/2006/documentManagement/types"/>
    <ds:schemaRef ds:uri="85af0595-0bea-44ae-8885-19a842fb39fa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b1f0e93-9dee-42ef-b5aa-8a352d0746f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4F6412-F78E-4B37-B64D-D0D98ECE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f0595-0bea-44ae-8885-19a842fb39fa"/>
    <ds:schemaRef ds:uri="6b1f0e93-9dee-42ef-b5aa-8a352d074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4E851-C999-4F28-AB13-99A80C5E5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503</Words>
  <Characters>2684</Characters>
  <Application>Microsoft Office Word</Application>
  <DocSecurity>0</DocSecurity>
  <Lines>22</Lines>
  <Paragraphs>6</Paragraphs>
  <ScaleCrop>false</ScaleCrop>
  <Company>ITSO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CLP2, Data Dictionary 2016</dc:title>
  <dc:creator>snk6</dc:creator>
  <cp:lastModifiedBy>Ralph, Joseph R. (CDC/DDNID/NCEH/DEHSP)</cp:lastModifiedBy>
  <cp:revision>2</cp:revision>
  <dcterms:created xsi:type="dcterms:W3CDTF">2023-05-25T21:13:00Z</dcterms:created>
  <dcterms:modified xsi:type="dcterms:W3CDTF">2023-05-25T21:13:00Z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f17608b2-27de-4841-b68a-58e9e2b19f94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2022-10-11T19:33:34Z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Order">
    <vt:r8>4800</vt:r8>
  </property>
  <property fmtid="{D5CDD505-2E9C-101B-9397-08002B2CF9AE}" pid="12" name="_dlc_DocIdItemGuid">
    <vt:lpwstr>3b78e629-84f1-4db2-bb04-46aea8f88804</vt:lpwstr>
  </property>
</Properties>
</file>