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P="00870D59" w14:paraId="191202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r w:rsidRPr="00934FF7">
        <w:rPr>
          <w:b/>
          <w:bCs/>
          <w:sz w:val="28"/>
          <w:szCs w:val="28"/>
          <w:u w:val="single"/>
        </w:rPr>
        <w:t>Supporting Statement – Part A</w:t>
      </w:r>
    </w:p>
    <w:p w:rsidR="00934FF7" w:rsidP="00870D59" w14:paraId="62F416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p>
    <w:p w:rsidR="008F1EB4" w:rsidRPr="00235176" w:rsidP="00235176" w14:paraId="4917713F" w14:textId="77777777">
      <w:pPr>
        <w:widowControl/>
        <w:rPr>
          <w:b/>
          <w:bCs/>
          <w:sz w:val="24"/>
        </w:rPr>
      </w:pPr>
      <w:r w:rsidRPr="00235176">
        <w:rPr>
          <w:b/>
          <w:bCs/>
          <w:sz w:val="24"/>
        </w:rPr>
        <w:t>Collection Requirements for Compendia for Determination of Medically-accepted Indications for Off</w:t>
      </w:r>
      <w:r w:rsidR="009767FA">
        <w:rPr>
          <w:b/>
          <w:bCs/>
          <w:sz w:val="24"/>
        </w:rPr>
        <w:t>-</w:t>
      </w:r>
      <w:r w:rsidRPr="00235176">
        <w:rPr>
          <w:b/>
          <w:bCs/>
          <w:sz w:val="24"/>
        </w:rPr>
        <w:t>label Uses of Drugs and Biologicals in an Anti-cancer Chemotherapeutic Regimen</w:t>
      </w:r>
      <w:r w:rsidR="00A15F6A">
        <w:rPr>
          <w:b/>
          <w:bCs/>
          <w:sz w:val="24"/>
        </w:rPr>
        <w:t xml:space="preserve"> (CMS-10302)</w:t>
      </w:r>
    </w:p>
    <w:p w:rsidR="008F1EB4" w14:paraId="23605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2AD85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14:paraId="15DE16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4B67" w:rsidP="00B55DF8" w14:paraId="03FF2D30" w14:textId="77777777">
      <w:pPr>
        <w:pStyle w:val="Default"/>
      </w:pPr>
      <w:r w:rsidRPr="006B0388">
        <w:t xml:space="preserve">In general, compendia are </w:t>
      </w:r>
      <w:r w:rsidRPr="009C2A25">
        <w:t>published by various institutions and traditional reference book publishing houses</w:t>
      </w:r>
      <w:r w:rsidR="002C6698">
        <w:t xml:space="preserve"> to</w:t>
      </w:r>
      <w:r w:rsidRPr="009C2A25">
        <w:t xml:space="preserve"> provide information on drugs, their effectiveness, safety, toxicity, and dosing</w:t>
      </w:r>
      <w:r w:rsidR="002C6698">
        <w:t>.  Compendia</w:t>
      </w:r>
      <w:r w:rsidRPr="009C2A25">
        <w:t xml:space="preserve"> are frequently used to determine whether a medication has a role in the treatment of a particular disease; these roles include both therapeutic uses approved by the U.S. Food and Drug Administration (FDA) and off-label indications.  </w:t>
      </w:r>
      <w:r w:rsidRPr="006B0388" w:rsidR="00EB7A41">
        <w:t xml:space="preserve">Section 1861(t)(2)(B)(ii)(I) </w:t>
      </w:r>
      <w:r w:rsidRPr="009C2A25" w:rsidR="00542642">
        <w:t xml:space="preserve">of the Social Security Act </w:t>
      </w:r>
      <w:r w:rsidRPr="009C2A25" w:rsidR="00EB7A41">
        <w:t xml:space="preserve">establishes </w:t>
      </w:r>
      <w:r w:rsidRPr="009C2A25" w:rsidR="00F253A2">
        <w:t xml:space="preserve">a list of </w:t>
      </w:r>
      <w:r w:rsidRPr="009C2A25" w:rsidR="00EB7A41">
        <w:t>certain published compendia as authoritative references for</w:t>
      </w:r>
      <w:r w:rsidRPr="009C2A25" w:rsidR="00F253A2">
        <w:t xml:space="preserve"> use in</w:t>
      </w:r>
      <w:r w:rsidRPr="009C2A25" w:rsidR="00EB7A41">
        <w:t xml:space="preserve"> determining </w:t>
      </w:r>
      <w:r w:rsidRPr="009C2A25" w:rsidR="00F253A2">
        <w:t>medically-accepted indications for off-label use of drugs and biologicals in an anti-cancer chemotherapeutic regimen</w:t>
      </w:r>
      <w:r w:rsidRPr="006B0388" w:rsidR="00EB7A41">
        <w:t xml:space="preserve"> under the fee-for-service Medicare progra</w:t>
      </w:r>
      <w:r w:rsidRPr="009C2A25" w:rsidR="00EB7A41">
        <w:t xml:space="preserve">m. </w:t>
      </w:r>
      <w:r w:rsidRPr="009C2A25" w:rsidR="00F253A2">
        <w:t xml:space="preserve">This </w:t>
      </w:r>
      <w:r w:rsidRPr="009C2A25" w:rsidR="009767FA">
        <w:t>provision</w:t>
      </w:r>
      <w:r w:rsidRPr="009C2A25" w:rsidR="00F253A2">
        <w:t xml:space="preserve"> also </w:t>
      </w:r>
      <w:r w:rsidRPr="002C6698" w:rsidR="00F253A2">
        <w:t xml:space="preserve">provides the Secretary the authority to revise the list of </w:t>
      </w:r>
      <w:r w:rsidRPr="002C6698">
        <w:t xml:space="preserve">statutorily recognized </w:t>
      </w:r>
      <w:r w:rsidRPr="002C6698" w:rsidR="00F253A2">
        <w:t>compendia.</w:t>
      </w:r>
      <w:r w:rsidRPr="009C2A25" w:rsidR="00F253A2">
        <w:rPr>
          <w:sz w:val="18"/>
          <w:szCs w:val="18"/>
        </w:rPr>
        <w:t xml:space="preserve">  </w:t>
      </w:r>
    </w:p>
    <w:p w:rsidR="00E37CE1" w:rsidP="009C2A25" w14:paraId="6F753179" w14:textId="77777777">
      <w:pPr>
        <w:pStyle w:val="Default"/>
      </w:pPr>
    </w:p>
    <w:p w:rsidR="00BA6CAA" w:rsidP="009C2A25" w14:paraId="7DF7E125" w14:textId="77777777">
      <w:pPr>
        <w:pStyle w:val="Default"/>
      </w:pPr>
      <w:r w:rsidRPr="009C2A25">
        <w:t>Consequently, in the CY2008 Physician Fee Schedule</w:t>
      </w:r>
      <w:r w:rsidR="002C6698">
        <w:t xml:space="preserve"> (PFS)</w:t>
      </w:r>
      <w:r w:rsidRPr="009C2A25">
        <w:t xml:space="preserve"> final rule issued on November 27, 2007, </w:t>
      </w:r>
      <w:r w:rsidR="002C6698">
        <w:t>CMS</w:t>
      </w:r>
      <w:r w:rsidRPr="009C2A25">
        <w:t xml:space="preserve"> established </w:t>
      </w:r>
      <w:r w:rsidRPr="009C2A25" w:rsidR="00542642">
        <w:t xml:space="preserve">a definition of </w:t>
      </w:r>
      <w:r w:rsidR="00E37CE1">
        <w:t>a “</w:t>
      </w:r>
      <w:r w:rsidRPr="006B0388" w:rsidR="00E37CE1">
        <w:t>compendium</w:t>
      </w:r>
      <w:r w:rsidR="00E37CE1">
        <w:t>”</w:t>
      </w:r>
      <w:r w:rsidRPr="009C2A25" w:rsidR="00542642">
        <w:t xml:space="preserve"> and </w:t>
      </w:r>
      <w:r w:rsidRPr="009C2A25">
        <w:t>an annual</w:t>
      </w:r>
      <w:r w:rsidRPr="009C2A25" w:rsidR="00542642">
        <w:t xml:space="preserve"> process to revise the statutorily recognized list via</w:t>
      </w:r>
      <w:r w:rsidRPr="009C2A25">
        <w:t xml:space="preserve"> 42 C.F.R. § 414.930, </w:t>
      </w:r>
      <w:r w:rsidRPr="009C2A25">
        <w:rPr>
          <w:i/>
        </w:rPr>
        <w:t>Compendia for determination of medically</w:t>
      </w:r>
      <w:r w:rsidRPr="009C2A25">
        <w:rPr>
          <w:i/>
        </w:rPr>
        <w:noBreakHyphen/>
        <w:t>accepted indications for off</w:t>
      </w:r>
      <w:r w:rsidRPr="009C2A25">
        <w:rPr>
          <w:i/>
        </w:rPr>
        <w:noBreakHyphen/>
        <w:t>label uses of drugs and biologicals in an anti</w:t>
      </w:r>
      <w:r w:rsidRPr="009C2A25">
        <w:rPr>
          <w:i/>
        </w:rPr>
        <w:noBreakHyphen/>
        <w:t>cancer chemotherapeutic regimen.</w:t>
      </w:r>
      <w:r w:rsidRPr="009C2A25">
        <w:t xml:space="preserve">  </w:t>
      </w:r>
      <w:r w:rsidRPr="006B0388" w:rsidR="00E532B7">
        <w:t>In the</w:t>
      </w:r>
      <w:r w:rsidRPr="006B0388" w:rsidR="00BF479B">
        <w:t xml:space="preserve"> CY 2010 </w:t>
      </w:r>
      <w:r w:rsidRPr="009C2A25">
        <w:t>PFS</w:t>
      </w:r>
      <w:r w:rsidRPr="009C2A25" w:rsidR="00BF479B">
        <w:t xml:space="preserve"> </w:t>
      </w:r>
      <w:r w:rsidRPr="009C2A25" w:rsidR="001735D2">
        <w:t xml:space="preserve">final </w:t>
      </w:r>
      <w:r w:rsidRPr="009C2A25" w:rsidR="00BF479B">
        <w:t xml:space="preserve">rule issued on </w:t>
      </w:r>
      <w:r w:rsidRPr="009C2A25" w:rsidR="001735D2">
        <w:t>November 25</w:t>
      </w:r>
      <w:r w:rsidRPr="009C2A25" w:rsidR="00BF479B">
        <w:t xml:space="preserve">, 2009, </w:t>
      </w:r>
      <w:r w:rsidR="00E37CE1">
        <w:t>we</w:t>
      </w:r>
      <w:r w:rsidRPr="006B0388" w:rsidR="00E532B7">
        <w:t xml:space="preserve"> </w:t>
      </w:r>
      <w:r w:rsidR="00E37CE1">
        <w:t xml:space="preserve">again </w:t>
      </w:r>
      <w:r w:rsidRPr="006B0388" w:rsidR="00BF479B">
        <w:t>revised 42 C.F.R. § 414.930</w:t>
      </w:r>
      <w:r w:rsidR="00E37CE1">
        <w:t xml:space="preserve"> </w:t>
      </w:r>
      <w:r w:rsidR="00B23062">
        <w:t xml:space="preserve">to </w:t>
      </w:r>
      <w:r w:rsidR="00E37CE1">
        <w:t xml:space="preserve">specify the </w:t>
      </w:r>
      <w:r w:rsidRPr="006B0388" w:rsidR="00E37CE1">
        <w:t>that a compendium must have</w:t>
      </w:r>
      <w:r w:rsidR="00E37CE1">
        <w:t xml:space="preserve"> </w:t>
      </w:r>
      <w:r w:rsidRPr="001951B3" w:rsidR="00E37CE1">
        <w:t xml:space="preserve">publicly transparent processes for identifying potential conflicts of interests </w:t>
      </w:r>
      <w:r w:rsidR="00E37CE1">
        <w:t xml:space="preserve">and </w:t>
      </w:r>
      <w:r w:rsidRPr="001951B3" w:rsidR="00E37CE1">
        <w:t xml:space="preserve">for evaluating </w:t>
      </w:r>
      <w:r w:rsidRPr="006B0388" w:rsidR="009767FA">
        <w:t>the off-label use of</w:t>
      </w:r>
      <w:r w:rsidRPr="009C2A25" w:rsidR="009767FA">
        <w:t xml:space="preserve"> </w:t>
      </w:r>
      <w:r w:rsidRPr="009C2A25" w:rsidR="0041107E">
        <w:t>anti-cancer drug therapies</w:t>
      </w:r>
      <w:r w:rsidRPr="009C2A25" w:rsidR="009767FA">
        <w:t xml:space="preserve">.  </w:t>
      </w:r>
      <w:r w:rsidRPr="009C2A25" w:rsidR="00530CEA">
        <w:t xml:space="preserve"> In addition, </w:t>
      </w:r>
      <w:r w:rsidR="00513640">
        <w:t xml:space="preserve">we amended </w:t>
      </w:r>
      <w:r w:rsidR="00B23062">
        <w:t xml:space="preserve">the </w:t>
      </w:r>
      <w:r w:rsidRPr="009C2A25" w:rsidR="00BF479B">
        <w:t>C.F.R. to exclude any entity that does not fully meet th</w:t>
      </w:r>
      <w:r w:rsidR="00513640">
        <w:t>e</w:t>
      </w:r>
      <w:r w:rsidRPr="009C2A25" w:rsidR="00BF479B">
        <w:t xml:space="preserve"> modified regulatory definition of compendium.</w:t>
      </w:r>
    </w:p>
    <w:p w:rsidR="00B94B67" w:rsidP="009C2A25" w14:paraId="298541C1" w14:textId="77777777">
      <w:pPr>
        <w:pStyle w:val="Default"/>
      </w:pPr>
    </w:p>
    <w:p w:rsidR="00B94B67" w:rsidRPr="006B0388" w:rsidP="009C2A25" w14:paraId="78383F95" w14:textId="05DB9E8E">
      <w:pPr>
        <w:pStyle w:val="Default"/>
      </w:pPr>
      <w:r>
        <w:t>This change was approved under the PRA in</w:t>
      </w:r>
      <w:r w:rsidR="007A481A">
        <w:t xml:space="preserve"> 2010 </w:t>
      </w:r>
      <w:r>
        <w:t xml:space="preserve">and this request does not change the existing information collection.  </w:t>
      </w:r>
      <w:r w:rsidR="00A15F6A">
        <w:t xml:space="preserve">This is a request </w:t>
      </w:r>
      <w:r w:rsidR="008B0770">
        <w:t>for an extension.</w:t>
      </w:r>
      <w:r w:rsidR="00107CEA">
        <w:t xml:space="preserve">  There is no collection instrument.</w:t>
      </w:r>
    </w:p>
    <w:p w:rsidR="00530CEA" w:rsidRPr="00934FF7" w:rsidP="00530CEA" w14:paraId="20EC395B" w14:textId="77777777">
      <w:pPr>
        <w:rPr>
          <w:sz w:val="24"/>
        </w:rPr>
      </w:pPr>
    </w:p>
    <w:p w:rsidR="008F1EB4" w14:paraId="216126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14:paraId="2703AA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2AD01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7360D6" w:rsidRPr="007360D6" w:rsidP="007360D6" w14:paraId="522005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37CE1" w:rsidP="006B0388" w14:paraId="317E57E9" w14:textId="77777777">
      <w:pPr>
        <w:ind w:left="432"/>
        <w:rPr>
          <w:sz w:val="24"/>
        </w:rPr>
      </w:pPr>
      <w:r w:rsidRPr="005270CB">
        <w:rPr>
          <w:sz w:val="24"/>
        </w:rPr>
        <w:t xml:space="preserve">Congress enacted the Medicare Improvement of Patients and Providers Act </w:t>
      </w:r>
      <w:r w:rsidRPr="005270CB" w:rsidR="00087E97">
        <w:rPr>
          <w:sz w:val="24"/>
        </w:rPr>
        <w:t>(MIPPA)</w:t>
      </w:r>
      <w:r w:rsidRPr="005270CB" w:rsidR="00CF0061">
        <w:rPr>
          <w:sz w:val="24"/>
        </w:rPr>
        <w:t>.</w:t>
      </w:r>
      <w:r w:rsidRPr="005270CB" w:rsidR="00087E97">
        <w:rPr>
          <w:sz w:val="24"/>
        </w:rPr>
        <w:t xml:space="preserve"> </w:t>
      </w:r>
      <w:r w:rsidRPr="005270CB">
        <w:rPr>
          <w:sz w:val="24"/>
        </w:rPr>
        <w:t>Section 182(b)</w:t>
      </w:r>
      <w:r w:rsidRPr="005270CB" w:rsidR="00CF0061">
        <w:rPr>
          <w:sz w:val="24"/>
        </w:rPr>
        <w:t xml:space="preserve"> of MIPPA</w:t>
      </w:r>
      <w:r w:rsidRPr="005270CB">
        <w:rPr>
          <w:sz w:val="24"/>
        </w:rPr>
        <w:t xml:space="preserve"> amended Section 1861(t)(2)(B) of the Social Security Act (42 U.S.C. 1395x(t)(2)(B)) by adding at the end the following new sentence:  </w:t>
      </w:r>
      <w:r w:rsidR="00A565BB">
        <w:rPr>
          <w:sz w:val="24"/>
        </w:rPr>
        <w:t>“</w:t>
      </w:r>
      <w:r w:rsidRPr="005270CB">
        <w:rPr>
          <w:sz w:val="24"/>
        </w:rPr>
        <w:t>On and after January 1, 2010, no compendia may be included on the list of compendia under this subparagraph unless the compendia has a publicly transparent process for evaluating therapies and for identifying potential conflicts of interest.</w:t>
      </w:r>
      <w:r w:rsidR="00A565BB">
        <w:rPr>
          <w:sz w:val="24"/>
        </w:rPr>
        <w:t>”</w:t>
      </w:r>
      <w:r w:rsidRPr="005270CB">
        <w:rPr>
          <w:sz w:val="24"/>
        </w:rPr>
        <w:t xml:space="preserve">  </w:t>
      </w:r>
      <w:r w:rsidR="002F0689">
        <w:rPr>
          <w:sz w:val="24"/>
        </w:rPr>
        <w:t>I</w:t>
      </w:r>
      <w:r w:rsidRPr="005270CB" w:rsidR="00A21C52">
        <w:rPr>
          <w:sz w:val="24"/>
        </w:rPr>
        <w:t xml:space="preserve">mplementation of this statutory provision </w:t>
      </w:r>
      <w:r w:rsidR="00DA3F19">
        <w:rPr>
          <w:sz w:val="24"/>
        </w:rPr>
        <w:t>was</w:t>
      </w:r>
      <w:r w:rsidRPr="005270CB" w:rsidR="00A21C52">
        <w:rPr>
          <w:sz w:val="24"/>
        </w:rPr>
        <w:t xml:space="preserve"> accomplished by amending 42 C.F.R. §414.930</w:t>
      </w:r>
      <w:r w:rsidR="00012667">
        <w:rPr>
          <w:sz w:val="24"/>
        </w:rPr>
        <w:t xml:space="preserve"> </w:t>
      </w:r>
      <w:r w:rsidR="00513640">
        <w:rPr>
          <w:sz w:val="24"/>
        </w:rPr>
        <w:t xml:space="preserve">via the CY 2010 PFS </w:t>
      </w:r>
      <w:r w:rsidRPr="005270CB" w:rsidR="00A21C52">
        <w:rPr>
          <w:sz w:val="24"/>
        </w:rPr>
        <w:t xml:space="preserve">to include the MIPPA requirements </w:t>
      </w:r>
      <w:r w:rsidRPr="005270CB" w:rsidR="00A21C52">
        <w:rPr>
          <w:sz w:val="24"/>
        </w:rPr>
        <w:t>and by defining the key components of publicly transparent processes for evaluating therapies and for identifying potential conflicts of interests</w:t>
      </w:r>
      <w:r w:rsidRPr="005270CB" w:rsidR="005270CB">
        <w:rPr>
          <w:sz w:val="24"/>
        </w:rPr>
        <w:t>.</w:t>
      </w:r>
      <w:r w:rsidRPr="005270CB">
        <w:rPr>
          <w:sz w:val="24"/>
        </w:rPr>
        <w:t xml:space="preserve"> </w:t>
      </w:r>
    </w:p>
    <w:p w:rsidR="00E37CE1" w:rsidP="009C2A25" w14:paraId="56FF4987" w14:textId="77777777">
      <w:pPr>
        <w:rPr>
          <w:sz w:val="24"/>
        </w:rPr>
      </w:pPr>
    </w:p>
    <w:p w:rsidR="00EB7A41" w:rsidRPr="005270CB" w:rsidP="009C2A25" w14:paraId="1AB4AF9D" w14:textId="77777777">
      <w:pPr>
        <w:ind w:firstLine="432"/>
        <w:rPr>
          <w:sz w:val="24"/>
        </w:rPr>
      </w:pPr>
      <w:r>
        <w:rPr>
          <w:sz w:val="24"/>
        </w:rPr>
        <w:t>Currently, no other changes to the statute or C.F.R. have occurred since then.</w:t>
      </w:r>
    </w:p>
    <w:p w:rsidR="002F4565" w:rsidP="007360D6" w14:paraId="20C1DF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89F2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14:paraId="1DA5A7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4565" w:rsidP="00BA6CAA" w14:paraId="7723D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On and after</w:t>
      </w:r>
      <w:r w:rsidRPr="005270CB">
        <w:rPr>
          <w:sz w:val="24"/>
        </w:rPr>
        <w:t xml:space="preserve"> January 1, 2010</w:t>
      </w:r>
      <w:r>
        <w:rPr>
          <w:sz w:val="24"/>
        </w:rPr>
        <w:t>, a</w:t>
      </w:r>
      <w:r w:rsidRPr="005270CB" w:rsidR="00CF0061">
        <w:rPr>
          <w:sz w:val="24"/>
        </w:rPr>
        <w:t xml:space="preserve">ll currently listed compendia </w:t>
      </w:r>
      <w:r w:rsidR="00012667">
        <w:rPr>
          <w:sz w:val="24"/>
        </w:rPr>
        <w:t>are</w:t>
      </w:r>
      <w:r w:rsidRPr="005270CB" w:rsidR="00CF0061">
        <w:rPr>
          <w:sz w:val="24"/>
        </w:rPr>
        <w:t xml:space="preserve"> required to comply with these provisions to remain on the list of recognized compendia. In addition, any compendium that is</w:t>
      </w:r>
      <w:r w:rsidR="002F0689">
        <w:rPr>
          <w:sz w:val="24"/>
        </w:rPr>
        <w:t xml:space="preserve"> </w:t>
      </w:r>
      <w:r w:rsidRPr="005270CB" w:rsidR="00CF0061">
        <w:rPr>
          <w:sz w:val="24"/>
        </w:rPr>
        <w:t>the subject of a future request for inclusion on the list of recognized compendia will be required to comply with these provisions. No compendium can be on the list if it does not fully meet the standard described in section 1861(t)(2)(B) of the Act, as revised by section 182(b) of the M</w:t>
      </w:r>
      <w:r w:rsidRPr="009767FA" w:rsidR="00CF0061">
        <w:rPr>
          <w:sz w:val="24"/>
        </w:rPr>
        <w:t>IPPA.</w:t>
      </w:r>
      <w:r w:rsidRPr="009767FA">
        <w:rPr>
          <w:sz w:val="24"/>
        </w:rPr>
        <w:t xml:space="preserve"> </w:t>
      </w:r>
      <w:r w:rsidRPr="009767FA" w:rsidR="009767FA">
        <w:rPr>
          <w:sz w:val="24"/>
        </w:rPr>
        <w:t xml:space="preserve">Subscriptions to the various compendia are available to the public and can be used by health care providers to help determine whether an off-label use of an anti-cancer drug </w:t>
      </w:r>
      <w:r w:rsidR="00CD00C8">
        <w:rPr>
          <w:sz w:val="24"/>
        </w:rPr>
        <w:t xml:space="preserve">therapy could be considered medically </w:t>
      </w:r>
      <w:r w:rsidR="006B0388">
        <w:rPr>
          <w:sz w:val="24"/>
        </w:rPr>
        <w:t>acceptable.</w:t>
      </w:r>
    </w:p>
    <w:p w:rsidR="008F1EB4" w14:paraId="35042E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C695C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rsidR="00CA20E2" w14:paraId="70FF6E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7618B7" w14:paraId="12448D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767FA">
        <w:rPr>
          <w:sz w:val="24"/>
        </w:rPr>
        <w:t xml:space="preserve">Each compendium publisher must maintain a standard of transparency by posting their conflict of interest policies and process for evaluating the off-label uses of anti-cancer drugs on their website.  </w:t>
      </w:r>
      <w:r w:rsidRPr="00CA20E2" w:rsidR="00CA20E2">
        <w:rPr>
          <w:sz w:val="24"/>
        </w:rPr>
        <w:t xml:space="preserve">One-hundred percent of the </w:t>
      </w:r>
      <w:r w:rsidR="0082540B">
        <w:rPr>
          <w:sz w:val="24"/>
        </w:rPr>
        <w:t xml:space="preserve">currently recognized </w:t>
      </w:r>
      <w:r w:rsidR="005270CB">
        <w:rPr>
          <w:sz w:val="24"/>
        </w:rPr>
        <w:t>compendia publishers post their conflict of interest policies</w:t>
      </w:r>
      <w:r w:rsidR="0082540B">
        <w:rPr>
          <w:sz w:val="24"/>
        </w:rPr>
        <w:t xml:space="preserve"> and their </w:t>
      </w:r>
      <w:r w:rsidRPr="0082540B" w:rsidR="0082540B">
        <w:rPr>
          <w:sz w:val="24"/>
        </w:rPr>
        <w:t>process for evaluating</w:t>
      </w:r>
      <w:r w:rsidR="0082540B">
        <w:rPr>
          <w:sz w:val="24"/>
        </w:rPr>
        <w:t xml:space="preserve"> off-label chemotherapeutic</w:t>
      </w:r>
      <w:r w:rsidRPr="0082540B" w:rsidR="0082540B">
        <w:rPr>
          <w:sz w:val="24"/>
        </w:rPr>
        <w:t xml:space="preserve"> therapies</w:t>
      </w:r>
      <w:r w:rsidR="0082540B">
        <w:rPr>
          <w:sz w:val="24"/>
        </w:rPr>
        <w:t xml:space="preserve"> done on or after January 1, 2010</w:t>
      </w:r>
      <w:r w:rsidR="005270CB">
        <w:rPr>
          <w:sz w:val="24"/>
        </w:rPr>
        <w:t xml:space="preserve"> on their website.  Since</w:t>
      </w:r>
      <w:r w:rsidR="0082540B">
        <w:rPr>
          <w:sz w:val="24"/>
        </w:rPr>
        <w:t xml:space="preserve"> all</w:t>
      </w:r>
      <w:r w:rsidR="005270CB">
        <w:rPr>
          <w:sz w:val="24"/>
        </w:rPr>
        <w:t xml:space="preserve"> of the provisions in our revision of </w:t>
      </w:r>
      <w:r w:rsidRPr="005270CB" w:rsidR="005270CB">
        <w:rPr>
          <w:sz w:val="24"/>
        </w:rPr>
        <w:t>§414.930</w:t>
      </w:r>
      <w:r w:rsidR="00E50A51">
        <w:rPr>
          <w:sz w:val="24"/>
        </w:rPr>
        <w:t xml:space="preserve"> are currently being practiced by compendia publishers and posted on their website, we expect the burden</w:t>
      </w:r>
      <w:r w:rsidR="0082540B">
        <w:rPr>
          <w:sz w:val="24"/>
        </w:rPr>
        <w:t xml:space="preserve"> to maintain</w:t>
      </w:r>
      <w:r w:rsidR="005246CF">
        <w:rPr>
          <w:sz w:val="24"/>
        </w:rPr>
        <w:t xml:space="preserve"> compliance</w:t>
      </w:r>
      <w:r w:rsidR="0082540B">
        <w:rPr>
          <w:sz w:val="24"/>
        </w:rPr>
        <w:t xml:space="preserve"> </w:t>
      </w:r>
      <w:r w:rsidR="00E50A51">
        <w:rPr>
          <w:sz w:val="24"/>
        </w:rPr>
        <w:t xml:space="preserve">to be minimal. </w:t>
      </w:r>
      <w:r w:rsidRPr="00CA20E2" w:rsidR="00CA20E2">
        <w:rPr>
          <w:sz w:val="24"/>
        </w:rPr>
        <w:t xml:space="preserve"> </w:t>
      </w:r>
    </w:p>
    <w:p w:rsidR="00CA20E2" w14:paraId="6AE509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FB275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14:paraId="2C645F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1AF57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C09DC">
        <w:rPr>
          <w:sz w:val="24"/>
        </w:rPr>
        <w:t>This information collection does not duplicate any other effort and the information cannot be obtained from any other source.</w:t>
      </w:r>
    </w:p>
    <w:p w:rsidR="008F1EB4" w14:paraId="5EB26E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E3550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14:paraId="5E68A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062B4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EA1DDD">
        <w:rPr>
          <w:sz w:val="24"/>
        </w:rPr>
        <w:t>This collection of information does not impact small businesses or other small entities.</w:t>
      </w:r>
    </w:p>
    <w:p w:rsidR="00EA1DDD" w14:paraId="15B029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22BD8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14:paraId="0727A0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64481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B05B0">
        <w:rPr>
          <w:sz w:val="24"/>
        </w:rPr>
        <w:t xml:space="preserve">The collection of this data occurs each time a </w:t>
      </w:r>
      <w:r w:rsidR="00E50A51">
        <w:rPr>
          <w:sz w:val="24"/>
        </w:rPr>
        <w:t>compendia advisory committee or experts convene to make an off-label recommendation for a</w:t>
      </w:r>
      <w:r w:rsidR="0069588A">
        <w:rPr>
          <w:sz w:val="24"/>
        </w:rPr>
        <w:t xml:space="preserve">n anticancer drug or biologic.  </w:t>
      </w:r>
      <w:r w:rsidRPr="00CB05B0">
        <w:rPr>
          <w:sz w:val="24"/>
        </w:rPr>
        <w:t>If the i</w:t>
      </w:r>
      <w:r w:rsidR="008B2B9B">
        <w:rPr>
          <w:sz w:val="24"/>
        </w:rPr>
        <w:t>nformation is not collected, C</w:t>
      </w:r>
      <w:r w:rsidR="00E50A51">
        <w:rPr>
          <w:sz w:val="24"/>
        </w:rPr>
        <w:t>CSQ cannot meet our responsibility to uphold the intent of MIPPA 182(b).</w:t>
      </w:r>
    </w:p>
    <w:p w:rsidR="008F1EB4" w14:paraId="5D1F43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3740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14:paraId="65FD59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1AF3" w:rsidRPr="0007612F" w:rsidP="00B51AF3" w14:paraId="43512DDD" w14:textId="77777777">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612F">
        <w:rPr>
          <w:sz w:val="24"/>
        </w:rPr>
        <w:t>Th</w:t>
      </w:r>
      <w:r>
        <w:rPr>
          <w:sz w:val="24"/>
        </w:rPr>
        <w:t>e respondent (i.e.</w:t>
      </w:r>
      <w:r w:rsidRPr="0007612F">
        <w:rPr>
          <w:sz w:val="24"/>
        </w:rPr>
        <w:t xml:space="preserve"> the compendia publisher) is required </w:t>
      </w:r>
      <w:r w:rsidR="005246CF">
        <w:rPr>
          <w:sz w:val="24"/>
        </w:rPr>
        <w:t xml:space="preserve">to </w:t>
      </w:r>
      <w:r w:rsidRPr="0007612F">
        <w:rPr>
          <w:sz w:val="24"/>
        </w:rPr>
        <w:t xml:space="preserve">retain all materials </w:t>
      </w:r>
      <w:r w:rsidRPr="0007612F">
        <w:rPr>
          <w:sz w:val="24"/>
        </w:rPr>
        <w:t>mentioned under sect</w:t>
      </w:r>
      <w:r>
        <w:rPr>
          <w:sz w:val="24"/>
        </w:rPr>
        <w:t>ion (a)(2) 42 C.F.R. §414.930, the</w:t>
      </w:r>
      <w:r w:rsidRPr="0007612F">
        <w:rPr>
          <w:sz w:val="24"/>
        </w:rPr>
        <w:t xml:space="preserve"> definition of a publicly transparent process for evaluating therapies available to the public</w:t>
      </w:r>
      <w:r>
        <w:rPr>
          <w:sz w:val="24"/>
        </w:rPr>
        <w:t>,</w:t>
      </w:r>
      <w:r w:rsidRPr="0007612F">
        <w:rPr>
          <w:sz w:val="24"/>
        </w:rPr>
        <w:t xml:space="preserve"> for a period of not less than 5 years, which includes availability on the compendium’s Web site for a period of not less than 3 years. </w:t>
      </w:r>
    </w:p>
    <w:p w:rsidR="00B51AF3" w:rsidRPr="007A77A1" w:rsidP="00B51AF3" w14:paraId="1C5960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51AF3" w:rsidRPr="007A77A1" w:rsidP="00B51AF3" w14:paraId="2BCBD04E" w14:textId="77777777">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77A1">
        <w:rPr>
          <w:sz w:val="24"/>
        </w:rPr>
        <w:t>The respondent (i.e. the compendia publisher) is required to retain all information mentioned under section(a)(3) of 42 C.F.R. §414.930, the definition for a publicly transparent process for identifying po</w:t>
      </w:r>
      <w:r>
        <w:rPr>
          <w:sz w:val="24"/>
        </w:rPr>
        <w:t xml:space="preserve">tential conflicts of interest, available to a bona fide member of the public </w:t>
      </w:r>
      <w:r w:rsidRPr="007A77A1">
        <w:rPr>
          <w:sz w:val="24"/>
        </w:rPr>
        <w:t>for a period of not l</w:t>
      </w:r>
      <w:r>
        <w:rPr>
          <w:sz w:val="24"/>
        </w:rPr>
        <w:t>ess than 5 years.</w:t>
      </w:r>
    </w:p>
    <w:p w:rsidR="00B51AF3" w:rsidP="00B51AF3" w14:paraId="450303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5B0" w14:paraId="1F97C9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7612F" w:rsidP="0007612F" w14:paraId="1D2C82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287344" w:rsidP="0007612F" w14:paraId="4FAA17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EE43F6" w:rsidP="00EE43F6" w14:paraId="1E63E700" w14:textId="6F2C0658">
      <w:pPr>
        <w:tabs>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0"/>
        <w:rPr>
          <w:sz w:val="24"/>
        </w:rPr>
      </w:pPr>
      <w:r>
        <w:rPr>
          <w:sz w:val="24"/>
        </w:rPr>
        <w:t xml:space="preserve">  The 60-day Federal Register notice published on </w:t>
      </w:r>
      <w:r>
        <w:rPr>
          <w:sz w:val="24"/>
        </w:rPr>
        <w:t>April 21, 2023 (88 FR 24618)</w:t>
      </w:r>
      <w:r>
        <w:rPr>
          <w:sz w:val="24"/>
        </w:rPr>
        <w:t xml:space="preserve">.  </w:t>
      </w:r>
      <w:r>
        <w:rPr>
          <w:sz w:val="24"/>
        </w:rPr>
        <w:t xml:space="preserve">There were no public comments received. </w:t>
      </w:r>
    </w:p>
    <w:p w:rsidR="00EE43F6" w:rsidP="0007612F" w14:paraId="4B9F39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7612F" w:rsidP="00EE43F6" w14:paraId="29D97CDC" w14:textId="432DDB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r>
        <w:rPr>
          <w:sz w:val="24"/>
        </w:rPr>
        <w:t>The 30-day Federal Register notice published on</w:t>
      </w:r>
      <w:r w:rsidR="00EE43F6">
        <w:rPr>
          <w:sz w:val="24"/>
        </w:rPr>
        <w:t xml:space="preserve"> June 28, 2023 (88 FR 41631)</w:t>
      </w:r>
      <w:r>
        <w:rPr>
          <w:sz w:val="24"/>
        </w:rPr>
        <w:t>.</w:t>
      </w:r>
    </w:p>
    <w:p w:rsidR="00EE43F6" w:rsidP="00EE43F6" w14:paraId="66C5F6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sz w:val="24"/>
        </w:rPr>
      </w:pPr>
    </w:p>
    <w:p w:rsidR="008F1EB4" w14:paraId="1797D3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14:paraId="368E05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B77DD4" w14:paraId="017F4F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7DD4">
        <w:rPr>
          <w:sz w:val="24"/>
        </w:rPr>
        <w:t>No payment or gift</w:t>
      </w:r>
      <w:r w:rsidR="00E75D79">
        <w:rPr>
          <w:sz w:val="24"/>
        </w:rPr>
        <w:t>s</w:t>
      </w:r>
      <w:r w:rsidRPr="00B77DD4">
        <w:rPr>
          <w:sz w:val="24"/>
        </w:rPr>
        <w:t xml:space="preserve"> will be provided to respondents.</w:t>
      </w:r>
    </w:p>
    <w:p w:rsidR="00B77DD4" w14:paraId="0C15BB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8D330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14:paraId="1906A8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A51CA0" w14:paraId="2F7086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C0F2A">
        <w:rPr>
          <w:sz w:val="24"/>
        </w:rPr>
        <w:t>CMS shall be assured that all applicable patient confidentiality, privacy, and other Federal laws are complied with, including the Standards for Privacy of Individually Identifiable Health Information (Privacy Rule).</w:t>
      </w:r>
      <w:r w:rsidRPr="009C0F2A" w:rsidR="0007612F">
        <w:rPr>
          <w:sz w:val="24"/>
        </w:rPr>
        <w:t xml:space="preserve">  In addition, the disclosure of financial conflicts of interests for individuals with a substantive role in compendia recommendation decision making and their i</w:t>
      </w:r>
      <w:r w:rsidR="007A5303">
        <w:rPr>
          <w:sz w:val="24"/>
        </w:rPr>
        <w:t>mmediate family members</w:t>
      </w:r>
      <w:r w:rsidRPr="009C0F2A" w:rsidR="009C0F2A">
        <w:rPr>
          <w:sz w:val="24"/>
        </w:rPr>
        <w:t xml:space="preserve"> will </w:t>
      </w:r>
      <w:r w:rsidR="009C0F2A">
        <w:rPr>
          <w:sz w:val="24"/>
        </w:rPr>
        <w:t>only be available to bona fide members of the public by request.</w:t>
      </w:r>
      <w:r w:rsidR="0007612F">
        <w:rPr>
          <w:sz w:val="24"/>
        </w:rPr>
        <w:t xml:space="preserve">  </w:t>
      </w:r>
    </w:p>
    <w:p w:rsidR="00A51CA0" w14:paraId="0AEC3B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3AF7E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1E9A11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31C0D" w:rsidRPr="00E31C0D" w:rsidP="00E31C0D" w14:paraId="178EDC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4798">
        <w:rPr>
          <w:sz w:val="24"/>
        </w:rPr>
        <w:t>No questions of a sensitive nature are included in this data collection.</w:t>
      </w:r>
    </w:p>
    <w:p w:rsidR="00F842D9" w14:paraId="5EB878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842D9" w14:paraId="660557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7607070D" w14:textId="449327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3E6AFA" w14:paraId="5C6735E6" w14:textId="7E8BAF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4FC60CF6" w14:textId="7BEC11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2A64AD08" w14:textId="734ED5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32583E83" w14:textId="7E62F3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3512C377" w14:textId="2BE177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03ADCB90" w14:textId="3D6708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3E6AFA" w14:paraId="34BB82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7A5303" w14:paraId="06A66F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3C37C7">
        <w:rPr>
          <w:sz w:val="24"/>
        </w:rPr>
        <w:tab/>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1530"/>
        <w:gridCol w:w="1620"/>
        <w:gridCol w:w="1350"/>
        <w:gridCol w:w="1440"/>
      </w:tblGrid>
      <w:tr w14:paraId="61958C80" w14:textId="77777777" w:rsidTr="00640090">
        <w:tblPrEx>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052"/>
        </w:trPr>
        <w:tc>
          <w:tcPr>
            <w:tcW w:w="1098" w:type="dxa"/>
            <w:shd w:val="pct25" w:color="auto" w:fill="auto"/>
          </w:tcPr>
          <w:p w:rsidR="00066944" w:rsidRPr="00640090" w:rsidP="00640090" w14:paraId="3A2036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00E90B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CFR Section</w:t>
            </w:r>
          </w:p>
          <w:p w:rsidR="00066944" w:rsidRPr="00640090" w:rsidP="00640090" w14:paraId="076743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1F8E26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2700" w:type="dxa"/>
            <w:shd w:val="pct25" w:color="auto" w:fill="auto"/>
          </w:tcPr>
          <w:p w:rsidR="00066944" w:rsidRPr="00640090" w:rsidP="00640090" w14:paraId="2B5BC1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7A17C3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Information</w:t>
            </w:r>
          </w:p>
          <w:p w:rsidR="00066944" w:rsidRPr="00640090" w:rsidP="00640090" w14:paraId="7CB9D2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we are requesting</w:t>
            </w:r>
          </w:p>
          <w:p w:rsidR="00066944" w:rsidRPr="00640090" w:rsidP="00640090" w14:paraId="7FCB29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530" w:type="dxa"/>
            <w:shd w:val="pct25" w:color="auto" w:fill="auto"/>
          </w:tcPr>
          <w:p w:rsidR="00066944" w:rsidRPr="00640090" w:rsidP="00640090" w14:paraId="30049F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3C6880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Respondents (minimum – maximum)</w:t>
            </w:r>
          </w:p>
          <w:p w:rsidR="00066944" w:rsidRPr="00640090" w:rsidP="00640090" w14:paraId="1022A1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620" w:type="dxa"/>
            <w:shd w:val="pct25" w:color="auto" w:fill="auto"/>
          </w:tcPr>
          <w:p w:rsidR="00066944" w:rsidRPr="00640090" w:rsidP="00640090" w14:paraId="1B8942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7BC3F7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Responses</w:t>
            </w:r>
          </w:p>
          <w:p w:rsidR="00066944" w:rsidRPr="00640090" w:rsidP="00640090" w14:paraId="27F6E9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(minimum – maximum)</w:t>
            </w:r>
          </w:p>
          <w:p w:rsidR="00066944" w:rsidRPr="00640090" w:rsidP="00640090" w14:paraId="466618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350" w:type="dxa"/>
            <w:shd w:val="pct25" w:color="auto" w:fill="auto"/>
          </w:tcPr>
          <w:p w:rsidR="00066944" w:rsidRPr="00640090" w:rsidP="00640090" w14:paraId="55B469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054822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Burden per Response (hours)</w:t>
            </w:r>
          </w:p>
          <w:p w:rsidR="00066944" w:rsidRPr="00640090" w:rsidP="00640090" w14:paraId="3B5478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440" w:type="dxa"/>
            <w:shd w:val="pct25" w:color="auto" w:fill="auto"/>
          </w:tcPr>
          <w:p w:rsidR="00066944" w:rsidRPr="00640090" w:rsidP="00640090" w14:paraId="32A6A4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00066944" w:rsidRPr="00640090" w:rsidP="00640090" w14:paraId="3E139E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Annual Burden</w:t>
            </w:r>
          </w:p>
          <w:p w:rsidR="00066944" w:rsidRPr="00640090" w:rsidP="00640090" w14:paraId="11ACD2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(hours)</w:t>
            </w:r>
          </w:p>
          <w:p w:rsidR="00066944" w:rsidRPr="00640090" w:rsidP="00640090" w14:paraId="2E1473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r>
      <w:tr w14:paraId="123FA6CF" w14:textId="77777777" w:rsidTr="00640090">
        <w:tblPrEx>
          <w:tblW w:w="9738" w:type="dxa"/>
          <w:tblLayout w:type="fixed"/>
          <w:tblLook w:val="04A0"/>
        </w:tblPrEx>
        <w:trPr>
          <w:trHeight w:val="1898"/>
        </w:trPr>
        <w:tc>
          <w:tcPr>
            <w:tcW w:w="1098" w:type="dxa"/>
          </w:tcPr>
          <w:p w:rsidR="00066944" w:rsidRPr="00640090" w:rsidP="00640090" w14:paraId="413C04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00066944" w:rsidRPr="00640090" w:rsidP="00640090" w14:paraId="367958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00066944" w:rsidRPr="00640090" w:rsidP="00640090" w14:paraId="683DDB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00066944" w:rsidRPr="00640090" w:rsidP="00640090" w14:paraId="2822CF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 xml:space="preserve">§414.930 </w:t>
            </w:r>
          </w:p>
        </w:tc>
        <w:tc>
          <w:tcPr>
            <w:tcW w:w="2700" w:type="dxa"/>
          </w:tcPr>
          <w:p w:rsidR="00066944" w:rsidRPr="00640090" w:rsidP="00640090" w14:paraId="5A7E46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Internal or external request for listing of therapy recommendation including criteria used to evaluate the response</w:t>
            </w:r>
          </w:p>
        </w:tc>
        <w:tc>
          <w:tcPr>
            <w:tcW w:w="1530" w:type="dxa"/>
          </w:tcPr>
          <w:p w:rsidR="00066944" w:rsidRPr="00640090" w:rsidP="00640090" w14:paraId="396550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7ED906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66D6D5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5AD747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00066944" w:rsidRPr="00640090" w:rsidP="00640090" w14:paraId="0FD6D1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3F1FB5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3E7068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7977B8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066944" w:rsidRPr="00640090" w:rsidP="00640090" w14:paraId="00DAC3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639A17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298899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786F39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00066944" w:rsidRPr="00640090" w:rsidP="00640090" w14:paraId="5DEF8C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49E8C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187CA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516B08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r>
      <w:tr w14:paraId="2CE3AE2D" w14:textId="77777777" w:rsidTr="00640090">
        <w:tblPrEx>
          <w:tblW w:w="9738" w:type="dxa"/>
          <w:tblLayout w:type="fixed"/>
          <w:tblLook w:val="04A0"/>
        </w:tblPrEx>
        <w:trPr>
          <w:trHeight w:val="269"/>
        </w:trPr>
        <w:tc>
          <w:tcPr>
            <w:tcW w:w="1098" w:type="dxa"/>
          </w:tcPr>
          <w:p w:rsidR="00066944" w:rsidRPr="00640090" w:rsidP="00640090" w14:paraId="2EEF0B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00066944" w:rsidRPr="00640090" w:rsidP="00640090" w14:paraId="23A083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A listing of all evidentiary materials reviewed or considered by compendia pursuant to a response</w:t>
            </w:r>
          </w:p>
        </w:tc>
        <w:tc>
          <w:tcPr>
            <w:tcW w:w="1530" w:type="dxa"/>
          </w:tcPr>
          <w:p w:rsidR="00066944" w:rsidRPr="00640090" w:rsidP="00640090" w14:paraId="5FEF3A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779F82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3D60BA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p w:rsidR="00066944" w:rsidRPr="00640090" w:rsidP="00640090" w14:paraId="42E5B2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620" w:type="dxa"/>
          </w:tcPr>
          <w:p w:rsidR="00066944" w:rsidRPr="00640090" w:rsidP="00640090" w14:paraId="00EC49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03C232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4C0DB4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066944" w:rsidRPr="00640090" w:rsidP="00640090" w14:paraId="44C28D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76B11E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3E057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00066944" w:rsidRPr="00640090" w:rsidP="00640090" w14:paraId="5088D2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2BF27B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107328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r>
      <w:tr w14:paraId="4F804177" w14:textId="77777777" w:rsidTr="00640090">
        <w:tblPrEx>
          <w:tblW w:w="9738" w:type="dxa"/>
          <w:tblLayout w:type="fixed"/>
          <w:tblLook w:val="04A0"/>
        </w:tblPrEx>
        <w:trPr>
          <w:trHeight w:val="269"/>
        </w:trPr>
        <w:tc>
          <w:tcPr>
            <w:tcW w:w="1098" w:type="dxa"/>
          </w:tcPr>
          <w:p w:rsidR="00066944" w:rsidRPr="00640090" w:rsidP="00640090" w14:paraId="359DCB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00066944" w:rsidRPr="00640090" w:rsidP="00640090" w14:paraId="01945D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 xml:space="preserve">A listing of all respondents </w:t>
            </w:r>
          </w:p>
        </w:tc>
        <w:tc>
          <w:tcPr>
            <w:tcW w:w="1530" w:type="dxa"/>
          </w:tcPr>
          <w:p w:rsidR="00066944" w:rsidRPr="00640090" w:rsidP="00640090" w14:paraId="33DDFC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662C7B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10 -845</w:t>
            </w:r>
          </w:p>
        </w:tc>
        <w:tc>
          <w:tcPr>
            <w:tcW w:w="1620" w:type="dxa"/>
          </w:tcPr>
          <w:p w:rsidR="00066944" w:rsidRPr="00640090" w:rsidP="00640090" w14:paraId="5380B6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BD6EB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066944" w:rsidRPr="00640090" w:rsidP="00640090" w14:paraId="4F0213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1DB3E2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00066944" w:rsidRPr="00640090" w:rsidP="00640090" w14:paraId="18F8EB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20614A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r>
      <w:tr w14:paraId="630C20C7" w14:textId="77777777" w:rsidTr="00640090">
        <w:tblPrEx>
          <w:tblW w:w="9738" w:type="dxa"/>
          <w:tblLayout w:type="fixed"/>
          <w:tblLook w:val="04A0"/>
        </w:tblPrEx>
        <w:trPr>
          <w:trHeight w:val="2258"/>
        </w:trPr>
        <w:tc>
          <w:tcPr>
            <w:tcW w:w="1098" w:type="dxa"/>
          </w:tcPr>
          <w:p w:rsidR="00066944" w:rsidRPr="00640090" w:rsidP="00640090" w14:paraId="065C50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00066944" w:rsidRPr="00640090" w:rsidP="00640090" w14:paraId="1E8E78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Minutes and voting records of meetings for the review and disposition of the response</w:t>
            </w:r>
          </w:p>
        </w:tc>
        <w:tc>
          <w:tcPr>
            <w:tcW w:w="1530" w:type="dxa"/>
          </w:tcPr>
          <w:p w:rsidR="00066944" w:rsidRPr="00640090" w:rsidP="00640090" w14:paraId="5AAACC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656DE4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43DCF8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0F458A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00066944" w:rsidRPr="00640090" w:rsidP="00640090" w14:paraId="79F0DF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28B82D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3CAA8D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300-400</w:t>
            </w:r>
          </w:p>
          <w:p w:rsidR="00066944" w:rsidRPr="00640090" w:rsidP="00640090" w14:paraId="7602C2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 xml:space="preserve">(based on </w:t>
            </w:r>
          </w:p>
          <w:p w:rsidR="00066944" w:rsidRPr="00640090" w:rsidP="00640090" w14:paraId="62E633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 responses requiring 4 meetings per year)</w:t>
            </w:r>
          </w:p>
        </w:tc>
        <w:tc>
          <w:tcPr>
            <w:tcW w:w="1350" w:type="dxa"/>
          </w:tcPr>
          <w:p w:rsidR="00066944" w:rsidRPr="00640090" w:rsidP="00640090" w14:paraId="3451F8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47BA52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51FB17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28B4A8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6</w:t>
            </w:r>
          </w:p>
        </w:tc>
        <w:tc>
          <w:tcPr>
            <w:tcW w:w="1440" w:type="dxa"/>
          </w:tcPr>
          <w:p w:rsidR="00066944" w:rsidRPr="00640090" w:rsidP="00640090" w14:paraId="35AAAB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6F7AB4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517680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4A3EB7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1800-2400 </w:t>
            </w:r>
          </w:p>
        </w:tc>
      </w:tr>
      <w:tr w14:paraId="6B1B8644" w14:textId="77777777" w:rsidTr="00640090">
        <w:tblPrEx>
          <w:tblW w:w="9738" w:type="dxa"/>
          <w:tblLayout w:type="fixed"/>
          <w:tblLook w:val="04A0"/>
        </w:tblPrEx>
        <w:trPr>
          <w:trHeight w:val="269"/>
        </w:trPr>
        <w:tc>
          <w:tcPr>
            <w:tcW w:w="1098" w:type="dxa"/>
          </w:tcPr>
          <w:p w:rsidR="00066944" w:rsidRPr="00640090" w:rsidP="00640090" w14:paraId="635257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00066944" w:rsidRPr="00640090" w:rsidP="00640090" w14:paraId="68F472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Direct or indirect financial relationships between respondents and the manufacturer or seller of the drug or biological being reviewed by compendia</w:t>
            </w:r>
          </w:p>
        </w:tc>
        <w:tc>
          <w:tcPr>
            <w:tcW w:w="1530" w:type="dxa"/>
          </w:tcPr>
          <w:p w:rsidR="00066944" w:rsidRPr="00640090" w:rsidP="00640090" w14:paraId="04D44C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5F98E7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7E604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00066944" w:rsidRPr="00640090" w:rsidP="00640090" w14:paraId="1E4922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76B42F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797D96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066944" w:rsidRPr="00640090" w:rsidP="00640090" w14:paraId="6203C7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45F91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05883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00066944" w:rsidRPr="00640090" w:rsidP="00640090" w14:paraId="5EBCEC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10C52B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772BE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    10-845</w:t>
            </w:r>
          </w:p>
        </w:tc>
      </w:tr>
      <w:tr w14:paraId="0BE32824" w14:textId="77777777" w:rsidTr="00640090">
        <w:tblPrEx>
          <w:tblW w:w="9738" w:type="dxa"/>
          <w:tblLayout w:type="fixed"/>
          <w:tblLook w:val="04A0"/>
        </w:tblPrEx>
        <w:trPr>
          <w:trHeight w:val="269"/>
        </w:trPr>
        <w:tc>
          <w:tcPr>
            <w:tcW w:w="1098" w:type="dxa"/>
          </w:tcPr>
          <w:p w:rsidR="00066944" w:rsidRPr="00640090" w:rsidP="00640090" w14:paraId="19FAD4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00066944" w:rsidRPr="00640090" w:rsidP="00640090" w14:paraId="46B3CE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Ownership or investment of respondents and the manufacturer or seller of the drug or biological being reviewed by compendia</w:t>
            </w:r>
          </w:p>
        </w:tc>
        <w:tc>
          <w:tcPr>
            <w:tcW w:w="1530" w:type="dxa"/>
          </w:tcPr>
          <w:p w:rsidR="00066944" w:rsidRPr="00640090" w:rsidP="00640090" w14:paraId="7AF7D0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FFB63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3A2A2A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00066944" w:rsidRPr="00640090" w:rsidP="00640090" w14:paraId="7EB5D2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204AE4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066944" w:rsidRPr="00640090" w:rsidP="00640090" w14:paraId="741C8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066944" w:rsidRPr="00640090" w:rsidP="00640090" w14:paraId="06726C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6EC4AC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0A0CDF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00066944" w:rsidRPr="00640090" w:rsidP="00640090" w14:paraId="2AEEFB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2D3AA6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66944" w:rsidRPr="00640090" w:rsidP="00640090" w14:paraId="3E1021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    10-845</w:t>
            </w:r>
          </w:p>
        </w:tc>
      </w:tr>
    </w:tbl>
    <w:p w:rsidR="00066944" w14:paraId="248796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pPr w:leftFromText="180" w:rightFromText="180" w:vertAnchor="text" w:horzAnchor="margin" w:tblpY="7"/>
        <w:tblOverlap w:val="neve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1530"/>
        <w:gridCol w:w="1620"/>
        <w:gridCol w:w="1350"/>
        <w:gridCol w:w="1440"/>
      </w:tblGrid>
      <w:tr w14:paraId="32F23CC0" w14:textId="77777777" w:rsidTr="00640090">
        <w:tblPrEx>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38"/>
        </w:trPr>
        <w:tc>
          <w:tcPr>
            <w:tcW w:w="3798" w:type="dxa"/>
            <w:shd w:val="pct25" w:color="auto" w:fill="auto"/>
          </w:tcPr>
          <w:p w:rsidR="00AD3FCE" w:rsidRPr="00640090" w:rsidP="00640090" w14:paraId="00A04A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FCE" w:rsidRPr="00640090" w:rsidP="00640090" w14:paraId="206431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40090">
              <w:rPr>
                <w:sz w:val="24"/>
                <w:shd w:val="pct25" w:color="auto" w:fill="auto"/>
              </w:rPr>
              <w:t>Totals</w:t>
            </w:r>
          </w:p>
        </w:tc>
        <w:tc>
          <w:tcPr>
            <w:tcW w:w="1530" w:type="dxa"/>
          </w:tcPr>
          <w:p w:rsidR="00AD3FCE" w:rsidRPr="00640090" w:rsidP="00640090" w14:paraId="3EC1B2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3FCE" w:rsidRPr="00640090" w:rsidP="00640090" w14:paraId="27F525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00AD3FCE" w:rsidRPr="00640090" w:rsidP="00640090" w14:paraId="02BD91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AD3FCE" w:rsidRPr="00640090" w:rsidP="00640090" w14:paraId="3D7EEF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00AD3FCE" w:rsidRPr="00640090" w:rsidP="00640090" w14:paraId="49AD99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FCE" w:rsidRPr="00640090" w:rsidP="00640090" w14:paraId="23E9DB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40090">
              <w:rPr>
                <w:sz w:val="24"/>
              </w:rPr>
              <w:t>11</w:t>
            </w:r>
          </w:p>
        </w:tc>
        <w:tc>
          <w:tcPr>
            <w:tcW w:w="1440" w:type="dxa"/>
          </w:tcPr>
          <w:p w:rsidR="00AD3FCE" w:rsidRPr="00640090" w:rsidP="00640090" w14:paraId="5D956B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FCE" w:rsidRPr="00640090" w:rsidP="00640090" w14:paraId="4848FB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40090">
              <w:rPr>
                <w:sz w:val="24"/>
              </w:rPr>
              <w:t>1980-5135</w:t>
            </w:r>
          </w:p>
        </w:tc>
      </w:tr>
    </w:tbl>
    <w:p w:rsidR="00AD3FCE" w:rsidP="00AD3FCE" w14:paraId="12115C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302" w:rsidP="00AD3FCE" w14:paraId="3F230B01" w14:textId="5DE63F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FCE">
        <w:rPr>
          <w:sz w:val="24"/>
        </w:rPr>
        <w:t>In the table above,</w:t>
      </w:r>
      <w:r w:rsidRPr="00AD3FCE">
        <w:rPr>
          <w:i/>
          <w:sz w:val="24"/>
        </w:rPr>
        <w:t xml:space="preserve"> respondents</w:t>
      </w:r>
      <w:r w:rsidRPr="00AD3FCE">
        <w:rPr>
          <w:sz w:val="24"/>
        </w:rPr>
        <w:t xml:space="preserve"> refers to the </w:t>
      </w:r>
      <w:r w:rsidRPr="00AD3FCE" w:rsidR="00F842D9">
        <w:rPr>
          <w:sz w:val="24"/>
        </w:rPr>
        <w:t xml:space="preserve">number of those who substantially participate in </w:t>
      </w:r>
      <w:r>
        <w:rPr>
          <w:sz w:val="24"/>
        </w:rPr>
        <w:t xml:space="preserve">a compendium’s </w:t>
      </w:r>
      <w:r w:rsidRPr="00AD3FCE" w:rsidR="00F842D9">
        <w:rPr>
          <w:sz w:val="24"/>
        </w:rPr>
        <w:t>recommendations and their immediate family members</w:t>
      </w:r>
      <w:r>
        <w:rPr>
          <w:sz w:val="24"/>
        </w:rPr>
        <w:t>,</w:t>
      </w:r>
      <w:r w:rsidRPr="00AD3FCE">
        <w:rPr>
          <w:sz w:val="24"/>
        </w:rPr>
        <w:t xml:space="preserve"> and </w:t>
      </w:r>
      <w:r w:rsidRPr="00AD3FCE">
        <w:rPr>
          <w:i/>
          <w:sz w:val="24"/>
        </w:rPr>
        <w:t>responses</w:t>
      </w:r>
      <w:r w:rsidRPr="00AD3FCE">
        <w:rPr>
          <w:sz w:val="24"/>
        </w:rPr>
        <w:t xml:space="preserve"> refers to the </w:t>
      </w:r>
      <w:r w:rsidRPr="00AD3FCE" w:rsidR="00F842D9">
        <w:rPr>
          <w:sz w:val="24"/>
        </w:rPr>
        <w:t>number of requests</w:t>
      </w:r>
      <w:r>
        <w:rPr>
          <w:sz w:val="24"/>
        </w:rPr>
        <w:t xml:space="preserve"> a compendium receives</w:t>
      </w:r>
      <w:r w:rsidRPr="00AD3FCE" w:rsidR="00F842D9">
        <w:rPr>
          <w:sz w:val="24"/>
        </w:rPr>
        <w:t xml:space="preserve"> per yea</w:t>
      </w:r>
      <w:r>
        <w:rPr>
          <w:sz w:val="24"/>
        </w:rPr>
        <w:t xml:space="preserve">r for inclusion of a therapy in their publication.  </w:t>
      </w:r>
      <w:r w:rsidRPr="00AD3FCE" w:rsidR="00E63023">
        <w:rPr>
          <w:sz w:val="24"/>
        </w:rPr>
        <w:t>Based on</w:t>
      </w:r>
      <w:r w:rsidRPr="00AD3FCE" w:rsidR="004A6C4E">
        <w:rPr>
          <w:sz w:val="24"/>
        </w:rPr>
        <w:t xml:space="preserve"> our</w:t>
      </w:r>
      <w:r w:rsidRPr="00AD3FCE" w:rsidR="00427360">
        <w:rPr>
          <w:sz w:val="24"/>
        </w:rPr>
        <w:t xml:space="preserve"> estimate</w:t>
      </w:r>
      <w:r w:rsidRPr="00AD3FCE" w:rsidR="004A6C4E">
        <w:rPr>
          <w:sz w:val="24"/>
        </w:rPr>
        <w:t>,</w:t>
      </w:r>
      <w:r w:rsidRPr="00AD3FCE" w:rsidR="00E63023">
        <w:rPr>
          <w:sz w:val="24"/>
        </w:rPr>
        <w:t xml:space="preserve"> the</w:t>
      </w:r>
      <w:r w:rsidRPr="00AD3FCE" w:rsidR="00A47963">
        <w:rPr>
          <w:sz w:val="24"/>
        </w:rPr>
        <w:t xml:space="preserve"> burden</w:t>
      </w:r>
      <w:r w:rsidRPr="00AD3FCE" w:rsidR="00E63023">
        <w:rPr>
          <w:sz w:val="24"/>
        </w:rPr>
        <w:t xml:space="preserve"> we derived for all our conflict of interest and </w:t>
      </w:r>
      <w:r w:rsidRPr="00AD3FCE" w:rsidR="0086223A">
        <w:rPr>
          <w:sz w:val="24"/>
        </w:rPr>
        <w:t>transparency provisions</w:t>
      </w:r>
      <w:r w:rsidRPr="00AD3FCE" w:rsidR="00A47963">
        <w:rPr>
          <w:sz w:val="24"/>
        </w:rPr>
        <w:t xml:space="preserve"> abov</w:t>
      </w:r>
      <w:r w:rsidRPr="00AD3FCE" w:rsidR="008D2C38">
        <w:rPr>
          <w:sz w:val="24"/>
        </w:rPr>
        <w:t>e</w:t>
      </w:r>
      <w:r w:rsidRPr="00AD3FCE" w:rsidR="00160090">
        <w:rPr>
          <w:sz w:val="24"/>
        </w:rPr>
        <w:t xml:space="preserve">, the total burden would range from 1950 hours per compendium with 75 </w:t>
      </w:r>
      <w:r w:rsidRPr="00AD3FCE" w:rsidR="00160090">
        <w:rPr>
          <w:sz w:val="24"/>
        </w:rPr>
        <w:t>responses to 2600 hours</w:t>
      </w:r>
      <w:r w:rsidRPr="00AD3FCE" w:rsidR="008D2C38">
        <w:rPr>
          <w:sz w:val="24"/>
        </w:rPr>
        <w:t xml:space="preserve"> </w:t>
      </w:r>
      <w:r w:rsidRPr="00AD3FCE" w:rsidR="00160090">
        <w:rPr>
          <w:sz w:val="24"/>
        </w:rPr>
        <w:t>per compendium</w:t>
      </w:r>
      <w:r w:rsidRPr="00AD3FCE" w:rsidR="00A47963">
        <w:rPr>
          <w:sz w:val="24"/>
        </w:rPr>
        <w:t xml:space="preserve"> with 100 responses.  </w:t>
      </w:r>
      <w:r w:rsidRPr="00E417C1" w:rsidR="00A47963">
        <w:rPr>
          <w:sz w:val="24"/>
        </w:rPr>
        <w:t>The variation in responses</w:t>
      </w:r>
      <w:r w:rsidRPr="00E417C1" w:rsidR="00DE294A">
        <w:rPr>
          <w:sz w:val="24"/>
        </w:rPr>
        <w:t xml:space="preserve"> </w:t>
      </w:r>
      <w:r w:rsidRPr="00E417C1" w:rsidR="00A47963">
        <w:rPr>
          <w:sz w:val="24"/>
        </w:rPr>
        <w:t xml:space="preserve">is due to the varying size </w:t>
      </w:r>
      <w:r w:rsidRPr="00E417C1" w:rsidR="008D2C38">
        <w:rPr>
          <w:sz w:val="24"/>
        </w:rPr>
        <w:t>of compendia publications</w:t>
      </w:r>
      <w:r w:rsidRPr="00E417C1" w:rsidR="00160090">
        <w:rPr>
          <w:sz w:val="24"/>
        </w:rPr>
        <w:t xml:space="preserve"> and different processes used by compendia publishers to generate a recommendation</w:t>
      </w:r>
      <w:r w:rsidRPr="00E417C1" w:rsidR="008D2C38">
        <w:rPr>
          <w:sz w:val="24"/>
        </w:rPr>
        <w:t>.</w:t>
      </w:r>
      <w:r w:rsidR="00160090">
        <w:rPr>
          <w:sz w:val="24"/>
        </w:rPr>
        <w:t xml:space="preserve">  In our estimate we also found tha</w:t>
      </w:r>
      <w:r w:rsidR="0086223A">
        <w:rPr>
          <w:sz w:val="24"/>
        </w:rPr>
        <w:t xml:space="preserve">t the total burden from respondents would range from 30 hours per compendium with 10 respondents to 2535 hours per compendium with 845 respondents.  The variation in respondents depends on a compendium’s use of internal or external staff to generate compendia recommendations.  Therefore, based on these burden totals, the total burden hours per compendium to comply with our conflict of interest and transparency provisions ranges from 1980 hours (a compendium with 75 responses and 10 respondents) to </w:t>
      </w:r>
      <w:r w:rsidR="000952C6">
        <w:rPr>
          <w:sz w:val="24"/>
        </w:rPr>
        <w:t xml:space="preserve">5135 hours (a compendium with 100 responses and 845 respondents).  In order to capture the maximum burden for an individual compendium, we are using the highest total hour estimate, 5135 hours, per compendium to comply with our conflict of interest and transparency provisions.  </w:t>
      </w:r>
      <w:r w:rsidR="008D2C38">
        <w:rPr>
          <w:sz w:val="24"/>
        </w:rPr>
        <w:t xml:space="preserve">In addition, all these provisions could be </w:t>
      </w:r>
      <w:r w:rsidR="000952C6">
        <w:rPr>
          <w:sz w:val="24"/>
        </w:rPr>
        <w:t xml:space="preserve">managed </w:t>
      </w:r>
      <w:r w:rsidR="008D2C38">
        <w:rPr>
          <w:sz w:val="24"/>
        </w:rPr>
        <w:t>by a</w:t>
      </w:r>
      <w:r w:rsidR="007A620D">
        <w:rPr>
          <w:sz w:val="24"/>
        </w:rPr>
        <w:t>n executive</w:t>
      </w:r>
      <w:r w:rsidR="008D2C38">
        <w:rPr>
          <w:sz w:val="24"/>
        </w:rPr>
        <w:t xml:space="preserve"> administrative assistant at </w:t>
      </w:r>
      <w:r w:rsidR="00B51FD9">
        <w:rPr>
          <w:sz w:val="24"/>
        </w:rPr>
        <w:t>an hourly rate of $</w:t>
      </w:r>
      <w:r w:rsidR="00EA2FFE">
        <w:rPr>
          <w:sz w:val="24"/>
        </w:rPr>
        <w:t>4</w:t>
      </w:r>
      <w:r w:rsidR="009C5DA4">
        <w:rPr>
          <w:sz w:val="24"/>
        </w:rPr>
        <w:t>7.25</w:t>
      </w:r>
      <w:r w:rsidR="00D25A81">
        <w:rPr>
          <w:sz w:val="24"/>
        </w:rPr>
        <w:t xml:space="preserve"> per hour</w:t>
      </w:r>
      <w:r w:rsidR="004D7A20">
        <w:rPr>
          <w:sz w:val="24"/>
        </w:rPr>
        <w:t xml:space="preserve"> or </w:t>
      </w:r>
      <w:r w:rsidR="00B6043D">
        <w:rPr>
          <w:sz w:val="24"/>
        </w:rPr>
        <w:t>annual</w:t>
      </w:r>
      <w:r w:rsidR="00B51FD9">
        <w:rPr>
          <w:sz w:val="24"/>
        </w:rPr>
        <w:t xml:space="preserve"> </w:t>
      </w:r>
      <w:r w:rsidR="00D25A81">
        <w:rPr>
          <w:sz w:val="24"/>
        </w:rPr>
        <w:t xml:space="preserve">salary </w:t>
      </w:r>
      <w:r w:rsidR="008D2C38">
        <w:rPr>
          <w:sz w:val="24"/>
        </w:rPr>
        <w:t xml:space="preserve">of </w:t>
      </w:r>
      <w:r w:rsidRPr="00D25A81" w:rsidR="008D2C38">
        <w:rPr>
          <w:sz w:val="24"/>
        </w:rPr>
        <w:t>$</w:t>
      </w:r>
      <w:r w:rsidR="009C5DA4">
        <w:rPr>
          <w:sz w:val="24"/>
        </w:rPr>
        <w:t>98,280</w:t>
      </w:r>
      <w:r w:rsidR="00D25A81">
        <w:rPr>
          <w:sz w:val="24"/>
        </w:rPr>
        <w:t xml:space="preserve"> </w:t>
      </w:r>
      <w:r w:rsidR="00B6043D">
        <w:rPr>
          <w:sz w:val="24"/>
        </w:rPr>
        <w:t xml:space="preserve">based </w:t>
      </w:r>
      <w:r w:rsidR="004D7A20">
        <w:rPr>
          <w:sz w:val="24"/>
        </w:rPr>
        <w:t>on the 90</w:t>
      </w:r>
      <w:r w:rsidRPr="004D7A20" w:rsidR="004D7A20">
        <w:rPr>
          <w:sz w:val="24"/>
          <w:vertAlign w:val="superscript"/>
        </w:rPr>
        <w:t>th</w:t>
      </w:r>
      <w:r w:rsidR="004D7A20">
        <w:rPr>
          <w:sz w:val="24"/>
        </w:rPr>
        <w:t xml:space="preserve"> percentile national </w:t>
      </w:r>
      <w:r w:rsidR="00B6043D">
        <w:rPr>
          <w:sz w:val="24"/>
        </w:rPr>
        <w:t xml:space="preserve">wage estimate </w:t>
      </w:r>
      <w:r w:rsidR="00D25A81">
        <w:rPr>
          <w:sz w:val="24"/>
        </w:rPr>
        <w:t>obtained from the</w:t>
      </w:r>
      <w:r w:rsidRPr="00D25A81" w:rsidR="008D2C38">
        <w:rPr>
          <w:sz w:val="24"/>
        </w:rPr>
        <w:t xml:space="preserve"> Department of Labor</w:t>
      </w:r>
      <w:r w:rsidR="00B51FD9">
        <w:rPr>
          <w:sz w:val="24"/>
        </w:rPr>
        <w:t>’</w:t>
      </w:r>
      <w:r w:rsidR="00B6043D">
        <w:rPr>
          <w:sz w:val="24"/>
        </w:rPr>
        <w:t xml:space="preserve">s Bureau </w:t>
      </w:r>
      <w:r w:rsidR="00B51FD9">
        <w:rPr>
          <w:sz w:val="24"/>
        </w:rPr>
        <w:t xml:space="preserve">of Labor </w:t>
      </w:r>
      <w:r w:rsidR="00B6043D">
        <w:rPr>
          <w:sz w:val="24"/>
        </w:rPr>
        <w:t>Statistics May 20</w:t>
      </w:r>
      <w:r w:rsidR="009C5DA4">
        <w:rPr>
          <w:sz w:val="24"/>
        </w:rPr>
        <w:t>21</w:t>
      </w:r>
      <w:r w:rsidR="00B6043D">
        <w:rPr>
          <w:sz w:val="24"/>
        </w:rPr>
        <w:t xml:space="preserve"> report</w:t>
      </w:r>
      <w:r w:rsidR="00BA50E3">
        <w:rPr>
          <w:sz w:val="24"/>
        </w:rPr>
        <w:t xml:space="preserve"> (</w:t>
      </w:r>
      <w:hyperlink r:id="rId5" w:history="1">
        <w:r w:rsidRPr="00931B88" w:rsidR="00FF06E4">
          <w:rPr>
            <w:rStyle w:val="Hyperlink"/>
            <w:sz w:val="24"/>
          </w:rPr>
          <w:t>https://www.bls.gov/oes/current/oes436011.htm</w:t>
        </w:r>
      </w:hyperlink>
      <w:r w:rsidR="00BA50E3">
        <w:rPr>
          <w:sz w:val="24"/>
        </w:rPr>
        <w:t>)</w:t>
      </w:r>
      <w:r w:rsidR="00FF06E4">
        <w:rPr>
          <w:sz w:val="24"/>
        </w:rPr>
        <w:t>; plus 100% for fringe benefits and overhead to total $</w:t>
      </w:r>
      <w:r w:rsidR="009C5DA4">
        <w:rPr>
          <w:sz w:val="24"/>
        </w:rPr>
        <w:t>94.50</w:t>
      </w:r>
      <w:r w:rsidR="00FF06E4">
        <w:rPr>
          <w:sz w:val="24"/>
        </w:rPr>
        <w:t xml:space="preserve"> per hour or $</w:t>
      </w:r>
      <w:r w:rsidR="00EA2FFE">
        <w:rPr>
          <w:sz w:val="24"/>
        </w:rPr>
        <w:t>1</w:t>
      </w:r>
      <w:r w:rsidR="009C5DA4">
        <w:rPr>
          <w:sz w:val="24"/>
        </w:rPr>
        <w:t>89,000</w:t>
      </w:r>
      <w:r w:rsidR="00FF06E4">
        <w:rPr>
          <w:sz w:val="24"/>
        </w:rPr>
        <w:t xml:space="preserve"> annual salary.</w:t>
      </w:r>
      <w:r w:rsidR="00C005BB">
        <w:rPr>
          <w:sz w:val="24"/>
        </w:rPr>
        <w:t xml:space="preserve">  Therefore, the cost of the maximum burden for an individual compendium could be $</w:t>
      </w:r>
      <w:r w:rsidR="00EA2FFE">
        <w:rPr>
          <w:sz w:val="24"/>
        </w:rPr>
        <w:t>4</w:t>
      </w:r>
      <w:r w:rsidR="009C5DA4">
        <w:rPr>
          <w:sz w:val="24"/>
        </w:rPr>
        <w:t>85,258</w:t>
      </w:r>
      <w:r w:rsidR="00C005BB">
        <w:rPr>
          <w:sz w:val="24"/>
        </w:rPr>
        <w:t xml:space="preserve"> ($</w:t>
      </w:r>
      <w:r w:rsidR="009C5DA4">
        <w:rPr>
          <w:sz w:val="24"/>
        </w:rPr>
        <w:t>94.50</w:t>
      </w:r>
      <w:r w:rsidR="00C005BB">
        <w:rPr>
          <w:sz w:val="24"/>
        </w:rPr>
        <w:t xml:space="preserve"> per hour at 5135 hours), per compendium to comply with our conflict of interest and transparency provisions.</w:t>
      </w:r>
    </w:p>
    <w:p w:rsidR="008D2C38" w:rsidRPr="00853302" w:rsidP="00853302" w14:paraId="3E6A04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B16" w14:paraId="044D95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14:paraId="2F712A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14:paraId="236FF7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E28B3" w:rsidRPr="003E28B3" w:rsidP="003E28B3" w14:paraId="196C5B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capital costs associated with the collection of </w:t>
      </w:r>
      <w:r w:rsidR="00E2758D">
        <w:rPr>
          <w:sz w:val="24"/>
        </w:rPr>
        <w:t xml:space="preserve">material and information is </w:t>
      </w:r>
      <w:r>
        <w:rPr>
          <w:sz w:val="24"/>
        </w:rPr>
        <w:t xml:space="preserve">negligible </w:t>
      </w:r>
      <w:r w:rsidR="00E2758D">
        <w:rPr>
          <w:sz w:val="24"/>
        </w:rPr>
        <w:t xml:space="preserve">for </w:t>
      </w:r>
      <w:r>
        <w:rPr>
          <w:sz w:val="24"/>
        </w:rPr>
        <w:t>compendia publishers</w:t>
      </w:r>
      <w:r w:rsidR="00E2758D">
        <w:rPr>
          <w:sz w:val="24"/>
        </w:rPr>
        <w:t xml:space="preserve"> because they all have the existing infrastructure</w:t>
      </w:r>
      <w:r w:rsidR="000E5AD5">
        <w:rPr>
          <w:sz w:val="24"/>
        </w:rPr>
        <w:t>,</w:t>
      </w:r>
      <w:r w:rsidR="00E2758D">
        <w:rPr>
          <w:sz w:val="24"/>
        </w:rPr>
        <w:t xml:space="preserve"> currently maintained company websites, to accommodate these provisions</w:t>
      </w:r>
      <w:r w:rsidR="009C06C5">
        <w:rPr>
          <w:sz w:val="24"/>
        </w:rPr>
        <w:t>.</w:t>
      </w:r>
      <w:r w:rsidR="00D25A81">
        <w:rPr>
          <w:sz w:val="24"/>
        </w:rPr>
        <w:t xml:space="preserve">  </w:t>
      </w:r>
      <w:r w:rsidR="000952C6">
        <w:rPr>
          <w:sz w:val="24"/>
        </w:rPr>
        <w:t>Any</w:t>
      </w:r>
      <w:r w:rsidR="00D66AD2">
        <w:rPr>
          <w:sz w:val="24"/>
        </w:rPr>
        <w:t xml:space="preserve"> costs for compendia publishers to comply with these provisions would be captured in their general operating costs.</w:t>
      </w:r>
    </w:p>
    <w:p w:rsidR="008F1EB4" w:rsidRPr="003E28B3" w14:paraId="6D0187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EC900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14:paraId="301A2B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7130260" w14:textId="11C986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estimate that a GS 14 Step 1 federal employee will spend 40 hours annually overseeing this program. </w:t>
      </w:r>
      <w:r w:rsidR="003D7E0D">
        <w:rPr>
          <w:sz w:val="24"/>
        </w:rPr>
        <w:t>The locality adjusted 2023 hourly wage for a CMS employee located in the Central Office in Baltimore at that Grade and Step is $63.43. Thus, the annual cost to the federal government is $2,537 ($63.43 x 40).</w:t>
      </w:r>
    </w:p>
    <w:p w:rsidR="008F1EB4" w14:paraId="2F4F05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58C23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14:paraId="6C2AC5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34AB" w:rsidRPr="00B00C05" w:rsidP="00B62A8E" w14:paraId="3FF9F07F" w14:textId="555E51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change in burden estimates is due to updating the estimates from May 201</w:t>
      </w:r>
      <w:r w:rsidR="009C5DA4">
        <w:rPr>
          <w:sz w:val="24"/>
        </w:rPr>
        <w:t>8</w:t>
      </w:r>
      <w:r>
        <w:rPr>
          <w:sz w:val="24"/>
        </w:rPr>
        <w:t xml:space="preserve"> wages to May 20</w:t>
      </w:r>
      <w:r w:rsidR="009C5DA4">
        <w:rPr>
          <w:sz w:val="24"/>
        </w:rPr>
        <w:t>21</w:t>
      </w:r>
      <w:r>
        <w:rPr>
          <w:sz w:val="24"/>
        </w:rPr>
        <w:t xml:space="preserve"> wages.</w:t>
      </w:r>
      <w:r w:rsidR="00A15F6A">
        <w:rPr>
          <w:sz w:val="24"/>
        </w:rPr>
        <w:t xml:space="preserve"> The cost has increased</w:t>
      </w:r>
      <w:r w:rsidR="00107CEA">
        <w:rPr>
          <w:sz w:val="24"/>
        </w:rPr>
        <w:t xml:space="preserve"> </w:t>
      </w:r>
      <w:r w:rsidR="00A15F6A">
        <w:rPr>
          <w:sz w:val="24"/>
        </w:rPr>
        <w:t xml:space="preserve">from </w:t>
      </w:r>
      <w:r w:rsidR="00903949">
        <w:rPr>
          <w:sz w:val="24"/>
        </w:rPr>
        <w:t>$440,994</w:t>
      </w:r>
      <w:r w:rsidR="00A15F6A">
        <w:rPr>
          <w:sz w:val="24"/>
        </w:rPr>
        <w:t xml:space="preserve"> to </w:t>
      </w:r>
      <w:r w:rsidR="00903949">
        <w:rPr>
          <w:sz w:val="24"/>
        </w:rPr>
        <w:t>$485,258</w:t>
      </w:r>
      <w:r w:rsidR="00A15F6A">
        <w:rPr>
          <w:sz w:val="24"/>
        </w:rPr>
        <w:t>.</w:t>
      </w:r>
      <w:r w:rsidRPr="00B62A8E">
        <w:rPr>
          <w:sz w:val="24"/>
        </w:rPr>
        <w:t xml:space="preserve"> </w:t>
      </w:r>
      <w:r>
        <w:rPr>
          <w:sz w:val="24"/>
        </w:rPr>
        <w:t>Otherwise, there are no program changes or adjustments to the collection.</w:t>
      </w:r>
    </w:p>
    <w:p w:rsidR="008F1EB4" w14:paraId="728C08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13045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14:paraId="33F21D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A736B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ED8">
        <w:rPr>
          <w:sz w:val="24"/>
        </w:rPr>
        <w:tab/>
        <w:t>There are no publication or tabulation dates.</w:t>
      </w:r>
    </w:p>
    <w:p w:rsidR="00471ED8" w:rsidRPr="00471ED8" w14:paraId="69009C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78C7F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14:paraId="440144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B16" w:rsidP="00AD3FCE" w14:paraId="7FA7F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1ED8">
        <w:rPr>
          <w:sz w:val="24"/>
        </w:rPr>
        <w:t xml:space="preserve">CMS </w:t>
      </w:r>
      <w:r w:rsidR="00AF2248">
        <w:rPr>
          <w:sz w:val="24"/>
        </w:rPr>
        <w:t>will display the expiration date</w:t>
      </w:r>
      <w:r w:rsidR="00C954F1">
        <w:rPr>
          <w:sz w:val="24"/>
        </w:rPr>
        <w:t xml:space="preserve"> on </w:t>
      </w:r>
      <w:r w:rsidRPr="00C954F1" w:rsidR="00C954F1">
        <w:rPr>
          <w:sz w:val="24"/>
        </w:rPr>
        <w:t>https://www.cms.gov/Medicare/Coverage/CoverageGenInfo/compendia.html</w:t>
      </w:r>
      <w:r w:rsidR="00AF2248">
        <w:rPr>
          <w:sz w:val="24"/>
        </w:rPr>
        <w:t>.</w:t>
      </w:r>
    </w:p>
    <w:p w:rsidR="00AF2248" w:rsidP="00AD3FCE" w14:paraId="6A9533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B16" w:rsidRPr="00E12B16" w:rsidP="00403608" w14:paraId="78E071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2B16">
        <w:rPr>
          <w:sz w:val="24"/>
        </w:rPr>
        <w:t>18.</w:t>
      </w:r>
      <w:r w:rsidRPr="00E12B16">
        <w:rPr>
          <w:sz w:val="24"/>
        </w:rPr>
        <w:tab/>
      </w:r>
      <w:r w:rsidRPr="00CE17C4">
        <w:rPr>
          <w:sz w:val="24"/>
          <w:u w:val="single"/>
        </w:rPr>
        <w:t>Certification Statement</w:t>
      </w:r>
    </w:p>
    <w:p w:rsidR="00E12B16" w:rsidRPr="00E12B16" w:rsidP="00E12B16" w14:paraId="557862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RPr="00471ED8" w:rsidP="00E12B16" w14:paraId="066CCE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certification statement.  </w:t>
      </w:r>
      <w:r w:rsidRPr="00471ED8" w:rsidR="00471ED8">
        <w:rPr>
          <w:sz w:val="24"/>
        </w:rPr>
        <w:t xml:space="preserve"> </w:t>
      </w:r>
    </w:p>
    <w:sectPr w:rsidSect="00261D93">
      <w:footerReference w:type="default" r:id="rId6"/>
      <w:endnotePr>
        <w:numFmt w:val="decimal"/>
      </w:endnotePr>
      <w:type w:val="continuous"/>
      <w:pgSz w:w="12240" w:h="15840"/>
      <w:pgMar w:top="1440" w:right="1296"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PKNJ K+ 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2C6" w14:paraId="6A86EF85" w14:textId="77777777">
    <w:pPr>
      <w:spacing w:line="240" w:lineRule="exact"/>
    </w:pPr>
  </w:p>
  <w:p w:rsidR="000952C6" w14:paraId="559FA233"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76733">
      <w:rPr>
        <w:noProof/>
        <w:sz w:val="24"/>
      </w:rPr>
      <w:t>1</w:t>
    </w:r>
    <w:r>
      <w:rPr>
        <w:sz w:val="24"/>
      </w:rPr>
      <w:fldChar w:fldCharType="end"/>
    </w:r>
  </w:p>
  <w:p w:rsidR="000952C6" w14:paraId="681E530B"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FF74F0"/>
    <w:multiLevelType w:val="hybridMultilevel"/>
    <w:tmpl w:val="D2500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520653"/>
    <w:multiLevelType w:val="hybridMultilevel"/>
    <w:tmpl w:val="923EE4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6108499">
    <w:abstractNumId w:val="1"/>
  </w:num>
  <w:num w:numId="2" w16cid:durableId="96319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2667"/>
    <w:rsid w:val="000501A7"/>
    <w:rsid w:val="00066944"/>
    <w:rsid w:val="0007612F"/>
    <w:rsid w:val="00087E97"/>
    <w:rsid w:val="000952C6"/>
    <w:rsid w:val="000D5556"/>
    <w:rsid w:val="000E5AD5"/>
    <w:rsid w:val="000F3AF4"/>
    <w:rsid w:val="00107CEA"/>
    <w:rsid w:val="001201C3"/>
    <w:rsid w:val="00160090"/>
    <w:rsid w:val="001735D2"/>
    <w:rsid w:val="00192C6B"/>
    <w:rsid w:val="001951B3"/>
    <w:rsid w:val="001E5E9C"/>
    <w:rsid w:val="002058C0"/>
    <w:rsid w:val="002161D9"/>
    <w:rsid w:val="00235176"/>
    <w:rsid w:val="00243FA7"/>
    <w:rsid w:val="00261D93"/>
    <w:rsid w:val="00264AC6"/>
    <w:rsid w:val="00277165"/>
    <w:rsid w:val="002855E9"/>
    <w:rsid w:val="00287344"/>
    <w:rsid w:val="002C6698"/>
    <w:rsid w:val="002C77D6"/>
    <w:rsid w:val="002D021E"/>
    <w:rsid w:val="002E559B"/>
    <w:rsid w:val="002F0689"/>
    <w:rsid w:val="002F4565"/>
    <w:rsid w:val="00314BFE"/>
    <w:rsid w:val="00324798"/>
    <w:rsid w:val="0036726D"/>
    <w:rsid w:val="00381CA0"/>
    <w:rsid w:val="003C37C7"/>
    <w:rsid w:val="003D7E0D"/>
    <w:rsid w:val="003E28B3"/>
    <w:rsid w:val="003E6AFA"/>
    <w:rsid w:val="003F4E45"/>
    <w:rsid w:val="00403608"/>
    <w:rsid w:val="0041107E"/>
    <w:rsid w:val="00426047"/>
    <w:rsid w:val="00427360"/>
    <w:rsid w:val="0046100B"/>
    <w:rsid w:val="00471ED8"/>
    <w:rsid w:val="00492F96"/>
    <w:rsid w:val="0049606C"/>
    <w:rsid w:val="004A6C4E"/>
    <w:rsid w:val="004B4986"/>
    <w:rsid w:val="004D1329"/>
    <w:rsid w:val="004D6434"/>
    <w:rsid w:val="004D7A20"/>
    <w:rsid w:val="004E103F"/>
    <w:rsid w:val="004F412C"/>
    <w:rsid w:val="0051253D"/>
    <w:rsid w:val="00513640"/>
    <w:rsid w:val="005246CF"/>
    <w:rsid w:val="005270CB"/>
    <w:rsid w:val="00530CEA"/>
    <w:rsid w:val="005375D5"/>
    <w:rsid w:val="00542642"/>
    <w:rsid w:val="005866B7"/>
    <w:rsid w:val="00590BCC"/>
    <w:rsid w:val="005A672E"/>
    <w:rsid w:val="005A68DE"/>
    <w:rsid w:val="006348AF"/>
    <w:rsid w:val="00640090"/>
    <w:rsid w:val="006478E6"/>
    <w:rsid w:val="00664672"/>
    <w:rsid w:val="0067715D"/>
    <w:rsid w:val="0069588A"/>
    <w:rsid w:val="006B0388"/>
    <w:rsid w:val="006B6320"/>
    <w:rsid w:val="006C09DC"/>
    <w:rsid w:val="006D1862"/>
    <w:rsid w:val="006E52D2"/>
    <w:rsid w:val="007360D6"/>
    <w:rsid w:val="00743E9B"/>
    <w:rsid w:val="007618B7"/>
    <w:rsid w:val="00765FBD"/>
    <w:rsid w:val="00766F5F"/>
    <w:rsid w:val="007751B3"/>
    <w:rsid w:val="00790FF2"/>
    <w:rsid w:val="007A481A"/>
    <w:rsid w:val="007A527E"/>
    <w:rsid w:val="007A5303"/>
    <w:rsid w:val="007A620D"/>
    <w:rsid w:val="007A77A1"/>
    <w:rsid w:val="007E1880"/>
    <w:rsid w:val="00822572"/>
    <w:rsid w:val="0082540B"/>
    <w:rsid w:val="0082626E"/>
    <w:rsid w:val="00830D72"/>
    <w:rsid w:val="00853302"/>
    <w:rsid w:val="0086223A"/>
    <w:rsid w:val="00870D59"/>
    <w:rsid w:val="008814B5"/>
    <w:rsid w:val="008B0770"/>
    <w:rsid w:val="008B2B9B"/>
    <w:rsid w:val="008C08AC"/>
    <w:rsid w:val="008D2C38"/>
    <w:rsid w:val="008F1EB4"/>
    <w:rsid w:val="00903949"/>
    <w:rsid w:val="00910A48"/>
    <w:rsid w:val="00925302"/>
    <w:rsid w:val="00931B88"/>
    <w:rsid w:val="00931E1A"/>
    <w:rsid w:val="00934FF7"/>
    <w:rsid w:val="009524B9"/>
    <w:rsid w:val="00963320"/>
    <w:rsid w:val="009767FA"/>
    <w:rsid w:val="009C06C5"/>
    <w:rsid w:val="009C0F2A"/>
    <w:rsid w:val="009C2A25"/>
    <w:rsid w:val="009C4D2A"/>
    <w:rsid w:val="009C5DA4"/>
    <w:rsid w:val="00A15F6A"/>
    <w:rsid w:val="00A21C52"/>
    <w:rsid w:val="00A21E93"/>
    <w:rsid w:val="00A41FB7"/>
    <w:rsid w:val="00A43E12"/>
    <w:rsid w:val="00A47963"/>
    <w:rsid w:val="00A51CA0"/>
    <w:rsid w:val="00A565BB"/>
    <w:rsid w:val="00A56955"/>
    <w:rsid w:val="00A711C3"/>
    <w:rsid w:val="00A73C50"/>
    <w:rsid w:val="00A75302"/>
    <w:rsid w:val="00AD3FCE"/>
    <w:rsid w:val="00AD49AE"/>
    <w:rsid w:val="00AD5DC1"/>
    <w:rsid w:val="00AE5791"/>
    <w:rsid w:val="00AE58CD"/>
    <w:rsid w:val="00AF2248"/>
    <w:rsid w:val="00AF7484"/>
    <w:rsid w:val="00B00C05"/>
    <w:rsid w:val="00B053CB"/>
    <w:rsid w:val="00B23062"/>
    <w:rsid w:val="00B51AF3"/>
    <w:rsid w:val="00B51FD9"/>
    <w:rsid w:val="00B55DF8"/>
    <w:rsid w:val="00B6043D"/>
    <w:rsid w:val="00B62A8E"/>
    <w:rsid w:val="00B76594"/>
    <w:rsid w:val="00B77DD4"/>
    <w:rsid w:val="00B8145C"/>
    <w:rsid w:val="00B85116"/>
    <w:rsid w:val="00B94B67"/>
    <w:rsid w:val="00BA50E3"/>
    <w:rsid w:val="00BA61C2"/>
    <w:rsid w:val="00BA6CAA"/>
    <w:rsid w:val="00BB0079"/>
    <w:rsid w:val="00BC0606"/>
    <w:rsid w:val="00BD00CF"/>
    <w:rsid w:val="00BD75FB"/>
    <w:rsid w:val="00BE34AB"/>
    <w:rsid w:val="00BF187B"/>
    <w:rsid w:val="00BF479B"/>
    <w:rsid w:val="00BF7529"/>
    <w:rsid w:val="00C005BB"/>
    <w:rsid w:val="00C954F1"/>
    <w:rsid w:val="00C96891"/>
    <w:rsid w:val="00CA20E2"/>
    <w:rsid w:val="00CA3A06"/>
    <w:rsid w:val="00CB05B0"/>
    <w:rsid w:val="00CC5CA5"/>
    <w:rsid w:val="00CC6ED2"/>
    <w:rsid w:val="00CD00C8"/>
    <w:rsid w:val="00CE17C4"/>
    <w:rsid w:val="00CF0061"/>
    <w:rsid w:val="00D204E6"/>
    <w:rsid w:val="00D23037"/>
    <w:rsid w:val="00D25A81"/>
    <w:rsid w:val="00D266EF"/>
    <w:rsid w:val="00D31B05"/>
    <w:rsid w:val="00D66AD2"/>
    <w:rsid w:val="00D74505"/>
    <w:rsid w:val="00D80C28"/>
    <w:rsid w:val="00DA3F19"/>
    <w:rsid w:val="00DE294A"/>
    <w:rsid w:val="00DE78B0"/>
    <w:rsid w:val="00E12B16"/>
    <w:rsid w:val="00E2758D"/>
    <w:rsid w:val="00E31C0D"/>
    <w:rsid w:val="00E37CE1"/>
    <w:rsid w:val="00E417C1"/>
    <w:rsid w:val="00E50A51"/>
    <w:rsid w:val="00E50E59"/>
    <w:rsid w:val="00E532B7"/>
    <w:rsid w:val="00E62DB9"/>
    <w:rsid w:val="00E63023"/>
    <w:rsid w:val="00E67A58"/>
    <w:rsid w:val="00E74BDC"/>
    <w:rsid w:val="00E75D79"/>
    <w:rsid w:val="00EA1DDD"/>
    <w:rsid w:val="00EA2FFE"/>
    <w:rsid w:val="00EB7A41"/>
    <w:rsid w:val="00EC2D7B"/>
    <w:rsid w:val="00ED237A"/>
    <w:rsid w:val="00EE43F6"/>
    <w:rsid w:val="00F049B2"/>
    <w:rsid w:val="00F253A2"/>
    <w:rsid w:val="00F76733"/>
    <w:rsid w:val="00F82C86"/>
    <w:rsid w:val="00F842D9"/>
    <w:rsid w:val="00FB211F"/>
    <w:rsid w:val="00FD1135"/>
    <w:rsid w:val="00FE7BFA"/>
    <w:rsid w:val="00FF0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435EDE"/>
  <w15:chartTrackingRefBased/>
  <w15:docId w15:val="{AE8AF9FA-18E9-46E1-AA37-1AD14A70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1D9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1D93"/>
  </w:style>
  <w:style w:type="paragraph" w:styleId="ListParagraph">
    <w:name w:val="List Paragraph"/>
    <w:basedOn w:val="Normal"/>
    <w:uiPriority w:val="34"/>
    <w:qFormat/>
    <w:rsid w:val="0007612F"/>
    <w:pPr>
      <w:ind w:left="720"/>
      <w:contextualSpacing/>
    </w:pPr>
  </w:style>
  <w:style w:type="table" w:styleId="TableGrid">
    <w:name w:val="Table Grid"/>
    <w:basedOn w:val="TableNormal"/>
    <w:rsid w:val="007A53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12667"/>
    <w:rPr>
      <w:szCs w:val="24"/>
    </w:rPr>
  </w:style>
  <w:style w:type="paragraph" w:styleId="BalloonText">
    <w:name w:val="Balloon Text"/>
    <w:basedOn w:val="Normal"/>
    <w:link w:val="BalloonTextChar"/>
    <w:rsid w:val="00012667"/>
    <w:rPr>
      <w:rFonts w:ascii="Tahoma" w:hAnsi="Tahoma" w:cs="Tahoma"/>
      <w:sz w:val="16"/>
      <w:szCs w:val="16"/>
    </w:rPr>
  </w:style>
  <w:style w:type="character" w:customStyle="1" w:styleId="BalloonTextChar">
    <w:name w:val="Balloon Text Char"/>
    <w:link w:val="BalloonText"/>
    <w:rsid w:val="00012667"/>
    <w:rPr>
      <w:rFonts w:ascii="Tahoma" w:hAnsi="Tahoma" w:cs="Tahoma"/>
      <w:sz w:val="16"/>
      <w:szCs w:val="16"/>
    </w:rPr>
  </w:style>
  <w:style w:type="character" w:styleId="CommentReference">
    <w:name w:val="annotation reference"/>
    <w:rsid w:val="00BD00CF"/>
    <w:rPr>
      <w:sz w:val="16"/>
      <w:szCs w:val="16"/>
    </w:rPr>
  </w:style>
  <w:style w:type="paragraph" w:styleId="CommentText">
    <w:name w:val="annotation text"/>
    <w:basedOn w:val="Normal"/>
    <w:link w:val="CommentTextChar"/>
    <w:rsid w:val="00BD00CF"/>
    <w:rPr>
      <w:szCs w:val="20"/>
    </w:rPr>
  </w:style>
  <w:style w:type="character" w:customStyle="1" w:styleId="CommentTextChar">
    <w:name w:val="Comment Text Char"/>
    <w:basedOn w:val="DefaultParagraphFont"/>
    <w:link w:val="CommentText"/>
    <w:rsid w:val="00BD00CF"/>
  </w:style>
  <w:style w:type="paragraph" w:styleId="CommentSubject">
    <w:name w:val="annotation subject"/>
    <w:basedOn w:val="CommentText"/>
    <w:next w:val="CommentText"/>
    <w:link w:val="CommentSubjectChar"/>
    <w:rsid w:val="00BD00CF"/>
    <w:rPr>
      <w:b/>
      <w:bCs/>
    </w:rPr>
  </w:style>
  <w:style w:type="character" w:customStyle="1" w:styleId="CommentSubjectChar">
    <w:name w:val="Comment Subject Char"/>
    <w:link w:val="CommentSubject"/>
    <w:rsid w:val="00BD00CF"/>
    <w:rPr>
      <w:b/>
      <w:bCs/>
    </w:rPr>
  </w:style>
  <w:style w:type="character" w:styleId="Hyperlink">
    <w:name w:val="Hyperlink"/>
    <w:rsid w:val="00BA50E3"/>
    <w:rPr>
      <w:color w:val="0563C1"/>
      <w:u w:val="single"/>
    </w:rPr>
  </w:style>
  <w:style w:type="paragraph" w:customStyle="1" w:styleId="Default">
    <w:name w:val="Default"/>
    <w:rsid w:val="00F253A2"/>
    <w:pPr>
      <w:autoSpaceDE w:val="0"/>
      <w:autoSpaceDN w:val="0"/>
      <w:adjustRightInd w:val="0"/>
    </w:pPr>
    <w:rPr>
      <w:rFonts w:ascii="HPKNJ K+ Melior" w:hAnsi="HPKNJ K+ Melior" w:cs="HPKNJ K+ Melior"/>
      <w:color w:val="000000"/>
      <w:sz w:val="24"/>
      <w:szCs w:val="24"/>
    </w:rPr>
  </w:style>
  <w:style w:type="paragraph" w:customStyle="1" w:styleId="CM3">
    <w:name w:val="CM3"/>
    <w:basedOn w:val="Default"/>
    <w:next w:val="Default"/>
    <w:uiPriority w:val="99"/>
    <w:rsid w:val="00B94B67"/>
    <w:pPr>
      <w:spacing w:line="200" w:lineRule="atLeast"/>
    </w:pPr>
    <w:rPr>
      <w:rFonts w:cs="Times New Roman"/>
      <w:color w:val="auto"/>
    </w:rPr>
  </w:style>
  <w:style w:type="character" w:styleId="FollowedHyperlink">
    <w:name w:val="FollowedHyperlink"/>
    <w:rsid w:val="00EA2F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601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6FADE-5C55-409C-9B81-DD2AFCE6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cp:lastPrinted>2009-10-16T14:06:00Z</cp:lastPrinted>
  <dcterms:created xsi:type="dcterms:W3CDTF">2023-04-17T17:13:00Z</dcterms:created>
  <dcterms:modified xsi:type="dcterms:W3CDTF">2023-06-27T19:49:00Z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