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62E76" w:rsidRPr="00F23CF0" w:rsidP="00F23CF0" w14:paraId="1394D3BB" w14:textId="6DE1C5D5">
      <w:pPr>
        <w:pStyle w:val="Title"/>
      </w:pPr>
      <w:r>
        <w:t>Supporting Statement – Part A</w:t>
      </w:r>
    </w:p>
    <w:p w:rsidR="00962E76" w:rsidRPr="00F23CF0" w:rsidP="00F23CF0" w14:paraId="4F8B56AB" w14:textId="77777777">
      <w:pPr>
        <w:pStyle w:val="Title"/>
      </w:pPr>
    </w:p>
    <w:p w:rsidR="00962E76" w:rsidRPr="00F23CF0" w:rsidP="00D45546" w14:paraId="2C05FE88" w14:textId="0C61D1BF">
      <w:pPr>
        <w:pStyle w:val="Title"/>
      </w:pPr>
      <w:r w:rsidRPr="005B284D">
        <w:t>Information Collection Req</w:t>
      </w:r>
      <w:r w:rsidRPr="005B284D" w:rsidR="007966BC">
        <w:t>uest (ICR)</w:t>
      </w:r>
      <w:r w:rsidRPr="005B284D">
        <w:t xml:space="preserve"> for Negotiation Data Elements under Sections 11001 and 11002 of the I</w:t>
      </w:r>
      <w:r w:rsidRPr="005B284D" w:rsidR="00B62226">
        <w:t>nflation Reduction Act</w:t>
      </w:r>
      <w:r>
        <w:t xml:space="preserve"> </w:t>
      </w:r>
      <w:r w:rsidR="6B370752">
        <w:t>(CMS</w:t>
      </w:r>
      <w:r w:rsidR="00E17214">
        <w:t>-10847</w:t>
      </w:r>
      <w:r w:rsidR="6B370752">
        <w:t xml:space="preserve">, OMB </w:t>
      </w:r>
      <w:r w:rsidR="00E17214">
        <w:t>0938-</w:t>
      </w:r>
      <w:r w:rsidR="6B370752">
        <w:t>NEW)</w:t>
      </w:r>
    </w:p>
    <w:p w:rsidR="00235017" w:rsidP="00235017" w14:paraId="1C076D6F" w14:textId="3E7E3FC9">
      <w:pPr>
        <w:pStyle w:val="Heading1"/>
        <w:tabs>
          <w:tab w:val="num" w:pos="360"/>
          <w:tab w:val="clear" w:pos="720"/>
        </w:tabs>
      </w:pPr>
      <w:r>
        <w:t xml:space="preserve">Background </w:t>
      </w:r>
    </w:p>
    <w:p w:rsidR="005B284D" w:rsidRPr="00F22C76" w:rsidP="005B284D" w14:paraId="03498451" w14:textId="31E38049">
      <w:r w:rsidRPr="00F22C76">
        <w:t>Under the authority in sections 11001 and 11002 of the Inflation Reduction Act of 2022 (P.L. 117-169), the Centers for Medicare &amp; Medicaid Services (CMS) is implementing the Medicare Drug Price Negotiation Program (</w:t>
      </w:r>
      <w:r>
        <w:t>“</w:t>
      </w:r>
      <w:r w:rsidRPr="00F22C76">
        <w:t xml:space="preserve">the Negotiation Program”), codified in sections 1191 through 1198 of the Social Security Act (“the Act”). The Act establishes the Negotiation Program to negotiate </w:t>
      </w:r>
      <w:r>
        <w:t xml:space="preserve">a </w:t>
      </w:r>
      <w:r w:rsidRPr="00F22C76">
        <w:t xml:space="preserve">maximum fair price (“MFP”), defined at </w:t>
      </w:r>
      <w:r>
        <w:t xml:space="preserve">section </w:t>
      </w:r>
      <w:r w:rsidRPr="00F22C76">
        <w:t>1191(c)(3) of the Act, for certain high expenditure, single source drugs covered under Medicare Part B and Part D</w:t>
      </w:r>
      <w:r>
        <w:t xml:space="preserve"> </w:t>
      </w:r>
      <w:r w:rsidRPr="00F22C76">
        <w:t>(“selected drug”)</w:t>
      </w:r>
      <w:r>
        <w:t>.</w:t>
      </w:r>
      <w:r>
        <w:rPr>
          <w:rStyle w:val="FootnoteReference"/>
          <w:color w:val="000000" w:themeColor="text1"/>
        </w:rPr>
        <w:footnoteReference w:id="3"/>
      </w:r>
      <w:r w:rsidRPr="00F22C76">
        <w:t xml:space="preserve"> </w:t>
      </w:r>
      <w:bookmarkStart w:id="0" w:name="_Hlk128142732"/>
      <w:r w:rsidRPr="00F22C76">
        <w:t xml:space="preserve">For the first year of the Negotiation Program, </w:t>
      </w:r>
      <w:r>
        <w:t>CMS</w:t>
      </w:r>
      <w:r w:rsidRPr="00F22C76">
        <w:t xml:space="preserve"> will select</w:t>
      </w:r>
      <w:r>
        <w:t xml:space="preserve"> </w:t>
      </w:r>
      <w:r w:rsidR="007A24AD">
        <w:t>10</w:t>
      </w:r>
      <w:r w:rsidRPr="00F22C76" w:rsidR="007A24AD">
        <w:t xml:space="preserve"> </w:t>
      </w:r>
      <w:r w:rsidRPr="00F22C76">
        <w:t xml:space="preserve">Part D high expenditure, single source drugs for negotiation. The MFPs that are negotiated for these drugs will apply beginning in initial price applicability year 2026. </w:t>
      </w:r>
      <w:bookmarkEnd w:id="0"/>
      <w:r w:rsidRPr="00F22C76">
        <w:t xml:space="preserve">The negotiation period for initial price applicability year 2026 begins October 1, 2023, or when the manufacturer of a selected drug enters </w:t>
      </w:r>
      <w:r>
        <w:t xml:space="preserve">into </w:t>
      </w:r>
      <w:r w:rsidRPr="00F22C76">
        <w:t>a</w:t>
      </w:r>
      <w:r>
        <w:t xml:space="preserve"> Medicare Drug Price Negotiation Program</w:t>
      </w:r>
      <w:r w:rsidRPr="00F22C76">
        <w:t xml:space="preserve"> Agreement </w:t>
      </w:r>
      <w:r w:rsidR="00197663">
        <w:t xml:space="preserve">(an “Agreement”) </w:t>
      </w:r>
      <w:r w:rsidRPr="00F22C76">
        <w:t xml:space="preserve">with </w:t>
      </w:r>
      <w:r>
        <w:t>CMS</w:t>
      </w:r>
      <w:r w:rsidRPr="00F22C76">
        <w:t xml:space="preserve">, whichever is sooner. Section 1194(e) of the Act requires CMS to consider two sets of factors as the basis for determining </w:t>
      </w:r>
      <w:r>
        <w:t xml:space="preserve">the </w:t>
      </w:r>
      <w:r w:rsidRPr="00F22C76">
        <w:t>offer and counteroffer throughout the negotiation process: (1) certain data that must be submitted by the manufacturer of each drug selected for negotiation</w:t>
      </w:r>
      <w:r w:rsidR="002662A4">
        <w:t>;</w:t>
      </w:r>
      <w:r w:rsidRPr="00F22C76">
        <w:t xml:space="preserve"> and (2) evidence about alternative treatments, as available, with respect to each selected drug and therapeutic alternative</w:t>
      </w:r>
      <w:r w:rsidR="00807DA2">
        <w:t>(</w:t>
      </w:r>
      <w:r w:rsidRPr="00F22C76">
        <w:t>s</w:t>
      </w:r>
      <w:r w:rsidR="00807DA2">
        <w:t>)</w:t>
      </w:r>
      <w:r w:rsidRPr="00F22C76">
        <w:t xml:space="preserve"> for each selected drug. </w:t>
      </w:r>
    </w:p>
    <w:p w:rsidR="005B284D" w:rsidP="005B284D" w14:paraId="3665D29F" w14:textId="4A80C704">
      <w:pPr>
        <w:rPr>
          <w:color w:val="000000" w:themeColor="text1"/>
        </w:rPr>
      </w:pPr>
      <w:r w:rsidRPr="00F22C76">
        <w:rPr>
          <w:color w:val="000000" w:themeColor="text1"/>
        </w:rPr>
        <w:t xml:space="preserve">In accordance with section 1193(a)(4) and section 1194(b)(2) of the Act, the manufacturer must submit, in a form and manner specified by </w:t>
      </w:r>
      <w:r w:rsidR="00143F9A">
        <w:rPr>
          <w:color w:val="000000" w:themeColor="text1"/>
        </w:rPr>
        <w:t>CMS</w:t>
      </w:r>
      <w:r w:rsidRPr="00F22C76">
        <w:rPr>
          <w:color w:val="000000" w:themeColor="text1"/>
        </w:rPr>
        <w:t>, information on the non-Federal average manufacturer price (“non-FAMP</w:t>
      </w:r>
      <w:r w:rsidR="00807DA2">
        <w:rPr>
          <w:color w:val="000000" w:themeColor="text1"/>
        </w:rPr>
        <w:t>”</w:t>
      </w:r>
      <w:r w:rsidRPr="00F22C76">
        <w:rPr>
          <w:color w:val="000000" w:themeColor="text1"/>
        </w:rPr>
        <w:t xml:space="preserve">) as defined in </w:t>
      </w:r>
      <w:r w:rsidR="007A24AD">
        <w:rPr>
          <w:color w:val="000000" w:themeColor="text1"/>
        </w:rPr>
        <w:t>38 U.S.C. §</w:t>
      </w:r>
      <w:r w:rsidRPr="00F22C76" w:rsidR="007A24AD">
        <w:rPr>
          <w:color w:val="000000" w:themeColor="text1"/>
        </w:rPr>
        <w:t xml:space="preserve"> </w:t>
      </w:r>
      <w:r w:rsidRPr="00F22C76">
        <w:rPr>
          <w:color w:val="000000" w:themeColor="text1"/>
        </w:rPr>
        <w:t>8126(h)(5)</w:t>
      </w:r>
      <w:r w:rsidR="007A24AD">
        <w:rPr>
          <w:color w:val="000000" w:themeColor="text1"/>
        </w:rPr>
        <w:t xml:space="preserve"> </w:t>
      </w:r>
      <w:r w:rsidRPr="00F22C76" w:rsidR="002662A4">
        <w:rPr>
          <w:color w:val="000000" w:themeColor="text1"/>
        </w:rPr>
        <w:t xml:space="preserve">for the selected drug </w:t>
      </w:r>
      <w:r w:rsidRPr="00F22C76">
        <w:rPr>
          <w:color w:val="000000" w:themeColor="text1"/>
        </w:rPr>
        <w:t xml:space="preserve">and information that </w:t>
      </w:r>
      <w:r w:rsidR="00120C22">
        <w:rPr>
          <w:color w:val="000000" w:themeColor="text1"/>
        </w:rPr>
        <w:t>CMS</w:t>
      </w:r>
      <w:r w:rsidRPr="00F22C76">
        <w:rPr>
          <w:color w:val="000000" w:themeColor="text1"/>
        </w:rPr>
        <w:t xml:space="preserve"> requires to carry out the negotiation process, including the factors outlined in section 1194(e)</w:t>
      </w:r>
      <w:r>
        <w:rPr>
          <w:color w:val="000000" w:themeColor="text1"/>
        </w:rPr>
        <w:t>(1)</w:t>
      </w:r>
      <w:r w:rsidRPr="00F22C76">
        <w:rPr>
          <w:color w:val="000000" w:themeColor="text1"/>
        </w:rPr>
        <w:t xml:space="preserve"> of the Act, which</w:t>
      </w:r>
      <w:r>
        <w:rPr>
          <w:color w:val="000000" w:themeColor="text1"/>
        </w:rPr>
        <w:t>,</w:t>
      </w:r>
      <w:r w:rsidRPr="00F22C76">
        <w:rPr>
          <w:color w:val="000000" w:themeColor="text1"/>
        </w:rPr>
        <w:t xml:space="preserve"> </w:t>
      </w:r>
      <w:r>
        <w:rPr>
          <w:color w:val="000000" w:themeColor="text1"/>
        </w:rPr>
        <w:t xml:space="preserve">in conjunction with the available evidence on the factors outlined in section 1194(e)(2), </w:t>
      </w:r>
      <w:r w:rsidRPr="00F22C76">
        <w:rPr>
          <w:color w:val="000000" w:themeColor="text1"/>
        </w:rPr>
        <w:t xml:space="preserve">will serve as the basis for offers and counteroffers. In addition, </w:t>
      </w:r>
      <w:r>
        <w:rPr>
          <w:color w:val="000000" w:themeColor="text1"/>
        </w:rPr>
        <w:t xml:space="preserve">manufacturers and </w:t>
      </w:r>
      <w:r w:rsidRPr="00F22C76">
        <w:rPr>
          <w:color w:val="000000" w:themeColor="text1"/>
        </w:rPr>
        <w:t>the public may submit information on the factors outlined in section 1194(e)(2) of the Act, which describe evidence about the selected drug and its therapeutic alternative</w:t>
      </w:r>
      <w:r w:rsidR="00807DA2">
        <w:rPr>
          <w:color w:val="000000" w:themeColor="text1"/>
        </w:rPr>
        <w:t>(</w:t>
      </w:r>
      <w:r w:rsidRPr="00F22C76">
        <w:rPr>
          <w:color w:val="000000" w:themeColor="text1"/>
        </w:rPr>
        <w:t>s</w:t>
      </w:r>
      <w:r w:rsidR="00807DA2">
        <w:rPr>
          <w:color w:val="000000" w:themeColor="text1"/>
        </w:rPr>
        <w:t>)</w:t>
      </w:r>
      <w:r w:rsidRPr="00F22C76">
        <w:rPr>
          <w:color w:val="000000" w:themeColor="text1"/>
        </w:rPr>
        <w:t xml:space="preserve">. </w:t>
      </w:r>
    </w:p>
    <w:p w:rsidR="005B284D" w:rsidP="005B284D" w14:paraId="7B4DE445" w14:textId="512AF1C4">
      <w:pPr>
        <w:spacing w:line="257" w:lineRule="auto"/>
        <w:rPr>
          <w:color w:val="000000" w:themeColor="text1"/>
        </w:rPr>
      </w:pPr>
      <w:r>
        <w:rPr>
          <w:color w:val="000000" w:themeColor="text1"/>
        </w:rPr>
        <w:t>For the purposes of this Information Collection Request</w:t>
      </w:r>
      <w:r w:rsidR="00A02074">
        <w:rPr>
          <w:color w:val="000000" w:themeColor="text1"/>
        </w:rPr>
        <w:t xml:space="preserve"> (ICR)</w:t>
      </w:r>
      <w:r>
        <w:rPr>
          <w:color w:val="000000" w:themeColor="text1"/>
        </w:rPr>
        <w:t>, a s</w:t>
      </w:r>
      <w:r w:rsidRPr="00F22C76">
        <w:rPr>
          <w:color w:val="000000" w:themeColor="text1"/>
        </w:rPr>
        <w:t xml:space="preserve">elected drug </w:t>
      </w:r>
      <w:r>
        <w:rPr>
          <w:color w:val="000000" w:themeColor="text1"/>
        </w:rPr>
        <w:t xml:space="preserve">for initial price applicability year 2026 </w:t>
      </w:r>
      <w:r w:rsidRPr="00F22C76">
        <w:rPr>
          <w:color w:val="000000" w:themeColor="text1"/>
        </w:rPr>
        <w:t xml:space="preserve">is defined as a drug </w:t>
      </w:r>
      <w:r>
        <w:rPr>
          <w:color w:val="000000" w:themeColor="text1"/>
        </w:rPr>
        <w:t>included on</w:t>
      </w:r>
      <w:r w:rsidRPr="00F22C76">
        <w:rPr>
          <w:color w:val="000000" w:themeColor="text1"/>
        </w:rPr>
        <w:t xml:space="preserve"> the selected drug list published </w:t>
      </w:r>
      <w:r>
        <w:rPr>
          <w:color w:val="000000" w:themeColor="text1"/>
        </w:rPr>
        <w:t xml:space="preserve">by CMS </w:t>
      </w:r>
      <w:r w:rsidR="00E7693F">
        <w:rPr>
          <w:color w:val="000000" w:themeColor="text1"/>
        </w:rPr>
        <w:t>by</w:t>
      </w:r>
      <w:r w:rsidRPr="00F22C76">
        <w:rPr>
          <w:color w:val="000000" w:themeColor="text1"/>
        </w:rPr>
        <w:t xml:space="preserve"> September 1, 2023. </w:t>
      </w:r>
      <w:bookmarkStart w:id="1" w:name="_Hlk127870612"/>
      <w:r w:rsidRPr="007602C8">
        <w:rPr>
          <w:color w:val="000000" w:themeColor="text1"/>
        </w:rPr>
        <w:t xml:space="preserve">In section 1191(c)(1) of the Act, the statute adopts the definition of manufacturer established in section 1847A(c)(6)(A) of the Act. Section 1193(a)(1) of the Act establishes that CMS will negotiate an MFP with “the manufacturer” of the selected drug. To the extent that more than one entity meets the statutory definition of manufacturer for a selected drug </w:t>
      </w:r>
      <w:r w:rsidRPr="007602C8">
        <w:rPr>
          <w:color w:val="000000" w:themeColor="text1"/>
        </w:rPr>
        <w:t xml:space="preserve">for purposes of initial price applicability year 2026, CMS </w:t>
      </w:r>
      <w:r w:rsidR="00E7693F">
        <w:rPr>
          <w:color w:val="000000" w:themeColor="text1"/>
        </w:rPr>
        <w:t>will</w:t>
      </w:r>
      <w:r w:rsidRPr="007602C8">
        <w:rPr>
          <w:color w:val="000000" w:themeColor="text1"/>
        </w:rPr>
        <w:t xml:space="preserve"> designate the entity that holds the </w:t>
      </w:r>
      <w:r>
        <w:t>New Drug Application(s) (</w:t>
      </w:r>
      <w:r w:rsidRPr="007602C8">
        <w:rPr>
          <w:color w:val="000000" w:themeColor="text1"/>
        </w:rPr>
        <w:t>NDA(s)</w:t>
      </w:r>
      <w:r>
        <w:rPr>
          <w:color w:val="000000" w:themeColor="text1"/>
        </w:rPr>
        <w:t>)</w:t>
      </w:r>
      <w:r w:rsidR="002662A4">
        <w:rPr>
          <w:color w:val="000000" w:themeColor="text1"/>
        </w:rPr>
        <w:t xml:space="preserve"> </w:t>
      </w:r>
      <w:r w:rsidR="007851F1">
        <w:rPr>
          <w:color w:val="000000" w:themeColor="text1"/>
        </w:rPr>
        <w:t>/</w:t>
      </w:r>
      <w:r w:rsidR="002662A4">
        <w:rPr>
          <w:color w:val="000000" w:themeColor="text1"/>
        </w:rPr>
        <w:t xml:space="preserve"> </w:t>
      </w:r>
      <w:r>
        <w:t>Biologics License Application</w:t>
      </w:r>
      <w:r w:rsidR="002662A4">
        <w:t>(s)</w:t>
      </w:r>
      <w:r>
        <w:t xml:space="preserve"> (</w:t>
      </w:r>
      <w:r w:rsidRPr="007602C8">
        <w:rPr>
          <w:color w:val="000000" w:themeColor="text1"/>
        </w:rPr>
        <w:t>BLA(s)</w:t>
      </w:r>
      <w:r>
        <w:rPr>
          <w:color w:val="000000" w:themeColor="text1"/>
        </w:rPr>
        <w:t>)</w:t>
      </w:r>
      <w:r w:rsidRPr="007602C8">
        <w:rPr>
          <w:color w:val="000000" w:themeColor="text1"/>
        </w:rPr>
        <w:t xml:space="preserve"> for the selected drug to be “the manufacturer” of the selected drug (hereinafter “Primary Manufacturer”)</w:t>
      </w:r>
      <w:r>
        <w:rPr>
          <w:color w:val="000000" w:themeColor="text1"/>
        </w:rPr>
        <w:t>.</w:t>
      </w:r>
      <w:r w:rsidRPr="007602C8">
        <w:rPr>
          <w:color w:val="000000" w:themeColor="text1"/>
        </w:rPr>
        <w:t xml:space="preserve"> </w:t>
      </w:r>
      <w:bookmarkStart w:id="2" w:name="_Hlk128733572"/>
      <w:bookmarkEnd w:id="1"/>
      <w:r w:rsidRPr="00F61CD5">
        <w:rPr>
          <w:color w:val="000000" w:themeColor="text1"/>
        </w:rPr>
        <w:t xml:space="preserve">Likewise, for initial price applicability year 2026, CMS </w:t>
      </w:r>
      <w:r w:rsidR="00E7693F">
        <w:rPr>
          <w:color w:val="000000" w:themeColor="text1"/>
        </w:rPr>
        <w:t>will</w:t>
      </w:r>
      <w:r w:rsidRPr="00F61CD5">
        <w:rPr>
          <w:color w:val="000000" w:themeColor="text1"/>
        </w:rPr>
        <w:t xml:space="preserve"> refer to any other entity that meets the statutory definition of manufacturer for a drug product included </w:t>
      </w:r>
      <w:r w:rsidR="007851F1">
        <w:rPr>
          <w:color w:val="000000" w:themeColor="text1"/>
        </w:rPr>
        <w:t>o</w:t>
      </w:r>
      <w:r w:rsidRPr="00F61CD5">
        <w:rPr>
          <w:color w:val="000000" w:themeColor="text1"/>
        </w:rPr>
        <w:t xml:space="preserve">n the selected drug </w:t>
      </w:r>
      <w:r w:rsidR="007851F1">
        <w:rPr>
          <w:color w:val="000000" w:themeColor="text1"/>
        </w:rPr>
        <w:t xml:space="preserve">list </w:t>
      </w:r>
      <w:r w:rsidRPr="00F61CD5">
        <w:rPr>
          <w:color w:val="000000" w:themeColor="text1"/>
        </w:rPr>
        <w:t xml:space="preserve">and that either (1) is listed as a manufacturer in an NDA or BLA for the selected drug or (2) markets the selected drug pursuant to an agreement with the Primary Manufacturer as a “Secondary Manufacturer.” Secondary Manufacturers </w:t>
      </w:r>
      <w:r w:rsidR="007851F1">
        <w:rPr>
          <w:color w:val="000000" w:themeColor="text1"/>
        </w:rPr>
        <w:t>would</w:t>
      </w:r>
      <w:r w:rsidRPr="00F61CD5" w:rsidR="007851F1">
        <w:rPr>
          <w:color w:val="000000" w:themeColor="text1"/>
        </w:rPr>
        <w:t xml:space="preserve"> </w:t>
      </w:r>
      <w:r w:rsidRPr="00F61CD5">
        <w:rPr>
          <w:color w:val="000000" w:themeColor="text1"/>
        </w:rPr>
        <w:t xml:space="preserve">include any manufacturer of any authorized generics and any </w:t>
      </w:r>
      <w:r w:rsidRPr="00F61CD5">
        <w:rPr>
          <w:color w:val="000000" w:themeColor="text1"/>
        </w:rPr>
        <w:t>repack</w:t>
      </w:r>
      <w:r w:rsidR="00D30AC3">
        <w:rPr>
          <w:color w:val="000000" w:themeColor="text1"/>
        </w:rPr>
        <w:t>ag</w:t>
      </w:r>
      <w:r w:rsidRPr="00F61CD5">
        <w:rPr>
          <w:color w:val="000000" w:themeColor="text1"/>
        </w:rPr>
        <w:t>er</w:t>
      </w:r>
      <w:r w:rsidRPr="00F61CD5">
        <w:rPr>
          <w:color w:val="000000" w:themeColor="text1"/>
        </w:rPr>
        <w:t xml:space="preserve"> or </w:t>
      </w:r>
      <w:r w:rsidRPr="00F61CD5">
        <w:rPr>
          <w:color w:val="000000" w:themeColor="text1"/>
        </w:rPr>
        <w:t>relabeler</w:t>
      </w:r>
      <w:r w:rsidRPr="00F61CD5">
        <w:rPr>
          <w:color w:val="000000" w:themeColor="text1"/>
        </w:rPr>
        <w:t xml:space="preserve"> of the selected drug that meet these criteria.</w:t>
      </w:r>
    </w:p>
    <w:bookmarkEnd w:id="2"/>
    <w:p w:rsidR="005B284D" w:rsidRPr="00F22C76" w:rsidP="005B284D" w14:paraId="763B18FC" w14:textId="6E2BDEED">
      <w:pPr>
        <w:rPr>
          <w:color w:val="000000" w:themeColor="text1"/>
        </w:rPr>
      </w:pPr>
      <w:r w:rsidRPr="00F22C76">
        <w:rPr>
          <w:color w:val="000000" w:themeColor="text1"/>
        </w:rPr>
        <w:t>CMS will collect certain data from the Primary Manufacturer</w:t>
      </w:r>
      <w:r>
        <w:rPr>
          <w:color w:val="000000" w:themeColor="text1"/>
        </w:rPr>
        <w:t>, including information on non-FAMP and the data identified in section 1194(e)(1) of the Act,</w:t>
      </w:r>
      <w:r w:rsidRPr="00F22C76">
        <w:rPr>
          <w:color w:val="000000" w:themeColor="text1"/>
        </w:rPr>
        <w:t xml:space="preserve"> and </w:t>
      </w:r>
      <w:r>
        <w:rPr>
          <w:color w:val="000000" w:themeColor="text1"/>
        </w:rPr>
        <w:t xml:space="preserve">will collect </w:t>
      </w:r>
      <w:r w:rsidRPr="00F22C76">
        <w:rPr>
          <w:color w:val="000000" w:themeColor="text1"/>
        </w:rPr>
        <w:t xml:space="preserve">information on evidence about a selected drug and its therapeutic alternatives </w:t>
      </w:r>
      <w:r>
        <w:rPr>
          <w:color w:val="000000" w:themeColor="text1"/>
        </w:rPr>
        <w:t xml:space="preserve">per section 1194(e)(2) of the Act </w:t>
      </w:r>
      <w:r w:rsidRPr="00F22C76">
        <w:rPr>
          <w:color w:val="000000" w:themeColor="text1"/>
        </w:rPr>
        <w:t xml:space="preserve">from any interested party. This ICR Form serves as one of multiple ways that CMS </w:t>
      </w:r>
      <w:r w:rsidR="00E7693F">
        <w:rPr>
          <w:color w:val="000000" w:themeColor="text1"/>
        </w:rPr>
        <w:t>will</w:t>
      </w:r>
      <w:r w:rsidRPr="00F22C76">
        <w:rPr>
          <w:color w:val="000000" w:themeColor="text1"/>
        </w:rPr>
        <w:t xml:space="preserve"> collect data</w:t>
      </w:r>
      <w:r>
        <w:rPr>
          <w:color w:val="000000" w:themeColor="text1"/>
        </w:rPr>
        <w:t xml:space="preserve"> per section 1194(e)(2)</w:t>
      </w:r>
      <w:r w:rsidR="00197663">
        <w:rPr>
          <w:color w:val="000000" w:themeColor="text1"/>
        </w:rPr>
        <w:t xml:space="preserve"> of the Act</w:t>
      </w:r>
      <w:r>
        <w:rPr>
          <w:color w:val="000000" w:themeColor="text1"/>
        </w:rPr>
        <w:t>.</w:t>
      </w:r>
      <w:bookmarkStart w:id="3" w:name="_Hlk127870211"/>
      <w:r w:rsidRPr="00F22C76">
        <w:rPr>
          <w:color w:val="000000" w:themeColor="text1"/>
        </w:rPr>
        <w:t xml:space="preserve"> </w:t>
      </w:r>
      <w:bookmarkEnd w:id="3"/>
    </w:p>
    <w:p w:rsidR="0050707D" w:rsidRPr="00494F23" w:rsidP="00494F23" w14:paraId="1292DE06" w14:textId="2B750A93">
      <w:r w:rsidRPr="00F22C76">
        <w:rPr>
          <w:color w:val="000000" w:themeColor="text1"/>
        </w:rPr>
        <w:t>Note: This ICR focuses on information required for selected drugs for initial price applicability year 2026</w:t>
      </w:r>
      <w:r w:rsidR="00A44652">
        <w:rPr>
          <w:color w:val="000000" w:themeColor="text1"/>
        </w:rPr>
        <w:t>.</w:t>
      </w:r>
    </w:p>
    <w:p w:rsidR="00A94DF3" w:rsidRPr="00F23CF0" w:rsidP="00F23CF0" w14:paraId="35AE1A77" w14:textId="28D83A0A">
      <w:pPr>
        <w:pStyle w:val="Heading1"/>
        <w:tabs>
          <w:tab w:val="num" w:pos="360"/>
          <w:tab w:val="clear" w:pos="720"/>
        </w:tabs>
      </w:pPr>
      <w:r>
        <w:t>Justification</w:t>
      </w:r>
    </w:p>
    <w:p w:rsidR="002E4B7A" w:rsidP="00D45546" w14:paraId="376D61E1" w14:textId="0A375299">
      <w:pPr>
        <w:pStyle w:val="Heading2"/>
      </w:pPr>
      <w:r>
        <w:t>1. Need and Legal Basis</w:t>
      </w:r>
    </w:p>
    <w:p w:rsidR="32928479" w:rsidP="001571CF" w14:paraId="7ACDA06A" w14:textId="213D9E5A">
      <w:pPr>
        <w:pStyle w:val="Header3"/>
      </w:pPr>
      <w:r w:rsidRPr="6B370752">
        <w:t>Manufacturer-Specific Data</w:t>
      </w:r>
    </w:p>
    <w:p w:rsidR="00417BAB" w:rsidP="00AB1326" w14:paraId="6912837B" w14:textId="14BF035C">
      <w:r w:rsidRPr="4143736D">
        <w:rPr>
          <w:color w:val="000000" w:themeColor="text1"/>
        </w:rPr>
        <w:t xml:space="preserve">The statute requires that CMS consider certain data </w:t>
      </w:r>
      <w:r w:rsidR="00DB2439">
        <w:rPr>
          <w:color w:val="000000" w:themeColor="text1"/>
        </w:rPr>
        <w:t xml:space="preserve">from </w:t>
      </w:r>
      <w:r w:rsidR="002A2BF5">
        <w:rPr>
          <w:color w:val="000000" w:themeColor="text1"/>
        </w:rPr>
        <w:t>Primary</w:t>
      </w:r>
      <w:r w:rsidR="0030482F">
        <w:rPr>
          <w:color w:val="000000" w:themeColor="text1"/>
        </w:rPr>
        <w:t xml:space="preserve"> </w:t>
      </w:r>
      <w:r w:rsidR="00DB2439">
        <w:rPr>
          <w:color w:val="000000" w:themeColor="text1"/>
        </w:rPr>
        <w:t>Manufacturers</w:t>
      </w:r>
      <w:r w:rsidRPr="4143736D">
        <w:rPr>
          <w:color w:val="000000" w:themeColor="text1"/>
        </w:rPr>
        <w:t xml:space="preserve"> as part of the negotiation process. </w:t>
      </w:r>
      <w:r w:rsidR="00DB2439">
        <w:rPr>
          <w:color w:val="000000" w:themeColor="text1"/>
        </w:rPr>
        <w:t>These</w:t>
      </w:r>
      <w:r w:rsidRPr="4143736D">
        <w:rPr>
          <w:color w:val="000000" w:themeColor="text1"/>
        </w:rPr>
        <w:t xml:space="preserve"> data include the data required to calculate non-FAMP for selected drugs for the purpose of establishing a ceiling price</w:t>
      </w:r>
      <w:r w:rsidR="001A7EB3">
        <w:rPr>
          <w:color w:val="000000" w:themeColor="text1"/>
        </w:rPr>
        <w:t>, as outlined in section 1193(a)(4)(A)</w:t>
      </w:r>
      <w:r w:rsidR="00197663">
        <w:rPr>
          <w:color w:val="000000" w:themeColor="text1"/>
        </w:rPr>
        <w:t xml:space="preserve"> of the Act</w:t>
      </w:r>
      <w:r w:rsidR="001A7EB3">
        <w:rPr>
          <w:color w:val="000000" w:themeColor="text1"/>
        </w:rPr>
        <w:t>,</w:t>
      </w:r>
      <w:r w:rsidRPr="4143736D">
        <w:rPr>
          <w:color w:val="000000" w:themeColor="text1"/>
        </w:rPr>
        <w:t xml:space="preserve"> and the negotiation factors outlined in section 1194(e)(1) </w:t>
      </w:r>
      <w:r w:rsidR="00197663">
        <w:rPr>
          <w:color w:val="000000" w:themeColor="text1"/>
        </w:rPr>
        <w:t xml:space="preserve">of the Act </w:t>
      </w:r>
      <w:r w:rsidRPr="4143736D">
        <w:rPr>
          <w:color w:val="000000" w:themeColor="text1"/>
        </w:rPr>
        <w:t>for the purpose of formulating offers and counteroffers</w:t>
      </w:r>
      <w:r w:rsidR="00DB2439">
        <w:rPr>
          <w:color w:val="000000" w:themeColor="text1"/>
        </w:rPr>
        <w:t xml:space="preserve"> </w:t>
      </w:r>
      <w:r w:rsidRPr="4143736D" w:rsidR="00DB2439">
        <w:rPr>
          <w:color w:val="000000" w:themeColor="text1"/>
        </w:rPr>
        <w:t>process pursuant to section 1193(a)(4)(B</w:t>
      </w:r>
      <w:r w:rsidR="00DB2439">
        <w:rPr>
          <w:color w:val="000000" w:themeColor="text1"/>
        </w:rPr>
        <w:t>)</w:t>
      </w:r>
      <w:r w:rsidR="00197663">
        <w:rPr>
          <w:color w:val="000000" w:themeColor="text1"/>
        </w:rPr>
        <w:t xml:space="preserve"> of the Act</w:t>
      </w:r>
      <w:r w:rsidRPr="4143736D">
        <w:rPr>
          <w:color w:val="000000" w:themeColor="text1"/>
        </w:rPr>
        <w:t xml:space="preserve">. </w:t>
      </w:r>
      <w:r w:rsidR="0011029C">
        <w:rPr>
          <w:color w:val="000000" w:themeColor="text1"/>
        </w:rPr>
        <w:t>Some of t</w:t>
      </w:r>
      <w:r w:rsidRPr="4143736D">
        <w:rPr>
          <w:color w:val="000000" w:themeColor="text1"/>
        </w:rPr>
        <w:t xml:space="preserve">hese data are held by </w:t>
      </w:r>
      <w:r w:rsidR="00DB2439">
        <w:rPr>
          <w:color w:val="000000" w:themeColor="text1"/>
        </w:rPr>
        <w:t xml:space="preserve">the </w:t>
      </w:r>
      <w:r w:rsidR="002A2BF5">
        <w:rPr>
          <w:color w:val="000000" w:themeColor="text1"/>
        </w:rPr>
        <w:t>Primary</w:t>
      </w:r>
      <w:r w:rsidRPr="4143736D" w:rsidR="0075574B">
        <w:rPr>
          <w:color w:val="000000" w:themeColor="text1"/>
        </w:rPr>
        <w:t xml:space="preserve"> </w:t>
      </w:r>
      <w:r w:rsidR="00DB2439">
        <w:rPr>
          <w:color w:val="000000" w:themeColor="text1"/>
        </w:rPr>
        <w:t>M</w:t>
      </w:r>
      <w:r w:rsidRPr="4143736D">
        <w:rPr>
          <w:color w:val="000000" w:themeColor="text1"/>
        </w:rPr>
        <w:t>anufacturer and are not currently available to CMS.</w:t>
      </w:r>
      <w:r w:rsidR="00492B68">
        <w:rPr>
          <w:color w:val="000000" w:themeColor="text1"/>
        </w:rPr>
        <w:t xml:space="preserve"> </w:t>
      </w:r>
      <w:r w:rsidR="00190C87">
        <w:rPr>
          <w:color w:val="000000" w:themeColor="text1"/>
        </w:rPr>
        <w:t xml:space="preserve">The Primary Manufacturer must submit the applicable data required in these sections of the Act. </w:t>
      </w:r>
      <w:r w:rsidR="0FA414B0">
        <w:rPr>
          <w:color w:val="000000" w:themeColor="text1"/>
        </w:rPr>
        <w:t>D</w:t>
      </w:r>
      <w:r w:rsidR="00FA2DFA">
        <w:rPr>
          <w:color w:val="000000" w:themeColor="text1"/>
        </w:rPr>
        <w:t>ata described in section</w:t>
      </w:r>
      <w:r w:rsidR="00197663">
        <w:rPr>
          <w:color w:val="000000" w:themeColor="text1"/>
        </w:rPr>
        <w:t>s</w:t>
      </w:r>
      <w:r w:rsidR="00FA2DFA">
        <w:rPr>
          <w:color w:val="000000" w:themeColor="text1"/>
        </w:rPr>
        <w:t xml:space="preserve"> 1194(e)(1)</w:t>
      </w:r>
      <w:r w:rsidR="0FA414B0">
        <w:rPr>
          <w:color w:val="000000" w:themeColor="text1"/>
        </w:rPr>
        <w:t xml:space="preserve"> and 1193(a)(4) </w:t>
      </w:r>
      <w:r w:rsidR="00197663">
        <w:rPr>
          <w:color w:val="000000" w:themeColor="text1"/>
        </w:rPr>
        <w:t xml:space="preserve">of the Act </w:t>
      </w:r>
      <w:r w:rsidR="0FA414B0">
        <w:rPr>
          <w:color w:val="000000" w:themeColor="text1"/>
        </w:rPr>
        <w:t xml:space="preserve">must be submitted by </w:t>
      </w:r>
      <w:r w:rsidR="00FA2DFA">
        <w:rPr>
          <w:color w:val="000000" w:themeColor="text1"/>
        </w:rPr>
        <w:t xml:space="preserve">the </w:t>
      </w:r>
      <w:r w:rsidR="002A2BF5">
        <w:rPr>
          <w:color w:val="000000" w:themeColor="text1"/>
        </w:rPr>
        <w:t>Primary</w:t>
      </w:r>
      <w:r w:rsidR="00FA2DFA">
        <w:rPr>
          <w:color w:val="000000" w:themeColor="text1"/>
        </w:rPr>
        <w:t xml:space="preserve"> Manufacturer</w:t>
      </w:r>
      <w:r w:rsidR="006809E2">
        <w:t>.</w:t>
      </w:r>
      <w:r w:rsidR="00AB1326">
        <w:t xml:space="preserve"> </w:t>
      </w:r>
      <w:r w:rsidR="00AB1326">
        <w:rPr>
          <w:color w:val="000000" w:themeColor="text1"/>
        </w:rPr>
        <w:t>Section 1194(e)(1) data submitted by Primary Manufacturers must include data from Secondary Manufacturers, as applicable.</w:t>
      </w:r>
    </w:p>
    <w:p w:rsidR="00417BAB" w:rsidRPr="0030682D" w:rsidP="0030682D" w14:paraId="065610D7" w14:textId="75F2D4EB">
      <w:pPr>
        <w:pStyle w:val="BodyText"/>
        <w:spacing w:before="9"/>
      </w:pPr>
      <w:r>
        <w:t>Completing</w:t>
      </w:r>
      <w:r>
        <w:rPr>
          <w:spacing w:val="-6"/>
        </w:rPr>
        <w:t xml:space="preserve"> </w:t>
      </w:r>
      <w:r>
        <w:t>this</w:t>
      </w:r>
      <w:r>
        <w:rPr>
          <w:spacing w:val="-1"/>
        </w:rPr>
        <w:t xml:space="preserve"> </w:t>
      </w:r>
      <w:r>
        <w:t>form</w:t>
      </w:r>
      <w:r>
        <w:rPr>
          <w:spacing w:val="-3"/>
        </w:rPr>
        <w:t xml:space="preserve"> </w:t>
      </w:r>
      <w:r>
        <w:t>requires</w:t>
      </w:r>
      <w:r>
        <w:rPr>
          <w:spacing w:val="-2"/>
        </w:rPr>
        <w:t xml:space="preserve"> </w:t>
      </w:r>
      <w:r>
        <w:t>the</w:t>
      </w:r>
      <w:r>
        <w:rPr>
          <w:spacing w:val="-1"/>
        </w:rPr>
        <w:t xml:space="preserve"> </w:t>
      </w:r>
      <w:r>
        <w:t>Primary</w:t>
      </w:r>
      <w:r>
        <w:rPr>
          <w:spacing w:val="-1"/>
        </w:rPr>
        <w:t xml:space="preserve"> </w:t>
      </w:r>
      <w:r>
        <w:t>Manufacturer</w:t>
      </w:r>
      <w:r>
        <w:rPr>
          <w:spacing w:val="-2"/>
        </w:rPr>
        <w:t xml:space="preserve"> </w:t>
      </w:r>
      <w:r>
        <w:t>to</w:t>
      </w:r>
      <w:r>
        <w:rPr>
          <w:spacing w:val="-1"/>
        </w:rPr>
        <w:t xml:space="preserve"> </w:t>
      </w:r>
      <w:r>
        <w:t>provide</w:t>
      </w:r>
      <w:r>
        <w:rPr>
          <w:spacing w:val="-2"/>
        </w:rPr>
        <w:t xml:space="preserve"> </w:t>
      </w:r>
      <w:r>
        <w:t>the</w:t>
      </w:r>
      <w:r>
        <w:rPr>
          <w:spacing w:val="-1"/>
        </w:rPr>
        <w:t xml:space="preserve"> </w:t>
      </w:r>
      <w:r>
        <w:t>following</w:t>
      </w:r>
      <w:r>
        <w:rPr>
          <w:spacing w:val="-1"/>
        </w:rPr>
        <w:t xml:space="preserve"> </w:t>
      </w:r>
      <w:r>
        <w:rPr>
          <w:spacing w:val="-2"/>
        </w:rPr>
        <w:t>information:</w:t>
      </w:r>
    </w:p>
    <w:p w:rsidR="0058366F" w:rsidP="0058366F" w14:paraId="3979AD4D" w14:textId="759258FC">
      <w:pPr>
        <w:pStyle w:val="paragraph"/>
        <w:numPr>
          <w:ilvl w:val="0"/>
          <w:numId w:val="19"/>
        </w:numPr>
        <w:spacing w:before="0" w:beforeAutospacing="0" w:after="0" w:afterAutospacing="0"/>
        <w:textAlignment w:val="baseline"/>
      </w:pPr>
      <w:r>
        <w:rPr>
          <w:rStyle w:val="normaltextrun"/>
        </w:rPr>
        <w:t xml:space="preserve">Research and development </w:t>
      </w:r>
      <w:r w:rsidR="009C7A3B">
        <w:rPr>
          <w:rStyle w:val="normaltextrun"/>
        </w:rPr>
        <w:t xml:space="preserve">(R&amp;D) </w:t>
      </w:r>
      <w:r>
        <w:rPr>
          <w:rStyle w:val="normaltextrun"/>
        </w:rPr>
        <w:t>costs of the Primary Manufacturer for the selected drug and the extent to which the Primary Manufacturer has recouped those costs;</w:t>
      </w:r>
      <w:r>
        <w:rPr>
          <w:rStyle w:val="eop"/>
        </w:rPr>
        <w:t> </w:t>
      </w:r>
    </w:p>
    <w:p w:rsidR="0058366F" w:rsidP="0058366F" w14:paraId="52302435" w14:textId="77777777">
      <w:pPr>
        <w:pStyle w:val="paragraph"/>
        <w:numPr>
          <w:ilvl w:val="0"/>
          <w:numId w:val="19"/>
        </w:numPr>
        <w:spacing w:before="0" w:beforeAutospacing="0" w:after="0" w:afterAutospacing="0"/>
        <w:textAlignment w:val="baseline"/>
      </w:pPr>
      <w:r>
        <w:rPr>
          <w:rStyle w:val="normaltextrun"/>
        </w:rPr>
        <w:t xml:space="preserve">Current unit </w:t>
      </w:r>
      <w:r w:rsidRPr="008C2539" w:rsidR="00E437D5">
        <w:rPr>
          <w:rStyle w:val="normaltextrun"/>
        </w:rPr>
        <w:t>costs of production and distribution of the selected drug, averaged across the Primary Manufacturer and any Secondary Manufacturer(s);</w:t>
      </w:r>
      <w:r w:rsidRPr="008C2539" w:rsidR="00E437D5">
        <w:rPr>
          <w:rStyle w:val="eop"/>
        </w:rPr>
        <w:t> </w:t>
      </w:r>
    </w:p>
    <w:p w:rsidR="0058366F" w:rsidP="0058366F" w14:paraId="668256F8" w14:textId="77777777">
      <w:pPr>
        <w:pStyle w:val="paragraph"/>
        <w:numPr>
          <w:ilvl w:val="0"/>
          <w:numId w:val="19"/>
        </w:numPr>
        <w:spacing w:before="0" w:beforeAutospacing="0" w:after="0" w:afterAutospacing="0"/>
        <w:textAlignment w:val="baseline"/>
      </w:pPr>
      <w:r w:rsidRPr="008C2539">
        <w:rPr>
          <w:rStyle w:val="normaltextrun"/>
        </w:rPr>
        <w:t>Prior Federal financial support</w:t>
      </w:r>
      <w:r>
        <w:rPr>
          <w:rStyle w:val="normaltextrun"/>
        </w:rPr>
        <w:t xml:space="preserve"> for novel therapeutic discovery and development with respect to the selected drug;</w:t>
      </w:r>
      <w:r>
        <w:rPr>
          <w:rStyle w:val="eop"/>
        </w:rPr>
        <w:t> </w:t>
      </w:r>
    </w:p>
    <w:p w:rsidR="0058366F" w:rsidP="0058366F" w14:paraId="403E8AD8" w14:textId="77777777">
      <w:pPr>
        <w:pStyle w:val="paragraph"/>
        <w:numPr>
          <w:ilvl w:val="0"/>
          <w:numId w:val="19"/>
        </w:numPr>
        <w:spacing w:before="0" w:beforeAutospacing="0" w:after="0" w:afterAutospacing="0"/>
        <w:textAlignment w:val="baseline"/>
      </w:pPr>
      <w:r>
        <w:rPr>
          <w:rStyle w:val="normaltextrun"/>
        </w:rPr>
        <w:t xml:space="preserve">Data on pending and approved patent applications, exclusivities recognized by the Food and Drug Administration (FDA), and applications and approvals under section 505(c) of </w:t>
      </w:r>
      <w:r>
        <w:rPr>
          <w:rStyle w:val="normaltextrun"/>
        </w:rPr>
        <w:t>the Food, Drug, and Cosmetic Act (FD&amp;C Act) or section 351(a) of the Public Health Service (PHS) Act for the selected drug; and</w:t>
      </w:r>
      <w:r>
        <w:rPr>
          <w:rStyle w:val="eop"/>
        </w:rPr>
        <w:t> </w:t>
      </w:r>
    </w:p>
    <w:p w:rsidR="32928479" w:rsidRPr="00651C4A" w:rsidP="00F145AD" w14:paraId="3F24BCFF" w14:textId="131FE9D1">
      <w:pPr>
        <w:pStyle w:val="paragraph"/>
        <w:numPr>
          <w:ilvl w:val="0"/>
          <w:numId w:val="19"/>
        </w:numPr>
        <w:spacing w:before="0" w:beforeAutospacing="0" w:after="240" w:afterAutospacing="0"/>
        <w:textAlignment w:val="baseline"/>
        <w:rPr>
          <w:color w:val="000000" w:themeColor="text1"/>
        </w:rPr>
      </w:pPr>
      <w:r>
        <w:rPr>
          <w:rStyle w:val="normaltextrun"/>
        </w:rPr>
        <w:t>Market data and revenue and sales volume data for the selected drug in the United States for the Primary Manufacturer and any Secondary Manufacturer(s) (with the exception of costs related to the acquisition of the selected drug, which would be reported only for the Primary Manufacturer).</w:t>
      </w:r>
      <w:r>
        <w:rPr>
          <w:rStyle w:val="eop"/>
        </w:rPr>
        <w:t> </w:t>
      </w:r>
    </w:p>
    <w:p w:rsidR="32928479" w:rsidP="001571CF" w14:paraId="191C75B4" w14:textId="3272F2F4">
      <w:pPr>
        <w:pStyle w:val="Header3"/>
      </w:pPr>
      <w:r w:rsidRPr="13B0BCA9">
        <w:t>Evidence About Alternative Treatments</w:t>
      </w:r>
    </w:p>
    <w:p w:rsidR="32928479" w:rsidP="6B370752" w14:paraId="18190009" w14:textId="257BC49A">
      <w:r>
        <w:rPr>
          <w:color w:val="000000" w:themeColor="text1"/>
        </w:rPr>
        <w:t xml:space="preserve">Section 1194(e)(2) </w:t>
      </w:r>
      <w:r w:rsidR="00197663">
        <w:rPr>
          <w:color w:val="000000" w:themeColor="text1"/>
        </w:rPr>
        <w:t xml:space="preserve">of the Act </w:t>
      </w:r>
      <w:r w:rsidR="009C6297">
        <w:rPr>
          <w:color w:val="000000" w:themeColor="text1"/>
        </w:rPr>
        <w:t xml:space="preserve">requires </w:t>
      </w:r>
      <w:r w:rsidRPr="13B0BCA9" w:rsidR="13B0BCA9">
        <w:rPr>
          <w:color w:val="000000" w:themeColor="text1"/>
        </w:rPr>
        <w:t xml:space="preserve">CMS </w:t>
      </w:r>
      <w:r>
        <w:rPr>
          <w:color w:val="000000" w:themeColor="text1"/>
        </w:rPr>
        <w:t xml:space="preserve">to </w:t>
      </w:r>
      <w:r w:rsidRPr="13B0BCA9" w:rsidR="13B0BCA9">
        <w:rPr>
          <w:color w:val="000000" w:themeColor="text1"/>
        </w:rPr>
        <w:t xml:space="preserve">consider certain data on alternative treatments to the selected drug. Because the statute does not specify </w:t>
      </w:r>
      <w:r w:rsidR="00C25A1F">
        <w:rPr>
          <w:color w:val="000000" w:themeColor="text1"/>
        </w:rPr>
        <w:t>where these data come from</w:t>
      </w:r>
      <w:r w:rsidRPr="13B0BCA9" w:rsidR="13B0BCA9">
        <w:rPr>
          <w:color w:val="000000" w:themeColor="text1"/>
        </w:rPr>
        <w:t xml:space="preserve">, CMS will allow for </w:t>
      </w:r>
      <w:r>
        <w:rPr>
          <w:color w:val="000000" w:themeColor="text1"/>
        </w:rPr>
        <w:t>optional</w:t>
      </w:r>
      <w:r w:rsidRPr="13B0BCA9" w:rsidR="13B0BCA9">
        <w:rPr>
          <w:color w:val="000000" w:themeColor="text1"/>
        </w:rPr>
        <w:t xml:space="preserve"> submission</w:t>
      </w:r>
      <w:r w:rsidR="00197663">
        <w:rPr>
          <w:color w:val="000000" w:themeColor="text1"/>
        </w:rPr>
        <w:t>s</w:t>
      </w:r>
      <w:r w:rsidRPr="13B0BCA9" w:rsidR="13B0BCA9">
        <w:rPr>
          <w:color w:val="000000" w:themeColor="text1"/>
        </w:rPr>
        <w:t xml:space="preserve"> from </w:t>
      </w:r>
      <w:r w:rsidR="002A2BF5">
        <w:rPr>
          <w:color w:val="000000" w:themeColor="text1"/>
        </w:rPr>
        <w:t>Primary</w:t>
      </w:r>
      <w:r w:rsidR="0075574B">
        <w:rPr>
          <w:color w:val="000000" w:themeColor="text1"/>
        </w:rPr>
        <w:t xml:space="preserve"> </w:t>
      </w:r>
      <w:r>
        <w:rPr>
          <w:color w:val="000000" w:themeColor="text1"/>
        </w:rPr>
        <w:t>M</w:t>
      </w:r>
      <w:r w:rsidRPr="13B0BCA9" w:rsidR="13B0BCA9">
        <w:rPr>
          <w:color w:val="000000" w:themeColor="text1"/>
        </w:rPr>
        <w:t>anufacturer</w:t>
      </w:r>
      <w:r w:rsidR="004407FA">
        <w:rPr>
          <w:color w:val="000000" w:themeColor="text1"/>
        </w:rPr>
        <w:t>s</w:t>
      </w:r>
      <w:r w:rsidRPr="13B0BCA9" w:rsidR="13B0BCA9">
        <w:rPr>
          <w:color w:val="000000" w:themeColor="text1"/>
        </w:rPr>
        <w:t xml:space="preserve"> and the public</w:t>
      </w:r>
      <w:r w:rsidR="00D903FC">
        <w:rPr>
          <w:color w:val="000000" w:themeColor="text1"/>
        </w:rPr>
        <w:t xml:space="preserve"> (e.g., clinicians, patients or patient organizations, caregivers, and/or academic experts)</w:t>
      </w:r>
      <w:r w:rsidRPr="13B0BCA9" w:rsidR="13B0BCA9">
        <w:rPr>
          <w:color w:val="000000" w:themeColor="text1"/>
        </w:rPr>
        <w:t>. CMS will additionally review existing literature</w:t>
      </w:r>
      <w:r w:rsidR="006A31E4">
        <w:rPr>
          <w:color w:val="000000" w:themeColor="text1"/>
        </w:rPr>
        <w:t xml:space="preserve">, conduct internal </w:t>
      </w:r>
      <w:r w:rsidR="0011029C">
        <w:rPr>
          <w:color w:val="000000" w:themeColor="text1"/>
        </w:rPr>
        <w:t>analyses</w:t>
      </w:r>
      <w:r w:rsidR="006A31E4">
        <w:rPr>
          <w:color w:val="000000" w:themeColor="text1"/>
        </w:rPr>
        <w:t xml:space="preserve">, and consult subject matter and </w:t>
      </w:r>
      <w:r w:rsidR="0011029C">
        <w:rPr>
          <w:color w:val="000000" w:themeColor="text1"/>
        </w:rPr>
        <w:t>clinical experts</w:t>
      </w:r>
      <w:r w:rsidRPr="13B0BCA9" w:rsidR="0011029C">
        <w:rPr>
          <w:color w:val="000000" w:themeColor="text1"/>
        </w:rPr>
        <w:t xml:space="preserve"> </w:t>
      </w:r>
      <w:r w:rsidRPr="13B0BCA9" w:rsidR="13B0BCA9">
        <w:rPr>
          <w:color w:val="000000" w:themeColor="text1"/>
        </w:rPr>
        <w:t xml:space="preserve">on the factors listed in 1194(e)(2) to ensure consideration of such factors. </w:t>
      </w:r>
      <w:r w:rsidR="00641C2F">
        <w:rPr>
          <w:color w:val="000000" w:themeColor="text1"/>
        </w:rPr>
        <w:t xml:space="preserve">Primary </w:t>
      </w:r>
      <w:r w:rsidRPr="13B0BCA9" w:rsidR="13B0BCA9">
        <w:rPr>
          <w:color w:val="000000" w:themeColor="text1"/>
        </w:rPr>
        <w:t xml:space="preserve">Manufacturers </w:t>
      </w:r>
      <w:r>
        <w:rPr>
          <w:color w:val="000000" w:themeColor="text1"/>
        </w:rPr>
        <w:t>may</w:t>
      </w:r>
      <w:r w:rsidRPr="13B0BCA9" w:rsidR="13B0BCA9">
        <w:rPr>
          <w:color w:val="000000" w:themeColor="text1"/>
        </w:rPr>
        <w:t xml:space="preserve"> submit this information as part of their </w:t>
      </w:r>
      <w:r w:rsidR="00BE4F79">
        <w:rPr>
          <w:color w:val="000000" w:themeColor="text1"/>
        </w:rPr>
        <w:t xml:space="preserve">Negotiation Data Elements </w:t>
      </w:r>
      <w:r w:rsidR="00A02074">
        <w:rPr>
          <w:color w:val="000000" w:themeColor="text1"/>
        </w:rPr>
        <w:t>ICR</w:t>
      </w:r>
      <w:r w:rsidRPr="13B0BCA9" w:rsidR="13B0BCA9">
        <w:rPr>
          <w:color w:val="000000" w:themeColor="text1"/>
        </w:rPr>
        <w:t xml:space="preserve"> Form. The public</w:t>
      </w:r>
      <w:r w:rsidR="002741F0">
        <w:rPr>
          <w:color w:val="000000" w:themeColor="text1"/>
        </w:rPr>
        <w:t>, including Secondary Manufacturers</w:t>
      </w:r>
      <w:r w:rsidR="00D903FC">
        <w:rPr>
          <w:color w:val="000000" w:themeColor="text1"/>
        </w:rPr>
        <w:t>, Medicare beneficiaries, academic experts, clinicians, caregivers, patients or patient organizations, and other interested parties</w:t>
      </w:r>
      <w:r w:rsidR="002741F0">
        <w:rPr>
          <w:color w:val="000000" w:themeColor="text1"/>
        </w:rPr>
        <w:t>,</w:t>
      </w:r>
      <w:r w:rsidRPr="13B0BCA9" w:rsidR="13B0BCA9">
        <w:rPr>
          <w:color w:val="000000" w:themeColor="text1"/>
        </w:rPr>
        <w:t xml:space="preserve"> may optionally submit evidence about alternative treatments.  </w:t>
      </w:r>
    </w:p>
    <w:p w:rsidR="32928479" w:rsidP="32928479" w14:paraId="37FD9C6B" w14:textId="4C6CB351">
      <w:r w:rsidRPr="005858A5">
        <w:t xml:space="preserve">The </w:t>
      </w:r>
      <w:r w:rsidRPr="005858A5" w:rsidR="005858A5">
        <w:t xml:space="preserve">Negotiation Data Elements </w:t>
      </w:r>
      <w:r w:rsidR="00A02074">
        <w:t>ICR</w:t>
      </w:r>
      <w:r w:rsidRPr="005858A5">
        <w:t xml:space="preserve"> Form for manufacturer</w:t>
      </w:r>
      <w:r w:rsidRPr="005858A5" w:rsidR="00DB2439">
        <w:t>-</w:t>
      </w:r>
      <w:r w:rsidRPr="005858A5">
        <w:t>submitted data elements</w:t>
      </w:r>
      <w:r w:rsidR="008F2566">
        <w:t xml:space="preserve"> and evidence about alternative treatments</w:t>
      </w:r>
      <w:r w:rsidRPr="005858A5">
        <w:t xml:space="preserve"> must be submitted to CMS </w:t>
      </w:r>
      <w:r w:rsidRPr="005858A5" w:rsidR="00DB2439">
        <w:t>not later than</w:t>
      </w:r>
      <w:r w:rsidRPr="005858A5">
        <w:t xml:space="preserve"> October 2, 2023</w:t>
      </w:r>
      <w:r w:rsidR="00574674">
        <w:t>,</w:t>
      </w:r>
      <w:r w:rsidRPr="005858A5">
        <w:t xml:space="preserve"> for initial price applicability year 2026</w:t>
      </w:r>
      <w:r>
        <w:t>.</w:t>
      </w:r>
    </w:p>
    <w:p w:rsidR="00417BAB" w:rsidRPr="007A3FDD" w:rsidP="00F145AD" w14:paraId="0B9ED294" w14:textId="5A5B9EDF">
      <w:pPr>
        <w:pStyle w:val="BodyText"/>
      </w:pPr>
      <w:r>
        <w:t>Section</w:t>
      </w:r>
      <w:r>
        <w:rPr>
          <w:spacing w:val="-4"/>
        </w:rPr>
        <w:t xml:space="preserve"> </w:t>
      </w:r>
      <w:r>
        <w:t>1194(e)(2)</w:t>
      </w:r>
      <w:r>
        <w:rPr>
          <w:spacing w:val="-2"/>
        </w:rPr>
        <w:t xml:space="preserve"> </w:t>
      </w:r>
      <w:r>
        <w:t>lists</w:t>
      </w:r>
      <w:r>
        <w:rPr>
          <w:spacing w:val="-3"/>
        </w:rPr>
        <w:t xml:space="preserve"> </w:t>
      </w:r>
      <w:r>
        <w:t>additional</w:t>
      </w:r>
      <w:r>
        <w:rPr>
          <w:spacing w:val="-1"/>
        </w:rPr>
        <w:t xml:space="preserve"> </w:t>
      </w:r>
      <w:r>
        <w:t>factors</w:t>
      </w:r>
      <w:r>
        <w:rPr>
          <w:spacing w:val="-3"/>
        </w:rPr>
        <w:t xml:space="preserve"> </w:t>
      </w:r>
      <w:r>
        <w:t>that</w:t>
      </w:r>
      <w:r>
        <w:rPr>
          <w:spacing w:val="-1"/>
        </w:rPr>
        <w:t xml:space="preserve"> </w:t>
      </w:r>
      <w:r>
        <w:t>CMS</w:t>
      </w:r>
      <w:r>
        <w:rPr>
          <w:spacing w:val="-3"/>
        </w:rPr>
        <w:t xml:space="preserve"> </w:t>
      </w:r>
      <w:r>
        <w:t>will</w:t>
      </w:r>
      <w:r>
        <w:rPr>
          <w:spacing w:val="-1"/>
        </w:rPr>
        <w:t xml:space="preserve"> </w:t>
      </w:r>
      <w:r>
        <w:t>consider,</w:t>
      </w:r>
      <w:r>
        <w:rPr>
          <w:spacing w:val="-2"/>
        </w:rPr>
        <w:t xml:space="preserve"> </w:t>
      </w:r>
      <w:r>
        <w:t>as</w:t>
      </w:r>
      <w:r>
        <w:rPr>
          <w:spacing w:val="-1"/>
        </w:rPr>
        <w:t xml:space="preserve"> </w:t>
      </w:r>
      <w:r>
        <w:rPr>
          <w:spacing w:val="-2"/>
        </w:rPr>
        <w:t>available:</w:t>
      </w:r>
    </w:p>
    <w:p w:rsidR="00417BAB" w:rsidRPr="007A3FDD" w:rsidP="00E40D58" w14:paraId="67012971" w14:textId="4A80A36E">
      <w:pPr>
        <w:pStyle w:val="ListParagraph"/>
        <w:widowControl w:val="0"/>
        <w:numPr>
          <w:ilvl w:val="1"/>
          <w:numId w:val="14"/>
        </w:numPr>
        <w:tabs>
          <w:tab w:val="left" w:pos="839"/>
          <w:tab w:val="left" w:pos="840"/>
        </w:tabs>
        <w:autoSpaceDE w:val="0"/>
        <w:autoSpaceDN w:val="0"/>
        <w:spacing w:after="0"/>
        <w:ind w:left="540" w:right="507" w:hanging="360"/>
        <w:contextualSpacing w:val="0"/>
        <w:rPr>
          <w:rFonts w:ascii="Times New Roman" w:hAnsi="Times New Roman" w:cs="Times New Roman"/>
        </w:rPr>
      </w:pPr>
      <w:r w:rsidRPr="007A3FDD">
        <w:rPr>
          <w:rFonts w:ascii="Times New Roman" w:hAnsi="Times New Roman" w:cs="Times New Roman"/>
        </w:rPr>
        <w:t>The</w:t>
      </w:r>
      <w:r w:rsidRPr="007A3FDD">
        <w:rPr>
          <w:rFonts w:ascii="Times New Roman" w:hAnsi="Times New Roman" w:cs="Times New Roman"/>
          <w:spacing w:val="-3"/>
        </w:rPr>
        <w:t xml:space="preserve"> </w:t>
      </w:r>
      <w:r w:rsidRPr="007A3FDD">
        <w:rPr>
          <w:rFonts w:ascii="Times New Roman" w:hAnsi="Times New Roman" w:cs="Times New Roman"/>
        </w:rPr>
        <w:t>extent</w:t>
      </w:r>
      <w:r w:rsidRPr="007A3FDD">
        <w:rPr>
          <w:rFonts w:ascii="Times New Roman" w:hAnsi="Times New Roman" w:cs="Times New Roman"/>
          <w:spacing w:val="-4"/>
        </w:rPr>
        <w:t xml:space="preserve"> </w:t>
      </w:r>
      <w:r w:rsidRPr="007A3FDD">
        <w:rPr>
          <w:rFonts w:ascii="Times New Roman" w:hAnsi="Times New Roman" w:cs="Times New Roman"/>
        </w:rPr>
        <w:t>to</w:t>
      </w:r>
      <w:r w:rsidRPr="007A3FDD">
        <w:rPr>
          <w:rFonts w:ascii="Times New Roman" w:hAnsi="Times New Roman" w:cs="Times New Roman"/>
          <w:spacing w:val="-3"/>
        </w:rPr>
        <w:t xml:space="preserve"> </w:t>
      </w:r>
      <w:r w:rsidRPr="007A3FDD">
        <w:rPr>
          <w:rFonts w:ascii="Times New Roman" w:hAnsi="Times New Roman" w:cs="Times New Roman"/>
        </w:rPr>
        <w:t>which</w:t>
      </w:r>
      <w:r w:rsidRPr="007A3FDD">
        <w:rPr>
          <w:rFonts w:ascii="Times New Roman" w:hAnsi="Times New Roman" w:cs="Times New Roman"/>
          <w:spacing w:val="-3"/>
        </w:rPr>
        <w:t xml:space="preserve"> </w:t>
      </w:r>
      <w:r w:rsidRPr="007A3FDD">
        <w:rPr>
          <w:rFonts w:ascii="Times New Roman" w:hAnsi="Times New Roman" w:cs="Times New Roman"/>
        </w:rPr>
        <w:t>such</w:t>
      </w:r>
      <w:r w:rsidRPr="007A3FDD">
        <w:rPr>
          <w:rFonts w:ascii="Times New Roman" w:hAnsi="Times New Roman" w:cs="Times New Roman"/>
          <w:spacing w:val="-3"/>
        </w:rPr>
        <w:t xml:space="preserve"> </w:t>
      </w:r>
      <w:r w:rsidRPr="007A3FDD">
        <w:rPr>
          <w:rFonts w:ascii="Times New Roman" w:hAnsi="Times New Roman" w:cs="Times New Roman"/>
        </w:rPr>
        <w:t>selected</w:t>
      </w:r>
      <w:r w:rsidRPr="007A3FDD">
        <w:rPr>
          <w:rFonts w:ascii="Times New Roman" w:hAnsi="Times New Roman" w:cs="Times New Roman"/>
          <w:spacing w:val="-3"/>
        </w:rPr>
        <w:t xml:space="preserve"> </w:t>
      </w:r>
      <w:r w:rsidRPr="007A3FDD">
        <w:rPr>
          <w:rFonts w:ascii="Times New Roman" w:hAnsi="Times New Roman" w:cs="Times New Roman"/>
        </w:rPr>
        <w:t>drug</w:t>
      </w:r>
      <w:r w:rsidRPr="007A3FDD">
        <w:rPr>
          <w:rFonts w:ascii="Times New Roman" w:hAnsi="Times New Roman" w:cs="Times New Roman"/>
          <w:spacing w:val="-3"/>
        </w:rPr>
        <w:t xml:space="preserve"> </w:t>
      </w:r>
      <w:r w:rsidRPr="007A3FDD">
        <w:rPr>
          <w:rFonts w:ascii="Times New Roman" w:hAnsi="Times New Roman" w:cs="Times New Roman"/>
        </w:rPr>
        <w:t>represents</w:t>
      </w:r>
      <w:r w:rsidRPr="007A3FDD">
        <w:rPr>
          <w:rFonts w:ascii="Times New Roman" w:hAnsi="Times New Roman" w:cs="Times New Roman"/>
          <w:spacing w:val="-3"/>
        </w:rPr>
        <w:t xml:space="preserve"> </w:t>
      </w:r>
      <w:r w:rsidRPr="007A3FDD">
        <w:rPr>
          <w:rFonts w:ascii="Times New Roman" w:hAnsi="Times New Roman" w:cs="Times New Roman"/>
        </w:rPr>
        <w:t>a</w:t>
      </w:r>
      <w:r w:rsidRPr="007A3FDD">
        <w:rPr>
          <w:rFonts w:ascii="Times New Roman" w:hAnsi="Times New Roman" w:cs="Times New Roman"/>
          <w:spacing w:val="-3"/>
        </w:rPr>
        <w:t xml:space="preserve"> </w:t>
      </w:r>
      <w:r w:rsidRPr="007A3FDD">
        <w:rPr>
          <w:rFonts w:ascii="Times New Roman" w:hAnsi="Times New Roman" w:cs="Times New Roman"/>
        </w:rPr>
        <w:t>therapeutic</w:t>
      </w:r>
      <w:r w:rsidRPr="007A3FDD">
        <w:rPr>
          <w:rFonts w:ascii="Times New Roman" w:hAnsi="Times New Roman" w:cs="Times New Roman"/>
          <w:spacing w:val="-3"/>
        </w:rPr>
        <w:t xml:space="preserve"> </w:t>
      </w:r>
      <w:r w:rsidRPr="007A3FDD">
        <w:rPr>
          <w:rFonts w:ascii="Times New Roman" w:hAnsi="Times New Roman" w:cs="Times New Roman"/>
        </w:rPr>
        <w:t>advance</w:t>
      </w:r>
      <w:r w:rsidRPr="007A3FDD">
        <w:rPr>
          <w:rFonts w:ascii="Times New Roman" w:hAnsi="Times New Roman" w:cs="Times New Roman"/>
          <w:spacing w:val="-3"/>
        </w:rPr>
        <w:t xml:space="preserve"> </w:t>
      </w:r>
      <w:r w:rsidRPr="007A3FDD">
        <w:rPr>
          <w:rFonts w:ascii="Times New Roman" w:hAnsi="Times New Roman" w:cs="Times New Roman"/>
        </w:rPr>
        <w:t>as</w:t>
      </w:r>
      <w:r w:rsidRPr="007A3FDD">
        <w:rPr>
          <w:rFonts w:ascii="Times New Roman" w:hAnsi="Times New Roman" w:cs="Times New Roman"/>
          <w:spacing w:val="-3"/>
        </w:rPr>
        <w:t xml:space="preserve"> </w:t>
      </w:r>
      <w:r w:rsidRPr="007A3FDD">
        <w:rPr>
          <w:rFonts w:ascii="Times New Roman" w:hAnsi="Times New Roman" w:cs="Times New Roman"/>
        </w:rPr>
        <w:t>compared</w:t>
      </w:r>
      <w:r w:rsidRPr="007A3FDD">
        <w:rPr>
          <w:rFonts w:ascii="Times New Roman" w:hAnsi="Times New Roman" w:cs="Times New Roman"/>
          <w:spacing w:val="-3"/>
        </w:rPr>
        <w:t xml:space="preserve"> </w:t>
      </w:r>
      <w:r w:rsidRPr="007A3FDD">
        <w:rPr>
          <w:rFonts w:ascii="Times New Roman" w:hAnsi="Times New Roman" w:cs="Times New Roman"/>
        </w:rPr>
        <w:t>to existing therapeutic alternatives and the costs of such existing therapeutic alternatives;</w:t>
      </w:r>
    </w:p>
    <w:p w:rsidR="00417BAB" w:rsidRPr="007A3FDD" w:rsidP="00E40D58" w14:paraId="329FBE4D" w14:textId="77777777">
      <w:pPr>
        <w:pStyle w:val="ListParagraph"/>
        <w:widowControl w:val="0"/>
        <w:numPr>
          <w:ilvl w:val="1"/>
          <w:numId w:val="14"/>
        </w:numPr>
        <w:tabs>
          <w:tab w:val="left" w:pos="839"/>
          <w:tab w:val="left" w:pos="840"/>
        </w:tabs>
        <w:autoSpaceDE w:val="0"/>
        <w:autoSpaceDN w:val="0"/>
        <w:spacing w:after="0"/>
        <w:ind w:left="540" w:right="800" w:hanging="360"/>
        <w:contextualSpacing w:val="0"/>
        <w:rPr>
          <w:rFonts w:ascii="Times New Roman" w:hAnsi="Times New Roman" w:cs="Times New Roman"/>
        </w:rPr>
      </w:pPr>
      <w:r w:rsidRPr="007A3FDD">
        <w:rPr>
          <w:rFonts w:ascii="Times New Roman" w:hAnsi="Times New Roman" w:cs="Times New Roman"/>
        </w:rPr>
        <w:t>Prescribing</w:t>
      </w:r>
      <w:r w:rsidRPr="007A3FDD">
        <w:rPr>
          <w:rFonts w:ascii="Times New Roman" w:hAnsi="Times New Roman" w:cs="Times New Roman"/>
          <w:spacing w:val="-5"/>
        </w:rPr>
        <w:t xml:space="preserve"> </w:t>
      </w:r>
      <w:r w:rsidRPr="007A3FDD">
        <w:rPr>
          <w:rFonts w:ascii="Times New Roman" w:hAnsi="Times New Roman" w:cs="Times New Roman"/>
        </w:rPr>
        <w:t>information</w:t>
      </w:r>
      <w:r w:rsidRPr="007A3FDD">
        <w:rPr>
          <w:rFonts w:ascii="Times New Roman" w:hAnsi="Times New Roman" w:cs="Times New Roman"/>
          <w:spacing w:val="-3"/>
        </w:rPr>
        <w:t xml:space="preserve"> </w:t>
      </w:r>
      <w:r w:rsidRPr="007A3FDD">
        <w:rPr>
          <w:rFonts w:ascii="Times New Roman" w:hAnsi="Times New Roman" w:cs="Times New Roman"/>
        </w:rPr>
        <w:t>approved</w:t>
      </w:r>
      <w:r w:rsidRPr="007A3FDD">
        <w:rPr>
          <w:rFonts w:ascii="Times New Roman" w:hAnsi="Times New Roman" w:cs="Times New Roman"/>
          <w:spacing w:val="-3"/>
        </w:rPr>
        <w:t xml:space="preserve"> </w:t>
      </w:r>
      <w:r w:rsidRPr="007A3FDD">
        <w:rPr>
          <w:rFonts w:ascii="Times New Roman" w:hAnsi="Times New Roman" w:cs="Times New Roman"/>
        </w:rPr>
        <w:t>by</w:t>
      </w:r>
      <w:r w:rsidRPr="007A3FDD">
        <w:rPr>
          <w:rFonts w:ascii="Times New Roman" w:hAnsi="Times New Roman" w:cs="Times New Roman"/>
          <w:spacing w:val="-5"/>
        </w:rPr>
        <w:t xml:space="preserve"> </w:t>
      </w:r>
      <w:r w:rsidRPr="007A3FDD">
        <w:rPr>
          <w:rFonts w:ascii="Times New Roman" w:hAnsi="Times New Roman" w:cs="Times New Roman"/>
        </w:rPr>
        <w:t>the</w:t>
      </w:r>
      <w:r w:rsidRPr="007A3FDD">
        <w:rPr>
          <w:rFonts w:ascii="Times New Roman" w:hAnsi="Times New Roman" w:cs="Times New Roman"/>
          <w:spacing w:val="-3"/>
        </w:rPr>
        <w:t xml:space="preserve"> </w:t>
      </w:r>
      <w:r w:rsidRPr="007A3FDD">
        <w:rPr>
          <w:rFonts w:ascii="Times New Roman" w:hAnsi="Times New Roman" w:cs="Times New Roman"/>
        </w:rPr>
        <w:t>FDA</w:t>
      </w:r>
      <w:r w:rsidRPr="007A3FDD">
        <w:rPr>
          <w:rFonts w:ascii="Times New Roman" w:hAnsi="Times New Roman" w:cs="Times New Roman"/>
          <w:spacing w:val="-4"/>
        </w:rPr>
        <w:t xml:space="preserve"> </w:t>
      </w:r>
      <w:r w:rsidRPr="007A3FDD">
        <w:rPr>
          <w:rFonts w:ascii="Times New Roman" w:hAnsi="Times New Roman" w:cs="Times New Roman"/>
        </w:rPr>
        <w:t>for</w:t>
      </w:r>
      <w:r w:rsidRPr="007A3FDD">
        <w:rPr>
          <w:rFonts w:ascii="Times New Roman" w:hAnsi="Times New Roman" w:cs="Times New Roman"/>
          <w:spacing w:val="-3"/>
        </w:rPr>
        <w:t xml:space="preserve"> </w:t>
      </w:r>
      <w:r w:rsidRPr="007A3FDD">
        <w:rPr>
          <w:rFonts w:ascii="Times New Roman" w:hAnsi="Times New Roman" w:cs="Times New Roman"/>
        </w:rPr>
        <w:t>such</w:t>
      </w:r>
      <w:r w:rsidRPr="007A3FDD">
        <w:rPr>
          <w:rFonts w:ascii="Times New Roman" w:hAnsi="Times New Roman" w:cs="Times New Roman"/>
          <w:spacing w:val="-3"/>
        </w:rPr>
        <w:t xml:space="preserve"> </w:t>
      </w:r>
      <w:r w:rsidRPr="007A3FDD">
        <w:rPr>
          <w:rFonts w:ascii="Times New Roman" w:hAnsi="Times New Roman" w:cs="Times New Roman"/>
        </w:rPr>
        <w:t>selected</w:t>
      </w:r>
      <w:r w:rsidRPr="007A3FDD">
        <w:rPr>
          <w:rFonts w:ascii="Times New Roman" w:hAnsi="Times New Roman" w:cs="Times New Roman"/>
          <w:spacing w:val="-3"/>
        </w:rPr>
        <w:t xml:space="preserve"> </w:t>
      </w:r>
      <w:r w:rsidRPr="007A3FDD">
        <w:rPr>
          <w:rFonts w:ascii="Times New Roman" w:hAnsi="Times New Roman" w:cs="Times New Roman"/>
        </w:rPr>
        <w:t>drug</w:t>
      </w:r>
      <w:r w:rsidRPr="007A3FDD">
        <w:rPr>
          <w:rFonts w:ascii="Times New Roman" w:hAnsi="Times New Roman" w:cs="Times New Roman"/>
          <w:spacing w:val="-3"/>
        </w:rPr>
        <w:t xml:space="preserve"> </w:t>
      </w:r>
      <w:r w:rsidRPr="007A3FDD">
        <w:rPr>
          <w:rFonts w:ascii="Times New Roman" w:hAnsi="Times New Roman" w:cs="Times New Roman"/>
        </w:rPr>
        <w:t>and</w:t>
      </w:r>
      <w:r w:rsidRPr="007A3FDD">
        <w:rPr>
          <w:rFonts w:ascii="Times New Roman" w:hAnsi="Times New Roman" w:cs="Times New Roman"/>
          <w:spacing w:val="-5"/>
        </w:rPr>
        <w:t xml:space="preserve"> </w:t>
      </w:r>
      <w:r w:rsidRPr="007A3FDD">
        <w:rPr>
          <w:rFonts w:ascii="Times New Roman" w:hAnsi="Times New Roman" w:cs="Times New Roman"/>
        </w:rPr>
        <w:t>therapeutic alternatives to such drug;</w:t>
      </w:r>
    </w:p>
    <w:p w:rsidR="00417BAB" w:rsidRPr="007A3FDD" w:rsidP="00E40D58" w14:paraId="3554592E" w14:textId="77777777">
      <w:pPr>
        <w:pStyle w:val="ListParagraph"/>
        <w:widowControl w:val="0"/>
        <w:numPr>
          <w:ilvl w:val="1"/>
          <w:numId w:val="14"/>
        </w:numPr>
        <w:tabs>
          <w:tab w:val="left" w:pos="839"/>
          <w:tab w:val="left" w:pos="840"/>
        </w:tabs>
        <w:autoSpaceDE w:val="0"/>
        <w:autoSpaceDN w:val="0"/>
        <w:spacing w:after="0"/>
        <w:ind w:left="540" w:right="624" w:hanging="360"/>
        <w:contextualSpacing w:val="0"/>
        <w:rPr>
          <w:rFonts w:ascii="Times New Roman" w:hAnsi="Times New Roman" w:cs="Times New Roman"/>
        </w:rPr>
      </w:pPr>
      <w:r w:rsidRPr="007A3FDD">
        <w:rPr>
          <w:rFonts w:ascii="Times New Roman" w:hAnsi="Times New Roman" w:cs="Times New Roman"/>
        </w:rPr>
        <w:t>Comparative effectiveness of such selected drug and therapeutic alternatives to such drug, taking into consideration the effects of such drug and therapeutic alternatives to such</w:t>
      </w:r>
      <w:r w:rsidRPr="007A3FDD">
        <w:rPr>
          <w:rFonts w:ascii="Times New Roman" w:hAnsi="Times New Roman" w:cs="Times New Roman"/>
          <w:spacing w:val="-3"/>
        </w:rPr>
        <w:t xml:space="preserve"> </w:t>
      </w:r>
      <w:r w:rsidRPr="007A3FDD">
        <w:rPr>
          <w:rFonts w:ascii="Times New Roman" w:hAnsi="Times New Roman" w:cs="Times New Roman"/>
        </w:rPr>
        <w:t>drug</w:t>
      </w:r>
      <w:r w:rsidRPr="007A3FDD">
        <w:rPr>
          <w:rFonts w:ascii="Times New Roman" w:hAnsi="Times New Roman" w:cs="Times New Roman"/>
          <w:spacing w:val="-3"/>
        </w:rPr>
        <w:t xml:space="preserve"> </w:t>
      </w:r>
      <w:r w:rsidRPr="007A3FDD">
        <w:rPr>
          <w:rFonts w:ascii="Times New Roman" w:hAnsi="Times New Roman" w:cs="Times New Roman"/>
        </w:rPr>
        <w:t>on</w:t>
      </w:r>
      <w:r w:rsidRPr="007A3FDD">
        <w:rPr>
          <w:rFonts w:ascii="Times New Roman" w:hAnsi="Times New Roman" w:cs="Times New Roman"/>
          <w:spacing w:val="-3"/>
        </w:rPr>
        <w:t xml:space="preserve"> </w:t>
      </w:r>
      <w:r w:rsidRPr="007A3FDD">
        <w:rPr>
          <w:rFonts w:ascii="Times New Roman" w:hAnsi="Times New Roman" w:cs="Times New Roman"/>
        </w:rPr>
        <w:t>specific</w:t>
      </w:r>
      <w:r w:rsidRPr="007A3FDD">
        <w:rPr>
          <w:rFonts w:ascii="Times New Roman" w:hAnsi="Times New Roman" w:cs="Times New Roman"/>
          <w:spacing w:val="-3"/>
        </w:rPr>
        <w:t xml:space="preserve"> </w:t>
      </w:r>
      <w:r w:rsidRPr="007A3FDD">
        <w:rPr>
          <w:rFonts w:ascii="Times New Roman" w:hAnsi="Times New Roman" w:cs="Times New Roman"/>
        </w:rPr>
        <w:t>populations,</w:t>
      </w:r>
      <w:r w:rsidRPr="007A3FDD">
        <w:rPr>
          <w:rFonts w:ascii="Times New Roman" w:hAnsi="Times New Roman" w:cs="Times New Roman"/>
          <w:spacing w:val="-3"/>
        </w:rPr>
        <w:t xml:space="preserve"> </w:t>
      </w:r>
      <w:r w:rsidRPr="007A3FDD">
        <w:rPr>
          <w:rFonts w:ascii="Times New Roman" w:hAnsi="Times New Roman" w:cs="Times New Roman"/>
        </w:rPr>
        <w:t>such</w:t>
      </w:r>
      <w:r w:rsidRPr="007A3FDD">
        <w:rPr>
          <w:rFonts w:ascii="Times New Roman" w:hAnsi="Times New Roman" w:cs="Times New Roman"/>
          <w:spacing w:val="-3"/>
        </w:rPr>
        <w:t xml:space="preserve"> </w:t>
      </w:r>
      <w:r w:rsidRPr="007A3FDD">
        <w:rPr>
          <w:rFonts w:ascii="Times New Roman" w:hAnsi="Times New Roman" w:cs="Times New Roman"/>
        </w:rPr>
        <w:t>as</w:t>
      </w:r>
      <w:r w:rsidRPr="007A3FDD">
        <w:rPr>
          <w:rFonts w:ascii="Times New Roman" w:hAnsi="Times New Roman" w:cs="Times New Roman"/>
          <w:spacing w:val="-3"/>
        </w:rPr>
        <w:t xml:space="preserve"> </w:t>
      </w:r>
      <w:r w:rsidRPr="007A3FDD">
        <w:rPr>
          <w:rFonts w:ascii="Times New Roman" w:hAnsi="Times New Roman" w:cs="Times New Roman"/>
        </w:rPr>
        <w:t>individuals</w:t>
      </w:r>
      <w:r w:rsidRPr="007A3FDD">
        <w:rPr>
          <w:rFonts w:ascii="Times New Roman" w:hAnsi="Times New Roman" w:cs="Times New Roman"/>
          <w:spacing w:val="-3"/>
        </w:rPr>
        <w:t xml:space="preserve"> </w:t>
      </w:r>
      <w:r w:rsidRPr="007A3FDD">
        <w:rPr>
          <w:rFonts w:ascii="Times New Roman" w:hAnsi="Times New Roman" w:cs="Times New Roman"/>
        </w:rPr>
        <w:t>with</w:t>
      </w:r>
      <w:r w:rsidRPr="007A3FDD">
        <w:rPr>
          <w:rFonts w:ascii="Times New Roman" w:hAnsi="Times New Roman" w:cs="Times New Roman"/>
          <w:spacing w:val="-3"/>
        </w:rPr>
        <w:t xml:space="preserve"> </w:t>
      </w:r>
      <w:r w:rsidRPr="007A3FDD">
        <w:rPr>
          <w:rFonts w:ascii="Times New Roman" w:hAnsi="Times New Roman" w:cs="Times New Roman"/>
        </w:rPr>
        <w:t>disabilities,</w:t>
      </w:r>
      <w:r w:rsidRPr="007A3FDD">
        <w:rPr>
          <w:rFonts w:ascii="Times New Roman" w:hAnsi="Times New Roman" w:cs="Times New Roman"/>
          <w:spacing w:val="-3"/>
        </w:rPr>
        <w:t xml:space="preserve"> </w:t>
      </w:r>
      <w:r w:rsidRPr="007A3FDD">
        <w:rPr>
          <w:rFonts w:ascii="Times New Roman" w:hAnsi="Times New Roman" w:cs="Times New Roman"/>
        </w:rPr>
        <w:t>the</w:t>
      </w:r>
      <w:r w:rsidRPr="007A3FDD">
        <w:rPr>
          <w:rFonts w:ascii="Times New Roman" w:hAnsi="Times New Roman" w:cs="Times New Roman"/>
          <w:spacing w:val="-4"/>
        </w:rPr>
        <w:t xml:space="preserve"> </w:t>
      </w:r>
      <w:r w:rsidRPr="007A3FDD">
        <w:rPr>
          <w:rFonts w:ascii="Times New Roman" w:hAnsi="Times New Roman" w:cs="Times New Roman"/>
        </w:rPr>
        <w:t>elderly,</w:t>
      </w:r>
      <w:r w:rsidRPr="007A3FDD">
        <w:rPr>
          <w:rFonts w:ascii="Times New Roman" w:hAnsi="Times New Roman" w:cs="Times New Roman"/>
          <w:spacing w:val="-3"/>
        </w:rPr>
        <w:t xml:space="preserve"> </w:t>
      </w:r>
      <w:r w:rsidRPr="007A3FDD">
        <w:rPr>
          <w:rFonts w:ascii="Times New Roman" w:hAnsi="Times New Roman" w:cs="Times New Roman"/>
        </w:rPr>
        <w:t>the terminally ill, children, and other patient populations; and</w:t>
      </w:r>
    </w:p>
    <w:p w:rsidR="00417BAB" w:rsidP="00F145AD" w14:paraId="01280252" w14:textId="0AD66068">
      <w:pPr>
        <w:pStyle w:val="ListParagraph"/>
        <w:widowControl w:val="0"/>
        <w:numPr>
          <w:ilvl w:val="1"/>
          <w:numId w:val="14"/>
        </w:numPr>
        <w:tabs>
          <w:tab w:val="left" w:pos="839"/>
          <w:tab w:val="left" w:pos="840"/>
        </w:tabs>
        <w:autoSpaceDE w:val="0"/>
        <w:autoSpaceDN w:val="0"/>
        <w:ind w:left="547" w:right="461" w:hanging="360"/>
        <w:contextualSpacing w:val="0"/>
      </w:pPr>
      <w:r w:rsidRPr="007A3FDD">
        <w:rPr>
          <w:rFonts w:ascii="Times New Roman" w:hAnsi="Times New Roman" w:cs="Times New Roman"/>
        </w:rPr>
        <w:t>The</w:t>
      </w:r>
      <w:r w:rsidRPr="007A3FDD">
        <w:rPr>
          <w:rFonts w:ascii="Times New Roman" w:hAnsi="Times New Roman" w:cs="Times New Roman"/>
          <w:spacing w:val="-3"/>
        </w:rPr>
        <w:t xml:space="preserve"> </w:t>
      </w:r>
      <w:r w:rsidRPr="007A3FDD">
        <w:rPr>
          <w:rFonts w:ascii="Times New Roman" w:hAnsi="Times New Roman" w:cs="Times New Roman"/>
        </w:rPr>
        <w:t>extent</w:t>
      </w:r>
      <w:r w:rsidRPr="007A3FDD">
        <w:rPr>
          <w:rFonts w:ascii="Times New Roman" w:hAnsi="Times New Roman" w:cs="Times New Roman"/>
          <w:spacing w:val="-4"/>
        </w:rPr>
        <w:t xml:space="preserve"> </w:t>
      </w:r>
      <w:r w:rsidRPr="007A3FDD">
        <w:rPr>
          <w:rFonts w:ascii="Times New Roman" w:hAnsi="Times New Roman" w:cs="Times New Roman"/>
        </w:rPr>
        <w:t>to</w:t>
      </w:r>
      <w:r w:rsidRPr="007A3FDD">
        <w:rPr>
          <w:rFonts w:ascii="Times New Roman" w:hAnsi="Times New Roman" w:cs="Times New Roman"/>
          <w:spacing w:val="-3"/>
        </w:rPr>
        <w:t xml:space="preserve"> </w:t>
      </w:r>
      <w:r w:rsidRPr="007A3FDD">
        <w:rPr>
          <w:rFonts w:ascii="Times New Roman" w:hAnsi="Times New Roman" w:cs="Times New Roman"/>
        </w:rPr>
        <w:t>which</w:t>
      </w:r>
      <w:r w:rsidRPr="007A3FDD">
        <w:rPr>
          <w:rFonts w:ascii="Times New Roman" w:hAnsi="Times New Roman" w:cs="Times New Roman"/>
          <w:spacing w:val="-3"/>
        </w:rPr>
        <w:t xml:space="preserve"> </w:t>
      </w:r>
      <w:r w:rsidRPr="007A3FDD">
        <w:rPr>
          <w:rFonts w:ascii="Times New Roman" w:hAnsi="Times New Roman" w:cs="Times New Roman"/>
        </w:rPr>
        <w:t>such</w:t>
      </w:r>
      <w:r w:rsidRPr="007A3FDD">
        <w:rPr>
          <w:rFonts w:ascii="Times New Roman" w:hAnsi="Times New Roman" w:cs="Times New Roman"/>
          <w:spacing w:val="-3"/>
        </w:rPr>
        <w:t xml:space="preserve"> </w:t>
      </w:r>
      <w:r w:rsidRPr="007A3FDD">
        <w:rPr>
          <w:rFonts w:ascii="Times New Roman" w:hAnsi="Times New Roman" w:cs="Times New Roman"/>
        </w:rPr>
        <w:t>selected</w:t>
      </w:r>
      <w:r w:rsidRPr="007A3FDD">
        <w:rPr>
          <w:rFonts w:ascii="Times New Roman" w:hAnsi="Times New Roman" w:cs="Times New Roman"/>
          <w:spacing w:val="-3"/>
        </w:rPr>
        <w:t xml:space="preserve"> </w:t>
      </w:r>
      <w:r w:rsidRPr="007A3FDD">
        <w:rPr>
          <w:rFonts w:ascii="Times New Roman" w:hAnsi="Times New Roman" w:cs="Times New Roman"/>
        </w:rPr>
        <w:t>drug</w:t>
      </w:r>
      <w:r w:rsidRPr="007A3FDD">
        <w:rPr>
          <w:rFonts w:ascii="Times New Roman" w:hAnsi="Times New Roman" w:cs="Times New Roman"/>
          <w:spacing w:val="-3"/>
        </w:rPr>
        <w:t xml:space="preserve"> </w:t>
      </w:r>
      <w:r w:rsidRPr="007A3FDD">
        <w:rPr>
          <w:rFonts w:ascii="Times New Roman" w:hAnsi="Times New Roman" w:cs="Times New Roman"/>
        </w:rPr>
        <w:t>and</w:t>
      </w:r>
      <w:r w:rsidRPr="007A3FDD">
        <w:rPr>
          <w:rFonts w:ascii="Times New Roman" w:hAnsi="Times New Roman" w:cs="Times New Roman"/>
          <w:spacing w:val="-3"/>
        </w:rPr>
        <w:t xml:space="preserve"> </w:t>
      </w:r>
      <w:r w:rsidRPr="007A3FDD">
        <w:rPr>
          <w:rFonts w:ascii="Times New Roman" w:hAnsi="Times New Roman" w:cs="Times New Roman"/>
        </w:rPr>
        <w:t>therapeutic</w:t>
      </w:r>
      <w:r w:rsidRPr="007A3FDD">
        <w:rPr>
          <w:rFonts w:ascii="Times New Roman" w:hAnsi="Times New Roman" w:cs="Times New Roman"/>
          <w:spacing w:val="-4"/>
        </w:rPr>
        <w:t xml:space="preserve"> </w:t>
      </w:r>
      <w:r w:rsidRPr="007A3FDD">
        <w:rPr>
          <w:rFonts w:ascii="Times New Roman" w:hAnsi="Times New Roman" w:cs="Times New Roman"/>
        </w:rPr>
        <w:t>alternatives</w:t>
      </w:r>
      <w:r w:rsidRPr="007A3FDD">
        <w:rPr>
          <w:rFonts w:ascii="Times New Roman" w:hAnsi="Times New Roman" w:cs="Times New Roman"/>
          <w:spacing w:val="-3"/>
        </w:rPr>
        <w:t xml:space="preserve"> </w:t>
      </w:r>
      <w:r w:rsidRPr="007A3FDD">
        <w:rPr>
          <w:rFonts w:ascii="Times New Roman" w:hAnsi="Times New Roman" w:cs="Times New Roman"/>
        </w:rPr>
        <w:t>to</w:t>
      </w:r>
      <w:r w:rsidRPr="007A3FDD">
        <w:rPr>
          <w:rFonts w:ascii="Times New Roman" w:hAnsi="Times New Roman" w:cs="Times New Roman"/>
          <w:spacing w:val="-3"/>
        </w:rPr>
        <w:t xml:space="preserve"> </w:t>
      </w:r>
      <w:r w:rsidRPr="007A3FDD">
        <w:rPr>
          <w:rFonts w:ascii="Times New Roman" w:hAnsi="Times New Roman" w:cs="Times New Roman"/>
        </w:rPr>
        <w:t>such</w:t>
      </w:r>
      <w:r w:rsidRPr="007A3FDD">
        <w:rPr>
          <w:rFonts w:ascii="Times New Roman" w:hAnsi="Times New Roman" w:cs="Times New Roman"/>
          <w:spacing w:val="-3"/>
        </w:rPr>
        <w:t xml:space="preserve"> </w:t>
      </w:r>
      <w:r w:rsidRPr="007A3FDD">
        <w:rPr>
          <w:rFonts w:ascii="Times New Roman" w:hAnsi="Times New Roman" w:cs="Times New Roman"/>
        </w:rPr>
        <w:t>drug</w:t>
      </w:r>
      <w:r w:rsidRPr="007A3FDD">
        <w:rPr>
          <w:rFonts w:ascii="Times New Roman" w:hAnsi="Times New Roman" w:cs="Times New Roman"/>
          <w:spacing w:val="-3"/>
        </w:rPr>
        <w:t xml:space="preserve"> </w:t>
      </w:r>
      <w:r w:rsidRPr="007A3FDD">
        <w:rPr>
          <w:rFonts w:ascii="Times New Roman" w:hAnsi="Times New Roman" w:cs="Times New Roman"/>
        </w:rPr>
        <w:t>address unmet medical needs for a condition for which treatment or diagnosis is not addressed adequately by available therapy.</w:t>
      </w:r>
    </w:p>
    <w:p w:rsidR="00971F1A" w:rsidP="00D45546" w14:paraId="21F7CDA0" w14:textId="5D3D3372">
      <w:pPr>
        <w:pStyle w:val="Heading2"/>
      </w:pPr>
      <w:r>
        <w:t>2. Information Users</w:t>
      </w:r>
    </w:p>
    <w:p w:rsidR="00437FA1" w:rsidP="6B370752" w14:paraId="623E94C1" w14:textId="518144A7">
      <w:r w:rsidRPr="6B370752">
        <w:t xml:space="preserve">Under the authority of </w:t>
      </w:r>
      <w:r w:rsidR="00197663">
        <w:t>s</w:t>
      </w:r>
      <w:r w:rsidRPr="6B370752">
        <w:t>ections 1193 and 1194 of the Act, CMS is authorized to collect data and information require</w:t>
      </w:r>
      <w:r w:rsidR="00A02074">
        <w:t>d</w:t>
      </w:r>
      <w:r w:rsidRPr="6B370752">
        <w:t xml:space="preserve"> for negotiation. CMS will use the submitted information to negotiate with the </w:t>
      </w:r>
      <w:r w:rsidR="0084157E">
        <w:t>Primary Manufacturer</w:t>
      </w:r>
      <w:r w:rsidRPr="6B370752" w:rsidR="0084157E">
        <w:t xml:space="preserve"> </w:t>
      </w:r>
      <w:r w:rsidRPr="6B370752">
        <w:t xml:space="preserve">to achieve the lowest </w:t>
      </w:r>
      <w:r w:rsidR="00A02074">
        <w:t>MFP</w:t>
      </w:r>
      <w:r w:rsidRPr="6B370752">
        <w:t xml:space="preserve"> for each selected drug. </w:t>
      </w:r>
    </w:p>
    <w:p w:rsidR="34A0DA8E" w:rsidRPr="00D45546" w:rsidP="00D45546" w14:paraId="34509820" w14:textId="0FEB8910">
      <w:pPr>
        <w:pStyle w:val="Heading2"/>
      </w:pPr>
      <w:r w:rsidRPr="00A06A23">
        <w:t>3. Use of Information Technology</w:t>
      </w:r>
    </w:p>
    <w:p w:rsidR="34A0DA8E" w:rsidP="001571CF" w14:paraId="40D4CDD2" w14:textId="02058570">
      <w:pPr>
        <w:pStyle w:val="Header3"/>
      </w:pPr>
      <w:r w:rsidRPr="34A0DA8E">
        <w:t>Manufacturer-Specific Data</w:t>
      </w:r>
    </w:p>
    <w:p w:rsidR="007552EB" w:rsidP="7CC8573F" w14:paraId="7F48F31C" w14:textId="5C772A61">
      <w:pPr>
        <w:rPr>
          <w:color w:val="000000" w:themeColor="text1"/>
        </w:rPr>
      </w:pPr>
      <w:r>
        <w:t xml:space="preserve">CMS intends to develop an automated tool within an existing information technology system, the </w:t>
      </w:r>
      <w:r w:rsidR="00C05707">
        <w:t xml:space="preserve">CMS </w:t>
      </w:r>
      <w:r>
        <w:t>Health Plan Management System (</w:t>
      </w:r>
      <w:r w:rsidR="00BA4CA8">
        <w:t xml:space="preserve">CMS </w:t>
      </w:r>
      <w:r>
        <w:t xml:space="preserve">HPMS), for </w:t>
      </w:r>
      <w:r w:rsidR="002A2BF5">
        <w:t>Primary</w:t>
      </w:r>
      <w:r w:rsidR="0075574B">
        <w:t xml:space="preserve"> </w:t>
      </w:r>
      <w:r w:rsidR="00B718B1">
        <w:t>M</w:t>
      </w:r>
      <w:r>
        <w:t xml:space="preserve">anufacturers to </w:t>
      </w:r>
      <w:r w:rsidR="00B718B1">
        <w:t>provide</w:t>
      </w:r>
      <w:r>
        <w:t xml:space="preserve"> </w:t>
      </w:r>
      <w:r w:rsidR="00CA334F">
        <w:t>manufacturer-specific data</w:t>
      </w:r>
      <w:r>
        <w:t xml:space="preserve">. Manufacturers of Medicare Part D drugs currently use this system for </w:t>
      </w:r>
      <w:r w:rsidR="34E54C13">
        <w:t>other</w:t>
      </w:r>
      <w:r w:rsidR="00B718B1">
        <w:t xml:space="preserve"> Part D</w:t>
      </w:r>
      <w:r>
        <w:t xml:space="preserve"> program needs. </w:t>
      </w:r>
      <w:r w:rsidR="00A02B6A">
        <w:t>Th</w:t>
      </w:r>
      <w:r w:rsidR="00FA2DFA">
        <w:t>e</w:t>
      </w:r>
      <w:r w:rsidR="00A02B6A">
        <w:t xml:space="preserve"> new tool is scheduled to be available by September 1, 2023 (the first day that data about </w:t>
      </w:r>
      <w:r w:rsidR="0084157E">
        <w:t xml:space="preserve">each </w:t>
      </w:r>
      <w:r w:rsidR="00A02B6A">
        <w:t>selected drug and alternative treatments may be submitted</w:t>
      </w:r>
      <w:r w:rsidR="0051735F">
        <w:t>)</w:t>
      </w:r>
      <w:r w:rsidR="00A02B6A">
        <w:t>.</w:t>
      </w:r>
      <w:r w:rsidR="00A1317A">
        <w:t xml:space="preserve"> </w:t>
      </w:r>
      <w:r w:rsidRPr="00E40CEA" w:rsidR="00A02B6A">
        <w:rPr>
          <w:color w:val="000000" w:themeColor="text1"/>
        </w:rPr>
        <w:t xml:space="preserve">Instructions for </w:t>
      </w:r>
      <w:r w:rsidR="00A02B6A">
        <w:rPr>
          <w:color w:val="000000" w:themeColor="text1"/>
        </w:rPr>
        <w:t xml:space="preserve">manufacturers to </w:t>
      </w:r>
      <w:r w:rsidRPr="00E40CEA" w:rsidR="00A02B6A">
        <w:rPr>
          <w:color w:val="000000" w:themeColor="text1"/>
        </w:rPr>
        <w:t xml:space="preserve">gain access </w:t>
      </w:r>
      <w:r w:rsidR="009E20A1">
        <w:rPr>
          <w:color w:val="000000" w:themeColor="text1"/>
        </w:rPr>
        <w:t xml:space="preserve">to CMS HPMS </w:t>
      </w:r>
      <w:r w:rsidRPr="00E40CEA" w:rsidR="00A02B6A">
        <w:rPr>
          <w:color w:val="000000" w:themeColor="text1"/>
        </w:rPr>
        <w:t xml:space="preserve">are available at: </w:t>
      </w:r>
      <w:hyperlink r:id="rId9" w:history="1">
        <w:r w:rsidRPr="00783F4F" w:rsidR="0050707D">
          <w:rPr>
            <w:rStyle w:val="Hyperlink"/>
          </w:rPr>
          <w:t>https://www.cms.gov/Research-Statistics-Data-and-Systems/Computer-Data-and-Systems/HPMS/UserIDProcess</w:t>
        </w:r>
      </w:hyperlink>
      <w:r w:rsidRPr="00E40CEA" w:rsidR="00A02B6A">
        <w:rPr>
          <w:color w:val="000000" w:themeColor="text1"/>
        </w:rPr>
        <w:t>.</w:t>
      </w:r>
      <w:r w:rsidRPr="009F0D71" w:rsidR="00A02B6A">
        <w:rPr>
          <w:color w:val="000000" w:themeColor="text1"/>
        </w:rPr>
        <w:t xml:space="preserve"> </w:t>
      </w:r>
    </w:p>
    <w:p w:rsidR="7CC8573F" w:rsidP="7CC8573F" w14:paraId="05B6BFFB" w14:textId="2B5373D4">
      <w:r>
        <w:t>To the extent th</w:t>
      </w:r>
      <w:r w:rsidR="007552EB">
        <w:t>e</w:t>
      </w:r>
      <w:r>
        <w:t xml:space="preserve"> </w:t>
      </w:r>
      <w:r w:rsidR="007552EB">
        <w:t xml:space="preserve">CMS HPMS </w:t>
      </w:r>
      <w:r>
        <w:t>tool is available</w:t>
      </w:r>
      <w:r w:rsidR="009E20A1">
        <w:t xml:space="preserve"> by September 1, 2023</w:t>
      </w:r>
      <w:r>
        <w:t>, t</w:t>
      </w:r>
      <w:r>
        <w:rPr>
          <w:color w:val="000000" w:themeColor="text1"/>
        </w:rPr>
        <w:t>his ICR form</w:t>
      </w:r>
      <w:r w:rsidRPr="00E40CEA">
        <w:rPr>
          <w:color w:val="000000" w:themeColor="text1"/>
        </w:rPr>
        <w:t xml:space="preserve"> must be submitted in the </w:t>
      </w:r>
      <w:r w:rsidR="007552EB">
        <w:rPr>
          <w:color w:val="000000" w:themeColor="text1"/>
        </w:rPr>
        <w:t xml:space="preserve">CMS </w:t>
      </w:r>
      <w:r w:rsidRPr="00E40CEA">
        <w:rPr>
          <w:color w:val="000000" w:themeColor="text1"/>
        </w:rPr>
        <w:t xml:space="preserve">HPMS. </w:t>
      </w:r>
      <w:r w:rsidR="00B718B1">
        <w:t>I</w:t>
      </w:r>
      <w:r w:rsidR="6B370752">
        <w:t xml:space="preserve">n the event that completion </w:t>
      </w:r>
      <w:r w:rsidR="007552EB">
        <w:t xml:space="preserve">of the CMS HPMS tool </w:t>
      </w:r>
      <w:r w:rsidR="6B370752">
        <w:t xml:space="preserve">is delayed, </w:t>
      </w:r>
      <w:r w:rsidR="007552EB">
        <w:t xml:space="preserve">submission of </w:t>
      </w:r>
      <w:r w:rsidR="6B370752">
        <w:t xml:space="preserve">responses to this ICR </w:t>
      </w:r>
      <w:r w:rsidR="007552EB">
        <w:t xml:space="preserve">via the CMS HPMS tool </w:t>
      </w:r>
      <w:r w:rsidR="009E54CB">
        <w:t>will be</w:t>
      </w:r>
      <w:r w:rsidR="007552EB">
        <w:t xml:space="preserve"> optional and encouraged when the tool becomes available after September 1, 2023 for initial price applicability year 2026. If CMS HPMS is not used for submission because the CMS HPMS tool is delayed, responses to this ICR </w:t>
      </w:r>
      <w:r w:rsidR="009E54CB">
        <w:t xml:space="preserve">should </w:t>
      </w:r>
      <w:r w:rsidR="007552EB">
        <w:t>sent</w:t>
      </w:r>
      <w:r w:rsidR="0011029C">
        <w:t xml:space="preserve"> </w:t>
      </w:r>
      <w:r w:rsidR="6B370752">
        <w:t xml:space="preserve">by </w:t>
      </w:r>
      <w:r w:rsidR="00A17423">
        <w:t>e</w:t>
      </w:r>
      <w:r w:rsidR="6B370752">
        <w:t>mail</w:t>
      </w:r>
      <w:r w:rsidR="00A17423">
        <w:t xml:space="preserve"> </w:t>
      </w:r>
      <w:r w:rsidR="009E54CB">
        <w:t>to</w:t>
      </w:r>
      <w:r w:rsidRPr="00C11C0D" w:rsidR="00C11C0D">
        <w:t xml:space="preserve"> </w:t>
      </w:r>
      <w:r w:rsidRPr="00A25AF4" w:rsidR="00FC3572">
        <w:t>IRARebateandNego</w:t>
      </w:r>
      <w:bookmarkStart w:id="4" w:name="_GoBack"/>
      <w:bookmarkEnd w:id="4"/>
      <w:r w:rsidRPr="00A25AF4" w:rsidR="00FC3572">
        <w:t>tiation@cms.hhs.gov</w:t>
      </w:r>
      <w:r w:rsidRPr="00F145AD" w:rsidR="00C11C0D">
        <w:rPr>
          <w:rStyle w:val="Hyperlink"/>
          <w:u w:val="none"/>
        </w:rPr>
        <w:t xml:space="preserve"> </w:t>
      </w:r>
      <w:r w:rsidRPr="003F69D4" w:rsidR="00C11C0D">
        <w:rPr>
          <w:rStyle w:val="Hyperlink"/>
          <w:color w:val="auto"/>
          <w:u w:val="none"/>
        </w:rPr>
        <w:t xml:space="preserve">with the subject line “[Drug Name]: </w:t>
      </w:r>
      <w:r w:rsidRPr="003F69D4" w:rsidR="00F328B8">
        <w:rPr>
          <w:rStyle w:val="Hyperlink"/>
          <w:color w:val="auto"/>
          <w:u w:val="none"/>
        </w:rPr>
        <w:t>Manufacturer-Submitted Evidence”</w:t>
      </w:r>
      <w:r w:rsidR="007552EB">
        <w:rPr>
          <w:rStyle w:val="Hyperlink"/>
          <w:color w:val="auto"/>
          <w:u w:val="none"/>
        </w:rPr>
        <w:t xml:space="preserve"> by October 2, 2023 for initial price applicability year 2026.</w:t>
      </w:r>
      <w:r w:rsidRPr="003F69D4" w:rsidR="00F328B8">
        <w:rPr>
          <w:rStyle w:val="Hyperlink"/>
          <w:color w:val="auto"/>
          <w:u w:val="none"/>
        </w:rPr>
        <w:t xml:space="preserve"> </w:t>
      </w:r>
    </w:p>
    <w:p w:rsidR="003A7F6E" w:rsidRPr="00D45546" w:rsidP="00D45546" w14:paraId="2CB6941F" w14:textId="34409536">
      <w:pPr>
        <w:pStyle w:val="Header3"/>
      </w:pPr>
      <w:r w:rsidRPr="34A0DA8E">
        <w:t>Evidence About Alternative Treatments</w:t>
      </w:r>
    </w:p>
    <w:p w:rsidR="004D6F14" w:rsidP="00552488" w14:paraId="562085FC" w14:textId="4E5B1639">
      <w:r>
        <w:t xml:space="preserve">The </w:t>
      </w:r>
      <w:r w:rsidR="00446373">
        <w:t xml:space="preserve">Primary Manufacturer </w:t>
      </w:r>
      <w:r>
        <w:t xml:space="preserve">of </w:t>
      </w:r>
      <w:r w:rsidR="00446373">
        <w:t>a</w:t>
      </w:r>
      <w:r>
        <w:t xml:space="preserve"> selected drug </w:t>
      </w:r>
      <w:r w:rsidR="00427D34">
        <w:t xml:space="preserve">may </w:t>
      </w:r>
      <w:r>
        <w:t xml:space="preserve">optionally submit any evidence about alternative treatments as part of their larger data submission in </w:t>
      </w:r>
      <w:r w:rsidR="00BA4CA8">
        <w:t xml:space="preserve">CMS </w:t>
      </w:r>
      <w:r>
        <w:t xml:space="preserve">HPMS. </w:t>
      </w:r>
      <w:r w:rsidRPr="00E40CEA" w:rsidR="004E6F53">
        <w:rPr>
          <w:color w:val="000000" w:themeColor="text1"/>
        </w:rPr>
        <w:t xml:space="preserve">Instructions for </w:t>
      </w:r>
      <w:r w:rsidR="004E6F53">
        <w:rPr>
          <w:color w:val="000000" w:themeColor="text1"/>
        </w:rPr>
        <w:t xml:space="preserve">manufacturers to </w:t>
      </w:r>
      <w:r w:rsidRPr="00E40CEA" w:rsidR="004E6F53">
        <w:rPr>
          <w:color w:val="000000" w:themeColor="text1"/>
        </w:rPr>
        <w:t xml:space="preserve">gain access </w:t>
      </w:r>
      <w:r w:rsidR="004E6F53">
        <w:rPr>
          <w:color w:val="000000" w:themeColor="text1"/>
        </w:rPr>
        <w:t xml:space="preserve">to </w:t>
      </w:r>
      <w:r w:rsidR="00FC3572">
        <w:rPr>
          <w:color w:val="000000" w:themeColor="text1"/>
        </w:rPr>
        <w:t xml:space="preserve">CMS </w:t>
      </w:r>
      <w:r w:rsidR="004E6F53">
        <w:rPr>
          <w:color w:val="000000" w:themeColor="text1"/>
        </w:rPr>
        <w:t>HPMS</w:t>
      </w:r>
      <w:r w:rsidRPr="00E40CEA" w:rsidR="004E6F53">
        <w:rPr>
          <w:color w:val="000000" w:themeColor="text1"/>
        </w:rPr>
        <w:t xml:space="preserve"> are available at: </w:t>
      </w:r>
      <w:hyperlink r:id="rId9" w:history="1">
        <w:r w:rsidRPr="0011029C" w:rsidR="004E6F53">
          <w:rPr>
            <w:rStyle w:val="Hyperlink"/>
          </w:rPr>
          <w:t>https://www.cms.gov/Research-Statistics-Data-and-Systems/Computer-Data-and-Systems/HPMS/UserIDProcess</w:t>
        </w:r>
      </w:hyperlink>
      <w:r w:rsidRPr="00E40CEA" w:rsidR="004E6F53">
        <w:rPr>
          <w:color w:val="000000" w:themeColor="text1"/>
        </w:rPr>
        <w:t>.</w:t>
      </w:r>
      <w:r w:rsidRPr="009F0D71" w:rsidR="004E6F53">
        <w:rPr>
          <w:color w:val="000000" w:themeColor="text1"/>
        </w:rPr>
        <w:t xml:space="preserve"> </w:t>
      </w:r>
    </w:p>
    <w:p w:rsidR="00D559BD" w:rsidP="00552488" w14:paraId="023B877E" w14:textId="1CDA5196">
      <w:r w:rsidRPr="00B70AC1">
        <w:t xml:space="preserve">Members of the public may optionally submit evidence about alternative treatments via </w:t>
      </w:r>
      <w:r w:rsidR="00583130">
        <w:t>a</w:t>
      </w:r>
      <w:r w:rsidRPr="00B70AC1">
        <w:t xml:space="preserve"> publicly</w:t>
      </w:r>
      <w:r w:rsidR="00FC3572">
        <w:t xml:space="preserve"> </w:t>
      </w:r>
      <w:r w:rsidRPr="00B70AC1">
        <w:t>available</w:t>
      </w:r>
      <w:r w:rsidR="00C1606C">
        <w:t xml:space="preserve"> web link</w:t>
      </w:r>
      <w:r w:rsidRPr="00B70AC1">
        <w:t xml:space="preserve"> </w:t>
      </w:r>
      <w:r w:rsidR="00C05707">
        <w:t xml:space="preserve">that will be </w:t>
      </w:r>
      <w:r w:rsidR="00583130">
        <w:t xml:space="preserve">posted on CMS.gov and the </w:t>
      </w:r>
      <w:r w:rsidR="00BA4CA8">
        <w:t xml:space="preserve">CMS </w:t>
      </w:r>
      <w:r w:rsidRPr="00B70AC1">
        <w:t>HPMS landing page (</w:t>
      </w:r>
      <w:hyperlink r:id="rId10" w:history="1">
        <w:r w:rsidRPr="00F23E84" w:rsidR="00A02074">
          <w:rPr>
            <w:rStyle w:val="Hyperlink"/>
          </w:rPr>
          <w:t>https://hpms.cms.gov</w:t>
        </w:r>
      </w:hyperlink>
      <w:r w:rsidRPr="00BA4CA8">
        <w:t xml:space="preserve">). </w:t>
      </w:r>
      <w:r w:rsidRPr="00BA4CA8" w:rsidR="00BA4CA8">
        <w:rPr>
          <w:iCs/>
        </w:rPr>
        <w:t xml:space="preserve">In order to access the questions in </w:t>
      </w:r>
      <w:r w:rsidR="00197663">
        <w:rPr>
          <w:iCs/>
        </w:rPr>
        <w:t>s</w:t>
      </w:r>
      <w:r w:rsidRPr="00BA4CA8" w:rsidR="00BA4CA8">
        <w:rPr>
          <w:iCs/>
        </w:rPr>
        <w:t xml:space="preserve">ections I and J through the web link, the respondent must provide an email address. A confirmation email message from CMS will be sent to the respondent-provided email address and the respondent must follow the steps contained in the email message to </w:t>
      </w:r>
      <w:r w:rsidRPr="004D6F14" w:rsidR="00BA4CA8">
        <w:rPr>
          <w:iCs/>
        </w:rPr>
        <w:t>obtain</w:t>
      </w:r>
      <w:r w:rsidRPr="00BA4CA8" w:rsidR="00BA4CA8">
        <w:rPr>
          <w:iCs/>
          <w:color w:val="FF0000"/>
        </w:rPr>
        <w:t xml:space="preserve"> </w:t>
      </w:r>
      <w:r w:rsidRPr="00BA4CA8" w:rsidR="00BA4CA8">
        <w:rPr>
          <w:iCs/>
        </w:rPr>
        <w:t xml:space="preserve">access to the questions in </w:t>
      </w:r>
      <w:r w:rsidR="00197663">
        <w:rPr>
          <w:iCs/>
        </w:rPr>
        <w:t>s</w:t>
      </w:r>
      <w:r w:rsidRPr="00BA4CA8" w:rsidR="00BA4CA8">
        <w:rPr>
          <w:iCs/>
        </w:rPr>
        <w:t xml:space="preserve">ections I and J. Additional instructions to access this public web application will be forthcoming from CMS and made available on CMS.gov. </w:t>
      </w:r>
    </w:p>
    <w:p w:rsidR="00BA4CA8" w:rsidRPr="00D45546" w:rsidP="005B722A" w14:paraId="26BBA8A0" w14:textId="732B8804">
      <w:r w:rsidRPr="00B70AC1">
        <w:t xml:space="preserve">This </w:t>
      </w:r>
      <w:r w:rsidR="00C05707">
        <w:t>publicly</w:t>
      </w:r>
      <w:r w:rsidR="00FC3572">
        <w:t xml:space="preserve"> </w:t>
      </w:r>
      <w:r w:rsidR="00C05707">
        <w:t xml:space="preserve">available </w:t>
      </w:r>
      <w:r w:rsidRPr="00B70AC1">
        <w:t xml:space="preserve">tool is scheduled to be available by September 1, 2023 (the first day that data about </w:t>
      </w:r>
      <w:r w:rsidR="00446373">
        <w:t>each</w:t>
      </w:r>
      <w:r w:rsidRPr="00B70AC1">
        <w:t xml:space="preserve"> selected drug and alternative treatments may be submitted).</w:t>
      </w:r>
      <w:r>
        <w:t xml:space="preserve"> </w:t>
      </w:r>
      <w:r w:rsidR="00D559BD">
        <w:t xml:space="preserve">To the extent the public tool is available by September 1, 2023, responses to questions in </w:t>
      </w:r>
      <w:r w:rsidR="00197663">
        <w:t>s</w:t>
      </w:r>
      <w:r w:rsidR="00D559BD">
        <w:t>ection</w:t>
      </w:r>
      <w:r w:rsidR="005B722A">
        <w:t>s</w:t>
      </w:r>
      <w:r w:rsidR="00D559BD">
        <w:t xml:space="preserve"> I and J of this </w:t>
      </w:r>
      <w:r w:rsidR="00D559BD">
        <w:rPr>
          <w:color w:val="000000" w:themeColor="text1"/>
        </w:rPr>
        <w:t>ICR form</w:t>
      </w:r>
      <w:r w:rsidRPr="00E40CEA" w:rsidR="00D559BD">
        <w:rPr>
          <w:color w:val="000000" w:themeColor="text1"/>
        </w:rPr>
        <w:t xml:space="preserve"> must be submitted </w:t>
      </w:r>
      <w:r w:rsidR="00D559BD">
        <w:rPr>
          <w:color w:val="000000" w:themeColor="text1"/>
        </w:rPr>
        <w:t>via the publicly</w:t>
      </w:r>
      <w:r w:rsidR="00FC3572">
        <w:rPr>
          <w:color w:val="000000" w:themeColor="text1"/>
        </w:rPr>
        <w:t xml:space="preserve"> </w:t>
      </w:r>
      <w:r w:rsidR="00D559BD">
        <w:rPr>
          <w:color w:val="000000" w:themeColor="text1"/>
        </w:rPr>
        <w:t>available web link</w:t>
      </w:r>
      <w:r w:rsidRPr="00E40CEA" w:rsidR="00D559BD">
        <w:rPr>
          <w:color w:val="000000" w:themeColor="text1"/>
        </w:rPr>
        <w:t xml:space="preserve">. </w:t>
      </w:r>
      <w:r w:rsidR="00D559BD">
        <w:t xml:space="preserve">In the event that completion of the public tool is delayed, submission of responses to </w:t>
      </w:r>
      <w:r w:rsidR="00223A07">
        <w:t xml:space="preserve">questions in </w:t>
      </w:r>
      <w:r w:rsidR="00197663">
        <w:t>s</w:t>
      </w:r>
      <w:r w:rsidR="005B722A">
        <w:t xml:space="preserve">ections I and J of this </w:t>
      </w:r>
      <w:r w:rsidR="00D559BD">
        <w:t xml:space="preserve">ICR via the </w:t>
      </w:r>
      <w:r w:rsidR="005B722A">
        <w:t>publicly</w:t>
      </w:r>
      <w:r w:rsidR="00FC3572">
        <w:t xml:space="preserve"> </w:t>
      </w:r>
      <w:r w:rsidR="005B722A">
        <w:t>available web link</w:t>
      </w:r>
      <w:r w:rsidR="00D559BD">
        <w:t xml:space="preserve"> will be optional and encouraged when the tool becomes available after September 1, 2023 for initial price applicability year 2026. If </w:t>
      </w:r>
      <w:r w:rsidR="00223A07">
        <w:t>the publicly</w:t>
      </w:r>
      <w:r w:rsidR="00FC3572">
        <w:t xml:space="preserve"> </w:t>
      </w:r>
      <w:r w:rsidR="00223A07">
        <w:t xml:space="preserve">available </w:t>
      </w:r>
      <w:r w:rsidR="005B722A">
        <w:t>web link</w:t>
      </w:r>
      <w:r w:rsidR="00D559BD">
        <w:t xml:space="preserve"> is not used for submission because the </w:t>
      </w:r>
      <w:r w:rsidR="005B722A">
        <w:t>public</w:t>
      </w:r>
      <w:r w:rsidR="00D559BD">
        <w:t xml:space="preserve"> tool is delayed, responses to </w:t>
      </w:r>
      <w:r w:rsidR="005B722A">
        <w:t xml:space="preserve">questions in </w:t>
      </w:r>
      <w:r w:rsidR="00197663">
        <w:t>s</w:t>
      </w:r>
      <w:r w:rsidR="005B722A">
        <w:t xml:space="preserve">ections I and J of </w:t>
      </w:r>
      <w:r w:rsidR="00552488">
        <w:t xml:space="preserve">this ICR </w:t>
      </w:r>
      <w:r w:rsidR="00223A07">
        <w:t xml:space="preserve">should be sent </w:t>
      </w:r>
      <w:r w:rsidR="00552488">
        <w:t xml:space="preserve">by </w:t>
      </w:r>
      <w:r w:rsidR="00C37620">
        <w:t>e-</w:t>
      </w:r>
      <w:r w:rsidR="00552488">
        <w:t>mail</w:t>
      </w:r>
      <w:r w:rsidR="00C37620">
        <w:t xml:space="preserve"> </w:t>
      </w:r>
      <w:r w:rsidR="00223A07">
        <w:t>to</w:t>
      </w:r>
      <w:r w:rsidR="00C37620">
        <w:t xml:space="preserve"> </w:t>
      </w:r>
      <w:r w:rsidRPr="00197663" w:rsidR="00FC3572">
        <w:t>IRARebateandNegotiation@cms.hhs.gov</w:t>
      </w:r>
      <w:r w:rsidR="0011029C">
        <w:t xml:space="preserve"> </w:t>
      </w:r>
      <w:r w:rsidRPr="0011029C" w:rsidR="0011029C">
        <w:t>with the subject line “[Drug Name]: Evidence About Alternative Treatments”</w:t>
      </w:r>
      <w:r w:rsidR="005B722A">
        <w:t xml:space="preserve"> </w:t>
      </w:r>
      <w:r w:rsidR="00223A07">
        <w:t xml:space="preserve">by October 2, 2023 </w:t>
      </w:r>
      <w:r w:rsidR="005B722A">
        <w:t>for initial price applicability year 2026.</w:t>
      </w:r>
    </w:p>
    <w:p w:rsidR="005E5AAF" w:rsidP="00D45546" w14:paraId="29478092" w14:textId="681A63B0">
      <w:pPr>
        <w:pStyle w:val="Heading2"/>
      </w:pPr>
      <w:r>
        <w:t xml:space="preserve">4. Duplication of Efforts </w:t>
      </w:r>
    </w:p>
    <w:p w:rsidR="00C20F3E" w:rsidRPr="00C20F3E" w:rsidP="001571CF" w14:paraId="72915F85" w14:textId="02058570">
      <w:pPr>
        <w:pStyle w:val="Header3"/>
      </w:pPr>
      <w:r w:rsidRPr="00C20F3E">
        <w:t>Manufacturer-Specific Data</w:t>
      </w:r>
    </w:p>
    <w:p w:rsidR="00DF50B9" w:rsidP="00F31D33" w14:paraId="3BDE309D" w14:textId="46BB24B5">
      <w:pPr>
        <w:tabs>
          <w:tab w:val="left" w:pos="720"/>
        </w:tabs>
        <w:suppressAutoHyphens/>
        <w:spacing w:line="240" w:lineRule="atLeast"/>
      </w:pPr>
      <w:r>
        <w:t>Some manufacturer</w:t>
      </w:r>
      <w:r w:rsidR="00C20F3E">
        <w:t>-specific data described in section</w:t>
      </w:r>
      <w:r w:rsidR="002C1D71">
        <w:t>s 1193(a)(4) and</w:t>
      </w:r>
      <w:r w:rsidR="00C20F3E">
        <w:t xml:space="preserve"> 1194(e)(1) </w:t>
      </w:r>
      <w:r>
        <w:t>of the Act may already be collected from manufacturers</w:t>
      </w:r>
      <w:r w:rsidR="00EA70D9">
        <w:t xml:space="preserve"> by CMS or other federal agencies</w:t>
      </w:r>
      <w:r>
        <w:t xml:space="preserve">. </w:t>
      </w:r>
      <w:r w:rsidR="00FE46BE">
        <w:t>For example, d</w:t>
      </w:r>
      <w:r w:rsidR="006271D1">
        <w:t>rug</w:t>
      </w:r>
      <w:r w:rsidR="006271D1">
        <w:rPr>
          <w:spacing w:val="-2"/>
        </w:rPr>
        <w:t xml:space="preserve"> </w:t>
      </w:r>
      <w:r w:rsidR="006271D1">
        <w:t>manufacturers</w:t>
      </w:r>
      <w:r w:rsidR="006271D1">
        <w:rPr>
          <w:spacing w:val="-3"/>
        </w:rPr>
        <w:t xml:space="preserve"> </w:t>
      </w:r>
      <w:r w:rsidR="006271D1">
        <w:t>currently</w:t>
      </w:r>
      <w:r w:rsidR="006271D1">
        <w:rPr>
          <w:spacing w:val="-3"/>
        </w:rPr>
        <w:t xml:space="preserve"> </w:t>
      </w:r>
      <w:r w:rsidR="006271D1">
        <w:t>submit</w:t>
      </w:r>
      <w:r w:rsidR="006271D1">
        <w:rPr>
          <w:spacing w:val="-4"/>
        </w:rPr>
        <w:t xml:space="preserve"> </w:t>
      </w:r>
      <w:r w:rsidR="006271D1">
        <w:t>data</w:t>
      </w:r>
      <w:r w:rsidR="006271D1">
        <w:rPr>
          <w:spacing w:val="-3"/>
        </w:rPr>
        <w:t xml:space="preserve"> </w:t>
      </w:r>
      <w:r w:rsidR="006271D1">
        <w:t>related</w:t>
      </w:r>
      <w:r w:rsidR="006271D1">
        <w:rPr>
          <w:spacing w:val="-5"/>
        </w:rPr>
        <w:t xml:space="preserve"> </w:t>
      </w:r>
      <w:r w:rsidR="006271D1">
        <w:t>to</w:t>
      </w:r>
      <w:r w:rsidR="006271D1">
        <w:rPr>
          <w:spacing w:val="-3"/>
        </w:rPr>
        <w:t xml:space="preserve"> </w:t>
      </w:r>
      <w:r w:rsidR="006271D1">
        <w:t>manufacturer</w:t>
      </w:r>
      <w:r w:rsidR="006271D1">
        <w:rPr>
          <w:spacing w:val="-3"/>
        </w:rPr>
        <w:t xml:space="preserve"> </w:t>
      </w:r>
      <w:r w:rsidR="006271D1">
        <w:t>financials,</w:t>
      </w:r>
      <w:r w:rsidR="006271D1">
        <w:rPr>
          <w:spacing w:val="-3"/>
        </w:rPr>
        <w:t xml:space="preserve"> </w:t>
      </w:r>
      <w:r w:rsidR="006271D1">
        <w:t>such</w:t>
      </w:r>
      <w:r w:rsidR="006271D1">
        <w:rPr>
          <w:spacing w:val="-3"/>
        </w:rPr>
        <w:t xml:space="preserve"> </w:t>
      </w:r>
      <w:r w:rsidR="006271D1">
        <w:t>as</w:t>
      </w:r>
      <w:r w:rsidR="006271D1">
        <w:rPr>
          <w:spacing w:val="-3"/>
        </w:rPr>
        <w:t xml:space="preserve"> </w:t>
      </w:r>
      <w:r w:rsidR="006271D1">
        <w:t>total</w:t>
      </w:r>
      <w:r w:rsidR="006271D1">
        <w:rPr>
          <w:spacing w:val="-3"/>
        </w:rPr>
        <w:t xml:space="preserve"> </w:t>
      </w:r>
      <w:r w:rsidR="007B12FB">
        <w:rPr>
          <w:spacing w:val="-3"/>
        </w:rPr>
        <w:t xml:space="preserve">net </w:t>
      </w:r>
      <w:r w:rsidR="006271D1">
        <w:t>revenue</w:t>
      </w:r>
      <w:r w:rsidR="006271D1">
        <w:rPr>
          <w:spacing w:val="-3"/>
        </w:rPr>
        <w:t xml:space="preserve"> </w:t>
      </w:r>
      <w:r w:rsidR="006271D1">
        <w:t>(e.g.,</w:t>
      </w:r>
      <w:r w:rsidR="006271D1">
        <w:rPr>
          <w:spacing w:val="-3"/>
        </w:rPr>
        <w:t xml:space="preserve"> </w:t>
      </w:r>
      <w:r w:rsidR="006271D1">
        <w:t>10-K</w:t>
      </w:r>
      <w:r w:rsidR="006271D1">
        <w:rPr>
          <w:spacing w:val="-4"/>
        </w:rPr>
        <w:t xml:space="preserve"> </w:t>
      </w:r>
      <w:r w:rsidR="006271D1">
        <w:t>filings</w:t>
      </w:r>
      <w:r w:rsidR="006271D1">
        <w:rPr>
          <w:spacing w:val="-4"/>
        </w:rPr>
        <w:t xml:space="preserve"> </w:t>
      </w:r>
      <w:r w:rsidR="006271D1">
        <w:t>with</w:t>
      </w:r>
      <w:r w:rsidR="006271D1">
        <w:rPr>
          <w:spacing w:val="-3"/>
        </w:rPr>
        <w:t xml:space="preserve"> </w:t>
      </w:r>
      <w:r w:rsidR="006271D1">
        <w:t>the</w:t>
      </w:r>
      <w:r w:rsidR="006271D1">
        <w:rPr>
          <w:spacing w:val="-3"/>
        </w:rPr>
        <w:t xml:space="preserve"> </w:t>
      </w:r>
      <w:r w:rsidR="006271D1">
        <w:t>Securities</w:t>
      </w:r>
      <w:r w:rsidR="006271D1">
        <w:rPr>
          <w:spacing w:val="-3"/>
        </w:rPr>
        <w:t xml:space="preserve"> </w:t>
      </w:r>
      <w:r w:rsidR="006271D1">
        <w:t xml:space="preserve">and Exchange Commission). </w:t>
      </w:r>
      <w:r w:rsidR="00FE46BE">
        <w:t>Additionally, i</w:t>
      </w:r>
      <w:r w:rsidR="006271D1">
        <w:t xml:space="preserve">n accordance with the terms of the National Drug Rebate Agreement and section 1927(b)(3)(A) of the Act, drug manufacturers participating in the Medicaid Drug Rebate Program (MDRP) are required to report Average Manufacturer Price (AMP) to CMS each quarter for </w:t>
      </w:r>
      <w:r w:rsidR="00BA0DB3">
        <w:t xml:space="preserve">their </w:t>
      </w:r>
      <w:r w:rsidR="006271D1">
        <w:t>covered outpatient</w:t>
      </w:r>
      <w:r w:rsidR="00B671CF">
        <w:t xml:space="preserve"> drugs</w:t>
      </w:r>
      <w:r w:rsidR="006271D1">
        <w:t>.</w:t>
      </w:r>
      <w:r w:rsidR="00762C37">
        <w:t xml:space="preserve"> </w:t>
      </w:r>
      <w:r w:rsidR="003C2BEB">
        <w:t xml:space="preserve">For </w:t>
      </w:r>
      <w:r w:rsidR="008B1C7D">
        <w:t>purposes of calculating the federal ceiling price</w:t>
      </w:r>
      <w:r w:rsidR="003C2BEB">
        <w:t>, d</w:t>
      </w:r>
      <w:r w:rsidR="00762C37">
        <w:t xml:space="preserve">rug manufacturers also </w:t>
      </w:r>
      <w:r w:rsidR="00F67DE2">
        <w:t xml:space="preserve">report the </w:t>
      </w:r>
      <w:r w:rsidR="003C2BEB">
        <w:t xml:space="preserve">quarterly and </w:t>
      </w:r>
      <w:r w:rsidR="00762C37">
        <w:t xml:space="preserve">annual non-Federal Average Manufacturer Price </w:t>
      </w:r>
      <w:r w:rsidR="00F67DE2">
        <w:t xml:space="preserve">on an annual basis </w:t>
      </w:r>
      <w:r w:rsidR="00762C37">
        <w:t>to the Department of Veterans Affairs</w:t>
      </w:r>
      <w:r w:rsidR="00F67DE2">
        <w:t xml:space="preserve"> (VA)</w:t>
      </w:r>
      <w:r w:rsidR="003C2BEB">
        <w:t>.</w:t>
      </w:r>
      <w:r w:rsidR="00762C37">
        <w:t xml:space="preserve"> </w:t>
      </w:r>
      <w:r w:rsidR="008B1C7D">
        <w:t xml:space="preserve">The </w:t>
      </w:r>
      <w:r w:rsidR="009955B7">
        <w:t>F</w:t>
      </w:r>
      <w:r w:rsidR="008B1C7D">
        <w:t xml:space="preserve">ederal </w:t>
      </w:r>
      <w:r w:rsidR="009955B7">
        <w:t>S</w:t>
      </w:r>
      <w:r w:rsidR="008B1C7D">
        <w:t xml:space="preserve">upply </w:t>
      </w:r>
      <w:r w:rsidR="009955B7">
        <w:t>S</w:t>
      </w:r>
      <w:r w:rsidR="008B1C7D">
        <w:t xml:space="preserve">chedule and the Big Four are prices negotiated </w:t>
      </w:r>
      <w:r w:rsidR="00F67DE2">
        <w:t xml:space="preserve">by the VA and available </w:t>
      </w:r>
      <w:r w:rsidR="008B1C7D">
        <w:t>publicly.</w:t>
      </w:r>
      <w:r w:rsidR="00EA70D9">
        <w:t xml:space="preserve"> </w:t>
      </w:r>
      <w:r w:rsidR="00BA0DB3">
        <w:t xml:space="preserve">In addition, </w:t>
      </w:r>
      <w:r>
        <w:t xml:space="preserve">some of the requested data may be publicly available, </w:t>
      </w:r>
      <w:r w:rsidR="00BA0DB3">
        <w:t xml:space="preserve">although </w:t>
      </w:r>
      <w:r>
        <w:t xml:space="preserve">CMS may not be able to ensure that such data are complete or up-to-date. </w:t>
      </w:r>
      <w:r w:rsidR="00BA0DB3">
        <w:t>A</w:t>
      </w:r>
      <w:r w:rsidRPr="001163D3" w:rsidR="001163D3">
        <w:t xml:space="preserve">s noted elsewhere, CMS has removed or revised certain requests for information </w:t>
      </w:r>
      <w:r w:rsidR="00BA0DB3">
        <w:t xml:space="preserve">from the draft ICR </w:t>
      </w:r>
      <w:r w:rsidRPr="001163D3" w:rsidR="001163D3">
        <w:t>to reduce burden</w:t>
      </w:r>
      <w:r w:rsidR="001163D3">
        <w:t>.</w:t>
      </w:r>
      <w:r w:rsidR="00BA0DB3">
        <w:t xml:space="preserve"> Ultimately, CMS believes that the Primary Manufacturer is best positioned to provide the requested data and the statute provides that manufacturers participating in the Negotiation Program will submit the requested data.</w:t>
      </w:r>
    </w:p>
    <w:p w:rsidR="00C20F3E" w:rsidRPr="00C20F3E" w:rsidP="001571CF" w14:paraId="3AE2887C" w14:textId="3B33BC81">
      <w:pPr>
        <w:pStyle w:val="Header3"/>
      </w:pPr>
      <w:r>
        <w:t>Evidence About Alternative Treatments</w:t>
      </w:r>
    </w:p>
    <w:p w:rsidR="00C20F3E" w:rsidRPr="00A211BB" w:rsidP="00D45546" w14:paraId="6B559A9A" w14:textId="0E3B03DF">
      <w:r>
        <w:t xml:space="preserve">The information collection of evidence about alternative treatments </w:t>
      </w:r>
      <w:r w:rsidR="00DD4C89">
        <w:t>required by</w:t>
      </w:r>
      <w:r>
        <w:t xml:space="preserve"> section 1194(e)(2) </w:t>
      </w:r>
      <w:r w:rsidR="00197663">
        <w:t xml:space="preserve">of the Act </w:t>
      </w:r>
      <w:r>
        <w:t>may be obtained through multiple sources</w:t>
      </w:r>
      <w:r w:rsidR="00D02C4E">
        <w:t>, such as a literature search or review of clinical guidelines,</w:t>
      </w:r>
      <w:r>
        <w:t xml:space="preserve"> and is </w:t>
      </w:r>
      <w:r w:rsidR="62663E04">
        <w:t xml:space="preserve">optional </w:t>
      </w:r>
      <w:r>
        <w:t xml:space="preserve">for </w:t>
      </w:r>
      <w:r w:rsidR="0097403F">
        <w:t>the Primary Manufacturer</w:t>
      </w:r>
      <w:r>
        <w:t xml:space="preserve"> </w:t>
      </w:r>
      <w:r w:rsidRPr="00093294">
        <w:t>and public</w:t>
      </w:r>
      <w:r w:rsidR="0097403F">
        <w:t xml:space="preserve"> to submit</w:t>
      </w:r>
      <w:r w:rsidRPr="00093294">
        <w:t>.</w:t>
      </w:r>
      <w:r w:rsidRPr="00093294" w:rsidR="00D746C2">
        <w:t xml:space="preserve"> CMS intends to consider clinical evidence available through literature searches</w:t>
      </w:r>
      <w:r w:rsidR="00DD4C89">
        <w:t xml:space="preserve">, </w:t>
      </w:r>
      <w:r w:rsidRPr="00C72EC7" w:rsidR="00D746C2">
        <w:t>widely accepted treatment guidelines</w:t>
      </w:r>
      <w:r w:rsidR="00DD4C89">
        <w:t>, subject matter experts</w:t>
      </w:r>
      <w:r w:rsidR="00B671CF">
        <w:t>,</w:t>
      </w:r>
      <w:r w:rsidR="00DD4C89">
        <w:t xml:space="preserve"> and clinical experts</w:t>
      </w:r>
      <w:r w:rsidR="00D903FC">
        <w:t xml:space="preserve"> (e.g., </w:t>
      </w:r>
      <w:r w:rsidR="00D903FC">
        <w:rPr>
          <w:color w:val="000000" w:themeColor="text1"/>
        </w:rPr>
        <w:t>Medicare beneficiaries, academic experts, clinicians, caregivers, patients or patient organizations, and other interested parties)</w:t>
      </w:r>
      <w:r w:rsidR="00DD4C89">
        <w:t>, and data analyses</w:t>
      </w:r>
      <w:r w:rsidRPr="00C72EC7" w:rsidR="00D746C2">
        <w:t>.</w:t>
      </w:r>
      <w:r w:rsidRPr="00093294" w:rsidR="00D746C2">
        <w:t xml:space="preserve"> </w:t>
      </w:r>
    </w:p>
    <w:p w:rsidR="00422759" w:rsidRPr="00F23CF0" w:rsidP="00D45546" w14:paraId="2AF41726" w14:textId="3D616431">
      <w:pPr>
        <w:pStyle w:val="Heading2"/>
      </w:pPr>
      <w:r>
        <w:t>5. Small Businesses</w:t>
      </w:r>
    </w:p>
    <w:p w:rsidR="00437FA1" w:rsidRPr="00F23CF0" w:rsidP="001571CF" w14:paraId="592D4555" w14:textId="0153CD8D">
      <w:r>
        <w:t xml:space="preserve">This collection of information has been designed with a view toward minimizing the reporting burden for </w:t>
      </w:r>
      <w:r w:rsidR="002A2BF5">
        <w:t>Primary</w:t>
      </w:r>
      <w:r w:rsidR="0075574B">
        <w:t xml:space="preserve"> </w:t>
      </w:r>
      <w:r>
        <w:t>Manufacturers</w:t>
      </w:r>
      <w:r w:rsidR="00D55A78">
        <w:t>, which are the only entities required to submit data</w:t>
      </w:r>
      <w:r w:rsidR="34A0DA8E">
        <w:t>. Only</w:t>
      </w:r>
      <w:r>
        <w:t xml:space="preserve"> drugs with the highest total expenditures </w:t>
      </w:r>
      <w:r w:rsidR="34A0DA8E">
        <w:t>under</w:t>
      </w:r>
      <w:r>
        <w:t xml:space="preserve"> Medicare Part D will be selected for negotiation</w:t>
      </w:r>
      <w:r w:rsidR="0097403F">
        <w:t xml:space="preserve"> for initial price applicability year 2026</w:t>
      </w:r>
      <w:r>
        <w:t xml:space="preserve">. </w:t>
      </w:r>
      <w:r w:rsidR="34A0DA8E">
        <w:t>Because of this</w:t>
      </w:r>
      <w:r w:rsidR="005F2423">
        <w:t xml:space="preserve"> basis for selection</w:t>
      </w:r>
      <w:r w:rsidR="34A0DA8E">
        <w:t xml:space="preserve"> </w:t>
      </w:r>
      <w:r w:rsidR="0097403F">
        <w:t>Primary M</w:t>
      </w:r>
      <w:r>
        <w:t xml:space="preserve">anufacturers </w:t>
      </w:r>
      <w:r w:rsidR="34A0DA8E">
        <w:t xml:space="preserve">with </w:t>
      </w:r>
      <w:r w:rsidR="005F2423">
        <w:t xml:space="preserve">selected drugs to which this ICR applies are manufacturers </w:t>
      </w:r>
      <w:r w:rsidR="34A0DA8E">
        <w:t xml:space="preserve">with high expenditures, </w:t>
      </w:r>
      <w:r w:rsidR="005F2423">
        <w:t>reducing</w:t>
      </w:r>
      <w:r w:rsidR="34A0DA8E">
        <w:t xml:space="preserve"> the </w:t>
      </w:r>
      <w:r w:rsidR="005F2423">
        <w:t>likelihood that the information collection imposes a</w:t>
      </w:r>
      <w:r w:rsidR="34A0DA8E">
        <w:t xml:space="preserve"> burden </w:t>
      </w:r>
      <w:r w:rsidR="005F2423">
        <w:t>on</w:t>
      </w:r>
      <w:r>
        <w:t xml:space="preserve"> small </w:t>
      </w:r>
      <w:r w:rsidR="34A0DA8E">
        <w:t xml:space="preserve">businesses. There is additionally an exception for small biotech drugs (the Small Biotech Exception; OMB </w:t>
      </w:r>
      <w:r w:rsidRPr="00974F95" w:rsidR="00974F95">
        <w:t>0938-NEW</w:t>
      </w:r>
      <w:r w:rsidR="34A0DA8E">
        <w:t xml:space="preserve">) that excludes </w:t>
      </w:r>
      <w:r w:rsidR="005F2423">
        <w:t xml:space="preserve">from selection </w:t>
      </w:r>
      <w:r w:rsidR="00191EED">
        <w:t xml:space="preserve">certain </w:t>
      </w:r>
      <w:r w:rsidR="34A0DA8E">
        <w:t xml:space="preserve">qualifying covered Part D drugs </w:t>
      </w:r>
      <w:r w:rsidR="006E4D5D">
        <w:t xml:space="preserve">based on Part D total expenditures </w:t>
      </w:r>
      <w:r w:rsidR="34A0DA8E">
        <w:t>from selection</w:t>
      </w:r>
      <w:r w:rsidR="00C601AF">
        <w:t xml:space="preserve"> </w:t>
      </w:r>
      <w:r w:rsidR="006C16A0">
        <w:t xml:space="preserve">in </w:t>
      </w:r>
      <w:r w:rsidR="00C601AF">
        <w:t>initial price applicability year 2026.</w:t>
      </w:r>
      <w:r w:rsidR="34A0DA8E">
        <w:t xml:space="preserve"> </w:t>
      </w:r>
      <w:r w:rsidR="00C601AF">
        <w:t>T</w:t>
      </w:r>
      <w:r w:rsidR="34A0DA8E">
        <w:t xml:space="preserve">his exception </w:t>
      </w:r>
      <w:r w:rsidR="005F2423">
        <w:t>further reduces the potential that the information collection would impose any</w:t>
      </w:r>
      <w:r w:rsidR="34A0DA8E">
        <w:t xml:space="preserve"> reporting burden </w:t>
      </w:r>
      <w:r w:rsidR="005F2423">
        <w:t>on</w:t>
      </w:r>
      <w:r w:rsidR="34A0DA8E">
        <w:t xml:space="preserve"> small businesses.</w:t>
      </w:r>
      <w:r>
        <w:t xml:space="preserve"> </w:t>
      </w:r>
      <w:r w:rsidR="005F2423">
        <w:t>Where a manufacturer is subject to the information collection t</w:t>
      </w:r>
      <w:r>
        <w:t xml:space="preserve">he impact of this collection on a </w:t>
      </w:r>
      <w:r w:rsidR="002A2BF5">
        <w:t>Primary</w:t>
      </w:r>
      <w:r w:rsidR="0075574B">
        <w:t xml:space="preserve"> </w:t>
      </w:r>
      <w:r>
        <w:t xml:space="preserve">Manufacturer </w:t>
      </w:r>
      <w:r w:rsidR="0097403F">
        <w:t>is</w:t>
      </w:r>
      <w:r>
        <w:t xml:space="preserve"> estimated to be the same regardless of the size of the </w:t>
      </w:r>
      <w:r w:rsidR="002A2BF5">
        <w:t>Primary</w:t>
      </w:r>
      <w:r w:rsidR="0075574B">
        <w:t xml:space="preserve"> </w:t>
      </w:r>
      <w:r>
        <w:t>Manufacturer.</w:t>
      </w:r>
      <w:r w:rsidR="00D55A78">
        <w:t xml:space="preserve"> </w:t>
      </w:r>
    </w:p>
    <w:p w:rsidR="00ED71FB" w:rsidP="00D45546" w14:paraId="24C4E5C5" w14:textId="07015B30">
      <w:pPr>
        <w:pStyle w:val="Heading2"/>
      </w:pPr>
      <w:r>
        <w:t>6. Less Frequent Collection</w:t>
      </w:r>
    </w:p>
    <w:p w:rsidR="00505592" w:rsidRPr="00505592" w:rsidP="001571CF" w14:paraId="4B6B4648" w14:textId="4E2BE62C">
      <w:pPr>
        <w:pStyle w:val="Header3"/>
      </w:pPr>
      <w:r>
        <w:t>Manufacturer-Specific Data</w:t>
      </w:r>
    </w:p>
    <w:p w:rsidR="00505592" w:rsidP="003439AA" w14:paraId="36AB2D81" w14:textId="5EA945E0">
      <w:r>
        <w:t xml:space="preserve">Forgoing collection of this information, or collecting the information less </w:t>
      </w:r>
      <w:r w:rsidR="6B370752">
        <w:t>frequent</w:t>
      </w:r>
      <w:r>
        <w:t>ly are</w:t>
      </w:r>
      <w:r w:rsidR="6B370752">
        <w:t xml:space="preserve"> not option</w:t>
      </w:r>
      <w:r>
        <w:t>s</w:t>
      </w:r>
      <w:r w:rsidR="6B370752">
        <w:t xml:space="preserve"> because </w:t>
      </w:r>
      <w:r w:rsidR="0097403F">
        <w:t xml:space="preserve">Primary Manufacturers </w:t>
      </w:r>
      <w:r>
        <w:t>are required to submit non-FAMP data and</w:t>
      </w:r>
      <w:r w:rsidR="003439AA">
        <w:t xml:space="preserve"> information</w:t>
      </w:r>
      <w:r>
        <w:t xml:space="preserve"> required to carry out negotiation per section </w:t>
      </w:r>
      <w:r w:rsidRPr="4143736D">
        <w:rPr>
          <w:color w:val="000000" w:themeColor="text1"/>
        </w:rPr>
        <w:t>1193(a)(4)</w:t>
      </w:r>
      <w:r w:rsidR="00937417">
        <w:rPr>
          <w:color w:val="000000" w:themeColor="text1"/>
        </w:rPr>
        <w:t xml:space="preserve"> of the Act</w:t>
      </w:r>
      <w:r>
        <w:t xml:space="preserve">. </w:t>
      </w:r>
      <w:r w:rsidR="005E6DA7">
        <w:t xml:space="preserve">Without these data, </w:t>
      </w:r>
      <w:r>
        <w:t xml:space="preserve">CMS would not be able to conduct drug price negotiations as directed by the IRA. </w:t>
      </w:r>
    </w:p>
    <w:p w:rsidR="00505592" w:rsidP="003439AA" w14:paraId="1DCFE49B" w14:textId="485F2A2F">
      <w:r w:rsidRPr="006D0F8D">
        <w:rPr>
          <w:rStyle w:val="normaltextrun"/>
          <w:color w:val="000000"/>
          <w:shd w:val="clear" w:color="auto" w:fill="FFFFFF"/>
        </w:rPr>
        <w:t xml:space="preserve">Pursuant to section 1197(c) of the Act, any Primary Manufacturer of a selected drug that has entered into an Agreement with CMS may be subject to a </w:t>
      </w:r>
      <w:r w:rsidRPr="006D0F8D" w:rsidR="00C329D1">
        <w:rPr>
          <w:rStyle w:val="normaltextrun"/>
          <w:color w:val="000000"/>
          <w:shd w:val="clear" w:color="auto" w:fill="FFFFFF"/>
        </w:rPr>
        <w:t>civil monetary penalty</w:t>
      </w:r>
      <w:r w:rsidRPr="006D0F8D">
        <w:rPr>
          <w:rStyle w:val="normaltextrun"/>
          <w:color w:val="000000"/>
          <w:shd w:val="clear" w:color="auto" w:fill="FFFFFF"/>
        </w:rPr>
        <w:t xml:space="preserve"> of $1,000,000 for each day of </w:t>
      </w:r>
      <w:r w:rsidRPr="006D0F8D" w:rsidR="00C329D1">
        <w:rPr>
          <w:rStyle w:val="normaltextrun"/>
          <w:color w:val="000000"/>
          <w:shd w:val="clear" w:color="auto" w:fill="FFFFFF"/>
        </w:rPr>
        <w:t>a</w:t>
      </w:r>
      <w:r w:rsidRPr="006D0F8D">
        <w:rPr>
          <w:rStyle w:val="normaltextrun"/>
          <w:color w:val="000000"/>
          <w:shd w:val="clear" w:color="auto" w:fill="FFFFFF"/>
        </w:rPr>
        <w:t xml:space="preserve"> violation</w:t>
      </w:r>
      <w:r w:rsidRPr="006D0F8D" w:rsidR="00C329D1">
        <w:rPr>
          <w:rStyle w:val="normaltextrun"/>
          <w:color w:val="000000"/>
          <w:shd w:val="clear" w:color="auto" w:fill="FFFFFF"/>
        </w:rPr>
        <w:t>, including</w:t>
      </w:r>
      <w:r w:rsidRPr="006D0F8D" w:rsidR="004B22BF">
        <w:rPr>
          <w:rStyle w:val="normaltextrun"/>
          <w:color w:val="000000"/>
          <w:shd w:val="clear" w:color="auto" w:fill="FFFFFF"/>
        </w:rPr>
        <w:t>, but not limited to, failure to submit data required under section 1194(e)(1) of the Act, including failure to engage in requested corrective action to mitigate such failures</w:t>
      </w:r>
      <w:r w:rsidRPr="006D0F8D">
        <w:rPr>
          <w:rStyle w:val="normaltextrun"/>
          <w:color w:val="000000"/>
          <w:shd w:val="clear" w:color="auto" w:fill="FFFFFF"/>
        </w:rPr>
        <w:t>.</w:t>
      </w:r>
      <w:r w:rsidRPr="006D0F8D" w:rsidR="00C329D1">
        <w:rPr>
          <w:color w:val="000000"/>
          <w:shd w:val="clear" w:color="auto" w:fill="FFFFFF"/>
        </w:rPr>
        <w:t xml:space="preserve"> </w:t>
      </w:r>
      <w:r w:rsidRPr="006D0F8D" w:rsidR="00C329D1">
        <w:rPr>
          <w:rStyle w:val="normaltextrun"/>
          <w:color w:val="000000"/>
          <w:shd w:val="clear" w:color="auto" w:fill="FFFFFF"/>
        </w:rPr>
        <w:t>As described</w:t>
      </w:r>
      <w:r w:rsidR="00C329D1">
        <w:rPr>
          <w:rStyle w:val="normaltextrun"/>
          <w:color w:val="000000"/>
          <w:shd w:val="clear" w:color="auto" w:fill="FFFFFF"/>
        </w:rPr>
        <w:t xml:space="preserve"> in 26 U.S.C. § 5000D, </w:t>
      </w:r>
      <w:r w:rsidR="00C329D1">
        <w:t>a</w:t>
      </w:r>
      <w:r w:rsidR="00CD0142">
        <w:t xml:space="preserve"> Primary Manufacturer </w:t>
      </w:r>
      <w:r w:rsidR="00C329D1">
        <w:t xml:space="preserve">may be subject to an excise tax for failure to meet certain Negotiation Program requirements. </w:t>
      </w:r>
      <w:r w:rsidRPr="00B632F1" w:rsidR="00937417">
        <w:t xml:space="preserve">Alternatively, the Primary Manufacturer may opt out of the Negotiation Program and avoid the excise tax on sales of the selected drug during the period for which the manufacturer does not have applicable agreements with the Medicare and Medicaid programs and none of their drugs are covered by an agreement under section 1860D-14A or section 1860D-14C of the Act </w:t>
      </w:r>
      <w:r w:rsidR="00105FC8">
        <w:t xml:space="preserve">(see section 40.6 of </w:t>
      </w:r>
      <w:hyperlink r:id="rId11" w:history="1">
        <w:r w:rsidRPr="000826F6" w:rsidR="00105FC8">
          <w:rPr>
            <w:rStyle w:val="Hyperlink"/>
          </w:rPr>
          <w:t>Medicare Drug Price Negotiation Program: Revised Memorandum, Implementation of Sections 1191 – 1198 of the Social Security Act for Initial Price Applicability Year 2026</w:t>
        </w:r>
      </w:hyperlink>
      <w:r w:rsidRPr="000826F6" w:rsidR="00671F89">
        <w:t xml:space="preserve"> (</w:t>
      </w:r>
      <w:r w:rsidRPr="000826F6" w:rsidR="00664D40">
        <w:t>the “</w:t>
      </w:r>
      <w:r w:rsidRPr="000826F6" w:rsidR="00671F89">
        <w:t>revised guidance</w:t>
      </w:r>
      <w:r w:rsidRPr="000826F6" w:rsidR="00664D40">
        <w:t>”</w:t>
      </w:r>
      <w:r w:rsidRPr="000826F6" w:rsidR="00671F89">
        <w:t>)</w:t>
      </w:r>
      <w:r w:rsidRPr="000826F6" w:rsidR="00105FC8">
        <w:t>).</w:t>
      </w:r>
    </w:p>
    <w:p w:rsidR="00505592" w:rsidRPr="00505592" w:rsidP="001571CF" w14:paraId="40093E4F" w14:textId="67DEF469">
      <w:pPr>
        <w:pStyle w:val="Header3"/>
      </w:pPr>
      <w:r>
        <w:t xml:space="preserve">Evidence About Alternative Treatments </w:t>
      </w:r>
    </w:p>
    <w:p w:rsidR="00C20F3E" w:rsidRPr="00F23CF0" w:rsidP="00F23CF0" w14:paraId="28422C25" w14:textId="1EFB2549">
      <w:r>
        <w:t xml:space="preserve">Submission of information about alternative treatments (as outlined in section 1194(e)(2) </w:t>
      </w:r>
      <w:r w:rsidR="006A5D7B">
        <w:t xml:space="preserve">of the Act) </w:t>
      </w:r>
      <w:r>
        <w:t xml:space="preserve">will be voluntary for both manufacturers and the public. Should CMS forgo this information request, manufacturers and the public would not be able to provide input on negotiation factors that the agency is required to consider when developing and negotiating the MFP. CMS believes that additional information from </w:t>
      </w:r>
      <w:r w:rsidR="00F52A7E">
        <w:t xml:space="preserve">patients and consumers, Part D plan sponsors and Medicare Advantage organizations, </w:t>
      </w:r>
      <w:r w:rsidR="002A2BF5">
        <w:t>Primary</w:t>
      </w:r>
      <w:r w:rsidR="000F3AA5">
        <w:t xml:space="preserve"> </w:t>
      </w:r>
      <w:r w:rsidR="00D55A78">
        <w:t>M</w:t>
      </w:r>
      <w:r>
        <w:t xml:space="preserve">anufacturers, </w:t>
      </w:r>
      <w:r w:rsidR="002D39D7">
        <w:t>manufacturers of therapeutic alternatives for a selected drug, hospitals and health care providers, wholesalers, pharmacies</w:t>
      </w:r>
      <w:r>
        <w:t xml:space="preserve">, </w:t>
      </w:r>
      <w:r w:rsidR="002D39D7">
        <w:t>researchers</w:t>
      </w:r>
      <w:r>
        <w:t xml:space="preserve">, and other </w:t>
      </w:r>
      <w:r w:rsidR="002D39D7">
        <w:t>members of the public</w:t>
      </w:r>
      <w:r>
        <w:t xml:space="preserve"> may provide additional insight </w:t>
      </w:r>
      <w:r w:rsidR="00DD4C89">
        <w:t xml:space="preserve">into </w:t>
      </w:r>
      <w:r>
        <w:t>selected drugs</w:t>
      </w:r>
      <w:r w:rsidR="005E6DA7">
        <w:t xml:space="preserve"> and alternative treatments</w:t>
      </w:r>
      <w:r>
        <w:t xml:space="preserve">. By making this portion of the information request voluntary, CMS seeks to alleviate unnecessary burden while still providing interested parties with the opportunity to comment. </w:t>
      </w:r>
    </w:p>
    <w:p w:rsidR="00BD775F" w:rsidRPr="00C72EC7" w:rsidP="00D45546" w14:paraId="013CC9B0" w14:textId="0C32A9D1">
      <w:pPr>
        <w:pStyle w:val="Heading2"/>
      </w:pPr>
      <w:r w:rsidRPr="00C72EC7">
        <w:t xml:space="preserve">7. </w:t>
      </w:r>
      <w:r w:rsidRPr="00D46939">
        <w:t>Special Circumstances</w:t>
      </w:r>
    </w:p>
    <w:p w:rsidR="005A04BD" w:rsidRPr="00C72EC7" w:rsidP="001571CF" w14:paraId="741E0FF3" w14:textId="3C0AFD09">
      <w:pPr>
        <w:pStyle w:val="Header3"/>
      </w:pPr>
      <w:r w:rsidRPr="00C72EC7">
        <w:t>Manufacturer-Submitted Data</w:t>
      </w:r>
    </w:p>
    <w:p w:rsidR="005A04BD" w:rsidRPr="00C72EC7" w:rsidP="008E04F6" w14:paraId="17C7764A" w14:textId="2ECCF687">
      <w:r w:rsidRPr="00C72EC7">
        <w:t xml:space="preserve">Non-FAMP data </w:t>
      </w:r>
      <w:r w:rsidR="005F2423">
        <w:t>are</w:t>
      </w:r>
      <w:r w:rsidRPr="00C72EC7">
        <w:t xml:space="preserve"> proprietary, as are certain other </w:t>
      </w:r>
      <w:r w:rsidR="005F2423">
        <w:t>data</w:t>
      </w:r>
      <w:r w:rsidRPr="00C72EC7" w:rsidR="005F2423">
        <w:t xml:space="preserve"> </w:t>
      </w:r>
      <w:r w:rsidRPr="00C72EC7">
        <w:t xml:space="preserve">required under section 1194(e)(1) of the Act. In accordance with section </w:t>
      </w:r>
      <w:r w:rsidRPr="00C72EC7" w:rsidR="001B35CA">
        <w:t>1193</w:t>
      </w:r>
      <w:r w:rsidRPr="00C72EC7">
        <w:t>(c)</w:t>
      </w:r>
      <w:r w:rsidR="006A5D7B">
        <w:t xml:space="preserve"> of the Act</w:t>
      </w:r>
      <w:r w:rsidRPr="00C72EC7" w:rsidR="001B35CA">
        <w:t xml:space="preserve">, information submitted that is proprietary </w:t>
      </w:r>
      <w:r w:rsidRPr="00C72EC7" w:rsidR="001B35CA">
        <w:t xml:space="preserve">information, as determined by the Secretary, shall only be used by CMS or disclosed to and used by the Comptroller General of the United States for purposes of </w:t>
      </w:r>
      <w:r w:rsidR="00695609">
        <w:t xml:space="preserve">carrying out Part E of Title XI of the Act (i.e., the </w:t>
      </w:r>
      <w:r w:rsidR="00C555AB">
        <w:t>N</w:t>
      </w:r>
      <w:r w:rsidR="00695609">
        <w:t xml:space="preserve">egotiation </w:t>
      </w:r>
      <w:r w:rsidR="00C555AB">
        <w:t>P</w:t>
      </w:r>
      <w:r w:rsidR="00695609">
        <w:t>rogram)</w:t>
      </w:r>
      <w:r w:rsidRPr="00C72EC7" w:rsidR="001B35CA">
        <w:t xml:space="preserve">. </w:t>
      </w:r>
    </w:p>
    <w:p w:rsidR="005A04BD" w:rsidRPr="00C72EC7" w:rsidP="001571CF" w14:paraId="0D8BC2FD" w14:textId="3D503841">
      <w:pPr>
        <w:pStyle w:val="Header3"/>
      </w:pPr>
      <w:r w:rsidRPr="00C72EC7">
        <w:t>Evidence About Alternative Treatments</w:t>
      </w:r>
    </w:p>
    <w:p w:rsidR="001B35CA" w:rsidRPr="00C72EC7" w:rsidP="008E04F6" w14:paraId="4F05A9A2" w14:textId="081A6805">
      <w:r w:rsidRPr="00C72EC7">
        <w:t xml:space="preserve">While CMS neither requests nor requires </w:t>
      </w:r>
      <w:r w:rsidR="007F0F3B">
        <w:t>protected</w:t>
      </w:r>
      <w:r w:rsidRPr="00C72EC7" w:rsidR="007F0F3B">
        <w:t xml:space="preserve"> </w:t>
      </w:r>
      <w:r w:rsidRPr="00C72EC7" w:rsidR="00E53235">
        <w:t>health information</w:t>
      </w:r>
      <w:r w:rsidR="00B14FC3">
        <w:t xml:space="preserve"> (PHI</w:t>
      </w:r>
      <w:r w:rsidRPr="00C72EC7" w:rsidR="00E53235">
        <w:t xml:space="preserve">) </w:t>
      </w:r>
      <w:r w:rsidRPr="00C72EC7">
        <w:t xml:space="preserve">or </w:t>
      </w:r>
      <w:r w:rsidRPr="00C72EC7" w:rsidR="00E53235">
        <w:t xml:space="preserve">personal identifying information </w:t>
      </w:r>
      <w:r w:rsidR="00B14FC3">
        <w:t>(PII)</w:t>
      </w:r>
      <w:r w:rsidRPr="00C72EC7" w:rsidR="00E53235">
        <w:t xml:space="preserve"> </w:t>
      </w:r>
      <w:r w:rsidRPr="00C72EC7">
        <w:t xml:space="preserve">in this information request, interested parties may potentially submit information considered to be PHI or PII. </w:t>
      </w:r>
    </w:p>
    <w:p w:rsidR="008E04F6" w:rsidRPr="00C72EC7" w:rsidP="008E04F6" w14:paraId="357A0EC8" w14:textId="0D8D1D9F">
      <w:r w:rsidRPr="00C72EC7">
        <w:t>For both the manufacturer-submitted data and the evidence on alternative treatments, t</w:t>
      </w:r>
      <w:r w:rsidRPr="00C72EC7" w:rsidR="6B370752">
        <w:t xml:space="preserve">here are no special circumstances that would require </w:t>
      </w:r>
      <w:r w:rsidRPr="00C72EC7">
        <w:t xml:space="preserve">this </w:t>
      </w:r>
      <w:r w:rsidRPr="00C72EC7" w:rsidR="6B370752">
        <w:t>information collection</w:t>
      </w:r>
      <w:r w:rsidRPr="00C72EC7" w:rsidR="005A04BD">
        <w:t xml:space="preserve"> </w:t>
      </w:r>
      <w:r w:rsidRPr="00C72EC7" w:rsidR="6B370752">
        <w:t>to be conducted in a manner that requires respondents to:</w:t>
      </w:r>
    </w:p>
    <w:p w:rsidR="008E04F6" w:rsidRPr="00C72EC7" w:rsidP="00F04151" w14:paraId="57893BDD" w14:textId="58685354">
      <w:pPr>
        <w:pStyle w:val="ListParagraph"/>
        <w:numPr>
          <w:ilvl w:val="0"/>
          <w:numId w:val="3"/>
        </w:numPr>
        <w:ind w:left="720" w:hanging="360"/>
      </w:pPr>
      <w:r w:rsidRPr="00C72EC7">
        <w:rPr>
          <w:rFonts w:ascii="Times New Roman" w:eastAsia="Times New Roman" w:hAnsi="Times New Roman" w:cs="Times New Roman"/>
        </w:rPr>
        <w:t>Report information to the agency more often than quarterly;</w:t>
      </w:r>
    </w:p>
    <w:p w:rsidR="008E04F6" w:rsidRPr="00C72EC7" w:rsidP="00F04151" w14:paraId="46CA6F97" w14:textId="3551A272">
      <w:pPr>
        <w:pStyle w:val="ListParagraph"/>
        <w:numPr>
          <w:ilvl w:val="0"/>
          <w:numId w:val="3"/>
        </w:numPr>
        <w:ind w:left="720" w:hanging="360"/>
      </w:pPr>
      <w:r w:rsidRPr="00C72EC7">
        <w:rPr>
          <w:rFonts w:ascii="Times New Roman" w:eastAsia="Times New Roman" w:hAnsi="Times New Roman" w:cs="Times New Roman"/>
        </w:rPr>
        <w:t xml:space="preserve">Prepare a written response to a collection of information in fewer than 30 days after receipt of it; </w:t>
      </w:r>
    </w:p>
    <w:p w:rsidR="008E04F6" w:rsidRPr="00C72EC7" w:rsidP="00F04151" w14:paraId="5F27D9AE" w14:textId="17D1BC98">
      <w:pPr>
        <w:pStyle w:val="ListParagraph"/>
        <w:numPr>
          <w:ilvl w:val="0"/>
          <w:numId w:val="3"/>
        </w:numPr>
        <w:ind w:left="720" w:hanging="360"/>
      </w:pPr>
      <w:r w:rsidRPr="00C72EC7">
        <w:rPr>
          <w:rFonts w:ascii="Times New Roman" w:eastAsia="Times New Roman" w:hAnsi="Times New Roman" w:cs="Times New Roman"/>
        </w:rPr>
        <w:t>Submit more than an original and two copies of any document;</w:t>
      </w:r>
    </w:p>
    <w:p w:rsidR="008E04F6" w:rsidRPr="00C72EC7" w:rsidP="00F04151" w14:paraId="16D6E2A6" w14:textId="643CCA24">
      <w:pPr>
        <w:pStyle w:val="ListParagraph"/>
        <w:numPr>
          <w:ilvl w:val="0"/>
          <w:numId w:val="3"/>
        </w:numPr>
        <w:ind w:left="720" w:hanging="360"/>
      </w:pPr>
      <w:r w:rsidRPr="00C72EC7">
        <w:rPr>
          <w:rFonts w:ascii="Times New Roman" w:eastAsia="Times New Roman" w:hAnsi="Times New Roman" w:cs="Times New Roman"/>
        </w:rPr>
        <w:t>Retain records, other than health, medical, government contract, grant-in-aid, or tax records for more than three years;</w:t>
      </w:r>
    </w:p>
    <w:p w:rsidR="008E04F6" w:rsidRPr="00C72EC7" w:rsidP="00F04151" w14:paraId="4CC1A623" w14:textId="28E1ABEB">
      <w:pPr>
        <w:pStyle w:val="ListParagraph"/>
        <w:numPr>
          <w:ilvl w:val="0"/>
          <w:numId w:val="3"/>
        </w:numPr>
        <w:ind w:left="720" w:hanging="360"/>
      </w:pPr>
      <w:r w:rsidRPr="00C72EC7">
        <w:rPr>
          <w:rFonts w:ascii="Times New Roman" w:eastAsia="Times New Roman" w:hAnsi="Times New Roman" w:cs="Times New Roman"/>
        </w:rPr>
        <w:t>Collect data in connection with a statistical survey that is not designed to produce valid and reliable results that can be generalized to the universe of study</w:t>
      </w:r>
      <w:r w:rsidR="00B14FC3">
        <w:rPr>
          <w:rFonts w:ascii="Times New Roman" w:eastAsia="Times New Roman" w:hAnsi="Times New Roman" w:cs="Times New Roman"/>
        </w:rPr>
        <w:t>;</w:t>
      </w:r>
    </w:p>
    <w:p w:rsidR="008E04F6" w:rsidRPr="00C72EC7" w:rsidP="00F04151" w14:paraId="3C0F7085" w14:textId="71B2FF99">
      <w:pPr>
        <w:pStyle w:val="ListParagraph"/>
        <w:numPr>
          <w:ilvl w:val="0"/>
          <w:numId w:val="3"/>
        </w:numPr>
        <w:ind w:left="720" w:hanging="360"/>
      </w:pPr>
      <w:r w:rsidRPr="00C72EC7">
        <w:rPr>
          <w:rFonts w:ascii="Times New Roman" w:eastAsia="Times New Roman" w:hAnsi="Times New Roman" w:cs="Times New Roman"/>
        </w:rPr>
        <w:t>Use a statistical data classification that has not been reviewed and approved by OMB;</w:t>
      </w:r>
    </w:p>
    <w:p w:rsidR="008E04F6" w:rsidRPr="00D46939" w:rsidP="00F04151" w14:paraId="375C760F" w14:textId="0B4B102B">
      <w:pPr>
        <w:pStyle w:val="ListParagraph"/>
        <w:numPr>
          <w:ilvl w:val="0"/>
          <w:numId w:val="3"/>
        </w:numPr>
        <w:ind w:left="720" w:hanging="360"/>
      </w:pPr>
      <w:r w:rsidRPr="00D46939">
        <w:rPr>
          <w:rFonts w:ascii="Times New Roman" w:hAnsi="Times New Roman"/>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05655" w:rsidRPr="005E59CF" w:rsidP="00D45546" w14:paraId="36FA3E87" w14:textId="78154C86">
      <w:pPr>
        <w:pStyle w:val="ListParagraph"/>
        <w:numPr>
          <w:ilvl w:val="0"/>
          <w:numId w:val="3"/>
        </w:numPr>
        <w:ind w:left="720" w:hanging="360"/>
      </w:pPr>
      <w:r w:rsidRPr="00D46939">
        <w:rPr>
          <w:rFonts w:ascii="Times New Roman" w:hAnsi="Times New Roman"/>
        </w:rPr>
        <w:t>Submit proprietary</w:t>
      </w:r>
      <w:r w:rsidR="00B14FC3">
        <w:rPr>
          <w:rFonts w:ascii="Times New Roman" w:hAnsi="Times New Roman"/>
        </w:rPr>
        <w:t>,</w:t>
      </w:r>
      <w:r w:rsidRPr="00D46939">
        <w:rPr>
          <w:rFonts w:ascii="Times New Roman" w:hAnsi="Times New Roman"/>
        </w:rPr>
        <w:t xml:space="preserve"> trade secret, or other confidential information unless the agency can demonstrate that it has instituted procedures to protect the information</w:t>
      </w:r>
      <w:r w:rsidR="001053C6">
        <w:rPr>
          <w:rFonts w:ascii="Times New Roman" w:hAnsi="Times New Roman"/>
        </w:rPr>
        <w:t>’</w:t>
      </w:r>
      <w:r w:rsidRPr="00D46939">
        <w:rPr>
          <w:rFonts w:ascii="Times New Roman" w:hAnsi="Times New Roman"/>
        </w:rPr>
        <w:t>s confidentiality to the extent permitted by law</w:t>
      </w:r>
      <w:r w:rsidRPr="00C72EC7">
        <w:rPr>
          <w:rFonts w:ascii="Times New Roman" w:eastAsia="Times New Roman" w:hAnsi="Times New Roman" w:cs="Times New Roman"/>
        </w:rPr>
        <w:t>.</w:t>
      </w:r>
    </w:p>
    <w:p w:rsidR="00437FA1" w:rsidRPr="00F23CF0" w:rsidP="009B2BA2" w14:paraId="61D6C478" w14:textId="6425A02C">
      <w:pPr>
        <w:pStyle w:val="Heading2"/>
      </w:pPr>
      <w:r>
        <w:t xml:space="preserve">8. </w:t>
      </w:r>
      <w:r w:rsidRPr="003775DB">
        <w:t>Federal Register/Outside Consultation</w:t>
      </w:r>
    </w:p>
    <w:p w:rsidR="002979B7" w:rsidRPr="0058366F" w:rsidP="0058366F" w14:paraId="40772E82" w14:textId="40993044">
      <w:pPr>
        <w:pStyle w:val="CommentText"/>
        <w:rPr>
          <w:sz w:val="24"/>
          <w:szCs w:val="24"/>
        </w:rPr>
      </w:pPr>
      <w:r w:rsidRPr="001A7877">
        <w:rPr>
          <w:sz w:val="24"/>
          <w:szCs w:val="24"/>
        </w:rPr>
        <w:t xml:space="preserve">A 60-day notice was published in the Federal Register on </w:t>
      </w:r>
      <w:r w:rsidRPr="001A7877" w:rsidR="0030682D">
        <w:rPr>
          <w:sz w:val="24"/>
          <w:szCs w:val="24"/>
        </w:rPr>
        <w:t>March 21, 2023</w:t>
      </w:r>
      <w:r w:rsidRPr="001A7877" w:rsidR="00606760">
        <w:rPr>
          <w:sz w:val="24"/>
          <w:szCs w:val="24"/>
        </w:rPr>
        <w:t xml:space="preserve"> (88 F</w:t>
      </w:r>
      <w:r w:rsidR="00197663">
        <w:rPr>
          <w:sz w:val="24"/>
          <w:szCs w:val="24"/>
        </w:rPr>
        <w:t>ed. Reg.</w:t>
      </w:r>
      <w:r w:rsidRPr="001A7877" w:rsidR="00606760">
        <w:rPr>
          <w:sz w:val="24"/>
          <w:szCs w:val="24"/>
        </w:rPr>
        <w:t xml:space="preserve"> 16983) </w:t>
      </w:r>
      <w:r w:rsidRPr="001A7877">
        <w:rPr>
          <w:sz w:val="24"/>
          <w:szCs w:val="24"/>
        </w:rPr>
        <w:t xml:space="preserve">for the public to submit written comment on the information collection requirements. </w:t>
      </w:r>
      <w:r w:rsidRPr="001A7877" w:rsidR="00CE7A9A">
        <w:rPr>
          <w:sz w:val="24"/>
          <w:szCs w:val="24"/>
        </w:rPr>
        <w:t xml:space="preserve">CMS </w:t>
      </w:r>
      <w:r w:rsidR="00694801">
        <w:rPr>
          <w:sz w:val="24"/>
          <w:szCs w:val="24"/>
        </w:rPr>
        <w:t xml:space="preserve">received </w:t>
      </w:r>
      <w:r w:rsidRPr="001A7877" w:rsidR="00CE7A9A">
        <w:rPr>
          <w:sz w:val="24"/>
          <w:szCs w:val="24"/>
        </w:rPr>
        <w:t xml:space="preserve">comments from </w:t>
      </w:r>
      <w:r w:rsidR="00C75858">
        <w:rPr>
          <w:sz w:val="24"/>
          <w:szCs w:val="24"/>
        </w:rPr>
        <w:t>24</w:t>
      </w:r>
      <w:r w:rsidRPr="001A7877" w:rsidR="00CE7A9A">
        <w:rPr>
          <w:sz w:val="24"/>
          <w:szCs w:val="24"/>
        </w:rPr>
        <w:t xml:space="preserve"> entities in response to the 60-day notice.  The comments identified issues/themes/concerns that included but </w:t>
      </w:r>
      <w:r w:rsidR="006D1F5F">
        <w:rPr>
          <w:sz w:val="24"/>
          <w:szCs w:val="24"/>
        </w:rPr>
        <w:t>we</w:t>
      </w:r>
      <w:r w:rsidRPr="001A7877" w:rsidR="00CE7A9A">
        <w:rPr>
          <w:sz w:val="24"/>
          <w:szCs w:val="24"/>
        </w:rPr>
        <w:t>re not limited to</w:t>
      </w:r>
      <w:r w:rsidR="00D51EAB">
        <w:rPr>
          <w:sz w:val="24"/>
          <w:szCs w:val="24"/>
        </w:rPr>
        <w:t xml:space="preserve">: the deadline to submit the </w:t>
      </w:r>
      <w:r w:rsidR="00BC4E10">
        <w:rPr>
          <w:sz w:val="24"/>
          <w:szCs w:val="24"/>
        </w:rPr>
        <w:t xml:space="preserve">information requested, the burden on respondents to report the mandatory and optional information requested, the process and format for submitting the requested information, and requests for clarification and other revisions to </w:t>
      </w:r>
      <w:r w:rsidR="00D51EAB">
        <w:rPr>
          <w:sz w:val="24"/>
          <w:szCs w:val="24"/>
        </w:rPr>
        <w:t>instruction and question language specific to each section of the ICR.</w:t>
      </w:r>
      <w:r w:rsidRPr="001A7877" w:rsidR="00CE7A9A">
        <w:rPr>
          <w:sz w:val="24"/>
          <w:szCs w:val="24"/>
        </w:rPr>
        <w:t xml:space="preserve">  Attached as a supplemental document in this </w:t>
      </w:r>
      <w:r w:rsidR="00AB1326">
        <w:rPr>
          <w:sz w:val="24"/>
          <w:szCs w:val="24"/>
        </w:rPr>
        <w:t>ICR</w:t>
      </w:r>
      <w:r w:rsidRPr="001A7877" w:rsidR="00CE7A9A">
        <w:rPr>
          <w:sz w:val="24"/>
          <w:szCs w:val="24"/>
        </w:rPr>
        <w:t xml:space="preserve"> is </w:t>
      </w:r>
      <w:r w:rsidR="00694801">
        <w:rPr>
          <w:sz w:val="24"/>
          <w:szCs w:val="24"/>
        </w:rPr>
        <w:t>CMS</w:t>
      </w:r>
      <w:r w:rsidRPr="001A7877" w:rsidR="00CE7A9A">
        <w:rPr>
          <w:sz w:val="24"/>
          <w:szCs w:val="24"/>
        </w:rPr>
        <w:t xml:space="preserve"> </w:t>
      </w:r>
      <w:r w:rsidRPr="001A7877" w:rsidR="00AB1326">
        <w:rPr>
          <w:sz w:val="24"/>
          <w:szCs w:val="24"/>
        </w:rPr>
        <w:t>re</w:t>
      </w:r>
      <w:r w:rsidR="00AB1326">
        <w:rPr>
          <w:sz w:val="24"/>
          <w:szCs w:val="24"/>
        </w:rPr>
        <w:t>sponses to</w:t>
      </w:r>
      <w:r w:rsidRPr="001A7877" w:rsidR="00CE7A9A">
        <w:rPr>
          <w:sz w:val="24"/>
          <w:szCs w:val="24"/>
        </w:rPr>
        <w:t xml:space="preserve"> the comments. </w:t>
      </w:r>
    </w:p>
    <w:p w:rsidR="0030682D" w:rsidRPr="00F23CF0" w:rsidP="00F23CF0" w14:paraId="3B187DC6" w14:textId="171AD153">
      <w:r>
        <w:t xml:space="preserve">A 30-day notice was published in the Federal Register on </w:t>
      </w:r>
      <w:r w:rsidRPr="0030682D">
        <w:rPr>
          <w:highlight w:val="yellow"/>
        </w:rPr>
        <w:t>XXXX</w:t>
      </w:r>
      <w:r>
        <w:t xml:space="preserve"> for the public to submit written comment on the information collection requirements. </w:t>
      </w:r>
    </w:p>
    <w:p w:rsidR="00BD775F" w:rsidRPr="00F23CF0" w:rsidP="00D45546" w14:paraId="695D82BF" w14:textId="046909EC">
      <w:pPr>
        <w:pStyle w:val="Heading2"/>
      </w:pPr>
      <w:r>
        <w:t>9. Payments/Gifts to Respondents</w:t>
      </w:r>
    </w:p>
    <w:p w:rsidR="00A94DF3" w:rsidRPr="00F23CF0" w:rsidP="00F23CF0" w14:paraId="66C018DB" w14:textId="415B1234">
      <w:r>
        <w:t xml:space="preserve">No payments or gifts will be given to respondents for participation. </w:t>
      </w:r>
    </w:p>
    <w:p w:rsidR="00BD775F" w:rsidRPr="00F23CF0" w:rsidP="00D45546" w14:paraId="2AD37861" w14:textId="1757FEAB">
      <w:pPr>
        <w:pStyle w:val="Heading2"/>
      </w:pPr>
      <w:r>
        <w:t>10. Confidentiality</w:t>
      </w:r>
    </w:p>
    <w:p w:rsidR="00DA1FD4" w:rsidP="00DA1FD4" w14:paraId="30056B04" w14:textId="2DE13AA3">
      <w:r w:rsidRPr="24AE88FA">
        <w:t>Information that is deemed proprietary shall only be used by CMS or disclosed to and used by the Comptroller General of the United States for purposes of carrying out the Negotiation Program. Proprietary information, including trade secret</w:t>
      </w:r>
      <w:r>
        <w:t>s</w:t>
      </w:r>
      <w:r w:rsidRPr="24AE88FA">
        <w:t xml:space="preserve"> and confidential commercial or financial information, </w:t>
      </w:r>
      <w:r>
        <w:t xml:space="preserve">will </w:t>
      </w:r>
      <w:r w:rsidRPr="24AE88FA">
        <w:t xml:space="preserve">also be protected from disclosure </w:t>
      </w:r>
      <w:r>
        <w:t xml:space="preserve">if the proprietary information meets the requirements set forth </w:t>
      </w:r>
      <w:r w:rsidRPr="24AE88FA">
        <w:t>under Exemption</w:t>
      </w:r>
      <w:r>
        <w:t xml:space="preserve">s 3 and/or </w:t>
      </w:r>
      <w:r w:rsidRPr="24AE88FA">
        <w:t>Exemption 4 of the Freedom of Information Act (FOIA) (5 U.S.C. § 552(b)(</w:t>
      </w:r>
      <w:r>
        <w:t xml:space="preserve">3), </w:t>
      </w:r>
      <w:r w:rsidRPr="24AE88FA">
        <w:t>(4)).</w:t>
      </w:r>
      <w:r>
        <w:rPr>
          <w:rStyle w:val="FootnoteReference"/>
        </w:rPr>
        <w:footnoteReference w:id="4"/>
      </w:r>
      <w:r w:rsidRPr="24AE88FA">
        <w:t xml:space="preserve">  </w:t>
      </w:r>
    </w:p>
    <w:p w:rsidR="00DA1FD4" w:rsidP="00F145AD" w14:paraId="7316E96A" w14:textId="14865869">
      <w:r>
        <w:t xml:space="preserve">As discussed in section 40.2.1 of the revised guidance, </w:t>
      </w:r>
      <w:r w:rsidRPr="24AE88FA">
        <w:t xml:space="preserve">CMS </w:t>
      </w:r>
      <w:r>
        <w:t>will</w:t>
      </w:r>
      <w:r w:rsidRPr="24AE88FA">
        <w:t xml:space="preserve"> implement a confidentiality policy that is consistent with existing </w:t>
      </w:r>
      <w:r>
        <w:t xml:space="preserve">federal </w:t>
      </w:r>
      <w:r w:rsidRPr="24AE88FA">
        <w:t xml:space="preserve">requirements for protecting proprietary information </w:t>
      </w:r>
      <w:r>
        <w:t>including</w:t>
      </w:r>
      <w:r w:rsidRPr="24AE88FA">
        <w:t xml:space="preserve"> Exemption</w:t>
      </w:r>
      <w:r>
        <w:t xml:space="preserve">s 3 and/or </w:t>
      </w:r>
      <w:r w:rsidRPr="24AE88FA">
        <w:t xml:space="preserve">Exemption 4 of FOIA, and that strikes an appropriate balance between (1) protecting the highly sensitive information of manufacturers and ensuring that manufacturers submit the information CMS needs for the Negotiation Program, and (2) avoiding treating information that does not qualify for such protection as proprietary. Thus, for initial price applicability year 2026, CMS </w:t>
      </w:r>
      <w:r>
        <w:t>will</w:t>
      </w:r>
      <w:r w:rsidRPr="24AE88FA">
        <w:t xml:space="preserve"> treat information on </w:t>
      </w:r>
      <w:r>
        <w:t xml:space="preserve">non-FAMP </w:t>
      </w:r>
      <w:r w:rsidRPr="24AE88FA">
        <w:rPr>
          <w:color w:val="000000" w:themeColor="text1"/>
        </w:rPr>
        <w:t xml:space="preserve">(as defined in </w:t>
      </w:r>
      <w:r w:rsidR="00421A30">
        <w:rPr>
          <w:color w:val="000000" w:themeColor="text1"/>
        </w:rPr>
        <w:t>38</w:t>
      </w:r>
      <w:r w:rsidR="002B4307">
        <w:rPr>
          <w:color w:val="000000" w:themeColor="text1"/>
        </w:rPr>
        <w:t> </w:t>
      </w:r>
      <w:r w:rsidR="00421A30">
        <w:rPr>
          <w:color w:val="000000" w:themeColor="text1"/>
        </w:rPr>
        <w:t>U.S.C.</w:t>
      </w:r>
      <w:r w:rsidR="002B4307">
        <w:rPr>
          <w:color w:val="000000" w:themeColor="text1"/>
        </w:rPr>
        <w:t> </w:t>
      </w:r>
      <w:r w:rsidRPr="24AE88FA" w:rsidR="00421A30">
        <w:t>§</w:t>
      </w:r>
      <w:r w:rsidR="00421A30">
        <w:t xml:space="preserve"> </w:t>
      </w:r>
      <w:r w:rsidRPr="24AE88FA">
        <w:rPr>
          <w:color w:val="000000" w:themeColor="text1"/>
        </w:rPr>
        <w:t xml:space="preserve">8126(h)(5)) </w:t>
      </w:r>
      <w:r w:rsidRPr="24AE88FA">
        <w:t xml:space="preserve">as proprietary. </w:t>
      </w:r>
    </w:p>
    <w:p w:rsidR="00BA4CA8" w:rsidP="00DA1FD4" w14:paraId="4401848D" w14:textId="32993140">
      <w:pPr>
        <w:spacing w:after="0"/>
      </w:pPr>
      <w:r w:rsidRPr="24AE88FA">
        <w:t>For initial price applicability year 2026, CMS</w:t>
      </w:r>
      <w:r>
        <w:t xml:space="preserve"> will</w:t>
      </w:r>
      <w:r w:rsidRPr="24AE88FA">
        <w:t xml:space="preserve"> also treat certain data elements submitted by a Primary Manufacturer of a selected drug in accordance with section 1194(e)(1) </w:t>
      </w:r>
      <w:r>
        <w:t xml:space="preserve">and section </w:t>
      </w:r>
    </w:p>
    <w:p w:rsidR="00DA1FD4" w:rsidP="00F145AD" w14:paraId="5803F32D" w14:textId="4FDD7C6A">
      <w:r>
        <w:t xml:space="preserve">1194(e)(2) </w:t>
      </w:r>
      <w:r w:rsidRPr="24AE88FA">
        <w:t>of the Act as proprietary if the information constitutes commercial or financial information of the Primary Manufacturer or a Secondary Manufacturer that cannot be found publicly.</w:t>
      </w:r>
      <w:r>
        <w:t xml:space="preserve"> </w:t>
      </w:r>
      <w:r w:rsidRPr="24AE88FA">
        <w:t xml:space="preserve">Specifically, CMS </w:t>
      </w:r>
      <w:r>
        <w:t>will</w:t>
      </w:r>
      <w:r w:rsidRPr="24AE88FA">
        <w:t xml:space="preserve"> treat </w:t>
      </w:r>
      <w:r w:rsidR="009C7A3B">
        <w:t>R&amp;D</w:t>
      </w:r>
      <w:r w:rsidRPr="24AE88FA">
        <w:t xml:space="preserve"> costs and recoupment, unit costs of production and distribution, pending patent applications, market data</w:t>
      </w:r>
      <w:r>
        <w:t>,</w:t>
      </w:r>
      <w:r w:rsidR="00422A83">
        <w:t xml:space="preserve"> and</w:t>
      </w:r>
      <w:r>
        <w:t xml:space="preserve"> </w:t>
      </w:r>
      <w:r w:rsidRPr="24AE88FA">
        <w:t xml:space="preserve">revenue and sales volume data </w:t>
      </w:r>
      <w:r>
        <w:t>as</w:t>
      </w:r>
      <w:r w:rsidRPr="24AE88FA">
        <w:t xml:space="preserve"> proprietary, unless the information that is provided to CMS is already publicly available, in which case it would be considered non-proprietary. CMS </w:t>
      </w:r>
      <w:r>
        <w:t>will</w:t>
      </w:r>
      <w:r w:rsidRPr="24AE88FA">
        <w:t xml:space="preserve"> treat the data on prior Federal </w:t>
      </w:r>
      <w:r>
        <w:t>financial support</w:t>
      </w:r>
      <w:r w:rsidRPr="24AE88FA">
        <w:t xml:space="preserve"> and approved patent applications, exclusivities, and applications and approvals under section 505(c) of the FD&amp;C Act or section 351(a) of the PHS Act as non-proprietary because CMS believes these data are publicly</w:t>
      </w:r>
      <w:r w:rsidR="00741422">
        <w:t xml:space="preserve"> available</w:t>
      </w:r>
      <w:r w:rsidRPr="24AE88FA">
        <w:t>.</w:t>
      </w:r>
    </w:p>
    <w:p w:rsidR="00DA1FD4" w:rsidRPr="00F23CF0" w:rsidP="00F23CF0" w14:paraId="7A3BE965" w14:textId="035C5381">
      <w:r w:rsidRPr="24AE88FA">
        <w:t xml:space="preserve">Pursuant to section 1195(a)(2) of the Act, CMS is required to publish the explanation </w:t>
      </w:r>
      <w:r>
        <w:t>of</w:t>
      </w:r>
      <w:r w:rsidRPr="24AE88FA">
        <w:t xml:space="preserve"> the MFP by </w:t>
      </w:r>
      <w:bookmarkStart w:id="5" w:name="_Hlk136109615"/>
      <w:r w:rsidRPr="24AE88FA">
        <w:t>March 1, 2025, for initial price applicability year 2026 (</w:t>
      </w:r>
      <w:r>
        <w:t>described in</w:t>
      </w:r>
      <w:r w:rsidRPr="24AE88FA">
        <w:t xml:space="preserve"> section 60.6.1 of </w:t>
      </w:r>
      <w:r>
        <w:t>the revised</w:t>
      </w:r>
      <w:r w:rsidRPr="24AE88FA">
        <w:t xml:space="preserve"> </w:t>
      </w:r>
      <w:r>
        <w:t>guidance</w:t>
      </w:r>
      <w:r w:rsidRPr="24AE88FA">
        <w:t xml:space="preserve">). In this public explanation and any other public documents discussing the MFP, CMS </w:t>
      </w:r>
      <w:r>
        <w:t>will</w:t>
      </w:r>
      <w:r w:rsidRPr="24AE88FA">
        <w:t xml:space="preserve"> </w:t>
      </w:r>
      <w:r w:rsidRPr="007A3985">
        <w:t xml:space="preserve">make public the section 1194(e)(1) </w:t>
      </w:r>
      <w:r>
        <w:t xml:space="preserve">and section 1194(e)(2) </w:t>
      </w:r>
      <w:r w:rsidRPr="007A3985">
        <w:t xml:space="preserve">data submitted by the </w:t>
      </w:r>
      <w:r>
        <w:t>Primary M</w:t>
      </w:r>
      <w:r w:rsidRPr="007A3985">
        <w:t xml:space="preserve">anufacturer </w:t>
      </w:r>
      <w:r>
        <w:t xml:space="preserve">and the public </w:t>
      </w:r>
      <w:r w:rsidRPr="007A3985">
        <w:t>that are</w:t>
      </w:r>
      <w:r>
        <w:t xml:space="preserve"> determined to be</w:t>
      </w:r>
      <w:r w:rsidRPr="007A3985">
        <w:t xml:space="preserve"> non-proprietary</w:t>
      </w:r>
      <w:r>
        <w:t>.</w:t>
      </w:r>
      <w:r>
        <w:t xml:space="preserve"> </w:t>
      </w:r>
      <w:r w:rsidRPr="00867CDE">
        <w:t>CMS will also make high-level comments about the section 1194(e)(1) and section 1194(e)(2) data submitted to CMS that are determined to be propriet</w:t>
      </w:r>
      <w:r>
        <w:t>ar</w:t>
      </w:r>
      <w:r w:rsidRPr="00867CDE">
        <w:t>y, without sharing any proprietary information reported to CMS under section 1193(a)(4) for purposes of the negotiation.</w:t>
      </w:r>
      <w:bookmarkEnd w:id="5"/>
      <w:r w:rsidRPr="24AE88FA">
        <w:t xml:space="preserve"> </w:t>
      </w:r>
    </w:p>
    <w:p w:rsidR="00BD775F" w:rsidRPr="00F23CF0" w:rsidP="00D45546" w14:paraId="7EFCBC80" w14:textId="2A55E697">
      <w:pPr>
        <w:pStyle w:val="Heading2"/>
      </w:pPr>
      <w:r>
        <w:t>11. Sensitive Questions</w:t>
      </w:r>
    </w:p>
    <w:p w:rsidR="00C32E22" w:rsidRPr="00F23CF0" w:rsidP="00F23CF0" w14:paraId="4C97D526" w14:textId="7F1D69E7">
      <w:r w:rsidRPr="4EFB2336">
        <w:rPr>
          <w:color w:val="000000" w:themeColor="text1"/>
        </w:rPr>
        <w:t>There are no sensitive questions associated with this collection.</w:t>
      </w:r>
    </w:p>
    <w:p w:rsidR="005604B7" w:rsidP="00D45546" w14:paraId="0278C237" w14:textId="2674BA5B">
      <w:pPr>
        <w:pStyle w:val="Heading2"/>
      </w:pPr>
      <w:r>
        <w:t>12. Burden Estimates (Hours &amp; Wages)</w:t>
      </w:r>
    </w:p>
    <w:p w:rsidR="2A22118D" w:rsidRPr="00494F23" w:rsidP="00F04151" w14:paraId="04C7576C" w14:textId="4D9D2C9C">
      <w:r>
        <w:t xml:space="preserve">A </w:t>
      </w:r>
      <w:r w:rsidR="002A2BF5">
        <w:t>Primary</w:t>
      </w:r>
      <w:r w:rsidR="000F3AA5">
        <w:t xml:space="preserve"> </w:t>
      </w:r>
      <w:r>
        <w:t xml:space="preserve">Manufacturer must complete and submit the information requested on </w:t>
      </w:r>
      <w:r w:rsidR="002A5B42">
        <w:t xml:space="preserve">the Negotiation Data Elements </w:t>
      </w:r>
      <w:r w:rsidR="00FE58BB">
        <w:t>ICR</w:t>
      </w:r>
      <w:r w:rsidR="002A5B42">
        <w:t xml:space="preserve"> Form</w:t>
      </w:r>
      <w:r>
        <w:t xml:space="preserve"> for the purpose of negotiation for a selected drug. </w:t>
      </w:r>
      <w:r w:rsidR="00F02DCA">
        <w:t xml:space="preserve">The </w:t>
      </w:r>
      <w:r w:rsidR="00371317">
        <w:t xml:space="preserve">data required from the </w:t>
      </w:r>
      <w:r w:rsidR="00B14FC3">
        <w:t>Primary Manufacturer</w:t>
      </w:r>
      <w:r w:rsidR="000E075A">
        <w:t xml:space="preserve"> </w:t>
      </w:r>
      <w:r w:rsidR="00371317">
        <w:t>are</w:t>
      </w:r>
      <w:r w:rsidR="00F02DCA">
        <w:t xml:space="preserve"> outlined in section</w:t>
      </w:r>
      <w:r w:rsidR="00E57DA1">
        <w:t>s 1193(a)(4)(A) and</w:t>
      </w:r>
      <w:r w:rsidR="00F02DCA">
        <w:t xml:space="preserve"> 1194(e)(1)</w:t>
      </w:r>
      <w:r w:rsidR="00FE58BB">
        <w:t xml:space="preserve"> of the Act</w:t>
      </w:r>
      <w:r w:rsidR="00F02DCA">
        <w:t xml:space="preserve">. </w:t>
      </w:r>
      <w:r>
        <w:t xml:space="preserve">Information submission for factors outlined in section 1194(e)(2) </w:t>
      </w:r>
      <w:r w:rsidR="00FE58BB">
        <w:t xml:space="preserve">of the Act </w:t>
      </w:r>
      <w:r>
        <w:t xml:space="preserve">are voluntary and open to all interested parties. </w:t>
      </w:r>
      <w:r w:rsidR="00743B50">
        <w:t>By soliciting input from the public on factors outlined section 1194(e)(2)</w:t>
      </w:r>
      <w:r w:rsidR="00FE58BB">
        <w:t xml:space="preserve"> of the Act</w:t>
      </w:r>
      <w:r w:rsidR="00743B50">
        <w:t xml:space="preserve">, the intent of this information request is to obtain data from </w:t>
      </w:r>
      <w:r w:rsidR="002D39D7">
        <w:t xml:space="preserve">any interested party, including patients and consumers, Part D plan sponsors and Medicare Advantage organizations, Primary </w:t>
      </w:r>
      <w:r w:rsidR="00BB6939">
        <w:t xml:space="preserve">and Secondary </w:t>
      </w:r>
      <w:r w:rsidR="002D39D7">
        <w:t xml:space="preserve">Manufacturers, manufacturers of therapeutic alternatives for a selected drug, hospitals and health care providers, wholesalers, pharmacies, </w:t>
      </w:r>
      <w:r w:rsidR="00323D7F">
        <w:t xml:space="preserve">and </w:t>
      </w:r>
      <w:r w:rsidR="002D39D7">
        <w:t>researchers</w:t>
      </w:r>
      <w:r w:rsidR="00743B50">
        <w:t>.</w:t>
      </w:r>
    </w:p>
    <w:p w:rsidR="6B370752" w:rsidP="6B370752" w14:paraId="69391564" w14:textId="671DFD36">
      <w:pPr>
        <w:rPr>
          <w:color w:val="000000" w:themeColor="text1"/>
        </w:rPr>
      </w:pPr>
      <w:r>
        <w:rPr>
          <w:color w:val="000000" w:themeColor="text1"/>
        </w:rPr>
        <w:t>W</w:t>
      </w:r>
      <w:r w:rsidRPr="6B370752">
        <w:rPr>
          <w:color w:val="000000" w:themeColor="text1"/>
        </w:rPr>
        <w:t>age estimates</w:t>
      </w:r>
      <w:r>
        <w:rPr>
          <w:color w:val="000000" w:themeColor="text1"/>
        </w:rPr>
        <w:t xml:space="preserve"> are </w:t>
      </w:r>
      <w:r w:rsidR="00BC6F31">
        <w:rPr>
          <w:color w:val="000000" w:themeColor="text1"/>
        </w:rPr>
        <w:t>derived</w:t>
      </w:r>
      <w:r>
        <w:rPr>
          <w:color w:val="000000" w:themeColor="text1"/>
        </w:rPr>
        <w:t xml:space="preserve"> from</w:t>
      </w:r>
      <w:r w:rsidRPr="6B370752">
        <w:rPr>
          <w:color w:val="000000" w:themeColor="text1"/>
        </w:rPr>
        <w:t xml:space="preserve"> Bureau of Labor Statistics</w:t>
      </w:r>
      <w:r w:rsidR="00095B72">
        <w:rPr>
          <w:color w:val="000000" w:themeColor="text1"/>
        </w:rPr>
        <w:t xml:space="preserve"> </w:t>
      </w:r>
      <w:r w:rsidR="00BC6F31">
        <w:rPr>
          <w:color w:val="000000" w:themeColor="text1"/>
        </w:rPr>
        <w:t xml:space="preserve">Occupational and Employment Wage Statistics </w:t>
      </w:r>
      <w:r w:rsidR="00095B72">
        <w:rPr>
          <w:color w:val="000000" w:themeColor="text1"/>
        </w:rPr>
        <w:t>data</w:t>
      </w:r>
      <w:r w:rsidR="0090086F">
        <w:rPr>
          <w:color w:val="000000" w:themeColor="text1"/>
        </w:rPr>
        <w:t>,</w:t>
      </w:r>
      <w:r>
        <w:rPr>
          <w:rStyle w:val="FootnoteReference"/>
          <w:color w:val="000000" w:themeColor="text1"/>
        </w:rPr>
        <w:footnoteReference w:id="5"/>
      </w:r>
      <w:r w:rsidR="00095B72">
        <w:rPr>
          <w:color w:val="000000" w:themeColor="text1"/>
        </w:rPr>
        <w:t xml:space="preserve"> including</w:t>
      </w:r>
      <w:r w:rsidRPr="6B370752">
        <w:rPr>
          <w:color w:val="000000" w:themeColor="text1"/>
        </w:rPr>
        <w:t xml:space="preserve"> </w:t>
      </w:r>
      <w:r w:rsidR="00845EC0">
        <w:rPr>
          <w:color w:val="000000" w:themeColor="text1"/>
        </w:rPr>
        <w:t xml:space="preserve">national </w:t>
      </w:r>
      <w:r w:rsidRPr="6B370752">
        <w:rPr>
          <w:color w:val="000000" w:themeColor="text1"/>
        </w:rPr>
        <w:t>average labor costs (including a 100 percent increase for fringe benefits and overhead) for estimating the burden associated with collecting manufacturer</w:t>
      </w:r>
      <w:r w:rsidR="00095B72">
        <w:rPr>
          <w:color w:val="000000" w:themeColor="text1"/>
        </w:rPr>
        <w:t>-</w:t>
      </w:r>
      <w:r w:rsidRPr="6B370752">
        <w:rPr>
          <w:color w:val="000000" w:themeColor="text1"/>
        </w:rPr>
        <w:t>specific data</w:t>
      </w:r>
      <w:r w:rsidR="00095B72">
        <w:rPr>
          <w:color w:val="000000" w:themeColor="text1"/>
        </w:rPr>
        <w:t xml:space="preserve"> and information collection </w:t>
      </w:r>
      <w:r w:rsidRPr="6B370752">
        <w:rPr>
          <w:color w:val="000000" w:themeColor="text1"/>
        </w:rPr>
        <w:t>from the public related to evidence about alternative treatments.</w:t>
      </w:r>
    </w:p>
    <w:p w:rsidR="00FE0E32" w:rsidRPr="00677625" w:rsidP="001571CF" w14:paraId="1930FF21" w14:textId="48A59570">
      <w:pPr>
        <w:pStyle w:val="Header3"/>
      </w:pPr>
      <w:r w:rsidRPr="13B0BCA9">
        <w:t>Manufacturer-Specific Data</w:t>
      </w:r>
    </w:p>
    <w:p w:rsidR="00234DFC" w:rsidP="00234DFC" w14:paraId="04919468" w14:textId="07FC1D49">
      <w:pPr>
        <w:tabs>
          <w:tab w:val="left" w:pos="720"/>
        </w:tabs>
        <w:suppressAutoHyphens/>
        <w:spacing w:line="240" w:lineRule="atLeast"/>
      </w:pPr>
      <w:r>
        <w:t>Some manufacturer-specific data described in sections 1193(a)(4) and 1194(e)(1) of the Act may already be collected from manufacturers by CMS or other federal agencies. For example, drug</w:t>
      </w:r>
      <w:r>
        <w:rPr>
          <w:spacing w:val="-2"/>
        </w:rPr>
        <w:t xml:space="preserve"> </w:t>
      </w:r>
      <w:r>
        <w:t>manufacturers</w:t>
      </w:r>
      <w:r>
        <w:rPr>
          <w:spacing w:val="-3"/>
        </w:rPr>
        <w:t xml:space="preserve"> </w:t>
      </w:r>
      <w:r>
        <w:t>currently</w:t>
      </w:r>
      <w:r>
        <w:rPr>
          <w:spacing w:val="-3"/>
        </w:rPr>
        <w:t xml:space="preserve"> </w:t>
      </w:r>
      <w:r>
        <w:t>submit</w:t>
      </w:r>
      <w:r>
        <w:rPr>
          <w:spacing w:val="-4"/>
        </w:rPr>
        <w:t xml:space="preserve"> </w:t>
      </w:r>
      <w:r>
        <w:t>data</w:t>
      </w:r>
      <w:r>
        <w:rPr>
          <w:spacing w:val="-3"/>
        </w:rPr>
        <w:t xml:space="preserve"> </w:t>
      </w:r>
      <w:r>
        <w:t>related</w:t>
      </w:r>
      <w:r>
        <w:rPr>
          <w:spacing w:val="-5"/>
        </w:rPr>
        <w:t xml:space="preserve"> </w:t>
      </w:r>
      <w:r>
        <w:t>to</w:t>
      </w:r>
      <w:r>
        <w:rPr>
          <w:spacing w:val="-3"/>
        </w:rPr>
        <w:t xml:space="preserve"> </w:t>
      </w:r>
      <w:r>
        <w:t>manufacturer</w:t>
      </w:r>
      <w:r>
        <w:rPr>
          <w:spacing w:val="-3"/>
        </w:rPr>
        <w:t xml:space="preserve"> </w:t>
      </w:r>
      <w:r>
        <w:t>financials,</w:t>
      </w:r>
      <w:r>
        <w:rPr>
          <w:spacing w:val="-3"/>
        </w:rPr>
        <w:t xml:space="preserve"> </w:t>
      </w:r>
      <w:r>
        <w:t>such</w:t>
      </w:r>
      <w:r>
        <w:rPr>
          <w:spacing w:val="-3"/>
        </w:rPr>
        <w:t xml:space="preserve"> </w:t>
      </w:r>
      <w:r>
        <w:t>as</w:t>
      </w:r>
      <w:r>
        <w:rPr>
          <w:spacing w:val="-3"/>
        </w:rPr>
        <w:t xml:space="preserve"> </w:t>
      </w:r>
      <w:r>
        <w:t>total</w:t>
      </w:r>
      <w:r>
        <w:rPr>
          <w:spacing w:val="-3"/>
        </w:rPr>
        <w:t xml:space="preserve"> net </w:t>
      </w:r>
      <w:r>
        <w:t>revenue</w:t>
      </w:r>
      <w:r>
        <w:rPr>
          <w:spacing w:val="-3"/>
        </w:rPr>
        <w:t xml:space="preserve"> </w:t>
      </w:r>
      <w:r>
        <w:t>(e.g.,</w:t>
      </w:r>
      <w:r>
        <w:rPr>
          <w:spacing w:val="-3"/>
        </w:rPr>
        <w:t xml:space="preserve"> </w:t>
      </w:r>
      <w:r>
        <w:t>10-K</w:t>
      </w:r>
      <w:r>
        <w:rPr>
          <w:spacing w:val="-4"/>
        </w:rPr>
        <w:t xml:space="preserve"> </w:t>
      </w:r>
      <w:r>
        <w:t>filings</w:t>
      </w:r>
      <w:r>
        <w:rPr>
          <w:spacing w:val="-4"/>
        </w:rPr>
        <w:t xml:space="preserve"> </w:t>
      </w:r>
      <w:r>
        <w:t>with</w:t>
      </w:r>
      <w:r>
        <w:rPr>
          <w:spacing w:val="-3"/>
        </w:rPr>
        <w:t xml:space="preserve"> </w:t>
      </w:r>
      <w:r>
        <w:t>the</w:t>
      </w:r>
      <w:r>
        <w:rPr>
          <w:spacing w:val="-3"/>
        </w:rPr>
        <w:t xml:space="preserve"> </w:t>
      </w:r>
      <w:r>
        <w:t>Securities</w:t>
      </w:r>
      <w:r>
        <w:rPr>
          <w:spacing w:val="-3"/>
        </w:rPr>
        <w:t xml:space="preserve"> </w:t>
      </w:r>
      <w:r>
        <w:t>and Exchange Commission). Additionally, in accordance with the terms of the National Drug Rebate Agreement and section 1927(b)(3)(A) of the Act, drug manufacturers participating in the Medicaid Drug Rebate Program (MDRP) are required to report Average Manufacturer Price (AMP) to CMS each quarter for their covered outpatient. For purposes of calculating the federal ceiling price, drug manufacturers also report the quarterly and annual non-Federal Average Manufacturer Price on an annual basis to the Department of Veterans Affairs (VA). The Federal Supply Schedule and the Big Four are prices negotiated by the VA and available publicly. In addition, some of the requested data may be publicly available, although CMS may not be able to ensure that such data are complete or up-to-date. A</w:t>
      </w:r>
      <w:r w:rsidRPr="001163D3">
        <w:t xml:space="preserve">s noted elsewhere, CMS has removed or revised certain requests for information </w:t>
      </w:r>
      <w:r>
        <w:t xml:space="preserve">from the draft ICR </w:t>
      </w:r>
      <w:r w:rsidRPr="001163D3">
        <w:t>to reduce burden</w:t>
      </w:r>
      <w:r>
        <w:t>. Ultimately, CMS believes that the Primary Manufacturer is best positioned to provide the requested data and the statute provides that manufacturers participating in the Negotiation Program will submit the requested data.</w:t>
      </w:r>
    </w:p>
    <w:p w:rsidR="6B370752" w:rsidP="6B370752" w14:paraId="28BC55C9" w14:textId="59081BEF">
      <w:pPr>
        <w:rPr>
          <w:color w:val="000000" w:themeColor="text1"/>
        </w:rPr>
      </w:pPr>
      <w:r>
        <w:t>Thus</w:t>
      </w:r>
      <w:r w:rsidR="005448DA">
        <w:t>,</w:t>
      </w:r>
      <w:r w:rsidR="00FE0E32">
        <w:t xml:space="preserve"> </w:t>
      </w:r>
      <w:r w:rsidR="002A2BF5">
        <w:t>Primary</w:t>
      </w:r>
      <w:r w:rsidR="000F3AA5">
        <w:t xml:space="preserve"> </w:t>
      </w:r>
      <w:r w:rsidR="00845EC0">
        <w:t>Ma</w:t>
      </w:r>
      <w:r w:rsidR="00FE0E32">
        <w:t>nufacturers have experience providing information similar to the negotiation factors outlined in section</w:t>
      </w:r>
      <w:r w:rsidR="00EA1192">
        <w:t>s 1193(a)(4)(A) and</w:t>
      </w:r>
      <w:r w:rsidR="00FE0E32">
        <w:t xml:space="preserve"> 1194</w:t>
      </w:r>
      <w:r>
        <w:t>(e)</w:t>
      </w:r>
      <w:r w:rsidR="00FE58BB">
        <w:t xml:space="preserve"> of the Act</w:t>
      </w:r>
      <w:r w:rsidRPr="6B370752">
        <w:rPr>
          <w:color w:val="000000" w:themeColor="text1"/>
        </w:rPr>
        <w:t>.</w:t>
      </w:r>
      <w:r w:rsidR="00FE0E32">
        <w:rPr>
          <w:color w:val="000000" w:themeColor="text1"/>
        </w:rPr>
        <w:t xml:space="preserve"> </w:t>
      </w:r>
      <w:r w:rsidRPr="6B370752">
        <w:rPr>
          <w:color w:val="000000" w:themeColor="text1"/>
        </w:rPr>
        <w:t xml:space="preserve">Table 1 presents the </w:t>
      </w:r>
      <w:r w:rsidR="00B8575B">
        <w:rPr>
          <w:color w:val="000000" w:themeColor="text1"/>
        </w:rPr>
        <w:t xml:space="preserve">estimated </w:t>
      </w:r>
      <w:r w:rsidRPr="6B370752">
        <w:rPr>
          <w:color w:val="000000" w:themeColor="text1"/>
        </w:rPr>
        <w:t>mean hourly wage, the cost of fringe benefits and overhead, the adjusted hourly wage</w:t>
      </w:r>
      <w:r>
        <w:rPr>
          <w:color w:val="000000" w:themeColor="text1"/>
        </w:rPr>
        <w:t xml:space="preserve"> (inclusive of fringe benefits and overhead)</w:t>
      </w:r>
      <w:r w:rsidRPr="6B370752">
        <w:rPr>
          <w:color w:val="000000" w:themeColor="text1"/>
        </w:rPr>
        <w:t>, total burden</w:t>
      </w:r>
      <w:r>
        <w:rPr>
          <w:color w:val="000000" w:themeColor="text1"/>
        </w:rPr>
        <w:t>,</w:t>
      </w:r>
      <w:r w:rsidRPr="6B370752">
        <w:rPr>
          <w:color w:val="000000" w:themeColor="text1"/>
        </w:rPr>
        <w:t xml:space="preserve"> and total cost</w:t>
      </w:r>
      <w:r w:rsidR="00B8575B">
        <w:rPr>
          <w:color w:val="000000" w:themeColor="text1"/>
        </w:rPr>
        <w:t xml:space="preserve"> to submit these data</w:t>
      </w:r>
      <w:r w:rsidRPr="6B370752">
        <w:rPr>
          <w:color w:val="000000" w:themeColor="text1"/>
        </w:rPr>
        <w:t>.</w:t>
      </w:r>
      <w:r>
        <w:rPr>
          <w:color w:val="000000" w:themeColor="text1"/>
        </w:rPr>
        <w:t xml:space="preserve"> </w:t>
      </w:r>
      <w:r w:rsidR="00B8575B">
        <w:rPr>
          <w:color w:val="000000" w:themeColor="text1"/>
        </w:rPr>
        <w:t xml:space="preserve">Although </w:t>
      </w:r>
      <w:r w:rsidR="0090086F">
        <w:rPr>
          <w:color w:val="000000" w:themeColor="text1"/>
        </w:rPr>
        <w:t xml:space="preserve">CMS </w:t>
      </w:r>
      <w:r w:rsidR="00B8575B">
        <w:rPr>
          <w:color w:val="000000" w:themeColor="text1"/>
        </w:rPr>
        <w:t>expect</w:t>
      </w:r>
      <w:r w:rsidR="0090086F">
        <w:rPr>
          <w:color w:val="000000" w:themeColor="text1"/>
        </w:rPr>
        <w:t>s</w:t>
      </w:r>
      <w:r w:rsidR="00B8575B">
        <w:rPr>
          <w:color w:val="000000" w:themeColor="text1"/>
        </w:rPr>
        <w:t xml:space="preserve"> </w:t>
      </w:r>
      <w:r w:rsidR="002A2BF5">
        <w:rPr>
          <w:color w:val="000000" w:themeColor="text1"/>
        </w:rPr>
        <w:t>Primary</w:t>
      </w:r>
      <w:r w:rsidR="000F3AA5">
        <w:rPr>
          <w:color w:val="000000" w:themeColor="text1"/>
        </w:rPr>
        <w:t xml:space="preserve"> </w:t>
      </w:r>
      <w:r w:rsidR="00B8575B">
        <w:rPr>
          <w:color w:val="000000" w:themeColor="text1"/>
        </w:rPr>
        <w:t>Manufacturers to have some of the data readily available for submission</w:t>
      </w:r>
      <w:r>
        <w:t xml:space="preserve">, </w:t>
      </w:r>
      <w:r w:rsidR="00B8575B">
        <w:t>there is some uncertainty to the estimate in Table 1 as some o</w:t>
      </w:r>
      <w:r>
        <w:t>f the data required may not be</w:t>
      </w:r>
      <w:r w:rsidRPr="6B370752">
        <w:rPr>
          <w:color w:val="000000" w:themeColor="text1"/>
        </w:rPr>
        <w:t xml:space="preserve"> readily </w:t>
      </w:r>
      <w:r>
        <w:rPr>
          <w:color w:val="000000" w:themeColor="text1"/>
        </w:rPr>
        <w:t>available</w:t>
      </w:r>
      <w:r w:rsidRPr="6B370752">
        <w:rPr>
          <w:color w:val="000000" w:themeColor="text1"/>
        </w:rPr>
        <w:t xml:space="preserve"> and may take time to compile, such as </w:t>
      </w:r>
      <w:r w:rsidR="009C7A3B">
        <w:rPr>
          <w:color w:val="000000" w:themeColor="text1"/>
        </w:rPr>
        <w:t>R&amp;D</w:t>
      </w:r>
      <w:r w:rsidRPr="6B370752">
        <w:rPr>
          <w:color w:val="000000" w:themeColor="text1"/>
        </w:rPr>
        <w:t xml:space="preserve"> costs that manufacturers have recouped, as required under </w:t>
      </w:r>
      <w:r>
        <w:rPr>
          <w:color w:val="000000" w:themeColor="text1"/>
        </w:rPr>
        <w:t xml:space="preserve">section </w:t>
      </w:r>
      <w:r w:rsidRPr="6B370752">
        <w:rPr>
          <w:color w:val="000000" w:themeColor="text1"/>
        </w:rPr>
        <w:t>1194(e)(1)</w:t>
      </w:r>
      <w:r w:rsidR="00FE58BB">
        <w:rPr>
          <w:color w:val="000000" w:themeColor="text1"/>
        </w:rPr>
        <w:t xml:space="preserve"> of the Act</w:t>
      </w:r>
      <w:r>
        <w:rPr>
          <w:color w:val="000000" w:themeColor="text1"/>
        </w:rPr>
        <w:t xml:space="preserve">. </w:t>
      </w:r>
      <w:r w:rsidR="0047721A">
        <w:rPr>
          <w:color w:val="000000" w:themeColor="text1"/>
        </w:rPr>
        <w:t>G</w:t>
      </w:r>
      <w:r w:rsidR="00B8575B">
        <w:rPr>
          <w:color w:val="000000" w:themeColor="text1"/>
        </w:rPr>
        <w:t xml:space="preserve">iven this uncertainty, </w:t>
      </w:r>
      <w:r w:rsidR="00FE0E32">
        <w:rPr>
          <w:color w:val="000000" w:themeColor="text1"/>
        </w:rPr>
        <w:t>the burden estimate is provided along with a high estimate and low estimate</w:t>
      </w:r>
      <w:r w:rsidR="00035B11">
        <w:rPr>
          <w:color w:val="000000" w:themeColor="text1"/>
        </w:rPr>
        <w:t xml:space="preserve"> in Table</w:t>
      </w:r>
      <w:r w:rsidR="008436C7">
        <w:rPr>
          <w:color w:val="000000" w:themeColor="text1"/>
        </w:rPr>
        <w:t> </w:t>
      </w:r>
      <w:r w:rsidR="00035B11">
        <w:rPr>
          <w:color w:val="000000" w:themeColor="text1"/>
        </w:rPr>
        <w:t>2</w:t>
      </w:r>
      <w:r w:rsidRPr="6B370752">
        <w:rPr>
          <w:color w:val="000000" w:themeColor="text1"/>
        </w:rPr>
        <w:t xml:space="preserve">. </w:t>
      </w:r>
    </w:p>
    <w:p w:rsidR="00FE0E32" w:rsidRPr="00FE0E32" w:rsidP="001571CF" w14:paraId="093A6C94" w14:textId="1A58BCF8">
      <w:pPr>
        <w:pStyle w:val="Header3"/>
      </w:pPr>
      <w:r w:rsidRPr="13B0BCA9">
        <w:t>Evidence About Alternative Treatments</w:t>
      </w:r>
    </w:p>
    <w:p w:rsidR="6B370752" w:rsidP="6B370752" w14:paraId="16624D11" w14:textId="2B567764">
      <w:r>
        <w:t xml:space="preserve">As previously noted, information on alternative treatments required by section 1194(e)(2) </w:t>
      </w:r>
      <w:r w:rsidR="00FE58BB">
        <w:t xml:space="preserve">of the Act </w:t>
      </w:r>
      <w:r>
        <w:t xml:space="preserve">may be gathered from several sources and submission of such information is voluntary and open to the </w:t>
      </w:r>
      <w:r w:rsidR="0031751A">
        <w:t>Primary M</w:t>
      </w:r>
      <w:r>
        <w:t xml:space="preserve">anufacturer of a selected drug as </w:t>
      </w:r>
      <w:r w:rsidRPr="001571CF">
        <w:t>well</w:t>
      </w:r>
      <w:r>
        <w:t xml:space="preserve"> as the public. Where possible, data </w:t>
      </w:r>
      <w:r w:rsidR="00B8575B">
        <w:t xml:space="preserve">are </w:t>
      </w:r>
      <w:r>
        <w:t xml:space="preserve">used to inform this burden estimate. However, </w:t>
      </w:r>
      <w:r w:rsidR="00B8575B">
        <w:t xml:space="preserve">there is considerable uncertainty as </w:t>
      </w:r>
      <w:r>
        <w:t xml:space="preserve">interested parties will differ in time spent gathering and submitting data, resources available to each party to submit such data, and other considerations that could impact the burden estimate. </w:t>
      </w:r>
    </w:p>
    <w:p w:rsidR="6B370752" w:rsidP="6B370752" w14:paraId="7CA65076" w14:textId="2F2EFA04">
      <w:r w:rsidRPr="6B370752">
        <w:t xml:space="preserve">CMS estimates the burden associated with data collection in two separate estimates below, one estimate </w:t>
      </w:r>
      <w:r w:rsidR="00C42ABB">
        <w:t xml:space="preserve">for the </w:t>
      </w:r>
      <w:r w:rsidR="0031751A">
        <w:t xml:space="preserve">Primary </w:t>
      </w:r>
      <w:r w:rsidR="000F3AA5">
        <w:t>M</w:t>
      </w:r>
      <w:r w:rsidR="00C42ABB">
        <w:t>anufacturer which includes</w:t>
      </w:r>
      <w:r w:rsidRPr="6B370752">
        <w:t xml:space="preserve"> the mandatory data collection </w:t>
      </w:r>
      <w:r w:rsidR="00C42ABB">
        <w:t>under</w:t>
      </w:r>
      <w:r w:rsidRPr="6B370752">
        <w:t xml:space="preserve"> </w:t>
      </w:r>
      <w:r w:rsidR="002123CC">
        <w:t xml:space="preserve">sections 1193(a)(4)(A) and </w:t>
      </w:r>
      <w:r w:rsidRPr="6B370752">
        <w:t xml:space="preserve">1194(e)(1) </w:t>
      </w:r>
      <w:r w:rsidR="00FE58BB">
        <w:t xml:space="preserve">of the Act </w:t>
      </w:r>
      <w:r w:rsidR="00C42ABB">
        <w:t xml:space="preserve">as well as </w:t>
      </w:r>
      <w:r w:rsidRPr="6B370752">
        <w:t xml:space="preserve">the </w:t>
      </w:r>
      <w:r w:rsidR="00845EC0">
        <w:t>optional submission of</w:t>
      </w:r>
      <w:r w:rsidRPr="6B370752">
        <w:t xml:space="preserve"> data </w:t>
      </w:r>
      <w:r w:rsidR="00C42ABB">
        <w:t>for 1194(e)(2)</w:t>
      </w:r>
      <w:r w:rsidR="00FE58BB">
        <w:t xml:space="preserve"> of the Act</w:t>
      </w:r>
      <w:r w:rsidR="00C42ABB">
        <w:t>;</w:t>
      </w:r>
      <w:r w:rsidRPr="6B370752">
        <w:t xml:space="preserve"> </w:t>
      </w:r>
      <w:r w:rsidR="00314911">
        <w:t xml:space="preserve">the second estimate is for </w:t>
      </w:r>
      <w:r w:rsidRPr="6B370752">
        <w:t xml:space="preserve">interested parties </w:t>
      </w:r>
      <w:r w:rsidR="00C42ABB">
        <w:t xml:space="preserve">submitting data for factors </w:t>
      </w:r>
      <w:r w:rsidRPr="6B370752">
        <w:t>under 1194(e)(2)</w:t>
      </w:r>
      <w:r w:rsidR="00FE58BB">
        <w:t xml:space="preserve"> of the Act</w:t>
      </w:r>
      <w:r w:rsidRPr="6B370752">
        <w:t>. CMS seeks comment on these estimates and assumptions.</w:t>
      </w:r>
      <w:r w:rsidR="00743B50">
        <w:t xml:space="preserve"> While data under section 1194(e)(2)</w:t>
      </w:r>
      <w:r w:rsidR="00FE58BB">
        <w:t xml:space="preserve"> of the Act</w:t>
      </w:r>
      <w:r w:rsidR="00743B50">
        <w:t xml:space="preserve"> is optional for the </w:t>
      </w:r>
      <w:r w:rsidR="002A2BF5">
        <w:t>Primary</w:t>
      </w:r>
      <w:r w:rsidR="000F3AA5">
        <w:t xml:space="preserve"> </w:t>
      </w:r>
      <w:r w:rsidR="00743B50">
        <w:t xml:space="preserve">Manufacturer, CMS expects the </w:t>
      </w:r>
      <w:r w:rsidR="002A2BF5">
        <w:t>Primary</w:t>
      </w:r>
      <w:r w:rsidR="000F3AA5">
        <w:t xml:space="preserve"> </w:t>
      </w:r>
      <w:r w:rsidR="00743B50">
        <w:t xml:space="preserve">Manufacturer will participate in this submission. </w:t>
      </w:r>
    </w:p>
    <w:p w:rsidR="6B370752" w:rsidRPr="00D45546" w:rsidP="00D45546" w14:paraId="4F3FB1CE" w14:textId="383A3841">
      <w:pPr>
        <w:pStyle w:val="Header3"/>
        <w:rPr>
          <w:u w:val="single"/>
        </w:rPr>
      </w:pPr>
      <w:r w:rsidRPr="001571CF">
        <w:rPr>
          <w:i w:val="0"/>
          <w:u w:val="single"/>
        </w:rPr>
        <w:t xml:space="preserve">A. Estimated Burden for </w:t>
      </w:r>
      <w:r w:rsidRPr="001571CF" w:rsidR="002A2BF5">
        <w:rPr>
          <w:i w:val="0"/>
          <w:u w:val="single"/>
        </w:rPr>
        <w:t>Primary</w:t>
      </w:r>
      <w:r w:rsidRPr="001571CF" w:rsidR="000F3AA5">
        <w:rPr>
          <w:i w:val="0"/>
          <w:u w:val="single"/>
        </w:rPr>
        <w:t xml:space="preserve"> </w:t>
      </w:r>
      <w:r w:rsidRPr="001571CF">
        <w:rPr>
          <w:i w:val="0"/>
          <w:u w:val="single"/>
        </w:rPr>
        <w:t xml:space="preserve">Manufacturers </w:t>
      </w:r>
    </w:p>
    <w:p w:rsidR="6B370752" w:rsidRPr="00D45546" w:rsidP="6B370752" w14:paraId="738FA7CF" w14:textId="14ADF14C">
      <w:r w:rsidRPr="6B370752">
        <w:t xml:space="preserve">CMS </w:t>
      </w:r>
      <w:r w:rsidR="009232D1">
        <w:t>anticipates</w:t>
      </w:r>
      <w:r w:rsidRPr="6B370752">
        <w:t xml:space="preserve"> collecting data for </w:t>
      </w:r>
      <w:r w:rsidR="008436C7">
        <w:t>10</w:t>
      </w:r>
      <w:r w:rsidRPr="6B370752" w:rsidR="008436C7">
        <w:t xml:space="preserve"> </w:t>
      </w:r>
      <w:r w:rsidR="00A025D5">
        <w:t>selected drugs</w:t>
      </w:r>
      <w:r w:rsidR="00FF40FD">
        <w:t xml:space="preserve"> for initial price applicability year 2026, which will be collected in 2023.</w:t>
      </w:r>
      <w:r w:rsidR="00552A30">
        <w:t xml:space="preserve"> For purposes of this</w:t>
      </w:r>
      <w:r w:rsidR="006E4D5D">
        <w:t xml:space="preserve"> information collection</w:t>
      </w:r>
      <w:r w:rsidR="00552A30">
        <w:t xml:space="preserve">, CMS assumes there will be </w:t>
      </w:r>
      <w:r w:rsidR="008436C7">
        <w:t xml:space="preserve">10 </w:t>
      </w:r>
      <w:r w:rsidR="00552A30">
        <w:t>Primary Manufacturers, one for each selected drug.</w:t>
      </w:r>
      <w:r w:rsidRPr="6B370752">
        <w:t xml:space="preserve"> </w:t>
      </w:r>
      <w:r w:rsidR="0005438B">
        <w:t>The</w:t>
      </w:r>
      <w:r w:rsidRPr="6B370752">
        <w:t xml:space="preserve"> collection of th</w:t>
      </w:r>
      <w:r w:rsidR="00314911">
        <w:t>ese</w:t>
      </w:r>
      <w:r w:rsidRPr="6B370752">
        <w:t xml:space="preserve"> data will be a one-time cost for each </w:t>
      </w:r>
      <w:r w:rsidR="00314911">
        <w:t xml:space="preserve">selected </w:t>
      </w:r>
      <w:r w:rsidRPr="6B370752">
        <w:t>drug</w:t>
      </w:r>
      <w:r w:rsidR="00FF40FD">
        <w:t xml:space="preserve"> and</w:t>
      </w:r>
      <w:r w:rsidR="0005438B">
        <w:t xml:space="preserve"> </w:t>
      </w:r>
      <w:r w:rsidRPr="6B370752">
        <w:t>CMS assumes each</w:t>
      </w:r>
      <w:r w:rsidR="00B178B3">
        <w:t xml:space="preserve"> </w:t>
      </w:r>
      <w:r w:rsidR="002A2BF5">
        <w:t>Primary</w:t>
      </w:r>
      <w:r w:rsidRPr="6B370752" w:rsidR="000F3AA5">
        <w:t xml:space="preserve"> </w:t>
      </w:r>
      <w:r w:rsidR="00B178B3">
        <w:t>M</w:t>
      </w:r>
      <w:r w:rsidRPr="6B370752">
        <w:t>anufacturer will spend, on average, the same amount of time to collect, aggregate, analyze, and report the data</w:t>
      </w:r>
      <w:r w:rsidR="0005438B">
        <w:t xml:space="preserve"> for a selected drug</w:t>
      </w:r>
      <w:r w:rsidRPr="6B370752">
        <w:t xml:space="preserve">. </w:t>
      </w:r>
      <w:r w:rsidR="00B178B3">
        <w:t>While</w:t>
      </w:r>
      <w:r w:rsidRPr="6B370752">
        <w:t xml:space="preserve"> </w:t>
      </w:r>
      <w:r w:rsidR="00B178B3">
        <w:t xml:space="preserve">a </w:t>
      </w:r>
      <w:r w:rsidR="002A2BF5">
        <w:t>Primary</w:t>
      </w:r>
      <w:r w:rsidRPr="6B370752" w:rsidR="000F3AA5">
        <w:t xml:space="preserve"> </w:t>
      </w:r>
      <w:r w:rsidR="00B178B3">
        <w:t>M</w:t>
      </w:r>
      <w:r w:rsidRPr="6B370752">
        <w:t xml:space="preserve">anufacturer may have multiple </w:t>
      </w:r>
      <w:r w:rsidR="0005438B">
        <w:t xml:space="preserve">selected </w:t>
      </w:r>
      <w:r w:rsidRPr="6B370752">
        <w:t>drugs, CMS assumes th</w:t>
      </w:r>
      <w:r w:rsidR="00B178B3">
        <w:t xml:space="preserve">at </w:t>
      </w:r>
      <w:r w:rsidR="002A2BF5">
        <w:t>Primary</w:t>
      </w:r>
      <w:r w:rsidR="000631AF">
        <w:t xml:space="preserve"> </w:t>
      </w:r>
      <w:r w:rsidR="00B178B3">
        <w:t>M</w:t>
      </w:r>
      <w:r w:rsidRPr="6B370752">
        <w:t xml:space="preserve">anufacturer would require the same time and effort to submit data for each selected drug. </w:t>
      </w:r>
    </w:p>
    <w:p w:rsidR="6B370752" w:rsidP="001571CF" w14:paraId="198F6ACC" w14:textId="38074A0D">
      <w:r w:rsidRPr="6B370752">
        <w:t>CMS estimates it will take a business operations specialist or team of business operations specialists, on average, 100 hours, at a cost of $77.28 per hour, to gather cost data and compile required information, as specified in the data elements instructions, such as data on prior Federal financial support, pending and approved patent applications, exclusivities recognized by the FDA and applications and approvals, and market data,</w:t>
      </w:r>
      <w:r w:rsidR="008436C7">
        <w:t xml:space="preserve"> and</w:t>
      </w:r>
      <w:r w:rsidRPr="6B370752">
        <w:t xml:space="preserve"> revenue and sales volume data. After the relevant data ha</w:t>
      </w:r>
      <w:r w:rsidR="008436C7">
        <w:t>ve</w:t>
      </w:r>
      <w:r w:rsidRPr="6B370752">
        <w:t xml:space="preserve"> been gathered and compiled, it is estimated that it will take an economist or team of economists, on average, 300 hours, at a cost of $116.18 per hour, to perform necessary economic analyses, including the </w:t>
      </w:r>
      <w:r w:rsidR="009C7A3B">
        <w:t>R&amp;D</w:t>
      </w:r>
      <w:r w:rsidRPr="6B370752">
        <w:t xml:space="preserve"> costs of the manufacturer for the drug and the </w:t>
      </w:r>
      <w:r w:rsidRPr="6B370752">
        <w:t xml:space="preserve">extent to which the manufacturer has recouped </w:t>
      </w:r>
      <w:r w:rsidR="009C7A3B">
        <w:t>R&amp;D</w:t>
      </w:r>
      <w:r w:rsidR="00396539">
        <w:t xml:space="preserve"> </w:t>
      </w:r>
      <w:r w:rsidRPr="6B370752">
        <w:t>costs, the selected drug’s cost of production and distribution, and other data elements specified in the data element instructions</w:t>
      </w:r>
      <w:r w:rsidR="00C572E5">
        <w:t xml:space="preserve">. Although submitting evidence about therapeutic alternatives is optional, this burden estimate assumes that </w:t>
      </w:r>
      <w:r w:rsidR="002F6D3F">
        <w:t xml:space="preserve">all </w:t>
      </w:r>
      <w:r w:rsidR="002A2BF5">
        <w:t>Primary</w:t>
      </w:r>
      <w:r w:rsidR="000631AF">
        <w:t xml:space="preserve"> </w:t>
      </w:r>
      <w:r w:rsidR="00C572E5">
        <w:t>Manufacturers will choose to</w:t>
      </w:r>
      <w:r w:rsidR="004703C9">
        <w:t xml:space="preserve"> perform analyses related to</w:t>
      </w:r>
      <w:r w:rsidRPr="6B370752">
        <w:t xml:space="preserve"> therapeutic advances </w:t>
      </w:r>
      <w:r w:rsidR="004703C9">
        <w:t>conferred</w:t>
      </w:r>
      <w:r w:rsidRPr="6B370752" w:rsidR="004703C9">
        <w:t xml:space="preserve"> </w:t>
      </w:r>
      <w:r w:rsidRPr="6B370752">
        <w:t xml:space="preserve">by the </w:t>
      </w:r>
      <w:r w:rsidR="004703C9">
        <w:t xml:space="preserve">selected </w:t>
      </w:r>
      <w:r w:rsidRPr="6B370752">
        <w:t>drug</w:t>
      </w:r>
      <w:r w:rsidR="004703C9">
        <w:t>,</w:t>
      </w:r>
      <w:r w:rsidRPr="6B370752">
        <w:t xml:space="preserve"> </w:t>
      </w:r>
      <w:r w:rsidR="004703C9">
        <w:t>the</w:t>
      </w:r>
      <w:r w:rsidRPr="6B370752" w:rsidR="004703C9">
        <w:t xml:space="preserve"> </w:t>
      </w:r>
      <w:r w:rsidRPr="6B370752">
        <w:t>costs of existing alternative</w:t>
      </w:r>
      <w:r w:rsidR="004703C9">
        <w:t>s, unmet medical need, and comparative effectiveness.</w:t>
      </w:r>
      <w:r w:rsidRPr="6B370752">
        <w:t xml:space="preserve"> </w:t>
      </w:r>
    </w:p>
    <w:p w:rsidR="00AD56BF" w:rsidRPr="00D45546" w:rsidP="00D45546" w14:paraId="0E6E30C2" w14:textId="21125251">
      <w:r w:rsidRPr="6B370752">
        <w:t xml:space="preserve">Once these analyses are performed, CMS estimates that it will take a financial manager, on average, 25 hours, at a cost of $147.56 </w:t>
      </w:r>
      <w:r w:rsidR="0075059F">
        <w:t>per</w:t>
      </w:r>
      <w:r w:rsidRPr="6B370752" w:rsidR="0075059F">
        <w:t xml:space="preserve"> </w:t>
      </w:r>
      <w:r w:rsidRPr="6B370752">
        <w:t>hour</w:t>
      </w:r>
      <w:r w:rsidR="0075059F">
        <w:t>.</w:t>
      </w:r>
      <w:r w:rsidRPr="6B370752">
        <w:t xml:space="preserve"> to review the results of all the analys</w:t>
      </w:r>
      <w:r w:rsidR="0075059F">
        <w:t>e</w:t>
      </w:r>
      <w:r w:rsidRPr="6B370752">
        <w:t>s and cost estimates prior to submission to CMS. Finally, CMS estimates that it will take a cost estimator, on average, 75 hours, at a cost of $70.90 per hour, to compile and report the required data to CMS, per the data element</w:t>
      </w:r>
      <w:r w:rsidR="00314911">
        <w:t xml:space="preserve"> form</w:t>
      </w:r>
      <w:r w:rsidRPr="6B370752">
        <w:t xml:space="preserve"> instructions. The cost estimates for one-time costs are presented in Table 1. The estimate yields a total burden of </w:t>
      </w:r>
      <w:r w:rsidR="00557962">
        <w:t>5,000</w:t>
      </w:r>
      <w:r w:rsidRPr="6B370752">
        <w:t xml:space="preserve"> hours (500 hrs.</w:t>
      </w:r>
      <w:r w:rsidR="0005438B">
        <w:t xml:space="preserve"> per </w:t>
      </w:r>
      <w:r w:rsidR="002A2BF5">
        <w:t>Primary</w:t>
      </w:r>
      <w:r w:rsidR="000631AF">
        <w:t xml:space="preserve"> </w:t>
      </w:r>
      <w:r w:rsidR="00B178B3">
        <w:t>M</w:t>
      </w:r>
      <w:r w:rsidR="0005438B">
        <w:t>anufacturer per selected drug</w:t>
      </w:r>
      <w:r w:rsidRPr="6B370752">
        <w:t xml:space="preserve"> * </w:t>
      </w:r>
      <w:r w:rsidR="00557962">
        <w:t>10</w:t>
      </w:r>
      <w:r w:rsidRPr="6B370752">
        <w:t xml:space="preserve"> </w:t>
      </w:r>
      <w:r w:rsidR="00B178B3">
        <w:t>selected drugs</w:t>
      </w:r>
      <w:r w:rsidRPr="6B370752">
        <w:t xml:space="preserve">) and total cost </w:t>
      </w:r>
      <w:r w:rsidR="0005438B">
        <w:t xml:space="preserve">of </w:t>
      </w:r>
      <w:r w:rsidR="00557962">
        <w:t xml:space="preserve">$515,885.00 for all </w:t>
      </w:r>
      <w:r w:rsidR="0075059F">
        <w:t xml:space="preserve">10 </w:t>
      </w:r>
      <w:r w:rsidR="00384EE2">
        <w:t xml:space="preserve">selected drugs </w:t>
      </w:r>
      <w:r w:rsidRPr="6B370752">
        <w:t>($51,588.50 per respondent</w:t>
      </w:r>
      <w:r w:rsidR="0005438B">
        <w:t xml:space="preserve"> per selected drug</w:t>
      </w:r>
      <w:r w:rsidRPr="6B370752">
        <w:t xml:space="preserve"> * </w:t>
      </w:r>
      <w:r w:rsidR="00557962">
        <w:t>10</w:t>
      </w:r>
      <w:r w:rsidRPr="6B370752" w:rsidR="00557962">
        <w:t xml:space="preserve"> </w:t>
      </w:r>
      <w:r w:rsidR="00B178B3">
        <w:t>selected drugs</w:t>
      </w:r>
      <w:r w:rsidRPr="6B370752">
        <w:t xml:space="preserve">). </w:t>
      </w:r>
    </w:p>
    <w:p w:rsidR="6B370752" w:rsidP="00F145AD" w14:paraId="20F22835" w14:textId="130C68D2">
      <w:pPr>
        <w:keepNext/>
        <w:jc w:val="center"/>
        <w:rPr>
          <w:color w:val="000000" w:themeColor="text1"/>
        </w:rPr>
      </w:pPr>
      <w:r w:rsidRPr="6B370752">
        <w:rPr>
          <w:b/>
          <w:bCs/>
          <w:color w:val="000000" w:themeColor="text1"/>
        </w:rPr>
        <w:t xml:space="preserve">TABLE 1: SUMMARY OF INFORMATION COLLECTION </w:t>
      </w:r>
      <w:r w:rsidR="00FE58BB">
        <w:rPr>
          <w:b/>
          <w:bCs/>
          <w:color w:val="000000" w:themeColor="text1"/>
        </w:rPr>
        <w:t xml:space="preserve">REQUEST </w:t>
      </w:r>
      <w:r w:rsidRPr="6B370752">
        <w:rPr>
          <w:b/>
          <w:bCs/>
          <w:color w:val="000000" w:themeColor="text1"/>
        </w:rPr>
        <w:t xml:space="preserve">BURDEN </w:t>
      </w:r>
      <w:r w:rsidR="00A025D5">
        <w:rPr>
          <w:b/>
          <w:bCs/>
          <w:color w:val="000000" w:themeColor="text1"/>
        </w:rPr>
        <w:t xml:space="preserve">FOR </w:t>
      </w:r>
      <w:r w:rsidR="00557962">
        <w:rPr>
          <w:b/>
          <w:bCs/>
          <w:color w:val="000000" w:themeColor="text1"/>
        </w:rPr>
        <w:t xml:space="preserve">10 </w:t>
      </w:r>
      <w:r w:rsidR="0005438B">
        <w:rPr>
          <w:b/>
          <w:bCs/>
          <w:color w:val="000000" w:themeColor="text1"/>
        </w:rPr>
        <w:t>SELECTED DRUG</w:t>
      </w:r>
      <w:r w:rsidR="00A025D5">
        <w:rPr>
          <w:b/>
          <w:bCs/>
          <w:color w:val="000000" w:themeColor="text1"/>
        </w:rPr>
        <w:t>S</w:t>
      </w:r>
      <w:r w:rsidR="0005438B">
        <w:rPr>
          <w:b/>
          <w:bCs/>
          <w:color w:val="000000" w:themeColor="text1"/>
        </w:rPr>
        <w:t xml:space="preserve"> FOR </w:t>
      </w:r>
      <w:r w:rsidR="00D87C05">
        <w:rPr>
          <w:b/>
          <w:bCs/>
          <w:color w:val="000000" w:themeColor="text1"/>
        </w:rPr>
        <w:t xml:space="preserve">INITIAL </w:t>
      </w:r>
      <w:r w:rsidR="0005438B">
        <w:rPr>
          <w:b/>
          <w:bCs/>
          <w:color w:val="000000" w:themeColor="text1"/>
        </w:rPr>
        <w:t>PRICE APPLICABILITY YEAR 202</w:t>
      </w:r>
      <w:r w:rsidR="00A025D5">
        <w:rPr>
          <w:b/>
          <w:bCs/>
          <w:color w:val="000000" w:themeColor="text1"/>
        </w:rPr>
        <w:t>6</w:t>
      </w:r>
    </w:p>
    <w:tbl>
      <w:tblPr>
        <w:tblStyle w:val="TableGrid"/>
        <w:tblW w:w="9535" w:type="dxa"/>
        <w:tblLayout w:type="fixed"/>
        <w:tblLook w:val="04A0"/>
      </w:tblPr>
      <w:tblGrid>
        <w:gridCol w:w="1975"/>
        <w:gridCol w:w="990"/>
        <w:gridCol w:w="1080"/>
        <w:gridCol w:w="1080"/>
        <w:gridCol w:w="1530"/>
        <w:gridCol w:w="1216"/>
        <w:gridCol w:w="1664"/>
      </w:tblGrid>
      <w:tr w14:paraId="6C80B580" w14:textId="77777777" w:rsidTr="000E08D8">
        <w:tblPrEx>
          <w:tblW w:w="9535" w:type="dxa"/>
          <w:tblLayout w:type="fixed"/>
          <w:tblLook w:val="04A0"/>
        </w:tblPrEx>
        <w:trPr>
          <w:tblHeader/>
        </w:trPr>
        <w:tc>
          <w:tcPr>
            <w:tcW w:w="1975" w:type="dxa"/>
            <w:vAlign w:val="center"/>
          </w:tcPr>
          <w:p w:rsidR="6B370752" w:rsidP="00F145AD" w14:paraId="258EAB8E" w14:textId="1DD6DCA0">
            <w:pPr>
              <w:keepNext/>
              <w:jc w:val="center"/>
            </w:pPr>
            <w:r w:rsidRPr="6B370752">
              <w:rPr>
                <w:b/>
                <w:bCs/>
              </w:rPr>
              <w:t>Occupation Title</w:t>
            </w:r>
          </w:p>
        </w:tc>
        <w:tc>
          <w:tcPr>
            <w:tcW w:w="990" w:type="dxa"/>
            <w:vAlign w:val="center"/>
          </w:tcPr>
          <w:p w:rsidR="6B370752" w:rsidP="00F145AD" w14:paraId="5711314E" w14:textId="0E86E328">
            <w:pPr>
              <w:keepNext/>
              <w:jc w:val="center"/>
            </w:pPr>
            <w:r w:rsidRPr="6B370752">
              <w:rPr>
                <w:b/>
                <w:bCs/>
              </w:rPr>
              <w:t>Mean Hourly Wage</w:t>
            </w:r>
          </w:p>
        </w:tc>
        <w:tc>
          <w:tcPr>
            <w:tcW w:w="1080" w:type="dxa"/>
            <w:vAlign w:val="center"/>
          </w:tcPr>
          <w:p w:rsidR="6B370752" w:rsidP="00F145AD" w14:paraId="32F0C9DC" w14:textId="124A05C3">
            <w:pPr>
              <w:keepNext/>
              <w:jc w:val="center"/>
            </w:pPr>
            <w:r w:rsidRPr="6B370752">
              <w:rPr>
                <w:b/>
                <w:bCs/>
              </w:rPr>
              <w:t>Cost per hour</w:t>
            </w:r>
            <w:r w:rsidR="00075362">
              <w:rPr>
                <w:b/>
                <w:bCs/>
              </w:rPr>
              <w:t>*</w:t>
            </w:r>
          </w:p>
        </w:tc>
        <w:tc>
          <w:tcPr>
            <w:tcW w:w="1080" w:type="dxa"/>
            <w:vAlign w:val="center"/>
          </w:tcPr>
          <w:p w:rsidR="6B370752" w:rsidP="00F145AD" w14:paraId="19AECC65" w14:textId="2164111B">
            <w:pPr>
              <w:keepNext/>
              <w:jc w:val="center"/>
            </w:pPr>
            <w:r w:rsidRPr="6B370752">
              <w:rPr>
                <w:b/>
                <w:bCs/>
              </w:rPr>
              <w:t># Hours</w:t>
            </w:r>
          </w:p>
        </w:tc>
        <w:tc>
          <w:tcPr>
            <w:tcW w:w="1530" w:type="dxa"/>
            <w:vAlign w:val="center"/>
          </w:tcPr>
          <w:p w:rsidR="6B370752" w:rsidP="00F145AD" w14:paraId="683297D1" w14:textId="799BC1C8">
            <w:pPr>
              <w:keepNext/>
              <w:jc w:val="center"/>
            </w:pPr>
            <w:r w:rsidRPr="6B370752">
              <w:rPr>
                <w:b/>
                <w:bCs/>
              </w:rPr>
              <w:t># Respondents</w:t>
            </w:r>
          </w:p>
        </w:tc>
        <w:tc>
          <w:tcPr>
            <w:tcW w:w="1216" w:type="dxa"/>
            <w:vAlign w:val="center"/>
          </w:tcPr>
          <w:p w:rsidR="6B370752" w:rsidP="00F145AD" w14:paraId="1BC1E372" w14:textId="26D288C2">
            <w:pPr>
              <w:keepNext/>
              <w:jc w:val="center"/>
            </w:pPr>
            <w:r w:rsidRPr="6B370752">
              <w:rPr>
                <w:b/>
                <w:bCs/>
              </w:rPr>
              <w:t>Total Burden Hours</w:t>
            </w:r>
          </w:p>
        </w:tc>
        <w:tc>
          <w:tcPr>
            <w:tcW w:w="1664" w:type="dxa"/>
            <w:vAlign w:val="center"/>
          </w:tcPr>
          <w:p w:rsidR="6B370752" w:rsidP="00F145AD" w14:paraId="1A30C9A7" w14:textId="3C5D049A">
            <w:pPr>
              <w:keepNext/>
              <w:jc w:val="center"/>
            </w:pPr>
            <w:r w:rsidRPr="6B370752">
              <w:rPr>
                <w:b/>
                <w:bCs/>
              </w:rPr>
              <w:t>Total Cost</w:t>
            </w:r>
          </w:p>
        </w:tc>
      </w:tr>
      <w:tr w14:paraId="0C98B2CF" w14:textId="77777777" w:rsidTr="000E08D8">
        <w:tblPrEx>
          <w:tblW w:w="9535" w:type="dxa"/>
          <w:tblLayout w:type="fixed"/>
          <w:tblLook w:val="04A0"/>
        </w:tblPrEx>
        <w:trPr>
          <w:tblHeader/>
        </w:trPr>
        <w:tc>
          <w:tcPr>
            <w:tcW w:w="1975" w:type="dxa"/>
            <w:vAlign w:val="center"/>
          </w:tcPr>
          <w:p w:rsidR="6B370752" w:rsidP="6B370752" w14:paraId="149D1EB9" w14:textId="1906402D">
            <w:r w:rsidRPr="6B370752">
              <w:t>Financial Manager (11-3031)</w:t>
            </w:r>
          </w:p>
        </w:tc>
        <w:tc>
          <w:tcPr>
            <w:tcW w:w="990" w:type="dxa"/>
            <w:vAlign w:val="center"/>
          </w:tcPr>
          <w:p w:rsidR="6B370752" w:rsidP="6B370752" w14:paraId="2E60464C" w14:textId="12BF9462">
            <w:r w:rsidRPr="6B370752">
              <w:t>$73.78</w:t>
            </w:r>
          </w:p>
        </w:tc>
        <w:tc>
          <w:tcPr>
            <w:tcW w:w="1080" w:type="dxa"/>
            <w:vAlign w:val="center"/>
          </w:tcPr>
          <w:p w:rsidR="6B370752" w:rsidP="6B370752" w14:paraId="6A87A5DA" w14:textId="2000E4BF">
            <w:r w:rsidRPr="6B370752">
              <w:t>$147.56</w:t>
            </w:r>
          </w:p>
        </w:tc>
        <w:tc>
          <w:tcPr>
            <w:tcW w:w="1080" w:type="dxa"/>
            <w:vAlign w:val="center"/>
          </w:tcPr>
          <w:p w:rsidR="6B370752" w:rsidP="6B370752" w14:paraId="6F7DD75A" w14:textId="0FBD1473">
            <w:pPr>
              <w:jc w:val="center"/>
            </w:pPr>
            <w:r w:rsidRPr="6B370752">
              <w:t>25</w:t>
            </w:r>
          </w:p>
        </w:tc>
        <w:tc>
          <w:tcPr>
            <w:tcW w:w="1530" w:type="dxa"/>
            <w:vAlign w:val="center"/>
          </w:tcPr>
          <w:p w:rsidR="6B370752" w:rsidP="6B370752" w14:paraId="65F2323C" w14:textId="16F0FC3F">
            <w:pPr>
              <w:jc w:val="center"/>
            </w:pPr>
            <w:r>
              <w:t>10</w:t>
            </w:r>
          </w:p>
        </w:tc>
        <w:tc>
          <w:tcPr>
            <w:tcW w:w="1216" w:type="dxa"/>
            <w:vAlign w:val="center"/>
          </w:tcPr>
          <w:p w:rsidR="6B370752" w:rsidP="6B370752" w14:paraId="252C4F7C" w14:textId="3609C2A5">
            <w:pPr>
              <w:jc w:val="center"/>
            </w:pPr>
            <w:r>
              <w:t>250</w:t>
            </w:r>
          </w:p>
        </w:tc>
        <w:tc>
          <w:tcPr>
            <w:tcW w:w="1664" w:type="dxa"/>
            <w:vAlign w:val="center"/>
          </w:tcPr>
          <w:p w:rsidR="6B370752" w:rsidP="6B370752" w14:paraId="5FB87C7B" w14:textId="2F7D11E7">
            <w:r>
              <w:t>$36,890.00</w:t>
            </w:r>
          </w:p>
        </w:tc>
      </w:tr>
      <w:tr w14:paraId="020A81CC" w14:textId="77777777" w:rsidTr="000E08D8">
        <w:tblPrEx>
          <w:tblW w:w="9535" w:type="dxa"/>
          <w:tblLayout w:type="fixed"/>
          <w:tblLook w:val="04A0"/>
        </w:tblPrEx>
        <w:trPr>
          <w:tblHeader/>
        </w:trPr>
        <w:tc>
          <w:tcPr>
            <w:tcW w:w="1975" w:type="dxa"/>
            <w:vAlign w:val="center"/>
          </w:tcPr>
          <w:p w:rsidR="6B370752" w:rsidP="6B370752" w14:paraId="007D68B9" w14:textId="7FC755AD">
            <w:r w:rsidRPr="6B370752">
              <w:t>Cost Estimator (13-1051)</w:t>
            </w:r>
          </w:p>
        </w:tc>
        <w:tc>
          <w:tcPr>
            <w:tcW w:w="990" w:type="dxa"/>
            <w:vAlign w:val="center"/>
          </w:tcPr>
          <w:p w:rsidR="6B370752" w:rsidP="6B370752" w14:paraId="200499B7" w14:textId="5EB35D19">
            <w:r w:rsidRPr="6B370752">
              <w:t>$35.45</w:t>
            </w:r>
          </w:p>
        </w:tc>
        <w:tc>
          <w:tcPr>
            <w:tcW w:w="1080" w:type="dxa"/>
            <w:vAlign w:val="center"/>
          </w:tcPr>
          <w:p w:rsidR="6B370752" w:rsidP="6B370752" w14:paraId="58875275" w14:textId="0F540993">
            <w:r w:rsidRPr="6B370752">
              <w:t>$70.90</w:t>
            </w:r>
          </w:p>
        </w:tc>
        <w:tc>
          <w:tcPr>
            <w:tcW w:w="1080" w:type="dxa"/>
            <w:vAlign w:val="center"/>
          </w:tcPr>
          <w:p w:rsidR="6B370752" w:rsidP="6B370752" w14:paraId="7451DF0A" w14:textId="364621D4">
            <w:pPr>
              <w:jc w:val="center"/>
            </w:pPr>
            <w:r w:rsidRPr="6B370752">
              <w:t>75</w:t>
            </w:r>
          </w:p>
        </w:tc>
        <w:tc>
          <w:tcPr>
            <w:tcW w:w="1530" w:type="dxa"/>
            <w:vAlign w:val="center"/>
          </w:tcPr>
          <w:p w:rsidR="6B370752" w:rsidP="6B370752" w14:paraId="38F01981" w14:textId="6C249C36">
            <w:pPr>
              <w:jc w:val="center"/>
            </w:pPr>
            <w:r>
              <w:t>10</w:t>
            </w:r>
          </w:p>
        </w:tc>
        <w:tc>
          <w:tcPr>
            <w:tcW w:w="1216" w:type="dxa"/>
            <w:vAlign w:val="center"/>
          </w:tcPr>
          <w:p w:rsidR="6B370752" w:rsidP="6B370752" w14:paraId="63389E52" w14:textId="5389C6E4">
            <w:pPr>
              <w:jc w:val="center"/>
            </w:pPr>
            <w:r>
              <w:t>750</w:t>
            </w:r>
          </w:p>
        </w:tc>
        <w:tc>
          <w:tcPr>
            <w:tcW w:w="1664" w:type="dxa"/>
            <w:vAlign w:val="center"/>
          </w:tcPr>
          <w:p w:rsidR="6B370752" w:rsidP="6B370752" w14:paraId="2E0643C3" w14:textId="679FFBA8">
            <w:r>
              <w:t>$53,175.00</w:t>
            </w:r>
          </w:p>
        </w:tc>
      </w:tr>
      <w:tr w14:paraId="06B351C7" w14:textId="77777777" w:rsidTr="000E08D8">
        <w:tblPrEx>
          <w:tblW w:w="9535" w:type="dxa"/>
          <w:tblLayout w:type="fixed"/>
          <w:tblLook w:val="04A0"/>
        </w:tblPrEx>
        <w:trPr>
          <w:tblHeader/>
        </w:trPr>
        <w:tc>
          <w:tcPr>
            <w:tcW w:w="1975" w:type="dxa"/>
            <w:vAlign w:val="center"/>
          </w:tcPr>
          <w:p w:rsidR="6B370752" w:rsidP="6B370752" w14:paraId="18AD5FF5" w14:textId="4F20C72D">
            <w:r w:rsidRPr="6B370752">
              <w:t>Business Operations Specialists (13-1000)</w:t>
            </w:r>
          </w:p>
        </w:tc>
        <w:tc>
          <w:tcPr>
            <w:tcW w:w="990" w:type="dxa"/>
            <w:vAlign w:val="center"/>
          </w:tcPr>
          <w:p w:rsidR="6B370752" w:rsidP="6B370752" w14:paraId="382C0E67" w14:textId="10E8F8B8">
            <w:r w:rsidRPr="6B370752">
              <w:t>$38.64</w:t>
            </w:r>
          </w:p>
        </w:tc>
        <w:tc>
          <w:tcPr>
            <w:tcW w:w="1080" w:type="dxa"/>
            <w:vAlign w:val="center"/>
          </w:tcPr>
          <w:p w:rsidR="6B370752" w:rsidP="6B370752" w14:paraId="2A90BE75" w14:textId="14ED29DD">
            <w:r w:rsidRPr="6B370752">
              <w:t>$77.28</w:t>
            </w:r>
          </w:p>
        </w:tc>
        <w:tc>
          <w:tcPr>
            <w:tcW w:w="1080" w:type="dxa"/>
            <w:vAlign w:val="center"/>
          </w:tcPr>
          <w:p w:rsidR="6B370752" w:rsidP="6B370752" w14:paraId="2735D10B" w14:textId="262F650A">
            <w:pPr>
              <w:jc w:val="center"/>
            </w:pPr>
            <w:r w:rsidRPr="6B370752">
              <w:t>100</w:t>
            </w:r>
          </w:p>
        </w:tc>
        <w:tc>
          <w:tcPr>
            <w:tcW w:w="1530" w:type="dxa"/>
            <w:vAlign w:val="center"/>
          </w:tcPr>
          <w:p w:rsidR="6B370752" w:rsidP="6B370752" w14:paraId="055FA3B4" w14:textId="7F864C45">
            <w:pPr>
              <w:jc w:val="center"/>
            </w:pPr>
            <w:r>
              <w:t>10</w:t>
            </w:r>
          </w:p>
        </w:tc>
        <w:tc>
          <w:tcPr>
            <w:tcW w:w="1216" w:type="dxa"/>
            <w:vAlign w:val="center"/>
          </w:tcPr>
          <w:p w:rsidR="6B370752" w:rsidP="6B370752" w14:paraId="620E4C2F" w14:textId="5E28F703">
            <w:pPr>
              <w:jc w:val="center"/>
            </w:pPr>
            <w:r>
              <w:t>1,000</w:t>
            </w:r>
          </w:p>
        </w:tc>
        <w:tc>
          <w:tcPr>
            <w:tcW w:w="1664" w:type="dxa"/>
            <w:vAlign w:val="center"/>
          </w:tcPr>
          <w:p w:rsidR="6B370752" w:rsidP="6B370752" w14:paraId="4EA22A7E" w14:textId="64992958">
            <w:r>
              <w:t>$77,280.00</w:t>
            </w:r>
          </w:p>
        </w:tc>
      </w:tr>
      <w:tr w14:paraId="45BBE682" w14:textId="77777777" w:rsidTr="000E08D8">
        <w:tblPrEx>
          <w:tblW w:w="9535" w:type="dxa"/>
          <w:tblLayout w:type="fixed"/>
          <w:tblLook w:val="04A0"/>
        </w:tblPrEx>
        <w:trPr>
          <w:tblHeader/>
        </w:trPr>
        <w:tc>
          <w:tcPr>
            <w:tcW w:w="1975" w:type="dxa"/>
            <w:vAlign w:val="center"/>
          </w:tcPr>
          <w:p w:rsidR="6B370752" w:rsidP="6B370752" w14:paraId="328E0B63" w14:textId="1949DC42">
            <w:r w:rsidRPr="6B370752">
              <w:t>Economist (19-3011)</w:t>
            </w:r>
          </w:p>
        </w:tc>
        <w:tc>
          <w:tcPr>
            <w:tcW w:w="990" w:type="dxa"/>
            <w:vAlign w:val="center"/>
          </w:tcPr>
          <w:p w:rsidR="6B370752" w:rsidP="6B370752" w14:paraId="62617AE0" w14:textId="2352D763">
            <w:r w:rsidRPr="6B370752">
              <w:t>$58.09</w:t>
            </w:r>
          </w:p>
        </w:tc>
        <w:tc>
          <w:tcPr>
            <w:tcW w:w="1080" w:type="dxa"/>
            <w:vAlign w:val="center"/>
          </w:tcPr>
          <w:p w:rsidR="6B370752" w:rsidP="6B370752" w14:paraId="77DDEF7A" w14:textId="17AA4BC6">
            <w:r w:rsidRPr="6B370752">
              <w:t>$116.18</w:t>
            </w:r>
          </w:p>
        </w:tc>
        <w:tc>
          <w:tcPr>
            <w:tcW w:w="1080" w:type="dxa"/>
            <w:vAlign w:val="center"/>
          </w:tcPr>
          <w:p w:rsidR="6B370752" w:rsidP="6B370752" w14:paraId="3E8BAD8F" w14:textId="325DD218">
            <w:pPr>
              <w:jc w:val="center"/>
            </w:pPr>
            <w:r w:rsidRPr="6B370752">
              <w:t>300</w:t>
            </w:r>
          </w:p>
        </w:tc>
        <w:tc>
          <w:tcPr>
            <w:tcW w:w="1530" w:type="dxa"/>
            <w:vAlign w:val="center"/>
          </w:tcPr>
          <w:p w:rsidR="6B370752" w:rsidP="6B370752" w14:paraId="522186CD" w14:textId="62D40D74">
            <w:pPr>
              <w:jc w:val="center"/>
            </w:pPr>
            <w:r>
              <w:t>10</w:t>
            </w:r>
          </w:p>
        </w:tc>
        <w:tc>
          <w:tcPr>
            <w:tcW w:w="1216" w:type="dxa"/>
            <w:vAlign w:val="center"/>
          </w:tcPr>
          <w:p w:rsidR="6B370752" w:rsidP="6B370752" w14:paraId="7A46BA74" w14:textId="7C14F7F9">
            <w:pPr>
              <w:jc w:val="center"/>
            </w:pPr>
            <w:r>
              <w:t>3,000</w:t>
            </w:r>
          </w:p>
        </w:tc>
        <w:tc>
          <w:tcPr>
            <w:tcW w:w="1664" w:type="dxa"/>
            <w:vAlign w:val="center"/>
          </w:tcPr>
          <w:p w:rsidR="6B370752" w:rsidP="6B370752" w14:paraId="36E91410" w14:textId="4B7A0DAF">
            <w:r>
              <w:t>$348,540.00</w:t>
            </w:r>
          </w:p>
        </w:tc>
      </w:tr>
      <w:tr w14:paraId="03D9FB82" w14:textId="77777777" w:rsidTr="000E08D8">
        <w:tblPrEx>
          <w:tblW w:w="9535" w:type="dxa"/>
          <w:tblLayout w:type="fixed"/>
          <w:tblLook w:val="04A0"/>
        </w:tblPrEx>
        <w:trPr>
          <w:tblHeader/>
        </w:trPr>
        <w:tc>
          <w:tcPr>
            <w:tcW w:w="1975" w:type="dxa"/>
            <w:vAlign w:val="center"/>
          </w:tcPr>
          <w:p w:rsidR="6B370752" w:rsidP="6B370752" w14:paraId="438F83C6" w14:textId="71092F77">
            <w:r w:rsidRPr="6B370752">
              <w:rPr>
                <w:b/>
                <w:bCs/>
              </w:rPr>
              <w:t xml:space="preserve">Total </w:t>
            </w:r>
            <w:r w:rsidR="00AF6205">
              <w:rPr>
                <w:b/>
                <w:bCs/>
              </w:rPr>
              <w:t>(10</w:t>
            </w:r>
            <w:r w:rsidR="00B67CB7">
              <w:rPr>
                <w:b/>
                <w:bCs/>
              </w:rPr>
              <w:t xml:space="preserve"> Manufacturer</w:t>
            </w:r>
            <w:r w:rsidR="00AF6205">
              <w:rPr>
                <w:b/>
                <w:bCs/>
              </w:rPr>
              <w:t>s)</w:t>
            </w:r>
          </w:p>
        </w:tc>
        <w:tc>
          <w:tcPr>
            <w:tcW w:w="990" w:type="dxa"/>
            <w:vAlign w:val="center"/>
          </w:tcPr>
          <w:p w:rsidR="6B370752" w:rsidRPr="004703C9" w:rsidP="004703C9" w14:paraId="24963C82" w14:textId="09F44BC0">
            <w:pPr>
              <w:jc w:val="center"/>
              <w:rPr>
                <w:b/>
              </w:rPr>
            </w:pPr>
            <w:r w:rsidRPr="004703C9">
              <w:rPr>
                <w:b/>
              </w:rPr>
              <w:t>-</w:t>
            </w:r>
          </w:p>
        </w:tc>
        <w:tc>
          <w:tcPr>
            <w:tcW w:w="1080" w:type="dxa"/>
            <w:vAlign w:val="center"/>
          </w:tcPr>
          <w:p w:rsidR="6B370752" w:rsidRPr="004703C9" w:rsidP="00494F23" w14:paraId="3897FAC0" w14:textId="440F1DCA">
            <w:pPr>
              <w:jc w:val="center"/>
              <w:rPr>
                <w:b/>
              </w:rPr>
            </w:pPr>
            <w:r w:rsidRPr="004703C9">
              <w:rPr>
                <w:b/>
              </w:rPr>
              <w:t>-</w:t>
            </w:r>
          </w:p>
        </w:tc>
        <w:tc>
          <w:tcPr>
            <w:tcW w:w="1080" w:type="dxa"/>
            <w:vAlign w:val="center"/>
          </w:tcPr>
          <w:p w:rsidR="6B370752" w:rsidRPr="004703C9" w:rsidP="6B370752" w14:paraId="012E5F4A" w14:textId="494C8661">
            <w:pPr>
              <w:jc w:val="center"/>
              <w:rPr>
                <w:b/>
              </w:rPr>
            </w:pPr>
            <w:r w:rsidRPr="004703C9">
              <w:rPr>
                <w:b/>
              </w:rPr>
              <w:t>5</w:t>
            </w:r>
            <w:r w:rsidR="00AF6205">
              <w:rPr>
                <w:b/>
              </w:rPr>
              <w:t>,</w:t>
            </w:r>
            <w:r w:rsidRPr="004703C9">
              <w:rPr>
                <w:b/>
              </w:rPr>
              <w:t>00</w:t>
            </w:r>
            <w:r w:rsidR="00AF6205">
              <w:rPr>
                <w:b/>
              </w:rPr>
              <w:t>0</w:t>
            </w:r>
          </w:p>
        </w:tc>
        <w:tc>
          <w:tcPr>
            <w:tcW w:w="1530" w:type="dxa"/>
            <w:vAlign w:val="center"/>
          </w:tcPr>
          <w:p w:rsidR="6B370752" w:rsidRPr="004703C9" w:rsidP="6B370752" w14:paraId="1C8EA66F" w14:textId="246BC0BA">
            <w:pPr>
              <w:jc w:val="center"/>
              <w:rPr>
                <w:b/>
              </w:rPr>
            </w:pPr>
            <w:r>
              <w:rPr>
                <w:b/>
              </w:rPr>
              <w:t>10</w:t>
            </w:r>
          </w:p>
        </w:tc>
        <w:tc>
          <w:tcPr>
            <w:tcW w:w="1216" w:type="dxa"/>
            <w:vAlign w:val="center"/>
          </w:tcPr>
          <w:p w:rsidR="6B370752" w:rsidRPr="004703C9" w:rsidP="6B370752" w14:paraId="4169EA64" w14:textId="54CD645B">
            <w:pPr>
              <w:jc w:val="center"/>
              <w:rPr>
                <w:b/>
              </w:rPr>
            </w:pPr>
            <w:r>
              <w:rPr>
                <w:b/>
              </w:rPr>
              <w:t>5,000</w:t>
            </w:r>
          </w:p>
        </w:tc>
        <w:tc>
          <w:tcPr>
            <w:tcW w:w="1664" w:type="dxa"/>
            <w:vAlign w:val="center"/>
          </w:tcPr>
          <w:p w:rsidR="6B370752" w:rsidRPr="004703C9" w:rsidP="6B370752" w14:paraId="1432D6C7" w14:textId="668FC728">
            <w:pPr>
              <w:rPr>
                <w:b/>
              </w:rPr>
            </w:pPr>
            <w:r>
              <w:rPr>
                <w:b/>
              </w:rPr>
              <w:t>$515,885.00</w:t>
            </w:r>
          </w:p>
        </w:tc>
      </w:tr>
      <w:tr w14:paraId="5680DB4B" w14:textId="77777777" w:rsidTr="000E08D8">
        <w:tblPrEx>
          <w:tblW w:w="9535" w:type="dxa"/>
          <w:tblLayout w:type="fixed"/>
          <w:tblLook w:val="04A0"/>
        </w:tblPrEx>
        <w:trPr>
          <w:tblHeader/>
        </w:trPr>
        <w:tc>
          <w:tcPr>
            <w:tcW w:w="1975" w:type="dxa"/>
            <w:vAlign w:val="center"/>
          </w:tcPr>
          <w:p w:rsidR="002B0E8E" w:rsidRPr="6B370752" w:rsidP="002B0E8E" w14:paraId="05D85625" w14:textId="6CEFBEB4">
            <w:pPr>
              <w:rPr>
                <w:b/>
                <w:bCs/>
              </w:rPr>
            </w:pPr>
            <w:r>
              <w:rPr>
                <w:b/>
                <w:bCs/>
              </w:rPr>
              <w:t>Total per Manufacturer</w:t>
            </w:r>
          </w:p>
        </w:tc>
        <w:tc>
          <w:tcPr>
            <w:tcW w:w="990" w:type="dxa"/>
            <w:vAlign w:val="center"/>
          </w:tcPr>
          <w:p w:rsidR="002B0E8E" w:rsidRPr="004703C9" w:rsidP="002B0E8E" w14:paraId="576D7712" w14:textId="4473DDE0">
            <w:pPr>
              <w:jc w:val="center"/>
              <w:rPr>
                <w:b/>
              </w:rPr>
            </w:pPr>
            <w:r>
              <w:rPr>
                <w:b/>
              </w:rPr>
              <w:t>-</w:t>
            </w:r>
          </w:p>
        </w:tc>
        <w:tc>
          <w:tcPr>
            <w:tcW w:w="1080" w:type="dxa"/>
            <w:vAlign w:val="center"/>
          </w:tcPr>
          <w:p w:rsidR="002B0E8E" w:rsidRPr="004703C9" w:rsidP="00F145AD" w14:paraId="1D7DDF22" w14:textId="2C13B62A">
            <w:pPr>
              <w:jc w:val="center"/>
              <w:rPr>
                <w:b/>
              </w:rPr>
            </w:pPr>
            <w:r>
              <w:rPr>
                <w:b/>
              </w:rPr>
              <w:t>-</w:t>
            </w:r>
          </w:p>
        </w:tc>
        <w:tc>
          <w:tcPr>
            <w:tcW w:w="1080" w:type="dxa"/>
            <w:vAlign w:val="center"/>
          </w:tcPr>
          <w:p w:rsidR="002B0E8E" w:rsidRPr="004703C9" w:rsidP="002B0E8E" w14:paraId="00E5DCEB" w14:textId="0B40304B">
            <w:pPr>
              <w:jc w:val="center"/>
              <w:rPr>
                <w:b/>
              </w:rPr>
            </w:pPr>
            <w:r>
              <w:rPr>
                <w:b/>
              </w:rPr>
              <w:t>500</w:t>
            </w:r>
          </w:p>
        </w:tc>
        <w:tc>
          <w:tcPr>
            <w:tcW w:w="1530" w:type="dxa"/>
            <w:vAlign w:val="center"/>
          </w:tcPr>
          <w:p w:rsidR="002B0E8E" w:rsidRPr="004703C9" w:rsidP="002B0E8E" w14:paraId="0D58D461" w14:textId="38896837">
            <w:pPr>
              <w:jc w:val="center"/>
              <w:rPr>
                <w:b/>
              </w:rPr>
            </w:pPr>
            <w:r>
              <w:rPr>
                <w:b/>
              </w:rPr>
              <w:t>1</w:t>
            </w:r>
          </w:p>
        </w:tc>
        <w:tc>
          <w:tcPr>
            <w:tcW w:w="1216" w:type="dxa"/>
            <w:vAlign w:val="center"/>
          </w:tcPr>
          <w:p w:rsidR="002B0E8E" w:rsidRPr="004703C9" w:rsidP="002B0E8E" w14:paraId="23D838C6" w14:textId="0A6FDDF3">
            <w:pPr>
              <w:jc w:val="center"/>
              <w:rPr>
                <w:b/>
              </w:rPr>
            </w:pPr>
            <w:r>
              <w:rPr>
                <w:b/>
              </w:rPr>
              <w:t>500</w:t>
            </w:r>
          </w:p>
        </w:tc>
        <w:tc>
          <w:tcPr>
            <w:tcW w:w="1664" w:type="dxa"/>
            <w:vAlign w:val="center"/>
          </w:tcPr>
          <w:p w:rsidR="002B0E8E" w:rsidRPr="004703C9" w:rsidP="002B0E8E" w14:paraId="3906D75D" w14:textId="00A27033">
            <w:pPr>
              <w:rPr>
                <w:b/>
              </w:rPr>
            </w:pPr>
            <w:r>
              <w:rPr>
                <w:b/>
              </w:rPr>
              <w:t>$51,588.50</w:t>
            </w:r>
          </w:p>
        </w:tc>
      </w:tr>
    </w:tbl>
    <w:p w:rsidR="6B370752" w:rsidRPr="00D45546" w:rsidP="6B370752" w14:paraId="0132CE72" w14:textId="5865AAC8">
      <w:pPr>
        <w:rPr>
          <w:color w:val="000000" w:themeColor="text1"/>
          <w:sz w:val="20"/>
          <w:szCs w:val="20"/>
        </w:rPr>
      </w:pPr>
      <w:r w:rsidRPr="13B0BCA9">
        <w:rPr>
          <w:i/>
          <w:iCs/>
          <w:color w:val="000000" w:themeColor="text1"/>
          <w:sz w:val="20"/>
          <w:szCs w:val="20"/>
        </w:rPr>
        <w:t xml:space="preserve">* </w:t>
      </w:r>
      <w:r w:rsidRPr="13B0BCA9">
        <w:rPr>
          <w:i/>
          <w:iCs/>
          <w:color w:val="000000" w:themeColor="text1"/>
          <w:sz w:val="20"/>
          <w:szCs w:val="20"/>
        </w:rPr>
        <w:t>As</w:t>
      </w:r>
      <w:r w:rsidRPr="13B0BCA9">
        <w:rPr>
          <w:i/>
          <w:iCs/>
          <w:color w:val="000000" w:themeColor="text1"/>
          <w:sz w:val="20"/>
          <w:szCs w:val="20"/>
        </w:rPr>
        <w:t xml:space="preserve"> previously noted,</w:t>
      </w:r>
      <w:r w:rsidRPr="13B0BCA9">
        <w:rPr>
          <w:i/>
          <w:iCs/>
          <w:color w:val="000000" w:themeColor="text1"/>
          <w:sz w:val="20"/>
          <w:szCs w:val="20"/>
        </w:rPr>
        <w:t xml:space="preserve"> </w:t>
      </w:r>
      <w:r w:rsidRPr="13B0BCA9">
        <w:rPr>
          <w:i/>
          <w:iCs/>
          <w:color w:val="000000" w:themeColor="text1"/>
          <w:sz w:val="20"/>
          <w:szCs w:val="20"/>
        </w:rPr>
        <w:t>this estimate assumes 100 percent increase to account for fringe benefits and overhead. This adjustment is a broad approximation as f</w:t>
      </w:r>
      <w:r w:rsidRPr="13B0BCA9">
        <w:rPr>
          <w:i/>
          <w:iCs/>
          <w:color w:val="000000" w:themeColor="text1"/>
          <w:sz w:val="20"/>
          <w:szCs w:val="20"/>
        </w:rPr>
        <w:t>ringe benefits and overhead costs vary significantly across employers and methods of estimating these costs vary widely across studies.</w:t>
      </w:r>
    </w:p>
    <w:p w:rsidR="00D45546" w:rsidRPr="00D45546" w:rsidP="00D45546" w14:paraId="12166FC6" w14:textId="54ACAF5F">
      <w:r>
        <w:t>A</w:t>
      </w:r>
      <w:r w:rsidRPr="6B370752" w:rsidR="6B370752">
        <w:t xml:space="preserve">n additional low </w:t>
      </w:r>
      <w:r>
        <w:t xml:space="preserve">estimate </w:t>
      </w:r>
      <w:r w:rsidRPr="6B370752" w:rsidR="6B370752">
        <w:t>and high estimate is provided in Table 2 below</w:t>
      </w:r>
      <w:r w:rsidR="00F947C4">
        <w:t xml:space="preserve"> to illustrate the possible variability for this burden estimate</w:t>
      </w:r>
      <w:r w:rsidRPr="6B370752" w:rsidR="6B370752">
        <w:t>. To calculate the low estimate, the base estimate (Table 1</w:t>
      </w:r>
      <w:r>
        <w:t xml:space="preserve"> Total</w:t>
      </w:r>
      <w:r w:rsidRPr="6B370752" w:rsidR="6B370752">
        <w:t xml:space="preserve">) has been reduced by half for each labor category. For the high estimate, the required time and </w:t>
      </w:r>
      <w:r w:rsidR="008D3655">
        <w:t>cost</w:t>
      </w:r>
      <w:r w:rsidRPr="6B370752" w:rsidR="008D3655">
        <w:t xml:space="preserve"> </w:t>
      </w:r>
      <w:r w:rsidRPr="6B370752" w:rsidR="6B370752">
        <w:t>associated with each labor category</w:t>
      </w:r>
      <w:r>
        <w:t xml:space="preserve"> from the base estimate</w:t>
      </w:r>
      <w:r w:rsidRPr="6B370752" w:rsidR="6B370752">
        <w:t xml:space="preserve"> has been doubled.</w:t>
      </w:r>
    </w:p>
    <w:p w:rsidR="6B370752" w:rsidP="00F145AD" w14:paraId="5A11FE54" w14:textId="5CA2A18F">
      <w:pPr>
        <w:keepNext/>
        <w:jc w:val="center"/>
        <w:rPr>
          <w:color w:val="000000" w:themeColor="text1"/>
        </w:rPr>
      </w:pPr>
      <w:r w:rsidRPr="6B370752">
        <w:rPr>
          <w:b/>
          <w:bCs/>
          <w:color w:val="000000" w:themeColor="text1"/>
        </w:rPr>
        <w:t>TABLE 2: COST RANGE ESTIMATES</w:t>
      </w:r>
      <w:r w:rsidR="006145D2">
        <w:rPr>
          <w:b/>
          <w:bCs/>
          <w:color w:val="000000" w:themeColor="text1"/>
        </w:rPr>
        <w:t xml:space="preserve"> FOR </w:t>
      </w:r>
      <w:r w:rsidR="002A2BF5">
        <w:rPr>
          <w:b/>
          <w:bCs/>
          <w:color w:val="000000" w:themeColor="text1"/>
        </w:rPr>
        <w:t>PRIMARY</w:t>
      </w:r>
      <w:r w:rsidR="000631AF">
        <w:rPr>
          <w:b/>
          <w:bCs/>
          <w:color w:val="000000" w:themeColor="text1"/>
        </w:rPr>
        <w:t xml:space="preserve"> </w:t>
      </w:r>
      <w:r w:rsidR="006145D2">
        <w:rPr>
          <w:b/>
          <w:bCs/>
          <w:color w:val="000000" w:themeColor="text1"/>
        </w:rPr>
        <w:t>MANUFACTURER</w:t>
      </w:r>
    </w:p>
    <w:tbl>
      <w:tblPr>
        <w:tblW w:w="0" w:type="auto"/>
        <w:tblLayout w:type="fixed"/>
        <w:tblLook w:val="04A0"/>
      </w:tblPr>
      <w:tblGrid>
        <w:gridCol w:w="2055"/>
        <w:gridCol w:w="2490"/>
        <w:gridCol w:w="2490"/>
        <w:gridCol w:w="2280"/>
      </w:tblGrid>
      <w:tr w14:paraId="74B07BEA" w14:textId="77777777" w:rsidTr="000E08D8">
        <w:tblPrEx>
          <w:tblW w:w="0" w:type="auto"/>
          <w:tblLayout w:type="fixed"/>
          <w:tblLook w:val="04A0"/>
        </w:tblPrEx>
        <w:trPr>
          <w:trHeight w:val="390"/>
          <w:tblHeader/>
        </w:trPr>
        <w:tc>
          <w:tcPr>
            <w:tcW w:w="2055" w:type="dxa"/>
            <w:tcBorders>
              <w:top w:val="single" w:sz="6" w:space="0" w:color="auto"/>
              <w:left w:val="single" w:sz="6" w:space="0" w:color="auto"/>
              <w:bottom w:val="single" w:sz="6" w:space="0" w:color="auto"/>
              <w:right w:val="single" w:sz="6" w:space="0" w:color="auto"/>
            </w:tcBorders>
          </w:tcPr>
          <w:p w:rsidR="6B370752" w:rsidP="00F145AD" w14:paraId="46F174F4" w14:textId="3A3F888D">
            <w:pPr>
              <w:keepNext/>
              <w:jc w:val="center"/>
            </w:pPr>
          </w:p>
        </w:tc>
        <w:tc>
          <w:tcPr>
            <w:tcW w:w="2490" w:type="dxa"/>
            <w:tcBorders>
              <w:top w:val="single" w:sz="6" w:space="0" w:color="auto"/>
              <w:left w:val="single" w:sz="6" w:space="0" w:color="auto"/>
              <w:bottom w:val="single" w:sz="6" w:space="0" w:color="auto"/>
              <w:right w:val="single" w:sz="6" w:space="0" w:color="auto"/>
            </w:tcBorders>
          </w:tcPr>
          <w:p w:rsidR="6B370752" w:rsidP="00F145AD" w14:paraId="21FA9D81" w14:textId="17A9904F">
            <w:pPr>
              <w:keepNext/>
              <w:jc w:val="center"/>
            </w:pPr>
            <w:r w:rsidRPr="6B370752">
              <w:rPr>
                <w:b/>
                <w:bCs/>
              </w:rPr>
              <w:t xml:space="preserve">Hours per Respondent </w:t>
            </w:r>
          </w:p>
        </w:tc>
        <w:tc>
          <w:tcPr>
            <w:tcW w:w="2490" w:type="dxa"/>
            <w:tcBorders>
              <w:top w:val="single" w:sz="6" w:space="0" w:color="auto"/>
              <w:left w:val="single" w:sz="6" w:space="0" w:color="auto"/>
              <w:bottom w:val="single" w:sz="6" w:space="0" w:color="auto"/>
              <w:right w:val="single" w:sz="6" w:space="0" w:color="auto"/>
            </w:tcBorders>
          </w:tcPr>
          <w:p w:rsidR="6B370752" w:rsidP="00F145AD" w14:paraId="0A4B4363" w14:textId="31520F83">
            <w:pPr>
              <w:keepNext/>
              <w:jc w:val="center"/>
            </w:pPr>
            <w:r w:rsidRPr="6B370752">
              <w:rPr>
                <w:b/>
                <w:bCs/>
              </w:rPr>
              <w:t>Cost per Respondent</w:t>
            </w:r>
          </w:p>
        </w:tc>
        <w:tc>
          <w:tcPr>
            <w:tcW w:w="2280" w:type="dxa"/>
            <w:tcBorders>
              <w:top w:val="single" w:sz="6" w:space="0" w:color="auto"/>
              <w:left w:val="single" w:sz="6" w:space="0" w:color="auto"/>
              <w:bottom w:val="single" w:sz="6" w:space="0" w:color="auto"/>
              <w:right w:val="single" w:sz="6" w:space="0" w:color="auto"/>
            </w:tcBorders>
          </w:tcPr>
          <w:p w:rsidR="6B370752" w:rsidP="00F145AD" w14:paraId="522A7009" w14:textId="79FDACD3">
            <w:pPr>
              <w:keepNext/>
              <w:jc w:val="center"/>
            </w:pPr>
            <w:r w:rsidRPr="6B370752">
              <w:rPr>
                <w:b/>
                <w:bCs/>
              </w:rPr>
              <w:t>Total Cost</w:t>
            </w:r>
          </w:p>
        </w:tc>
      </w:tr>
      <w:tr w14:paraId="5B9FDF63" w14:textId="77777777" w:rsidTr="000E08D8">
        <w:tblPrEx>
          <w:tblW w:w="0" w:type="auto"/>
          <w:tblLayout w:type="fixed"/>
          <w:tblLook w:val="04A0"/>
        </w:tblPrEx>
        <w:trPr>
          <w:trHeight w:val="390"/>
          <w:tblHeader/>
        </w:trPr>
        <w:tc>
          <w:tcPr>
            <w:tcW w:w="2055" w:type="dxa"/>
            <w:tcBorders>
              <w:top w:val="single" w:sz="6" w:space="0" w:color="auto"/>
              <w:left w:val="single" w:sz="6" w:space="0" w:color="auto"/>
              <w:bottom w:val="single" w:sz="6" w:space="0" w:color="auto"/>
              <w:right w:val="single" w:sz="6" w:space="0" w:color="auto"/>
            </w:tcBorders>
          </w:tcPr>
          <w:p w:rsidR="6B370752" w:rsidP="6B370752" w14:paraId="4B85F7D2" w14:textId="33697913">
            <w:pPr>
              <w:jc w:val="center"/>
            </w:pPr>
            <w:r w:rsidRPr="6B370752">
              <w:t>Low</w:t>
            </w:r>
            <w:r w:rsidR="008D3241">
              <w:t xml:space="preserve"> Estimate</w:t>
            </w:r>
          </w:p>
        </w:tc>
        <w:tc>
          <w:tcPr>
            <w:tcW w:w="2490" w:type="dxa"/>
            <w:tcBorders>
              <w:top w:val="single" w:sz="6" w:space="0" w:color="auto"/>
              <w:left w:val="single" w:sz="6" w:space="0" w:color="auto"/>
              <w:bottom w:val="single" w:sz="6" w:space="0" w:color="auto"/>
              <w:right w:val="single" w:sz="6" w:space="0" w:color="auto"/>
            </w:tcBorders>
          </w:tcPr>
          <w:p w:rsidR="6B370752" w:rsidP="6B370752" w14:paraId="10B60419" w14:textId="3B19DB02">
            <w:pPr>
              <w:jc w:val="center"/>
            </w:pPr>
            <w:r w:rsidRPr="6B370752">
              <w:t>250</w:t>
            </w:r>
          </w:p>
        </w:tc>
        <w:tc>
          <w:tcPr>
            <w:tcW w:w="2490" w:type="dxa"/>
            <w:tcBorders>
              <w:top w:val="single" w:sz="6" w:space="0" w:color="auto"/>
              <w:left w:val="single" w:sz="6" w:space="0" w:color="auto"/>
              <w:bottom w:val="single" w:sz="6" w:space="0" w:color="auto"/>
              <w:right w:val="single" w:sz="6" w:space="0" w:color="auto"/>
            </w:tcBorders>
          </w:tcPr>
          <w:p w:rsidR="6B370752" w:rsidP="6B370752" w14:paraId="0976B33B" w14:textId="7CD72178">
            <w:pPr>
              <w:jc w:val="center"/>
            </w:pPr>
            <w:r w:rsidRPr="6B370752">
              <w:t>$25,794.25</w:t>
            </w:r>
          </w:p>
        </w:tc>
        <w:tc>
          <w:tcPr>
            <w:tcW w:w="2280" w:type="dxa"/>
            <w:tcBorders>
              <w:top w:val="single" w:sz="6" w:space="0" w:color="auto"/>
              <w:left w:val="single" w:sz="6" w:space="0" w:color="auto"/>
              <w:bottom w:val="single" w:sz="6" w:space="0" w:color="auto"/>
              <w:right w:val="single" w:sz="6" w:space="0" w:color="auto"/>
            </w:tcBorders>
          </w:tcPr>
          <w:p w:rsidR="6B370752" w:rsidP="6B370752" w14:paraId="27435B91" w14:textId="34D82A0A">
            <w:pPr>
              <w:jc w:val="center"/>
            </w:pPr>
            <w:r>
              <w:t>$257,942.50</w:t>
            </w:r>
          </w:p>
        </w:tc>
      </w:tr>
      <w:tr w14:paraId="5B6C6F67" w14:textId="77777777" w:rsidTr="000E08D8">
        <w:tblPrEx>
          <w:tblW w:w="0" w:type="auto"/>
          <w:tblLayout w:type="fixed"/>
          <w:tblLook w:val="04A0"/>
        </w:tblPrEx>
        <w:trPr>
          <w:trHeight w:val="360"/>
          <w:tblHeader/>
        </w:trPr>
        <w:tc>
          <w:tcPr>
            <w:tcW w:w="2055" w:type="dxa"/>
            <w:tcBorders>
              <w:top w:val="single" w:sz="6" w:space="0" w:color="auto"/>
              <w:left w:val="single" w:sz="6" w:space="0" w:color="auto"/>
              <w:bottom w:val="single" w:sz="6" w:space="0" w:color="auto"/>
              <w:right w:val="single" w:sz="6" w:space="0" w:color="auto"/>
            </w:tcBorders>
          </w:tcPr>
          <w:p w:rsidR="009C2C22" w:rsidRPr="6B370752" w:rsidP="009C2C22" w14:paraId="0A32C0E8" w14:textId="31B9CCB3">
            <w:pPr>
              <w:jc w:val="center"/>
            </w:pPr>
            <w:r>
              <w:t>Base Estimate (from Table 1)</w:t>
            </w:r>
          </w:p>
        </w:tc>
        <w:tc>
          <w:tcPr>
            <w:tcW w:w="2490" w:type="dxa"/>
            <w:tcBorders>
              <w:top w:val="single" w:sz="6" w:space="0" w:color="auto"/>
              <w:left w:val="single" w:sz="6" w:space="0" w:color="auto"/>
              <w:bottom w:val="single" w:sz="6" w:space="0" w:color="auto"/>
              <w:right w:val="single" w:sz="6" w:space="0" w:color="auto"/>
            </w:tcBorders>
            <w:vAlign w:val="center"/>
          </w:tcPr>
          <w:p w:rsidR="009C2C22" w:rsidRPr="6B370752" w:rsidP="009C2C22" w14:paraId="581F4864" w14:textId="3FEECFAF">
            <w:pPr>
              <w:jc w:val="center"/>
            </w:pPr>
            <w:r>
              <w:t>500</w:t>
            </w:r>
          </w:p>
        </w:tc>
        <w:tc>
          <w:tcPr>
            <w:tcW w:w="2490" w:type="dxa"/>
            <w:tcBorders>
              <w:top w:val="single" w:sz="6" w:space="0" w:color="auto"/>
              <w:left w:val="single" w:sz="6" w:space="0" w:color="auto"/>
              <w:bottom w:val="single" w:sz="6" w:space="0" w:color="auto"/>
              <w:right w:val="single" w:sz="6" w:space="0" w:color="auto"/>
            </w:tcBorders>
            <w:vAlign w:val="center"/>
          </w:tcPr>
          <w:p w:rsidR="009C2C22" w:rsidRPr="6B370752" w:rsidP="009C2C22" w14:paraId="43290270" w14:textId="47A2528D">
            <w:pPr>
              <w:jc w:val="center"/>
            </w:pPr>
            <w:r>
              <w:t>$51,588.50</w:t>
            </w:r>
          </w:p>
        </w:tc>
        <w:tc>
          <w:tcPr>
            <w:tcW w:w="2280" w:type="dxa"/>
            <w:tcBorders>
              <w:top w:val="single" w:sz="6" w:space="0" w:color="auto"/>
              <w:left w:val="single" w:sz="6" w:space="0" w:color="auto"/>
              <w:bottom w:val="single" w:sz="6" w:space="0" w:color="auto"/>
              <w:right w:val="single" w:sz="6" w:space="0" w:color="auto"/>
            </w:tcBorders>
            <w:vAlign w:val="center"/>
          </w:tcPr>
          <w:p w:rsidR="009C2C22" w:rsidRPr="6B370752" w:rsidP="009C2C22" w14:paraId="174F61ED" w14:textId="63D199AC">
            <w:pPr>
              <w:jc w:val="center"/>
            </w:pPr>
            <w:r>
              <w:t>$515,885.00</w:t>
            </w:r>
          </w:p>
        </w:tc>
      </w:tr>
      <w:tr w14:paraId="4B84AFC9" w14:textId="77777777" w:rsidTr="000E08D8">
        <w:tblPrEx>
          <w:tblW w:w="0" w:type="auto"/>
          <w:tblLayout w:type="fixed"/>
          <w:tblLook w:val="04A0"/>
        </w:tblPrEx>
        <w:trPr>
          <w:trHeight w:val="360"/>
          <w:tblHeader/>
        </w:trPr>
        <w:tc>
          <w:tcPr>
            <w:tcW w:w="2055" w:type="dxa"/>
            <w:tcBorders>
              <w:top w:val="single" w:sz="6" w:space="0" w:color="auto"/>
              <w:left w:val="single" w:sz="6" w:space="0" w:color="auto"/>
              <w:bottom w:val="single" w:sz="6" w:space="0" w:color="auto"/>
              <w:right w:val="single" w:sz="6" w:space="0" w:color="auto"/>
            </w:tcBorders>
          </w:tcPr>
          <w:p w:rsidR="009C2C22" w:rsidP="009C2C22" w14:paraId="1D66F14A" w14:textId="3044A756">
            <w:pPr>
              <w:jc w:val="center"/>
            </w:pPr>
            <w:r w:rsidRPr="6B370752">
              <w:t>High</w:t>
            </w:r>
            <w:r>
              <w:t xml:space="preserve"> Estimate</w:t>
            </w:r>
          </w:p>
        </w:tc>
        <w:tc>
          <w:tcPr>
            <w:tcW w:w="2490" w:type="dxa"/>
            <w:tcBorders>
              <w:top w:val="single" w:sz="6" w:space="0" w:color="auto"/>
              <w:left w:val="single" w:sz="6" w:space="0" w:color="auto"/>
              <w:bottom w:val="single" w:sz="6" w:space="0" w:color="auto"/>
              <w:right w:val="single" w:sz="6" w:space="0" w:color="auto"/>
            </w:tcBorders>
          </w:tcPr>
          <w:p w:rsidR="009C2C22" w:rsidP="009C2C22" w14:paraId="51B6CE01" w14:textId="206A7D30">
            <w:pPr>
              <w:jc w:val="center"/>
            </w:pPr>
            <w:r w:rsidRPr="6B370752">
              <w:t>1,000</w:t>
            </w:r>
          </w:p>
        </w:tc>
        <w:tc>
          <w:tcPr>
            <w:tcW w:w="2490" w:type="dxa"/>
            <w:tcBorders>
              <w:top w:val="single" w:sz="6" w:space="0" w:color="auto"/>
              <w:left w:val="single" w:sz="6" w:space="0" w:color="auto"/>
              <w:bottom w:val="single" w:sz="6" w:space="0" w:color="auto"/>
              <w:right w:val="single" w:sz="6" w:space="0" w:color="auto"/>
            </w:tcBorders>
          </w:tcPr>
          <w:p w:rsidR="009C2C22" w:rsidP="009C2C22" w14:paraId="1562A108" w14:textId="0EA3AE3C">
            <w:pPr>
              <w:jc w:val="center"/>
            </w:pPr>
            <w:r w:rsidRPr="6B370752">
              <w:t>$103,177.00</w:t>
            </w:r>
          </w:p>
        </w:tc>
        <w:tc>
          <w:tcPr>
            <w:tcW w:w="2280" w:type="dxa"/>
            <w:tcBorders>
              <w:top w:val="single" w:sz="6" w:space="0" w:color="auto"/>
              <w:left w:val="single" w:sz="6" w:space="0" w:color="auto"/>
              <w:bottom w:val="single" w:sz="6" w:space="0" w:color="auto"/>
              <w:right w:val="single" w:sz="6" w:space="0" w:color="auto"/>
            </w:tcBorders>
          </w:tcPr>
          <w:p w:rsidR="009C2C22" w:rsidP="009C2C22" w14:paraId="6E7148F6" w14:textId="7B0145BB">
            <w:pPr>
              <w:jc w:val="center"/>
            </w:pPr>
            <w:r>
              <w:t>$1,031,770.00</w:t>
            </w:r>
          </w:p>
        </w:tc>
      </w:tr>
    </w:tbl>
    <w:p w:rsidR="6B370752" w:rsidP="6B370752" w14:paraId="1BDE3576" w14:textId="3BBD4E8A">
      <w:pPr>
        <w:rPr>
          <w:color w:val="000000" w:themeColor="text1"/>
        </w:rPr>
      </w:pPr>
    </w:p>
    <w:p w:rsidR="6B370752" w:rsidRPr="00D45546" w:rsidP="00D45546" w14:paraId="0A99C527" w14:textId="01CAB794">
      <w:pPr>
        <w:pStyle w:val="Header3"/>
        <w:rPr>
          <w:u w:val="single"/>
        </w:rPr>
      </w:pPr>
      <w:r w:rsidRPr="001571CF">
        <w:rPr>
          <w:i w:val="0"/>
          <w:u w:val="single"/>
        </w:rPr>
        <w:t xml:space="preserve">B. Estimated Burden for General Public </w:t>
      </w:r>
    </w:p>
    <w:p w:rsidR="6B370752" w:rsidP="6B370752" w14:paraId="55857D00" w14:textId="56ECB641">
      <w:r w:rsidRPr="6B370752">
        <w:t xml:space="preserve">To generate burden estimates CMS reviewed the public feedback that was received for </w:t>
      </w:r>
      <w:r w:rsidR="008D3241">
        <w:t>the</w:t>
      </w:r>
      <w:r w:rsidRPr="6B370752">
        <w:t xml:space="preserve"> International Pricing Index Model for Medicare Part B Drugs advance notice of proposed rulemaking (ANPRM) (83 </w:t>
      </w:r>
      <w:r w:rsidR="00743B50">
        <w:t>C</w:t>
      </w:r>
      <w:r w:rsidR="000E6378">
        <w:t>.</w:t>
      </w:r>
      <w:r w:rsidRPr="6B370752">
        <w:t>F</w:t>
      </w:r>
      <w:r w:rsidR="000E6378">
        <w:t>.</w:t>
      </w:r>
      <w:r w:rsidRPr="6B370752">
        <w:t>R</w:t>
      </w:r>
      <w:r w:rsidR="000E6378">
        <w:t>.</w:t>
      </w:r>
      <w:r w:rsidRPr="6B370752">
        <w:t xml:space="preserve"> </w:t>
      </w:r>
      <w:r w:rsidRPr="00D562C5" w:rsidR="00AB6E93">
        <w:rPr>
          <w:shd w:val="clear" w:color="auto" w:fill="FFFFFF"/>
        </w:rPr>
        <w:t>§</w:t>
      </w:r>
      <w:r w:rsidR="00AB6E93">
        <w:rPr>
          <w:shd w:val="clear" w:color="auto" w:fill="FFFFFF"/>
        </w:rPr>
        <w:t xml:space="preserve"> </w:t>
      </w:r>
      <w:r w:rsidRPr="6B370752">
        <w:t>54546). The ANPRM sought public comment on potential options CMS would consider for testing changes to payment for certain separately payable Part</w:t>
      </w:r>
      <w:r w:rsidR="00AB6E93">
        <w:t> </w:t>
      </w:r>
      <w:r w:rsidRPr="6B370752">
        <w:t xml:space="preserve">B drugs and biologicals. CMS received 3,946 timely comments related to the International Pricing Index Model. Of the comments received, 3,686 were received from individual commenters, the remaining 260 comment letters were received from organizations. Given the similar subject matter of the International Pricing Index Model and the information collection related to drug therapeutic advances and alternatives and other information listed in section 1194(e)(2), CMS </w:t>
      </w:r>
      <w:r w:rsidR="008D3241">
        <w:t>will use these comment counts</w:t>
      </w:r>
      <w:r w:rsidRPr="6B370752">
        <w:t xml:space="preserve"> a</w:t>
      </w:r>
      <w:r w:rsidR="008D3241">
        <w:t>s</w:t>
      </w:r>
      <w:r w:rsidRPr="6B370752">
        <w:t xml:space="preserve"> </w:t>
      </w:r>
      <w:r w:rsidR="008D3241">
        <w:t xml:space="preserve">the </w:t>
      </w:r>
      <w:r w:rsidRPr="6B370752">
        <w:t>basis to reasonably estimate the number of respon</w:t>
      </w:r>
      <w:r w:rsidR="008D3241">
        <w:t xml:space="preserve">ses expected for the submission of section 1194(e)(2) </w:t>
      </w:r>
      <w:r w:rsidR="00FE58BB">
        <w:t xml:space="preserve">of the Act </w:t>
      </w:r>
      <w:r w:rsidR="008D3241">
        <w:t>data for a selected drug</w:t>
      </w:r>
      <w:r w:rsidRPr="6B370752">
        <w:t xml:space="preserve">. </w:t>
      </w:r>
    </w:p>
    <w:p w:rsidR="00D45546" w:rsidRPr="0058366F" w:rsidP="00D45546" w14:paraId="16BAC9EA" w14:textId="1C265016">
      <w:r w:rsidRPr="6B370752">
        <w:t>This estimate assumes as many as 3,000 individual respondents may spend, on average, 2</w:t>
      </w:r>
      <w:r w:rsidR="00AB6E93">
        <w:t> </w:t>
      </w:r>
      <w:r w:rsidRPr="6B370752">
        <w:t xml:space="preserve">hours to review literature and submit information to CMS for </w:t>
      </w:r>
      <w:r w:rsidR="00A030E1">
        <w:t xml:space="preserve">a </w:t>
      </w:r>
      <w:r w:rsidRPr="6B370752">
        <w:t xml:space="preserve">selected drug. Additionally, CMS assumes that there will be other organizations that develop responses that will take additional resources. CMS estimates that 300 organizations may take, on average, 20 hours to review literature and submit information to CMS. The </w:t>
      </w:r>
      <w:r w:rsidR="00AB6E93">
        <w:t xml:space="preserve">U.S. </w:t>
      </w:r>
      <w:r w:rsidR="008D3241">
        <w:t>B</w:t>
      </w:r>
      <w:r w:rsidR="00AB6E93">
        <w:t xml:space="preserve">ureau of </w:t>
      </w:r>
      <w:r w:rsidR="008D3241">
        <w:t>L</w:t>
      </w:r>
      <w:r w:rsidR="00AB6E93">
        <w:t>abor Statistics’</w:t>
      </w:r>
      <w:r w:rsidR="008D3241">
        <w:t xml:space="preserve"> </w:t>
      </w:r>
      <w:r w:rsidRPr="6B370752">
        <w:t xml:space="preserve">labor category of </w:t>
      </w:r>
      <w:r w:rsidR="008D3241">
        <w:t>“</w:t>
      </w:r>
      <w:r w:rsidRPr="6B370752">
        <w:t>all occupations</w:t>
      </w:r>
      <w:r w:rsidR="008D3241">
        <w:t>”</w:t>
      </w:r>
      <w:r w:rsidRPr="6B370752">
        <w:t xml:space="preserve"> was used for this estimate given individual and organizational labor estimates will vary; the estimate overhead </w:t>
      </w:r>
      <w:r w:rsidR="00F947C4">
        <w:t>and</w:t>
      </w:r>
      <w:r w:rsidRPr="6B370752" w:rsidR="00F947C4">
        <w:t xml:space="preserve"> </w:t>
      </w:r>
      <w:r w:rsidRPr="6B370752">
        <w:t>fringe</w:t>
      </w:r>
      <w:r w:rsidR="001E2C84">
        <w:t xml:space="preserve"> benefits</w:t>
      </w:r>
      <w:r w:rsidR="00F947C4">
        <w:t xml:space="preserve"> at 100 percent of the hourly wage</w:t>
      </w:r>
      <w:r w:rsidRPr="6B370752">
        <w:t>. This estimate yields a total burden of 12,000 hours (3.63 hrs. * 3,300 respondents) and total cost</w:t>
      </w:r>
      <w:r w:rsidR="009F7F96">
        <w:t xml:space="preserve"> of</w:t>
      </w:r>
      <w:r w:rsidRPr="6B370752">
        <w:t xml:space="preserve"> $</w:t>
      </w:r>
      <w:r w:rsidR="00F947C4">
        <w:t>672,240</w:t>
      </w:r>
      <w:r w:rsidRPr="6B370752">
        <w:t>.00 dollars (12,000 hrs. * $</w:t>
      </w:r>
      <w:r w:rsidR="00F947C4">
        <w:t>56.02</w:t>
      </w:r>
      <w:r w:rsidRPr="6B370752">
        <w:t>), as displayed in Table 3.</w:t>
      </w:r>
    </w:p>
    <w:p w:rsidR="6B370752" w:rsidP="00F145AD" w14:paraId="6FCC2B1A" w14:textId="344CD930">
      <w:pPr>
        <w:keepNext/>
        <w:jc w:val="center"/>
        <w:rPr>
          <w:color w:val="000000" w:themeColor="text1"/>
        </w:rPr>
      </w:pPr>
      <w:r w:rsidRPr="6B370752">
        <w:rPr>
          <w:b/>
          <w:bCs/>
          <w:color w:val="000000" w:themeColor="text1"/>
        </w:rPr>
        <w:t xml:space="preserve">TABLE 3: SUMMARY OF INFORMATION COLLECTION </w:t>
      </w:r>
      <w:r w:rsidR="00FE58BB">
        <w:rPr>
          <w:b/>
          <w:bCs/>
          <w:color w:val="000000" w:themeColor="text1"/>
        </w:rPr>
        <w:t xml:space="preserve">REQUEST </w:t>
      </w:r>
      <w:r w:rsidRPr="6B370752">
        <w:rPr>
          <w:b/>
          <w:bCs/>
          <w:color w:val="000000" w:themeColor="text1"/>
        </w:rPr>
        <w:t>FOR PUBLIC FEEDBACK</w:t>
      </w:r>
      <w:r w:rsidR="00A025D5">
        <w:rPr>
          <w:b/>
          <w:bCs/>
          <w:color w:val="000000" w:themeColor="text1"/>
        </w:rPr>
        <w:t xml:space="preserve"> FOR </w:t>
      </w:r>
      <w:r w:rsidR="0027373F">
        <w:rPr>
          <w:b/>
          <w:bCs/>
          <w:color w:val="000000" w:themeColor="text1"/>
        </w:rPr>
        <w:t xml:space="preserve">10 </w:t>
      </w:r>
      <w:r w:rsidR="00A025D5">
        <w:rPr>
          <w:b/>
          <w:bCs/>
          <w:color w:val="000000" w:themeColor="text1"/>
        </w:rPr>
        <w:t xml:space="preserve">SELECTED DRUGS FOR </w:t>
      </w:r>
      <w:r w:rsidR="00D87C05">
        <w:rPr>
          <w:b/>
          <w:bCs/>
          <w:color w:val="000000" w:themeColor="text1"/>
        </w:rPr>
        <w:t xml:space="preserve">INITIAL </w:t>
      </w:r>
      <w:r w:rsidR="00A025D5">
        <w:rPr>
          <w:b/>
          <w:bCs/>
          <w:color w:val="000000" w:themeColor="text1"/>
        </w:rPr>
        <w:t>PRICE APPLICABILITY YEAR 2026</w:t>
      </w:r>
    </w:p>
    <w:tbl>
      <w:tblPr>
        <w:tblW w:w="9360" w:type="dxa"/>
        <w:tblLayout w:type="fixed"/>
        <w:tblLook w:val="04A0"/>
      </w:tblPr>
      <w:tblGrid>
        <w:gridCol w:w="1522"/>
        <w:gridCol w:w="1440"/>
        <w:gridCol w:w="1080"/>
        <w:gridCol w:w="1530"/>
        <w:gridCol w:w="1170"/>
        <w:gridCol w:w="1170"/>
        <w:gridCol w:w="1448"/>
      </w:tblGrid>
      <w:tr w14:paraId="2EB066C1" w14:textId="77777777" w:rsidTr="000E08D8">
        <w:tblPrEx>
          <w:tblW w:w="9360" w:type="dxa"/>
          <w:tblLayout w:type="fixed"/>
          <w:tblLook w:val="04A0"/>
        </w:tblPrEx>
        <w:trPr>
          <w:trHeight w:val="540"/>
          <w:tblHeader/>
        </w:trPr>
        <w:tc>
          <w:tcPr>
            <w:tcW w:w="1522" w:type="dxa"/>
            <w:tcBorders>
              <w:top w:val="single" w:sz="6" w:space="0" w:color="auto"/>
              <w:left w:val="single" w:sz="6" w:space="0" w:color="auto"/>
              <w:bottom w:val="single" w:sz="6" w:space="0" w:color="auto"/>
              <w:right w:val="single" w:sz="6" w:space="0" w:color="auto"/>
            </w:tcBorders>
            <w:vAlign w:val="center"/>
          </w:tcPr>
          <w:p w:rsidR="6B370752" w:rsidP="00F145AD" w14:paraId="3F4E9D42" w14:textId="6FAF5085">
            <w:pPr>
              <w:keepNext/>
              <w:jc w:val="center"/>
              <w:rPr>
                <w:color w:val="000000" w:themeColor="text1"/>
              </w:rPr>
            </w:pPr>
            <w:r w:rsidRPr="6B370752">
              <w:rPr>
                <w:b/>
                <w:bCs/>
                <w:color w:val="000000" w:themeColor="text1"/>
              </w:rPr>
              <w:t>Type of Respondent</w:t>
            </w:r>
          </w:p>
        </w:tc>
        <w:tc>
          <w:tcPr>
            <w:tcW w:w="1440" w:type="dxa"/>
            <w:tcBorders>
              <w:top w:val="single" w:sz="6" w:space="0" w:color="auto"/>
              <w:left w:val="single" w:sz="6" w:space="0" w:color="auto"/>
              <w:bottom w:val="single" w:sz="6" w:space="0" w:color="auto"/>
              <w:right w:val="single" w:sz="6" w:space="0" w:color="auto"/>
            </w:tcBorders>
            <w:vAlign w:val="center"/>
          </w:tcPr>
          <w:p w:rsidR="6B370752" w:rsidP="00F145AD" w14:paraId="36E6764D" w14:textId="3E86C408">
            <w:pPr>
              <w:keepNext/>
              <w:jc w:val="center"/>
              <w:rPr>
                <w:color w:val="000000" w:themeColor="text1"/>
              </w:rPr>
            </w:pPr>
            <w:r w:rsidRPr="6B370752">
              <w:rPr>
                <w:b/>
                <w:bCs/>
                <w:color w:val="000000" w:themeColor="text1"/>
              </w:rPr>
              <w:t>Occupation Title</w:t>
            </w:r>
          </w:p>
        </w:tc>
        <w:tc>
          <w:tcPr>
            <w:tcW w:w="1080" w:type="dxa"/>
            <w:tcBorders>
              <w:top w:val="single" w:sz="6" w:space="0" w:color="auto"/>
              <w:left w:val="single" w:sz="6" w:space="0" w:color="auto"/>
              <w:bottom w:val="single" w:sz="6" w:space="0" w:color="auto"/>
              <w:right w:val="single" w:sz="6" w:space="0" w:color="auto"/>
            </w:tcBorders>
            <w:vAlign w:val="center"/>
          </w:tcPr>
          <w:p w:rsidR="6B370752" w:rsidP="00F145AD" w14:paraId="70BFC1D4" w14:textId="67E756B1">
            <w:pPr>
              <w:keepNext/>
              <w:jc w:val="center"/>
            </w:pPr>
            <w:r w:rsidRPr="6B370752">
              <w:rPr>
                <w:b/>
                <w:bCs/>
              </w:rPr>
              <w:t>Mean Hourly Wage</w:t>
            </w:r>
            <w:r w:rsidR="00F947C4">
              <w:rPr>
                <w:b/>
                <w:bCs/>
              </w:rPr>
              <w:t>*</w:t>
            </w:r>
          </w:p>
        </w:tc>
        <w:tc>
          <w:tcPr>
            <w:tcW w:w="1530" w:type="dxa"/>
            <w:tcBorders>
              <w:top w:val="single" w:sz="6" w:space="0" w:color="auto"/>
              <w:left w:val="single" w:sz="6" w:space="0" w:color="auto"/>
              <w:bottom w:val="single" w:sz="6" w:space="0" w:color="auto"/>
              <w:right w:val="single" w:sz="6" w:space="0" w:color="auto"/>
            </w:tcBorders>
            <w:vAlign w:val="center"/>
          </w:tcPr>
          <w:p w:rsidR="6B370752" w:rsidP="00F145AD" w14:paraId="345DB84D" w14:textId="0C794DC6">
            <w:pPr>
              <w:keepNext/>
              <w:jc w:val="center"/>
              <w:rPr>
                <w:color w:val="000000" w:themeColor="text1"/>
              </w:rPr>
            </w:pPr>
            <w:r>
              <w:rPr>
                <w:b/>
                <w:bCs/>
                <w:color w:val="000000" w:themeColor="text1"/>
              </w:rPr>
              <w:t>#</w:t>
            </w:r>
            <w:r w:rsidRPr="6B370752">
              <w:rPr>
                <w:b/>
                <w:bCs/>
                <w:color w:val="000000" w:themeColor="text1"/>
              </w:rPr>
              <w:t xml:space="preserve"> Respondents</w:t>
            </w:r>
          </w:p>
        </w:tc>
        <w:tc>
          <w:tcPr>
            <w:tcW w:w="1170" w:type="dxa"/>
            <w:tcBorders>
              <w:top w:val="single" w:sz="6" w:space="0" w:color="auto"/>
              <w:left w:val="single" w:sz="6" w:space="0" w:color="auto"/>
              <w:bottom w:val="single" w:sz="6" w:space="0" w:color="auto"/>
              <w:right w:val="single" w:sz="6" w:space="0" w:color="auto"/>
            </w:tcBorders>
            <w:vAlign w:val="center"/>
          </w:tcPr>
          <w:p w:rsidR="6B370752" w:rsidP="00F145AD" w14:paraId="4C186A36" w14:textId="3A0D29E6">
            <w:pPr>
              <w:keepNext/>
              <w:jc w:val="center"/>
              <w:rPr>
                <w:color w:val="000000" w:themeColor="text1"/>
              </w:rPr>
            </w:pPr>
            <w:r w:rsidRPr="6B370752">
              <w:rPr>
                <w:b/>
                <w:bCs/>
                <w:color w:val="000000" w:themeColor="text1"/>
              </w:rPr>
              <w:t>Hours per response</w:t>
            </w:r>
          </w:p>
        </w:tc>
        <w:tc>
          <w:tcPr>
            <w:tcW w:w="1170" w:type="dxa"/>
            <w:tcBorders>
              <w:top w:val="single" w:sz="6" w:space="0" w:color="auto"/>
              <w:left w:val="single" w:sz="6" w:space="0" w:color="auto"/>
              <w:bottom w:val="single" w:sz="6" w:space="0" w:color="auto"/>
              <w:right w:val="single" w:sz="6" w:space="0" w:color="auto"/>
            </w:tcBorders>
            <w:vAlign w:val="center"/>
          </w:tcPr>
          <w:p w:rsidR="6B370752" w:rsidP="00F145AD" w14:paraId="05C0F7CD" w14:textId="367ADD9A">
            <w:pPr>
              <w:keepNext/>
              <w:jc w:val="center"/>
              <w:rPr>
                <w:color w:val="000000" w:themeColor="text1"/>
              </w:rPr>
            </w:pPr>
            <w:r w:rsidRPr="6B370752">
              <w:rPr>
                <w:b/>
                <w:bCs/>
                <w:color w:val="000000" w:themeColor="text1"/>
              </w:rPr>
              <w:t>Total hours</w:t>
            </w:r>
          </w:p>
        </w:tc>
        <w:tc>
          <w:tcPr>
            <w:tcW w:w="1448" w:type="dxa"/>
            <w:tcBorders>
              <w:top w:val="single" w:sz="6" w:space="0" w:color="auto"/>
              <w:left w:val="single" w:sz="6" w:space="0" w:color="auto"/>
              <w:bottom w:val="single" w:sz="6" w:space="0" w:color="auto"/>
              <w:right w:val="single" w:sz="6" w:space="0" w:color="auto"/>
            </w:tcBorders>
            <w:vAlign w:val="center"/>
          </w:tcPr>
          <w:p w:rsidR="6B370752" w:rsidP="00F145AD" w14:paraId="6B42B551" w14:textId="2E7B9E5C">
            <w:pPr>
              <w:keepNext/>
              <w:jc w:val="center"/>
              <w:rPr>
                <w:color w:val="000000" w:themeColor="text1"/>
              </w:rPr>
            </w:pPr>
            <w:r w:rsidRPr="6B370752">
              <w:rPr>
                <w:b/>
                <w:bCs/>
                <w:color w:val="000000" w:themeColor="text1"/>
              </w:rPr>
              <w:t>Total Cost</w:t>
            </w:r>
          </w:p>
        </w:tc>
      </w:tr>
      <w:tr w14:paraId="2607FABD" w14:textId="77777777" w:rsidTr="000E08D8">
        <w:tblPrEx>
          <w:tblW w:w="9360" w:type="dxa"/>
          <w:tblLayout w:type="fixed"/>
          <w:tblLook w:val="04A0"/>
        </w:tblPrEx>
        <w:trPr>
          <w:trHeight w:val="585"/>
          <w:tblHeader/>
        </w:trPr>
        <w:tc>
          <w:tcPr>
            <w:tcW w:w="1522" w:type="dxa"/>
            <w:tcBorders>
              <w:top w:val="single" w:sz="6" w:space="0" w:color="auto"/>
              <w:left w:val="single" w:sz="6" w:space="0" w:color="auto"/>
              <w:bottom w:val="single" w:sz="6" w:space="0" w:color="auto"/>
              <w:right w:val="single" w:sz="6" w:space="0" w:color="auto"/>
            </w:tcBorders>
            <w:vAlign w:val="center"/>
          </w:tcPr>
          <w:p w:rsidR="6B370752" w:rsidP="6B370752" w14:paraId="29B33C73" w14:textId="6A936B76">
            <w:pPr>
              <w:jc w:val="center"/>
              <w:rPr>
                <w:color w:val="000000" w:themeColor="text1"/>
              </w:rPr>
            </w:pPr>
          </w:p>
          <w:p w:rsidR="6B370752" w:rsidP="6B370752" w14:paraId="707F6BAA" w14:textId="50D09734">
            <w:pPr>
              <w:jc w:val="center"/>
              <w:rPr>
                <w:color w:val="000000" w:themeColor="text1"/>
              </w:rPr>
            </w:pPr>
            <w:r w:rsidRPr="6B370752">
              <w:rPr>
                <w:color w:val="000000" w:themeColor="text1"/>
              </w:rPr>
              <w:t>Individual</w:t>
            </w:r>
          </w:p>
        </w:tc>
        <w:tc>
          <w:tcPr>
            <w:tcW w:w="1440" w:type="dxa"/>
            <w:tcBorders>
              <w:top w:val="single" w:sz="6" w:space="0" w:color="auto"/>
              <w:left w:val="single" w:sz="6" w:space="0" w:color="auto"/>
              <w:bottom w:val="single" w:sz="6" w:space="0" w:color="auto"/>
              <w:right w:val="single" w:sz="6" w:space="0" w:color="auto"/>
            </w:tcBorders>
            <w:vAlign w:val="center"/>
          </w:tcPr>
          <w:p w:rsidR="6B370752" w:rsidP="6B370752" w14:paraId="72FCD118" w14:textId="3CBCBF66">
            <w:pPr>
              <w:jc w:val="center"/>
              <w:rPr>
                <w:color w:val="000000" w:themeColor="text1"/>
              </w:rPr>
            </w:pPr>
            <w:r w:rsidRPr="6B370752">
              <w:rPr>
                <w:color w:val="000000" w:themeColor="text1"/>
              </w:rPr>
              <w:t>All Occupations 00-0000</w:t>
            </w:r>
          </w:p>
        </w:tc>
        <w:tc>
          <w:tcPr>
            <w:tcW w:w="1080" w:type="dxa"/>
            <w:tcBorders>
              <w:top w:val="single" w:sz="6" w:space="0" w:color="auto"/>
              <w:left w:val="single" w:sz="6" w:space="0" w:color="auto"/>
              <w:bottom w:val="single" w:sz="6" w:space="0" w:color="auto"/>
              <w:right w:val="single" w:sz="6" w:space="0" w:color="auto"/>
            </w:tcBorders>
            <w:vAlign w:val="center"/>
          </w:tcPr>
          <w:p w:rsidR="6B370752" w:rsidP="6B370752" w14:paraId="5F4DD237" w14:textId="0352198D">
            <w:pPr>
              <w:jc w:val="center"/>
              <w:rPr>
                <w:color w:val="000000" w:themeColor="text1"/>
              </w:rPr>
            </w:pPr>
            <w:r w:rsidRPr="6B370752">
              <w:rPr>
                <w:color w:val="000000" w:themeColor="text1"/>
              </w:rPr>
              <w:t>$</w:t>
            </w:r>
            <w:r w:rsidR="00F947C4">
              <w:rPr>
                <w:color w:val="000000" w:themeColor="text1"/>
              </w:rPr>
              <w:t>56.02</w:t>
            </w:r>
          </w:p>
        </w:tc>
        <w:tc>
          <w:tcPr>
            <w:tcW w:w="1530" w:type="dxa"/>
            <w:tcBorders>
              <w:top w:val="single" w:sz="6" w:space="0" w:color="auto"/>
              <w:left w:val="single" w:sz="6" w:space="0" w:color="auto"/>
              <w:bottom w:val="single" w:sz="6" w:space="0" w:color="auto"/>
              <w:right w:val="single" w:sz="6" w:space="0" w:color="auto"/>
            </w:tcBorders>
            <w:vAlign w:val="center"/>
          </w:tcPr>
          <w:p w:rsidR="6B370752" w:rsidP="6B370752" w14:paraId="57BA695B" w14:textId="3F19045A">
            <w:pPr>
              <w:jc w:val="center"/>
              <w:rPr>
                <w:color w:val="000000" w:themeColor="text1"/>
              </w:rPr>
            </w:pPr>
            <w:r w:rsidRPr="6B370752">
              <w:rPr>
                <w:color w:val="000000" w:themeColor="text1"/>
              </w:rPr>
              <w:t>3</w:t>
            </w:r>
            <w:r w:rsidR="001D710D">
              <w:rPr>
                <w:color w:val="000000" w:themeColor="text1"/>
              </w:rPr>
              <w:t>,</w:t>
            </w:r>
            <w:r w:rsidRPr="6B370752">
              <w:rPr>
                <w:color w:val="000000" w:themeColor="text1"/>
              </w:rPr>
              <w:t>000</w:t>
            </w:r>
          </w:p>
        </w:tc>
        <w:tc>
          <w:tcPr>
            <w:tcW w:w="1170" w:type="dxa"/>
            <w:tcBorders>
              <w:top w:val="single" w:sz="6" w:space="0" w:color="auto"/>
              <w:left w:val="single" w:sz="6" w:space="0" w:color="auto"/>
              <w:bottom w:val="single" w:sz="6" w:space="0" w:color="auto"/>
              <w:right w:val="single" w:sz="6" w:space="0" w:color="auto"/>
            </w:tcBorders>
            <w:vAlign w:val="center"/>
          </w:tcPr>
          <w:p w:rsidR="6B370752" w:rsidP="6B370752" w14:paraId="0420F361" w14:textId="01155564">
            <w:pPr>
              <w:jc w:val="center"/>
              <w:rPr>
                <w:color w:val="000000" w:themeColor="text1"/>
              </w:rPr>
            </w:pPr>
            <w:r w:rsidRPr="6B370752">
              <w:rPr>
                <w:color w:val="000000" w:themeColor="text1"/>
              </w:rPr>
              <w:t>2</w:t>
            </w:r>
          </w:p>
        </w:tc>
        <w:tc>
          <w:tcPr>
            <w:tcW w:w="1170" w:type="dxa"/>
            <w:tcBorders>
              <w:top w:val="single" w:sz="6" w:space="0" w:color="auto"/>
              <w:left w:val="single" w:sz="6" w:space="0" w:color="auto"/>
              <w:bottom w:val="single" w:sz="6" w:space="0" w:color="auto"/>
              <w:right w:val="single" w:sz="6" w:space="0" w:color="auto"/>
            </w:tcBorders>
            <w:vAlign w:val="center"/>
          </w:tcPr>
          <w:p w:rsidR="6B370752" w:rsidP="6B370752" w14:paraId="04C7FFFF" w14:textId="1DB4E310">
            <w:pPr>
              <w:jc w:val="center"/>
              <w:rPr>
                <w:color w:val="000000" w:themeColor="text1"/>
              </w:rPr>
            </w:pPr>
            <w:r w:rsidRPr="6B370752">
              <w:rPr>
                <w:color w:val="000000" w:themeColor="text1"/>
              </w:rPr>
              <w:t>6,000</w:t>
            </w:r>
          </w:p>
        </w:tc>
        <w:tc>
          <w:tcPr>
            <w:tcW w:w="1448" w:type="dxa"/>
            <w:tcBorders>
              <w:top w:val="single" w:sz="6" w:space="0" w:color="auto"/>
              <w:left w:val="single" w:sz="6" w:space="0" w:color="auto"/>
              <w:bottom w:val="single" w:sz="6" w:space="0" w:color="auto"/>
              <w:right w:val="single" w:sz="6" w:space="0" w:color="auto"/>
            </w:tcBorders>
            <w:vAlign w:val="center"/>
          </w:tcPr>
          <w:p w:rsidR="6B370752" w:rsidP="6B370752" w14:paraId="28E97C23" w14:textId="7FAAF36F">
            <w:pPr>
              <w:jc w:val="center"/>
              <w:rPr>
                <w:color w:val="000000" w:themeColor="text1"/>
              </w:rPr>
            </w:pPr>
            <w:r w:rsidRPr="6B370752">
              <w:rPr>
                <w:color w:val="000000" w:themeColor="text1"/>
              </w:rPr>
              <w:t>$</w:t>
            </w:r>
            <w:r w:rsidR="00F947C4">
              <w:rPr>
                <w:color w:val="000000" w:themeColor="text1"/>
              </w:rPr>
              <w:t>336,120</w:t>
            </w:r>
            <w:r w:rsidRPr="6B370752">
              <w:rPr>
                <w:color w:val="000000" w:themeColor="text1"/>
              </w:rPr>
              <w:t>.00</w:t>
            </w:r>
          </w:p>
        </w:tc>
      </w:tr>
      <w:tr w14:paraId="7F785AEF" w14:textId="77777777" w:rsidTr="000E08D8">
        <w:tblPrEx>
          <w:tblW w:w="9360" w:type="dxa"/>
          <w:tblLayout w:type="fixed"/>
          <w:tblLook w:val="04A0"/>
        </w:tblPrEx>
        <w:trPr>
          <w:trHeight w:val="585"/>
          <w:tblHeader/>
        </w:trPr>
        <w:tc>
          <w:tcPr>
            <w:tcW w:w="1522" w:type="dxa"/>
            <w:tcBorders>
              <w:top w:val="single" w:sz="6" w:space="0" w:color="auto"/>
              <w:left w:val="single" w:sz="6" w:space="0" w:color="auto"/>
              <w:bottom w:val="single" w:sz="6" w:space="0" w:color="auto"/>
              <w:right w:val="single" w:sz="6" w:space="0" w:color="auto"/>
            </w:tcBorders>
            <w:vAlign w:val="center"/>
          </w:tcPr>
          <w:p w:rsidR="6B370752" w:rsidP="6B370752" w14:paraId="08F0C415" w14:textId="47F03FE5">
            <w:pPr>
              <w:jc w:val="center"/>
              <w:rPr>
                <w:color w:val="000000" w:themeColor="text1"/>
              </w:rPr>
            </w:pPr>
          </w:p>
          <w:p w:rsidR="6B370752" w:rsidP="6B370752" w14:paraId="4256B060" w14:textId="788C8D2D">
            <w:pPr>
              <w:jc w:val="center"/>
              <w:rPr>
                <w:color w:val="000000" w:themeColor="text1"/>
              </w:rPr>
            </w:pPr>
            <w:r w:rsidRPr="6B370752">
              <w:rPr>
                <w:color w:val="000000" w:themeColor="text1"/>
              </w:rPr>
              <w:t>Organization</w:t>
            </w:r>
          </w:p>
        </w:tc>
        <w:tc>
          <w:tcPr>
            <w:tcW w:w="1440" w:type="dxa"/>
            <w:tcBorders>
              <w:top w:val="single" w:sz="6" w:space="0" w:color="auto"/>
              <w:left w:val="single" w:sz="6" w:space="0" w:color="auto"/>
              <w:bottom w:val="single" w:sz="6" w:space="0" w:color="auto"/>
              <w:right w:val="single" w:sz="6" w:space="0" w:color="auto"/>
            </w:tcBorders>
            <w:vAlign w:val="center"/>
          </w:tcPr>
          <w:p w:rsidR="6B370752" w:rsidP="6B370752" w14:paraId="09D1E86A" w14:textId="2613D083">
            <w:pPr>
              <w:jc w:val="center"/>
              <w:rPr>
                <w:color w:val="000000" w:themeColor="text1"/>
              </w:rPr>
            </w:pPr>
            <w:r w:rsidRPr="6B370752">
              <w:rPr>
                <w:color w:val="000000" w:themeColor="text1"/>
              </w:rPr>
              <w:t>All Occupations 00-0000</w:t>
            </w:r>
          </w:p>
        </w:tc>
        <w:tc>
          <w:tcPr>
            <w:tcW w:w="1080" w:type="dxa"/>
            <w:tcBorders>
              <w:top w:val="single" w:sz="6" w:space="0" w:color="auto"/>
              <w:left w:val="single" w:sz="6" w:space="0" w:color="auto"/>
              <w:bottom w:val="single" w:sz="6" w:space="0" w:color="auto"/>
              <w:right w:val="single" w:sz="6" w:space="0" w:color="auto"/>
            </w:tcBorders>
            <w:vAlign w:val="center"/>
          </w:tcPr>
          <w:p w:rsidR="6B370752" w:rsidP="6B370752" w14:paraId="5C0B2170" w14:textId="5C49F8E3">
            <w:pPr>
              <w:jc w:val="center"/>
              <w:rPr>
                <w:color w:val="000000" w:themeColor="text1"/>
              </w:rPr>
            </w:pPr>
            <w:r w:rsidRPr="6B370752">
              <w:rPr>
                <w:color w:val="000000" w:themeColor="text1"/>
              </w:rPr>
              <w:t>$</w:t>
            </w:r>
            <w:r w:rsidR="00F947C4">
              <w:rPr>
                <w:color w:val="000000" w:themeColor="text1"/>
              </w:rPr>
              <w:t>56.02</w:t>
            </w:r>
          </w:p>
        </w:tc>
        <w:tc>
          <w:tcPr>
            <w:tcW w:w="1530" w:type="dxa"/>
            <w:tcBorders>
              <w:top w:val="single" w:sz="6" w:space="0" w:color="auto"/>
              <w:left w:val="single" w:sz="6" w:space="0" w:color="auto"/>
              <w:bottom w:val="single" w:sz="6" w:space="0" w:color="auto"/>
              <w:right w:val="single" w:sz="6" w:space="0" w:color="auto"/>
            </w:tcBorders>
            <w:vAlign w:val="center"/>
          </w:tcPr>
          <w:p w:rsidR="6B370752" w:rsidP="6B370752" w14:paraId="254EA65A" w14:textId="4F94482B">
            <w:pPr>
              <w:jc w:val="center"/>
              <w:rPr>
                <w:color w:val="000000" w:themeColor="text1"/>
              </w:rPr>
            </w:pPr>
            <w:r w:rsidRPr="6B370752">
              <w:rPr>
                <w:color w:val="000000" w:themeColor="text1"/>
              </w:rPr>
              <w:t>300</w:t>
            </w:r>
          </w:p>
        </w:tc>
        <w:tc>
          <w:tcPr>
            <w:tcW w:w="1170" w:type="dxa"/>
            <w:tcBorders>
              <w:top w:val="single" w:sz="6" w:space="0" w:color="auto"/>
              <w:left w:val="single" w:sz="6" w:space="0" w:color="auto"/>
              <w:bottom w:val="single" w:sz="6" w:space="0" w:color="auto"/>
              <w:right w:val="single" w:sz="6" w:space="0" w:color="auto"/>
            </w:tcBorders>
            <w:vAlign w:val="center"/>
          </w:tcPr>
          <w:p w:rsidR="6B370752" w:rsidP="6B370752" w14:paraId="3BFE3558" w14:textId="582FD03E">
            <w:pPr>
              <w:jc w:val="center"/>
              <w:rPr>
                <w:color w:val="000000" w:themeColor="text1"/>
              </w:rPr>
            </w:pPr>
            <w:r w:rsidRPr="6B370752">
              <w:rPr>
                <w:color w:val="000000" w:themeColor="text1"/>
              </w:rPr>
              <w:t>20</w:t>
            </w:r>
          </w:p>
        </w:tc>
        <w:tc>
          <w:tcPr>
            <w:tcW w:w="1170" w:type="dxa"/>
            <w:tcBorders>
              <w:top w:val="single" w:sz="6" w:space="0" w:color="auto"/>
              <w:left w:val="single" w:sz="6" w:space="0" w:color="auto"/>
              <w:bottom w:val="single" w:sz="6" w:space="0" w:color="auto"/>
              <w:right w:val="single" w:sz="6" w:space="0" w:color="auto"/>
            </w:tcBorders>
            <w:vAlign w:val="center"/>
          </w:tcPr>
          <w:p w:rsidR="6B370752" w:rsidP="6B370752" w14:paraId="33F528E6" w14:textId="55BB48A8">
            <w:pPr>
              <w:jc w:val="center"/>
              <w:rPr>
                <w:color w:val="000000" w:themeColor="text1"/>
              </w:rPr>
            </w:pPr>
            <w:r w:rsidRPr="6B370752">
              <w:rPr>
                <w:color w:val="000000" w:themeColor="text1"/>
              </w:rPr>
              <w:t>6,000</w:t>
            </w:r>
          </w:p>
        </w:tc>
        <w:tc>
          <w:tcPr>
            <w:tcW w:w="1448" w:type="dxa"/>
            <w:tcBorders>
              <w:top w:val="single" w:sz="6" w:space="0" w:color="auto"/>
              <w:left w:val="single" w:sz="6" w:space="0" w:color="auto"/>
              <w:bottom w:val="single" w:sz="6" w:space="0" w:color="auto"/>
              <w:right w:val="single" w:sz="6" w:space="0" w:color="auto"/>
            </w:tcBorders>
            <w:vAlign w:val="center"/>
          </w:tcPr>
          <w:p w:rsidR="6B370752" w:rsidP="6B370752" w14:paraId="2F42B7B1" w14:textId="1CDE0E49">
            <w:pPr>
              <w:jc w:val="center"/>
              <w:rPr>
                <w:color w:val="000000" w:themeColor="text1"/>
              </w:rPr>
            </w:pPr>
            <w:r w:rsidRPr="6B370752">
              <w:rPr>
                <w:color w:val="000000" w:themeColor="text1"/>
              </w:rPr>
              <w:t>$</w:t>
            </w:r>
            <w:r w:rsidR="00F947C4">
              <w:rPr>
                <w:color w:val="000000" w:themeColor="text1"/>
              </w:rPr>
              <w:t>336,120</w:t>
            </w:r>
            <w:r w:rsidRPr="6B370752">
              <w:rPr>
                <w:color w:val="000000" w:themeColor="text1"/>
              </w:rPr>
              <w:t>.00</w:t>
            </w:r>
          </w:p>
        </w:tc>
      </w:tr>
      <w:tr w14:paraId="39A535C2" w14:textId="77777777" w:rsidTr="000E08D8">
        <w:tblPrEx>
          <w:tblW w:w="9360" w:type="dxa"/>
          <w:tblLayout w:type="fixed"/>
          <w:tblLook w:val="04A0"/>
        </w:tblPrEx>
        <w:trPr>
          <w:trHeight w:val="585"/>
          <w:tblHeader/>
        </w:trPr>
        <w:tc>
          <w:tcPr>
            <w:tcW w:w="1522" w:type="dxa"/>
            <w:tcBorders>
              <w:top w:val="single" w:sz="6" w:space="0" w:color="auto"/>
              <w:left w:val="single" w:sz="6" w:space="0" w:color="auto"/>
              <w:bottom w:val="single" w:sz="6" w:space="0" w:color="auto"/>
              <w:right w:val="single" w:sz="6" w:space="0" w:color="auto"/>
            </w:tcBorders>
            <w:vAlign w:val="center"/>
          </w:tcPr>
          <w:p w:rsidR="6B370752" w:rsidRPr="00B178B3" w:rsidP="6B370752" w14:paraId="0F30BE02" w14:textId="671F1284">
            <w:pPr>
              <w:jc w:val="center"/>
              <w:rPr>
                <w:b/>
                <w:color w:val="000000" w:themeColor="text1"/>
              </w:rPr>
            </w:pPr>
            <w:r w:rsidRPr="00B178B3">
              <w:rPr>
                <w:b/>
                <w:color w:val="000000" w:themeColor="text1"/>
              </w:rPr>
              <w:t>Total</w:t>
            </w:r>
          </w:p>
        </w:tc>
        <w:tc>
          <w:tcPr>
            <w:tcW w:w="1440" w:type="dxa"/>
            <w:tcBorders>
              <w:top w:val="single" w:sz="6" w:space="0" w:color="auto"/>
              <w:left w:val="single" w:sz="6" w:space="0" w:color="auto"/>
              <w:bottom w:val="single" w:sz="6" w:space="0" w:color="auto"/>
              <w:right w:val="single" w:sz="6" w:space="0" w:color="auto"/>
            </w:tcBorders>
            <w:vAlign w:val="center"/>
          </w:tcPr>
          <w:p w:rsidR="6B370752" w:rsidRPr="00B178B3" w:rsidP="6B370752" w14:paraId="641A5304" w14:textId="17C17EAF">
            <w:pPr>
              <w:jc w:val="center"/>
              <w:rPr>
                <w:b/>
                <w:color w:val="000000" w:themeColor="text1"/>
              </w:rPr>
            </w:pPr>
            <w:r w:rsidRPr="00B178B3">
              <w:rPr>
                <w:b/>
                <w:color w:val="000000" w:themeColor="text1"/>
              </w:rPr>
              <w:t>-</w:t>
            </w:r>
          </w:p>
        </w:tc>
        <w:tc>
          <w:tcPr>
            <w:tcW w:w="1080" w:type="dxa"/>
            <w:tcBorders>
              <w:top w:val="single" w:sz="6" w:space="0" w:color="auto"/>
              <w:left w:val="single" w:sz="6" w:space="0" w:color="auto"/>
              <w:bottom w:val="single" w:sz="6" w:space="0" w:color="auto"/>
              <w:right w:val="single" w:sz="6" w:space="0" w:color="auto"/>
            </w:tcBorders>
            <w:vAlign w:val="center"/>
          </w:tcPr>
          <w:p w:rsidR="6B370752" w:rsidRPr="00B178B3" w:rsidP="6B370752" w14:paraId="4E23F971" w14:textId="7525C2DB">
            <w:pPr>
              <w:jc w:val="center"/>
              <w:rPr>
                <w:b/>
                <w:color w:val="000000" w:themeColor="text1"/>
              </w:rPr>
            </w:pPr>
            <w:r w:rsidRPr="00B178B3">
              <w:rPr>
                <w:b/>
                <w:color w:val="000000" w:themeColor="text1"/>
              </w:rPr>
              <w:t>-</w:t>
            </w:r>
          </w:p>
        </w:tc>
        <w:tc>
          <w:tcPr>
            <w:tcW w:w="1530" w:type="dxa"/>
            <w:tcBorders>
              <w:top w:val="single" w:sz="6" w:space="0" w:color="auto"/>
              <w:left w:val="single" w:sz="6" w:space="0" w:color="auto"/>
              <w:bottom w:val="single" w:sz="6" w:space="0" w:color="auto"/>
              <w:right w:val="single" w:sz="6" w:space="0" w:color="auto"/>
            </w:tcBorders>
            <w:vAlign w:val="center"/>
          </w:tcPr>
          <w:p w:rsidR="6B370752" w:rsidRPr="00B178B3" w:rsidP="6B370752" w14:paraId="33FD5869" w14:textId="7DA1AAFF">
            <w:pPr>
              <w:jc w:val="center"/>
              <w:rPr>
                <w:b/>
                <w:color w:val="000000" w:themeColor="text1"/>
              </w:rPr>
            </w:pPr>
            <w:r w:rsidRPr="00B178B3">
              <w:rPr>
                <w:b/>
                <w:color w:val="000000" w:themeColor="text1"/>
              </w:rPr>
              <w:t>3</w:t>
            </w:r>
            <w:r w:rsidR="001D710D">
              <w:rPr>
                <w:b/>
                <w:color w:val="000000" w:themeColor="text1"/>
              </w:rPr>
              <w:t>,</w:t>
            </w:r>
            <w:r w:rsidRPr="00B178B3">
              <w:rPr>
                <w:b/>
                <w:color w:val="000000" w:themeColor="text1"/>
              </w:rPr>
              <w:t>300</w:t>
            </w:r>
          </w:p>
        </w:tc>
        <w:tc>
          <w:tcPr>
            <w:tcW w:w="1170" w:type="dxa"/>
            <w:tcBorders>
              <w:top w:val="single" w:sz="6" w:space="0" w:color="auto"/>
              <w:left w:val="single" w:sz="6" w:space="0" w:color="auto"/>
              <w:bottom w:val="single" w:sz="6" w:space="0" w:color="auto"/>
              <w:right w:val="single" w:sz="6" w:space="0" w:color="auto"/>
            </w:tcBorders>
            <w:vAlign w:val="center"/>
          </w:tcPr>
          <w:p w:rsidR="6B370752" w:rsidRPr="00B178B3" w:rsidP="6B370752" w14:paraId="2291CA8F" w14:textId="27633E2F">
            <w:pPr>
              <w:jc w:val="center"/>
              <w:rPr>
                <w:b/>
                <w:color w:val="000000" w:themeColor="text1"/>
              </w:rPr>
            </w:pPr>
            <w:r w:rsidRPr="00B178B3">
              <w:rPr>
                <w:b/>
                <w:color w:val="000000" w:themeColor="text1"/>
              </w:rPr>
              <w:t xml:space="preserve">3.63 </w:t>
            </w:r>
          </w:p>
        </w:tc>
        <w:tc>
          <w:tcPr>
            <w:tcW w:w="1170" w:type="dxa"/>
            <w:tcBorders>
              <w:top w:val="single" w:sz="6" w:space="0" w:color="auto"/>
              <w:left w:val="single" w:sz="6" w:space="0" w:color="auto"/>
              <w:bottom w:val="single" w:sz="6" w:space="0" w:color="auto"/>
              <w:right w:val="single" w:sz="6" w:space="0" w:color="auto"/>
            </w:tcBorders>
            <w:vAlign w:val="center"/>
          </w:tcPr>
          <w:p w:rsidR="6B370752" w:rsidRPr="00B178B3" w:rsidP="6B370752" w14:paraId="611AC30A" w14:textId="130E3D67">
            <w:pPr>
              <w:jc w:val="center"/>
              <w:rPr>
                <w:b/>
                <w:color w:val="000000" w:themeColor="text1"/>
              </w:rPr>
            </w:pPr>
            <w:r w:rsidRPr="00B178B3">
              <w:rPr>
                <w:b/>
                <w:color w:val="000000" w:themeColor="text1"/>
              </w:rPr>
              <w:t>12,000</w:t>
            </w:r>
          </w:p>
        </w:tc>
        <w:tc>
          <w:tcPr>
            <w:tcW w:w="1448" w:type="dxa"/>
            <w:tcBorders>
              <w:top w:val="single" w:sz="6" w:space="0" w:color="auto"/>
              <w:left w:val="single" w:sz="6" w:space="0" w:color="auto"/>
              <w:bottom w:val="single" w:sz="6" w:space="0" w:color="auto"/>
              <w:right w:val="single" w:sz="6" w:space="0" w:color="auto"/>
            </w:tcBorders>
            <w:vAlign w:val="center"/>
          </w:tcPr>
          <w:p w:rsidR="6B370752" w:rsidRPr="00B178B3" w:rsidP="6B370752" w14:paraId="161D1949" w14:textId="0DD6B6A0">
            <w:pPr>
              <w:jc w:val="center"/>
              <w:rPr>
                <w:b/>
                <w:color w:val="000000" w:themeColor="text1"/>
              </w:rPr>
            </w:pPr>
            <w:r w:rsidRPr="00B178B3">
              <w:rPr>
                <w:b/>
                <w:color w:val="000000" w:themeColor="text1"/>
              </w:rPr>
              <w:t>$</w:t>
            </w:r>
            <w:r w:rsidRPr="00B178B3" w:rsidR="00F947C4">
              <w:rPr>
                <w:b/>
                <w:color w:val="000000" w:themeColor="text1"/>
              </w:rPr>
              <w:t>672,240</w:t>
            </w:r>
            <w:r w:rsidRPr="00B178B3">
              <w:rPr>
                <w:b/>
                <w:color w:val="000000" w:themeColor="text1"/>
              </w:rPr>
              <w:t>.00</w:t>
            </w:r>
          </w:p>
        </w:tc>
      </w:tr>
    </w:tbl>
    <w:p w:rsidR="6B370752" w:rsidRPr="00D45546" w:rsidP="008D3655" w14:paraId="471D072A" w14:textId="6AA4B5CE">
      <w:pPr>
        <w:rPr>
          <w:rFonts w:eastAsia="Calibri"/>
          <w:i/>
          <w:color w:val="000000" w:themeColor="text1"/>
          <w:sz w:val="20"/>
          <w:szCs w:val="20"/>
        </w:rPr>
      </w:pPr>
      <w:r w:rsidRPr="00EE0ADD">
        <w:rPr>
          <w:rFonts w:eastAsia="Calibri"/>
          <w:i/>
          <w:color w:val="000000" w:themeColor="text1"/>
          <w:sz w:val="20"/>
          <w:szCs w:val="20"/>
        </w:rPr>
        <w:t>*Includes fringe benefits and overhead of 100 percent of mean hourly wage.</w:t>
      </w:r>
    </w:p>
    <w:p w:rsidR="00D45546" w:rsidRPr="00D45546" w:rsidP="00D45546" w14:paraId="191FB2AA" w14:textId="7015E47E">
      <w:pPr>
        <w:rPr>
          <w:rFonts w:eastAsia="Calibri"/>
        </w:rPr>
      </w:pPr>
      <w:r>
        <w:rPr>
          <w:rFonts w:eastAsia="Calibri"/>
        </w:rPr>
        <w:t>An additional low estimate and high estimate is provided in Table 4</w:t>
      </w:r>
      <w:r w:rsidR="00AD39F4">
        <w:rPr>
          <w:rFonts w:eastAsia="Calibri"/>
        </w:rPr>
        <w:t xml:space="preserve"> and Table 5</w:t>
      </w:r>
      <w:r>
        <w:rPr>
          <w:rFonts w:eastAsia="Calibri"/>
        </w:rPr>
        <w:t xml:space="preserve"> below to illustrate possible variability for this burden estimate. To calculate the low estimate, the base estimate (Table 3 Total) has been reduced by half for the “individual” and “organization” categories. For the high estimate, the required time and cost associated with individuals and organizations has been doubled.</w:t>
      </w:r>
    </w:p>
    <w:p w:rsidR="006145D2" w:rsidP="00F145AD" w14:paraId="3410F544" w14:textId="6CDA972D">
      <w:pPr>
        <w:keepNext/>
        <w:jc w:val="center"/>
        <w:rPr>
          <w:b/>
          <w:color w:val="000000" w:themeColor="text1"/>
        </w:rPr>
      </w:pPr>
      <w:r>
        <w:rPr>
          <w:b/>
          <w:color w:val="000000" w:themeColor="text1"/>
        </w:rPr>
        <w:t xml:space="preserve">TABLE 4: COST RANGE ESTIMATES </w:t>
      </w:r>
      <w:r w:rsidR="00AD39F4">
        <w:rPr>
          <w:b/>
          <w:color w:val="000000" w:themeColor="text1"/>
        </w:rPr>
        <w:t xml:space="preserve">FOR AN INDIVIDUAL </w:t>
      </w:r>
      <w:r>
        <w:rPr>
          <w:b/>
          <w:color w:val="000000" w:themeColor="text1"/>
        </w:rPr>
        <w:t>FOR PUBLIC FEEDBACK</w:t>
      </w:r>
      <w:r w:rsidR="00342709">
        <w:rPr>
          <w:b/>
          <w:color w:val="000000" w:themeColor="text1"/>
        </w:rPr>
        <w:t xml:space="preserve"> FOR </w:t>
      </w:r>
      <w:r w:rsidR="00D87C05">
        <w:rPr>
          <w:b/>
          <w:color w:val="000000" w:themeColor="text1"/>
        </w:rPr>
        <w:t xml:space="preserve">INITIAL </w:t>
      </w:r>
      <w:r w:rsidR="00BF28A2">
        <w:rPr>
          <w:b/>
          <w:color w:val="000000" w:themeColor="text1"/>
        </w:rPr>
        <w:t>PRICE APPLICABILITY YEAR</w:t>
      </w:r>
      <w:r w:rsidR="00342709">
        <w:rPr>
          <w:b/>
          <w:color w:val="000000" w:themeColor="text1"/>
        </w:rPr>
        <w:t xml:space="preserve"> 2026</w:t>
      </w:r>
    </w:p>
    <w:tbl>
      <w:tblPr>
        <w:tblStyle w:val="TableGrid"/>
        <w:tblW w:w="0" w:type="auto"/>
        <w:tblLook w:val="04A0"/>
      </w:tblPr>
      <w:tblGrid>
        <w:gridCol w:w="2336"/>
        <w:gridCol w:w="2338"/>
        <w:gridCol w:w="2338"/>
        <w:gridCol w:w="2338"/>
      </w:tblGrid>
      <w:tr w14:paraId="7229795C" w14:textId="77777777" w:rsidTr="000E08D8">
        <w:tblPrEx>
          <w:tblW w:w="0" w:type="auto"/>
          <w:tblLook w:val="04A0"/>
        </w:tblPrEx>
        <w:trPr>
          <w:tblHeader/>
        </w:trPr>
        <w:tc>
          <w:tcPr>
            <w:tcW w:w="2336" w:type="dxa"/>
          </w:tcPr>
          <w:p w:rsidR="006145D2" w:rsidP="00F145AD" w14:paraId="005CFA5E" w14:textId="77777777">
            <w:pPr>
              <w:keepNext/>
              <w:jc w:val="center"/>
              <w:rPr>
                <w:b/>
                <w:color w:val="000000" w:themeColor="text1"/>
              </w:rPr>
            </w:pPr>
          </w:p>
        </w:tc>
        <w:tc>
          <w:tcPr>
            <w:tcW w:w="2338" w:type="dxa"/>
          </w:tcPr>
          <w:p w:rsidR="006145D2" w:rsidP="00F145AD" w14:paraId="09FD92F0" w14:textId="3A4F8148">
            <w:pPr>
              <w:keepNext/>
              <w:jc w:val="center"/>
              <w:rPr>
                <w:b/>
                <w:color w:val="000000" w:themeColor="text1"/>
              </w:rPr>
            </w:pPr>
            <w:r>
              <w:rPr>
                <w:b/>
                <w:color w:val="000000" w:themeColor="text1"/>
              </w:rPr>
              <w:t>Hours per Respondent</w:t>
            </w:r>
          </w:p>
        </w:tc>
        <w:tc>
          <w:tcPr>
            <w:tcW w:w="2338" w:type="dxa"/>
          </w:tcPr>
          <w:p w:rsidR="006145D2" w:rsidP="00F145AD" w14:paraId="5FFAA9CC" w14:textId="00E67916">
            <w:pPr>
              <w:keepNext/>
              <w:jc w:val="center"/>
              <w:rPr>
                <w:b/>
                <w:color w:val="000000" w:themeColor="text1"/>
              </w:rPr>
            </w:pPr>
            <w:r>
              <w:rPr>
                <w:b/>
                <w:color w:val="000000" w:themeColor="text1"/>
              </w:rPr>
              <w:t>Cost per Respondent</w:t>
            </w:r>
          </w:p>
        </w:tc>
        <w:tc>
          <w:tcPr>
            <w:tcW w:w="2338" w:type="dxa"/>
            <w:vAlign w:val="center"/>
          </w:tcPr>
          <w:p w:rsidR="006145D2" w:rsidP="00F145AD" w14:paraId="2E50F08F" w14:textId="40475CA1">
            <w:pPr>
              <w:keepNext/>
              <w:jc w:val="center"/>
              <w:rPr>
                <w:b/>
                <w:color w:val="000000" w:themeColor="text1"/>
              </w:rPr>
            </w:pPr>
            <w:r>
              <w:rPr>
                <w:b/>
                <w:color w:val="000000" w:themeColor="text1"/>
              </w:rPr>
              <w:t>Total Cost</w:t>
            </w:r>
          </w:p>
        </w:tc>
      </w:tr>
      <w:tr w14:paraId="2AB9C012" w14:textId="77777777" w:rsidTr="000E08D8">
        <w:tblPrEx>
          <w:tblW w:w="0" w:type="auto"/>
          <w:tblLook w:val="04A0"/>
        </w:tblPrEx>
        <w:trPr>
          <w:tblHeader/>
        </w:trPr>
        <w:tc>
          <w:tcPr>
            <w:tcW w:w="2336" w:type="dxa"/>
          </w:tcPr>
          <w:p w:rsidR="006145D2" w:rsidRPr="00CF491E" w:rsidP="00CF491E" w14:paraId="3C21AF57" w14:textId="227B783C">
            <w:pPr>
              <w:rPr>
                <w:color w:val="000000" w:themeColor="text1"/>
              </w:rPr>
            </w:pPr>
            <w:r>
              <w:rPr>
                <w:color w:val="000000" w:themeColor="text1"/>
              </w:rPr>
              <w:t>Low Estimate</w:t>
            </w:r>
          </w:p>
        </w:tc>
        <w:tc>
          <w:tcPr>
            <w:tcW w:w="2338" w:type="dxa"/>
          </w:tcPr>
          <w:p w:rsidR="006145D2" w:rsidP="006145D2" w14:paraId="73506C40" w14:textId="6C5D04A4">
            <w:pPr>
              <w:jc w:val="center"/>
              <w:rPr>
                <w:b/>
                <w:color w:val="000000" w:themeColor="text1"/>
              </w:rPr>
            </w:pPr>
            <w:r>
              <w:rPr>
                <w:b/>
                <w:color w:val="000000" w:themeColor="text1"/>
              </w:rPr>
              <w:t>1</w:t>
            </w:r>
          </w:p>
        </w:tc>
        <w:tc>
          <w:tcPr>
            <w:tcW w:w="2338" w:type="dxa"/>
          </w:tcPr>
          <w:p w:rsidR="006145D2" w:rsidP="006145D2" w14:paraId="6F55D6AC" w14:textId="270A8DD4">
            <w:pPr>
              <w:jc w:val="center"/>
              <w:rPr>
                <w:b/>
                <w:color w:val="000000" w:themeColor="text1"/>
              </w:rPr>
            </w:pPr>
            <w:r>
              <w:rPr>
                <w:b/>
                <w:color w:val="000000" w:themeColor="text1"/>
              </w:rPr>
              <w:t>$56.02</w:t>
            </w:r>
          </w:p>
        </w:tc>
        <w:tc>
          <w:tcPr>
            <w:tcW w:w="2338" w:type="dxa"/>
          </w:tcPr>
          <w:p w:rsidR="006145D2" w:rsidP="006145D2" w14:paraId="4B197567" w14:textId="0E624996">
            <w:pPr>
              <w:jc w:val="center"/>
              <w:rPr>
                <w:b/>
                <w:color w:val="000000" w:themeColor="text1"/>
              </w:rPr>
            </w:pPr>
            <w:r>
              <w:rPr>
                <w:b/>
                <w:color w:val="000000" w:themeColor="text1"/>
              </w:rPr>
              <w:t>$168,000</w:t>
            </w:r>
            <w:r w:rsidR="00327B66">
              <w:rPr>
                <w:b/>
                <w:color w:val="000000" w:themeColor="text1"/>
              </w:rPr>
              <w:t>.00</w:t>
            </w:r>
          </w:p>
        </w:tc>
      </w:tr>
      <w:tr w14:paraId="206D20D5" w14:textId="77777777" w:rsidTr="000E08D8">
        <w:tblPrEx>
          <w:tblW w:w="0" w:type="auto"/>
          <w:tblLook w:val="04A0"/>
        </w:tblPrEx>
        <w:trPr>
          <w:tblHeader/>
        </w:trPr>
        <w:tc>
          <w:tcPr>
            <w:tcW w:w="2336" w:type="dxa"/>
          </w:tcPr>
          <w:p w:rsidR="006145D2" w:rsidRPr="00CF491E" w:rsidP="00CF491E" w14:paraId="330A293D" w14:textId="4AB7F50A">
            <w:pPr>
              <w:rPr>
                <w:color w:val="000000" w:themeColor="text1"/>
              </w:rPr>
            </w:pPr>
            <w:r>
              <w:rPr>
                <w:color w:val="000000" w:themeColor="text1"/>
              </w:rPr>
              <w:t>Base Estimate (from Table 3)</w:t>
            </w:r>
          </w:p>
        </w:tc>
        <w:tc>
          <w:tcPr>
            <w:tcW w:w="2338" w:type="dxa"/>
          </w:tcPr>
          <w:p w:rsidR="006145D2" w:rsidP="006145D2" w14:paraId="27DCD391" w14:textId="5AEFBD67">
            <w:pPr>
              <w:jc w:val="center"/>
              <w:rPr>
                <w:b/>
                <w:color w:val="000000" w:themeColor="text1"/>
              </w:rPr>
            </w:pPr>
            <w:r>
              <w:rPr>
                <w:b/>
                <w:color w:val="000000" w:themeColor="text1"/>
              </w:rPr>
              <w:t>2</w:t>
            </w:r>
          </w:p>
        </w:tc>
        <w:tc>
          <w:tcPr>
            <w:tcW w:w="2338" w:type="dxa"/>
          </w:tcPr>
          <w:p w:rsidR="006145D2" w:rsidP="006145D2" w14:paraId="5DAD2350" w14:textId="78F8CEC9">
            <w:pPr>
              <w:jc w:val="center"/>
              <w:rPr>
                <w:b/>
                <w:color w:val="000000" w:themeColor="text1"/>
              </w:rPr>
            </w:pPr>
            <w:r>
              <w:rPr>
                <w:b/>
                <w:color w:val="000000" w:themeColor="text1"/>
              </w:rPr>
              <w:t>$112.04</w:t>
            </w:r>
          </w:p>
        </w:tc>
        <w:tc>
          <w:tcPr>
            <w:tcW w:w="2338" w:type="dxa"/>
          </w:tcPr>
          <w:p w:rsidR="006145D2" w:rsidP="006145D2" w14:paraId="56309265" w14:textId="16B45009">
            <w:pPr>
              <w:jc w:val="center"/>
              <w:rPr>
                <w:b/>
                <w:color w:val="000000" w:themeColor="text1"/>
              </w:rPr>
            </w:pPr>
            <w:r>
              <w:rPr>
                <w:b/>
                <w:color w:val="000000" w:themeColor="text1"/>
              </w:rPr>
              <w:t>$336,120</w:t>
            </w:r>
            <w:r w:rsidR="00327B66">
              <w:rPr>
                <w:b/>
                <w:color w:val="000000" w:themeColor="text1"/>
              </w:rPr>
              <w:t>.00</w:t>
            </w:r>
          </w:p>
        </w:tc>
      </w:tr>
      <w:tr w14:paraId="2FBCB427" w14:textId="77777777" w:rsidTr="000E08D8">
        <w:tblPrEx>
          <w:tblW w:w="0" w:type="auto"/>
          <w:tblLook w:val="04A0"/>
        </w:tblPrEx>
        <w:trPr>
          <w:tblHeader/>
        </w:trPr>
        <w:tc>
          <w:tcPr>
            <w:tcW w:w="2336" w:type="dxa"/>
          </w:tcPr>
          <w:p w:rsidR="006145D2" w:rsidRPr="00CF491E" w:rsidP="00CF491E" w14:paraId="159153B0" w14:textId="2237B062">
            <w:pPr>
              <w:rPr>
                <w:color w:val="000000" w:themeColor="text1"/>
              </w:rPr>
            </w:pPr>
            <w:r>
              <w:rPr>
                <w:color w:val="000000" w:themeColor="text1"/>
              </w:rPr>
              <w:t>High Estimate</w:t>
            </w:r>
          </w:p>
        </w:tc>
        <w:tc>
          <w:tcPr>
            <w:tcW w:w="2338" w:type="dxa"/>
          </w:tcPr>
          <w:p w:rsidR="006145D2" w:rsidP="006145D2" w14:paraId="03444548" w14:textId="7908D6D7">
            <w:pPr>
              <w:jc w:val="center"/>
              <w:rPr>
                <w:b/>
                <w:color w:val="000000" w:themeColor="text1"/>
              </w:rPr>
            </w:pPr>
            <w:r>
              <w:rPr>
                <w:b/>
                <w:color w:val="000000" w:themeColor="text1"/>
              </w:rPr>
              <w:t>4</w:t>
            </w:r>
          </w:p>
        </w:tc>
        <w:tc>
          <w:tcPr>
            <w:tcW w:w="2338" w:type="dxa"/>
          </w:tcPr>
          <w:p w:rsidR="006145D2" w:rsidP="006145D2" w14:paraId="6D22936D" w14:textId="4C717D42">
            <w:pPr>
              <w:jc w:val="center"/>
              <w:rPr>
                <w:b/>
                <w:color w:val="000000" w:themeColor="text1"/>
              </w:rPr>
            </w:pPr>
            <w:r>
              <w:rPr>
                <w:b/>
                <w:color w:val="000000" w:themeColor="text1"/>
              </w:rPr>
              <w:t>$224.08</w:t>
            </w:r>
          </w:p>
        </w:tc>
        <w:tc>
          <w:tcPr>
            <w:tcW w:w="2338" w:type="dxa"/>
          </w:tcPr>
          <w:p w:rsidR="006145D2" w:rsidP="006145D2" w14:paraId="627EA63F" w14:textId="3106ECB8">
            <w:pPr>
              <w:jc w:val="center"/>
              <w:rPr>
                <w:b/>
                <w:color w:val="000000" w:themeColor="text1"/>
              </w:rPr>
            </w:pPr>
            <w:r>
              <w:rPr>
                <w:b/>
                <w:color w:val="000000" w:themeColor="text1"/>
              </w:rPr>
              <w:t>$672,240</w:t>
            </w:r>
            <w:r w:rsidR="00327B66">
              <w:rPr>
                <w:b/>
                <w:color w:val="000000" w:themeColor="text1"/>
              </w:rPr>
              <w:t>.00</w:t>
            </w:r>
          </w:p>
        </w:tc>
      </w:tr>
    </w:tbl>
    <w:p w:rsidR="00AD39F4" w:rsidP="001571CF" w14:paraId="63CDDDBC" w14:textId="77777777">
      <w:pPr>
        <w:jc w:val="center"/>
        <w:rPr>
          <w:b/>
          <w:color w:val="000000" w:themeColor="text1"/>
        </w:rPr>
      </w:pPr>
    </w:p>
    <w:p w:rsidR="00D45546" w:rsidP="00AD39F4" w14:paraId="447299F0" w14:textId="77777777">
      <w:pPr>
        <w:jc w:val="center"/>
        <w:rPr>
          <w:b/>
          <w:color w:val="000000" w:themeColor="text1"/>
        </w:rPr>
      </w:pPr>
    </w:p>
    <w:p w:rsidR="00AD39F4" w:rsidP="00F145AD" w14:paraId="6BC06191" w14:textId="14BD7D0A">
      <w:pPr>
        <w:keepNext/>
        <w:jc w:val="center"/>
        <w:rPr>
          <w:b/>
          <w:color w:val="000000" w:themeColor="text1"/>
        </w:rPr>
      </w:pPr>
      <w:r>
        <w:rPr>
          <w:b/>
          <w:color w:val="000000" w:themeColor="text1"/>
        </w:rPr>
        <w:t xml:space="preserve">TABLE </w:t>
      </w:r>
      <w:r w:rsidR="00386893">
        <w:rPr>
          <w:b/>
          <w:color w:val="000000" w:themeColor="text1"/>
        </w:rPr>
        <w:t>5</w:t>
      </w:r>
      <w:r>
        <w:rPr>
          <w:b/>
          <w:color w:val="000000" w:themeColor="text1"/>
        </w:rPr>
        <w:t>: COST RANGE ESTIMATES FOR AN ORGANIZATION FOR PUBLIC FEEDBACK FOR INITIAL PRICE APPLICABILITY YEAR 2026</w:t>
      </w:r>
    </w:p>
    <w:tbl>
      <w:tblPr>
        <w:tblStyle w:val="TableGrid"/>
        <w:tblW w:w="0" w:type="auto"/>
        <w:tblLook w:val="04A0"/>
      </w:tblPr>
      <w:tblGrid>
        <w:gridCol w:w="2336"/>
        <w:gridCol w:w="2338"/>
        <w:gridCol w:w="2338"/>
        <w:gridCol w:w="2338"/>
      </w:tblGrid>
      <w:tr w14:paraId="6F39E465" w14:textId="77777777" w:rsidTr="000E08D8">
        <w:tblPrEx>
          <w:tblW w:w="0" w:type="auto"/>
          <w:tblLook w:val="04A0"/>
        </w:tblPrEx>
        <w:trPr>
          <w:tblHeader/>
        </w:trPr>
        <w:tc>
          <w:tcPr>
            <w:tcW w:w="2336" w:type="dxa"/>
          </w:tcPr>
          <w:p w:rsidR="00AD39F4" w:rsidP="00F145AD" w14:paraId="634E17A2" w14:textId="77777777">
            <w:pPr>
              <w:keepNext/>
              <w:jc w:val="center"/>
              <w:rPr>
                <w:b/>
                <w:color w:val="000000" w:themeColor="text1"/>
              </w:rPr>
            </w:pPr>
          </w:p>
        </w:tc>
        <w:tc>
          <w:tcPr>
            <w:tcW w:w="2338" w:type="dxa"/>
          </w:tcPr>
          <w:p w:rsidR="00AD39F4" w:rsidP="00F145AD" w14:paraId="45ED8FC5" w14:textId="77777777">
            <w:pPr>
              <w:keepNext/>
              <w:jc w:val="center"/>
              <w:rPr>
                <w:b/>
                <w:color w:val="000000" w:themeColor="text1"/>
              </w:rPr>
            </w:pPr>
            <w:r>
              <w:rPr>
                <w:b/>
                <w:color w:val="000000" w:themeColor="text1"/>
              </w:rPr>
              <w:t>Hours per Respondent</w:t>
            </w:r>
          </w:p>
        </w:tc>
        <w:tc>
          <w:tcPr>
            <w:tcW w:w="2338" w:type="dxa"/>
          </w:tcPr>
          <w:p w:rsidR="00AD39F4" w:rsidP="00F145AD" w14:paraId="45B16450" w14:textId="77777777">
            <w:pPr>
              <w:keepNext/>
              <w:jc w:val="center"/>
              <w:rPr>
                <w:b/>
                <w:color w:val="000000" w:themeColor="text1"/>
              </w:rPr>
            </w:pPr>
            <w:r>
              <w:rPr>
                <w:b/>
                <w:color w:val="000000" w:themeColor="text1"/>
              </w:rPr>
              <w:t>Cost per Respondent</w:t>
            </w:r>
          </w:p>
        </w:tc>
        <w:tc>
          <w:tcPr>
            <w:tcW w:w="2338" w:type="dxa"/>
            <w:vAlign w:val="center"/>
          </w:tcPr>
          <w:p w:rsidR="00AD39F4" w:rsidP="00F145AD" w14:paraId="4162328B" w14:textId="77777777">
            <w:pPr>
              <w:keepNext/>
              <w:jc w:val="center"/>
              <w:rPr>
                <w:b/>
                <w:color w:val="000000" w:themeColor="text1"/>
              </w:rPr>
            </w:pPr>
            <w:r>
              <w:rPr>
                <w:b/>
                <w:color w:val="000000" w:themeColor="text1"/>
              </w:rPr>
              <w:t>Total Cost</w:t>
            </w:r>
          </w:p>
        </w:tc>
      </w:tr>
      <w:tr w14:paraId="6D5987AC" w14:textId="77777777" w:rsidTr="000E08D8">
        <w:tblPrEx>
          <w:tblW w:w="0" w:type="auto"/>
          <w:tblLook w:val="04A0"/>
        </w:tblPrEx>
        <w:trPr>
          <w:tblHeader/>
        </w:trPr>
        <w:tc>
          <w:tcPr>
            <w:tcW w:w="2336" w:type="dxa"/>
          </w:tcPr>
          <w:p w:rsidR="00AD39F4" w:rsidRPr="00CF491E" w:rsidP="009064D4" w14:paraId="6D429857" w14:textId="77777777">
            <w:pPr>
              <w:rPr>
                <w:color w:val="000000" w:themeColor="text1"/>
              </w:rPr>
            </w:pPr>
            <w:r>
              <w:rPr>
                <w:color w:val="000000" w:themeColor="text1"/>
              </w:rPr>
              <w:t>Low Estimate</w:t>
            </w:r>
          </w:p>
        </w:tc>
        <w:tc>
          <w:tcPr>
            <w:tcW w:w="2338" w:type="dxa"/>
          </w:tcPr>
          <w:p w:rsidR="00AD39F4" w:rsidRPr="006145D2" w:rsidP="009064D4" w14:paraId="2EDB2A95" w14:textId="77777777">
            <w:pPr>
              <w:jc w:val="center"/>
              <w:rPr>
                <w:b/>
                <w:color w:val="000000" w:themeColor="text1"/>
              </w:rPr>
            </w:pPr>
            <w:r>
              <w:rPr>
                <w:b/>
                <w:color w:val="000000" w:themeColor="text1"/>
              </w:rPr>
              <w:t>10</w:t>
            </w:r>
          </w:p>
        </w:tc>
        <w:tc>
          <w:tcPr>
            <w:tcW w:w="2338" w:type="dxa"/>
          </w:tcPr>
          <w:p w:rsidR="00AD39F4" w:rsidRPr="006145D2" w:rsidP="009064D4" w14:paraId="28FD5C0A" w14:textId="77777777">
            <w:pPr>
              <w:jc w:val="center"/>
              <w:rPr>
                <w:b/>
                <w:color w:val="000000" w:themeColor="text1"/>
              </w:rPr>
            </w:pPr>
            <w:r>
              <w:rPr>
                <w:b/>
                <w:color w:val="000000" w:themeColor="text1"/>
              </w:rPr>
              <w:t>$560.20</w:t>
            </w:r>
          </w:p>
        </w:tc>
        <w:tc>
          <w:tcPr>
            <w:tcW w:w="2338" w:type="dxa"/>
          </w:tcPr>
          <w:p w:rsidR="00AD39F4" w:rsidRPr="006145D2" w:rsidP="009064D4" w14:paraId="1AC0B12B" w14:textId="77777777">
            <w:pPr>
              <w:jc w:val="center"/>
              <w:rPr>
                <w:b/>
                <w:color w:val="000000" w:themeColor="text1"/>
              </w:rPr>
            </w:pPr>
            <w:r>
              <w:rPr>
                <w:b/>
                <w:color w:val="000000" w:themeColor="text1"/>
              </w:rPr>
              <w:t>$168,000.00</w:t>
            </w:r>
          </w:p>
        </w:tc>
      </w:tr>
      <w:tr w14:paraId="2896D79D" w14:textId="77777777" w:rsidTr="000E08D8">
        <w:tblPrEx>
          <w:tblW w:w="0" w:type="auto"/>
          <w:tblLook w:val="04A0"/>
        </w:tblPrEx>
        <w:trPr>
          <w:tblHeader/>
        </w:trPr>
        <w:tc>
          <w:tcPr>
            <w:tcW w:w="2336" w:type="dxa"/>
          </w:tcPr>
          <w:p w:rsidR="00AD39F4" w:rsidP="009064D4" w14:paraId="1EB6D583" w14:textId="77777777">
            <w:pPr>
              <w:rPr>
                <w:color w:val="000000" w:themeColor="text1"/>
              </w:rPr>
            </w:pPr>
            <w:r>
              <w:rPr>
                <w:color w:val="000000" w:themeColor="text1"/>
              </w:rPr>
              <w:t>Base Estimate (from Table 3)</w:t>
            </w:r>
          </w:p>
        </w:tc>
        <w:tc>
          <w:tcPr>
            <w:tcW w:w="2338" w:type="dxa"/>
          </w:tcPr>
          <w:p w:rsidR="00AD39F4" w:rsidRPr="006145D2" w:rsidP="009064D4" w14:paraId="6729B829" w14:textId="77777777">
            <w:pPr>
              <w:jc w:val="center"/>
              <w:rPr>
                <w:b/>
                <w:color w:val="000000" w:themeColor="text1"/>
              </w:rPr>
            </w:pPr>
            <w:r>
              <w:rPr>
                <w:b/>
                <w:color w:val="000000" w:themeColor="text1"/>
              </w:rPr>
              <w:t>20</w:t>
            </w:r>
          </w:p>
        </w:tc>
        <w:tc>
          <w:tcPr>
            <w:tcW w:w="2338" w:type="dxa"/>
          </w:tcPr>
          <w:p w:rsidR="00AD39F4" w:rsidRPr="006145D2" w:rsidP="009064D4" w14:paraId="468AF83A" w14:textId="77777777">
            <w:pPr>
              <w:jc w:val="center"/>
              <w:rPr>
                <w:b/>
                <w:color w:val="000000" w:themeColor="text1"/>
              </w:rPr>
            </w:pPr>
            <w:r>
              <w:rPr>
                <w:b/>
                <w:color w:val="000000" w:themeColor="text1"/>
              </w:rPr>
              <w:t>$1,120.40</w:t>
            </w:r>
          </w:p>
        </w:tc>
        <w:tc>
          <w:tcPr>
            <w:tcW w:w="2338" w:type="dxa"/>
          </w:tcPr>
          <w:p w:rsidR="00AD39F4" w:rsidRPr="006145D2" w:rsidP="009064D4" w14:paraId="5C61A229" w14:textId="77777777">
            <w:pPr>
              <w:jc w:val="center"/>
              <w:rPr>
                <w:b/>
                <w:color w:val="000000" w:themeColor="text1"/>
              </w:rPr>
            </w:pPr>
            <w:r>
              <w:rPr>
                <w:b/>
                <w:color w:val="000000" w:themeColor="text1"/>
              </w:rPr>
              <w:t>$336,120.00</w:t>
            </w:r>
          </w:p>
        </w:tc>
      </w:tr>
      <w:tr w14:paraId="05F99F54" w14:textId="77777777" w:rsidTr="000E08D8">
        <w:tblPrEx>
          <w:tblW w:w="0" w:type="auto"/>
          <w:tblLook w:val="04A0"/>
        </w:tblPrEx>
        <w:trPr>
          <w:tblHeader/>
        </w:trPr>
        <w:tc>
          <w:tcPr>
            <w:tcW w:w="2336" w:type="dxa"/>
          </w:tcPr>
          <w:p w:rsidR="00AD39F4" w:rsidP="009064D4" w14:paraId="3DDA57E9" w14:textId="77777777">
            <w:pPr>
              <w:rPr>
                <w:color w:val="000000" w:themeColor="text1"/>
              </w:rPr>
            </w:pPr>
            <w:r>
              <w:rPr>
                <w:color w:val="000000" w:themeColor="text1"/>
              </w:rPr>
              <w:t>High Estimate</w:t>
            </w:r>
          </w:p>
        </w:tc>
        <w:tc>
          <w:tcPr>
            <w:tcW w:w="2338" w:type="dxa"/>
          </w:tcPr>
          <w:p w:rsidR="00AD39F4" w:rsidRPr="006145D2" w:rsidP="009064D4" w14:paraId="7C6B501F" w14:textId="77777777">
            <w:pPr>
              <w:jc w:val="center"/>
              <w:rPr>
                <w:b/>
                <w:color w:val="000000" w:themeColor="text1"/>
              </w:rPr>
            </w:pPr>
            <w:r>
              <w:rPr>
                <w:b/>
                <w:color w:val="000000" w:themeColor="text1"/>
              </w:rPr>
              <w:t>40</w:t>
            </w:r>
          </w:p>
        </w:tc>
        <w:tc>
          <w:tcPr>
            <w:tcW w:w="2338" w:type="dxa"/>
          </w:tcPr>
          <w:p w:rsidR="00AD39F4" w:rsidRPr="006145D2" w:rsidP="009064D4" w14:paraId="3BEDA43B" w14:textId="77777777">
            <w:pPr>
              <w:jc w:val="center"/>
              <w:rPr>
                <w:b/>
                <w:color w:val="000000" w:themeColor="text1"/>
              </w:rPr>
            </w:pPr>
            <w:r>
              <w:rPr>
                <w:b/>
                <w:color w:val="000000" w:themeColor="text1"/>
              </w:rPr>
              <w:t>$2,240.80</w:t>
            </w:r>
          </w:p>
        </w:tc>
        <w:tc>
          <w:tcPr>
            <w:tcW w:w="2338" w:type="dxa"/>
          </w:tcPr>
          <w:p w:rsidR="00AD39F4" w:rsidRPr="006145D2" w:rsidP="009064D4" w14:paraId="26C245B9" w14:textId="77777777">
            <w:pPr>
              <w:jc w:val="center"/>
              <w:rPr>
                <w:b/>
                <w:color w:val="000000" w:themeColor="text1"/>
              </w:rPr>
            </w:pPr>
            <w:r>
              <w:rPr>
                <w:b/>
                <w:color w:val="000000" w:themeColor="text1"/>
              </w:rPr>
              <w:t>$672,240.00</w:t>
            </w:r>
          </w:p>
        </w:tc>
      </w:tr>
    </w:tbl>
    <w:p w:rsidR="006145D2" w:rsidP="00D45546" w14:paraId="42DC639D" w14:textId="2F83868F">
      <w:pPr>
        <w:rPr>
          <w:color w:val="000000" w:themeColor="text1"/>
        </w:rPr>
      </w:pPr>
      <w:r>
        <w:rPr>
          <w:b/>
          <w:color w:val="000000" w:themeColor="text1"/>
        </w:rPr>
        <w:t xml:space="preserve"> </w:t>
      </w:r>
    </w:p>
    <w:p w:rsidR="6B370752" w:rsidP="001571CF" w14:paraId="5EBAA9CB" w14:textId="16E0E429">
      <w:pPr>
        <w:rPr>
          <w:color w:val="000000" w:themeColor="text1"/>
        </w:rPr>
      </w:pPr>
      <w:r w:rsidRPr="6B370752">
        <w:t xml:space="preserve">Total burden estimates are displayed in Table </w:t>
      </w:r>
      <w:r w:rsidR="00AD39F4">
        <w:t>6</w:t>
      </w:r>
      <w:r w:rsidRPr="6B370752">
        <w:t>.</w:t>
      </w:r>
    </w:p>
    <w:p w:rsidR="6B370752" w:rsidP="00F145AD" w14:paraId="53FD14A4" w14:textId="4C9DBDAE">
      <w:pPr>
        <w:keepNext/>
        <w:jc w:val="center"/>
        <w:rPr>
          <w:color w:val="000000" w:themeColor="text1"/>
        </w:rPr>
      </w:pPr>
      <w:r w:rsidRPr="6B370752">
        <w:rPr>
          <w:b/>
          <w:bCs/>
          <w:color w:val="000000" w:themeColor="text1"/>
        </w:rPr>
        <w:t xml:space="preserve">TABLE </w:t>
      </w:r>
      <w:r w:rsidR="00AD39F4">
        <w:rPr>
          <w:b/>
          <w:bCs/>
          <w:color w:val="000000" w:themeColor="text1"/>
        </w:rPr>
        <w:t>6</w:t>
      </w:r>
      <w:r w:rsidRPr="6B370752">
        <w:rPr>
          <w:b/>
          <w:bCs/>
          <w:color w:val="000000" w:themeColor="text1"/>
        </w:rPr>
        <w:t>: SUMMARY OF BURDEN</w:t>
      </w:r>
      <w:r w:rsidR="00A025D5">
        <w:rPr>
          <w:b/>
          <w:bCs/>
          <w:color w:val="000000" w:themeColor="text1"/>
        </w:rPr>
        <w:t xml:space="preserve"> FOR </w:t>
      </w:r>
      <w:r w:rsidR="00D87C05">
        <w:rPr>
          <w:b/>
          <w:bCs/>
          <w:color w:val="000000" w:themeColor="text1"/>
        </w:rPr>
        <w:t xml:space="preserve">INITIAL </w:t>
      </w:r>
      <w:r w:rsidR="00A025D5">
        <w:rPr>
          <w:b/>
          <w:bCs/>
          <w:color w:val="000000" w:themeColor="text1"/>
        </w:rPr>
        <w:t>PRICE APPLICABILITY YEAR 2026</w:t>
      </w:r>
    </w:p>
    <w:tbl>
      <w:tblPr>
        <w:tblStyle w:val="TableGrid"/>
        <w:tblW w:w="0" w:type="auto"/>
        <w:tblLayout w:type="fixed"/>
        <w:tblLook w:val="04A0"/>
      </w:tblPr>
      <w:tblGrid>
        <w:gridCol w:w="3000"/>
        <w:gridCol w:w="3015"/>
        <w:gridCol w:w="3315"/>
      </w:tblGrid>
      <w:tr w14:paraId="36B42280" w14:textId="77777777" w:rsidTr="000E08D8">
        <w:tblPrEx>
          <w:tblW w:w="0" w:type="auto"/>
          <w:tblLayout w:type="fixed"/>
          <w:tblLook w:val="04A0"/>
        </w:tblPrEx>
        <w:trPr>
          <w:tblHeader/>
        </w:trPr>
        <w:tc>
          <w:tcPr>
            <w:tcW w:w="3000" w:type="dxa"/>
            <w:vAlign w:val="center"/>
          </w:tcPr>
          <w:p w:rsidR="6B370752" w:rsidP="00F145AD" w14:paraId="5A2E229F" w14:textId="54BB6CF0">
            <w:pPr>
              <w:keepNext/>
              <w:jc w:val="center"/>
            </w:pPr>
            <w:r w:rsidRPr="6B370752">
              <w:rPr>
                <w:b/>
                <w:bCs/>
              </w:rPr>
              <w:t>Occupation Title</w:t>
            </w:r>
          </w:p>
        </w:tc>
        <w:tc>
          <w:tcPr>
            <w:tcW w:w="3015" w:type="dxa"/>
            <w:vAlign w:val="center"/>
          </w:tcPr>
          <w:p w:rsidR="6B370752" w:rsidP="00F145AD" w14:paraId="1178C8FE" w14:textId="56BE5DD3">
            <w:pPr>
              <w:keepNext/>
              <w:jc w:val="center"/>
            </w:pPr>
            <w:r w:rsidRPr="6B370752">
              <w:rPr>
                <w:b/>
                <w:bCs/>
              </w:rPr>
              <w:t>Total Burden Hours</w:t>
            </w:r>
          </w:p>
        </w:tc>
        <w:tc>
          <w:tcPr>
            <w:tcW w:w="3315" w:type="dxa"/>
            <w:vAlign w:val="center"/>
          </w:tcPr>
          <w:p w:rsidR="6B370752" w:rsidP="00F145AD" w14:paraId="756B4E9D" w14:textId="49E201CA">
            <w:pPr>
              <w:keepNext/>
              <w:jc w:val="center"/>
            </w:pPr>
            <w:r w:rsidRPr="6B370752">
              <w:rPr>
                <w:b/>
                <w:bCs/>
              </w:rPr>
              <w:t>Total Cost</w:t>
            </w:r>
          </w:p>
        </w:tc>
      </w:tr>
      <w:tr w14:paraId="46505E0B" w14:textId="77777777" w:rsidTr="000E08D8">
        <w:tblPrEx>
          <w:tblW w:w="0" w:type="auto"/>
          <w:tblLayout w:type="fixed"/>
          <w:tblLook w:val="04A0"/>
        </w:tblPrEx>
        <w:trPr>
          <w:tblHeader/>
        </w:trPr>
        <w:tc>
          <w:tcPr>
            <w:tcW w:w="3000" w:type="dxa"/>
            <w:vAlign w:val="center"/>
          </w:tcPr>
          <w:p w:rsidR="6B370752" w:rsidP="6B370752" w14:paraId="1BE8372A" w14:textId="4A6E32A6">
            <w:r>
              <w:t>Primary</w:t>
            </w:r>
            <w:r w:rsidRPr="6B370752">
              <w:t xml:space="preserve"> </w:t>
            </w:r>
            <w:r w:rsidRPr="6B370752">
              <w:t>Manufacturers</w:t>
            </w:r>
            <w:r w:rsidR="005858DF">
              <w:t xml:space="preserve"> (n=10)</w:t>
            </w:r>
            <w:r w:rsidRPr="6B370752">
              <w:t xml:space="preserve"> </w:t>
            </w:r>
          </w:p>
        </w:tc>
        <w:tc>
          <w:tcPr>
            <w:tcW w:w="3015" w:type="dxa"/>
            <w:vAlign w:val="center"/>
          </w:tcPr>
          <w:p w:rsidR="6B370752" w:rsidP="6B370752" w14:paraId="2DB1C4FA" w14:textId="0099EE6A">
            <w:pPr>
              <w:jc w:val="center"/>
            </w:pPr>
            <w:r>
              <w:t>5,000</w:t>
            </w:r>
          </w:p>
        </w:tc>
        <w:tc>
          <w:tcPr>
            <w:tcW w:w="3315" w:type="dxa"/>
            <w:vAlign w:val="center"/>
          </w:tcPr>
          <w:p w:rsidR="6B370752" w:rsidP="00F947C4" w14:paraId="13D48773" w14:textId="2C5BFF66">
            <w:pPr>
              <w:jc w:val="center"/>
            </w:pPr>
            <w:r>
              <w:t>$515,885.00</w:t>
            </w:r>
          </w:p>
        </w:tc>
      </w:tr>
      <w:tr w14:paraId="1D0E28DC" w14:textId="77777777" w:rsidTr="000E08D8">
        <w:tblPrEx>
          <w:tblW w:w="0" w:type="auto"/>
          <w:tblLayout w:type="fixed"/>
          <w:tblLook w:val="04A0"/>
        </w:tblPrEx>
        <w:trPr>
          <w:tblHeader/>
        </w:trPr>
        <w:tc>
          <w:tcPr>
            <w:tcW w:w="3000" w:type="dxa"/>
            <w:vAlign w:val="center"/>
          </w:tcPr>
          <w:p w:rsidR="6B370752" w:rsidP="6B370752" w14:paraId="2B428B39" w14:textId="6BA5D4A0">
            <w:pPr>
              <w:rPr>
                <w:color w:val="000000" w:themeColor="text1"/>
              </w:rPr>
            </w:pPr>
            <w:r w:rsidRPr="6B370752">
              <w:rPr>
                <w:color w:val="000000" w:themeColor="text1"/>
              </w:rPr>
              <w:t>Individuals</w:t>
            </w:r>
            <w:r w:rsidR="005858DF">
              <w:rPr>
                <w:color w:val="000000" w:themeColor="text1"/>
              </w:rPr>
              <w:t xml:space="preserve"> (n=3,000)</w:t>
            </w:r>
          </w:p>
        </w:tc>
        <w:tc>
          <w:tcPr>
            <w:tcW w:w="3015" w:type="dxa"/>
            <w:vAlign w:val="center"/>
          </w:tcPr>
          <w:p w:rsidR="6B370752" w:rsidP="6B370752" w14:paraId="1ECB0818" w14:textId="7092A58F">
            <w:pPr>
              <w:jc w:val="center"/>
            </w:pPr>
            <w:r w:rsidRPr="6B370752">
              <w:t>6,000</w:t>
            </w:r>
          </w:p>
        </w:tc>
        <w:tc>
          <w:tcPr>
            <w:tcW w:w="3315" w:type="dxa"/>
            <w:vAlign w:val="center"/>
          </w:tcPr>
          <w:p w:rsidR="6B370752" w:rsidP="00F947C4" w14:paraId="60FBC29A" w14:textId="189E3C03">
            <w:pPr>
              <w:jc w:val="center"/>
            </w:pPr>
            <w:r w:rsidRPr="6B370752">
              <w:t>$</w:t>
            </w:r>
            <w:r w:rsidR="00F947C4">
              <w:t>336,120</w:t>
            </w:r>
            <w:r w:rsidRPr="6B370752">
              <w:t>.00</w:t>
            </w:r>
          </w:p>
        </w:tc>
      </w:tr>
      <w:tr w14:paraId="1BA8ED82" w14:textId="77777777" w:rsidTr="000E08D8">
        <w:tblPrEx>
          <w:tblW w:w="0" w:type="auto"/>
          <w:tblLayout w:type="fixed"/>
          <w:tblLook w:val="04A0"/>
        </w:tblPrEx>
        <w:trPr>
          <w:tblHeader/>
        </w:trPr>
        <w:tc>
          <w:tcPr>
            <w:tcW w:w="3000" w:type="dxa"/>
            <w:vAlign w:val="center"/>
          </w:tcPr>
          <w:p w:rsidR="6B370752" w:rsidP="6B370752" w14:paraId="0D3A6EF2" w14:textId="696A2E80">
            <w:r w:rsidRPr="6B370752">
              <w:t>Organizations</w:t>
            </w:r>
            <w:r w:rsidR="005858DF">
              <w:t xml:space="preserve"> (n=300)</w:t>
            </w:r>
          </w:p>
        </w:tc>
        <w:tc>
          <w:tcPr>
            <w:tcW w:w="3015" w:type="dxa"/>
            <w:vAlign w:val="center"/>
          </w:tcPr>
          <w:p w:rsidR="6B370752" w:rsidP="6B370752" w14:paraId="10D5FC18" w14:textId="3625126B">
            <w:pPr>
              <w:jc w:val="center"/>
            </w:pPr>
            <w:r w:rsidRPr="6B370752">
              <w:t>6,000</w:t>
            </w:r>
          </w:p>
        </w:tc>
        <w:tc>
          <w:tcPr>
            <w:tcW w:w="3315" w:type="dxa"/>
            <w:vAlign w:val="center"/>
          </w:tcPr>
          <w:p w:rsidR="6B370752" w:rsidP="00F947C4" w14:paraId="4012BBE2" w14:textId="0970FC76">
            <w:pPr>
              <w:jc w:val="center"/>
            </w:pPr>
            <w:r w:rsidRPr="6B370752">
              <w:t>$</w:t>
            </w:r>
            <w:r w:rsidR="00F947C4">
              <w:t>336,120</w:t>
            </w:r>
            <w:r w:rsidRPr="6B370752">
              <w:t>.00</w:t>
            </w:r>
          </w:p>
        </w:tc>
      </w:tr>
      <w:tr w14:paraId="4A4D029A" w14:textId="77777777" w:rsidTr="000E08D8">
        <w:tblPrEx>
          <w:tblW w:w="0" w:type="auto"/>
          <w:tblLayout w:type="fixed"/>
          <w:tblLook w:val="04A0"/>
        </w:tblPrEx>
        <w:trPr>
          <w:tblHeader/>
        </w:trPr>
        <w:tc>
          <w:tcPr>
            <w:tcW w:w="3000" w:type="dxa"/>
            <w:vAlign w:val="center"/>
          </w:tcPr>
          <w:p w:rsidR="6B370752" w:rsidP="6B370752" w14:paraId="7ED56450" w14:textId="5BEB2E70">
            <w:r w:rsidRPr="6B370752">
              <w:rPr>
                <w:b/>
                <w:bCs/>
              </w:rPr>
              <w:t xml:space="preserve">Total </w:t>
            </w:r>
          </w:p>
        </w:tc>
        <w:tc>
          <w:tcPr>
            <w:tcW w:w="3015" w:type="dxa"/>
            <w:vAlign w:val="center"/>
          </w:tcPr>
          <w:p w:rsidR="6B370752" w:rsidRPr="00F947C4" w:rsidP="6B370752" w14:paraId="26C2C5B2" w14:textId="6061A9F2">
            <w:pPr>
              <w:jc w:val="center"/>
              <w:rPr>
                <w:b/>
              </w:rPr>
            </w:pPr>
            <w:r>
              <w:rPr>
                <w:b/>
              </w:rPr>
              <w:t>17,000</w:t>
            </w:r>
          </w:p>
        </w:tc>
        <w:tc>
          <w:tcPr>
            <w:tcW w:w="3315" w:type="dxa"/>
            <w:vAlign w:val="center"/>
          </w:tcPr>
          <w:p w:rsidR="6B370752" w:rsidRPr="00EE0ADD" w:rsidP="00F947C4" w14:paraId="5204902F" w14:textId="25AEF1A5">
            <w:pPr>
              <w:jc w:val="center"/>
              <w:rPr>
                <w:b/>
              </w:rPr>
            </w:pPr>
            <w:r>
              <w:rPr>
                <w:b/>
              </w:rPr>
              <w:t>$1,188,125.00</w:t>
            </w:r>
          </w:p>
        </w:tc>
      </w:tr>
    </w:tbl>
    <w:p w:rsidR="6B370752" w:rsidP="6B370752" w14:paraId="37C89BEE" w14:textId="33F7D5F0">
      <w:pPr>
        <w:rPr>
          <w:sz w:val="22"/>
          <w:szCs w:val="22"/>
        </w:rPr>
      </w:pPr>
    </w:p>
    <w:p w:rsidR="006C2363" w:rsidRPr="00D45546" w:rsidP="00D45546" w14:paraId="0624F986" w14:textId="7B885397">
      <w:pPr>
        <w:pStyle w:val="Heading2"/>
        <w:rPr>
          <w:rFonts w:cs="Times New Roman"/>
        </w:rPr>
      </w:pPr>
      <w:r>
        <w:t xml:space="preserve">13. </w:t>
      </w:r>
      <w:r w:rsidRPr="3D8B3856">
        <w:rPr>
          <w:rFonts w:cs="Times New Roman"/>
        </w:rPr>
        <w:t>Capital Costs</w:t>
      </w:r>
    </w:p>
    <w:p w:rsidR="009D0AE7" w:rsidRPr="00D45546" w:rsidP="3D8B3856" w14:paraId="1C7DEC8A" w14:textId="37FBCC08">
      <w:r>
        <w:t>There are no anticipated capital costs associated with this information collection.</w:t>
      </w:r>
    </w:p>
    <w:p w:rsidR="00D47C03" w:rsidP="00D45546" w14:paraId="4C7345CF" w14:textId="51CF1244">
      <w:pPr>
        <w:pStyle w:val="Heading2"/>
      </w:pPr>
      <w:r>
        <w:t>14. Cost to Federal Government</w:t>
      </w:r>
    </w:p>
    <w:p w:rsidR="00E204EF" w:rsidRPr="00F23CF0" w:rsidP="00E204EF" w14:paraId="3886694A" w14:textId="0FFC9FDC">
      <w:r>
        <w:t xml:space="preserve">The federal </w:t>
      </w:r>
      <w:r w:rsidR="004C12B7">
        <w:t xml:space="preserve">government </w:t>
      </w:r>
      <w:r>
        <w:t xml:space="preserve">cost is based on the efforts expended by CMS staff with the following assumptions to receive, review, and process data from drug manufacturers and the public for the negotiation processes. </w:t>
      </w:r>
    </w:p>
    <w:p w:rsidR="00B178B3" w:rsidP="00D45546" w14:paraId="14AE9300" w14:textId="698D76A3">
      <w:pPr>
        <w:pStyle w:val="Header3"/>
        <w:spacing w:before="0"/>
      </w:pPr>
      <w:r>
        <w:t>Estimates</w:t>
      </w:r>
    </w:p>
    <w:p w:rsidR="00052479" w:rsidRPr="00052479" w:rsidP="00052479" w14:paraId="38E362FE" w14:textId="6FFEE5C1">
      <w:r w:rsidRPr="00F23CF0">
        <w:t xml:space="preserve">To generate </w:t>
      </w:r>
      <w:r>
        <w:t xml:space="preserve">salary </w:t>
      </w:r>
      <w:r w:rsidRPr="00F23CF0">
        <w:t>estimates</w:t>
      </w:r>
      <w:r>
        <w:t xml:space="preserve"> reflected in Table </w:t>
      </w:r>
      <w:r w:rsidR="00AD39F4">
        <w:t>7</w:t>
      </w:r>
      <w:r w:rsidRPr="00F23CF0" w:rsidR="00BF28A2">
        <w:t xml:space="preserve"> </w:t>
      </w:r>
      <w:r w:rsidRPr="00F23CF0">
        <w:t>below</w:t>
      </w:r>
      <w:r>
        <w:t>,</w:t>
      </w:r>
      <w:r w:rsidRPr="00F23CF0">
        <w:t xml:space="preserve"> </w:t>
      </w:r>
      <w:r>
        <w:t xml:space="preserve">CMS used </w:t>
      </w:r>
      <w:r w:rsidRPr="00F23CF0">
        <w:t>the 20</w:t>
      </w:r>
      <w:r>
        <w:t>22</w:t>
      </w:r>
      <w:r w:rsidRPr="00F23CF0">
        <w:t xml:space="preserve"> </w:t>
      </w:r>
      <w:r>
        <w:t xml:space="preserve">General Schedule (GS) Locality Pay Tables published by the Office of Personnel Management (OPM) </w:t>
      </w:r>
      <w:r w:rsidRPr="00F23CF0">
        <w:t xml:space="preserve">for the </w:t>
      </w:r>
      <w:r>
        <w:t>Washington</w:t>
      </w:r>
      <w:r w:rsidRPr="00F23CF0">
        <w:t>-Baltimore</w:t>
      </w:r>
      <w:r>
        <w:t>-Arlington</w:t>
      </w:r>
      <w:r w:rsidRPr="00F23CF0">
        <w:t xml:space="preserve"> region</w:t>
      </w:r>
      <w:r>
        <w:t>.</w:t>
      </w:r>
      <w:r>
        <w:rPr>
          <w:vertAlign w:val="superscript"/>
        </w:rPr>
        <w:footnoteReference w:id="6"/>
      </w:r>
      <w:r w:rsidRPr="1DAA6A84">
        <w:rPr>
          <w:vertAlign w:val="superscript"/>
        </w:rPr>
        <w:t xml:space="preserve"> </w:t>
      </w:r>
      <w:r>
        <w:t xml:space="preserve">In this regard, Table </w:t>
      </w:r>
      <w:r w:rsidR="00AD39F4">
        <w:t>7</w:t>
      </w:r>
      <w:r>
        <w:t xml:space="preserve"> presents the mean hourly wage, the cost of fringe benefits (calculated at 100 percent of salary), and the adjusted hourly wage</w:t>
      </w:r>
      <w:r w:rsidR="7E491C93">
        <w:t xml:space="preserve"> </w:t>
      </w:r>
      <w:r w:rsidR="00D56EDF">
        <w:t xml:space="preserve">for </w:t>
      </w:r>
      <w:r w:rsidR="0027373F">
        <w:t>one</w:t>
      </w:r>
      <w:r w:rsidR="7E491C93">
        <w:t xml:space="preserve"> year of </w:t>
      </w:r>
      <w:r w:rsidR="0027373F">
        <w:t xml:space="preserve">information </w:t>
      </w:r>
      <w:r w:rsidR="49E5FC92">
        <w:t>collection covered by this</w:t>
      </w:r>
      <w:r w:rsidR="006E4D5D">
        <w:t xml:space="preserve"> information collection</w:t>
      </w:r>
      <w:r w:rsidRPr="49E5FC92">
        <w:t>.</w:t>
      </w:r>
      <w:r w:rsidR="00D56EDF">
        <w:t xml:space="preserve"> </w:t>
      </w:r>
      <w:r w:rsidRPr="00052479">
        <w:t>Staffing estimates are based on CMS duties as follows:</w:t>
      </w:r>
    </w:p>
    <w:p w:rsidR="00052479" w:rsidRPr="00052479" w:rsidP="00052479" w14:paraId="06597D73" w14:textId="77777777">
      <w:pPr>
        <w:numPr>
          <w:ilvl w:val="0"/>
          <w:numId w:val="4"/>
        </w:numPr>
      </w:pPr>
      <w:r w:rsidRPr="00052479">
        <w:t xml:space="preserve">CMS will develop policies and procedures for determining the maximum fair price and the negotiation process; and </w:t>
      </w:r>
    </w:p>
    <w:p w:rsidR="00AD56BF" w:rsidRPr="00D45546" w:rsidP="00D45546" w14:paraId="7CB2EB58" w14:textId="77F8DAAE">
      <w:pPr>
        <w:numPr>
          <w:ilvl w:val="0"/>
          <w:numId w:val="4"/>
        </w:numPr>
      </w:pPr>
      <w:r w:rsidRPr="00052479">
        <w:t xml:space="preserve">Review and analyze the data that drug manufacturers and the public submit. </w:t>
      </w:r>
    </w:p>
    <w:p w:rsidR="00E204EF" w:rsidP="00F145AD" w14:paraId="6274A9B4" w14:textId="4F2365D6">
      <w:pPr>
        <w:keepNext/>
        <w:jc w:val="center"/>
        <w:rPr>
          <w:b/>
        </w:rPr>
      </w:pPr>
      <w:r w:rsidRPr="005D5C57">
        <w:rPr>
          <w:b/>
        </w:rPr>
        <w:t xml:space="preserve">TABLE </w:t>
      </w:r>
      <w:r w:rsidR="00AD39F4">
        <w:rPr>
          <w:b/>
        </w:rPr>
        <w:t>7</w:t>
      </w:r>
      <w:r w:rsidRPr="009F4BC1">
        <w:rPr>
          <w:b/>
        </w:rPr>
        <w:t>. BURDEN ESTIMATE</w:t>
      </w:r>
      <w:r w:rsidRPr="0AC60F62" w:rsidR="0AC60F62">
        <w:rPr>
          <w:b/>
          <w:bCs/>
        </w:rPr>
        <w:t>COST</w:t>
      </w:r>
      <w:r w:rsidRPr="009F4BC1">
        <w:rPr>
          <w:b/>
        </w:rPr>
        <w:t xml:space="preserve"> FOR CMS STAFF FOR </w:t>
      </w:r>
      <w:r w:rsidR="00D87C05">
        <w:rPr>
          <w:b/>
        </w:rPr>
        <w:t xml:space="preserve">INITIAL </w:t>
      </w:r>
      <w:r w:rsidRPr="009F4BC1">
        <w:rPr>
          <w:b/>
        </w:rPr>
        <w:t>PRICE APPLICABILITY YEAR 2026</w:t>
      </w:r>
    </w:p>
    <w:tbl>
      <w:tblPr>
        <w:tblW w:w="9265" w:type="dxa"/>
        <w:tblLook w:val="04A0"/>
      </w:tblPr>
      <w:tblGrid>
        <w:gridCol w:w="1918"/>
        <w:gridCol w:w="1317"/>
        <w:gridCol w:w="1768"/>
        <w:gridCol w:w="2121"/>
        <w:gridCol w:w="2141"/>
      </w:tblGrid>
      <w:tr w14:paraId="139CEEF6" w14:textId="77777777" w:rsidTr="000E08D8">
        <w:tblPrEx>
          <w:tblW w:w="9265" w:type="dxa"/>
          <w:tblLook w:val="04A0"/>
        </w:tblPrEx>
        <w:trPr>
          <w:trHeight w:val="300"/>
          <w:tblHeader/>
        </w:trPr>
        <w:tc>
          <w:tcPr>
            <w:tcW w:w="1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2DA" w:rsidRPr="00DF12B6" w:rsidP="00F145AD" w14:paraId="119A57FD" w14:textId="77777777">
            <w:pPr>
              <w:keepNext/>
              <w:rPr>
                <w:b/>
              </w:rPr>
            </w:pPr>
            <w:r w:rsidRPr="00DF12B6">
              <w:rPr>
                <w:b/>
              </w:rPr>
              <w:t>Staff</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9142DA" w:rsidRPr="00DF12B6" w:rsidP="00F145AD" w14:paraId="692E2CB2" w14:textId="77777777">
            <w:pPr>
              <w:keepNext/>
              <w:rPr>
                <w:b/>
              </w:rPr>
            </w:pPr>
            <w:r w:rsidRPr="00DF12B6">
              <w:rPr>
                <w:b/>
              </w:rPr>
              <w:t>Salary</w:t>
            </w:r>
          </w:p>
        </w:tc>
        <w:tc>
          <w:tcPr>
            <w:tcW w:w="1768" w:type="dxa"/>
            <w:tcBorders>
              <w:top w:val="single" w:sz="4" w:space="0" w:color="auto"/>
              <w:left w:val="nil"/>
              <w:bottom w:val="single" w:sz="4" w:space="0" w:color="auto"/>
              <w:right w:val="single" w:sz="4" w:space="0" w:color="auto"/>
            </w:tcBorders>
            <w:shd w:val="clear" w:color="auto" w:fill="auto"/>
            <w:noWrap/>
            <w:vAlign w:val="center"/>
          </w:tcPr>
          <w:p w:rsidR="009142DA" w:rsidRPr="00DF12B6" w:rsidP="00F145AD" w14:paraId="2B7593D0" w14:textId="77777777">
            <w:pPr>
              <w:keepNext/>
              <w:rPr>
                <w:b/>
              </w:rPr>
            </w:pPr>
            <w:r w:rsidRPr="00DF12B6">
              <w:rPr>
                <w:b/>
              </w:rPr>
              <w:t>Benefits</w:t>
            </w:r>
          </w:p>
        </w:tc>
        <w:tc>
          <w:tcPr>
            <w:tcW w:w="2121" w:type="dxa"/>
            <w:tcBorders>
              <w:top w:val="single" w:sz="4" w:space="0" w:color="auto"/>
              <w:left w:val="nil"/>
              <w:bottom w:val="single" w:sz="4" w:space="0" w:color="auto"/>
              <w:right w:val="single" w:sz="4" w:space="0" w:color="auto"/>
            </w:tcBorders>
            <w:shd w:val="clear" w:color="auto" w:fill="auto"/>
            <w:noWrap/>
            <w:vAlign w:val="center"/>
            <w:hideMark/>
          </w:tcPr>
          <w:p w:rsidR="009142DA" w:rsidRPr="00DF12B6" w:rsidP="00F145AD" w14:paraId="58B462A9" w14:textId="77777777">
            <w:pPr>
              <w:keepNext/>
              <w:rPr>
                <w:b/>
              </w:rPr>
            </w:pPr>
            <w:r w:rsidRPr="00DF12B6">
              <w:rPr>
                <w:b/>
              </w:rPr>
              <w:t>FTE Equivalent</w:t>
            </w:r>
          </w:p>
        </w:tc>
        <w:tc>
          <w:tcPr>
            <w:tcW w:w="2141" w:type="dxa"/>
            <w:tcBorders>
              <w:top w:val="single" w:sz="4" w:space="0" w:color="auto"/>
              <w:left w:val="nil"/>
              <w:bottom w:val="single" w:sz="4" w:space="0" w:color="auto"/>
              <w:right w:val="single" w:sz="4" w:space="0" w:color="auto"/>
            </w:tcBorders>
            <w:shd w:val="clear" w:color="auto" w:fill="auto"/>
            <w:noWrap/>
            <w:vAlign w:val="center"/>
            <w:hideMark/>
          </w:tcPr>
          <w:p w:rsidR="009142DA" w:rsidRPr="00DF12B6" w:rsidP="00F145AD" w14:paraId="1B39CDE8" w14:textId="77777777">
            <w:pPr>
              <w:keepNext/>
              <w:rPr>
                <w:b/>
              </w:rPr>
            </w:pPr>
            <w:r w:rsidRPr="00DF12B6">
              <w:rPr>
                <w:b/>
              </w:rPr>
              <w:t>Total</w:t>
            </w:r>
          </w:p>
        </w:tc>
      </w:tr>
      <w:tr w14:paraId="3C9C277C" w14:textId="77777777" w:rsidTr="000E08D8">
        <w:tblPrEx>
          <w:tblW w:w="9265" w:type="dxa"/>
          <w:tblLook w:val="04A0"/>
        </w:tblPrEx>
        <w:trPr>
          <w:trHeight w:val="300"/>
          <w:tblHeader/>
        </w:trPr>
        <w:tc>
          <w:tcPr>
            <w:tcW w:w="1918" w:type="dxa"/>
            <w:tcBorders>
              <w:top w:val="nil"/>
              <w:left w:val="single" w:sz="4" w:space="0" w:color="auto"/>
              <w:bottom w:val="single" w:sz="4" w:space="0" w:color="auto"/>
              <w:right w:val="single" w:sz="4" w:space="0" w:color="auto"/>
            </w:tcBorders>
            <w:shd w:val="clear" w:color="auto" w:fill="auto"/>
            <w:noWrap/>
            <w:vAlign w:val="bottom"/>
            <w:hideMark/>
          </w:tcPr>
          <w:p w:rsidR="009142DA" w:rsidRPr="00F23CF0" w:rsidP="009064D4" w14:paraId="06881742" w14:textId="77777777">
            <w:r w:rsidRPr="00F23CF0">
              <w:t>GS-1</w:t>
            </w:r>
            <w:r>
              <w:t>3</w:t>
            </w:r>
            <w:r w:rsidRPr="00F23CF0">
              <w:t>, step 4</w:t>
            </w:r>
          </w:p>
        </w:tc>
        <w:tc>
          <w:tcPr>
            <w:tcW w:w="1317" w:type="dxa"/>
            <w:tcBorders>
              <w:top w:val="nil"/>
              <w:left w:val="nil"/>
              <w:bottom w:val="single" w:sz="4" w:space="0" w:color="auto"/>
              <w:right w:val="single" w:sz="4" w:space="0" w:color="auto"/>
            </w:tcBorders>
            <w:shd w:val="clear" w:color="auto" w:fill="auto"/>
            <w:noWrap/>
            <w:vAlign w:val="bottom"/>
            <w:hideMark/>
          </w:tcPr>
          <w:p w:rsidR="009142DA" w:rsidRPr="00F23CF0" w:rsidP="009064D4" w14:paraId="2DF0E1D2" w14:textId="77777777">
            <w:r w:rsidRPr="00556EEB">
              <w:t>$</w:t>
            </w:r>
            <w:r>
              <w:t>117,505</w:t>
            </w:r>
          </w:p>
        </w:tc>
        <w:tc>
          <w:tcPr>
            <w:tcW w:w="1768" w:type="dxa"/>
            <w:tcBorders>
              <w:top w:val="nil"/>
              <w:left w:val="nil"/>
              <w:bottom w:val="single" w:sz="4" w:space="0" w:color="auto"/>
              <w:right w:val="single" w:sz="4" w:space="0" w:color="auto"/>
            </w:tcBorders>
            <w:shd w:val="clear" w:color="auto" w:fill="auto"/>
            <w:noWrap/>
            <w:vAlign w:val="bottom"/>
          </w:tcPr>
          <w:p w:rsidR="009142DA" w:rsidRPr="00F23CF0" w:rsidP="009064D4" w14:paraId="0D13FA87" w14:textId="77777777">
            <w:r w:rsidRPr="00556EEB">
              <w:t>$</w:t>
            </w:r>
            <w:r>
              <w:t>117,505</w:t>
            </w:r>
          </w:p>
        </w:tc>
        <w:tc>
          <w:tcPr>
            <w:tcW w:w="2121" w:type="dxa"/>
            <w:tcBorders>
              <w:top w:val="nil"/>
              <w:left w:val="nil"/>
              <w:bottom w:val="single" w:sz="4" w:space="0" w:color="auto"/>
              <w:right w:val="single" w:sz="4" w:space="0" w:color="auto"/>
            </w:tcBorders>
            <w:shd w:val="clear" w:color="auto" w:fill="auto"/>
            <w:noWrap/>
            <w:vAlign w:val="center"/>
            <w:hideMark/>
          </w:tcPr>
          <w:p w:rsidR="009142DA" w:rsidRPr="00F23CF0" w:rsidP="009064D4" w14:paraId="527EBA39" w14:textId="77777777">
            <w:pPr>
              <w:jc w:val="center"/>
            </w:pPr>
            <w:r>
              <w:t>7</w:t>
            </w:r>
          </w:p>
        </w:tc>
        <w:tc>
          <w:tcPr>
            <w:tcW w:w="2141" w:type="dxa"/>
            <w:tcBorders>
              <w:top w:val="nil"/>
              <w:left w:val="nil"/>
              <w:bottom w:val="single" w:sz="4" w:space="0" w:color="auto"/>
              <w:right w:val="single" w:sz="4" w:space="0" w:color="auto"/>
            </w:tcBorders>
            <w:shd w:val="clear" w:color="auto" w:fill="auto"/>
            <w:noWrap/>
            <w:vAlign w:val="bottom"/>
            <w:hideMark/>
          </w:tcPr>
          <w:p w:rsidR="009142DA" w:rsidRPr="00F23CF0" w:rsidP="009064D4" w14:paraId="62BB0ADA" w14:textId="77777777">
            <w:r>
              <w:t>$1,645,070.00</w:t>
            </w:r>
          </w:p>
        </w:tc>
      </w:tr>
      <w:tr w14:paraId="4CF3A90D" w14:textId="77777777" w:rsidTr="000E08D8">
        <w:tblPrEx>
          <w:tblW w:w="9265" w:type="dxa"/>
          <w:tblLook w:val="04A0"/>
        </w:tblPrEx>
        <w:trPr>
          <w:trHeight w:val="300"/>
          <w:tblHeader/>
        </w:trPr>
        <w:tc>
          <w:tcPr>
            <w:tcW w:w="1918" w:type="dxa"/>
            <w:tcBorders>
              <w:top w:val="nil"/>
              <w:left w:val="single" w:sz="4" w:space="0" w:color="auto"/>
              <w:bottom w:val="single" w:sz="4" w:space="0" w:color="auto"/>
              <w:right w:val="single" w:sz="4" w:space="0" w:color="auto"/>
            </w:tcBorders>
            <w:shd w:val="clear" w:color="auto" w:fill="auto"/>
            <w:noWrap/>
            <w:vAlign w:val="bottom"/>
            <w:hideMark/>
          </w:tcPr>
          <w:p w:rsidR="009142DA" w:rsidRPr="00F23CF0" w:rsidP="009064D4" w14:paraId="4DA3952A" w14:textId="77777777">
            <w:r w:rsidRPr="00F23CF0">
              <w:t>GS-1</w:t>
            </w:r>
            <w:r>
              <w:t>4</w:t>
            </w:r>
            <w:r w:rsidRPr="00F23CF0">
              <w:t>, step 4</w:t>
            </w:r>
          </w:p>
        </w:tc>
        <w:tc>
          <w:tcPr>
            <w:tcW w:w="1317" w:type="dxa"/>
            <w:tcBorders>
              <w:top w:val="nil"/>
              <w:left w:val="nil"/>
              <w:bottom w:val="single" w:sz="4" w:space="0" w:color="auto"/>
              <w:right w:val="single" w:sz="4" w:space="0" w:color="auto"/>
            </w:tcBorders>
            <w:shd w:val="clear" w:color="auto" w:fill="auto"/>
            <w:noWrap/>
            <w:vAlign w:val="bottom"/>
            <w:hideMark/>
          </w:tcPr>
          <w:p w:rsidR="009142DA" w:rsidRPr="00F23CF0" w:rsidP="009064D4" w14:paraId="179E5349" w14:textId="77777777">
            <w:r>
              <w:t>$138,856</w:t>
            </w:r>
          </w:p>
        </w:tc>
        <w:tc>
          <w:tcPr>
            <w:tcW w:w="1768" w:type="dxa"/>
            <w:tcBorders>
              <w:top w:val="nil"/>
              <w:left w:val="nil"/>
              <w:bottom w:val="single" w:sz="4" w:space="0" w:color="auto"/>
              <w:right w:val="single" w:sz="4" w:space="0" w:color="auto"/>
            </w:tcBorders>
            <w:shd w:val="clear" w:color="auto" w:fill="auto"/>
            <w:noWrap/>
            <w:vAlign w:val="bottom"/>
          </w:tcPr>
          <w:p w:rsidR="009142DA" w:rsidRPr="00F23CF0" w:rsidP="009064D4" w14:paraId="2FEDE7FE" w14:textId="77777777">
            <w:r>
              <w:t>$138,856</w:t>
            </w:r>
          </w:p>
        </w:tc>
        <w:tc>
          <w:tcPr>
            <w:tcW w:w="2121" w:type="dxa"/>
            <w:tcBorders>
              <w:top w:val="nil"/>
              <w:left w:val="nil"/>
              <w:bottom w:val="single" w:sz="4" w:space="0" w:color="auto"/>
              <w:right w:val="single" w:sz="4" w:space="0" w:color="auto"/>
            </w:tcBorders>
            <w:shd w:val="clear" w:color="auto" w:fill="auto"/>
            <w:noWrap/>
            <w:vAlign w:val="center"/>
            <w:hideMark/>
          </w:tcPr>
          <w:p w:rsidR="009142DA" w:rsidRPr="00F23CF0" w:rsidP="009064D4" w14:paraId="54E9D842" w14:textId="77777777">
            <w:pPr>
              <w:jc w:val="center"/>
            </w:pPr>
            <w:r>
              <w:t>3</w:t>
            </w:r>
          </w:p>
        </w:tc>
        <w:tc>
          <w:tcPr>
            <w:tcW w:w="2141" w:type="dxa"/>
            <w:tcBorders>
              <w:top w:val="nil"/>
              <w:left w:val="nil"/>
              <w:bottom w:val="single" w:sz="4" w:space="0" w:color="auto"/>
              <w:right w:val="single" w:sz="4" w:space="0" w:color="auto"/>
            </w:tcBorders>
            <w:shd w:val="clear" w:color="auto" w:fill="auto"/>
            <w:noWrap/>
            <w:vAlign w:val="bottom"/>
            <w:hideMark/>
          </w:tcPr>
          <w:p w:rsidR="009142DA" w:rsidRPr="00F23CF0" w:rsidP="009064D4" w14:paraId="2A1A45C7" w14:textId="77777777">
            <w:r>
              <w:t>$833,136.00</w:t>
            </w:r>
          </w:p>
        </w:tc>
      </w:tr>
      <w:tr w14:paraId="3A3CF752" w14:textId="77777777" w:rsidTr="000E08D8">
        <w:tblPrEx>
          <w:tblW w:w="9265" w:type="dxa"/>
          <w:tblLook w:val="04A0"/>
        </w:tblPrEx>
        <w:trPr>
          <w:trHeight w:val="300"/>
          <w:tblHeader/>
        </w:trPr>
        <w:tc>
          <w:tcPr>
            <w:tcW w:w="1918" w:type="dxa"/>
            <w:tcBorders>
              <w:top w:val="nil"/>
              <w:left w:val="single" w:sz="4" w:space="0" w:color="auto"/>
              <w:bottom w:val="single" w:sz="4" w:space="0" w:color="auto"/>
              <w:right w:val="single" w:sz="4" w:space="0" w:color="auto"/>
            </w:tcBorders>
            <w:shd w:val="clear" w:color="auto" w:fill="auto"/>
            <w:noWrap/>
            <w:vAlign w:val="bottom"/>
            <w:hideMark/>
          </w:tcPr>
          <w:p w:rsidR="009142DA" w:rsidRPr="00F23CF0" w:rsidP="009064D4" w14:paraId="3AA935AF" w14:textId="77777777">
            <w:r w:rsidRPr="00F23CF0">
              <w:t>GS-15, step 4</w:t>
            </w:r>
          </w:p>
        </w:tc>
        <w:tc>
          <w:tcPr>
            <w:tcW w:w="1317" w:type="dxa"/>
            <w:tcBorders>
              <w:top w:val="nil"/>
              <w:left w:val="nil"/>
              <w:bottom w:val="single" w:sz="4" w:space="0" w:color="auto"/>
              <w:right w:val="single" w:sz="4" w:space="0" w:color="auto"/>
            </w:tcBorders>
            <w:shd w:val="clear" w:color="auto" w:fill="auto"/>
            <w:noWrap/>
            <w:vAlign w:val="bottom"/>
            <w:hideMark/>
          </w:tcPr>
          <w:p w:rsidR="009142DA" w:rsidRPr="00F23CF0" w:rsidP="009064D4" w14:paraId="087D4BE0" w14:textId="77777777">
            <w:r>
              <w:t>$163,333</w:t>
            </w:r>
          </w:p>
        </w:tc>
        <w:tc>
          <w:tcPr>
            <w:tcW w:w="1768" w:type="dxa"/>
            <w:tcBorders>
              <w:top w:val="nil"/>
              <w:left w:val="nil"/>
              <w:bottom w:val="single" w:sz="4" w:space="0" w:color="auto"/>
              <w:right w:val="single" w:sz="4" w:space="0" w:color="auto"/>
            </w:tcBorders>
            <w:shd w:val="clear" w:color="auto" w:fill="auto"/>
            <w:noWrap/>
            <w:vAlign w:val="bottom"/>
          </w:tcPr>
          <w:p w:rsidR="009142DA" w:rsidRPr="00F23CF0" w:rsidP="009064D4" w14:paraId="49D486EC" w14:textId="77777777">
            <w:r>
              <w:t>$163,333</w:t>
            </w:r>
          </w:p>
        </w:tc>
        <w:tc>
          <w:tcPr>
            <w:tcW w:w="2121" w:type="dxa"/>
            <w:tcBorders>
              <w:top w:val="nil"/>
              <w:left w:val="nil"/>
              <w:bottom w:val="single" w:sz="4" w:space="0" w:color="auto"/>
              <w:right w:val="single" w:sz="4" w:space="0" w:color="auto"/>
            </w:tcBorders>
            <w:shd w:val="clear" w:color="auto" w:fill="auto"/>
            <w:noWrap/>
            <w:vAlign w:val="center"/>
            <w:hideMark/>
          </w:tcPr>
          <w:p w:rsidR="009142DA" w:rsidRPr="00F23CF0" w:rsidP="009064D4" w14:paraId="7948EE90" w14:textId="77777777">
            <w:pPr>
              <w:jc w:val="center"/>
            </w:pPr>
            <w:r>
              <w:t>2</w:t>
            </w:r>
          </w:p>
        </w:tc>
        <w:tc>
          <w:tcPr>
            <w:tcW w:w="2141" w:type="dxa"/>
            <w:tcBorders>
              <w:top w:val="nil"/>
              <w:left w:val="nil"/>
              <w:bottom w:val="single" w:sz="4" w:space="0" w:color="auto"/>
              <w:right w:val="single" w:sz="4" w:space="0" w:color="auto"/>
            </w:tcBorders>
            <w:shd w:val="clear" w:color="auto" w:fill="auto"/>
            <w:noWrap/>
            <w:vAlign w:val="bottom"/>
            <w:hideMark/>
          </w:tcPr>
          <w:p w:rsidR="009142DA" w:rsidRPr="00F23CF0" w:rsidP="009064D4" w14:paraId="7DF4FA8D" w14:textId="77777777">
            <w:r>
              <w:t>$653,332.00</w:t>
            </w:r>
          </w:p>
        </w:tc>
      </w:tr>
      <w:tr w14:paraId="7DCDA8D3" w14:textId="77777777" w:rsidTr="000E08D8">
        <w:tblPrEx>
          <w:tblW w:w="9265" w:type="dxa"/>
          <w:tblLook w:val="04A0"/>
        </w:tblPrEx>
        <w:trPr>
          <w:trHeight w:val="300"/>
          <w:tblHeader/>
        </w:trPr>
        <w:tc>
          <w:tcPr>
            <w:tcW w:w="1918" w:type="dxa"/>
            <w:tcBorders>
              <w:top w:val="nil"/>
              <w:left w:val="single" w:sz="4" w:space="0" w:color="auto"/>
              <w:bottom w:val="single" w:sz="4" w:space="0" w:color="auto"/>
              <w:right w:val="single" w:sz="4" w:space="0" w:color="auto"/>
            </w:tcBorders>
            <w:shd w:val="clear" w:color="auto" w:fill="auto"/>
            <w:noWrap/>
            <w:vAlign w:val="bottom"/>
          </w:tcPr>
          <w:p w:rsidR="009142DA" w:rsidRPr="00F23CF0" w:rsidP="009064D4" w14:paraId="4FE8E79E" w14:textId="77777777">
            <w:pPr>
              <w:jc w:val="center"/>
            </w:pPr>
            <w:r>
              <w:t>-</w:t>
            </w:r>
          </w:p>
        </w:tc>
        <w:tc>
          <w:tcPr>
            <w:tcW w:w="1317" w:type="dxa"/>
            <w:tcBorders>
              <w:top w:val="nil"/>
              <w:left w:val="nil"/>
              <w:bottom w:val="single" w:sz="4" w:space="0" w:color="auto"/>
              <w:right w:val="single" w:sz="4" w:space="0" w:color="auto"/>
            </w:tcBorders>
            <w:shd w:val="clear" w:color="auto" w:fill="auto"/>
            <w:noWrap/>
            <w:vAlign w:val="bottom"/>
          </w:tcPr>
          <w:p w:rsidR="009142DA" w:rsidP="009064D4" w14:paraId="350A88A4" w14:textId="77777777">
            <w:pPr>
              <w:jc w:val="center"/>
            </w:pPr>
            <w:r>
              <w:t>-</w:t>
            </w:r>
          </w:p>
        </w:tc>
        <w:tc>
          <w:tcPr>
            <w:tcW w:w="1768" w:type="dxa"/>
            <w:tcBorders>
              <w:top w:val="nil"/>
              <w:left w:val="nil"/>
              <w:bottom w:val="single" w:sz="4" w:space="0" w:color="auto"/>
              <w:right w:val="single" w:sz="4" w:space="0" w:color="auto"/>
            </w:tcBorders>
            <w:shd w:val="clear" w:color="auto" w:fill="auto"/>
            <w:noWrap/>
            <w:vAlign w:val="bottom"/>
          </w:tcPr>
          <w:p w:rsidR="009142DA" w:rsidP="009064D4" w14:paraId="7028D929" w14:textId="77777777">
            <w:pPr>
              <w:jc w:val="center"/>
            </w:pPr>
            <w:r>
              <w:t>-</w:t>
            </w:r>
          </w:p>
        </w:tc>
        <w:tc>
          <w:tcPr>
            <w:tcW w:w="2121" w:type="dxa"/>
            <w:tcBorders>
              <w:top w:val="nil"/>
              <w:left w:val="nil"/>
              <w:bottom w:val="single" w:sz="4" w:space="0" w:color="auto"/>
              <w:right w:val="single" w:sz="4" w:space="0" w:color="auto"/>
            </w:tcBorders>
            <w:shd w:val="clear" w:color="auto" w:fill="auto"/>
            <w:noWrap/>
            <w:vAlign w:val="center"/>
          </w:tcPr>
          <w:p w:rsidR="009142DA" w:rsidP="009064D4" w14:paraId="6A1FF513" w14:textId="77777777">
            <w:pPr>
              <w:jc w:val="center"/>
            </w:pPr>
            <w:r>
              <w:t>-</w:t>
            </w:r>
          </w:p>
        </w:tc>
        <w:tc>
          <w:tcPr>
            <w:tcW w:w="2141" w:type="dxa"/>
            <w:tcBorders>
              <w:top w:val="nil"/>
              <w:left w:val="nil"/>
              <w:bottom w:val="single" w:sz="4" w:space="0" w:color="auto"/>
              <w:right w:val="single" w:sz="4" w:space="0" w:color="auto"/>
            </w:tcBorders>
            <w:shd w:val="clear" w:color="auto" w:fill="auto"/>
            <w:noWrap/>
            <w:vAlign w:val="bottom"/>
          </w:tcPr>
          <w:p w:rsidR="009142DA" w:rsidP="009064D4" w14:paraId="6709CB6B" w14:textId="77777777">
            <w:r w:rsidRPr="00F947C4">
              <w:rPr>
                <w:b/>
              </w:rPr>
              <w:t>$3,131,538.00</w:t>
            </w:r>
          </w:p>
        </w:tc>
      </w:tr>
    </w:tbl>
    <w:p w:rsidR="009142DA" w:rsidP="0004173A" w14:paraId="1C0693BE" w14:textId="6143DFE0"/>
    <w:p w:rsidR="0004173A" w:rsidRPr="0004173A" w:rsidP="0004173A" w14:paraId="03F09063" w14:textId="350E0F38">
      <w:r>
        <w:t>In addition, CMS staff and one contractor will complete work in the CMS HPMS to accommodate this</w:t>
      </w:r>
      <w:r w:rsidR="006E4D5D">
        <w:t xml:space="preserve"> </w:t>
      </w:r>
      <w:r w:rsidR="00694801">
        <w:t>ICR</w:t>
      </w:r>
      <w:r>
        <w:t xml:space="preserve">. The same GS locality as Table 7 is used in Table 8. </w:t>
      </w:r>
    </w:p>
    <w:p w:rsidR="0092137A" w:rsidP="00F145AD" w14:paraId="6A273FC1" w14:textId="3A710B32">
      <w:pPr>
        <w:keepNext/>
        <w:jc w:val="center"/>
        <w:rPr>
          <w:b/>
          <w:bCs/>
          <w:sz w:val="22"/>
          <w:szCs w:val="22"/>
        </w:rPr>
      </w:pPr>
      <w:r w:rsidRPr="005D5C57">
        <w:rPr>
          <w:b/>
        </w:rPr>
        <w:t xml:space="preserve">TABLE </w:t>
      </w:r>
      <w:r>
        <w:rPr>
          <w:b/>
        </w:rPr>
        <w:t>8</w:t>
      </w:r>
      <w:r w:rsidRPr="009F4BC1">
        <w:rPr>
          <w:b/>
        </w:rPr>
        <w:t>. BURDEN ESTIMATE</w:t>
      </w:r>
      <w:r>
        <w:rPr>
          <w:b/>
        </w:rPr>
        <w:t xml:space="preserve"> </w:t>
      </w:r>
      <w:r w:rsidRPr="0AC60F62" w:rsidR="0AC60F62">
        <w:rPr>
          <w:b/>
          <w:bCs/>
        </w:rPr>
        <w:t>COST</w:t>
      </w:r>
      <w:r w:rsidRPr="009F4BC1">
        <w:rPr>
          <w:b/>
        </w:rPr>
        <w:t xml:space="preserve"> FOR CMS STAFF </w:t>
      </w:r>
      <w:r>
        <w:rPr>
          <w:b/>
        </w:rPr>
        <w:t xml:space="preserve">AND CONTRACTORS </w:t>
      </w:r>
      <w:r w:rsidRPr="009F4BC1">
        <w:rPr>
          <w:b/>
        </w:rPr>
        <w:t xml:space="preserve">FOR </w:t>
      </w:r>
      <w:r>
        <w:rPr>
          <w:b/>
        </w:rPr>
        <w:t xml:space="preserve">INITIAL </w:t>
      </w:r>
      <w:r w:rsidRPr="009F4BC1">
        <w:rPr>
          <w:b/>
        </w:rPr>
        <w:t>PRICE APPLICABILITY YEAR 2026</w:t>
      </w:r>
      <w:r>
        <w:rPr>
          <w:b/>
        </w:rPr>
        <w:t xml:space="preserve"> TO BUILD CMS </w:t>
      </w:r>
      <w:r w:rsidRPr="0AC60F62" w:rsidR="0AC60F62">
        <w:rPr>
          <w:b/>
          <w:bCs/>
        </w:rPr>
        <w:t>HPMS</w:t>
      </w:r>
    </w:p>
    <w:tbl>
      <w:tblPr>
        <w:tblW w:w="9265" w:type="dxa"/>
        <w:tblCellMar>
          <w:left w:w="0" w:type="dxa"/>
          <w:right w:w="0" w:type="dxa"/>
        </w:tblCellMar>
        <w:tblLook w:val="04A0"/>
      </w:tblPr>
      <w:tblGrid>
        <w:gridCol w:w="1918"/>
        <w:gridCol w:w="1317"/>
        <w:gridCol w:w="1768"/>
        <w:gridCol w:w="2121"/>
        <w:gridCol w:w="2141"/>
      </w:tblGrid>
      <w:tr w14:paraId="6C8D03E7" w14:textId="77777777" w:rsidTr="000E08D8">
        <w:tblPrEx>
          <w:tblW w:w="9265" w:type="dxa"/>
          <w:tblCellMar>
            <w:left w:w="0" w:type="dxa"/>
            <w:right w:w="0" w:type="dxa"/>
          </w:tblCellMar>
          <w:tblLook w:val="04A0"/>
        </w:tblPrEx>
        <w:trPr>
          <w:trHeight w:val="300"/>
          <w:tblHeader/>
        </w:trPr>
        <w:tc>
          <w:tcPr>
            <w:tcW w:w="19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2137A" w:rsidP="00F145AD" w14:paraId="7EC5BF21" w14:textId="77777777">
            <w:pPr>
              <w:keepNext/>
              <w:rPr>
                <w:b/>
                <w:bCs/>
              </w:rPr>
            </w:pPr>
            <w:r>
              <w:rPr>
                <w:b/>
                <w:bCs/>
              </w:rPr>
              <w:t>Staff</w:t>
            </w:r>
          </w:p>
        </w:tc>
        <w:tc>
          <w:tcPr>
            <w:tcW w:w="131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92137A" w:rsidP="00F145AD" w14:paraId="03424409" w14:textId="77777777">
            <w:pPr>
              <w:keepNext/>
              <w:rPr>
                <w:b/>
                <w:bCs/>
              </w:rPr>
            </w:pPr>
            <w:r>
              <w:rPr>
                <w:b/>
                <w:bCs/>
              </w:rPr>
              <w:t>Rate</w:t>
            </w:r>
          </w:p>
        </w:tc>
        <w:tc>
          <w:tcPr>
            <w:tcW w:w="176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92137A" w:rsidP="00F145AD" w14:paraId="2038C83E" w14:textId="77777777">
            <w:pPr>
              <w:keepNext/>
              <w:rPr>
                <w:b/>
                <w:bCs/>
              </w:rPr>
            </w:pPr>
            <w:r>
              <w:rPr>
                <w:b/>
                <w:bCs/>
              </w:rPr>
              <w:t>Hours</w:t>
            </w:r>
          </w:p>
        </w:tc>
        <w:tc>
          <w:tcPr>
            <w:tcW w:w="212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92137A" w:rsidP="00F145AD" w14:paraId="3D66A421" w14:textId="77777777">
            <w:pPr>
              <w:keepNext/>
              <w:rPr>
                <w:b/>
                <w:bCs/>
              </w:rPr>
            </w:pPr>
            <w:r>
              <w:rPr>
                <w:b/>
                <w:bCs/>
              </w:rPr>
              <w:t>FTE Equivalent</w:t>
            </w:r>
          </w:p>
        </w:tc>
        <w:tc>
          <w:tcPr>
            <w:tcW w:w="214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92137A" w:rsidP="00F145AD" w14:paraId="25B359E9" w14:textId="77777777">
            <w:pPr>
              <w:keepNext/>
              <w:rPr>
                <w:b/>
                <w:bCs/>
              </w:rPr>
            </w:pPr>
            <w:r>
              <w:rPr>
                <w:b/>
                <w:bCs/>
              </w:rPr>
              <w:t>Total</w:t>
            </w:r>
          </w:p>
        </w:tc>
      </w:tr>
      <w:tr w14:paraId="10F117E4" w14:textId="77777777" w:rsidTr="000E08D8">
        <w:tblPrEx>
          <w:tblW w:w="9265" w:type="dxa"/>
          <w:tblCellMar>
            <w:left w:w="0" w:type="dxa"/>
            <w:right w:w="0" w:type="dxa"/>
          </w:tblCellMar>
          <w:tblLook w:val="04A0"/>
        </w:tblPrEx>
        <w:trPr>
          <w:trHeight w:val="300"/>
          <w:tblHeader/>
        </w:trPr>
        <w:tc>
          <w:tcPr>
            <w:tcW w:w="19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2137A" w14:paraId="78DBA0F6" w14:textId="77777777">
            <w:r>
              <w:t>GS-13, step 1</w:t>
            </w:r>
          </w:p>
        </w:tc>
        <w:tc>
          <w:tcPr>
            <w:tcW w:w="13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2137A" w14:paraId="1CBAFAE0" w14:textId="77777777">
            <w:r>
              <w:t>$107.34</w:t>
            </w:r>
          </w:p>
        </w:tc>
        <w:tc>
          <w:tcPr>
            <w:tcW w:w="17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2137A" w14:paraId="4C372071" w14:textId="77777777">
            <w:r>
              <w:t>80</w:t>
            </w:r>
          </w:p>
        </w:tc>
        <w:tc>
          <w:tcPr>
            <w:tcW w:w="21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137A" w14:paraId="79E46A4F" w14:textId="77777777">
            <w:pPr>
              <w:jc w:val="center"/>
            </w:pPr>
            <w:r>
              <w:t>2.5</w:t>
            </w:r>
          </w:p>
        </w:tc>
        <w:tc>
          <w:tcPr>
            <w:tcW w:w="21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2137A" w14:paraId="4ACF620B" w14:textId="77777777">
            <w:r>
              <w:t>$21,468.00</w:t>
            </w:r>
          </w:p>
        </w:tc>
      </w:tr>
      <w:tr w14:paraId="2C6EEA21" w14:textId="77777777" w:rsidTr="000E08D8">
        <w:tblPrEx>
          <w:tblW w:w="9265" w:type="dxa"/>
          <w:tblCellMar>
            <w:left w:w="0" w:type="dxa"/>
            <w:right w:w="0" w:type="dxa"/>
          </w:tblCellMar>
          <w:tblLook w:val="04A0"/>
        </w:tblPrEx>
        <w:trPr>
          <w:trHeight w:val="300"/>
          <w:tblHeader/>
        </w:trPr>
        <w:tc>
          <w:tcPr>
            <w:tcW w:w="19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2137A" w14:paraId="0C2E3BC8" w14:textId="77777777">
            <w:r>
              <w:t>Contractor</w:t>
            </w:r>
          </w:p>
        </w:tc>
        <w:tc>
          <w:tcPr>
            <w:tcW w:w="13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2137A" w14:paraId="64B812BD" w14:textId="77777777">
            <w:r>
              <w:t>$245.54</w:t>
            </w:r>
          </w:p>
        </w:tc>
        <w:tc>
          <w:tcPr>
            <w:tcW w:w="17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2137A" w14:paraId="04B3C783" w14:textId="77777777">
            <w:r>
              <w:t>200</w:t>
            </w:r>
          </w:p>
        </w:tc>
        <w:tc>
          <w:tcPr>
            <w:tcW w:w="21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137A" w14:paraId="7FF9A0D0" w14:textId="77777777">
            <w:pPr>
              <w:jc w:val="center"/>
            </w:pPr>
            <w:r>
              <w:t>6</w:t>
            </w:r>
          </w:p>
        </w:tc>
        <w:tc>
          <w:tcPr>
            <w:tcW w:w="21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2137A" w14:paraId="269B3C8E" w14:textId="77777777">
            <w:r>
              <w:t>$294,648.00</w:t>
            </w:r>
          </w:p>
        </w:tc>
      </w:tr>
      <w:tr w14:paraId="31A0C119" w14:textId="77777777" w:rsidTr="000E08D8">
        <w:tblPrEx>
          <w:tblW w:w="9265" w:type="dxa"/>
          <w:tblCellMar>
            <w:left w:w="0" w:type="dxa"/>
            <w:right w:w="0" w:type="dxa"/>
          </w:tblCellMar>
          <w:tblLook w:val="04A0"/>
        </w:tblPrEx>
        <w:trPr>
          <w:trHeight w:val="300"/>
          <w:tblHeader/>
        </w:trPr>
        <w:tc>
          <w:tcPr>
            <w:tcW w:w="19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2137A" w14:paraId="3618C5F6" w14:textId="77777777">
            <w:pPr>
              <w:jc w:val="center"/>
            </w:pPr>
            <w:r>
              <w:t>-</w:t>
            </w:r>
          </w:p>
        </w:tc>
        <w:tc>
          <w:tcPr>
            <w:tcW w:w="13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2137A" w14:paraId="6F6F3D44" w14:textId="77777777">
            <w:pPr>
              <w:jc w:val="center"/>
            </w:pPr>
            <w:r>
              <w:t>-</w:t>
            </w:r>
          </w:p>
        </w:tc>
        <w:tc>
          <w:tcPr>
            <w:tcW w:w="17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2137A" w14:paraId="198E3DCF" w14:textId="77777777">
            <w:pPr>
              <w:jc w:val="center"/>
            </w:pPr>
            <w:r>
              <w:t>-</w:t>
            </w:r>
          </w:p>
        </w:tc>
        <w:tc>
          <w:tcPr>
            <w:tcW w:w="21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137A" w14:paraId="00E5FB74" w14:textId="77777777">
            <w:pPr>
              <w:jc w:val="center"/>
            </w:pPr>
            <w:r>
              <w:t>-</w:t>
            </w:r>
          </w:p>
        </w:tc>
        <w:tc>
          <w:tcPr>
            <w:tcW w:w="21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2137A" w14:paraId="11EC4F09" w14:textId="77777777">
            <w:r>
              <w:rPr>
                <w:b/>
                <w:bCs/>
              </w:rPr>
              <w:t>$316,116.00</w:t>
            </w:r>
          </w:p>
        </w:tc>
      </w:tr>
    </w:tbl>
    <w:p w:rsidR="001D70FF" w:rsidP="0092137A" w14:paraId="54C0625F" w14:textId="77777777">
      <w:pPr>
        <w:rPr>
          <w:b/>
        </w:rPr>
      </w:pPr>
    </w:p>
    <w:p w:rsidR="005E0DE2" w:rsidRPr="00D45546" w:rsidP="00D45546" w14:paraId="14028604" w14:textId="7A27851B">
      <w:pPr>
        <w:pStyle w:val="Heading2"/>
        <w:rPr>
          <w:bCs/>
        </w:rPr>
      </w:pPr>
      <w:r w:rsidRPr="3D8B3856">
        <w:t>15. Changes to Burden</w:t>
      </w:r>
    </w:p>
    <w:p w:rsidR="005E0DE2" w:rsidRPr="00B1511E" w:rsidP="00B1511E" w14:paraId="609FAEE4" w14:textId="6F8FCBD7">
      <w:r>
        <w:t xml:space="preserve">This a new </w:t>
      </w:r>
      <w:r w:rsidR="00694801">
        <w:t>ICR</w:t>
      </w:r>
      <w:r w:rsidR="0004173A">
        <w:t>. The burden has been revised to include federal costs for system work on the CMS HPMS</w:t>
      </w:r>
      <w:r>
        <w:t>.</w:t>
      </w:r>
      <w:r w:rsidR="001B1655">
        <w:t xml:space="preserve"> Non-burden-related changes incorporated in the 30-day public notice are included in </w:t>
      </w:r>
      <w:r w:rsidRPr="00671F89" w:rsidR="001B1655">
        <w:t xml:space="preserve">the </w:t>
      </w:r>
      <w:r w:rsidRPr="00671F89" w:rsidR="00F839D4">
        <w:t xml:space="preserve">60- to 30-Day Negotiation Data Elements </w:t>
      </w:r>
      <w:r w:rsidRPr="00671F89" w:rsidR="001B1655">
        <w:t>Cross</w:t>
      </w:r>
      <w:r w:rsidRPr="00671F89" w:rsidR="00F839D4">
        <w:t xml:space="preserve"> W</w:t>
      </w:r>
      <w:r w:rsidRPr="00671F89" w:rsidR="001B1655">
        <w:t>alk.</w:t>
      </w:r>
    </w:p>
    <w:p w:rsidR="005C38D0" w:rsidRPr="00B1511E" w:rsidP="00D45546" w14:paraId="743A42F2" w14:textId="45D814F3">
      <w:pPr>
        <w:pStyle w:val="Heading2"/>
      </w:pPr>
      <w:r>
        <w:t>16. Publication/Tabulation Dates</w:t>
      </w:r>
    </w:p>
    <w:p w:rsidR="005C38D0" w:rsidRPr="00B1511E" w:rsidP="00B1511E" w14:paraId="4CA10C93" w14:textId="16203BEF">
      <w:r>
        <w:t>As required by section 1195(</w:t>
      </w:r>
      <w:r w:rsidR="00C92D68">
        <w:t xml:space="preserve">a)(2) of the Act, CMS will publish an explanation for the </w:t>
      </w:r>
      <w:r w:rsidR="00FE58BB">
        <w:t>MFP</w:t>
      </w:r>
      <w:r w:rsidR="00C92D68">
        <w:t xml:space="preserve"> with respect to the negotiation factors in section 1194(e)</w:t>
      </w:r>
      <w:r w:rsidR="00FE58BB">
        <w:t xml:space="preserve"> of the Act</w:t>
      </w:r>
      <w:r w:rsidR="00C92D68">
        <w:t xml:space="preserve">, therefore summarized information may be shared with the public. </w:t>
      </w:r>
      <w:r w:rsidRPr="24AE88FA" w:rsidR="00671F89">
        <w:t xml:space="preserve">In this public explanation and any other public documents discussing the MFP, CMS </w:t>
      </w:r>
      <w:r w:rsidR="00671F89">
        <w:t>will</w:t>
      </w:r>
      <w:r w:rsidRPr="24AE88FA" w:rsidR="00671F89">
        <w:t xml:space="preserve"> </w:t>
      </w:r>
      <w:r w:rsidRPr="007A3985" w:rsidR="00671F89">
        <w:t xml:space="preserve">make public the section 1194(e)(1) </w:t>
      </w:r>
      <w:r w:rsidR="00671F89">
        <w:t xml:space="preserve">and section 1194(e)(2) </w:t>
      </w:r>
      <w:r w:rsidRPr="007A3985" w:rsidR="00671F89">
        <w:t xml:space="preserve">data submitted by the </w:t>
      </w:r>
      <w:r w:rsidR="00671F89">
        <w:t>Primary M</w:t>
      </w:r>
      <w:r w:rsidRPr="007A3985" w:rsidR="00671F89">
        <w:t xml:space="preserve">anufacturer </w:t>
      </w:r>
      <w:r w:rsidR="00671F89">
        <w:t xml:space="preserve">and the public </w:t>
      </w:r>
      <w:r w:rsidRPr="007A3985" w:rsidR="00671F89">
        <w:t>that are</w:t>
      </w:r>
      <w:r w:rsidR="00671F89">
        <w:t xml:space="preserve"> determined to be</w:t>
      </w:r>
      <w:r w:rsidRPr="007A3985" w:rsidR="00671F89">
        <w:t xml:space="preserve"> non-proprietary</w:t>
      </w:r>
      <w:r w:rsidR="00671F89">
        <w:t>, but will not include any PHI or PII (see section 40.2.1 of the revised guidance).</w:t>
      </w:r>
      <w:r w:rsidR="00671F89">
        <w:t xml:space="preserve"> </w:t>
      </w:r>
    </w:p>
    <w:p w:rsidR="005C38D0" w:rsidRPr="00B1511E" w:rsidP="00D45546" w14:paraId="2B61A392" w14:textId="12D17739">
      <w:pPr>
        <w:pStyle w:val="Heading2"/>
      </w:pPr>
      <w:r>
        <w:t>17. Expiration Date</w:t>
      </w:r>
    </w:p>
    <w:p w:rsidR="005C38D0" w:rsidRPr="00B1511E" w:rsidP="00B1511E" w14:paraId="60BE5287" w14:textId="08D78A58">
      <w:r>
        <w:t xml:space="preserve">The expiration date and OMB control number will be displayed within the data collection information technology system. </w:t>
      </w:r>
    </w:p>
    <w:p w:rsidR="005E0DE2" w:rsidRPr="00F23CF0" w:rsidP="00D45546" w14:paraId="34908E14" w14:textId="4FE31421">
      <w:pPr>
        <w:pStyle w:val="Heading2"/>
      </w:pPr>
      <w:r>
        <w:t>18. Certification Statement</w:t>
      </w:r>
    </w:p>
    <w:p w:rsidR="005C38D0" w:rsidRPr="00F23CF0" w:rsidP="00F23CF0" w14:paraId="4C95CF1C" w14:textId="2C8B47B9">
      <w:r>
        <w:t>There are no exceptions to the certification statement.</w:t>
      </w:r>
    </w:p>
    <w:sectPr w:rsidSect="005D5C57">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97663" w:rsidRPr="00397DC8" w:rsidP="00397DC8" w14:paraId="292A1180" w14:textId="55C30616">
    <w:pPr>
      <w:pStyle w:val="Footer"/>
      <w:jc w:val="center"/>
    </w:pPr>
    <w:r>
      <w:fldChar w:fldCharType="begin"/>
    </w:r>
    <w:r>
      <w:instrText xml:space="preserve"> PAGE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197663" w:rsidP="004105DD" w14:paraId="0F398F84" w14:textId="77777777">
      <w:r>
        <w:separator/>
      </w:r>
    </w:p>
  </w:footnote>
  <w:footnote w:type="continuationSeparator" w:id="1">
    <w:p w:rsidR="00197663" w:rsidP="004105DD" w14:paraId="6A88F3CC" w14:textId="77777777">
      <w:r>
        <w:continuationSeparator/>
      </w:r>
    </w:p>
  </w:footnote>
  <w:footnote w:type="continuationNotice" w:id="2">
    <w:p w:rsidR="00197663" w14:paraId="7C2B2A66" w14:textId="77777777"/>
  </w:footnote>
  <w:footnote w:id="3">
    <w:p w:rsidR="00197663" w:rsidRPr="00F22C76" w:rsidP="005B284D" w14:paraId="7CF7666C" w14:textId="22D99129">
      <w:pPr>
        <w:pStyle w:val="FootnoteText"/>
      </w:pPr>
      <w:r w:rsidRPr="00F22C76">
        <w:rPr>
          <w:rStyle w:val="FootnoteReference"/>
        </w:rPr>
        <w:footnoteRef/>
      </w:r>
      <w:r w:rsidRPr="00F22C76">
        <w:t xml:space="preserve"> Hereinafter, “drug” includes drugs and biologics </w:t>
      </w:r>
      <w:r>
        <w:t>pursuant to the definition of a</w:t>
      </w:r>
      <w:r w:rsidRPr="00F22C76">
        <w:t xml:space="preserve"> </w:t>
      </w:r>
      <w:r>
        <w:t>“</w:t>
      </w:r>
      <w:r w:rsidRPr="00F22C76">
        <w:t>qualifying single source drug</w:t>
      </w:r>
      <w:r>
        <w:t>”</w:t>
      </w:r>
      <w:r w:rsidRPr="00F22C76">
        <w:t xml:space="preserve"> </w:t>
      </w:r>
      <w:r>
        <w:t xml:space="preserve">at </w:t>
      </w:r>
      <w:r w:rsidRPr="00F22C76">
        <w:t>section 1192(e)(1) of the Act.</w:t>
      </w:r>
    </w:p>
  </w:footnote>
  <w:footnote w:id="4">
    <w:p w:rsidR="00197663" w:rsidRPr="001422B3" w:rsidP="00DA1FD4" w14:paraId="2EAD0A4E" w14:textId="00725FCE">
      <w:pPr>
        <w:pStyle w:val="FootnoteText"/>
      </w:pPr>
      <w:r w:rsidRPr="001422B3">
        <w:rPr>
          <w:rStyle w:val="FootnoteReference"/>
        </w:rPr>
        <w:footnoteRef/>
      </w:r>
      <w:r w:rsidRPr="001422B3">
        <w:t xml:space="preserve"> See:</w:t>
      </w:r>
      <w:r>
        <w:t xml:space="preserve"> </w:t>
      </w:r>
      <w:hyperlink r:id="rId1" w:history="1">
        <w:r w:rsidRPr="00651780">
          <w:rPr>
            <w:rStyle w:val="Hyperlink"/>
          </w:rPr>
          <w:t>https://www.justice.gov/oip/doj-guide-freedom-information-act-0</w:t>
        </w:r>
      </w:hyperlink>
      <w:r w:rsidRPr="00B67B0F">
        <w:rPr>
          <w:rStyle w:val="Hyperlink"/>
          <w:u w:val="none"/>
        </w:rPr>
        <w:t>.</w:t>
      </w:r>
      <w:r w:rsidRPr="00651780">
        <w:t xml:space="preserve"> </w:t>
      </w:r>
    </w:p>
  </w:footnote>
  <w:footnote w:id="5">
    <w:p w:rsidR="00197663" w14:paraId="2B0C48AA" w14:textId="327F4A68">
      <w:pPr>
        <w:pStyle w:val="FootnoteText"/>
      </w:pPr>
      <w:r>
        <w:rPr>
          <w:rStyle w:val="FootnoteReference"/>
        </w:rPr>
        <w:footnoteRef/>
      </w:r>
      <w:r>
        <w:t xml:space="preserve"> Retrieved from </w:t>
      </w:r>
      <w:hyperlink r:id="rId2" w:history="1">
        <w:r w:rsidRPr="00FA6C4A">
          <w:rPr>
            <w:rStyle w:val="Hyperlink"/>
          </w:rPr>
          <w:t>https://www.bls.gov/oes/tables.htm</w:t>
        </w:r>
      </w:hyperlink>
      <w:r>
        <w:t xml:space="preserve">. </w:t>
      </w:r>
    </w:p>
  </w:footnote>
  <w:footnote w:id="6">
    <w:p w:rsidR="00197663" w:rsidP="00E204EF" w14:paraId="1C153F13" w14:textId="57603107">
      <w:pPr>
        <w:pStyle w:val="FootnoteText"/>
      </w:pPr>
      <w:r w:rsidRPr="1DAA6A84">
        <w:rPr>
          <w:rStyle w:val="FootnoteReference"/>
        </w:rPr>
        <w:footnoteRef/>
      </w:r>
      <w:r>
        <w:t xml:space="preserve"> See: </w:t>
      </w:r>
      <w:hyperlink r:id="rId3" w:history="1">
        <w:r w:rsidRPr="00FA728C">
          <w:rPr>
            <w:rStyle w:val="Hyperlink"/>
          </w:rPr>
          <w:t>https://www.opm.gov/policy-data-oversight/pay-leave/salaries-wages/salary-tables/pdf/2022/DCB.pdf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120"/>
      <w:gridCol w:w="3120"/>
      <w:gridCol w:w="3120"/>
    </w:tblGrid>
    <w:tr w14:paraId="0044A2F8" w14:textId="77777777" w:rsidTr="00A717CD">
      <w:tblPrEx>
        <w:tblW w:w="0" w:type="auto"/>
        <w:tblLayout w:type="fixed"/>
        <w:tblLook w:val="06A0"/>
      </w:tblPrEx>
      <w:tc>
        <w:tcPr>
          <w:tcW w:w="3120" w:type="dxa"/>
        </w:tcPr>
        <w:p w:rsidR="00197663" w:rsidP="00A717CD" w14:paraId="5CE57B69" w14:textId="6C832060">
          <w:pPr>
            <w:pStyle w:val="Header"/>
            <w:ind w:left="-115"/>
          </w:pPr>
        </w:p>
      </w:tc>
      <w:tc>
        <w:tcPr>
          <w:tcW w:w="3120" w:type="dxa"/>
        </w:tcPr>
        <w:p w:rsidR="00197663" w:rsidP="00A717CD" w14:paraId="324BCB6E" w14:textId="6B6DC861">
          <w:pPr>
            <w:pStyle w:val="Header"/>
            <w:jc w:val="center"/>
          </w:pPr>
        </w:p>
      </w:tc>
      <w:tc>
        <w:tcPr>
          <w:tcW w:w="3120" w:type="dxa"/>
        </w:tcPr>
        <w:p w:rsidR="00197663" w:rsidP="00A717CD" w14:paraId="55D72BB2" w14:textId="074C576B">
          <w:pPr>
            <w:pStyle w:val="Header"/>
            <w:ind w:right="-115"/>
            <w:jc w:val="right"/>
          </w:pPr>
        </w:p>
      </w:tc>
    </w:tr>
  </w:tbl>
  <w:p w:rsidR="00197663" w:rsidP="00A717CD" w14:paraId="7F6B8178" w14:textId="55C88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8780FE0"/>
    <w:multiLevelType w:val="hybridMultilevel"/>
    <w:tmpl w:val="51F225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F42177"/>
    <w:multiLevelType w:val="multilevel"/>
    <w:tmpl w:val="FAF2C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573EB5"/>
    <w:multiLevelType w:val="hybridMultilevel"/>
    <w:tmpl w:val="C6065D72"/>
    <w:lvl w:ilvl="0">
      <w:start w:val="1"/>
      <w:numFmt w:val="bullet"/>
      <w:lvlText w:val=""/>
      <w:lvlJc w:val="left"/>
      <w:pPr>
        <w:ind w:left="479" w:hanging="360"/>
      </w:pPr>
      <w:rPr>
        <w:rFonts w:ascii="Symbol" w:hAnsi="Symbol" w:hint="default"/>
      </w:rPr>
    </w:lvl>
    <w:lvl w:ilvl="1">
      <w:start w:val="1"/>
      <w:numFmt w:val="lowerLetter"/>
      <w:lvlText w:val="%2."/>
      <w:lvlJc w:val="left"/>
      <w:pPr>
        <w:ind w:left="1199" w:hanging="360"/>
      </w:pPr>
    </w:lvl>
    <w:lvl w:ilvl="2">
      <w:start w:val="1"/>
      <w:numFmt w:val="lowerRoman"/>
      <w:lvlText w:val="%3."/>
      <w:lvlJc w:val="right"/>
      <w:pPr>
        <w:ind w:left="1919" w:hanging="180"/>
      </w:pPr>
    </w:lvl>
    <w:lvl w:ilvl="3" w:tentative="1">
      <w:start w:val="1"/>
      <w:numFmt w:val="decimal"/>
      <w:lvlText w:val="%4."/>
      <w:lvlJc w:val="left"/>
      <w:pPr>
        <w:ind w:left="2639" w:hanging="360"/>
      </w:pPr>
    </w:lvl>
    <w:lvl w:ilvl="4" w:tentative="1">
      <w:start w:val="1"/>
      <w:numFmt w:val="lowerLetter"/>
      <w:lvlText w:val="%5."/>
      <w:lvlJc w:val="left"/>
      <w:pPr>
        <w:ind w:left="3359" w:hanging="360"/>
      </w:pPr>
    </w:lvl>
    <w:lvl w:ilvl="5" w:tentative="1">
      <w:start w:val="1"/>
      <w:numFmt w:val="lowerRoman"/>
      <w:lvlText w:val="%6."/>
      <w:lvlJc w:val="right"/>
      <w:pPr>
        <w:ind w:left="4079" w:hanging="180"/>
      </w:pPr>
    </w:lvl>
    <w:lvl w:ilvl="6" w:tentative="1">
      <w:start w:val="1"/>
      <w:numFmt w:val="decimal"/>
      <w:lvlText w:val="%7."/>
      <w:lvlJc w:val="left"/>
      <w:pPr>
        <w:ind w:left="4799" w:hanging="360"/>
      </w:pPr>
    </w:lvl>
    <w:lvl w:ilvl="7" w:tentative="1">
      <w:start w:val="1"/>
      <w:numFmt w:val="lowerLetter"/>
      <w:lvlText w:val="%8."/>
      <w:lvlJc w:val="left"/>
      <w:pPr>
        <w:ind w:left="5519" w:hanging="360"/>
      </w:pPr>
    </w:lvl>
    <w:lvl w:ilvl="8" w:tentative="1">
      <w:start w:val="1"/>
      <w:numFmt w:val="lowerRoman"/>
      <w:lvlText w:val="%9."/>
      <w:lvlJc w:val="right"/>
      <w:pPr>
        <w:ind w:left="6239" w:hanging="180"/>
      </w:pPr>
    </w:lvl>
  </w:abstractNum>
  <w:abstractNum w:abstractNumId="3">
    <w:nsid w:val="1AB3780B"/>
    <w:multiLevelType w:val="hybridMultilevel"/>
    <w:tmpl w:val="0696F9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8F6AC4"/>
    <w:multiLevelType w:val="hybridMultilevel"/>
    <w:tmpl w:val="5EF0B356"/>
    <w:lvl w:ilvl="0">
      <w:start w:val="1"/>
      <w:numFmt w:val="upperLetter"/>
      <w:lvlText w:val="%1."/>
      <w:lvlJc w:val="left"/>
      <w:pPr>
        <w:ind w:left="480" w:hanging="360"/>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bullet"/>
      <w:lvlText w:val=""/>
      <w:lvlJc w:val="left"/>
      <w:pPr>
        <w:ind w:left="360" w:hanging="240"/>
      </w:pPr>
      <w:rPr>
        <w:rFonts w:ascii="Symbol" w:hAnsi="Symbol" w:hint="default"/>
        <w:b/>
        <w:bCs/>
        <w:i w:val="0"/>
        <w:iCs w:val="0"/>
        <w:w w:val="100"/>
        <w:sz w:val="24"/>
        <w:szCs w:val="24"/>
        <w:lang w:val="en-US" w:eastAsia="en-US" w:bidi="ar-SA"/>
      </w:rPr>
    </w:lvl>
    <w:lvl w:ilvl="2">
      <w:start w:val="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3">
      <w:start w:val="0"/>
      <w:numFmt w:val="bullet"/>
      <w:lvlText w:val="•"/>
      <w:lvlJc w:val="left"/>
      <w:pPr>
        <w:ind w:left="1957" w:hanging="360"/>
      </w:pPr>
      <w:rPr>
        <w:rFonts w:hint="default"/>
        <w:lang w:val="en-US" w:eastAsia="en-US" w:bidi="ar-SA"/>
      </w:rPr>
    </w:lvl>
    <w:lvl w:ilvl="4">
      <w:start w:val="0"/>
      <w:numFmt w:val="bullet"/>
      <w:lvlText w:val="•"/>
      <w:lvlJc w:val="left"/>
      <w:pPr>
        <w:ind w:left="3075" w:hanging="360"/>
      </w:pPr>
      <w:rPr>
        <w:rFonts w:hint="default"/>
        <w:lang w:val="en-US" w:eastAsia="en-US" w:bidi="ar-SA"/>
      </w:rPr>
    </w:lvl>
    <w:lvl w:ilvl="5">
      <w:start w:val="0"/>
      <w:numFmt w:val="bullet"/>
      <w:lvlText w:val="•"/>
      <w:lvlJc w:val="left"/>
      <w:pPr>
        <w:ind w:left="4192" w:hanging="360"/>
      </w:pPr>
      <w:rPr>
        <w:rFonts w:hint="default"/>
        <w:lang w:val="en-US" w:eastAsia="en-US" w:bidi="ar-SA"/>
      </w:rPr>
    </w:lvl>
    <w:lvl w:ilvl="6">
      <w:start w:val="0"/>
      <w:numFmt w:val="bullet"/>
      <w:lvlText w:val="•"/>
      <w:lvlJc w:val="left"/>
      <w:pPr>
        <w:ind w:left="5310" w:hanging="360"/>
      </w:pPr>
      <w:rPr>
        <w:rFonts w:hint="default"/>
        <w:lang w:val="en-US" w:eastAsia="en-US" w:bidi="ar-SA"/>
      </w:rPr>
    </w:lvl>
    <w:lvl w:ilvl="7">
      <w:start w:val="0"/>
      <w:numFmt w:val="bullet"/>
      <w:lvlText w:val="•"/>
      <w:lvlJc w:val="left"/>
      <w:pPr>
        <w:ind w:left="6427" w:hanging="360"/>
      </w:pPr>
      <w:rPr>
        <w:rFonts w:hint="default"/>
        <w:lang w:val="en-US" w:eastAsia="en-US" w:bidi="ar-SA"/>
      </w:rPr>
    </w:lvl>
    <w:lvl w:ilvl="8">
      <w:start w:val="0"/>
      <w:numFmt w:val="bullet"/>
      <w:lvlText w:val="•"/>
      <w:lvlJc w:val="left"/>
      <w:pPr>
        <w:ind w:left="7545" w:hanging="360"/>
      </w:pPr>
      <w:rPr>
        <w:rFonts w:hint="default"/>
        <w:lang w:val="en-US" w:eastAsia="en-US" w:bidi="ar-SA"/>
      </w:rPr>
    </w:lvl>
  </w:abstractNum>
  <w:abstractNum w:abstractNumId="5">
    <w:nsid w:val="1D5F6B9B"/>
    <w:multiLevelType w:val="hybridMultilevel"/>
    <w:tmpl w:val="E90C04D2"/>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F1474B"/>
    <w:multiLevelType w:val="hybridMultilevel"/>
    <w:tmpl w:val="A9CEE0B4"/>
    <w:lvl w:ilvl="0">
      <w:start w:val="1"/>
      <w:numFmt w:val="decimal"/>
      <w:lvlText w:val="%1."/>
      <w:lvlJc w:val="left"/>
      <w:pPr>
        <w:ind w:left="479" w:hanging="360"/>
      </w:pPr>
      <w:rPr>
        <w:rFonts w:hint="default"/>
      </w:rPr>
    </w:lvl>
    <w:lvl w:ilvl="1">
      <w:start w:val="1"/>
      <w:numFmt w:val="lowerLetter"/>
      <w:lvlText w:val="%2."/>
      <w:lvlJc w:val="left"/>
      <w:pPr>
        <w:ind w:left="1199" w:hanging="360"/>
      </w:pPr>
    </w:lvl>
    <w:lvl w:ilvl="2">
      <w:start w:val="1"/>
      <w:numFmt w:val="lowerRoman"/>
      <w:lvlText w:val="%3."/>
      <w:lvlJc w:val="right"/>
      <w:pPr>
        <w:ind w:left="1919" w:hanging="180"/>
      </w:pPr>
    </w:lvl>
    <w:lvl w:ilvl="3" w:tentative="1">
      <w:start w:val="1"/>
      <w:numFmt w:val="decimal"/>
      <w:lvlText w:val="%4."/>
      <w:lvlJc w:val="left"/>
      <w:pPr>
        <w:ind w:left="2639" w:hanging="360"/>
      </w:pPr>
    </w:lvl>
    <w:lvl w:ilvl="4" w:tentative="1">
      <w:start w:val="1"/>
      <w:numFmt w:val="lowerLetter"/>
      <w:lvlText w:val="%5."/>
      <w:lvlJc w:val="left"/>
      <w:pPr>
        <w:ind w:left="3359" w:hanging="360"/>
      </w:pPr>
    </w:lvl>
    <w:lvl w:ilvl="5" w:tentative="1">
      <w:start w:val="1"/>
      <w:numFmt w:val="lowerRoman"/>
      <w:lvlText w:val="%6."/>
      <w:lvlJc w:val="right"/>
      <w:pPr>
        <w:ind w:left="4079" w:hanging="180"/>
      </w:pPr>
    </w:lvl>
    <w:lvl w:ilvl="6" w:tentative="1">
      <w:start w:val="1"/>
      <w:numFmt w:val="decimal"/>
      <w:lvlText w:val="%7."/>
      <w:lvlJc w:val="left"/>
      <w:pPr>
        <w:ind w:left="4799" w:hanging="360"/>
      </w:pPr>
    </w:lvl>
    <w:lvl w:ilvl="7" w:tentative="1">
      <w:start w:val="1"/>
      <w:numFmt w:val="lowerLetter"/>
      <w:lvlText w:val="%8."/>
      <w:lvlJc w:val="left"/>
      <w:pPr>
        <w:ind w:left="5519" w:hanging="360"/>
      </w:pPr>
    </w:lvl>
    <w:lvl w:ilvl="8" w:tentative="1">
      <w:start w:val="1"/>
      <w:numFmt w:val="lowerRoman"/>
      <w:lvlText w:val="%9."/>
      <w:lvlJc w:val="right"/>
      <w:pPr>
        <w:ind w:left="6239" w:hanging="180"/>
      </w:pPr>
    </w:lvl>
  </w:abstractNum>
  <w:abstractNum w:abstractNumId="7">
    <w:nsid w:val="33434BD6"/>
    <w:multiLevelType w:val="hybridMultilevel"/>
    <w:tmpl w:val="B64AC1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3DE4B3D"/>
    <w:multiLevelType w:val="hybridMultilevel"/>
    <w:tmpl w:val="231686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460E42D2"/>
    <w:multiLevelType w:val="hybridMultilevel"/>
    <w:tmpl w:val="5768C464"/>
    <w:lvl w:ilvl="0">
      <w:start w:val="1"/>
      <w:numFmt w:val="upperLetter"/>
      <w:lvlText w:val="%1."/>
      <w:lvlJc w:val="left"/>
      <w:pPr>
        <w:ind w:left="480" w:hanging="360"/>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360" w:hanging="240"/>
      </w:pPr>
      <w:rPr>
        <w:rFonts w:ascii="Times New Roman" w:eastAsia="Times New Roman" w:hAnsi="Times New Roman" w:cs="Times New Roman" w:hint="default"/>
        <w:b/>
        <w:bCs/>
        <w:i w:val="0"/>
        <w:iCs w:val="0"/>
        <w:w w:val="100"/>
        <w:sz w:val="24"/>
        <w:szCs w:val="24"/>
        <w:lang w:val="en-US" w:eastAsia="en-US" w:bidi="ar-SA"/>
      </w:rPr>
    </w:lvl>
    <w:lvl w:ilvl="2">
      <w:start w:val="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3">
      <w:start w:val="0"/>
      <w:numFmt w:val="bullet"/>
      <w:lvlText w:val="•"/>
      <w:lvlJc w:val="left"/>
      <w:pPr>
        <w:ind w:left="1957" w:hanging="360"/>
      </w:pPr>
      <w:rPr>
        <w:rFonts w:hint="default"/>
        <w:lang w:val="en-US" w:eastAsia="en-US" w:bidi="ar-SA"/>
      </w:rPr>
    </w:lvl>
    <w:lvl w:ilvl="4">
      <w:start w:val="0"/>
      <w:numFmt w:val="bullet"/>
      <w:lvlText w:val="•"/>
      <w:lvlJc w:val="left"/>
      <w:pPr>
        <w:ind w:left="3075" w:hanging="360"/>
      </w:pPr>
      <w:rPr>
        <w:rFonts w:hint="default"/>
        <w:lang w:val="en-US" w:eastAsia="en-US" w:bidi="ar-SA"/>
      </w:rPr>
    </w:lvl>
    <w:lvl w:ilvl="5">
      <w:start w:val="0"/>
      <w:numFmt w:val="bullet"/>
      <w:lvlText w:val="•"/>
      <w:lvlJc w:val="left"/>
      <w:pPr>
        <w:ind w:left="4192" w:hanging="360"/>
      </w:pPr>
      <w:rPr>
        <w:rFonts w:hint="default"/>
        <w:lang w:val="en-US" w:eastAsia="en-US" w:bidi="ar-SA"/>
      </w:rPr>
    </w:lvl>
    <w:lvl w:ilvl="6">
      <w:start w:val="0"/>
      <w:numFmt w:val="bullet"/>
      <w:lvlText w:val="•"/>
      <w:lvlJc w:val="left"/>
      <w:pPr>
        <w:ind w:left="5310" w:hanging="360"/>
      </w:pPr>
      <w:rPr>
        <w:rFonts w:hint="default"/>
        <w:lang w:val="en-US" w:eastAsia="en-US" w:bidi="ar-SA"/>
      </w:rPr>
    </w:lvl>
    <w:lvl w:ilvl="7">
      <w:start w:val="0"/>
      <w:numFmt w:val="bullet"/>
      <w:lvlText w:val="•"/>
      <w:lvlJc w:val="left"/>
      <w:pPr>
        <w:ind w:left="6427" w:hanging="360"/>
      </w:pPr>
      <w:rPr>
        <w:rFonts w:hint="default"/>
        <w:lang w:val="en-US" w:eastAsia="en-US" w:bidi="ar-SA"/>
      </w:rPr>
    </w:lvl>
    <w:lvl w:ilvl="8">
      <w:start w:val="0"/>
      <w:numFmt w:val="bullet"/>
      <w:lvlText w:val="•"/>
      <w:lvlJc w:val="left"/>
      <w:pPr>
        <w:ind w:left="7545" w:hanging="360"/>
      </w:pPr>
      <w:rPr>
        <w:rFonts w:hint="default"/>
        <w:lang w:val="en-US" w:eastAsia="en-US" w:bidi="ar-SA"/>
      </w:rPr>
    </w:lvl>
  </w:abstractNum>
  <w:abstractNum w:abstractNumId="10">
    <w:nsid w:val="49D666E3"/>
    <w:multiLevelType w:val="hybridMultilevel"/>
    <w:tmpl w:val="3656FD44"/>
    <w:lvl w:ilvl="0">
      <w:start w:val="1"/>
      <w:numFmt w:val="bullet"/>
      <w:lvlText w:val=""/>
      <w:lvlJc w:val="left"/>
      <w:pPr>
        <w:ind w:left="1440" w:hanging="72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71A42DE"/>
    <w:multiLevelType w:val="hybridMultilevel"/>
    <w:tmpl w:val="A8BCDDB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04F7549"/>
    <w:multiLevelType w:val="multilevel"/>
    <w:tmpl w:val="79729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B01A26"/>
    <w:multiLevelType w:val="multilevel"/>
    <w:tmpl w:val="B9BE4F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92A4E1D"/>
    <w:multiLevelType w:val="multilevel"/>
    <w:tmpl w:val="C89A3A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854860"/>
    <w:multiLevelType w:val="hybridMultilevel"/>
    <w:tmpl w:val="E0D603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ED23931"/>
    <w:multiLevelType w:val="hybridMultilevel"/>
    <w:tmpl w:val="2512AC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57B37F1"/>
    <w:multiLevelType w:val="multilevel"/>
    <w:tmpl w:val="9ADEA6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356FBC"/>
    <w:multiLevelType w:val="hybridMultilevel"/>
    <w:tmpl w:val="8E4096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A1D7002"/>
    <w:multiLevelType w:val="hybridMultilevel"/>
    <w:tmpl w:val="7DCEC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BA710FB"/>
    <w:multiLevelType w:val="hybridMultilevel"/>
    <w:tmpl w:val="BAA8566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E1E151F"/>
    <w:multiLevelType w:val="hybridMultilevel"/>
    <w:tmpl w:val="1ECA7F88"/>
    <w:lvl w:ilvl="0">
      <w:start w:val="1"/>
      <w:numFmt w:val="upperLetter"/>
      <w:pStyle w:val="Heading1"/>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5"/>
  </w:num>
  <w:num w:numId="2">
    <w:abstractNumId w:val="21"/>
  </w:num>
  <w:num w:numId="3">
    <w:abstractNumId w:val="10"/>
  </w:num>
  <w:num w:numId="4">
    <w:abstractNumId w:val="8"/>
  </w:num>
  <w:num w:numId="5">
    <w:abstractNumId w:val="11"/>
  </w:num>
  <w:num w:numId="6">
    <w:abstractNumId w:val="5"/>
  </w:num>
  <w:num w:numId="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8"/>
  </w:num>
  <w:num w:numId="10">
    <w:abstractNumId w:val="6"/>
  </w:num>
  <w:num w:numId="11">
    <w:abstractNumId w:val="9"/>
  </w:num>
  <w:num w:numId="12">
    <w:abstractNumId w:val="7"/>
  </w:num>
  <w:num w:numId="13">
    <w:abstractNumId w:val="2"/>
  </w:num>
  <w:num w:numId="14">
    <w:abstractNumId w:val="4"/>
  </w:num>
  <w:num w:numId="15">
    <w:abstractNumId w:val="19"/>
  </w:num>
  <w:num w:numId="16">
    <w:abstractNumId w:val="0"/>
  </w:num>
  <w:num w:numId="17">
    <w:abstractNumId w:val="3"/>
  </w:num>
  <w:num w:numId="18">
    <w:abstractNumId w:val="1"/>
  </w:num>
  <w:num w:numId="19">
    <w:abstractNumId w:val="12"/>
  </w:num>
  <w:num w:numId="20">
    <w:abstractNumId w:val="14"/>
  </w:num>
  <w:num w:numId="21">
    <w:abstractNumId w:val="13"/>
  </w:num>
  <w:num w:numId="2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5C8"/>
    <w:rsid w:val="00000165"/>
    <w:rsid w:val="00001C3A"/>
    <w:rsid w:val="00002C3C"/>
    <w:rsid w:val="0000405B"/>
    <w:rsid w:val="000053C8"/>
    <w:rsid w:val="00005583"/>
    <w:rsid w:val="000059B9"/>
    <w:rsid w:val="00005A76"/>
    <w:rsid w:val="00005AB2"/>
    <w:rsid w:val="000068B5"/>
    <w:rsid w:val="00006A26"/>
    <w:rsid w:val="00006DF8"/>
    <w:rsid w:val="00007566"/>
    <w:rsid w:val="00010215"/>
    <w:rsid w:val="000106DF"/>
    <w:rsid w:val="00010B8E"/>
    <w:rsid w:val="00012954"/>
    <w:rsid w:val="00012CA7"/>
    <w:rsid w:val="0001429A"/>
    <w:rsid w:val="000151EC"/>
    <w:rsid w:val="00015A06"/>
    <w:rsid w:val="000177AD"/>
    <w:rsid w:val="00017E36"/>
    <w:rsid w:val="00017E64"/>
    <w:rsid w:val="000204E5"/>
    <w:rsid w:val="00021C09"/>
    <w:rsid w:val="00023706"/>
    <w:rsid w:val="00023E62"/>
    <w:rsid w:val="00023F79"/>
    <w:rsid w:val="00024D03"/>
    <w:rsid w:val="00024DA2"/>
    <w:rsid w:val="00024F49"/>
    <w:rsid w:val="0002534D"/>
    <w:rsid w:val="000261D6"/>
    <w:rsid w:val="00026B8A"/>
    <w:rsid w:val="00026F5B"/>
    <w:rsid w:val="00027229"/>
    <w:rsid w:val="00027491"/>
    <w:rsid w:val="00027D5E"/>
    <w:rsid w:val="00027E8D"/>
    <w:rsid w:val="00030A61"/>
    <w:rsid w:val="00031982"/>
    <w:rsid w:val="000319D3"/>
    <w:rsid w:val="000328C0"/>
    <w:rsid w:val="00032DA6"/>
    <w:rsid w:val="000332A8"/>
    <w:rsid w:val="00033E6F"/>
    <w:rsid w:val="000341B3"/>
    <w:rsid w:val="00034B9B"/>
    <w:rsid w:val="000355C8"/>
    <w:rsid w:val="0003560C"/>
    <w:rsid w:val="00035B11"/>
    <w:rsid w:val="00035E8D"/>
    <w:rsid w:val="00035FB8"/>
    <w:rsid w:val="0003667A"/>
    <w:rsid w:val="00037114"/>
    <w:rsid w:val="00037879"/>
    <w:rsid w:val="00040D7C"/>
    <w:rsid w:val="00040F89"/>
    <w:rsid w:val="000410F2"/>
    <w:rsid w:val="0004173A"/>
    <w:rsid w:val="00041754"/>
    <w:rsid w:val="00042119"/>
    <w:rsid w:val="0004265D"/>
    <w:rsid w:val="00042FDB"/>
    <w:rsid w:val="0004339A"/>
    <w:rsid w:val="0004390C"/>
    <w:rsid w:val="00043C7A"/>
    <w:rsid w:val="000444BB"/>
    <w:rsid w:val="0004482F"/>
    <w:rsid w:val="00045590"/>
    <w:rsid w:val="00047C79"/>
    <w:rsid w:val="00050DFE"/>
    <w:rsid w:val="00052479"/>
    <w:rsid w:val="00052C3B"/>
    <w:rsid w:val="000540AD"/>
    <w:rsid w:val="00054229"/>
    <w:rsid w:val="0005438B"/>
    <w:rsid w:val="000559E6"/>
    <w:rsid w:val="00055D69"/>
    <w:rsid w:val="00055DF5"/>
    <w:rsid w:val="00056E32"/>
    <w:rsid w:val="0005724B"/>
    <w:rsid w:val="00061463"/>
    <w:rsid w:val="00061A44"/>
    <w:rsid w:val="00062D8B"/>
    <w:rsid w:val="000631AF"/>
    <w:rsid w:val="0006694E"/>
    <w:rsid w:val="00066A7D"/>
    <w:rsid w:val="00067015"/>
    <w:rsid w:val="0007292F"/>
    <w:rsid w:val="00073717"/>
    <w:rsid w:val="00074CE9"/>
    <w:rsid w:val="00074E2B"/>
    <w:rsid w:val="00075362"/>
    <w:rsid w:val="000769F5"/>
    <w:rsid w:val="0008004F"/>
    <w:rsid w:val="000804A2"/>
    <w:rsid w:val="00080736"/>
    <w:rsid w:val="00081A26"/>
    <w:rsid w:val="000826F6"/>
    <w:rsid w:val="000830B4"/>
    <w:rsid w:val="00083B7F"/>
    <w:rsid w:val="00083BC0"/>
    <w:rsid w:val="00084682"/>
    <w:rsid w:val="00084B58"/>
    <w:rsid w:val="00085BF5"/>
    <w:rsid w:val="00085E5A"/>
    <w:rsid w:val="0008620F"/>
    <w:rsid w:val="00086312"/>
    <w:rsid w:val="00086BDB"/>
    <w:rsid w:val="00087FE5"/>
    <w:rsid w:val="00090946"/>
    <w:rsid w:val="00090F87"/>
    <w:rsid w:val="000925DB"/>
    <w:rsid w:val="00092715"/>
    <w:rsid w:val="00092D32"/>
    <w:rsid w:val="00093294"/>
    <w:rsid w:val="000935EE"/>
    <w:rsid w:val="00093609"/>
    <w:rsid w:val="0009402A"/>
    <w:rsid w:val="0009431E"/>
    <w:rsid w:val="0009551B"/>
    <w:rsid w:val="00095B72"/>
    <w:rsid w:val="00096244"/>
    <w:rsid w:val="00096ED5"/>
    <w:rsid w:val="000A03B1"/>
    <w:rsid w:val="000A04AD"/>
    <w:rsid w:val="000A05A9"/>
    <w:rsid w:val="000A0792"/>
    <w:rsid w:val="000A086E"/>
    <w:rsid w:val="000A236A"/>
    <w:rsid w:val="000A23F7"/>
    <w:rsid w:val="000A2A4F"/>
    <w:rsid w:val="000A2F08"/>
    <w:rsid w:val="000A3BFB"/>
    <w:rsid w:val="000A423C"/>
    <w:rsid w:val="000A476A"/>
    <w:rsid w:val="000A4E5A"/>
    <w:rsid w:val="000A5E6E"/>
    <w:rsid w:val="000A5FCB"/>
    <w:rsid w:val="000A6799"/>
    <w:rsid w:val="000A67EE"/>
    <w:rsid w:val="000A712F"/>
    <w:rsid w:val="000A759C"/>
    <w:rsid w:val="000A7605"/>
    <w:rsid w:val="000B028B"/>
    <w:rsid w:val="000B084A"/>
    <w:rsid w:val="000B2044"/>
    <w:rsid w:val="000B22C0"/>
    <w:rsid w:val="000B4B86"/>
    <w:rsid w:val="000B6A0B"/>
    <w:rsid w:val="000B7EEE"/>
    <w:rsid w:val="000B7FD2"/>
    <w:rsid w:val="000C05E9"/>
    <w:rsid w:val="000C1859"/>
    <w:rsid w:val="000C288B"/>
    <w:rsid w:val="000C3311"/>
    <w:rsid w:val="000C3D3E"/>
    <w:rsid w:val="000C426A"/>
    <w:rsid w:val="000C51CE"/>
    <w:rsid w:val="000C63D7"/>
    <w:rsid w:val="000C731B"/>
    <w:rsid w:val="000C734E"/>
    <w:rsid w:val="000C791A"/>
    <w:rsid w:val="000D0504"/>
    <w:rsid w:val="000D0928"/>
    <w:rsid w:val="000D095A"/>
    <w:rsid w:val="000D0D13"/>
    <w:rsid w:val="000D0E75"/>
    <w:rsid w:val="000D12AA"/>
    <w:rsid w:val="000D218C"/>
    <w:rsid w:val="000D2D92"/>
    <w:rsid w:val="000D564C"/>
    <w:rsid w:val="000D5E31"/>
    <w:rsid w:val="000D68D0"/>
    <w:rsid w:val="000D6B9D"/>
    <w:rsid w:val="000D78C9"/>
    <w:rsid w:val="000D7F9D"/>
    <w:rsid w:val="000E00BF"/>
    <w:rsid w:val="000E075A"/>
    <w:rsid w:val="000E08D8"/>
    <w:rsid w:val="000E0E47"/>
    <w:rsid w:val="000E1F52"/>
    <w:rsid w:val="000E292F"/>
    <w:rsid w:val="000E3CD2"/>
    <w:rsid w:val="000E3F30"/>
    <w:rsid w:val="000E4896"/>
    <w:rsid w:val="000E5499"/>
    <w:rsid w:val="000E6378"/>
    <w:rsid w:val="000E6B17"/>
    <w:rsid w:val="000E6BEB"/>
    <w:rsid w:val="000E6CDF"/>
    <w:rsid w:val="000E7235"/>
    <w:rsid w:val="000E73B3"/>
    <w:rsid w:val="000F3471"/>
    <w:rsid w:val="000F3AA5"/>
    <w:rsid w:val="000F40A3"/>
    <w:rsid w:val="000F5AA0"/>
    <w:rsid w:val="000F628E"/>
    <w:rsid w:val="000F7918"/>
    <w:rsid w:val="000F7A55"/>
    <w:rsid w:val="001004AE"/>
    <w:rsid w:val="0010055F"/>
    <w:rsid w:val="0010092C"/>
    <w:rsid w:val="001010B8"/>
    <w:rsid w:val="0010175F"/>
    <w:rsid w:val="00101CE9"/>
    <w:rsid w:val="00102599"/>
    <w:rsid w:val="001025C5"/>
    <w:rsid w:val="00102981"/>
    <w:rsid w:val="001031B5"/>
    <w:rsid w:val="00103B00"/>
    <w:rsid w:val="0010430A"/>
    <w:rsid w:val="001049EB"/>
    <w:rsid w:val="00104F56"/>
    <w:rsid w:val="001053C6"/>
    <w:rsid w:val="00105F93"/>
    <w:rsid w:val="00105FC8"/>
    <w:rsid w:val="0010763D"/>
    <w:rsid w:val="0011029C"/>
    <w:rsid w:val="00110CAE"/>
    <w:rsid w:val="00110E3E"/>
    <w:rsid w:val="00111949"/>
    <w:rsid w:val="00112123"/>
    <w:rsid w:val="00112B0E"/>
    <w:rsid w:val="00113AC6"/>
    <w:rsid w:val="00114135"/>
    <w:rsid w:val="00114513"/>
    <w:rsid w:val="001153E4"/>
    <w:rsid w:val="001163D3"/>
    <w:rsid w:val="00116491"/>
    <w:rsid w:val="00116890"/>
    <w:rsid w:val="00116C38"/>
    <w:rsid w:val="00117185"/>
    <w:rsid w:val="0012037F"/>
    <w:rsid w:val="00120C22"/>
    <w:rsid w:val="00121E50"/>
    <w:rsid w:val="00122460"/>
    <w:rsid w:val="00124048"/>
    <w:rsid w:val="001254FC"/>
    <w:rsid w:val="00125FD8"/>
    <w:rsid w:val="001265BF"/>
    <w:rsid w:val="001267F7"/>
    <w:rsid w:val="00126C10"/>
    <w:rsid w:val="001270E4"/>
    <w:rsid w:val="00127FD6"/>
    <w:rsid w:val="001307BB"/>
    <w:rsid w:val="00130A7A"/>
    <w:rsid w:val="00131A85"/>
    <w:rsid w:val="00132531"/>
    <w:rsid w:val="001338D7"/>
    <w:rsid w:val="00134A70"/>
    <w:rsid w:val="00134DA5"/>
    <w:rsid w:val="00135BF5"/>
    <w:rsid w:val="00135D33"/>
    <w:rsid w:val="00136363"/>
    <w:rsid w:val="00136432"/>
    <w:rsid w:val="00137231"/>
    <w:rsid w:val="001372A5"/>
    <w:rsid w:val="00137FD5"/>
    <w:rsid w:val="00140A24"/>
    <w:rsid w:val="0014144A"/>
    <w:rsid w:val="00141976"/>
    <w:rsid w:val="00141E31"/>
    <w:rsid w:val="001422B3"/>
    <w:rsid w:val="00142D90"/>
    <w:rsid w:val="0014313D"/>
    <w:rsid w:val="0014346E"/>
    <w:rsid w:val="00143F9A"/>
    <w:rsid w:val="0014560C"/>
    <w:rsid w:val="0014590D"/>
    <w:rsid w:val="00146B6C"/>
    <w:rsid w:val="001523EF"/>
    <w:rsid w:val="00152D5E"/>
    <w:rsid w:val="00153491"/>
    <w:rsid w:val="00153839"/>
    <w:rsid w:val="00153A9C"/>
    <w:rsid w:val="00153B98"/>
    <w:rsid w:val="001547CB"/>
    <w:rsid w:val="00156DA0"/>
    <w:rsid w:val="00156E86"/>
    <w:rsid w:val="00156EBF"/>
    <w:rsid w:val="00157014"/>
    <w:rsid w:val="001571CF"/>
    <w:rsid w:val="001575FF"/>
    <w:rsid w:val="00160229"/>
    <w:rsid w:val="00161666"/>
    <w:rsid w:val="00162158"/>
    <w:rsid w:val="001621C5"/>
    <w:rsid w:val="00162DD4"/>
    <w:rsid w:val="001630A5"/>
    <w:rsid w:val="0016364A"/>
    <w:rsid w:val="0016451C"/>
    <w:rsid w:val="0016503D"/>
    <w:rsid w:val="00165F1B"/>
    <w:rsid w:val="00166039"/>
    <w:rsid w:val="00166A69"/>
    <w:rsid w:val="00167D8F"/>
    <w:rsid w:val="0017196B"/>
    <w:rsid w:val="0017474D"/>
    <w:rsid w:val="00175083"/>
    <w:rsid w:val="00175405"/>
    <w:rsid w:val="00175DF8"/>
    <w:rsid w:val="001769A5"/>
    <w:rsid w:val="00180825"/>
    <w:rsid w:val="0018203F"/>
    <w:rsid w:val="00186F74"/>
    <w:rsid w:val="00190C87"/>
    <w:rsid w:val="00191EED"/>
    <w:rsid w:val="001921B0"/>
    <w:rsid w:val="001928FF"/>
    <w:rsid w:val="00192C05"/>
    <w:rsid w:val="00193D4A"/>
    <w:rsid w:val="00194E42"/>
    <w:rsid w:val="0019636E"/>
    <w:rsid w:val="00196EF1"/>
    <w:rsid w:val="00197663"/>
    <w:rsid w:val="00197766"/>
    <w:rsid w:val="001A0C24"/>
    <w:rsid w:val="001A1E20"/>
    <w:rsid w:val="001A22FE"/>
    <w:rsid w:val="001A2A46"/>
    <w:rsid w:val="001A32E3"/>
    <w:rsid w:val="001A3725"/>
    <w:rsid w:val="001A3747"/>
    <w:rsid w:val="001A3ECE"/>
    <w:rsid w:val="001A3FEA"/>
    <w:rsid w:val="001A43B2"/>
    <w:rsid w:val="001A546E"/>
    <w:rsid w:val="001A5540"/>
    <w:rsid w:val="001A5800"/>
    <w:rsid w:val="001A60E9"/>
    <w:rsid w:val="001A6CB6"/>
    <w:rsid w:val="001A7877"/>
    <w:rsid w:val="001A7EB3"/>
    <w:rsid w:val="001A7F8A"/>
    <w:rsid w:val="001B0300"/>
    <w:rsid w:val="001B0650"/>
    <w:rsid w:val="001B1640"/>
    <w:rsid w:val="001B1655"/>
    <w:rsid w:val="001B1856"/>
    <w:rsid w:val="001B1DBB"/>
    <w:rsid w:val="001B2908"/>
    <w:rsid w:val="001B3117"/>
    <w:rsid w:val="001B35CA"/>
    <w:rsid w:val="001B35F3"/>
    <w:rsid w:val="001B3E57"/>
    <w:rsid w:val="001B7067"/>
    <w:rsid w:val="001B71BE"/>
    <w:rsid w:val="001B7A35"/>
    <w:rsid w:val="001C0255"/>
    <w:rsid w:val="001C05EC"/>
    <w:rsid w:val="001C0B7E"/>
    <w:rsid w:val="001C112D"/>
    <w:rsid w:val="001C1133"/>
    <w:rsid w:val="001C203E"/>
    <w:rsid w:val="001C22FC"/>
    <w:rsid w:val="001C2573"/>
    <w:rsid w:val="001C2575"/>
    <w:rsid w:val="001C25CB"/>
    <w:rsid w:val="001C2A34"/>
    <w:rsid w:val="001C2FF0"/>
    <w:rsid w:val="001C3656"/>
    <w:rsid w:val="001C3B5C"/>
    <w:rsid w:val="001C42F8"/>
    <w:rsid w:val="001C4E94"/>
    <w:rsid w:val="001C517C"/>
    <w:rsid w:val="001D1099"/>
    <w:rsid w:val="001D228D"/>
    <w:rsid w:val="001D4212"/>
    <w:rsid w:val="001D5179"/>
    <w:rsid w:val="001D56FB"/>
    <w:rsid w:val="001D6944"/>
    <w:rsid w:val="001D6A91"/>
    <w:rsid w:val="001D6DCE"/>
    <w:rsid w:val="001D70FF"/>
    <w:rsid w:val="001D710D"/>
    <w:rsid w:val="001D7AE0"/>
    <w:rsid w:val="001E0316"/>
    <w:rsid w:val="001E0472"/>
    <w:rsid w:val="001E0803"/>
    <w:rsid w:val="001E083E"/>
    <w:rsid w:val="001E1CA4"/>
    <w:rsid w:val="001E2C11"/>
    <w:rsid w:val="001E2C84"/>
    <w:rsid w:val="001E3489"/>
    <w:rsid w:val="001E3DA6"/>
    <w:rsid w:val="001E3E78"/>
    <w:rsid w:val="001E460B"/>
    <w:rsid w:val="001F1BE7"/>
    <w:rsid w:val="001F1C0F"/>
    <w:rsid w:val="001F2030"/>
    <w:rsid w:val="001F24D6"/>
    <w:rsid w:val="001F30C9"/>
    <w:rsid w:val="001F3C5F"/>
    <w:rsid w:val="001F3D75"/>
    <w:rsid w:val="001F4BF6"/>
    <w:rsid w:val="001F50DF"/>
    <w:rsid w:val="001F5A14"/>
    <w:rsid w:val="001F5E73"/>
    <w:rsid w:val="001F7119"/>
    <w:rsid w:val="001F7449"/>
    <w:rsid w:val="001F7D0F"/>
    <w:rsid w:val="00200D0C"/>
    <w:rsid w:val="00200D34"/>
    <w:rsid w:val="0020187B"/>
    <w:rsid w:val="00204C31"/>
    <w:rsid w:val="00204EC6"/>
    <w:rsid w:val="00205490"/>
    <w:rsid w:val="0020749B"/>
    <w:rsid w:val="0020783F"/>
    <w:rsid w:val="00207C61"/>
    <w:rsid w:val="00210385"/>
    <w:rsid w:val="00210844"/>
    <w:rsid w:val="00212136"/>
    <w:rsid w:val="002123CC"/>
    <w:rsid w:val="00213380"/>
    <w:rsid w:val="002135AD"/>
    <w:rsid w:val="0021364D"/>
    <w:rsid w:val="00213C7B"/>
    <w:rsid w:val="00213EA7"/>
    <w:rsid w:val="00213ED4"/>
    <w:rsid w:val="0021614F"/>
    <w:rsid w:val="00216FC4"/>
    <w:rsid w:val="0021767D"/>
    <w:rsid w:val="00222582"/>
    <w:rsid w:val="00222CDB"/>
    <w:rsid w:val="0022343D"/>
    <w:rsid w:val="00223954"/>
    <w:rsid w:val="00223A07"/>
    <w:rsid w:val="00224B4E"/>
    <w:rsid w:val="00224D63"/>
    <w:rsid w:val="00225144"/>
    <w:rsid w:val="00226EA4"/>
    <w:rsid w:val="002276B0"/>
    <w:rsid w:val="0022791B"/>
    <w:rsid w:val="00230106"/>
    <w:rsid w:val="002313F8"/>
    <w:rsid w:val="0023258B"/>
    <w:rsid w:val="002330DE"/>
    <w:rsid w:val="0023360C"/>
    <w:rsid w:val="002346ED"/>
    <w:rsid w:val="0023471E"/>
    <w:rsid w:val="00234B8E"/>
    <w:rsid w:val="00234DFC"/>
    <w:rsid w:val="00235017"/>
    <w:rsid w:val="00235241"/>
    <w:rsid w:val="002359F4"/>
    <w:rsid w:val="00236BB1"/>
    <w:rsid w:val="00237049"/>
    <w:rsid w:val="0023737D"/>
    <w:rsid w:val="002374DC"/>
    <w:rsid w:val="002375A4"/>
    <w:rsid w:val="002379D3"/>
    <w:rsid w:val="00240623"/>
    <w:rsid w:val="00241E4F"/>
    <w:rsid w:val="00242275"/>
    <w:rsid w:val="0024278D"/>
    <w:rsid w:val="002437D8"/>
    <w:rsid w:val="00243BCF"/>
    <w:rsid w:val="00243D3B"/>
    <w:rsid w:val="002448BE"/>
    <w:rsid w:val="00244F94"/>
    <w:rsid w:val="0024536E"/>
    <w:rsid w:val="00245BDD"/>
    <w:rsid w:val="00245BFE"/>
    <w:rsid w:val="002478ED"/>
    <w:rsid w:val="00251B58"/>
    <w:rsid w:val="00252AF7"/>
    <w:rsid w:val="00252BC7"/>
    <w:rsid w:val="0025412D"/>
    <w:rsid w:val="00254492"/>
    <w:rsid w:val="002546E8"/>
    <w:rsid w:val="00254868"/>
    <w:rsid w:val="00255CC9"/>
    <w:rsid w:val="00256176"/>
    <w:rsid w:val="0025629C"/>
    <w:rsid w:val="002567CE"/>
    <w:rsid w:val="002608B7"/>
    <w:rsid w:val="002618B1"/>
    <w:rsid w:val="00261BE2"/>
    <w:rsid w:val="00262097"/>
    <w:rsid w:val="002638FA"/>
    <w:rsid w:val="00264627"/>
    <w:rsid w:val="00264A1A"/>
    <w:rsid w:val="00264A98"/>
    <w:rsid w:val="00264DBA"/>
    <w:rsid w:val="002654CD"/>
    <w:rsid w:val="002662A4"/>
    <w:rsid w:val="00266AF4"/>
    <w:rsid w:val="00267278"/>
    <w:rsid w:val="0027121F"/>
    <w:rsid w:val="00271379"/>
    <w:rsid w:val="00271759"/>
    <w:rsid w:val="00271C33"/>
    <w:rsid w:val="00271FE2"/>
    <w:rsid w:val="002723FB"/>
    <w:rsid w:val="00272575"/>
    <w:rsid w:val="00272BFD"/>
    <w:rsid w:val="0027373F"/>
    <w:rsid w:val="00273A35"/>
    <w:rsid w:val="002741F0"/>
    <w:rsid w:val="00274317"/>
    <w:rsid w:val="00275691"/>
    <w:rsid w:val="002758D1"/>
    <w:rsid w:val="002776B8"/>
    <w:rsid w:val="00281BFF"/>
    <w:rsid w:val="00281CAF"/>
    <w:rsid w:val="002822DD"/>
    <w:rsid w:val="002828E6"/>
    <w:rsid w:val="0028297B"/>
    <w:rsid w:val="00282CDD"/>
    <w:rsid w:val="002831A0"/>
    <w:rsid w:val="002831A9"/>
    <w:rsid w:val="00284737"/>
    <w:rsid w:val="002848AA"/>
    <w:rsid w:val="002854DE"/>
    <w:rsid w:val="00285605"/>
    <w:rsid w:val="002864A6"/>
    <w:rsid w:val="00286693"/>
    <w:rsid w:val="00286C0A"/>
    <w:rsid w:val="00290850"/>
    <w:rsid w:val="002908B1"/>
    <w:rsid w:val="0029293D"/>
    <w:rsid w:val="00292B40"/>
    <w:rsid w:val="00293173"/>
    <w:rsid w:val="0029438B"/>
    <w:rsid w:val="00294485"/>
    <w:rsid w:val="00294743"/>
    <w:rsid w:val="0029559A"/>
    <w:rsid w:val="00295CC6"/>
    <w:rsid w:val="00295DFD"/>
    <w:rsid w:val="00296605"/>
    <w:rsid w:val="00296CEB"/>
    <w:rsid w:val="002972FA"/>
    <w:rsid w:val="002976A7"/>
    <w:rsid w:val="002979B7"/>
    <w:rsid w:val="00297E74"/>
    <w:rsid w:val="002A0EC7"/>
    <w:rsid w:val="002A1273"/>
    <w:rsid w:val="002A1421"/>
    <w:rsid w:val="002A1984"/>
    <w:rsid w:val="002A1DBC"/>
    <w:rsid w:val="002A22C5"/>
    <w:rsid w:val="002A28FF"/>
    <w:rsid w:val="002A2BF5"/>
    <w:rsid w:val="002A3864"/>
    <w:rsid w:val="002A4864"/>
    <w:rsid w:val="002A5B42"/>
    <w:rsid w:val="002A5EBC"/>
    <w:rsid w:val="002A5F5A"/>
    <w:rsid w:val="002A5FA9"/>
    <w:rsid w:val="002A6CDE"/>
    <w:rsid w:val="002B0C89"/>
    <w:rsid w:val="002B0E8E"/>
    <w:rsid w:val="002B1160"/>
    <w:rsid w:val="002B24AA"/>
    <w:rsid w:val="002B4307"/>
    <w:rsid w:val="002B6088"/>
    <w:rsid w:val="002B6654"/>
    <w:rsid w:val="002B71DC"/>
    <w:rsid w:val="002B7855"/>
    <w:rsid w:val="002C04DA"/>
    <w:rsid w:val="002C0E5A"/>
    <w:rsid w:val="002C1D38"/>
    <w:rsid w:val="002C1D71"/>
    <w:rsid w:val="002C247F"/>
    <w:rsid w:val="002C2DA8"/>
    <w:rsid w:val="002C4666"/>
    <w:rsid w:val="002C556C"/>
    <w:rsid w:val="002C56FA"/>
    <w:rsid w:val="002C5AE0"/>
    <w:rsid w:val="002C6360"/>
    <w:rsid w:val="002C6CEC"/>
    <w:rsid w:val="002C73E5"/>
    <w:rsid w:val="002D0AD2"/>
    <w:rsid w:val="002D12C5"/>
    <w:rsid w:val="002D2EA4"/>
    <w:rsid w:val="002D3093"/>
    <w:rsid w:val="002D3310"/>
    <w:rsid w:val="002D39D7"/>
    <w:rsid w:val="002D3CD6"/>
    <w:rsid w:val="002D4B1C"/>
    <w:rsid w:val="002D5ED4"/>
    <w:rsid w:val="002D687F"/>
    <w:rsid w:val="002D6FF8"/>
    <w:rsid w:val="002E0731"/>
    <w:rsid w:val="002E195E"/>
    <w:rsid w:val="002E2760"/>
    <w:rsid w:val="002E4B7A"/>
    <w:rsid w:val="002E51F7"/>
    <w:rsid w:val="002F0092"/>
    <w:rsid w:val="002F0C03"/>
    <w:rsid w:val="002F2903"/>
    <w:rsid w:val="002F4937"/>
    <w:rsid w:val="002F4FF8"/>
    <w:rsid w:val="002F512B"/>
    <w:rsid w:val="002F6D3F"/>
    <w:rsid w:val="002F7CCC"/>
    <w:rsid w:val="00300195"/>
    <w:rsid w:val="003006E0"/>
    <w:rsid w:val="00302710"/>
    <w:rsid w:val="00302A4F"/>
    <w:rsid w:val="00302B79"/>
    <w:rsid w:val="003043F6"/>
    <w:rsid w:val="0030482F"/>
    <w:rsid w:val="0030496E"/>
    <w:rsid w:val="00304CDC"/>
    <w:rsid w:val="0030539C"/>
    <w:rsid w:val="003062C0"/>
    <w:rsid w:val="0030682D"/>
    <w:rsid w:val="00306DFE"/>
    <w:rsid w:val="00307113"/>
    <w:rsid w:val="00310767"/>
    <w:rsid w:val="00310805"/>
    <w:rsid w:val="003111E3"/>
    <w:rsid w:val="00311C34"/>
    <w:rsid w:val="00312201"/>
    <w:rsid w:val="003137F6"/>
    <w:rsid w:val="00313A60"/>
    <w:rsid w:val="00314285"/>
    <w:rsid w:val="00314453"/>
    <w:rsid w:val="0031490A"/>
    <w:rsid w:val="00314911"/>
    <w:rsid w:val="00314980"/>
    <w:rsid w:val="003157CD"/>
    <w:rsid w:val="003171B1"/>
    <w:rsid w:val="00317227"/>
    <w:rsid w:val="0031751A"/>
    <w:rsid w:val="0031766F"/>
    <w:rsid w:val="00317926"/>
    <w:rsid w:val="00317A94"/>
    <w:rsid w:val="00317B39"/>
    <w:rsid w:val="0032120C"/>
    <w:rsid w:val="003223BA"/>
    <w:rsid w:val="0032256F"/>
    <w:rsid w:val="003229A1"/>
    <w:rsid w:val="00323D7F"/>
    <w:rsid w:val="00324E9E"/>
    <w:rsid w:val="0032672A"/>
    <w:rsid w:val="00327957"/>
    <w:rsid w:val="00327B66"/>
    <w:rsid w:val="003303D1"/>
    <w:rsid w:val="00330A7F"/>
    <w:rsid w:val="00331945"/>
    <w:rsid w:val="003329A2"/>
    <w:rsid w:val="00336E11"/>
    <w:rsid w:val="003426D3"/>
    <w:rsid w:val="003426F2"/>
    <w:rsid w:val="00342709"/>
    <w:rsid w:val="00342F65"/>
    <w:rsid w:val="003435EF"/>
    <w:rsid w:val="003439AA"/>
    <w:rsid w:val="00343EA9"/>
    <w:rsid w:val="00345656"/>
    <w:rsid w:val="0034592E"/>
    <w:rsid w:val="00347871"/>
    <w:rsid w:val="00351116"/>
    <w:rsid w:val="00352652"/>
    <w:rsid w:val="00354107"/>
    <w:rsid w:val="0035432C"/>
    <w:rsid w:val="0035470A"/>
    <w:rsid w:val="00354B31"/>
    <w:rsid w:val="003560EE"/>
    <w:rsid w:val="0035617C"/>
    <w:rsid w:val="003566AD"/>
    <w:rsid w:val="00356927"/>
    <w:rsid w:val="00357952"/>
    <w:rsid w:val="00357B3E"/>
    <w:rsid w:val="00361F2A"/>
    <w:rsid w:val="00361FAA"/>
    <w:rsid w:val="00362F6E"/>
    <w:rsid w:val="00363939"/>
    <w:rsid w:val="003643C1"/>
    <w:rsid w:val="00364E1B"/>
    <w:rsid w:val="0036665F"/>
    <w:rsid w:val="00367CA8"/>
    <w:rsid w:val="003700CF"/>
    <w:rsid w:val="00371317"/>
    <w:rsid w:val="00374441"/>
    <w:rsid w:val="00375FCD"/>
    <w:rsid w:val="00376781"/>
    <w:rsid w:val="00376F55"/>
    <w:rsid w:val="0037747F"/>
    <w:rsid w:val="003775DB"/>
    <w:rsid w:val="003800BE"/>
    <w:rsid w:val="00380D99"/>
    <w:rsid w:val="00381E69"/>
    <w:rsid w:val="0038200A"/>
    <w:rsid w:val="0038258D"/>
    <w:rsid w:val="00382E01"/>
    <w:rsid w:val="00383162"/>
    <w:rsid w:val="003834C3"/>
    <w:rsid w:val="0038405E"/>
    <w:rsid w:val="00384789"/>
    <w:rsid w:val="003847FD"/>
    <w:rsid w:val="00384B39"/>
    <w:rsid w:val="00384EE2"/>
    <w:rsid w:val="00385353"/>
    <w:rsid w:val="0038552F"/>
    <w:rsid w:val="00386893"/>
    <w:rsid w:val="00390632"/>
    <w:rsid w:val="0039108D"/>
    <w:rsid w:val="003923B5"/>
    <w:rsid w:val="0039251D"/>
    <w:rsid w:val="00392749"/>
    <w:rsid w:val="00394300"/>
    <w:rsid w:val="00395779"/>
    <w:rsid w:val="00396539"/>
    <w:rsid w:val="00396F9E"/>
    <w:rsid w:val="00397A24"/>
    <w:rsid w:val="00397DC8"/>
    <w:rsid w:val="003A052C"/>
    <w:rsid w:val="003A0586"/>
    <w:rsid w:val="003A07FD"/>
    <w:rsid w:val="003A2022"/>
    <w:rsid w:val="003A3640"/>
    <w:rsid w:val="003A398B"/>
    <w:rsid w:val="003A3C03"/>
    <w:rsid w:val="003A50B8"/>
    <w:rsid w:val="003A5B7A"/>
    <w:rsid w:val="003A62B0"/>
    <w:rsid w:val="003A6421"/>
    <w:rsid w:val="003A7F6E"/>
    <w:rsid w:val="003B17DD"/>
    <w:rsid w:val="003B1C70"/>
    <w:rsid w:val="003B2C2F"/>
    <w:rsid w:val="003B326C"/>
    <w:rsid w:val="003B3D07"/>
    <w:rsid w:val="003B402F"/>
    <w:rsid w:val="003B56A2"/>
    <w:rsid w:val="003B593D"/>
    <w:rsid w:val="003B5D4C"/>
    <w:rsid w:val="003B5EBA"/>
    <w:rsid w:val="003B6BC1"/>
    <w:rsid w:val="003B78FC"/>
    <w:rsid w:val="003B7A4D"/>
    <w:rsid w:val="003B7E71"/>
    <w:rsid w:val="003C0310"/>
    <w:rsid w:val="003C0F21"/>
    <w:rsid w:val="003C1C89"/>
    <w:rsid w:val="003C1DEE"/>
    <w:rsid w:val="003C22AA"/>
    <w:rsid w:val="003C2BEB"/>
    <w:rsid w:val="003C2D71"/>
    <w:rsid w:val="003C3425"/>
    <w:rsid w:val="003C4EA2"/>
    <w:rsid w:val="003C5087"/>
    <w:rsid w:val="003C51FD"/>
    <w:rsid w:val="003C5A95"/>
    <w:rsid w:val="003C6196"/>
    <w:rsid w:val="003C7DF7"/>
    <w:rsid w:val="003D0144"/>
    <w:rsid w:val="003D0ED7"/>
    <w:rsid w:val="003D2721"/>
    <w:rsid w:val="003D278A"/>
    <w:rsid w:val="003D2D53"/>
    <w:rsid w:val="003D2D67"/>
    <w:rsid w:val="003D456C"/>
    <w:rsid w:val="003D4625"/>
    <w:rsid w:val="003D4C98"/>
    <w:rsid w:val="003D5BF8"/>
    <w:rsid w:val="003D63B3"/>
    <w:rsid w:val="003D6F7E"/>
    <w:rsid w:val="003D723E"/>
    <w:rsid w:val="003D7524"/>
    <w:rsid w:val="003D7DF9"/>
    <w:rsid w:val="003E09F7"/>
    <w:rsid w:val="003E1A35"/>
    <w:rsid w:val="003E1BBB"/>
    <w:rsid w:val="003E254B"/>
    <w:rsid w:val="003E2E35"/>
    <w:rsid w:val="003E33C7"/>
    <w:rsid w:val="003E36A5"/>
    <w:rsid w:val="003E5313"/>
    <w:rsid w:val="003E5DF5"/>
    <w:rsid w:val="003E64F2"/>
    <w:rsid w:val="003E7442"/>
    <w:rsid w:val="003F02A3"/>
    <w:rsid w:val="003F0941"/>
    <w:rsid w:val="003F2BB2"/>
    <w:rsid w:val="003F3424"/>
    <w:rsid w:val="003F43E7"/>
    <w:rsid w:val="003F44C0"/>
    <w:rsid w:val="003F4AB1"/>
    <w:rsid w:val="003F4CEB"/>
    <w:rsid w:val="003F4E15"/>
    <w:rsid w:val="003F4F32"/>
    <w:rsid w:val="003F69CD"/>
    <w:rsid w:val="003F69D4"/>
    <w:rsid w:val="003F6C25"/>
    <w:rsid w:val="003F73B8"/>
    <w:rsid w:val="00400BB2"/>
    <w:rsid w:val="00400EDE"/>
    <w:rsid w:val="00401C55"/>
    <w:rsid w:val="0040207F"/>
    <w:rsid w:val="004020D5"/>
    <w:rsid w:val="00402397"/>
    <w:rsid w:val="00402B7B"/>
    <w:rsid w:val="004034B7"/>
    <w:rsid w:val="00403C6F"/>
    <w:rsid w:val="00405B4B"/>
    <w:rsid w:val="00406F95"/>
    <w:rsid w:val="004079B2"/>
    <w:rsid w:val="004104AB"/>
    <w:rsid w:val="004105DD"/>
    <w:rsid w:val="004120DC"/>
    <w:rsid w:val="0041275B"/>
    <w:rsid w:val="00412B7E"/>
    <w:rsid w:val="004135BE"/>
    <w:rsid w:val="00415667"/>
    <w:rsid w:val="00416AA6"/>
    <w:rsid w:val="004175D3"/>
    <w:rsid w:val="00417BAB"/>
    <w:rsid w:val="0042082D"/>
    <w:rsid w:val="00421A30"/>
    <w:rsid w:val="00422693"/>
    <w:rsid w:val="00422759"/>
    <w:rsid w:val="00422A83"/>
    <w:rsid w:val="004232DF"/>
    <w:rsid w:val="00423340"/>
    <w:rsid w:val="0042414D"/>
    <w:rsid w:val="004244B9"/>
    <w:rsid w:val="00424551"/>
    <w:rsid w:val="004250CD"/>
    <w:rsid w:val="004251E1"/>
    <w:rsid w:val="00425EAE"/>
    <w:rsid w:val="004266AE"/>
    <w:rsid w:val="00426F3A"/>
    <w:rsid w:val="0042726C"/>
    <w:rsid w:val="00427AE5"/>
    <w:rsid w:val="00427B76"/>
    <w:rsid w:val="00427D34"/>
    <w:rsid w:val="004301BA"/>
    <w:rsid w:val="004313F5"/>
    <w:rsid w:val="00431C73"/>
    <w:rsid w:val="00431F3C"/>
    <w:rsid w:val="004321F0"/>
    <w:rsid w:val="00433480"/>
    <w:rsid w:val="00433E9A"/>
    <w:rsid w:val="004342F2"/>
    <w:rsid w:val="0043552B"/>
    <w:rsid w:val="00435F8A"/>
    <w:rsid w:val="00435FE8"/>
    <w:rsid w:val="00437266"/>
    <w:rsid w:val="00437FA1"/>
    <w:rsid w:val="00440113"/>
    <w:rsid w:val="00440180"/>
    <w:rsid w:val="004401FE"/>
    <w:rsid w:val="0044076E"/>
    <w:rsid w:val="004407FA"/>
    <w:rsid w:val="00441636"/>
    <w:rsid w:val="00441898"/>
    <w:rsid w:val="00441C45"/>
    <w:rsid w:val="004429E9"/>
    <w:rsid w:val="004430C2"/>
    <w:rsid w:val="00444610"/>
    <w:rsid w:val="00446182"/>
    <w:rsid w:val="004462D9"/>
    <w:rsid w:val="00446373"/>
    <w:rsid w:val="00446465"/>
    <w:rsid w:val="00446D52"/>
    <w:rsid w:val="00447803"/>
    <w:rsid w:val="00452C2D"/>
    <w:rsid w:val="00453C05"/>
    <w:rsid w:val="004549B0"/>
    <w:rsid w:val="00460D00"/>
    <w:rsid w:val="004618A0"/>
    <w:rsid w:val="00461B75"/>
    <w:rsid w:val="00461FE9"/>
    <w:rsid w:val="0046268C"/>
    <w:rsid w:val="00462F32"/>
    <w:rsid w:val="00462F9A"/>
    <w:rsid w:val="0046329D"/>
    <w:rsid w:val="00463B51"/>
    <w:rsid w:val="00464A7D"/>
    <w:rsid w:val="00464CBB"/>
    <w:rsid w:val="00465A99"/>
    <w:rsid w:val="00465B12"/>
    <w:rsid w:val="00465D73"/>
    <w:rsid w:val="0046603E"/>
    <w:rsid w:val="00466CA0"/>
    <w:rsid w:val="0046794F"/>
    <w:rsid w:val="004703C9"/>
    <w:rsid w:val="004705B5"/>
    <w:rsid w:val="004707CA"/>
    <w:rsid w:val="004725A1"/>
    <w:rsid w:val="004729A3"/>
    <w:rsid w:val="00472AC3"/>
    <w:rsid w:val="00472CE8"/>
    <w:rsid w:val="0047411B"/>
    <w:rsid w:val="004745F0"/>
    <w:rsid w:val="00475B02"/>
    <w:rsid w:val="0047721A"/>
    <w:rsid w:val="0048022B"/>
    <w:rsid w:val="0048093C"/>
    <w:rsid w:val="00481144"/>
    <w:rsid w:val="00483C67"/>
    <w:rsid w:val="0048438F"/>
    <w:rsid w:val="004851DA"/>
    <w:rsid w:val="004852BC"/>
    <w:rsid w:val="0048557C"/>
    <w:rsid w:val="004856F4"/>
    <w:rsid w:val="0048645B"/>
    <w:rsid w:val="00486BE3"/>
    <w:rsid w:val="00486D1A"/>
    <w:rsid w:val="0049048A"/>
    <w:rsid w:val="00490E46"/>
    <w:rsid w:val="00492B68"/>
    <w:rsid w:val="004934A5"/>
    <w:rsid w:val="004945B5"/>
    <w:rsid w:val="00494851"/>
    <w:rsid w:val="00494F23"/>
    <w:rsid w:val="004957DB"/>
    <w:rsid w:val="0049610F"/>
    <w:rsid w:val="00496EEB"/>
    <w:rsid w:val="004A110E"/>
    <w:rsid w:val="004A19BD"/>
    <w:rsid w:val="004A1F18"/>
    <w:rsid w:val="004A21DD"/>
    <w:rsid w:val="004A2984"/>
    <w:rsid w:val="004A3B11"/>
    <w:rsid w:val="004A4945"/>
    <w:rsid w:val="004A5014"/>
    <w:rsid w:val="004A555E"/>
    <w:rsid w:val="004A5879"/>
    <w:rsid w:val="004A5EEB"/>
    <w:rsid w:val="004A6071"/>
    <w:rsid w:val="004A6EB3"/>
    <w:rsid w:val="004A7659"/>
    <w:rsid w:val="004A7A32"/>
    <w:rsid w:val="004A7D81"/>
    <w:rsid w:val="004B1286"/>
    <w:rsid w:val="004B1D33"/>
    <w:rsid w:val="004B22BF"/>
    <w:rsid w:val="004B3858"/>
    <w:rsid w:val="004B3ACA"/>
    <w:rsid w:val="004B3D12"/>
    <w:rsid w:val="004B44B8"/>
    <w:rsid w:val="004B4626"/>
    <w:rsid w:val="004B4994"/>
    <w:rsid w:val="004B4CB0"/>
    <w:rsid w:val="004B5761"/>
    <w:rsid w:val="004B5923"/>
    <w:rsid w:val="004B6005"/>
    <w:rsid w:val="004B622F"/>
    <w:rsid w:val="004B6668"/>
    <w:rsid w:val="004B6CB7"/>
    <w:rsid w:val="004B6E9D"/>
    <w:rsid w:val="004B7EFD"/>
    <w:rsid w:val="004C12B7"/>
    <w:rsid w:val="004C1C4D"/>
    <w:rsid w:val="004C21A2"/>
    <w:rsid w:val="004C2402"/>
    <w:rsid w:val="004C27DF"/>
    <w:rsid w:val="004C37EE"/>
    <w:rsid w:val="004C64E2"/>
    <w:rsid w:val="004D00F1"/>
    <w:rsid w:val="004D02DA"/>
    <w:rsid w:val="004D1CB6"/>
    <w:rsid w:val="004D2249"/>
    <w:rsid w:val="004D26AC"/>
    <w:rsid w:val="004D2C02"/>
    <w:rsid w:val="004D40FD"/>
    <w:rsid w:val="004D4443"/>
    <w:rsid w:val="004D567C"/>
    <w:rsid w:val="004D66B1"/>
    <w:rsid w:val="004D6F14"/>
    <w:rsid w:val="004E0918"/>
    <w:rsid w:val="004E15B4"/>
    <w:rsid w:val="004E272B"/>
    <w:rsid w:val="004E2A28"/>
    <w:rsid w:val="004E2DD4"/>
    <w:rsid w:val="004E461A"/>
    <w:rsid w:val="004E569C"/>
    <w:rsid w:val="004E6F53"/>
    <w:rsid w:val="004E7581"/>
    <w:rsid w:val="004F0E68"/>
    <w:rsid w:val="004F111E"/>
    <w:rsid w:val="004F1632"/>
    <w:rsid w:val="004F195E"/>
    <w:rsid w:val="004F25C6"/>
    <w:rsid w:val="004F3260"/>
    <w:rsid w:val="004F3A44"/>
    <w:rsid w:val="004F3B82"/>
    <w:rsid w:val="004F5655"/>
    <w:rsid w:val="004F6631"/>
    <w:rsid w:val="005005CD"/>
    <w:rsid w:val="00500EC4"/>
    <w:rsid w:val="0050274F"/>
    <w:rsid w:val="005032AE"/>
    <w:rsid w:val="005037E3"/>
    <w:rsid w:val="0050429D"/>
    <w:rsid w:val="005043F7"/>
    <w:rsid w:val="00504887"/>
    <w:rsid w:val="00504C5A"/>
    <w:rsid w:val="00505592"/>
    <w:rsid w:val="005055F0"/>
    <w:rsid w:val="00505F4D"/>
    <w:rsid w:val="0050687B"/>
    <w:rsid w:val="00506E72"/>
    <w:rsid w:val="0050707D"/>
    <w:rsid w:val="00510B0D"/>
    <w:rsid w:val="00510F3A"/>
    <w:rsid w:val="00512DB9"/>
    <w:rsid w:val="00513A67"/>
    <w:rsid w:val="00515D48"/>
    <w:rsid w:val="00516133"/>
    <w:rsid w:val="0051735F"/>
    <w:rsid w:val="00517BBE"/>
    <w:rsid w:val="00520E24"/>
    <w:rsid w:val="00520EAB"/>
    <w:rsid w:val="00521343"/>
    <w:rsid w:val="00521C68"/>
    <w:rsid w:val="00522524"/>
    <w:rsid w:val="005235AA"/>
    <w:rsid w:val="00526693"/>
    <w:rsid w:val="00527C25"/>
    <w:rsid w:val="00530302"/>
    <w:rsid w:val="0053070F"/>
    <w:rsid w:val="00530F97"/>
    <w:rsid w:val="0053138A"/>
    <w:rsid w:val="00531517"/>
    <w:rsid w:val="005319EA"/>
    <w:rsid w:val="00532B0A"/>
    <w:rsid w:val="00533C2E"/>
    <w:rsid w:val="00536A62"/>
    <w:rsid w:val="00541153"/>
    <w:rsid w:val="00541FD5"/>
    <w:rsid w:val="00542DFD"/>
    <w:rsid w:val="005433E7"/>
    <w:rsid w:val="005448DA"/>
    <w:rsid w:val="0054514A"/>
    <w:rsid w:val="005451DC"/>
    <w:rsid w:val="005459ED"/>
    <w:rsid w:val="0054635A"/>
    <w:rsid w:val="00546C29"/>
    <w:rsid w:val="0054716E"/>
    <w:rsid w:val="00551019"/>
    <w:rsid w:val="00551FD6"/>
    <w:rsid w:val="00552488"/>
    <w:rsid w:val="00552A30"/>
    <w:rsid w:val="00554BDB"/>
    <w:rsid w:val="00555871"/>
    <w:rsid w:val="00555C39"/>
    <w:rsid w:val="00555C58"/>
    <w:rsid w:val="00556EEB"/>
    <w:rsid w:val="00557361"/>
    <w:rsid w:val="00557962"/>
    <w:rsid w:val="005604B7"/>
    <w:rsid w:val="00560F81"/>
    <w:rsid w:val="00562D8E"/>
    <w:rsid w:val="00562F35"/>
    <w:rsid w:val="00563423"/>
    <w:rsid w:val="00563497"/>
    <w:rsid w:val="005636CF"/>
    <w:rsid w:val="005639D7"/>
    <w:rsid w:val="0056494B"/>
    <w:rsid w:val="00564F44"/>
    <w:rsid w:val="00565AD1"/>
    <w:rsid w:val="00565E96"/>
    <w:rsid w:val="0056632C"/>
    <w:rsid w:val="00571B3E"/>
    <w:rsid w:val="00572D40"/>
    <w:rsid w:val="005731E3"/>
    <w:rsid w:val="0057357C"/>
    <w:rsid w:val="00574674"/>
    <w:rsid w:val="00574864"/>
    <w:rsid w:val="005752C1"/>
    <w:rsid w:val="00575919"/>
    <w:rsid w:val="00576804"/>
    <w:rsid w:val="0058038A"/>
    <w:rsid w:val="005804AA"/>
    <w:rsid w:val="005804AE"/>
    <w:rsid w:val="0058060C"/>
    <w:rsid w:val="005807B4"/>
    <w:rsid w:val="00580928"/>
    <w:rsid w:val="00580DB8"/>
    <w:rsid w:val="00581505"/>
    <w:rsid w:val="00581F40"/>
    <w:rsid w:val="00583130"/>
    <w:rsid w:val="0058366F"/>
    <w:rsid w:val="00583BA5"/>
    <w:rsid w:val="00585761"/>
    <w:rsid w:val="005858A5"/>
    <w:rsid w:val="005858DF"/>
    <w:rsid w:val="00586704"/>
    <w:rsid w:val="00586D07"/>
    <w:rsid w:val="00586D55"/>
    <w:rsid w:val="0058734F"/>
    <w:rsid w:val="00590C6F"/>
    <w:rsid w:val="00592092"/>
    <w:rsid w:val="005929AF"/>
    <w:rsid w:val="0059457C"/>
    <w:rsid w:val="005955F3"/>
    <w:rsid w:val="00595628"/>
    <w:rsid w:val="005957F5"/>
    <w:rsid w:val="005963E3"/>
    <w:rsid w:val="0059694A"/>
    <w:rsid w:val="00597B34"/>
    <w:rsid w:val="005A04BD"/>
    <w:rsid w:val="005A13D5"/>
    <w:rsid w:val="005A1B60"/>
    <w:rsid w:val="005A246E"/>
    <w:rsid w:val="005A291B"/>
    <w:rsid w:val="005A3F55"/>
    <w:rsid w:val="005A411B"/>
    <w:rsid w:val="005A47D8"/>
    <w:rsid w:val="005A5952"/>
    <w:rsid w:val="005A71AD"/>
    <w:rsid w:val="005A7302"/>
    <w:rsid w:val="005A79F9"/>
    <w:rsid w:val="005B00A8"/>
    <w:rsid w:val="005B103B"/>
    <w:rsid w:val="005B1047"/>
    <w:rsid w:val="005B16FE"/>
    <w:rsid w:val="005B19FB"/>
    <w:rsid w:val="005B1CF7"/>
    <w:rsid w:val="005B2442"/>
    <w:rsid w:val="005B2642"/>
    <w:rsid w:val="005B284D"/>
    <w:rsid w:val="005B4B40"/>
    <w:rsid w:val="005B5180"/>
    <w:rsid w:val="005B528E"/>
    <w:rsid w:val="005B6840"/>
    <w:rsid w:val="005B722A"/>
    <w:rsid w:val="005C05E2"/>
    <w:rsid w:val="005C09B5"/>
    <w:rsid w:val="005C33A7"/>
    <w:rsid w:val="005C38D0"/>
    <w:rsid w:val="005C494E"/>
    <w:rsid w:val="005C51D2"/>
    <w:rsid w:val="005C58BE"/>
    <w:rsid w:val="005C7105"/>
    <w:rsid w:val="005C7D02"/>
    <w:rsid w:val="005D17FB"/>
    <w:rsid w:val="005D1FA0"/>
    <w:rsid w:val="005D2BE4"/>
    <w:rsid w:val="005D4036"/>
    <w:rsid w:val="005D44CC"/>
    <w:rsid w:val="005D45EC"/>
    <w:rsid w:val="005D4B38"/>
    <w:rsid w:val="005D4F11"/>
    <w:rsid w:val="005D5450"/>
    <w:rsid w:val="005D5500"/>
    <w:rsid w:val="005D5C57"/>
    <w:rsid w:val="005D6222"/>
    <w:rsid w:val="005D6E1A"/>
    <w:rsid w:val="005D72D8"/>
    <w:rsid w:val="005E040C"/>
    <w:rsid w:val="005E0DE2"/>
    <w:rsid w:val="005E3269"/>
    <w:rsid w:val="005E3437"/>
    <w:rsid w:val="005E4011"/>
    <w:rsid w:val="005E59CF"/>
    <w:rsid w:val="005E5A5A"/>
    <w:rsid w:val="005E5AAF"/>
    <w:rsid w:val="005E5DA9"/>
    <w:rsid w:val="005E647B"/>
    <w:rsid w:val="005E6C1B"/>
    <w:rsid w:val="005E6DA7"/>
    <w:rsid w:val="005E791A"/>
    <w:rsid w:val="005E7FEF"/>
    <w:rsid w:val="005F2423"/>
    <w:rsid w:val="005F34C3"/>
    <w:rsid w:val="005F3DEF"/>
    <w:rsid w:val="005F3ECD"/>
    <w:rsid w:val="005F3EF2"/>
    <w:rsid w:val="005F4605"/>
    <w:rsid w:val="005F4662"/>
    <w:rsid w:val="005F511A"/>
    <w:rsid w:val="005F636A"/>
    <w:rsid w:val="006011CE"/>
    <w:rsid w:val="00602193"/>
    <w:rsid w:val="006021AC"/>
    <w:rsid w:val="006025AF"/>
    <w:rsid w:val="0060276B"/>
    <w:rsid w:val="006031BA"/>
    <w:rsid w:val="00603F43"/>
    <w:rsid w:val="00604C52"/>
    <w:rsid w:val="0060560D"/>
    <w:rsid w:val="00606760"/>
    <w:rsid w:val="00607C30"/>
    <w:rsid w:val="00611700"/>
    <w:rsid w:val="0061294C"/>
    <w:rsid w:val="00612A51"/>
    <w:rsid w:val="006133D4"/>
    <w:rsid w:val="006145D2"/>
    <w:rsid w:val="00617576"/>
    <w:rsid w:val="00617BC6"/>
    <w:rsid w:val="00617D84"/>
    <w:rsid w:val="006201E3"/>
    <w:rsid w:val="0062093B"/>
    <w:rsid w:val="00622B55"/>
    <w:rsid w:val="0062571E"/>
    <w:rsid w:val="00625C39"/>
    <w:rsid w:val="00626812"/>
    <w:rsid w:val="00626CCF"/>
    <w:rsid w:val="006271D1"/>
    <w:rsid w:val="0062742F"/>
    <w:rsid w:val="006277B9"/>
    <w:rsid w:val="006302A2"/>
    <w:rsid w:val="00630919"/>
    <w:rsid w:val="00630CEF"/>
    <w:rsid w:val="006316FE"/>
    <w:rsid w:val="00632968"/>
    <w:rsid w:val="00632F3F"/>
    <w:rsid w:val="0063323A"/>
    <w:rsid w:val="00634936"/>
    <w:rsid w:val="006355FA"/>
    <w:rsid w:val="00635896"/>
    <w:rsid w:val="0063664D"/>
    <w:rsid w:val="00640A49"/>
    <w:rsid w:val="00640EB7"/>
    <w:rsid w:val="00641A91"/>
    <w:rsid w:val="00641C2F"/>
    <w:rsid w:val="0064378D"/>
    <w:rsid w:val="00645156"/>
    <w:rsid w:val="0064600A"/>
    <w:rsid w:val="00646A7A"/>
    <w:rsid w:val="00647755"/>
    <w:rsid w:val="006478DE"/>
    <w:rsid w:val="006509B9"/>
    <w:rsid w:val="00651780"/>
    <w:rsid w:val="0065180F"/>
    <w:rsid w:val="00651C4A"/>
    <w:rsid w:val="006524D4"/>
    <w:rsid w:val="006530BC"/>
    <w:rsid w:val="006541DE"/>
    <w:rsid w:val="0065504A"/>
    <w:rsid w:val="00656058"/>
    <w:rsid w:val="00656E80"/>
    <w:rsid w:val="00661029"/>
    <w:rsid w:val="0066350B"/>
    <w:rsid w:val="00663AD1"/>
    <w:rsid w:val="006644BB"/>
    <w:rsid w:val="0066485F"/>
    <w:rsid w:val="00664D40"/>
    <w:rsid w:val="0066658F"/>
    <w:rsid w:val="006673CF"/>
    <w:rsid w:val="00670863"/>
    <w:rsid w:val="00671157"/>
    <w:rsid w:val="006718AA"/>
    <w:rsid w:val="0067190E"/>
    <w:rsid w:val="00671A27"/>
    <w:rsid w:val="00671F89"/>
    <w:rsid w:val="0067280B"/>
    <w:rsid w:val="006738AD"/>
    <w:rsid w:val="006741E0"/>
    <w:rsid w:val="006756E5"/>
    <w:rsid w:val="00675934"/>
    <w:rsid w:val="0067666F"/>
    <w:rsid w:val="0067703E"/>
    <w:rsid w:val="00677625"/>
    <w:rsid w:val="00677B98"/>
    <w:rsid w:val="006802FA"/>
    <w:rsid w:val="006809E2"/>
    <w:rsid w:val="00681B7B"/>
    <w:rsid w:val="006825C5"/>
    <w:rsid w:val="00682AFB"/>
    <w:rsid w:val="00682F4D"/>
    <w:rsid w:val="00683B40"/>
    <w:rsid w:val="00683DFC"/>
    <w:rsid w:val="00683F5D"/>
    <w:rsid w:val="00684B38"/>
    <w:rsid w:val="00686B06"/>
    <w:rsid w:val="0069148C"/>
    <w:rsid w:val="00692F84"/>
    <w:rsid w:val="0069384C"/>
    <w:rsid w:val="00694801"/>
    <w:rsid w:val="00694917"/>
    <w:rsid w:val="00695609"/>
    <w:rsid w:val="00696C55"/>
    <w:rsid w:val="006975E3"/>
    <w:rsid w:val="00697A4D"/>
    <w:rsid w:val="006A2FD3"/>
    <w:rsid w:val="006A31E4"/>
    <w:rsid w:val="006A32E6"/>
    <w:rsid w:val="006A3BFC"/>
    <w:rsid w:val="006A40C7"/>
    <w:rsid w:val="006A416B"/>
    <w:rsid w:val="006A5100"/>
    <w:rsid w:val="006A5D7B"/>
    <w:rsid w:val="006A64FE"/>
    <w:rsid w:val="006A6ACA"/>
    <w:rsid w:val="006A6B43"/>
    <w:rsid w:val="006B0920"/>
    <w:rsid w:val="006B0DB0"/>
    <w:rsid w:val="006B1DE5"/>
    <w:rsid w:val="006B33C7"/>
    <w:rsid w:val="006B36A2"/>
    <w:rsid w:val="006B5C0F"/>
    <w:rsid w:val="006BBF4C"/>
    <w:rsid w:val="006C0C31"/>
    <w:rsid w:val="006C0FFC"/>
    <w:rsid w:val="006C11B7"/>
    <w:rsid w:val="006C16A0"/>
    <w:rsid w:val="006C2363"/>
    <w:rsid w:val="006C2F6A"/>
    <w:rsid w:val="006C3376"/>
    <w:rsid w:val="006C3E00"/>
    <w:rsid w:val="006C6232"/>
    <w:rsid w:val="006C66C2"/>
    <w:rsid w:val="006C6729"/>
    <w:rsid w:val="006C795E"/>
    <w:rsid w:val="006D0237"/>
    <w:rsid w:val="006D0F8D"/>
    <w:rsid w:val="006D10A3"/>
    <w:rsid w:val="006D1F5F"/>
    <w:rsid w:val="006D22F7"/>
    <w:rsid w:val="006D2586"/>
    <w:rsid w:val="006D327F"/>
    <w:rsid w:val="006D33E4"/>
    <w:rsid w:val="006D3949"/>
    <w:rsid w:val="006D586F"/>
    <w:rsid w:val="006D5B62"/>
    <w:rsid w:val="006D71D3"/>
    <w:rsid w:val="006D7456"/>
    <w:rsid w:val="006D758F"/>
    <w:rsid w:val="006D7FFA"/>
    <w:rsid w:val="006E01E6"/>
    <w:rsid w:val="006E1AC4"/>
    <w:rsid w:val="006E1D3C"/>
    <w:rsid w:val="006E2183"/>
    <w:rsid w:val="006E21A0"/>
    <w:rsid w:val="006E2BA3"/>
    <w:rsid w:val="006E37D9"/>
    <w:rsid w:val="006E4730"/>
    <w:rsid w:val="006E4D5D"/>
    <w:rsid w:val="006E68EF"/>
    <w:rsid w:val="006E772C"/>
    <w:rsid w:val="006E7859"/>
    <w:rsid w:val="006E7EEA"/>
    <w:rsid w:val="006F26CF"/>
    <w:rsid w:val="006F443E"/>
    <w:rsid w:val="006F483E"/>
    <w:rsid w:val="006F571F"/>
    <w:rsid w:val="006F5D50"/>
    <w:rsid w:val="006F6090"/>
    <w:rsid w:val="006F6FB0"/>
    <w:rsid w:val="006F7CF4"/>
    <w:rsid w:val="0070091C"/>
    <w:rsid w:val="00700E3A"/>
    <w:rsid w:val="0070286D"/>
    <w:rsid w:val="00702E91"/>
    <w:rsid w:val="007030C0"/>
    <w:rsid w:val="00703183"/>
    <w:rsid w:val="007049C4"/>
    <w:rsid w:val="00704EC1"/>
    <w:rsid w:val="007050D6"/>
    <w:rsid w:val="007053B6"/>
    <w:rsid w:val="00705427"/>
    <w:rsid w:val="0070564D"/>
    <w:rsid w:val="00707562"/>
    <w:rsid w:val="007077AE"/>
    <w:rsid w:val="00707AF3"/>
    <w:rsid w:val="007104B0"/>
    <w:rsid w:val="00710A37"/>
    <w:rsid w:val="00710ABC"/>
    <w:rsid w:val="0071194E"/>
    <w:rsid w:val="00711E3F"/>
    <w:rsid w:val="00712048"/>
    <w:rsid w:val="00712894"/>
    <w:rsid w:val="00713A0C"/>
    <w:rsid w:val="007148C6"/>
    <w:rsid w:val="007149C3"/>
    <w:rsid w:val="00715F7F"/>
    <w:rsid w:val="00716446"/>
    <w:rsid w:val="007166B4"/>
    <w:rsid w:val="00716712"/>
    <w:rsid w:val="00717A0C"/>
    <w:rsid w:val="00720465"/>
    <w:rsid w:val="0072086E"/>
    <w:rsid w:val="00721169"/>
    <w:rsid w:val="0072188E"/>
    <w:rsid w:val="007246DF"/>
    <w:rsid w:val="007248BE"/>
    <w:rsid w:val="00724A9E"/>
    <w:rsid w:val="00724D41"/>
    <w:rsid w:val="00725B23"/>
    <w:rsid w:val="007263C1"/>
    <w:rsid w:val="00726700"/>
    <w:rsid w:val="00727227"/>
    <w:rsid w:val="0072769C"/>
    <w:rsid w:val="00727A2A"/>
    <w:rsid w:val="00730412"/>
    <w:rsid w:val="00730504"/>
    <w:rsid w:val="00730989"/>
    <w:rsid w:val="00730B61"/>
    <w:rsid w:val="007310DA"/>
    <w:rsid w:val="007310E2"/>
    <w:rsid w:val="007315D1"/>
    <w:rsid w:val="0073197C"/>
    <w:rsid w:val="007319E3"/>
    <w:rsid w:val="00732C9C"/>
    <w:rsid w:val="00732DC5"/>
    <w:rsid w:val="00733A48"/>
    <w:rsid w:val="007349C6"/>
    <w:rsid w:val="00734ED3"/>
    <w:rsid w:val="00735346"/>
    <w:rsid w:val="00735C6B"/>
    <w:rsid w:val="0073631F"/>
    <w:rsid w:val="007364EF"/>
    <w:rsid w:val="00737090"/>
    <w:rsid w:val="00737699"/>
    <w:rsid w:val="007400BA"/>
    <w:rsid w:val="007404DB"/>
    <w:rsid w:val="007413E2"/>
    <w:rsid w:val="00741422"/>
    <w:rsid w:val="0074256D"/>
    <w:rsid w:val="007430E6"/>
    <w:rsid w:val="00743B50"/>
    <w:rsid w:val="00745C57"/>
    <w:rsid w:val="007462BF"/>
    <w:rsid w:val="00747067"/>
    <w:rsid w:val="0075059F"/>
    <w:rsid w:val="00750942"/>
    <w:rsid w:val="00752DBF"/>
    <w:rsid w:val="0075381A"/>
    <w:rsid w:val="00753853"/>
    <w:rsid w:val="007539D6"/>
    <w:rsid w:val="007550B3"/>
    <w:rsid w:val="00755186"/>
    <w:rsid w:val="007552EB"/>
    <w:rsid w:val="00755347"/>
    <w:rsid w:val="0075574B"/>
    <w:rsid w:val="00755E9C"/>
    <w:rsid w:val="00756456"/>
    <w:rsid w:val="00757058"/>
    <w:rsid w:val="007602C8"/>
    <w:rsid w:val="0076077A"/>
    <w:rsid w:val="00761A12"/>
    <w:rsid w:val="00762C05"/>
    <w:rsid w:val="00762C37"/>
    <w:rsid w:val="00762C9D"/>
    <w:rsid w:val="007639A5"/>
    <w:rsid w:val="00764C4D"/>
    <w:rsid w:val="007661A6"/>
    <w:rsid w:val="00766DAC"/>
    <w:rsid w:val="007677C0"/>
    <w:rsid w:val="00770345"/>
    <w:rsid w:val="0077130E"/>
    <w:rsid w:val="007720BB"/>
    <w:rsid w:val="00774759"/>
    <w:rsid w:val="00775847"/>
    <w:rsid w:val="007759C9"/>
    <w:rsid w:val="00775B8F"/>
    <w:rsid w:val="00775D54"/>
    <w:rsid w:val="0077746C"/>
    <w:rsid w:val="0078157B"/>
    <w:rsid w:val="0078217D"/>
    <w:rsid w:val="00782A33"/>
    <w:rsid w:val="00783F4F"/>
    <w:rsid w:val="007851F1"/>
    <w:rsid w:val="007858BD"/>
    <w:rsid w:val="007858FB"/>
    <w:rsid w:val="0078610D"/>
    <w:rsid w:val="00790A61"/>
    <w:rsid w:val="00790B1D"/>
    <w:rsid w:val="00791B6A"/>
    <w:rsid w:val="00793694"/>
    <w:rsid w:val="00793DFF"/>
    <w:rsid w:val="00794834"/>
    <w:rsid w:val="00795546"/>
    <w:rsid w:val="007964F3"/>
    <w:rsid w:val="007966BC"/>
    <w:rsid w:val="007967ED"/>
    <w:rsid w:val="007976BD"/>
    <w:rsid w:val="007A0482"/>
    <w:rsid w:val="007A0774"/>
    <w:rsid w:val="007A0DC0"/>
    <w:rsid w:val="007A106B"/>
    <w:rsid w:val="007A2355"/>
    <w:rsid w:val="007A24AD"/>
    <w:rsid w:val="007A3985"/>
    <w:rsid w:val="007A3FDD"/>
    <w:rsid w:val="007A5678"/>
    <w:rsid w:val="007A596F"/>
    <w:rsid w:val="007A5B3B"/>
    <w:rsid w:val="007A5F2E"/>
    <w:rsid w:val="007A7164"/>
    <w:rsid w:val="007A7E79"/>
    <w:rsid w:val="007B0443"/>
    <w:rsid w:val="007B0557"/>
    <w:rsid w:val="007B09B8"/>
    <w:rsid w:val="007B12FB"/>
    <w:rsid w:val="007B19F1"/>
    <w:rsid w:val="007B20CF"/>
    <w:rsid w:val="007B305D"/>
    <w:rsid w:val="007B3169"/>
    <w:rsid w:val="007B49E0"/>
    <w:rsid w:val="007B629B"/>
    <w:rsid w:val="007B67F1"/>
    <w:rsid w:val="007B768E"/>
    <w:rsid w:val="007B7A46"/>
    <w:rsid w:val="007C040D"/>
    <w:rsid w:val="007C058B"/>
    <w:rsid w:val="007C0C2D"/>
    <w:rsid w:val="007C1BC5"/>
    <w:rsid w:val="007C2F72"/>
    <w:rsid w:val="007C40B2"/>
    <w:rsid w:val="007C47C6"/>
    <w:rsid w:val="007C5C0D"/>
    <w:rsid w:val="007C7EB6"/>
    <w:rsid w:val="007D19FB"/>
    <w:rsid w:val="007D36AC"/>
    <w:rsid w:val="007D3997"/>
    <w:rsid w:val="007D3F64"/>
    <w:rsid w:val="007D40A6"/>
    <w:rsid w:val="007D42C9"/>
    <w:rsid w:val="007D49F7"/>
    <w:rsid w:val="007D5526"/>
    <w:rsid w:val="007D59E0"/>
    <w:rsid w:val="007D5F94"/>
    <w:rsid w:val="007D60F4"/>
    <w:rsid w:val="007D66F9"/>
    <w:rsid w:val="007D6906"/>
    <w:rsid w:val="007D7950"/>
    <w:rsid w:val="007D7E27"/>
    <w:rsid w:val="007D7EB3"/>
    <w:rsid w:val="007D7F4D"/>
    <w:rsid w:val="007E0F60"/>
    <w:rsid w:val="007E0FC6"/>
    <w:rsid w:val="007E0FEE"/>
    <w:rsid w:val="007E3D15"/>
    <w:rsid w:val="007E47F8"/>
    <w:rsid w:val="007E480C"/>
    <w:rsid w:val="007E598F"/>
    <w:rsid w:val="007E5F0F"/>
    <w:rsid w:val="007E6A36"/>
    <w:rsid w:val="007E6A80"/>
    <w:rsid w:val="007E75C0"/>
    <w:rsid w:val="007E7777"/>
    <w:rsid w:val="007E7BCF"/>
    <w:rsid w:val="007F0494"/>
    <w:rsid w:val="007F0AB8"/>
    <w:rsid w:val="007F0B2B"/>
    <w:rsid w:val="007F0F3B"/>
    <w:rsid w:val="007F1238"/>
    <w:rsid w:val="007F2B2C"/>
    <w:rsid w:val="007F302D"/>
    <w:rsid w:val="007F5D52"/>
    <w:rsid w:val="007F63E1"/>
    <w:rsid w:val="007F6D8C"/>
    <w:rsid w:val="008018DB"/>
    <w:rsid w:val="008019D2"/>
    <w:rsid w:val="00801F3F"/>
    <w:rsid w:val="00802722"/>
    <w:rsid w:val="00803760"/>
    <w:rsid w:val="00804071"/>
    <w:rsid w:val="0080432C"/>
    <w:rsid w:val="00805133"/>
    <w:rsid w:val="0080569A"/>
    <w:rsid w:val="00806FA3"/>
    <w:rsid w:val="00807034"/>
    <w:rsid w:val="008072FD"/>
    <w:rsid w:val="00807427"/>
    <w:rsid w:val="0080761A"/>
    <w:rsid w:val="00807DA2"/>
    <w:rsid w:val="00807E02"/>
    <w:rsid w:val="00807F0F"/>
    <w:rsid w:val="00810B62"/>
    <w:rsid w:val="00811264"/>
    <w:rsid w:val="00812239"/>
    <w:rsid w:val="008126D1"/>
    <w:rsid w:val="00812B7F"/>
    <w:rsid w:val="0081307A"/>
    <w:rsid w:val="008137F8"/>
    <w:rsid w:val="00813EBC"/>
    <w:rsid w:val="0081501A"/>
    <w:rsid w:val="008164FC"/>
    <w:rsid w:val="00816760"/>
    <w:rsid w:val="00816B26"/>
    <w:rsid w:val="008172BA"/>
    <w:rsid w:val="00817938"/>
    <w:rsid w:val="00820345"/>
    <w:rsid w:val="00821BE3"/>
    <w:rsid w:val="00821C85"/>
    <w:rsid w:val="0082239D"/>
    <w:rsid w:val="00823B4A"/>
    <w:rsid w:val="00824D16"/>
    <w:rsid w:val="008255B8"/>
    <w:rsid w:val="008273E6"/>
    <w:rsid w:val="00830EB5"/>
    <w:rsid w:val="008310D7"/>
    <w:rsid w:val="008315EA"/>
    <w:rsid w:val="008318C5"/>
    <w:rsid w:val="008327F0"/>
    <w:rsid w:val="00833ED5"/>
    <w:rsid w:val="00837E5F"/>
    <w:rsid w:val="0084157E"/>
    <w:rsid w:val="00841870"/>
    <w:rsid w:val="008419A1"/>
    <w:rsid w:val="008422CD"/>
    <w:rsid w:val="008436C7"/>
    <w:rsid w:val="00843D56"/>
    <w:rsid w:val="0084446B"/>
    <w:rsid w:val="0084475D"/>
    <w:rsid w:val="00844C69"/>
    <w:rsid w:val="008458AF"/>
    <w:rsid w:val="00845EC0"/>
    <w:rsid w:val="0084645F"/>
    <w:rsid w:val="00846F67"/>
    <w:rsid w:val="00850F11"/>
    <w:rsid w:val="00850F9F"/>
    <w:rsid w:val="00851613"/>
    <w:rsid w:val="00851DB3"/>
    <w:rsid w:val="00851F85"/>
    <w:rsid w:val="0085217B"/>
    <w:rsid w:val="0085224E"/>
    <w:rsid w:val="00853C36"/>
    <w:rsid w:val="00854A8D"/>
    <w:rsid w:val="00856718"/>
    <w:rsid w:val="00856F41"/>
    <w:rsid w:val="0085709A"/>
    <w:rsid w:val="00857C3A"/>
    <w:rsid w:val="008604CB"/>
    <w:rsid w:val="008618F8"/>
    <w:rsid w:val="00861D1A"/>
    <w:rsid w:val="008629B1"/>
    <w:rsid w:val="00862BA6"/>
    <w:rsid w:val="008634C1"/>
    <w:rsid w:val="00863716"/>
    <w:rsid w:val="00867221"/>
    <w:rsid w:val="00867367"/>
    <w:rsid w:val="008676AC"/>
    <w:rsid w:val="00867CDE"/>
    <w:rsid w:val="00870033"/>
    <w:rsid w:val="0087073E"/>
    <w:rsid w:val="00871A43"/>
    <w:rsid w:val="008728CD"/>
    <w:rsid w:val="00872D50"/>
    <w:rsid w:val="00872D58"/>
    <w:rsid w:val="00872F95"/>
    <w:rsid w:val="00874591"/>
    <w:rsid w:val="00876EB0"/>
    <w:rsid w:val="0087726D"/>
    <w:rsid w:val="00877D50"/>
    <w:rsid w:val="00880AE9"/>
    <w:rsid w:val="00881115"/>
    <w:rsid w:val="00881AA4"/>
    <w:rsid w:val="0088214C"/>
    <w:rsid w:val="00882336"/>
    <w:rsid w:val="00882F47"/>
    <w:rsid w:val="008839BA"/>
    <w:rsid w:val="00883D1E"/>
    <w:rsid w:val="00884B34"/>
    <w:rsid w:val="0088593E"/>
    <w:rsid w:val="00886E2F"/>
    <w:rsid w:val="0089156D"/>
    <w:rsid w:val="00891C6C"/>
    <w:rsid w:val="00891D31"/>
    <w:rsid w:val="00892AF8"/>
    <w:rsid w:val="0089305B"/>
    <w:rsid w:val="00893A94"/>
    <w:rsid w:val="00894E5D"/>
    <w:rsid w:val="00895603"/>
    <w:rsid w:val="00895ABA"/>
    <w:rsid w:val="00896042"/>
    <w:rsid w:val="00896F91"/>
    <w:rsid w:val="0089778E"/>
    <w:rsid w:val="008A0895"/>
    <w:rsid w:val="008A0938"/>
    <w:rsid w:val="008A1949"/>
    <w:rsid w:val="008A1A01"/>
    <w:rsid w:val="008A1E0E"/>
    <w:rsid w:val="008A2948"/>
    <w:rsid w:val="008A33DC"/>
    <w:rsid w:val="008A36B2"/>
    <w:rsid w:val="008A3F45"/>
    <w:rsid w:val="008A4CD0"/>
    <w:rsid w:val="008A5516"/>
    <w:rsid w:val="008A6105"/>
    <w:rsid w:val="008A6A7D"/>
    <w:rsid w:val="008A6F22"/>
    <w:rsid w:val="008A70D2"/>
    <w:rsid w:val="008A7969"/>
    <w:rsid w:val="008B1C7D"/>
    <w:rsid w:val="008B249F"/>
    <w:rsid w:val="008B3274"/>
    <w:rsid w:val="008B3B07"/>
    <w:rsid w:val="008B3DFA"/>
    <w:rsid w:val="008B597E"/>
    <w:rsid w:val="008B6BF6"/>
    <w:rsid w:val="008B7D0E"/>
    <w:rsid w:val="008C0C46"/>
    <w:rsid w:val="008C162A"/>
    <w:rsid w:val="008C20F0"/>
    <w:rsid w:val="008C2539"/>
    <w:rsid w:val="008C2F9C"/>
    <w:rsid w:val="008C3404"/>
    <w:rsid w:val="008C3680"/>
    <w:rsid w:val="008C455E"/>
    <w:rsid w:val="008C524C"/>
    <w:rsid w:val="008C70A8"/>
    <w:rsid w:val="008C7518"/>
    <w:rsid w:val="008C7714"/>
    <w:rsid w:val="008D1AB9"/>
    <w:rsid w:val="008D1BBC"/>
    <w:rsid w:val="008D1F91"/>
    <w:rsid w:val="008D3107"/>
    <w:rsid w:val="008D3241"/>
    <w:rsid w:val="008D3655"/>
    <w:rsid w:val="008D3877"/>
    <w:rsid w:val="008D3DC6"/>
    <w:rsid w:val="008D4584"/>
    <w:rsid w:val="008D4D52"/>
    <w:rsid w:val="008D59D7"/>
    <w:rsid w:val="008D6501"/>
    <w:rsid w:val="008D70B7"/>
    <w:rsid w:val="008D7DA1"/>
    <w:rsid w:val="008E04F6"/>
    <w:rsid w:val="008E1324"/>
    <w:rsid w:val="008E1444"/>
    <w:rsid w:val="008E1623"/>
    <w:rsid w:val="008E2110"/>
    <w:rsid w:val="008E282A"/>
    <w:rsid w:val="008E3216"/>
    <w:rsid w:val="008E3796"/>
    <w:rsid w:val="008E3A36"/>
    <w:rsid w:val="008E3DA7"/>
    <w:rsid w:val="008E5E2B"/>
    <w:rsid w:val="008E5F80"/>
    <w:rsid w:val="008E71CA"/>
    <w:rsid w:val="008E7489"/>
    <w:rsid w:val="008E78EB"/>
    <w:rsid w:val="008E7F89"/>
    <w:rsid w:val="008F0525"/>
    <w:rsid w:val="008F067D"/>
    <w:rsid w:val="008F1850"/>
    <w:rsid w:val="008F1DF5"/>
    <w:rsid w:val="008F2566"/>
    <w:rsid w:val="008F4270"/>
    <w:rsid w:val="008F5126"/>
    <w:rsid w:val="008F5C6B"/>
    <w:rsid w:val="008F6345"/>
    <w:rsid w:val="0090086F"/>
    <w:rsid w:val="00900D30"/>
    <w:rsid w:val="00900E19"/>
    <w:rsid w:val="00901654"/>
    <w:rsid w:val="00901FAF"/>
    <w:rsid w:val="00901FD5"/>
    <w:rsid w:val="00902329"/>
    <w:rsid w:val="00903253"/>
    <w:rsid w:val="00903501"/>
    <w:rsid w:val="0090361E"/>
    <w:rsid w:val="00903CC9"/>
    <w:rsid w:val="00904412"/>
    <w:rsid w:val="00905655"/>
    <w:rsid w:val="009064D4"/>
    <w:rsid w:val="009068E9"/>
    <w:rsid w:val="00906C39"/>
    <w:rsid w:val="00906C57"/>
    <w:rsid w:val="00910944"/>
    <w:rsid w:val="00910B47"/>
    <w:rsid w:val="009118FA"/>
    <w:rsid w:val="009142DA"/>
    <w:rsid w:val="00914BFB"/>
    <w:rsid w:val="00914F5E"/>
    <w:rsid w:val="00915766"/>
    <w:rsid w:val="00915DD2"/>
    <w:rsid w:val="00915E83"/>
    <w:rsid w:val="0091649E"/>
    <w:rsid w:val="00916AF6"/>
    <w:rsid w:val="00917139"/>
    <w:rsid w:val="0091741F"/>
    <w:rsid w:val="0092026F"/>
    <w:rsid w:val="0092137A"/>
    <w:rsid w:val="00921A48"/>
    <w:rsid w:val="00923171"/>
    <w:rsid w:val="009232D1"/>
    <w:rsid w:val="00923AB6"/>
    <w:rsid w:val="00923AE1"/>
    <w:rsid w:val="00926A02"/>
    <w:rsid w:val="00927606"/>
    <w:rsid w:val="0093051D"/>
    <w:rsid w:val="009306BC"/>
    <w:rsid w:val="00930773"/>
    <w:rsid w:val="009323BF"/>
    <w:rsid w:val="009325F2"/>
    <w:rsid w:val="009333DF"/>
    <w:rsid w:val="009336B4"/>
    <w:rsid w:val="00934B51"/>
    <w:rsid w:val="00934EB6"/>
    <w:rsid w:val="00935494"/>
    <w:rsid w:val="00936A9E"/>
    <w:rsid w:val="00937417"/>
    <w:rsid w:val="009408A3"/>
    <w:rsid w:val="00940ABC"/>
    <w:rsid w:val="0094241C"/>
    <w:rsid w:val="00943C06"/>
    <w:rsid w:val="0094521A"/>
    <w:rsid w:val="009453C3"/>
    <w:rsid w:val="009456F3"/>
    <w:rsid w:val="00946343"/>
    <w:rsid w:val="00946778"/>
    <w:rsid w:val="0094790A"/>
    <w:rsid w:val="009479BA"/>
    <w:rsid w:val="009479E1"/>
    <w:rsid w:val="00947BB2"/>
    <w:rsid w:val="00947BDD"/>
    <w:rsid w:val="00950399"/>
    <w:rsid w:val="009512C4"/>
    <w:rsid w:val="0095150F"/>
    <w:rsid w:val="00952331"/>
    <w:rsid w:val="00953543"/>
    <w:rsid w:val="00954361"/>
    <w:rsid w:val="00954BFB"/>
    <w:rsid w:val="00955355"/>
    <w:rsid w:val="00955561"/>
    <w:rsid w:val="009564F2"/>
    <w:rsid w:val="00956579"/>
    <w:rsid w:val="0095667D"/>
    <w:rsid w:val="00956961"/>
    <w:rsid w:val="00956D1A"/>
    <w:rsid w:val="009578FE"/>
    <w:rsid w:val="0096191C"/>
    <w:rsid w:val="00962296"/>
    <w:rsid w:val="009626C9"/>
    <w:rsid w:val="009629F5"/>
    <w:rsid w:val="00962E76"/>
    <w:rsid w:val="0096329B"/>
    <w:rsid w:val="00963A87"/>
    <w:rsid w:val="009662BE"/>
    <w:rsid w:val="00967394"/>
    <w:rsid w:val="009673FD"/>
    <w:rsid w:val="009703A1"/>
    <w:rsid w:val="00971CFF"/>
    <w:rsid w:val="00971F1A"/>
    <w:rsid w:val="009729B4"/>
    <w:rsid w:val="00973968"/>
    <w:rsid w:val="0097400B"/>
    <w:rsid w:val="0097403F"/>
    <w:rsid w:val="00974EB1"/>
    <w:rsid w:val="00974F95"/>
    <w:rsid w:val="00975292"/>
    <w:rsid w:val="00976B1B"/>
    <w:rsid w:val="0098024E"/>
    <w:rsid w:val="009826A0"/>
    <w:rsid w:val="00983341"/>
    <w:rsid w:val="00985251"/>
    <w:rsid w:val="00985ACC"/>
    <w:rsid w:val="009864E7"/>
    <w:rsid w:val="00987BD5"/>
    <w:rsid w:val="00990905"/>
    <w:rsid w:val="0099157A"/>
    <w:rsid w:val="009920A1"/>
    <w:rsid w:val="00992E50"/>
    <w:rsid w:val="00993094"/>
    <w:rsid w:val="0099410B"/>
    <w:rsid w:val="00994BAF"/>
    <w:rsid w:val="00994E72"/>
    <w:rsid w:val="0099531C"/>
    <w:rsid w:val="009955B7"/>
    <w:rsid w:val="00995C59"/>
    <w:rsid w:val="00997091"/>
    <w:rsid w:val="00997582"/>
    <w:rsid w:val="00997D45"/>
    <w:rsid w:val="00997D7E"/>
    <w:rsid w:val="009A0F42"/>
    <w:rsid w:val="009A179D"/>
    <w:rsid w:val="009A1899"/>
    <w:rsid w:val="009A27F3"/>
    <w:rsid w:val="009A29B9"/>
    <w:rsid w:val="009A4AD5"/>
    <w:rsid w:val="009A5054"/>
    <w:rsid w:val="009A6129"/>
    <w:rsid w:val="009A6928"/>
    <w:rsid w:val="009A6A33"/>
    <w:rsid w:val="009A6A37"/>
    <w:rsid w:val="009A7149"/>
    <w:rsid w:val="009B0040"/>
    <w:rsid w:val="009B1B9B"/>
    <w:rsid w:val="009B1E69"/>
    <w:rsid w:val="009B21A7"/>
    <w:rsid w:val="009B224F"/>
    <w:rsid w:val="009B2BA2"/>
    <w:rsid w:val="009B328F"/>
    <w:rsid w:val="009B36C1"/>
    <w:rsid w:val="009B3C1F"/>
    <w:rsid w:val="009B673F"/>
    <w:rsid w:val="009B6ECE"/>
    <w:rsid w:val="009B70B1"/>
    <w:rsid w:val="009B7880"/>
    <w:rsid w:val="009C06C6"/>
    <w:rsid w:val="009C0775"/>
    <w:rsid w:val="009C0955"/>
    <w:rsid w:val="009C1477"/>
    <w:rsid w:val="009C2752"/>
    <w:rsid w:val="009C2C22"/>
    <w:rsid w:val="009C2D39"/>
    <w:rsid w:val="009C48C8"/>
    <w:rsid w:val="009C58A6"/>
    <w:rsid w:val="009C5D07"/>
    <w:rsid w:val="009C6297"/>
    <w:rsid w:val="009C7A3B"/>
    <w:rsid w:val="009D0362"/>
    <w:rsid w:val="009D0AE7"/>
    <w:rsid w:val="009D1EEC"/>
    <w:rsid w:val="009D1F28"/>
    <w:rsid w:val="009D2ACC"/>
    <w:rsid w:val="009D320B"/>
    <w:rsid w:val="009D32DB"/>
    <w:rsid w:val="009D3BB1"/>
    <w:rsid w:val="009D4AD4"/>
    <w:rsid w:val="009D6439"/>
    <w:rsid w:val="009D7145"/>
    <w:rsid w:val="009E12A6"/>
    <w:rsid w:val="009E19E4"/>
    <w:rsid w:val="009E1B19"/>
    <w:rsid w:val="009E2006"/>
    <w:rsid w:val="009E20A1"/>
    <w:rsid w:val="009E2A95"/>
    <w:rsid w:val="009E2BDE"/>
    <w:rsid w:val="009E364A"/>
    <w:rsid w:val="009E3F4F"/>
    <w:rsid w:val="009E51C2"/>
    <w:rsid w:val="009E54CB"/>
    <w:rsid w:val="009E6167"/>
    <w:rsid w:val="009E6956"/>
    <w:rsid w:val="009E6B71"/>
    <w:rsid w:val="009E6F32"/>
    <w:rsid w:val="009E7277"/>
    <w:rsid w:val="009E77F0"/>
    <w:rsid w:val="009E787F"/>
    <w:rsid w:val="009E7AF5"/>
    <w:rsid w:val="009E7C80"/>
    <w:rsid w:val="009E7EB2"/>
    <w:rsid w:val="009F0164"/>
    <w:rsid w:val="009F0D71"/>
    <w:rsid w:val="009F1BDC"/>
    <w:rsid w:val="009F392B"/>
    <w:rsid w:val="009F3995"/>
    <w:rsid w:val="009F3B56"/>
    <w:rsid w:val="009F46F1"/>
    <w:rsid w:val="009F4A85"/>
    <w:rsid w:val="009F4BC1"/>
    <w:rsid w:val="009F5C71"/>
    <w:rsid w:val="009F6A13"/>
    <w:rsid w:val="009F7E15"/>
    <w:rsid w:val="009F7F96"/>
    <w:rsid w:val="00A02074"/>
    <w:rsid w:val="00A025D5"/>
    <w:rsid w:val="00A02B6A"/>
    <w:rsid w:val="00A02C76"/>
    <w:rsid w:val="00A030E1"/>
    <w:rsid w:val="00A03EC3"/>
    <w:rsid w:val="00A0461F"/>
    <w:rsid w:val="00A047A7"/>
    <w:rsid w:val="00A04A34"/>
    <w:rsid w:val="00A051B0"/>
    <w:rsid w:val="00A05317"/>
    <w:rsid w:val="00A06A23"/>
    <w:rsid w:val="00A07E9A"/>
    <w:rsid w:val="00A112BA"/>
    <w:rsid w:val="00A11D3C"/>
    <w:rsid w:val="00A120B3"/>
    <w:rsid w:val="00A12C38"/>
    <w:rsid w:val="00A1317A"/>
    <w:rsid w:val="00A131BB"/>
    <w:rsid w:val="00A131D0"/>
    <w:rsid w:val="00A1350E"/>
    <w:rsid w:val="00A136B2"/>
    <w:rsid w:val="00A14978"/>
    <w:rsid w:val="00A159BF"/>
    <w:rsid w:val="00A15EB0"/>
    <w:rsid w:val="00A16143"/>
    <w:rsid w:val="00A17423"/>
    <w:rsid w:val="00A20A3D"/>
    <w:rsid w:val="00A211BB"/>
    <w:rsid w:val="00A21E00"/>
    <w:rsid w:val="00A21F32"/>
    <w:rsid w:val="00A222BE"/>
    <w:rsid w:val="00A22809"/>
    <w:rsid w:val="00A23B7D"/>
    <w:rsid w:val="00A249F0"/>
    <w:rsid w:val="00A25AF4"/>
    <w:rsid w:val="00A26021"/>
    <w:rsid w:val="00A27731"/>
    <w:rsid w:val="00A27887"/>
    <w:rsid w:val="00A3039F"/>
    <w:rsid w:val="00A30870"/>
    <w:rsid w:val="00A32BAB"/>
    <w:rsid w:val="00A33187"/>
    <w:rsid w:val="00A33207"/>
    <w:rsid w:val="00A3323D"/>
    <w:rsid w:val="00A33AC1"/>
    <w:rsid w:val="00A344ED"/>
    <w:rsid w:val="00A34C60"/>
    <w:rsid w:val="00A35E11"/>
    <w:rsid w:val="00A36000"/>
    <w:rsid w:val="00A36263"/>
    <w:rsid w:val="00A36D84"/>
    <w:rsid w:val="00A375B1"/>
    <w:rsid w:val="00A377E5"/>
    <w:rsid w:val="00A401C3"/>
    <w:rsid w:val="00A40A27"/>
    <w:rsid w:val="00A40EED"/>
    <w:rsid w:val="00A42D75"/>
    <w:rsid w:val="00A42F45"/>
    <w:rsid w:val="00A43481"/>
    <w:rsid w:val="00A43B40"/>
    <w:rsid w:val="00A44087"/>
    <w:rsid w:val="00A44450"/>
    <w:rsid w:val="00A44652"/>
    <w:rsid w:val="00A45729"/>
    <w:rsid w:val="00A45A04"/>
    <w:rsid w:val="00A47C47"/>
    <w:rsid w:val="00A47FA7"/>
    <w:rsid w:val="00A508E1"/>
    <w:rsid w:val="00A51A5E"/>
    <w:rsid w:val="00A51D35"/>
    <w:rsid w:val="00A52195"/>
    <w:rsid w:val="00A5244A"/>
    <w:rsid w:val="00A53305"/>
    <w:rsid w:val="00A53BC7"/>
    <w:rsid w:val="00A54F72"/>
    <w:rsid w:val="00A56092"/>
    <w:rsid w:val="00A570E7"/>
    <w:rsid w:val="00A629EB"/>
    <w:rsid w:val="00A63389"/>
    <w:rsid w:val="00A6481A"/>
    <w:rsid w:val="00A652ED"/>
    <w:rsid w:val="00A66846"/>
    <w:rsid w:val="00A6684D"/>
    <w:rsid w:val="00A717CD"/>
    <w:rsid w:val="00A73789"/>
    <w:rsid w:val="00A73B72"/>
    <w:rsid w:val="00A744B9"/>
    <w:rsid w:val="00A74A15"/>
    <w:rsid w:val="00A74BF4"/>
    <w:rsid w:val="00A74F7E"/>
    <w:rsid w:val="00A76AD5"/>
    <w:rsid w:val="00A76DE8"/>
    <w:rsid w:val="00A7754E"/>
    <w:rsid w:val="00A80CF0"/>
    <w:rsid w:val="00A814EF"/>
    <w:rsid w:val="00A81CE4"/>
    <w:rsid w:val="00A82496"/>
    <w:rsid w:val="00A8539C"/>
    <w:rsid w:val="00A86975"/>
    <w:rsid w:val="00A917EE"/>
    <w:rsid w:val="00A92C56"/>
    <w:rsid w:val="00A94171"/>
    <w:rsid w:val="00A942A5"/>
    <w:rsid w:val="00A9430D"/>
    <w:rsid w:val="00A94DF3"/>
    <w:rsid w:val="00A957FF"/>
    <w:rsid w:val="00A95C4A"/>
    <w:rsid w:val="00A95F5F"/>
    <w:rsid w:val="00A963D2"/>
    <w:rsid w:val="00A9743C"/>
    <w:rsid w:val="00A977EB"/>
    <w:rsid w:val="00A979DB"/>
    <w:rsid w:val="00A97A90"/>
    <w:rsid w:val="00AA12C8"/>
    <w:rsid w:val="00AA1350"/>
    <w:rsid w:val="00AA1526"/>
    <w:rsid w:val="00AA1E42"/>
    <w:rsid w:val="00AA1FB0"/>
    <w:rsid w:val="00AA26AC"/>
    <w:rsid w:val="00AA2A91"/>
    <w:rsid w:val="00AA3122"/>
    <w:rsid w:val="00AA36C5"/>
    <w:rsid w:val="00AA5309"/>
    <w:rsid w:val="00AA5560"/>
    <w:rsid w:val="00AB06C7"/>
    <w:rsid w:val="00AB1326"/>
    <w:rsid w:val="00AB145B"/>
    <w:rsid w:val="00AB26E7"/>
    <w:rsid w:val="00AB2AE1"/>
    <w:rsid w:val="00AB3939"/>
    <w:rsid w:val="00AB4459"/>
    <w:rsid w:val="00AB4A19"/>
    <w:rsid w:val="00AB590B"/>
    <w:rsid w:val="00AB5990"/>
    <w:rsid w:val="00AB5B4A"/>
    <w:rsid w:val="00AB5E63"/>
    <w:rsid w:val="00AB635D"/>
    <w:rsid w:val="00AB635E"/>
    <w:rsid w:val="00AB6DDC"/>
    <w:rsid w:val="00AB6E93"/>
    <w:rsid w:val="00AC0584"/>
    <w:rsid w:val="00AC19AB"/>
    <w:rsid w:val="00AC1ACD"/>
    <w:rsid w:val="00AC2A87"/>
    <w:rsid w:val="00AC3045"/>
    <w:rsid w:val="00AC3AEA"/>
    <w:rsid w:val="00AC402D"/>
    <w:rsid w:val="00AC44BC"/>
    <w:rsid w:val="00AC4657"/>
    <w:rsid w:val="00AC5387"/>
    <w:rsid w:val="00AC5889"/>
    <w:rsid w:val="00AC69EB"/>
    <w:rsid w:val="00AC792C"/>
    <w:rsid w:val="00AC7F70"/>
    <w:rsid w:val="00AD068C"/>
    <w:rsid w:val="00AD09A9"/>
    <w:rsid w:val="00AD22F3"/>
    <w:rsid w:val="00AD39F4"/>
    <w:rsid w:val="00AD3A17"/>
    <w:rsid w:val="00AD4595"/>
    <w:rsid w:val="00AD4838"/>
    <w:rsid w:val="00AD4A75"/>
    <w:rsid w:val="00AD5090"/>
    <w:rsid w:val="00AD56BF"/>
    <w:rsid w:val="00AD6611"/>
    <w:rsid w:val="00AD66DA"/>
    <w:rsid w:val="00AD711F"/>
    <w:rsid w:val="00AD7BC9"/>
    <w:rsid w:val="00AE05B3"/>
    <w:rsid w:val="00AE1AFA"/>
    <w:rsid w:val="00AE1E2A"/>
    <w:rsid w:val="00AE1FED"/>
    <w:rsid w:val="00AE2582"/>
    <w:rsid w:val="00AE2644"/>
    <w:rsid w:val="00AE3EF9"/>
    <w:rsid w:val="00AE45B6"/>
    <w:rsid w:val="00AE6923"/>
    <w:rsid w:val="00AE6B62"/>
    <w:rsid w:val="00AE6BC2"/>
    <w:rsid w:val="00AE6FDA"/>
    <w:rsid w:val="00AE741B"/>
    <w:rsid w:val="00AE76A0"/>
    <w:rsid w:val="00AE7C27"/>
    <w:rsid w:val="00AF0B86"/>
    <w:rsid w:val="00AF17DD"/>
    <w:rsid w:val="00AF1899"/>
    <w:rsid w:val="00AF30AB"/>
    <w:rsid w:val="00AF37F5"/>
    <w:rsid w:val="00AF38A0"/>
    <w:rsid w:val="00AF6205"/>
    <w:rsid w:val="00AF6994"/>
    <w:rsid w:val="00AF6B01"/>
    <w:rsid w:val="00AF6CDB"/>
    <w:rsid w:val="00AF769C"/>
    <w:rsid w:val="00AF7B98"/>
    <w:rsid w:val="00B00A7E"/>
    <w:rsid w:val="00B00AD7"/>
    <w:rsid w:val="00B00E24"/>
    <w:rsid w:val="00B01731"/>
    <w:rsid w:val="00B01D1B"/>
    <w:rsid w:val="00B01F02"/>
    <w:rsid w:val="00B01FDF"/>
    <w:rsid w:val="00B02321"/>
    <w:rsid w:val="00B02B95"/>
    <w:rsid w:val="00B037D0"/>
    <w:rsid w:val="00B0466B"/>
    <w:rsid w:val="00B04838"/>
    <w:rsid w:val="00B05088"/>
    <w:rsid w:val="00B06F76"/>
    <w:rsid w:val="00B07E8C"/>
    <w:rsid w:val="00B1165F"/>
    <w:rsid w:val="00B11E0A"/>
    <w:rsid w:val="00B120D3"/>
    <w:rsid w:val="00B148D4"/>
    <w:rsid w:val="00B14D6B"/>
    <w:rsid w:val="00B14FC3"/>
    <w:rsid w:val="00B1511E"/>
    <w:rsid w:val="00B1529C"/>
    <w:rsid w:val="00B162E7"/>
    <w:rsid w:val="00B16D21"/>
    <w:rsid w:val="00B16DA1"/>
    <w:rsid w:val="00B17397"/>
    <w:rsid w:val="00B178B3"/>
    <w:rsid w:val="00B20195"/>
    <w:rsid w:val="00B205C8"/>
    <w:rsid w:val="00B20D1C"/>
    <w:rsid w:val="00B21159"/>
    <w:rsid w:val="00B2178C"/>
    <w:rsid w:val="00B21D5C"/>
    <w:rsid w:val="00B231D2"/>
    <w:rsid w:val="00B24B97"/>
    <w:rsid w:val="00B26DAA"/>
    <w:rsid w:val="00B26ED9"/>
    <w:rsid w:val="00B2792B"/>
    <w:rsid w:val="00B300F4"/>
    <w:rsid w:val="00B30B6D"/>
    <w:rsid w:val="00B31844"/>
    <w:rsid w:val="00B32645"/>
    <w:rsid w:val="00B33570"/>
    <w:rsid w:val="00B33E6B"/>
    <w:rsid w:val="00B34275"/>
    <w:rsid w:val="00B346EF"/>
    <w:rsid w:val="00B3537F"/>
    <w:rsid w:val="00B35CD3"/>
    <w:rsid w:val="00B3792F"/>
    <w:rsid w:val="00B40486"/>
    <w:rsid w:val="00B41192"/>
    <w:rsid w:val="00B42C34"/>
    <w:rsid w:val="00B43B98"/>
    <w:rsid w:val="00B43D22"/>
    <w:rsid w:val="00B43F39"/>
    <w:rsid w:val="00B44079"/>
    <w:rsid w:val="00B44586"/>
    <w:rsid w:val="00B44ECC"/>
    <w:rsid w:val="00B451EE"/>
    <w:rsid w:val="00B460B1"/>
    <w:rsid w:val="00B475EF"/>
    <w:rsid w:val="00B500D7"/>
    <w:rsid w:val="00B50435"/>
    <w:rsid w:val="00B50B93"/>
    <w:rsid w:val="00B51B8F"/>
    <w:rsid w:val="00B52443"/>
    <w:rsid w:val="00B52DA2"/>
    <w:rsid w:val="00B52F32"/>
    <w:rsid w:val="00B53791"/>
    <w:rsid w:val="00B539D6"/>
    <w:rsid w:val="00B53D9A"/>
    <w:rsid w:val="00B53F27"/>
    <w:rsid w:val="00B542F0"/>
    <w:rsid w:val="00B54B4E"/>
    <w:rsid w:val="00B55F48"/>
    <w:rsid w:val="00B577B7"/>
    <w:rsid w:val="00B61A71"/>
    <w:rsid w:val="00B62226"/>
    <w:rsid w:val="00B625B4"/>
    <w:rsid w:val="00B62B3F"/>
    <w:rsid w:val="00B632F1"/>
    <w:rsid w:val="00B63F30"/>
    <w:rsid w:val="00B6483B"/>
    <w:rsid w:val="00B671CF"/>
    <w:rsid w:val="00B67B0F"/>
    <w:rsid w:val="00B67CB7"/>
    <w:rsid w:val="00B67D67"/>
    <w:rsid w:val="00B70AC1"/>
    <w:rsid w:val="00B718B1"/>
    <w:rsid w:val="00B71984"/>
    <w:rsid w:val="00B71A4D"/>
    <w:rsid w:val="00B73040"/>
    <w:rsid w:val="00B73D44"/>
    <w:rsid w:val="00B73F24"/>
    <w:rsid w:val="00B75235"/>
    <w:rsid w:val="00B7660C"/>
    <w:rsid w:val="00B7668C"/>
    <w:rsid w:val="00B77695"/>
    <w:rsid w:val="00B776C7"/>
    <w:rsid w:val="00B80F0B"/>
    <w:rsid w:val="00B8166B"/>
    <w:rsid w:val="00B82051"/>
    <w:rsid w:val="00B82054"/>
    <w:rsid w:val="00B82778"/>
    <w:rsid w:val="00B82C88"/>
    <w:rsid w:val="00B83D8A"/>
    <w:rsid w:val="00B849F4"/>
    <w:rsid w:val="00B8575B"/>
    <w:rsid w:val="00B85B65"/>
    <w:rsid w:val="00B85EF2"/>
    <w:rsid w:val="00B87621"/>
    <w:rsid w:val="00B900A9"/>
    <w:rsid w:val="00B9168B"/>
    <w:rsid w:val="00B9177C"/>
    <w:rsid w:val="00B92C60"/>
    <w:rsid w:val="00B9361A"/>
    <w:rsid w:val="00B93B03"/>
    <w:rsid w:val="00B93E23"/>
    <w:rsid w:val="00B949A0"/>
    <w:rsid w:val="00B94F58"/>
    <w:rsid w:val="00B9537C"/>
    <w:rsid w:val="00B95600"/>
    <w:rsid w:val="00B9716B"/>
    <w:rsid w:val="00BA0141"/>
    <w:rsid w:val="00BA0DB3"/>
    <w:rsid w:val="00BA17EB"/>
    <w:rsid w:val="00BA2FC1"/>
    <w:rsid w:val="00BA3DB7"/>
    <w:rsid w:val="00BA4340"/>
    <w:rsid w:val="00BA4CA8"/>
    <w:rsid w:val="00BA5058"/>
    <w:rsid w:val="00BA6FF7"/>
    <w:rsid w:val="00BA74A1"/>
    <w:rsid w:val="00BA7B79"/>
    <w:rsid w:val="00BA7E20"/>
    <w:rsid w:val="00BA7E95"/>
    <w:rsid w:val="00BA7F14"/>
    <w:rsid w:val="00BB1EC3"/>
    <w:rsid w:val="00BB38BD"/>
    <w:rsid w:val="00BB3BEB"/>
    <w:rsid w:val="00BB4EC5"/>
    <w:rsid w:val="00BB6939"/>
    <w:rsid w:val="00BB73E1"/>
    <w:rsid w:val="00BB7C95"/>
    <w:rsid w:val="00BC1084"/>
    <w:rsid w:val="00BC10D9"/>
    <w:rsid w:val="00BC130D"/>
    <w:rsid w:val="00BC146E"/>
    <w:rsid w:val="00BC1C03"/>
    <w:rsid w:val="00BC4E10"/>
    <w:rsid w:val="00BC620D"/>
    <w:rsid w:val="00BC6519"/>
    <w:rsid w:val="00BC6F31"/>
    <w:rsid w:val="00BD0E79"/>
    <w:rsid w:val="00BD302C"/>
    <w:rsid w:val="00BD3827"/>
    <w:rsid w:val="00BD3884"/>
    <w:rsid w:val="00BD3E3E"/>
    <w:rsid w:val="00BD50BB"/>
    <w:rsid w:val="00BD5729"/>
    <w:rsid w:val="00BD6195"/>
    <w:rsid w:val="00BD775F"/>
    <w:rsid w:val="00BD7C9C"/>
    <w:rsid w:val="00BE06F4"/>
    <w:rsid w:val="00BE1764"/>
    <w:rsid w:val="00BE1C4F"/>
    <w:rsid w:val="00BE1C50"/>
    <w:rsid w:val="00BE2233"/>
    <w:rsid w:val="00BE2659"/>
    <w:rsid w:val="00BE2D1B"/>
    <w:rsid w:val="00BE3332"/>
    <w:rsid w:val="00BE3337"/>
    <w:rsid w:val="00BE4F79"/>
    <w:rsid w:val="00BE5477"/>
    <w:rsid w:val="00BE5528"/>
    <w:rsid w:val="00BE56CC"/>
    <w:rsid w:val="00BE6304"/>
    <w:rsid w:val="00BE79C4"/>
    <w:rsid w:val="00BE7AD4"/>
    <w:rsid w:val="00BF10E8"/>
    <w:rsid w:val="00BF2714"/>
    <w:rsid w:val="00BF28A2"/>
    <w:rsid w:val="00BF2ED6"/>
    <w:rsid w:val="00BF2F02"/>
    <w:rsid w:val="00BF3536"/>
    <w:rsid w:val="00BF386F"/>
    <w:rsid w:val="00BF3EA5"/>
    <w:rsid w:val="00BF42BD"/>
    <w:rsid w:val="00BF5447"/>
    <w:rsid w:val="00BF54EA"/>
    <w:rsid w:val="00BF5745"/>
    <w:rsid w:val="00C008A6"/>
    <w:rsid w:val="00C01238"/>
    <w:rsid w:val="00C01ED6"/>
    <w:rsid w:val="00C02473"/>
    <w:rsid w:val="00C029F5"/>
    <w:rsid w:val="00C03BD1"/>
    <w:rsid w:val="00C04F75"/>
    <w:rsid w:val="00C05100"/>
    <w:rsid w:val="00C05707"/>
    <w:rsid w:val="00C058B1"/>
    <w:rsid w:val="00C10711"/>
    <w:rsid w:val="00C11C0D"/>
    <w:rsid w:val="00C12056"/>
    <w:rsid w:val="00C121E4"/>
    <w:rsid w:val="00C12798"/>
    <w:rsid w:val="00C12C2B"/>
    <w:rsid w:val="00C12EA9"/>
    <w:rsid w:val="00C134AF"/>
    <w:rsid w:val="00C13947"/>
    <w:rsid w:val="00C14221"/>
    <w:rsid w:val="00C1560B"/>
    <w:rsid w:val="00C15AF5"/>
    <w:rsid w:val="00C15C97"/>
    <w:rsid w:val="00C15D9C"/>
    <w:rsid w:val="00C1606C"/>
    <w:rsid w:val="00C16195"/>
    <w:rsid w:val="00C164C4"/>
    <w:rsid w:val="00C174BD"/>
    <w:rsid w:val="00C1768C"/>
    <w:rsid w:val="00C20F3E"/>
    <w:rsid w:val="00C21919"/>
    <w:rsid w:val="00C223C1"/>
    <w:rsid w:val="00C22A0D"/>
    <w:rsid w:val="00C258DB"/>
    <w:rsid w:val="00C25A1F"/>
    <w:rsid w:val="00C26325"/>
    <w:rsid w:val="00C26F1C"/>
    <w:rsid w:val="00C27740"/>
    <w:rsid w:val="00C27B75"/>
    <w:rsid w:val="00C31100"/>
    <w:rsid w:val="00C31A02"/>
    <w:rsid w:val="00C323F9"/>
    <w:rsid w:val="00C329D1"/>
    <w:rsid w:val="00C32CC7"/>
    <w:rsid w:val="00C32E22"/>
    <w:rsid w:val="00C32EA0"/>
    <w:rsid w:val="00C330E6"/>
    <w:rsid w:val="00C33F25"/>
    <w:rsid w:val="00C359FC"/>
    <w:rsid w:val="00C35AE2"/>
    <w:rsid w:val="00C35ECA"/>
    <w:rsid w:val="00C3658F"/>
    <w:rsid w:val="00C36FC5"/>
    <w:rsid w:val="00C37336"/>
    <w:rsid w:val="00C3736C"/>
    <w:rsid w:val="00C37620"/>
    <w:rsid w:val="00C40DE6"/>
    <w:rsid w:val="00C41496"/>
    <w:rsid w:val="00C42430"/>
    <w:rsid w:val="00C42ABB"/>
    <w:rsid w:val="00C42F63"/>
    <w:rsid w:val="00C43C02"/>
    <w:rsid w:val="00C46231"/>
    <w:rsid w:val="00C4729B"/>
    <w:rsid w:val="00C50450"/>
    <w:rsid w:val="00C51000"/>
    <w:rsid w:val="00C5119A"/>
    <w:rsid w:val="00C545C7"/>
    <w:rsid w:val="00C546E6"/>
    <w:rsid w:val="00C555AB"/>
    <w:rsid w:val="00C56700"/>
    <w:rsid w:val="00C56AAE"/>
    <w:rsid w:val="00C56BA4"/>
    <w:rsid w:val="00C572E5"/>
    <w:rsid w:val="00C57441"/>
    <w:rsid w:val="00C601AF"/>
    <w:rsid w:val="00C61079"/>
    <w:rsid w:val="00C6196C"/>
    <w:rsid w:val="00C627F3"/>
    <w:rsid w:val="00C62EA6"/>
    <w:rsid w:val="00C63250"/>
    <w:rsid w:val="00C640FB"/>
    <w:rsid w:val="00C64ACD"/>
    <w:rsid w:val="00C65276"/>
    <w:rsid w:val="00C65461"/>
    <w:rsid w:val="00C669C1"/>
    <w:rsid w:val="00C67584"/>
    <w:rsid w:val="00C70ECB"/>
    <w:rsid w:val="00C71AA8"/>
    <w:rsid w:val="00C71E05"/>
    <w:rsid w:val="00C72EC7"/>
    <w:rsid w:val="00C735C0"/>
    <w:rsid w:val="00C751EB"/>
    <w:rsid w:val="00C75858"/>
    <w:rsid w:val="00C75ACE"/>
    <w:rsid w:val="00C76991"/>
    <w:rsid w:val="00C800E4"/>
    <w:rsid w:val="00C808D9"/>
    <w:rsid w:val="00C80B1D"/>
    <w:rsid w:val="00C81303"/>
    <w:rsid w:val="00C813FD"/>
    <w:rsid w:val="00C840BF"/>
    <w:rsid w:val="00C84253"/>
    <w:rsid w:val="00C844A3"/>
    <w:rsid w:val="00C84C47"/>
    <w:rsid w:val="00C87ABD"/>
    <w:rsid w:val="00C87AF5"/>
    <w:rsid w:val="00C90362"/>
    <w:rsid w:val="00C904CC"/>
    <w:rsid w:val="00C91AAA"/>
    <w:rsid w:val="00C92AB3"/>
    <w:rsid w:val="00C92D68"/>
    <w:rsid w:val="00C93838"/>
    <w:rsid w:val="00C94D07"/>
    <w:rsid w:val="00C95206"/>
    <w:rsid w:val="00C95FF8"/>
    <w:rsid w:val="00C96995"/>
    <w:rsid w:val="00C96C4F"/>
    <w:rsid w:val="00C97EBD"/>
    <w:rsid w:val="00C97EE2"/>
    <w:rsid w:val="00CA0303"/>
    <w:rsid w:val="00CA06F6"/>
    <w:rsid w:val="00CA1024"/>
    <w:rsid w:val="00CA22A2"/>
    <w:rsid w:val="00CA260D"/>
    <w:rsid w:val="00CA2804"/>
    <w:rsid w:val="00CA31E5"/>
    <w:rsid w:val="00CA334F"/>
    <w:rsid w:val="00CA44AD"/>
    <w:rsid w:val="00CA44B5"/>
    <w:rsid w:val="00CA4CA6"/>
    <w:rsid w:val="00CA5074"/>
    <w:rsid w:val="00CA5BF2"/>
    <w:rsid w:val="00CA720A"/>
    <w:rsid w:val="00CA7233"/>
    <w:rsid w:val="00CA74AC"/>
    <w:rsid w:val="00CA7CA5"/>
    <w:rsid w:val="00CB074B"/>
    <w:rsid w:val="00CB0D40"/>
    <w:rsid w:val="00CB1DF3"/>
    <w:rsid w:val="00CB2686"/>
    <w:rsid w:val="00CB2EE7"/>
    <w:rsid w:val="00CB2FE7"/>
    <w:rsid w:val="00CB4266"/>
    <w:rsid w:val="00CB4D36"/>
    <w:rsid w:val="00CB4ECD"/>
    <w:rsid w:val="00CB50B0"/>
    <w:rsid w:val="00CB6597"/>
    <w:rsid w:val="00CB6747"/>
    <w:rsid w:val="00CB761F"/>
    <w:rsid w:val="00CB7CAF"/>
    <w:rsid w:val="00CC03EC"/>
    <w:rsid w:val="00CC0A7A"/>
    <w:rsid w:val="00CC2610"/>
    <w:rsid w:val="00CC382B"/>
    <w:rsid w:val="00CC3E46"/>
    <w:rsid w:val="00CC3E80"/>
    <w:rsid w:val="00CC499A"/>
    <w:rsid w:val="00CC4F18"/>
    <w:rsid w:val="00CC5941"/>
    <w:rsid w:val="00CC5B4C"/>
    <w:rsid w:val="00CC5EE1"/>
    <w:rsid w:val="00CC6D99"/>
    <w:rsid w:val="00CC7E8E"/>
    <w:rsid w:val="00CD0142"/>
    <w:rsid w:val="00CD054E"/>
    <w:rsid w:val="00CD1825"/>
    <w:rsid w:val="00CD227F"/>
    <w:rsid w:val="00CD22F2"/>
    <w:rsid w:val="00CD454A"/>
    <w:rsid w:val="00CD4B69"/>
    <w:rsid w:val="00CD730E"/>
    <w:rsid w:val="00CE0038"/>
    <w:rsid w:val="00CE028A"/>
    <w:rsid w:val="00CE0333"/>
    <w:rsid w:val="00CE04CC"/>
    <w:rsid w:val="00CE0529"/>
    <w:rsid w:val="00CE0C50"/>
    <w:rsid w:val="00CE3810"/>
    <w:rsid w:val="00CE5706"/>
    <w:rsid w:val="00CE7A9A"/>
    <w:rsid w:val="00CF1097"/>
    <w:rsid w:val="00CF1F82"/>
    <w:rsid w:val="00CF2AE3"/>
    <w:rsid w:val="00CF4319"/>
    <w:rsid w:val="00CF491E"/>
    <w:rsid w:val="00CF4D93"/>
    <w:rsid w:val="00CF53D0"/>
    <w:rsid w:val="00CF5DBA"/>
    <w:rsid w:val="00CF6008"/>
    <w:rsid w:val="00CF6B5D"/>
    <w:rsid w:val="00CF7424"/>
    <w:rsid w:val="00CF7579"/>
    <w:rsid w:val="00CF7741"/>
    <w:rsid w:val="00D00841"/>
    <w:rsid w:val="00D01414"/>
    <w:rsid w:val="00D0151F"/>
    <w:rsid w:val="00D019CB"/>
    <w:rsid w:val="00D02C4E"/>
    <w:rsid w:val="00D03080"/>
    <w:rsid w:val="00D034A2"/>
    <w:rsid w:val="00D037FE"/>
    <w:rsid w:val="00D06707"/>
    <w:rsid w:val="00D07FC0"/>
    <w:rsid w:val="00D104BE"/>
    <w:rsid w:val="00D1196F"/>
    <w:rsid w:val="00D11EA7"/>
    <w:rsid w:val="00D12576"/>
    <w:rsid w:val="00D133B6"/>
    <w:rsid w:val="00D14B54"/>
    <w:rsid w:val="00D14BD3"/>
    <w:rsid w:val="00D14E4A"/>
    <w:rsid w:val="00D15524"/>
    <w:rsid w:val="00D15ADD"/>
    <w:rsid w:val="00D164A7"/>
    <w:rsid w:val="00D2120C"/>
    <w:rsid w:val="00D215AE"/>
    <w:rsid w:val="00D21C9B"/>
    <w:rsid w:val="00D23A10"/>
    <w:rsid w:val="00D24367"/>
    <w:rsid w:val="00D25568"/>
    <w:rsid w:val="00D2578D"/>
    <w:rsid w:val="00D26D71"/>
    <w:rsid w:val="00D26FEC"/>
    <w:rsid w:val="00D2738E"/>
    <w:rsid w:val="00D30693"/>
    <w:rsid w:val="00D30AC3"/>
    <w:rsid w:val="00D31CF3"/>
    <w:rsid w:val="00D31F71"/>
    <w:rsid w:val="00D32A33"/>
    <w:rsid w:val="00D33726"/>
    <w:rsid w:val="00D344D6"/>
    <w:rsid w:val="00D34D14"/>
    <w:rsid w:val="00D35147"/>
    <w:rsid w:val="00D376DB"/>
    <w:rsid w:val="00D379AD"/>
    <w:rsid w:val="00D40CF1"/>
    <w:rsid w:val="00D42864"/>
    <w:rsid w:val="00D435B6"/>
    <w:rsid w:val="00D44220"/>
    <w:rsid w:val="00D44B63"/>
    <w:rsid w:val="00D45546"/>
    <w:rsid w:val="00D45777"/>
    <w:rsid w:val="00D45F32"/>
    <w:rsid w:val="00D46939"/>
    <w:rsid w:val="00D47AD1"/>
    <w:rsid w:val="00D47BD1"/>
    <w:rsid w:val="00D47C03"/>
    <w:rsid w:val="00D5136D"/>
    <w:rsid w:val="00D51EAB"/>
    <w:rsid w:val="00D52277"/>
    <w:rsid w:val="00D526FA"/>
    <w:rsid w:val="00D528EF"/>
    <w:rsid w:val="00D5329E"/>
    <w:rsid w:val="00D53345"/>
    <w:rsid w:val="00D5335C"/>
    <w:rsid w:val="00D53737"/>
    <w:rsid w:val="00D539C5"/>
    <w:rsid w:val="00D54113"/>
    <w:rsid w:val="00D559BD"/>
    <w:rsid w:val="00D55A25"/>
    <w:rsid w:val="00D55A78"/>
    <w:rsid w:val="00D562C5"/>
    <w:rsid w:val="00D5672D"/>
    <w:rsid w:val="00D56885"/>
    <w:rsid w:val="00D56E4A"/>
    <w:rsid w:val="00D56EDF"/>
    <w:rsid w:val="00D570E5"/>
    <w:rsid w:val="00D577EF"/>
    <w:rsid w:val="00D5792B"/>
    <w:rsid w:val="00D57A29"/>
    <w:rsid w:val="00D57B79"/>
    <w:rsid w:val="00D60C33"/>
    <w:rsid w:val="00D61DE5"/>
    <w:rsid w:val="00D62354"/>
    <w:rsid w:val="00D63C17"/>
    <w:rsid w:val="00D650C9"/>
    <w:rsid w:val="00D65907"/>
    <w:rsid w:val="00D65FAC"/>
    <w:rsid w:val="00D66C1B"/>
    <w:rsid w:val="00D6744D"/>
    <w:rsid w:val="00D709D7"/>
    <w:rsid w:val="00D71C7A"/>
    <w:rsid w:val="00D72033"/>
    <w:rsid w:val="00D72665"/>
    <w:rsid w:val="00D727DC"/>
    <w:rsid w:val="00D72F60"/>
    <w:rsid w:val="00D732B2"/>
    <w:rsid w:val="00D746C2"/>
    <w:rsid w:val="00D749E1"/>
    <w:rsid w:val="00D7613C"/>
    <w:rsid w:val="00D766C4"/>
    <w:rsid w:val="00D76B55"/>
    <w:rsid w:val="00D77343"/>
    <w:rsid w:val="00D806FF"/>
    <w:rsid w:val="00D8070C"/>
    <w:rsid w:val="00D80C4B"/>
    <w:rsid w:val="00D81E20"/>
    <w:rsid w:val="00D827D4"/>
    <w:rsid w:val="00D86602"/>
    <w:rsid w:val="00D87C05"/>
    <w:rsid w:val="00D9003B"/>
    <w:rsid w:val="00D903FC"/>
    <w:rsid w:val="00D91001"/>
    <w:rsid w:val="00D91316"/>
    <w:rsid w:val="00D913BF"/>
    <w:rsid w:val="00D91AC3"/>
    <w:rsid w:val="00D91B7B"/>
    <w:rsid w:val="00D92AAD"/>
    <w:rsid w:val="00D92F1E"/>
    <w:rsid w:val="00D9327F"/>
    <w:rsid w:val="00D95CEE"/>
    <w:rsid w:val="00D97416"/>
    <w:rsid w:val="00DA1326"/>
    <w:rsid w:val="00DA16F5"/>
    <w:rsid w:val="00DA1897"/>
    <w:rsid w:val="00DA1FD4"/>
    <w:rsid w:val="00DA2126"/>
    <w:rsid w:val="00DA26E9"/>
    <w:rsid w:val="00DA2728"/>
    <w:rsid w:val="00DA2F9D"/>
    <w:rsid w:val="00DA32F2"/>
    <w:rsid w:val="00DA3383"/>
    <w:rsid w:val="00DA33A2"/>
    <w:rsid w:val="00DA342C"/>
    <w:rsid w:val="00DA4AFC"/>
    <w:rsid w:val="00DA4DF8"/>
    <w:rsid w:val="00DA6872"/>
    <w:rsid w:val="00DA7F2B"/>
    <w:rsid w:val="00DB1329"/>
    <w:rsid w:val="00DB1F34"/>
    <w:rsid w:val="00DB2439"/>
    <w:rsid w:val="00DB259E"/>
    <w:rsid w:val="00DB2C4C"/>
    <w:rsid w:val="00DB50A7"/>
    <w:rsid w:val="00DB5A88"/>
    <w:rsid w:val="00DB6478"/>
    <w:rsid w:val="00DB6B25"/>
    <w:rsid w:val="00DB6F26"/>
    <w:rsid w:val="00DB6FC8"/>
    <w:rsid w:val="00DC07B7"/>
    <w:rsid w:val="00DC0EFC"/>
    <w:rsid w:val="00DC1698"/>
    <w:rsid w:val="00DC21AA"/>
    <w:rsid w:val="00DC2385"/>
    <w:rsid w:val="00DC2D1B"/>
    <w:rsid w:val="00DC45F2"/>
    <w:rsid w:val="00DC4C65"/>
    <w:rsid w:val="00DC4D97"/>
    <w:rsid w:val="00DC546C"/>
    <w:rsid w:val="00DC5A4F"/>
    <w:rsid w:val="00DC5AAD"/>
    <w:rsid w:val="00DC5D56"/>
    <w:rsid w:val="00DC7125"/>
    <w:rsid w:val="00DC7BFE"/>
    <w:rsid w:val="00DD08DA"/>
    <w:rsid w:val="00DD16B7"/>
    <w:rsid w:val="00DD232B"/>
    <w:rsid w:val="00DD37C4"/>
    <w:rsid w:val="00DD37D6"/>
    <w:rsid w:val="00DD4C89"/>
    <w:rsid w:val="00DD52C6"/>
    <w:rsid w:val="00DD68BF"/>
    <w:rsid w:val="00DD6987"/>
    <w:rsid w:val="00DD6F68"/>
    <w:rsid w:val="00DD7F53"/>
    <w:rsid w:val="00DE071D"/>
    <w:rsid w:val="00DE0A02"/>
    <w:rsid w:val="00DE25C1"/>
    <w:rsid w:val="00DE34AC"/>
    <w:rsid w:val="00DE4489"/>
    <w:rsid w:val="00DE4930"/>
    <w:rsid w:val="00DE5E44"/>
    <w:rsid w:val="00DE5E87"/>
    <w:rsid w:val="00DE68B1"/>
    <w:rsid w:val="00DE6CBF"/>
    <w:rsid w:val="00DE6E42"/>
    <w:rsid w:val="00DE7629"/>
    <w:rsid w:val="00DE7BE9"/>
    <w:rsid w:val="00DE7FE6"/>
    <w:rsid w:val="00DF0B64"/>
    <w:rsid w:val="00DF12A9"/>
    <w:rsid w:val="00DF12B6"/>
    <w:rsid w:val="00DF1456"/>
    <w:rsid w:val="00DF1E8B"/>
    <w:rsid w:val="00DF1EF3"/>
    <w:rsid w:val="00DF213E"/>
    <w:rsid w:val="00DF2B3B"/>
    <w:rsid w:val="00DF50B9"/>
    <w:rsid w:val="00DF62B6"/>
    <w:rsid w:val="00DF7CB5"/>
    <w:rsid w:val="00E005E0"/>
    <w:rsid w:val="00E00BC9"/>
    <w:rsid w:val="00E012EF"/>
    <w:rsid w:val="00E016E6"/>
    <w:rsid w:val="00E019AB"/>
    <w:rsid w:val="00E040E4"/>
    <w:rsid w:val="00E04875"/>
    <w:rsid w:val="00E0625C"/>
    <w:rsid w:val="00E10B1C"/>
    <w:rsid w:val="00E1205E"/>
    <w:rsid w:val="00E123D8"/>
    <w:rsid w:val="00E129A0"/>
    <w:rsid w:val="00E13DF7"/>
    <w:rsid w:val="00E146C3"/>
    <w:rsid w:val="00E158C2"/>
    <w:rsid w:val="00E16116"/>
    <w:rsid w:val="00E16310"/>
    <w:rsid w:val="00E16F94"/>
    <w:rsid w:val="00E17214"/>
    <w:rsid w:val="00E204EF"/>
    <w:rsid w:val="00E20541"/>
    <w:rsid w:val="00E20616"/>
    <w:rsid w:val="00E22440"/>
    <w:rsid w:val="00E22707"/>
    <w:rsid w:val="00E235B3"/>
    <w:rsid w:val="00E2568E"/>
    <w:rsid w:val="00E26726"/>
    <w:rsid w:val="00E27497"/>
    <w:rsid w:val="00E30058"/>
    <w:rsid w:val="00E30386"/>
    <w:rsid w:val="00E30576"/>
    <w:rsid w:val="00E3057C"/>
    <w:rsid w:val="00E312E9"/>
    <w:rsid w:val="00E3208D"/>
    <w:rsid w:val="00E3259B"/>
    <w:rsid w:val="00E335F5"/>
    <w:rsid w:val="00E34413"/>
    <w:rsid w:val="00E34453"/>
    <w:rsid w:val="00E35882"/>
    <w:rsid w:val="00E36454"/>
    <w:rsid w:val="00E37167"/>
    <w:rsid w:val="00E37EA5"/>
    <w:rsid w:val="00E40CEA"/>
    <w:rsid w:val="00E40D58"/>
    <w:rsid w:val="00E4116F"/>
    <w:rsid w:val="00E437D5"/>
    <w:rsid w:val="00E44CE7"/>
    <w:rsid w:val="00E45FE5"/>
    <w:rsid w:val="00E46264"/>
    <w:rsid w:val="00E467D0"/>
    <w:rsid w:val="00E46F31"/>
    <w:rsid w:val="00E47307"/>
    <w:rsid w:val="00E51845"/>
    <w:rsid w:val="00E5264E"/>
    <w:rsid w:val="00E52705"/>
    <w:rsid w:val="00E52A97"/>
    <w:rsid w:val="00E53235"/>
    <w:rsid w:val="00E5361C"/>
    <w:rsid w:val="00E53864"/>
    <w:rsid w:val="00E54850"/>
    <w:rsid w:val="00E55314"/>
    <w:rsid w:val="00E55FD8"/>
    <w:rsid w:val="00E569AE"/>
    <w:rsid w:val="00E57DA1"/>
    <w:rsid w:val="00E60F05"/>
    <w:rsid w:val="00E6103B"/>
    <w:rsid w:val="00E6200A"/>
    <w:rsid w:val="00E6243A"/>
    <w:rsid w:val="00E6286C"/>
    <w:rsid w:val="00E6319E"/>
    <w:rsid w:val="00E63548"/>
    <w:rsid w:val="00E64E70"/>
    <w:rsid w:val="00E65203"/>
    <w:rsid w:val="00E65496"/>
    <w:rsid w:val="00E67A6E"/>
    <w:rsid w:val="00E704A4"/>
    <w:rsid w:val="00E70AF2"/>
    <w:rsid w:val="00E70CE9"/>
    <w:rsid w:val="00E71D16"/>
    <w:rsid w:val="00E7238D"/>
    <w:rsid w:val="00E745A7"/>
    <w:rsid w:val="00E74BA4"/>
    <w:rsid w:val="00E74D89"/>
    <w:rsid w:val="00E75723"/>
    <w:rsid w:val="00E75948"/>
    <w:rsid w:val="00E75E81"/>
    <w:rsid w:val="00E75EDF"/>
    <w:rsid w:val="00E7693F"/>
    <w:rsid w:val="00E76BCC"/>
    <w:rsid w:val="00E80A4D"/>
    <w:rsid w:val="00E81ADB"/>
    <w:rsid w:val="00E81ED6"/>
    <w:rsid w:val="00E8263A"/>
    <w:rsid w:val="00E83161"/>
    <w:rsid w:val="00E83838"/>
    <w:rsid w:val="00E84F43"/>
    <w:rsid w:val="00E850A0"/>
    <w:rsid w:val="00E857AC"/>
    <w:rsid w:val="00E8675E"/>
    <w:rsid w:val="00E86D39"/>
    <w:rsid w:val="00E87217"/>
    <w:rsid w:val="00E901D2"/>
    <w:rsid w:val="00E90769"/>
    <w:rsid w:val="00E90FCC"/>
    <w:rsid w:val="00E9277A"/>
    <w:rsid w:val="00E9325F"/>
    <w:rsid w:val="00E93532"/>
    <w:rsid w:val="00E93580"/>
    <w:rsid w:val="00E9427E"/>
    <w:rsid w:val="00E95C68"/>
    <w:rsid w:val="00E968B0"/>
    <w:rsid w:val="00EA1192"/>
    <w:rsid w:val="00EA1249"/>
    <w:rsid w:val="00EA13B2"/>
    <w:rsid w:val="00EA1571"/>
    <w:rsid w:val="00EA15B3"/>
    <w:rsid w:val="00EA167E"/>
    <w:rsid w:val="00EA1704"/>
    <w:rsid w:val="00EA20BE"/>
    <w:rsid w:val="00EA22D8"/>
    <w:rsid w:val="00EA2830"/>
    <w:rsid w:val="00EA38F0"/>
    <w:rsid w:val="00EA3B3C"/>
    <w:rsid w:val="00EA47C6"/>
    <w:rsid w:val="00EA480F"/>
    <w:rsid w:val="00EA4E09"/>
    <w:rsid w:val="00EA65B8"/>
    <w:rsid w:val="00EA70A3"/>
    <w:rsid w:val="00EA70D9"/>
    <w:rsid w:val="00EA7749"/>
    <w:rsid w:val="00EA7961"/>
    <w:rsid w:val="00EB008B"/>
    <w:rsid w:val="00EB0E1F"/>
    <w:rsid w:val="00EB1E74"/>
    <w:rsid w:val="00EB27B3"/>
    <w:rsid w:val="00EB2E4E"/>
    <w:rsid w:val="00EB43D6"/>
    <w:rsid w:val="00EB4AE7"/>
    <w:rsid w:val="00EB59F6"/>
    <w:rsid w:val="00EB609A"/>
    <w:rsid w:val="00EB7E0A"/>
    <w:rsid w:val="00EC2860"/>
    <w:rsid w:val="00EC28A6"/>
    <w:rsid w:val="00EC4559"/>
    <w:rsid w:val="00EC4B07"/>
    <w:rsid w:val="00EC5721"/>
    <w:rsid w:val="00EC5B70"/>
    <w:rsid w:val="00EC642B"/>
    <w:rsid w:val="00EC7CF2"/>
    <w:rsid w:val="00ED001E"/>
    <w:rsid w:val="00ED003B"/>
    <w:rsid w:val="00ED00F0"/>
    <w:rsid w:val="00ED0557"/>
    <w:rsid w:val="00ED1161"/>
    <w:rsid w:val="00ED1B60"/>
    <w:rsid w:val="00ED3997"/>
    <w:rsid w:val="00ED3FF7"/>
    <w:rsid w:val="00ED4117"/>
    <w:rsid w:val="00ED5C8B"/>
    <w:rsid w:val="00ED5FCA"/>
    <w:rsid w:val="00ED686B"/>
    <w:rsid w:val="00ED6F6D"/>
    <w:rsid w:val="00ED717C"/>
    <w:rsid w:val="00ED71FB"/>
    <w:rsid w:val="00EE01F6"/>
    <w:rsid w:val="00EE05FF"/>
    <w:rsid w:val="00EE091C"/>
    <w:rsid w:val="00EE0ADD"/>
    <w:rsid w:val="00EE14C1"/>
    <w:rsid w:val="00EE2145"/>
    <w:rsid w:val="00EE21E9"/>
    <w:rsid w:val="00EE54A0"/>
    <w:rsid w:val="00EE5672"/>
    <w:rsid w:val="00EE5C79"/>
    <w:rsid w:val="00EE6920"/>
    <w:rsid w:val="00EE74EA"/>
    <w:rsid w:val="00EF0E97"/>
    <w:rsid w:val="00EF13B8"/>
    <w:rsid w:val="00EF18E9"/>
    <w:rsid w:val="00EF3C46"/>
    <w:rsid w:val="00EF4183"/>
    <w:rsid w:val="00EF5669"/>
    <w:rsid w:val="00F004A7"/>
    <w:rsid w:val="00F016CD"/>
    <w:rsid w:val="00F01A3A"/>
    <w:rsid w:val="00F01C5F"/>
    <w:rsid w:val="00F02DCA"/>
    <w:rsid w:val="00F037A7"/>
    <w:rsid w:val="00F04151"/>
    <w:rsid w:val="00F04A1F"/>
    <w:rsid w:val="00F04A73"/>
    <w:rsid w:val="00F068F0"/>
    <w:rsid w:val="00F06E5D"/>
    <w:rsid w:val="00F0753E"/>
    <w:rsid w:val="00F077B0"/>
    <w:rsid w:val="00F10123"/>
    <w:rsid w:val="00F10EB7"/>
    <w:rsid w:val="00F11940"/>
    <w:rsid w:val="00F11D88"/>
    <w:rsid w:val="00F11DDF"/>
    <w:rsid w:val="00F145AD"/>
    <w:rsid w:val="00F14EE5"/>
    <w:rsid w:val="00F202E4"/>
    <w:rsid w:val="00F21A13"/>
    <w:rsid w:val="00F22C76"/>
    <w:rsid w:val="00F22F23"/>
    <w:rsid w:val="00F23CF0"/>
    <w:rsid w:val="00F23D96"/>
    <w:rsid w:val="00F23E84"/>
    <w:rsid w:val="00F243D4"/>
    <w:rsid w:val="00F24861"/>
    <w:rsid w:val="00F24B09"/>
    <w:rsid w:val="00F259ED"/>
    <w:rsid w:val="00F262B5"/>
    <w:rsid w:val="00F2635B"/>
    <w:rsid w:val="00F303FC"/>
    <w:rsid w:val="00F307FE"/>
    <w:rsid w:val="00F30981"/>
    <w:rsid w:val="00F31D33"/>
    <w:rsid w:val="00F328B8"/>
    <w:rsid w:val="00F33552"/>
    <w:rsid w:val="00F3388D"/>
    <w:rsid w:val="00F342DD"/>
    <w:rsid w:val="00F34D48"/>
    <w:rsid w:val="00F350B8"/>
    <w:rsid w:val="00F35919"/>
    <w:rsid w:val="00F361AA"/>
    <w:rsid w:val="00F4013E"/>
    <w:rsid w:val="00F404DC"/>
    <w:rsid w:val="00F40FDC"/>
    <w:rsid w:val="00F41BAF"/>
    <w:rsid w:val="00F42D51"/>
    <w:rsid w:val="00F43350"/>
    <w:rsid w:val="00F4361B"/>
    <w:rsid w:val="00F43B0F"/>
    <w:rsid w:val="00F4438C"/>
    <w:rsid w:val="00F44B3D"/>
    <w:rsid w:val="00F44CA0"/>
    <w:rsid w:val="00F456F0"/>
    <w:rsid w:val="00F46F7E"/>
    <w:rsid w:val="00F472BC"/>
    <w:rsid w:val="00F47806"/>
    <w:rsid w:val="00F47820"/>
    <w:rsid w:val="00F47F85"/>
    <w:rsid w:val="00F50B82"/>
    <w:rsid w:val="00F52A7E"/>
    <w:rsid w:val="00F530A0"/>
    <w:rsid w:val="00F536A2"/>
    <w:rsid w:val="00F53A54"/>
    <w:rsid w:val="00F53A60"/>
    <w:rsid w:val="00F53A7C"/>
    <w:rsid w:val="00F53CDB"/>
    <w:rsid w:val="00F53E9A"/>
    <w:rsid w:val="00F544FC"/>
    <w:rsid w:val="00F54599"/>
    <w:rsid w:val="00F545B0"/>
    <w:rsid w:val="00F5679E"/>
    <w:rsid w:val="00F56834"/>
    <w:rsid w:val="00F568A5"/>
    <w:rsid w:val="00F57EEA"/>
    <w:rsid w:val="00F6009C"/>
    <w:rsid w:val="00F60D40"/>
    <w:rsid w:val="00F610F6"/>
    <w:rsid w:val="00F6127C"/>
    <w:rsid w:val="00F61CD5"/>
    <w:rsid w:val="00F61FE2"/>
    <w:rsid w:val="00F622BE"/>
    <w:rsid w:val="00F63317"/>
    <w:rsid w:val="00F63847"/>
    <w:rsid w:val="00F63C40"/>
    <w:rsid w:val="00F65689"/>
    <w:rsid w:val="00F66B59"/>
    <w:rsid w:val="00F67DE2"/>
    <w:rsid w:val="00F67FFD"/>
    <w:rsid w:val="00F71F38"/>
    <w:rsid w:val="00F73A07"/>
    <w:rsid w:val="00F73F48"/>
    <w:rsid w:val="00F743BF"/>
    <w:rsid w:val="00F74951"/>
    <w:rsid w:val="00F74DD6"/>
    <w:rsid w:val="00F75C76"/>
    <w:rsid w:val="00F763E1"/>
    <w:rsid w:val="00F76712"/>
    <w:rsid w:val="00F800E0"/>
    <w:rsid w:val="00F80919"/>
    <w:rsid w:val="00F80998"/>
    <w:rsid w:val="00F8185F"/>
    <w:rsid w:val="00F821DE"/>
    <w:rsid w:val="00F82CBD"/>
    <w:rsid w:val="00F83681"/>
    <w:rsid w:val="00F839D4"/>
    <w:rsid w:val="00F83DB6"/>
    <w:rsid w:val="00F85254"/>
    <w:rsid w:val="00F859D4"/>
    <w:rsid w:val="00F85C9B"/>
    <w:rsid w:val="00F90C36"/>
    <w:rsid w:val="00F9116A"/>
    <w:rsid w:val="00F91BAB"/>
    <w:rsid w:val="00F91C59"/>
    <w:rsid w:val="00F9332D"/>
    <w:rsid w:val="00F93EE4"/>
    <w:rsid w:val="00F947C4"/>
    <w:rsid w:val="00F94EBA"/>
    <w:rsid w:val="00F94F39"/>
    <w:rsid w:val="00F95FD1"/>
    <w:rsid w:val="00F966FE"/>
    <w:rsid w:val="00F96776"/>
    <w:rsid w:val="00F967EB"/>
    <w:rsid w:val="00F97865"/>
    <w:rsid w:val="00FA1F54"/>
    <w:rsid w:val="00FA2DFA"/>
    <w:rsid w:val="00FA45FB"/>
    <w:rsid w:val="00FA4DE3"/>
    <w:rsid w:val="00FA4DF0"/>
    <w:rsid w:val="00FA4E6D"/>
    <w:rsid w:val="00FA57B6"/>
    <w:rsid w:val="00FA5E0F"/>
    <w:rsid w:val="00FA5EBE"/>
    <w:rsid w:val="00FA66B9"/>
    <w:rsid w:val="00FA6944"/>
    <w:rsid w:val="00FA6A4A"/>
    <w:rsid w:val="00FA6B7B"/>
    <w:rsid w:val="00FA6C4A"/>
    <w:rsid w:val="00FA6D55"/>
    <w:rsid w:val="00FA728C"/>
    <w:rsid w:val="00FB04C8"/>
    <w:rsid w:val="00FB08A9"/>
    <w:rsid w:val="00FB0B59"/>
    <w:rsid w:val="00FB0DBD"/>
    <w:rsid w:val="00FB1227"/>
    <w:rsid w:val="00FB222A"/>
    <w:rsid w:val="00FB2548"/>
    <w:rsid w:val="00FB2D35"/>
    <w:rsid w:val="00FB2D9A"/>
    <w:rsid w:val="00FB380B"/>
    <w:rsid w:val="00FB38A2"/>
    <w:rsid w:val="00FB3EC4"/>
    <w:rsid w:val="00FB43FC"/>
    <w:rsid w:val="00FB45B3"/>
    <w:rsid w:val="00FB49B0"/>
    <w:rsid w:val="00FB5D49"/>
    <w:rsid w:val="00FB765F"/>
    <w:rsid w:val="00FC1897"/>
    <w:rsid w:val="00FC2526"/>
    <w:rsid w:val="00FC2586"/>
    <w:rsid w:val="00FC3077"/>
    <w:rsid w:val="00FC30E0"/>
    <w:rsid w:val="00FC3572"/>
    <w:rsid w:val="00FC3CD8"/>
    <w:rsid w:val="00FC4708"/>
    <w:rsid w:val="00FC470D"/>
    <w:rsid w:val="00FC4B95"/>
    <w:rsid w:val="00FC61E3"/>
    <w:rsid w:val="00FC65FD"/>
    <w:rsid w:val="00FC6C6E"/>
    <w:rsid w:val="00FC7104"/>
    <w:rsid w:val="00FC7948"/>
    <w:rsid w:val="00FD091F"/>
    <w:rsid w:val="00FD120F"/>
    <w:rsid w:val="00FD1FAB"/>
    <w:rsid w:val="00FD402E"/>
    <w:rsid w:val="00FD50F8"/>
    <w:rsid w:val="00FD6880"/>
    <w:rsid w:val="00FD7251"/>
    <w:rsid w:val="00FD7A27"/>
    <w:rsid w:val="00FE0E32"/>
    <w:rsid w:val="00FE14F9"/>
    <w:rsid w:val="00FE1BF9"/>
    <w:rsid w:val="00FE26A3"/>
    <w:rsid w:val="00FE278F"/>
    <w:rsid w:val="00FE2879"/>
    <w:rsid w:val="00FE30E1"/>
    <w:rsid w:val="00FE3720"/>
    <w:rsid w:val="00FE46BE"/>
    <w:rsid w:val="00FE58BB"/>
    <w:rsid w:val="00FF011B"/>
    <w:rsid w:val="00FF064D"/>
    <w:rsid w:val="00FF0A1B"/>
    <w:rsid w:val="00FF0F45"/>
    <w:rsid w:val="00FF112A"/>
    <w:rsid w:val="00FF1EF1"/>
    <w:rsid w:val="00FF2264"/>
    <w:rsid w:val="00FF2CF4"/>
    <w:rsid w:val="00FF30A8"/>
    <w:rsid w:val="00FF40FD"/>
    <w:rsid w:val="00FF491B"/>
    <w:rsid w:val="00FF4C93"/>
    <w:rsid w:val="00FF4D3F"/>
    <w:rsid w:val="00FF5A29"/>
    <w:rsid w:val="00FF5B32"/>
    <w:rsid w:val="00FF66D0"/>
    <w:rsid w:val="00FF6ADC"/>
    <w:rsid w:val="01665F91"/>
    <w:rsid w:val="0AC60F62"/>
    <w:rsid w:val="0C193B9D"/>
    <w:rsid w:val="0D721CC2"/>
    <w:rsid w:val="0F0F0CFA"/>
    <w:rsid w:val="0FA414B0"/>
    <w:rsid w:val="10D776A3"/>
    <w:rsid w:val="11507B3A"/>
    <w:rsid w:val="13B0BCA9"/>
    <w:rsid w:val="183E378F"/>
    <w:rsid w:val="1B243662"/>
    <w:rsid w:val="1B4BC767"/>
    <w:rsid w:val="1DAA6A84"/>
    <w:rsid w:val="1DAEADA1"/>
    <w:rsid w:val="1EA1D550"/>
    <w:rsid w:val="22367AA8"/>
    <w:rsid w:val="22801A59"/>
    <w:rsid w:val="24AE88FA"/>
    <w:rsid w:val="24CA8616"/>
    <w:rsid w:val="24CE0F63"/>
    <w:rsid w:val="2589F489"/>
    <w:rsid w:val="285C4FC7"/>
    <w:rsid w:val="297258EE"/>
    <w:rsid w:val="2A22118D"/>
    <w:rsid w:val="2B54A32C"/>
    <w:rsid w:val="2E1C60A0"/>
    <w:rsid w:val="30F96EE6"/>
    <w:rsid w:val="32928479"/>
    <w:rsid w:val="33DA00AE"/>
    <w:rsid w:val="33FE4626"/>
    <w:rsid w:val="34A0DA8E"/>
    <w:rsid w:val="34E54C13"/>
    <w:rsid w:val="37FCE315"/>
    <w:rsid w:val="382A4557"/>
    <w:rsid w:val="39E37600"/>
    <w:rsid w:val="3B4E85B8"/>
    <w:rsid w:val="3D8B3856"/>
    <w:rsid w:val="3E355F4B"/>
    <w:rsid w:val="3FAA415E"/>
    <w:rsid w:val="40B5C76A"/>
    <w:rsid w:val="412EB440"/>
    <w:rsid w:val="4143736D"/>
    <w:rsid w:val="452CD26D"/>
    <w:rsid w:val="49091C8C"/>
    <w:rsid w:val="49E5FC92"/>
    <w:rsid w:val="4EFB2336"/>
    <w:rsid w:val="4F6DDE4F"/>
    <w:rsid w:val="55B52702"/>
    <w:rsid w:val="562B1D4D"/>
    <w:rsid w:val="56BF0976"/>
    <w:rsid w:val="57DFB0C5"/>
    <w:rsid w:val="59BB0B3C"/>
    <w:rsid w:val="5BB343E9"/>
    <w:rsid w:val="5D63F46F"/>
    <w:rsid w:val="5DF81B79"/>
    <w:rsid w:val="60A04D12"/>
    <w:rsid w:val="62663E04"/>
    <w:rsid w:val="62A75EC8"/>
    <w:rsid w:val="6415B6D5"/>
    <w:rsid w:val="67E1C605"/>
    <w:rsid w:val="67F5A743"/>
    <w:rsid w:val="6A59D563"/>
    <w:rsid w:val="6B370752"/>
    <w:rsid w:val="71944534"/>
    <w:rsid w:val="72603101"/>
    <w:rsid w:val="74850012"/>
    <w:rsid w:val="74DED838"/>
    <w:rsid w:val="75717CEA"/>
    <w:rsid w:val="7642EF3C"/>
    <w:rsid w:val="78690B82"/>
    <w:rsid w:val="7B580F73"/>
    <w:rsid w:val="7BC7C1C8"/>
    <w:rsid w:val="7C89FA91"/>
    <w:rsid w:val="7CC8573F"/>
    <w:rsid w:val="7D3D7B1A"/>
    <w:rsid w:val="7D4BC905"/>
    <w:rsid w:val="7D88E7E6"/>
    <w:rsid w:val="7E3C544E"/>
    <w:rsid w:val="7E491C9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1E07D6E"/>
  <w15:docId w15:val="{56275C03-20C8-4014-9760-3A311F34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39F4"/>
    <w:pPr>
      <w:spacing w:after="240"/>
    </w:pPr>
    <w:rPr>
      <w:sz w:val="24"/>
      <w:szCs w:val="24"/>
    </w:rPr>
  </w:style>
  <w:style w:type="paragraph" w:styleId="Heading1">
    <w:name w:val="heading 1"/>
    <w:basedOn w:val="Normal"/>
    <w:next w:val="Normal"/>
    <w:qFormat/>
    <w:rsid w:val="00F23CF0"/>
    <w:pPr>
      <w:keepNext/>
      <w:numPr>
        <w:numId w:val="2"/>
      </w:numPr>
      <w:outlineLvl w:val="0"/>
    </w:pPr>
    <w:rPr>
      <w:b/>
      <w:u w:val="single"/>
    </w:rPr>
  </w:style>
  <w:style w:type="paragraph" w:styleId="Heading2">
    <w:name w:val="heading 2"/>
    <w:basedOn w:val="Normal"/>
    <w:next w:val="Normal"/>
    <w:link w:val="Heading2Char"/>
    <w:unhideWhenUsed/>
    <w:qFormat/>
    <w:rsid w:val="00DC2385"/>
    <w:pPr>
      <w:keepNext/>
      <w:keepLines/>
      <w:spacing w:before="40"/>
      <w:outlineLvl w:val="1"/>
    </w:pPr>
    <w:rPr>
      <w:rFonts w:eastAsiaTheme="majorEastAsia" w:cstheme="majorBidi"/>
      <w:b/>
      <w:szCs w:val="26"/>
    </w:rPr>
  </w:style>
  <w:style w:type="paragraph" w:styleId="Heading3">
    <w:name w:val="heading 3"/>
    <w:basedOn w:val="Normal"/>
    <w:next w:val="Normal"/>
    <w:link w:val="Heading3Char"/>
    <w:semiHidden/>
    <w:unhideWhenUsed/>
    <w:qFormat/>
    <w:rsid w:val="00A9417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0D0E75"/>
    <w:pPr>
      <w:keepNext/>
      <w:keepLines/>
      <w:spacing w:before="40"/>
      <w:ind w:left="7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rsid w:val="00B500D7"/>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paragraph" w:styleId="CommentText">
    <w:name w:val="annotation text"/>
    <w:aliases w:val="Times New Roman,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uiPriority w:val="39"/>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aliases w:val="Times New Roman Char,t Char"/>
    <w:link w:val="CommentText"/>
    <w:uiPriority w:val="99"/>
    <w:rsid w:val="007E47F8"/>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uiPriority w:val="99"/>
    <w:qFormat/>
    <w:rsid w:val="00915766"/>
    <w:rPr>
      <w:sz w:val="20"/>
      <w:szCs w:val="20"/>
    </w:rPr>
  </w:style>
  <w:style w:type="character" w:customStyle="1" w:styleId="FootnoteTextChar">
    <w:name w:val="Footnote Text Char"/>
    <w:aliases w:val="Char18 Char,FT Char,Footnote Text AG Char,Footnote Text Char Char Char,Footnote Text Char Char Char Char Char,Footnote ak Char,Footnotes Char,SD Footnote Text Char,Style 14 Char,Text Char,fn Char,fnW Char,footnote text Char,ft Char"/>
    <w:basedOn w:val="DefaultParagraphFont"/>
    <w:link w:val="FootnoteText"/>
    <w:uiPriority w:val="99"/>
    <w:rsid w:val="00915766"/>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qFormat/>
    <w:rsid w:val="00915766"/>
    <w:rPr>
      <w:vertAlign w:val="superscript"/>
    </w:rPr>
  </w:style>
  <w:style w:type="paragraph" w:styleId="EndnoteText">
    <w:name w:val="endnote text"/>
    <w:basedOn w:val="Normal"/>
    <w:link w:val="EndnoteTextChar"/>
    <w:rsid w:val="001E0803"/>
    <w:rPr>
      <w:sz w:val="20"/>
      <w:szCs w:val="20"/>
    </w:rPr>
  </w:style>
  <w:style w:type="character" w:customStyle="1" w:styleId="EndnoteTextChar">
    <w:name w:val="Endnote Text Char"/>
    <w:basedOn w:val="DefaultParagraphFont"/>
    <w:link w:val="EndnoteText"/>
    <w:rsid w:val="001E0803"/>
  </w:style>
  <w:style w:type="character" w:styleId="EndnoteReference">
    <w:name w:val="endnote reference"/>
    <w:basedOn w:val="DefaultParagraphFont"/>
    <w:rsid w:val="001E0803"/>
    <w:rPr>
      <w:vertAlign w:val="superscript"/>
    </w:rPr>
  </w:style>
  <w:style w:type="paragraph" w:styleId="ListParagraph">
    <w:name w:val="List Paragraph"/>
    <w:basedOn w:val="Normal"/>
    <w:uiPriority w:val="1"/>
    <w:qFormat/>
    <w:rsid w:val="000E73B3"/>
    <w:pPr>
      <w:ind w:left="720"/>
      <w:contextualSpacing/>
    </w:pPr>
    <w:rPr>
      <w:rFonts w:asciiTheme="minorHAnsi" w:eastAsiaTheme="minorHAnsi" w:hAnsiTheme="minorHAnsi" w:cstheme="minorBidi"/>
    </w:rPr>
  </w:style>
  <w:style w:type="character" w:customStyle="1" w:styleId="UnresolvedMention1">
    <w:name w:val="Unresolved Mention1"/>
    <w:basedOn w:val="DefaultParagraphFont"/>
    <w:rsid w:val="00D019CB"/>
    <w:rPr>
      <w:color w:val="808080"/>
      <w:shd w:val="clear" w:color="auto" w:fill="E6E6E6"/>
    </w:rPr>
  </w:style>
  <w:style w:type="paragraph" w:customStyle="1" w:styleId="Default">
    <w:name w:val="Default"/>
    <w:rsid w:val="00402B7B"/>
    <w:pPr>
      <w:autoSpaceDE w:val="0"/>
      <w:autoSpaceDN w:val="0"/>
      <w:adjustRightInd w:val="0"/>
    </w:pPr>
    <w:rPr>
      <w:rFonts w:eastAsiaTheme="minorHAnsi"/>
      <w:color w:val="000000"/>
      <w:sz w:val="24"/>
      <w:szCs w:val="24"/>
    </w:rPr>
  </w:style>
  <w:style w:type="character" w:customStyle="1" w:styleId="UnresolvedMention2">
    <w:name w:val="Unresolved Mention2"/>
    <w:basedOn w:val="DefaultParagraphFont"/>
    <w:uiPriority w:val="99"/>
    <w:semiHidden/>
    <w:unhideWhenUsed/>
    <w:rsid w:val="00384789"/>
    <w:rPr>
      <w:color w:val="808080"/>
      <w:shd w:val="clear" w:color="auto" w:fill="E6E6E6"/>
    </w:rPr>
  </w:style>
  <w:style w:type="paragraph" w:customStyle="1" w:styleId="SSAH1">
    <w:name w:val="SSA_H1"/>
    <w:basedOn w:val="Normal"/>
    <w:next w:val="Normal"/>
    <w:qFormat/>
    <w:rsid w:val="005C38D0"/>
    <w:pPr>
      <w:outlineLvl w:val="0"/>
    </w:pPr>
    <w:rPr>
      <w:rFonts w:asciiTheme="majorHAnsi" w:eastAsiaTheme="minorHAnsi" w:hAnsiTheme="majorHAnsi" w:cstheme="minorBidi"/>
      <w:szCs w:val="22"/>
      <w:u w:val="single"/>
    </w:rPr>
  </w:style>
  <w:style w:type="paragraph" w:styleId="NoSpacing">
    <w:name w:val="No Spacing"/>
    <w:uiPriority w:val="1"/>
    <w:qFormat/>
    <w:rsid w:val="005C38D0"/>
    <w:rPr>
      <w:rFonts w:asciiTheme="minorHAnsi" w:eastAsiaTheme="minorHAnsi" w:hAnsiTheme="minorHAnsi" w:cstheme="minorBidi"/>
      <w:sz w:val="22"/>
      <w:szCs w:val="22"/>
    </w:rPr>
  </w:style>
  <w:style w:type="character" w:customStyle="1" w:styleId="UnresolvedMention3">
    <w:name w:val="Unresolved Mention3"/>
    <w:basedOn w:val="DefaultParagraphFont"/>
    <w:uiPriority w:val="99"/>
    <w:semiHidden/>
    <w:unhideWhenUsed/>
    <w:rsid w:val="00837E5F"/>
    <w:rPr>
      <w:color w:val="605E5C"/>
      <w:shd w:val="clear" w:color="auto" w:fill="E1DFDD"/>
    </w:rPr>
  </w:style>
  <w:style w:type="paragraph" w:styleId="Title">
    <w:name w:val="Title"/>
    <w:basedOn w:val="Normal"/>
    <w:next w:val="Normal"/>
    <w:link w:val="TitleChar"/>
    <w:qFormat/>
    <w:rsid w:val="00C32E22"/>
    <w:pPr>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rsid w:val="00C32E22"/>
    <w:rPr>
      <w:rFonts w:eastAsiaTheme="majorEastAsia" w:cstheme="majorBidi"/>
      <w:b/>
      <w:spacing w:val="-10"/>
      <w:kern w:val="28"/>
      <w:sz w:val="28"/>
      <w:szCs w:val="56"/>
    </w:rPr>
  </w:style>
  <w:style w:type="character" w:customStyle="1" w:styleId="Heading2Char">
    <w:name w:val="Heading 2 Char"/>
    <w:basedOn w:val="DefaultParagraphFont"/>
    <w:link w:val="Heading2"/>
    <w:rsid w:val="00DC2385"/>
    <w:rPr>
      <w:rFonts w:eastAsiaTheme="majorEastAsia" w:cstheme="majorBidi"/>
      <w:b/>
      <w:sz w:val="24"/>
      <w:szCs w:val="26"/>
    </w:rPr>
  </w:style>
  <w:style w:type="paragraph" w:customStyle="1" w:styleId="Header3">
    <w:name w:val="Header 3"/>
    <w:basedOn w:val="Heading3"/>
    <w:qFormat/>
    <w:rsid w:val="00446182"/>
    <w:rPr>
      <w:rFonts w:ascii="Times New Roman" w:hAnsi="Times New Roman"/>
      <w:i/>
      <w:color w:val="auto"/>
    </w:rPr>
  </w:style>
  <w:style w:type="character" w:styleId="Emphasis">
    <w:name w:val="Emphasis"/>
    <w:basedOn w:val="DefaultParagraphFont"/>
    <w:uiPriority w:val="20"/>
    <w:qFormat/>
    <w:rsid w:val="00FE278F"/>
    <w:rPr>
      <w:b/>
      <w:i/>
      <w:iCs/>
    </w:rPr>
  </w:style>
  <w:style w:type="character" w:customStyle="1" w:styleId="Heading4Char">
    <w:name w:val="Heading 4 Char"/>
    <w:basedOn w:val="DefaultParagraphFont"/>
    <w:link w:val="Heading4"/>
    <w:rsid w:val="000D0E75"/>
    <w:rPr>
      <w:rFonts w:eastAsiaTheme="majorEastAsia" w:cstheme="majorBidi"/>
      <w:iCs/>
      <w:sz w:val="24"/>
      <w:szCs w:val="24"/>
    </w:rPr>
  </w:style>
  <w:style w:type="character" w:customStyle="1" w:styleId="Heading3Char">
    <w:name w:val="Heading 3 Char"/>
    <w:basedOn w:val="DefaultParagraphFont"/>
    <w:link w:val="Heading3"/>
    <w:semiHidden/>
    <w:rsid w:val="00A94171"/>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026F5B"/>
  </w:style>
  <w:style w:type="character" w:styleId="UnresolvedMention">
    <w:name w:val="Unresolved Mention"/>
    <w:basedOn w:val="DefaultParagraphFont"/>
    <w:uiPriority w:val="99"/>
    <w:semiHidden/>
    <w:unhideWhenUsed/>
    <w:rsid w:val="00A76AD5"/>
    <w:rPr>
      <w:color w:val="605E5C"/>
      <w:shd w:val="clear" w:color="auto" w:fill="E1DFDD"/>
    </w:rPr>
  </w:style>
  <w:style w:type="paragraph" w:customStyle="1" w:styleId="paragraph">
    <w:name w:val="paragraph"/>
    <w:basedOn w:val="Normal"/>
    <w:rsid w:val="00C6196C"/>
    <w:pPr>
      <w:spacing w:before="100" w:beforeAutospacing="1" w:after="100" w:afterAutospacing="1"/>
    </w:pPr>
  </w:style>
  <w:style w:type="character" w:customStyle="1" w:styleId="contextualspellingandgrammarerror">
    <w:name w:val="contextualspellingandgrammarerror"/>
    <w:basedOn w:val="DefaultParagraphFont"/>
    <w:rsid w:val="00C6196C"/>
  </w:style>
  <w:style w:type="character" w:customStyle="1" w:styleId="findhit">
    <w:name w:val="findhit"/>
    <w:basedOn w:val="DefaultParagraphFont"/>
    <w:rsid w:val="00C6196C"/>
  </w:style>
  <w:style w:type="character" w:customStyle="1" w:styleId="eop">
    <w:name w:val="eop"/>
    <w:basedOn w:val="DefaultParagraphFont"/>
    <w:rsid w:val="00C6196C"/>
  </w:style>
  <w:style w:type="character" w:customStyle="1" w:styleId="highlight">
    <w:name w:val="highlight"/>
    <w:basedOn w:val="DefaultParagraphFont"/>
    <w:rsid w:val="00E47307"/>
  </w:style>
  <w:style w:type="character" w:styleId="Mention">
    <w:name w:val="Mention"/>
    <w:basedOn w:val="DefaultParagraphFont"/>
    <w:uiPriority w:val="99"/>
    <w:unhideWhenUsed/>
    <w:rsid w:val="00C81303"/>
    <w:rPr>
      <w:color w:val="2B579A"/>
      <w:shd w:val="clear" w:color="auto" w:fill="E1DFDD"/>
    </w:rPr>
  </w:style>
  <w:style w:type="character" w:customStyle="1" w:styleId="scxw52997739">
    <w:name w:val="scxw52997739"/>
    <w:basedOn w:val="DefaultParagraphFont"/>
    <w:rsid w:val="00507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hpms.cms.gov" TargetMode="External" /><Relationship Id="rId11" Type="http://schemas.openxmlformats.org/officeDocument/2006/relationships/hyperlink" Target="https://www.cms.gov/files/document/revised-medicare-drug-price-negotiation-program-guidance-june-2023.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ms.gov/Research-Statistics-Data-and-Systems/Computer-Data-and-Systems/HPMS/UserIDProces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justice.gov/oip/doj-guide-freedom-information-act-0" TargetMode="External" /><Relationship Id="rId2" Type="http://schemas.openxmlformats.org/officeDocument/2006/relationships/hyperlink" Target="https://www.bls.gov/oes/tables.htm" TargetMode="External" /><Relationship Id="rId3" Type="http://schemas.openxmlformats.org/officeDocument/2006/relationships/hyperlink" Target="https://www.opm.gov/policy-data-oversight/pay-leave/salaries-wages/salary-tables/pdf/2022/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8C062D2A75AC4BB84E1C6132F66031" ma:contentTypeVersion="1" ma:contentTypeDescription="Create a new document." ma:contentTypeScope="" ma:versionID="5eb9fae2fc8093155791312a2c3dea4b">
  <xsd:schema xmlns:xsd="http://www.w3.org/2001/XMLSchema" xmlns:xs="http://www.w3.org/2001/XMLSchema" xmlns:p="http://schemas.microsoft.com/office/2006/metadata/properties" xmlns:ns2="52674ffb-fe2d-4417-be1c-846b3a880163" targetNamespace="http://schemas.microsoft.com/office/2006/metadata/properties" ma:root="true" ma:fieldsID="6f0afd6e9d4f507fbdd27f6277b7aa39"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82612-C763-4F11-955F-116918E2DB3A}">
  <ds:schemaRefs>
    <ds:schemaRef ds:uri="http://schemas.microsoft.com/sharepoint/v3/contenttype/forms"/>
  </ds:schemaRefs>
</ds:datastoreItem>
</file>

<file path=customXml/itemProps2.xml><?xml version="1.0" encoding="utf-8"?>
<ds:datastoreItem xmlns:ds="http://schemas.openxmlformats.org/officeDocument/2006/customXml" ds:itemID="{17BF504E-F6A6-41ED-9560-A55258052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D6012-6A8F-4AED-B8DE-DC1FD2477DA7}">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52674ffb-fe2d-4417-be1c-846b3a880163"/>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3A944CD-090C-4247-8952-FD2A6DB31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6001</Words>
  <Characters>34209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Supporting Statement for Hospital Reporting Initiative—Hospital Quality Measures and Supporting Regulations in Section 5001(a)</vt:lpstr>
    </vt:vector>
  </TitlesOfParts>
  <Company>CMS</Company>
  <LinksUpToDate>false</LinksUpToDate>
  <CharactersWithSpaces>40130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(ICR) for Negotiation Data Elements under Sections 11001 and 11002 of the Inflation Reduction Act (CMS-10847, OMB 0938-NEW)</dc:title>
  <dc:subject>PRA Supporting Statement A</dc:subject>
  <dc:creator>CMS</dc:creator>
  <cp:keywords>Hospital charges</cp:keywords>
  <cp:lastModifiedBy>Michelle Wojcicki</cp:lastModifiedBy>
  <cp:revision>7</cp:revision>
  <cp:lastPrinted>2014-07-21T23:59:00Z</cp:lastPrinted>
  <dcterms:created xsi:type="dcterms:W3CDTF">2023-06-28T02:29:00Z</dcterms:created>
  <dcterms:modified xsi:type="dcterms:W3CDTF">2023-06-28T18:40:00Z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0x010100A58C062D2A75AC4BB84E1C6132F66031</vt:lpwstr>
  </property>
  <property fmtid="{D5CDD505-2E9C-101B-9397-08002B2CF9AE}" pid="3" name="Order">
    <vt:r8>128000</vt:r8>
  </property>
  <property fmtid="{D5CDD505-2E9C-101B-9397-08002B2CF9AE}" pid="4" name="TemplateUrl">
    <vt:lpwstr/>
  </property>
  <property fmtid="{D5CDD505-2E9C-101B-9397-08002B2CF9AE}" pid="5" name="URL">
    <vt:lpwstr/>
  </property>
  <property fmtid="{D5CDD505-2E9C-101B-9397-08002B2CF9AE}" pid="6" name="xd_ProgID">
    <vt:lpwstr/>
  </property>
  <property fmtid="{D5CDD505-2E9C-101B-9397-08002B2CF9AE}" pid="7" name="_dlc_DocIdItemGuid">
    <vt:lpwstr>87c99230-5ed7-4eef-8cf8-ecb252a14bb8</vt:lpwstr>
  </property>
  <property fmtid="{D5CDD505-2E9C-101B-9397-08002B2CF9AE}" pid="8" name="_NewReviewCycle">
    <vt:lpwstr/>
  </property>
</Properties>
</file>