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55C31CEF">
      <w:pPr>
        <w:spacing w:after="0"/>
        <w:jc w:val="center"/>
        <w:rPr>
          <w:b/>
          <w:sz w:val="40"/>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69D5FAE1">
      <w:pPr>
        <w:pStyle w:val="ReportCover-Title"/>
        <w:jc w:val="center"/>
        <w:rPr>
          <w:rFonts w:ascii="Arial" w:hAnsi="Arial" w:cs="Arial"/>
          <w:color w:val="auto"/>
        </w:rPr>
      </w:pPr>
      <w:r>
        <w:rPr>
          <w:rFonts w:ascii="Arial" w:eastAsia="Arial Unicode MS" w:hAnsi="Arial" w:cs="Arial"/>
          <w:noProof/>
          <w:color w:val="auto"/>
        </w:rPr>
        <w:t>Supporting Youth to be Successful in Life (SYSIL)</w:t>
      </w:r>
      <w:r w:rsidR="009F2F68">
        <w:rPr>
          <w:rFonts w:ascii="Arial" w:eastAsia="Arial Unicode MS" w:hAnsi="Arial" w:cs="Arial"/>
          <w:noProof/>
          <w:color w:val="auto"/>
        </w:rPr>
        <w:t xml:space="preserve"> Study</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5B0ED5C5">
      <w:pPr>
        <w:pStyle w:val="ReportCover-Title"/>
        <w:jc w:val="center"/>
        <w:rPr>
          <w:rFonts w:ascii="Arial" w:hAnsi="Arial" w:cs="Arial"/>
          <w:color w:val="auto"/>
          <w:sz w:val="32"/>
          <w:szCs w:val="32"/>
        </w:rPr>
      </w:pPr>
      <w:r>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27CB2" w:rsidRPr="009139B3" w:rsidP="00127CB2" w14:paraId="60C2E7A9" w14:textId="28780396">
      <w:pPr>
        <w:pStyle w:val="ReportCover-Date"/>
        <w:spacing w:after="0"/>
        <w:jc w:val="center"/>
        <w:rPr>
          <w:rFonts w:ascii="Arial" w:hAnsi="Arial" w:cs="Arial"/>
          <w:color w:val="auto"/>
        </w:rPr>
      </w:pPr>
      <w:r w:rsidRPr="00F90BA1">
        <w:rPr>
          <w:rFonts w:ascii="Arial" w:hAnsi="Arial" w:cs="Arial"/>
          <w:color w:val="auto"/>
        </w:rPr>
        <w:t xml:space="preserve"> </w:t>
      </w:r>
      <w:r w:rsidR="00A97F4A">
        <w:rPr>
          <w:rFonts w:ascii="Arial" w:hAnsi="Arial" w:cs="Arial"/>
          <w:color w:val="auto"/>
        </w:rPr>
        <w:t>June 2023</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A5366B">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7067BF" w:rsidP="000F5931" w14:paraId="0E379D9D" w14:textId="6E26BB68">
      <w:pPr>
        <w:pStyle w:val="ListParagraph"/>
        <w:numPr>
          <w:ilvl w:val="0"/>
          <w:numId w:val="19"/>
        </w:numPr>
      </w:pPr>
      <w:r w:rsidRPr="00EC3344">
        <w:rPr>
          <w:b/>
        </w:rPr>
        <w:t xml:space="preserve">Type of Request: </w:t>
      </w:r>
      <w:r w:rsidRPr="009139B3">
        <w:t xml:space="preserve">This Information Collection Request </w:t>
      </w:r>
      <w:r w:rsidR="00174ADB">
        <w:t xml:space="preserve">(ICR) </w:t>
      </w:r>
      <w:r w:rsidRPr="009139B3">
        <w:t xml:space="preserve">is </w:t>
      </w:r>
      <w:r w:rsidR="00D471FC">
        <w:t xml:space="preserve">for </w:t>
      </w:r>
      <w:r>
        <w:t>nonsubstantive</w:t>
      </w:r>
      <w:r>
        <w:t xml:space="preserve"> changes to the approved information collection, Supporting Youth to be Successful in Life (SYSIL) Study (OMB #0970-0574). </w:t>
      </w:r>
    </w:p>
    <w:p w:rsidR="001D1C73" w:rsidRPr="009139B3" w:rsidP="00EC3344" w14:paraId="61404D3D" w14:textId="0159ABFD">
      <w:pPr>
        <w:spacing w:after="0" w:line="240" w:lineRule="auto"/>
      </w:pPr>
    </w:p>
    <w:p w:rsidR="001D1C73" w:rsidRPr="009139B3" w:rsidP="007A61EF" w14:paraId="3D729D59" w14:textId="77777777">
      <w:pPr>
        <w:spacing w:after="0"/>
      </w:pPr>
    </w:p>
    <w:p w:rsidR="00D53DC7" w:rsidRPr="006265E6" w:rsidP="000F5931" w14:paraId="64CACFD5" w14:textId="50A506E6">
      <w:pPr>
        <w:pStyle w:val="CommentText"/>
        <w:numPr>
          <w:ilvl w:val="0"/>
          <w:numId w:val="1"/>
        </w:numPr>
        <w:spacing w:after="120"/>
        <w:rPr>
          <w:rFonts w:cstheme="minorHAnsi"/>
          <w:sz w:val="22"/>
          <w:szCs w:val="22"/>
        </w:rPr>
      </w:pPr>
      <w:r w:rsidRPr="00F90BA1">
        <w:rPr>
          <w:b/>
          <w:sz w:val="22"/>
          <w:szCs w:val="22"/>
        </w:rPr>
        <w:t xml:space="preserve">Description of Request: </w:t>
      </w:r>
      <w:r w:rsidRPr="006265E6" w:rsidR="002028EE">
        <w:rPr>
          <w:bCs/>
          <w:sz w:val="22"/>
          <w:szCs w:val="22"/>
        </w:rPr>
        <w:t xml:space="preserve">Through this </w:t>
      </w:r>
      <w:r w:rsidRPr="006265E6" w:rsidR="002028EE">
        <w:rPr>
          <w:bCs/>
          <w:sz w:val="22"/>
          <w:szCs w:val="22"/>
        </w:rPr>
        <w:t>nonsubstantive</w:t>
      </w:r>
      <w:r w:rsidRPr="006265E6" w:rsidR="002028EE">
        <w:rPr>
          <w:bCs/>
          <w:sz w:val="22"/>
          <w:szCs w:val="22"/>
        </w:rPr>
        <w:t xml:space="preserve"> change request,</w:t>
      </w:r>
      <w:r w:rsidRPr="00F90BA1" w:rsidR="006265E6">
        <w:rPr>
          <w:b/>
          <w:sz w:val="22"/>
          <w:szCs w:val="22"/>
        </w:rPr>
        <w:t xml:space="preserve"> </w:t>
      </w:r>
      <w:r w:rsidRPr="006265E6">
        <w:rPr>
          <w:bCs/>
          <w:sz w:val="22"/>
          <w:szCs w:val="22"/>
        </w:rPr>
        <w:t>ACF is requesting</w:t>
      </w:r>
      <w:r w:rsidRPr="00F90BA1">
        <w:rPr>
          <w:b/>
          <w:sz w:val="22"/>
          <w:szCs w:val="22"/>
        </w:rPr>
        <w:t xml:space="preserve"> </w:t>
      </w:r>
      <w:r w:rsidRPr="006265E6">
        <w:rPr>
          <w:rFonts w:cstheme="minorHAnsi"/>
          <w:sz w:val="22"/>
          <w:szCs w:val="22"/>
        </w:rPr>
        <w:t>approval</w:t>
      </w:r>
      <w:r w:rsidR="002028EE">
        <w:rPr>
          <w:rFonts w:cstheme="minorHAnsi"/>
          <w:sz w:val="22"/>
          <w:szCs w:val="22"/>
        </w:rPr>
        <w:t xml:space="preserve"> to increase the number of estimated respondents during the second round of site visits</w:t>
      </w:r>
      <w:r w:rsidRPr="006265E6">
        <w:rPr>
          <w:rFonts w:cstheme="minorHAnsi"/>
          <w:sz w:val="22"/>
          <w:szCs w:val="22"/>
        </w:rPr>
        <w:t xml:space="preserve"> for the </w:t>
      </w:r>
      <w:r w:rsidRPr="006265E6">
        <w:rPr>
          <w:rFonts w:cstheme="minorHAnsi"/>
          <w:sz w:val="22"/>
          <w:szCs w:val="22"/>
        </w:rPr>
        <w:t xml:space="preserve">following </w:t>
      </w:r>
      <w:r w:rsidRPr="002028EE" w:rsidR="002028EE">
        <w:rPr>
          <w:rFonts w:cstheme="minorHAnsi"/>
          <w:sz w:val="22"/>
          <w:szCs w:val="22"/>
        </w:rPr>
        <w:t xml:space="preserve"> </w:t>
      </w:r>
      <w:r w:rsidRPr="006265E6" w:rsidR="002028EE">
        <w:rPr>
          <w:rFonts w:cstheme="minorHAnsi"/>
          <w:sz w:val="22"/>
          <w:szCs w:val="22"/>
        </w:rPr>
        <w:t>instruments</w:t>
      </w:r>
      <w:r w:rsidRPr="006265E6" w:rsidR="002028EE">
        <w:rPr>
          <w:rFonts w:cstheme="minorHAnsi"/>
          <w:sz w:val="22"/>
          <w:szCs w:val="22"/>
        </w:rPr>
        <w:t xml:space="preserve">. This is </w:t>
      </w:r>
      <w:r w:rsidRPr="00F90BA1" w:rsidR="002028EE">
        <w:rPr>
          <w:rFonts w:cstheme="minorHAnsi"/>
          <w:sz w:val="22"/>
          <w:szCs w:val="22"/>
        </w:rPr>
        <w:t>due to requests from sites to include additional program staff in data collection.</w:t>
      </w:r>
    </w:p>
    <w:p w:rsidR="006265E6" w:rsidRPr="006265E6" w:rsidP="00FA7132" w14:paraId="52AD07CF" w14:textId="6606810A">
      <w:pPr>
        <w:pStyle w:val="ListParagraph"/>
        <w:numPr>
          <w:ilvl w:val="0"/>
          <w:numId w:val="20"/>
        </w:numPr>
        <w:spacing w:after="0" w:line="240" w:lineRule="auto"/>
        <w:contextualSpacing w:val="0"/>
        <w:rPr>
          <w:rFonts w:cstheme="minorHAnsi"/>
        </w:rPr>
      </w:pPr>
      <w:r w:rsidRPr="00990C4D">
        <w:t>Interview Guide for Pathways Sites (Treatment Sites)</w:t>
      </w:r>
    </w:p>
    <w:p w:rsidR="00FA7D2E" w:rsidRPr="00FA7D2E" w:rsidP="00FA7132" w14:paraId="392AF322" w14:textId="3AEDEE8C">
      <w:pPr>
        <w:pStyle w:val="ListParagraph"/>
        <w:numPr>
          <w:ilvl w:val="0"/>
          <w:numId w:val="20"/>
        </w:numPr>
        <w:spacing w:after="0" w:line="240" w:lineRule="auto"/>
        <w:contextualSpacing w:val="0"/>
        <w:rPr>
          <w:rFonts w:cstheme="minorHAnsi"/>
        </w:rPr>
      </w:pPr>
      <w:r w:rsidRPr="00990C4D">
        <w:t>Interview Guide for Comparison Sites</w:t>
      </w:r>
    </w:p>
    <w:p w:rsidR="006265E6" w:rsidRPr="006265E6" w:rsidP="00FA7132" w14:paraId="708B79B5" w14:textId="22915485">
      <w:pPr>
        <w:pStyle w:val="ListParagraph"/>
        <w:numPr>
          <w:ilvl w:val="0"/>
          <w:numId w:val="20"/>
        </w:numPr>
        <w:spacing w:after="0" w:line="240" w:lineRule="auto"/>
        <w:contextualSpacing w:val="0"/>
        <w:rPr>
          <w:rFonts w:cstheme="minorHAnsi"/>
        </w:rPr>
      </w:pPr>
      <w:r w:rsidRPr="00693446">
        <w:rPr>
          <w:bCs/>
        </w:rPr>
        <w:t>Program Director Check-ins for Pathways Sites (Treatment Sites)</w:t>
      </w:r>
    </w:p>
    <w:p w:rsidR="00FA7132" w:rsidP="00FA7132" w14:paraId="66B84CD1" w14:textId="3C643DC5">
      <w:pPr>
        <w:pStyle w:val="ListParagraph"/>
        <w:numPr>
          <w:ilvl w:val="0"/>
          <w:numId w:val="20"/>
        </w:numPr>
        <w:spacing w:after="0" w:line="240" w:lineRule="auto"/>
        <w:contextualSpacing w:val="0"/>
        <w:rPr>
          <w:rFonts w:cstheme="minorHAnsi"/>
        </w:rPr>
      </w:pPr>
      <w:r w:rsidRPr="00990C4D">
        <w:rPr>
          <w:bCs/>
        </w:rPr>
        <w:t>Program Director Check-ins for Comparison Sites</w:t>
      </w:r>
    </w:p>
    <w:p w:rsidR="006265E6" w:rsidP="006265E6" w14:paraId="7CEB5F68" w14:textId="77777777">
      <w:pPr>
        <w:spacing w:after="0" w:line="240" w:lineRule="auto"/>
        <w:ind w:left="720"/>
        <w:rPr>
          <w:rFonts w:cstheme="minorHAnsi"/>
        </w:rPr>
      </w:pPr>
    </w:p>
    <w:p w:rsidR="00C30B20" w:rsidRPr="006265E6" w:rsidP="00F90BA1" w14:paraId="3BCC63A5" w14:textId="6C7A3CB0">
      <w:pPr>
        <w:spacing w:after="0" w:line="240" w:lineRule="auto"/>
        <w:ind w:left="720"/>
        <w:rPr>
          <w:rFonts w:cstheme="minorHAnsi"/>
        </w:rPr>
      </w:pPr>
      <w:r>
        <w:rPr>
          <w:rFonts w:cstheme="minorHAnsi"/>
        </w:rPr>
        <w:t>Additionally, we propose to o</w:t>
      </w:r>
      <w:r w:rsidRPr="006265E6" w:rsidR="00231775">
        <w:rPr>
          <w:rFonts w:cstheme="minorHAnsi"/>
        </w:rPr>
        <w:t xml:space="preserve">ffer youth and young adults the option to participate </w:t>
      </w:r>
      <w:bookmarkStart w:id="0" w:name="_Hlk137040988"/>
      <w:r w:rsidRPr="006265E6" w:rsidR="00231775">
        <w:rPr>
          <w:rFonts w:cstheme="minorHAnsi"/>
        </w:rPr>
        <w:t>in a one-on-one interview instead of a focus group</w:t>
      </w:r>
      <w:bookmarkEnd w:id="0"/>
      <w:r w:rsidRPr="006265E6" w:rsidR="00231775">
        <w:rPr>
          <w:rFonts w:cstheme="minorHAnsi"/>
        </w:rPr>
        <w:t xml:space="preserve">, if they request it. </w:t>
      </w:r>
    </w:p>
    <w:p w:rsidR="001D1C73" w:rsidRPr="009139B3" w:rsidP="00D71987" w14:paraId="0CAA5121" w14:textId="7D83EF31">
      <w:pPr>
        <w:spacing w:after="0" w:line="240" w:lineRule="auto"/>
        <w:ind w:left="720"/>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FA7132" w:rsidP="00FA7132" w14:paraId="24A74203" w14:textId="77777777">
      <w:pPr>
        <w:pStyle w:val="Paragraph"/>
        <w:widowControl w:val="0"/>
        <w:spacing w:after="0" w:line="240" w:lineRule="auto"/>
      </w:pPr>
      <w:r>
        <w:t xml:space="preserve">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 Unstable housing can initiate a negative cycle of poor health, limited employment, and continued housing instability (Dion et al. 2014).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FA7132" w:rsidP="00FA7132" w14:paraId="3F9C41FC" w14:textId="77777777">
      <w:pPr>
        <w:pStyle w:val="Paragraph"/>
        <w:widowControl w:val="0"/>
        <w:spacing w:after="0" w:line="240" w:lineRule="auto"/>
      </w:pPr>
    </w:p>
    <w:p w:rsidR="00FA7132" w:rsidP="00FA7132" w14:paraId="689C32AB" w14:textId="77777777">
      <w:pPr>
        <w:pStyle w:val="Paragraph"/>
        <w:widowControl w:val="0"/>
        <w:spacing w:after="0" w:line="240" w:lineRule="auto"/>
      </w:pPr>
      <w:r>
        <w:t>The current body of evidence does not provide sufficient guidance to child welfare practitioners and other stakeholders 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FA7132" w:rsidP="00FA7132" w14:paraId="4B50A6F5" w14:textId="77777777">
      <w:pPr>
        <w:pStyle w:val="Paragraph"/>
        <w:widowControl w:val="0"/>
        <w:spacing w:after="0" w:line="240" w:lineRule="auto"/>
      </w:pPr>
    </w:p>
    <w:p w:rsidR="00FA7132" w:rsidRPr="00662E7F" w:rsidP="00FA7132" w14:paraId="7021E0DD" w14:textId="77777777">
      <w:pPr>
        <w:pStyle w:val="Paragraph"/>
      </w:pPr>
      <w:r>
        <w:rPr>
          <w:rFonts w:cstheme="minorHAnsi"/>
        </w:rPr>
        <w:t>The Supporting Youth to be Successful in Life (</w:t>
      </w:r>
      <w:r w:rsidRPr="00E04108">
        <w:rPr>
          <w:rFonts w:cstheme="minorHAnsi"/>
        </w:rPr>
        <w:t>SYSIL</w:t>
      </w:r>
      <w:r>
        <w:rPr>
          <w:rFonts w:cstheme="minorHAnsi"/>
        </w:rPr>
        <w:t xml:space="preserve">) study </w:t>
      </w:r>
      <w:r>
        <w:rPr>
          <w:rFonts w:cstheme="minorHAnsi"/>
          <w:iCs/>
          <w:szCs w:val="24"/>
        </w:rPr>
        <w:t>will</w:t>
      </w:r>
      <w:r w:rsidRPr="00E04108">
        <w:rPr>
          <w:rFonts w:cstheme="minorHAnsi"/>
          <w:iCs/>
          <w:szCs w:val="24"/>
        </w:rPr>
        <w:t xml:space="preserve"> build evidence on how to end homelessness </w:t>
      </w:r>
      <w:r>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t xml:space="preserve">Colorado’s </w:t>
      </w:r>
      <w:r w:rsidRPr="00D71D5C">
        <w:rPr>
          <w:iCs/>
        </w:rPr>
        <w:t>Pathways to Success</w:t>
      </w:r>
      <w:r w:rsidRPr="00D71D5C">
        <w:t xml:space="preserve"> comprehensive service model (Pathways). Pathways is an intensive, coach-like case management model for youth at risk of homelessness with child welfare involvement. </w:t>
      </w:r>
      <w:r>
        <w:t xml:space="preserve"> The summative evaluation will assess the impact of Pathways on key outcomes related to housing stability and a successful transition to adulthood for youth and young adults with experience in the child welfare system. The summative evaluation includes an impact study and an implementation study. </w:t>
      </w:r>
    </w:p>
    <w:p w:rsidR="00FA7132" w:rsidRPr="00250D3B" w:rsidP="00FA7132" w14:paraId="5EBC72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FA7132" w:rsidRPr="007641D2" w:rsidP="00FA7132" w14:paraId="75669FEA" w14:textId="77777777">
      <w:pPr>
        <w:spacing w:after="0" w:line="240" w:lineRule="auto"/>
        <w:rPr>
          <w:rFonts w:ascii="Calibri" w:eastAsia="Times New Roman" w:hAnsi="Calibri" w:cs="Calibri"/>
        </w:rPr>
      </w:pPr>
      <w:r w:rsidRPr="007641D2">
        <w:rPr>
          <w:rFonts w:ascii="Calibri" w:eastAsia="Times New Roman" w:hAnsi="Calibri" w:cs="Calibri"/>
        </w:rPr>
        <w:t xml:space="preserve">The purpose of </w:t>
      </w:r>
      <w:r>
        <w:rPr>
          <w:rFonts w:ascii="Calibri" w:eastAsia="Times New Roman" w:hAnsi="Calibri" w:cs="Calibri"/>
        </w:rPr>
        <w:t xml:space="preserve">SYSIL is </w:t>
      </w:r>
      <w:r w:rsidRPr="007641D2">
        <w:rPr>
          <w:rFonts w:ascii="Calibri" w:eastAsia="Times New Roman" w:hAnsi="Calibri" w:cs="Calibri"/>
        </w:rPr>
        <w:t>to</w:t>
      </w:r>
      <w:r>
        <w:rPr>
          <w:rFonts w:ascii="Calibri" w:eastAsia="Times New Roman" w:hAnsi="Calibri" w:cs="Calibri"/>
        </w:rPr>
        <w:t xml:space="preserve"> determine whether and how the Pathways program affects the targeted outcomes for youth and young adults at risk of homelessness and to </w:t>
      </w:r>
      <w:r w:rsidRPr="007641D2">
        <w:rPr>
          <w:rFonts w:ascii="Calibri" w:eastAsia="Times New Roman" w:hAnsi="Calibri" w:cs="Calibri"/>
        </w:rPr>
        <w:t xml:space="preserve">provide a rich understanding </w:t>
      </w:r>
      <w:r>
        <w:rPr>
          <w:rFonts w:ascii="Calibri" w:eastAsia="Times New Roman" w:hAnsi="Calibri" w:cs="Calibri"/>
        </w:rPr>
        <w:t xml:space="preserve">of </w:t>
      </w:r>
      <w:r w:rsidRPr="007641D2">
        <w:rPr>
          <w:rFonts w:ascii="Calibri" w:eastAsia="Times New Roman" w:hAnsi="Calibri" w:cs="Calibri"/>
        </w:rPr>
        <w:t xml:space="preserve">what </w:t>
      </w:r>
      <w:r>
        <w:rPr>
          <w:rFonts w:ascii="Calibri" w:eastAsia="Times New Roman" w:hAnsi="Calibri" w:cs="Calibri"/>
        </w:rPr>
        <w:t xml:space="preserve">is required of </w:t>
      </w:r>
      <w:r w:rsidRPr="007641D2">
        <w:rPr>
          <w:rFonts w:ascii="Calibri" w:eastAsia="Times New Roman" w:hAnsi="Calibri" w:cs="Calibri"/>
        </w:rPr>
        <w:t>organizations to</w:t>
      </w:r>
      <w:r>
        <w:rPr>
          <w:rFonts w:ascii="Calibri" w:eastAsia="Times New Roman" w:hAnsi="Calibri" w:cs="Calibri"/>
        </w:rPr>
        <w:t xml:space="preserve"> implement Pathways. The data collected through the surveys and </w:t>
      </w:r>
      <w:r w:rsidRPr="007641D2">
        <w:rPr>
          <w:rFonts w:ascii="Calibri" w:eastAsia="Times New Roman" w:hAnsi="Calibri" w:cs="Calibri"/>
        </w:rPr>
        <w:t xml:space="preserve">will provide evidence </w:t>
      </w:r>
      <w:r>
        <w:rPr>
          <w:rFonts w:ascii="Calibri" w:eastAsia="Times New Roman" w:hAnsi="Calibri" w:cs="Calibri"/>
        </w:rPr>
        <w:t>on targeted outcomes while data collected through the interviews and focus groups will provide more detailed information about what is required for successful program implementation and service delivery</w:t>
      </w:r>
      <w:r w:rsidRPr="007641D2">
        <w:rPr>
          <w:rFonts w:ascii="Calibri" w:eastAsia="Times New Roman" w:hAnsi="Calibri" w:cs="Calibri"/>
        </w:rPr>
        <w:t xml:space="preserve">. </w:t>
      </w:r>
      <w:r w:rsidRPr="00DC3AF0">
        <w:rPr>
          <w:rFonts w:ascii="Calibri" w:eastAsia="Times New Roman" w:hAnsi="Calibri" w:cs="Calibri"/>
        </w:rPr>
        <w:t>ACF will use th</w:t>
      </w:r>
      <w:r>
        <w:rPr>
          <w:rFonts w:ascii="Calibri" w:eastAsia="Times New Roman" w:hAnsi="Calibri" w:cs="Calibri"/>
        </w:rPr>
        <w:t xml:space="preserve">e data collected through SYSIL </w:t>
      </w:r>
      <w:r w:rsidRPr="00DC3AF0">
        <w:rPr>
          <w:rFonts w:ascii="Calibri" w:eastAsia="Times New Roman" w:hAnsi="Calibri" w:cs="Calibri"/>
        </w:rPr>
        <w:t xml:space="preserve">to </w:t>
      </w:r>
      <w:r>
        <w:rPr>
          <w:rFonts w:ascii="Calibri" w:eastAsia="Times New Roman" w:hAnsi="Calibri" w:cs="Calibri"/>
        </w:rPr>
        <w:t xml:space="preserve">provide </w:t>
      </w:r>
      <w:r w:rsidRPr="00DC3AF0">
        <w:rPr>
          <w:rFonts w:ascii="Calibri" w:eastAsia="Times New Roman" w:hAnsi="Calibri" w:cs="Calibri"/>
        </w:rPr>
        <w:t xml:space="preserve">important information to the field </w:t>
      </w:r>
      <w:r>
        <w:rPr>
          <w:rFonts w:ascii="Calibri" w:eastAsia="Times New Roman" w:hAnsi="Calibri" w:cs="Calibri"/>
        </w:rPr>
        <w:t xml:space="preserve">around the effectiveness and implementation of Pathways, which could inform decisions by other states on their </w:t>
      </w:r>
      <w:r w:rsidRPr="007641D2">
        <w:rPr>
          <w:rFonts w:ascii="Calibri" w:eastAsia="Times New Roman" w:hAnsi="Calibri" w:cs="Calibri"/>
        </w:rPr>
        <w:t xml:space="preserve">Chafee </w:t>
      </w:r>
      <w:r>
        <w:rPr>
          <w:rFonts w:ascii="Calibri" w:eastAsia="Times New Roman" w:hAnsi="Calibri" w:cs="Calibri"/>
        </w:rPr>
        <w:t>services</w:t>
      </w:r>
      <w:r w:rsidRPr="007641D2">
        <w:rPr>
          <w:rFonts w:ascii="Calibri" w:eastAsia="Times New Roman" w:hAnsi="Calibri" w:cs="Calibri"/>
        </w:rPr>
        <w:t>.</w:t>
      </w:r>
      <w:r>
        <w:rPr>
          <w:rFonts w:ascii="Calibri" w:eastAsia="Times New Roman" w:hAnsi="Calibri" w:cs="Calibri"/>
        </w:rPr>
        <w:t xml:space="preserve"> </w:t>
      </w:r>
      <w:r w:rsidRPr="00DC3AF0">
        <w:rPr>
          <w:rFonts w:ascii="Calibri" w:eastAsia="Times New Roman" w:hAnsi="Calibri" w:cs="Calibri"/>
        </w:rPr>
        <w:t xml:space="preserve">  </w:t>
      </w:r>
    </w:p>
    <w:p w:rsidR="00FA7132" w:rsidP="00FA7132" w14:paraId="7D11CEE3" w14:textId="77777777">
      <w:pPr>
        <w:pStyle w:val="Paragraph"/>
        <w:widowControl w:val="0"/>
      </w:pPr>
    </w:p>
    <w:p w:rsidR="00FA7132" w:rsidP="00FA7132" w14:paraId="2F3AD679" w14:textId="77777777">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decision-maker,</w:t>
      </w:r>
      <w:r>
        <w:rPr>
          <w:rFonts w:cs="Calibri"/>
        </w:rPr>
        <w:t xml:space="preserve"> </w:t>
      </w:r>
      <w:r w:rsidRPr="009139B3">
        <w:rPr>
          <w:rFonts w:cs="Calibri"/>
        </w:rPr>
        <w:t xml:space="preserve">and is not expected to meet the threshold of influential or highly influential scientific information.  </w:t>
      </w:r>
    </w:p>
    <w:p w:rsidR="00332900" w:rsidP="001D1C73" w14:paraId="317E7952" w14:textId="5C011DA6">
      <w:pPr>
        <w:spacing w:after="0" w:line="240" w:lineRule="auto"/>
        <w:rPr>
          <w:rFonts w:cs="Calibri"/>
        </w:rPr>
      </w:pPr>
    </w:p>
    <w:p w:rsidR="00332900" w:rsidP="001D1C73" w14:paraId="31DB417F" w14:textId="78479212">
      <w:pPr>
        <w:spacing w:after="0" w:line="240" w:lineRule="auto"/>
        <w:rPr>
          <w:rFonts w:cs="Calibri"/>
          <w:i/>
          <w:iCs/>
        </w:rPr>
      </w:pPr>
      <w:r>
        <w:rPr>
          <w:rFonts w:cs="Calibri"/>
          <w:i/>
          <w:iCs/>
        </w:rPr>
        <w:t>Dissemination Efforts</w:t>
      </w:r>
    </w:p>
    <w:p w:rsidR="00FA7132" w:rsidRPr="00F636CC" w:rsidP="00FA7132" w14:paraId="187CF4EC" w14:textId="77777777">
      <w:pPr>
        <w:pStyle w:val="ListParagraph"/>
        <w:spacing w:after="0"/>
        <w:ind w:left="0"/>
        <w:rPr>
          <w:rFonts w:cs="Calibri"/>
        </w:rPr>
      </w:pPr>
      <w:r>
        <w:rPr>
          <w:rFonts w:cs="Calibri"/>
        </w:rPr>
        <w:t xml:space="preserve">Findings from the impact and implementation studies will be of interest to federal and state agencies providing child welfare and homelessness services, program providers, and youth and young adults. We anticipate traditional reports will be supplemented by other dissemination efforts – such as briefs, infographics, videos, and podcasts – to ensure the findings are shared broadly. We will work with stakeholders and experts to identify appropriate products and strategies to reach the full range of intended audiences. We hope findings will be of interest to both those who participate in the evaluation, live or work in Colorado, and more generally who work with youth and young adults. </w:t>
      </w:r>
    </w:p>
    <w:p w:rsidR="004D64B5" w:rsidRPr="009139B3" w:rsidP="001D1C73" w14:paraId="4835FC24" w14:textId="77777777">
      <w:pPr>
        <w:spacing w:after="0" w:line="240" w:lineRule="auto"/>
        <w:rPr>
          <w:i/>
        </w:rPr>
      </w:pPr>
    </w:p>
    <w:p w:rsidR="001D1C73" w:rsidRPr="009139B3" w:rsidP="001D1C73" w14:paraId="6F0BE561" w14:textId="1AE185AE">
      <w:pPr>
        <w:spacing w:after="60" w:line="240" w:lineRule="auto"/>
        <w:rPr>
          <w:i/>
        </w:rPr>
      </w:pPr>
      <w:r w:rsidRPr="009139B3">
        <w:rPr>
          <w:i/>
        </w:rPr>
        <w:t xml:space="preserve">Research Questions </w:t>
      </w:r>
    </w:p>
    <w:p w:rsidR="002E68D8" w:rsidP="00C125AC" w14:paraId="7FD15571" w14:textId="77777777">
      <w:pPr>
        <w:pStyle w:val="ParagraphContinued"/>
        <w:spacing w:before="0" w:after="60"/>
        <w:rPr>
          <w:iCs/>
        </w:rPr>
      </w:pPr>
      <w:r w:rsidRPr="006E67CC">
        <w:rPr>
          <w:i/>
        </w:rPr>
        <w:t>Impact Study</w:t>
      </w:r>
      <w:r w:rsidR="004D64B5">
        <w:rPr>
          <w:iCs/>
        </w:rPr>
        <w:t xml:space="preserve"> </w:t>
      </w:r>
      <w:r>
        <w:rPr>
          <w:iCs/>
        </w:rPr>
        <w:t xml:space="preserve"> </w:t>
      </w:r>
    </w:p>
    <w:p w:rsidR="00FA7132" w:rsidRPr="00C32311" w:rsidP="00FA7132" w14:paraId="32CF12D6" w14:textId="77777777">
      <w:pPr>
        <w:pStyle w:val="ParagraphContinued"/>
        <w:spacing w:before="0"/>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FA7132" w:rsidP="00FA7132" w14:paraId="4D126000" w14:textId="77777777">
      <w:pPr>
        <w:pStyle w:val="Paragraph"/>
        <w:spacing w:after="120"/>
        <w:rPr>
          <w:rFonts w:eastAsia="Calibri"/>
        </w:rPr>
      </w:pPr>
      <w:r>
        <w:rPr>
          <w:rFonts w:eastAsia="Calibri"/>
        </w:rPr>
        <w:t xml:space="preserve">Answers to two impact research questions will provide evidence of the effect of Pathways for the full study population and for key subgroups:  </w:t>
      </w:r>
    </w:p>
    <w:p w:rsidR="00FA7132" w:rsidRPr="000000C5" w:rsidP="00FA7132" w14:paraId="54F9CC0C" w14:textId="77777777">
      <w:pPr>
        <w:pStyle w:val="ListNumber"/>
        <w:numPr>
          <w:ilvl w:val="0"/>
          <w:numId w:val="5"/>
        </w:numPr>
        <w:rPr>
          <w:rFonts w:eastAsia="Calibri"/>
        </w:rPr>
      </w:pPr>
      <w:r w:rsidRPr="000000C5">
        <w:rPr>
          <w:rFonts w:eastAsia="Calibri"/>
        </w:rPr>
        <w:t>What is the impact of Pathways on key outcomes, including but not limited to housing, educational attainment, employment, permanency, and well-being?</w:t>
      </w:r>
    </w:p>
    <w:p w:rsidR="00FA7132" w:rsidP="00FA7132" w14:paraId="0E15BF5B" w14:textId="77777777">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FA7132" w:rsidP="00FA7132" w14:paraId="735AB51C" w14:textId="77777777">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00FA7132" w:rsidRPr="00AF623C" w:rsidP="00FA7132" w14:paraId="79E2F612" w14:textId="77777777">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FA7132" w:rsidP="00FA7132" w14:paraId="1306F6F8" w14:textId="77777777">
      <w:pPr>
        <w:pStyle w:val="ListNumber"/>
        <w:rPr>
          <w:rFonts w:eastAsia="Calibri"/>
        </w:rPr>
      </w:pPr>
      <w:r>
        <w:rPr>
          <w:rFonts w:eastAsia="Calibri"/>
        </w:rPr>
        <w:t>Is Pathways particularly effective for key subgroups of the target population? Specifically, how do findings differ for the following:</w:t>
      </w:r>
    </w:p>
    <w:p w:rsidR="00FA7132" w:rsidRPr="00AF623C" w:rsidP="00FA7132" w14:paraId="0D3D4743" w14:textId="77777777">
      <w:pPr>
        <w:pStyle w:val="ListAlpha2"/>
        <w:numPr>
          <w:ilvl w:val="0"/>
          <w:numId w:val="4"/>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care</w:t>
      </w:r>
    </w:p>
    <w:p w:rsidR="00FA7132" w:rsidRPr="00AF623C" w:rsidP="00FA7132" w14:paraId="02E38D8A" w14:textId="77777777">
      <w:pPr>
        <w:pStyle w:val="ListAlpha2"/>
        <w:numPr>
          <w:ilvl w:val="0"/>
          <w:numId w:val="4"/>
        </w:numPr>
        <w:spacing w:after="60"/>
        <w:rPr>
          <w:rFonts w:eastAsia="Calibri"/>
        </w:rPr>
      </w:pPr>
      <w:r w:rsidRPr="00AF623C">
        <w:rPr>
          <w:rFonts w:eastAsia="Calibri"/>
        </w:rPr>
        <w:t>Youth with varying foster care backgrounds (for example, age at entry, time in care, second-generation child welfare status, permanency status)</w:t>
      </w:r>
    </w:p>
    <w:p w:rsidR="00FA7132" w:rsidRPr="00AF623C" w:rsidP="00FA7132" w14:paraId="6EB9A373" w14:textId="77777777">
      <w:pPr>
        <w:pStyle w:val="ListAlpha2"/>
        <w:numPr>
          <w:ilvl w:val="0"/>
          <w:numId w:val="4"/>
        </w:numPr>
        <w:spacing w:after="60"/>
        <w:rPr>
          <w:rFonts w:eastAsia="Calibri"/>
        </w:rPr>
      </w:pPr>
      <w:r w:rsidRPr="00AF623C">
        <w:rPr>
          <w:rFonts w:eastAsia="Calibri"/>
        </w:rPr>
        <w:t xml:space="preserve">Youth by gender identity  </w:t>
      </w:r>
    </w:p>
    <w:p w:rsidR="00FA7132" w:rsidRPr="00AF623C" w:rsidP="00FA7132" w14:paraId="62C05515" w14:textId="77777777">
      <w:pPr>
        <w:pStyle w:val="ListAlpha2"/>
        <w:numPr>
          <w:ilvl w:val="0"/>
          <w:numId w:val="4"/>
        </w:numPr>
        <w:spacing w:after="60"/>
        <w:rPr>
          <w:rFonts w:eastAsia="Calibri"/>
        </w:rPr>
      </w:pPr>
      <w:r w:rsidRPr="00AF623C">
        <w:rPr>
          <w:rFonts w:eastAsia="Calibri"/>
        </w:rPr>
        <w:t>Youth who have mental health or substance abuse challenges (potentially stemming from trauma)</w:t>
      </w:r>
    </w:p>
    <w:p w:rsidR="00FA7132" w:rsidRPr="00AF623C" w:rsidP="00FA7132" w14:paraId="078D038A" w14:textId="77777777">
      <w:pPr>
        <w:pStyle w:val="ListAlpha2"/>
        <w:numPr>
          <w:ilvl w:val="0"/>
          <w:numId w:val="4"/>
        </w:numPr>
        <w:spacing w:after="60"/>
        <w:rPr>
          <w:rFonts w:eastAsia="Calibri"/>
        </w:rPr>
      </w:pPr>
      <w:r w:rsidRPr="00AF623C">
        <w:rPr>
          <w:rFonts w:eastAsia="Calibri"/>
        </w:rPr>
        <w:t xml:space="preserve">Youth by race and ethnicity </w:t>
      </w:r>
    </w:p>
    <w:p w:rsidR="00FA7132" w:rsidRPr="00AF623C" w:rsidP="00FA7132" w14:paraId="47CD70BE" w14:textId="77777777">
      <w:pPr>
        <w:pStyle w:val="ListAlpha2"/>
        <w:numPr>
          <w:ilvl w:val="0"/>
          <w:numId w:val="4"/>
        </w:numPr>
        <w:spacing w:after="60"/>
        <w:rPr>
          <w:rFonts w:eastAsia="Calibri"/>
        </w:rPr>
      </w:pPr>
      <w:r w:rsidRPr="00AF623C">
        <w:rPr>
          <w:rFonts w:eastAsia="Calibri"/>
        </w:rPr>
        <w:t>Youth by sexual orientation</w:t>
      </w:r>
    </w:p>
    <w:p w:rsidR="00FA7132" w:rsidP="00FA7132" w14:paraId="2F6AF7ED" w14:textId="77777777">
      <w:pPr>
        <w:pStyle w:val="ListAlpha2"/>
        <w:numPr>
          <w:ilvl w:val="0"/>
          <w:numId w:val="4"/>
        </w:numPr>
        <w:spacing w:after="60"/>
        <w:rPr>
          <w:rFonts w:eastAsia="Calibri"/>
        </w:rPr>
      </w:pPr>
      <w:r w:rsidRPr="00AF623C">
        <w:rPr>
          <w:rFonts w:eastAsia="Calibri"/>
        </w:rPr>
        <w:t>Youth by level of connectedness at program entry</w:t>
      </w:r>
    </w:p>
    <w:p w:rsidR="00FA7132" w:rsidP="00FA7132" w14:paraId="35B5FCD7" w14:textId="77777777">
      <w:pPr>
        <w:pStyle w:val="ListAlpha2"/>
        <w:numPr>
          <w:ilvl w:val="0"/>
          <w:numId w:val="4"/>
        </w:numPr>
        <w:rPr>
          <w:rFonts w:eastAsia="Calibri"/>
        </w:rPr>
      </w:pPr>
      <w:r w:rsidRPr="002822A0">
        <w:rPr>
          <w:rFonts w:eastAsia="Calibri"/>
        </w:rPr>
        <w:t>Youth by the experience of the site implementing Pathways (for example, new implementers or seasoned implementers)</w:t>
      </w:r>
    </w:p>
    <w:p w:rsidR="001377E8" w:rsidP="004D64B5" w14:paraId="6E294C59" w14:textId="77777777">
      <w:pPr>
        <w:spacing w:after="0" w:line="240" w:lineRule="auto"/>
        <w:rPr>
          <w:i/>
        </w:rPr>
      </w:pPr>
    </w:p>
    <w:p w:rsidR="003068A9" w:rsidP="004D64B5" w14:paraId="26A08EAE" w14:textId="19EE8321">
      <w:pPr>
        <w:spacing w:after="0" w:line="240" w:lineRule="auto"/>
        <w:rPr>
          <w:i/>
        </w:rPr>
      </w:pPr>
      <w:r>
        <w:rPr>
          <w:i/>
        </w:rPr>
        <w:t xml:space="preserve">Implementation Study </w:t>
      </w:r>
    </w:p>
    <w:p w:rsidR="00FA7132" w:rsidP="00FA7132" w14:paraId="26EE6EBD" w14:textId="77777777">
      <w:pPr>
        <w:spacing w:after="120" w:line="240" w:lineRule="auto"/>
        <w:rPr>
          <w:iCs/>
        </w:rPr>
      </w:pPr>
      <w:r>
        <w:rPr>
          <w:iCs/>
        </w:rPr>
        <w:t>The implementation study will explore research questions (RQs) related to five topics that will provide information necessary for interpreting the impacts of Pathways and understanding its implementation in different settings:</w:t>
      </w:r>
    </w:p>
    <w:p w:rsidR="00FA7132" w:rsidP="00FA7132" w14:paraId="241B2187" w14:textId="77777777">
      <w:pPr>
        <w:pStyle w:val="ListParagraph"/>
        <w:numPr>
          <w:ilvl w:val="0"/>
          <w:numId w:val="9"/>
        </w:numPr>
        <w:spacing w:after="80" w:line="264" w:lineRule="auto"/>
        <w:ind w:left="360" w:right="360"/>
        <w:rPr>
          <w:iCs/>
        </w:rPr>
      </w:pPr>
      <w:r w:rsidRPr="00292459">
        <w:rPr>
          <w:b/>
          <w:iCs/>
        </w:rPr>
        <w:t>Topic:</w:t>
      </w:r>
      <w:r>
        <w:rPr>
          <w:iCs/>
        </w:rPr>
        <w:t xml:space="preserve"> </w:t>
      </w:r>
      <w:r w:rsidRPr="002F0A92">
        <w:rPr>
          <w:iCs/>
        </w:rPr>
        <w:t>Differences between the Pathways service model and comparison services. The question on this topic addresses the ways in which the Pathways service model differs from services offered to youth and young adults in the comparison condition.</w:t>
      </w:r>
      <w:r>
        <w:rPr>
          <w:iCs/>
        </w:rPr>
        <w:t xml:space="preserve"> The research question is: </w:t>
      </w:r>
    </w:p>
    <w:p w:rsidR="00FA7132" w:rsidRPr="002F0A92" w:rsidP="00FA7132" w14:paraId="3FE1FBDA" w14:textId="77777777">
      <w:pPr>
        <w:pStyle w:val="ListParagraph"/>
        <w:numPr>
          <w:ilvl w:val="1"/>
          <w:numId w:val="9"/>
        </w:numPr>
        <w:spacing w:after="80" w:line="264" w:lineRule="auto"/>
        <w:ind w:left="1080" w:right="360"/>
        <w:rPr>
          <w:iCs/>
        </w:rPr>
      </w:pPr>
      <w:r>
        <w:rPr>
          <w:iCs/>
        </w:rPr>
        <w:t xml:space="preserve">How are services under the Pathways service model distinct from services available in the comparison condition? </w:t>
      </w:r>
    </w:p>
    <w:p w:rsidR="00FA7132" w:rsidRPr="0098127C" w:rsidP="00FA7132" w14:paraId="5B87C2CB" w14:textId="77777777">
      <w:pPr>
        <w:spacing w:after="80" w:line="264" w:lineRule="auto"/>
        <w:ind w:right="360"/>
        <w:rPr>
          <w:iCs/>
          <w:sz w:val="8"/>
          <w:szCs w:val="8"/>
        </w:rPr>
      </w:pPr>
    </w:p>
    <w:p w:rsidR="00FA7132" w:rsidP="00FA7132" w14:paraId="0248D578"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Barriers to and facilitators of Pathways implementation. Questions on this topic address how Pathways leadership and staff put components of the Pathways service model into operation and the factors that contributed to or inhibited implementation.</w:t>
      </w:r>
      <w:r>
        <w:rPr>
          <w:iCs/>
        </w:rPr>
        <w:t xml:space="preserve"> Research questions are: </w:t>
      </w:r>
    </w:p>
    <w:p w:rsidR="00FA7132" w:rsidRPr="00292459" w:rsidP="00FA7132" w14:paraId="3F320967" w14:textId="77777777">
      <w:pPr>
        <w:pStyle w:val="ListParagraph"/>
        <w:numPr>
          <w:ilvl w:val="1"/>
          <w:numId w:val="1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00FA7132" w:rsidRPr="00292459" w:rsidP="00FA7132" w14:paraId="7D9F7FB8" w14:textId="77777777">
      <w:pPr>
        <w:pStyle w:val="ListParagraph"/>
        <w:numPr>
          <w:ilvl w:val="1"/>
          <w:numId w:val="13"/>
        </w:numPr>
        <w:spacing w:after="80" w:line="264" w:lineRule="auto"/>
        <w:ind w:left="1080" w:right="360"/>
        <w:rPr>
          <w:b/>
          <w:iCs/>
        </w:rPr>
      </w:pPr>
      <w:r>
        <w:rPr>
          <w:bCs/>
          <w:iCs/>
        </w:rPr>
        <w:t>To what extent did Pathways sites use continuous quality improvement (CQI) to support implementation? How did CQI support implementation?</w:t>
      </w:r>
    </w:p>
    <w:p w:rsidR="00FA7132" w:rsidRPr="00292459" w:rsidP="00FA7132" w14:paraId="6AF3BBBD" w14:textId="77777777">
      <w:pPr>
        <w:pStyle w:val="ListParagraph"/>
        <w:numPr>
          <w:ilvl w:val="1"/>
          <w:numId w:val="13"/>
        </w:numPr>
        <w:spacing w:after="80" w:line="264" w:lineRule="auto"/>
        <w:ind w:left="1080" w:right="360"/>
        <w:rPr>
          <w:b/>
          <w:iCs/>
        </w:rPr>
      </w:pPr>
      <w:r>
        <w:rPr>
          <w:bCs/>
          <w:iCs/>
        </w:rPr>
        <w:t>What factors (facilitators and barriers) contributed to or hindered initial and ongoing service delivery in Pathways sites?</w:t>
      </w:r>
    </w:p>
    <w:p w:rsidR="00FA7132" w:rsidRPr="008B7E83" w:rsidP="00FA7132" w14:paraId="23763248" w14:textId="77777777">
      <w:pPr>
        <w:pStyle w:val="ListParagraph"/>
        <w:spacing w:after="80" w:line="264" w:lineRule="auto"/>
        <w:ind w:left="360" w:right="360"/>
        <w:rPr>
          <w:iCs/>
        </w:rPr>
      </w:pPr>
    </w:p>
    <w:p w:rsidR="00FA7132" w:rsidP="00FA7132" w14:paraId="0873A7E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Fidelity to the Pathways service model. Questions on this topic address the extent to which sites delivered core services in the comprehensive service model as intended and factors that might have contributed to or hindered fidelity.</w:t>
      </w:r>
      <w:r>
        <w:rPr>
          <w:iCs/>
        </w:rPr>
        <w:t xml:space="preserve"> Research questions are: </w:t>
      </w:r>
    </w:p>
    <w:p w:rsidR="00FA7132" w:rsidRPr="0003586A" w:rsidP="00FA7132" w14:paraId="57FE4301" w14:textId="77777777">
      <w:pPr>
        <w:pStyle w:val="ListParagraph"/>
        <w:numPr>
          <w:ilvl w:val="1"/>
          <w:numId w:val="14"/>
        </w:numPr>
        <w:spacing w:after="80" w:line="264" w:lineRule="auto"/>
        <w:ind w:left="1080" w:right="360"/>
        <w:rPr>
          <w:b/>
          <w:iCs/>
        </w:rPr>
      </w:pPr>
      <w:r>
        <w:rPr>
          <w:bCs/>
          <w:iCs/>
        </w:rPr>
        <w:t>To what extent did the Pathways sites deliver Pathways services with fidelity?</w:t>
      </w:r>
    </w:p>
    <w:p w:rsidR="00FA7132" w:rsidRPr="0003586A" w:rsidP="00FA7132" w14:paraId="505D6CA2" w14:textId="77777777">
      <w:pPr>
        <w:pStyle w:val="ListParagraph"/>
        <w:numPr>
          <w:ilvl w:val="1"/>
          <w:numId w:val="14"/>
        </w:numPr>
        <w:spacing w:after="80" w:line="264" w:lineRule="auto"/>
        <w:ind w:left="1080" w:right="360"/>
        <w:rPr>
          <w:b/>
          <w:iCs/>
        </w:rPr>
      </w:pPr>
      <w:r>
        <w:rPr>
          <w:bCs/>
          <w:iCs/>
        </w:rPr>
        <w:t>To what extent did levels of fidelity vary across Pathways sites?</w:t>
      </w:r>
    </w:p>
    <w:p w:rsidR="00FA7132" w:rsidRPr="0098127C" w:rsidP="00FA7132" w14:paraId="2B1D5294" w14:textId="77777777">
      <w:pPr>
        <w:pStyle w:val="ListParagraph"/>
        <w:numPr>
          <w:ilvl w:val="1"/>
          <w:numId w:val="14"/>
        </w:numPr>
        <w:spacing w:after="80" w:line="264" w:lineRule="auto"/>
        <w:ind w:left="1080" w:right="360"/>
        <w:rPr>
          <w:b/>
          <w:iCs/>
        </w:rPr>
      </w:pPr>
      <w:r>
        <w:rPr>
          <w:bCs/>
          <w:iCs/>
        </w:rPr>
        <w:t>What factors (facilitators and barriers) contributed to or hindered achieving and sustaining fidelity?</w:t>
      </w:r>
    </w:p>
    <w:p w:rsidR="00FA7132" w:rsidRPr="0098127C" w:rsidP="00FA7132" w14:paraId="1EF5B56F" w14:textId="77777777">
      <w:pPr>
        <w:pStyle w:val="ListParagraph"/>
        <w:spacing w:after="80" w:line="264" w:lineRule="auto"/>
        <w:ind w:left="360" w:right="360"/>
        <w:rPr>
          <w:iCs/>
          <w:sz w:val="8"/>
          <w:szCs w:val="8"/>
        </w:rPr>
      </w:pPr>
    </w:p>
    <w:p w:rsidR="00FA7132" w:rsidP="00FA7132" w14:paraId="533E299B"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Pr>
          <w:iCs/>
        </w:rPr>
        <w:t xml:space="preserve"> Research questions are: </w:t>
      </w:r>
    </w:p>
    <w:p w:rsidR="00FA7132" w:rsidRPr="0003586A" w:rsidP="00FA7132" w14:paraId="12CF07B0" w14:textId="77777777">
      <w:pPr>
        <w:pStyle w:val="ListParagraph"/>
        <w:numPr>
          <w:ilvl w:val="1"/>
          <w:numId w:val="15"/>
        </w:numPr>
        <w:spacing w:after="80" w:line="264" w:lineRule="auto"/>
        <w:ind w:left="1080" w:right="360"/>
        <w:rPr>
          <w:b/>
          <w:iCs/>
        </w:rPr>
      </w:pPr>
      <w:r>
        <w:rPr>
          <w:bCs/>
          <w:iCs/>
        </w:rPr>
        <w:t>Which services and resources are available to youth and young adults in the Pathways and comparison groups in the sites where this summative evaluation occurs?</w:t>
      </w:r>
    </w:p>
    <w:p w:rsidR="00FA7132" w:rsidRPr="00292459" w:rsidP="00FA7132" w14:paraId="2B669F64" w14:textId="77777777">
      <w:pPr>
        <w:pStyle w:val="ListParagraph"/>
        <w:numPr>
          <w:ilvl w:val="1"/>
          <w:numId w:val="1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00FA7132" w:rsidRPr="0098127C" w:rsidP="00FA7132" w14:paraId="1AFD7880" w14:textId="77777777">
      <w:pPr>
        <w:pStyle w:val="ListParagraph"/>
        <w:spacing w:after="80" w:line="264" w:lineRule="auto"/>
        <w:ind w:left="360" w:right="360"/>
        <w:rPr>
          <w:iCs/>
          <w:sz w:val="8"/>
          <w:szCs w:val="8"/>
        </w:rPr>
      </w:pPr>
    </w:p>
    <w:p w:rsidR="00FA7132" w:rsidP="00FA7132" w14:paraId="090490A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Youth and young adults’ responsiveness to the Pathways service model. Questions on this topic address youth and young adults’ acceptance of Pathways services and their perceptions of the services.</w:t>
      </w:r>
      <w:r>
        <w:rPr>
          <w:iCs/>
        </w:rPr>
        <w:t xml:space="preserve"> Research questions are: </w:t>
      </w:r>
    </w:p>
    <w:p w:rsidR="00FA7132" w:rsidRPr="0003586A" w:rsidP="00FA7132" w14:paraId="0F2F364F" w14:textId="77777777">
      <w:pPr>
        <w:pStyle w:val="ListParagraph"/>
        <w:numPr>
          <w:ilvl w:val="0"/>
          <w:numId w:val="16"/>
        </w:numPr>
        <w:spacing w:after="80" w:line="264" w:lineRule="auto"/>
        <w:ind w:right="360"/>
        <w:rPr>
          <w:b/>
          <w:iCs/>
        </w:rPr>
      </w:pPr>
      <w:r>
        <w:rPr>
          <w:bCs/>
          <w:iCs/>
        </w:rPr>
        <w:t>What were the characteristics of the population served by Pathways?</w:t>
      </w:r>
    </w:p>
    <w:p w:rsidR="00FA7132" w:rsidRPr="0003586A" w:rsidP="00FA7132" w14:paraId="21433909" w14:textId="77777777">
      <w:pPr>
        <w:pStyle w:val="ListParagraph"/>
        <w:numPr>
          <w:ilvl w:val="0"/>
          <w:numId w:val="16"/>
        </w:numPr>
        <w:spacing w:after="80" w:line="264" w:lineRule="auto"/>
        <w:ind w:right="360"/>
        <w:rPr>
          <w:b/>
          <w:iCs/>
        </w:rPr>
      </w:pPr>
      <w:r>
        <w:rPr>
          <w:bCs/>
          <w:iCs/>
        </w:rPr>
        <w:t>What services were delivered to youth and young adults in Pathways?</w:t>
      </w:r>
    </w:p>
    <w:p w:rsidR="00FA7132" w:rsidP="00FA7132" w14:paraId="2AEFDAEC" w14:textId="77777777">
      <w:pPr>
        <w:pStyle w:val="ListParagraph"/>
        <w:numPr>
          <w:ilvl w:val="0"/>
          <w:numId w:val="16"/>
        </w:numPr>
        <w:spacing w:after="80" w:line="264" w:lineRule="auto"/>
        <w:ind w:right="360"/>
        <w:rPr>
          <w:b/>
          <w:iCs/>
        </w:rPr>
      </w:pPr>
      <w:r>
        <w:rPr>
          <w:bCs/>
          <w:iCs/>
        </w:rPr>
        <w:t>What strategies did Navigators use to promote and maintain youth and young adult engagement?</w:t>
      </w:r>
    </w:p>
    <w:p w:rsidR="00FA7132" w:rsidP="00FA7132" w14:paraId="4EAE629B" w14:textId="77777777">
      <w:pPr>
        <w:pStyle w:val="ListParagraph"/>
        <w:numPr>
          <w:ilvl w:val="0"/>
          <w:numId w:val="16"/>
        </w:numPr>
        <w:spacing w:after="80" w:line="264" w:lineRule="auto"/>
        <w:ind w:right="360"/>
        <w:rPr>
          <w:b/>
          <w:iCs/>
        </w:rPr>
      </w:pPr>
      <w:r>
        <w:rPr>
          <w:bCs/>
          <w:iCs/>
        </w:rPr>
        <w:t>How did engagement vary among youth and young adults participating in the Pathways service model?</w:t>
      </w:r>
    </w:p>
    <w:p w:rsidR="00FA7132" w:rsidP="00FA7132" w14:paraId="1309AA1B" w14:textId="77777777">
      <w:pPr>
        <w:pStyle w:val="ListParagraph"/>
        <w:numPr>
          <w:ilvl w:val="0"/>
          <w:numId w:val="16"/>
        </w:numPr>
        <w:spacing w:after="80" w:line="264" w:lineRule="auto"/>
        <w:ind w:right="360"/>
        <w:rPr>
          <w:b/>
          <w:iCs/>
        </w:rPr>
      </w:pPr>
      <w:r>
        <w:rPr>
          <w:bCs/>
          <w:iCs/>
        </w:rPr>
        <w:t>What were youth and young adults’ perceptions of Pathways services? How did they describe their experience in Pathways?</w:t>
      </w:r>
    </w:p>
    <w:p w:rsidR="00923B2F" w:rsidRPr="006F0C1C" w:rsidP="006F0C1C" w14:paraId="44663D06" w14:textId="77777777">
      <w:pPr>
        <w:spacing w:after="0" w:line="240" w:lineRule="auto"/>
        <w:rPr>
          <w:iCs/>
        </w:rPr>
      </w:pPr>
    </w:p>
    <w:p w:rsidR="001D1C73" w:rsidP="001D1C73" w14:paraId="51121746" w14:textId="5FE0D51A">
      <w:pPr>
        <w:spacing w:after="60" w:line="240" w:lineRule="auto"/>
        <w:rPr>
          <w:i/>
        </w:rPr>
      </w:pPr>
      <w:r w:rsidRPr="009139B3">
        <w:rPr>
          <w:i/>
        </w:rPr>
        <w:t>Study Design</w:t>
      </w:r>
    </w:p>
    <w:p w:rsidR="00FA7132" w:rsidP="00FA7132" w14:paraId="23C2B58A" w14:textId="77777777">
      <w:pPr>
        <w:spacing w:after="60" w:line="240" w:lineRule="auto"/>
        <w:rPr>
          <w:iCs/>
        </w:rPr>
      </w:pPr>
      <w:r w:rsidRPr="00CC3C59">
        <w:rPr>
          <w:rFonts w:eastAsia="Calibri"/>
          <w:i/>
          <w:iCs/>
        </w:rPr>
        <w:t>Impact Study</w:t>
      </w:r>
      <w:r>
        <w:rPr>
          <w:rFonts w:eastAsia="Calibri"/>
        </w:rPr>
        <w:t xml:space="preserve"> </w:t>
      </w:r>
    </w:p>
    <w:p w:rsidR="00FA7132" w:rsidP="00FA7132" w14:paraId="7FBB45F9" w14:textId="77777777">
      <w:pPr>
        <w:pStyle w:val="Paragraph"/>
      </w:pPr>
      <w:r>
        <w:t>The impact study approach consists of a cluster QED that will use survey data as the primary data source for key outcomes of interest and be supplemented by administrative data elements.</w:t>
      </w:r>
      <w:r>
        <w:rPr>
          <w:rStyle w:val="FootnoteReference"/>
        </w:rPr>
        <w:footnoteReference w:id="3"/>
      </w:r>
      <w:r>
        <w:t xml:space="preserve"> Thirty-seven counties within Colorado will participate in the impact study.</w:t>
      </w:r>
      <w:r>
        <w:rPr>
          <w:rStyle w:val="FootnoteReference"/>
        </w:rPr>
        <w:footnoteReference w:id="4"/>
      </w:r>
      <w:r>
        <w:t xml:space="preserve"> Data will be collected from youth in participating counties at baseline, and at 6-, 12- and 24-months after study enrollment. By comparing youth in treatment sites to youth in comparison sites, the study will be able to show the effectiveness of Pathways on a large number of outcomes collected in the survey and available in the administrative data.  </w:t>
      </w:r>
    </w:p>
    <w:p w:rsidR="00FA7132" w:rsidP="00FA7132" w14:paraId="4E784F4D" w14:textId="77777777">
      <w:pPr>
        <w:pStyle w:val="Paragraph"/>
      </w:pPr>
      <w:r>
        <w:t>Given the available data from the baseline survey and from the administrative data systems, we are confident that we can demonstrate the equivalence of the treatment and comparison groups on a large number of potential confounders. Demonstrating equivalence at baseline helps the study to produce strong, internally valid impact estimates. The demonstration of baseline equivalence helps address the limitation of all QEDs that 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more fully supplement the main impact study. Specifically, we will use a larger pool of potential sample members to expand the comparison group and conduct an analysis that obviates the need to do a clustering correction. This change will address the chief limitation of the main study design: statistical power</w:t>
      </w:r>
      <w:r w:rsidRPr="00273DF4">
        <w:t>. We will acknowledge these limitations in all publications that describe the findings of this study.</w:t>
      </w:r>
      <w:r>
        <w:t xml:space="preserve"> </w:t>
      </w:r>
    </w:p>
    <w:p w:rsidR="00FA7132" w:rsidP="00FA7132" w14:paraId="788721E6" w14:textId="77777777">
      <w:pPr>
        <w:spacing w:after="60" w:line="240" w:lineRule="auto"/>
        <w:rPr>
          <w:i/>
          <w:iCs/>
        </w:rPr>
      </w:pPr>
    </w:p>
    <w:p w:rsidR="00FA7132" w:rsidRPr="003068A9" w:rsidP="00FA7132" w14:paraId="732C6817" w14:textId="77777777">
      <w:pPr>
        <w:spacing w:after="60" w:line="240" w:lineRule="auto"/>
      </w:pPr>
      <w:r w:rsidRPr="00EB669F">
        <w:rPr>
          <w:i/>
          <w:iCs/>
        </w:rPr>
        <w:t>Implementation Study</w:t>
      </w:r>
      <w:r>
        <w:t xml:space="preserve"> </w:t>
      </w:r>
    </w:p>
    <w:p w:rsidR="00FA7132" w:rsidRPr="006761F6" w:rsidP="00FA7132" w14:paraId="09A23E28" w14:textId="77777777">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FA7132" w:rsidP="00FA7132" w14:paraId="30374B7D" w14:textId="77777777">
      <w:pPr>
        <w:spacing w:after="60" w:line="240" w:lineRule="auto"/>
        <w:rPr>
          <w:iCs/>
        </w:rPr>
      </w:pPr>
    </w:p>
    <w:p w:rsidR="00FA7132" w:rsidP="00FA7132" w14:paraId="5457D4C6" w14:textId="77777777">
      <w:pPr>
        <w:spacing w:after="0" w:line="240" w:lineRule="auto"/>
        <w:rPr>
          <w:iCs/>
        </w:rPr>
      </w:pPr>
      <w:r w:rsidRPr="00BF60A6">
        <w:rPr>
          <w:iCs/>
        </w:rPr>
        <w:t xml:space="preserve">We will conduct two rounds of site visits to </w:t>
      </w:r>
      <w:r>
        <w:rPr>
          <w:iCs/>
        </w:rPr>
        <w:t>12 sites (6 sites delivering Pathways and 6 sites delivering comparison services) for</w:t>
      </w:r>
      <w:r w:rsidRPr="00BF60A6">
        <w:rPr>
          <w:iCs/>
        </w:rPr>
        <w:t xml:space="preserve"> the implementation study. During these site visits, we will speak with a range of stakeholders involved in Pathways services and comparison services. </w:t>
      </w:r>
      <w:r>
        <w:rPr>
          <w:iCs/>
        </w:rPr>
        <w:t xml:space="preserve">We will also conduct focus groups with youth and young adults who receive services in both the Pathways and comparison sites. </w:t>
      </w:r>
      <w:r w:rsidRPr="00BF60A6">
        <w:rPr>
          <w:iCs/>
        </w:rPr>
        <w:t xml:space="preserve">The site visits will occur </w:t>
      </w:r>
      <w:r>
        <w:rPr>
          <w:iCs/>
        </w:rPr>
        <w:t>at about</w:t>
      </w:r>
      <w:r w:rsidRPr="00BF60A6">
        <w:rPr>
          <w:iCs/>
        </w:rPr>
        <w:t xml:space="preserve"> 4 to 6 months after enrollment begins and </w:t>
      </w:r>
      <w:r>
        <w:rPr>
          <w:iCs/>
        </w:rPr>
        <w:t xml:space="preserve">at </w:t>
      </w:r>
      <w:r w:rsidRPr="00BF60A6">
        <w:rPr>
          <w:iCs/>
        </w:rPr>
        <w:t xml:space="preserve">18 to 20 months after enrollment begins. We will collect and analyze program administrative data to assess patterns of service delivery and describe the extent to which Pathways services are delivered with fidelity. </w:t>
      </w:r>
    </w:p>
    <w:p w:rsidR="00FA7132" w:rsidP="00FA7132" w14:paraId="488A8C04" w14:textId="77777777">
      <w:pPr>
        <w:spacing w:after="60" w:line="240" w:lineRule="auto"/>
        <w:rPr>
          <w:iCs/>
        </w:rPr>
      </w:pPr>
    </w:p>
    <w:p w:rsidR="00FA7132" w:rsidP="00FA7132" w14:paraId="062A585D" w14:textId="77777777">
      <w:pPr>
        <w:spacing w:after="60" w:line="240" w:lineRule="auto"/>
        <w:rPr>
          <w:iCs/>
        </w:rPr>
      </w:pPr>
      <w:r w:rsidRPr="006E389A">
        <w:t xml:space="preserve">We will </w:t>
      </w:r>
      <w:r>
        <w:t xml:space="preserve">also </w:t>
      </w:r>
      <w:r w:rsidRPr="006E389A">
        <w:t xml:space="preserve">conduct two additional “check-ins” </w:t>
      </w:r>
      <w:r>
        <w:t xml:space="preserve">by telephone </w:t>
      </w:r>
      <w:r w:rsidRPr="006E389A">
        <w:t xml:space="preserve">with program directors </w:t>
      </w:r>
      <w:r>
        <w:t xml:space="preserve">from all 16 sites </w:t>
      </w:r>
      <w:r w:rsidRPr="006E389A">
        <w:t xml:space="preserve">to ask about current service delivery. We anticipate the first check-in will occur between the first and second site visit. The second check-in will occur after the second site visit. </w:t>
      </w:r>
    </w:p>
    <w:p w:rsidR="00FA7132" w:rsidP="00FA7132" w14:paraId="218C9246" w14:textId="77777777">
      <w:pPr>
        <w:spacing w:after="0" w:line="240" w:lineRule="auto"/>
        <w:rPr>
          <w:iCs/>
        </w:rPr>
      </w:pPr>
      <w:r>
        <w:rPr>
          <w:iCs/>
        </w:rPr>
        <w:t>Table A.2 provides an overview of the data collection instruments.</w:t>
      </w:r>
    </w:p>
    <w:p w:rsidR="00076786" w:rsidP="00D831A9" w14:paraId="18AF072C" w14:textId="77777777">
      <w:pPr>
        <w:spacing w:after="0" w:line="240" w:lineRule="auto"/>
        <w:rPr>
          <w:iCs/>
        </w:rPr>
      </w:pPr>
    </w:p>
    <w:p w:rsidR="00CC3C59" w:rsidRPr="00A968B2" w:rsidP="00D831A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tblPr>
      <w:tblGrid>
        <w:gridCol w:w="2245"/>
        <w:gridCol w:w="1440"/>
        <w:gridCol w:w="5490"/>
        <w:gridCol w:w="1170"/>
      </w:tblGrid>
      <w:tr w14:paraId="7A08A530" w14:textId="77777777" w:rsidTr="008023E7">
        <w:tblPrEx>
          <w:tblW w:w="10345" w:type="dxa"/>
          <w:tblInd w:w="0" w:type="dxa"/>
          <w:tblLayout w:type="fixed"/>
          <w:tblLook w:val="04A0"/>
        </w:tblPrEx>
        <w:trPr>
          <w:tblHeader/>
        </w:trPr>
        <w:tc>
          <w:tcPr>
            <w:tcW w:w="2245" w:type="dxa"/>
            <w:shd w:val="clear" w:color="auto" w:fill="D9D9D9" w:themeFill="background1" w:themeFillShade="D9"/>
          </w:tcPr>
          <w:p w:rsidR="001D1C73" w:rsidRPr="009139B3" w:rsidP="003555C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440" w:type="dxa"/>
            <w:shd w:val="clear" w:color="auto" w:fill="D9D9D9" w:themeFill="background1" w:themeFillShade="D9"/>
          </w:tcPr>
          <w:p w:rsidR="001D1C73" w:rsidRPr="009139B3" w:rsidP="003555C3" w14:paraId="27BC6F15" w14:textId="3F2BC5A4">
            <w:pPr>
              <w:rPr>
                <w:rFonts w:asciiTheme="minorHAnsi" w:hAnsiTheme="minorHAnsi" w:cstheme="minorHAnsi"/>
                <w:i/>
              </w:rPr>
            </w:pPr>
            <w:r w:rsidRPr="009139B3">
              <w:rPr>
                <w:rFonts w:asciiTheme="minorHAnsi" w:hAnsiTheme="minorHAnsi" w:cstheme="minorHAnsi"/>
                <w:i/>
              </w:rPr>
              <w:t>Instrument(s)</w:t>
            </w:r>
          </w:p>
        </w:tc>
        <w:tc>
          <w:tcPr>
            <w:tcW w:w="5490" w:type="dxa"/>
            <w:shd w:val="clear" w:color="auto" w:fill="D9D9D9" w:themeFill="background1" w:themeFillShade="D9"/>
          </w:tcPr>
          <w:p w:rsidR="001D1C73" w:rsidRPr="009139B3" w:rsidP="003555C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170" w:type="dxa"/>
            <w:shd w:val="clear" w:color="auto" w:fill="D9D9D9" w:themeFill="background1" w:themeFillShade="D9"/>
          </w:tcPr>
          <w:p w:rsidR="001D1C73" w:rsidRPr="009139B3" w:rsidP="003555C3"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148EF023" w14:textId="77777777" w:rsidTr="0079272C">
        <w:tblPrEx>
          <w:tblW w:w="10345" w:type="dxa"/>
          <w:tblInd w:w="0" w:type="dxa"/>
          <w:tblLayout w:type="fixed"/>
          <w:tblLook w:val="04A0"/>
        </w:tblPrEx>
        <w:tc>
          <w:tcPr>
            <w:tcW w:w="2245" w:type="dxa"/>
          </w:tcPr>
          <w:p w:rsidR="00FA7132" w:rsidRPr="004E1C21" w:rsidP="00FA7132" w14:paraId="4D2F3A2E" w14:textId="1EDFA416">
            <w:pPr>
              <w:rPr>
                <w:rFonts w:asciiTheme="minorHAnsi" w:hAnsiTheme="minorHAnsi" w:cstheme="minorHAnsi"/>
              </w:rPr>
            </w:pPr>
            <w:r w:rsidRPr="004E1C21">
              <w:rPr>
                <w:rFonts w:asciiTheme="minorHAnsi" w:hAnsiTheme="minorHAnsi" w:cstheme="minorHAnsi"/>
              </w:rPr>
              <w:t xml:space="preserve">Baseline Data Collection </w:t>
            </w:r>
          </w:p>
        </w:tc>
        <w:tc>
          <w:tcPr>
            <w:tcW w:w="1440" w:type="dxa"/>
          </w:tcPr>
          <w:p w:rsidR="00FA7132" w:rsidRPr="004E1C21" w:rsidP="00FA7132" w14:paraId="27D7C22A" w14:textId="080396C8">
            <w:pPr>
              <w:rPr>
                <w:rFonts w:asciiTheme="minorHAnsi" w:hAnsiTheme="minorHAnsi" w:cstheme="minorHAnsi"/>
              </w:rPr>
            </w:pPr>
            <w:r w:rsidRPr="004E1C21">
              <w:rPr>
                <w:rFonts w:asciiTheme="minorHAnsi" w:hAnsiTheme="minorHAnsi" w:cstheme="minorHAnsi"/>
              </w:rPr>
              <w:t>Youth Survey</w:t>
            </w:r>
            <w:r w:rsidRPr="007059DF">
              <w:rPr>
                <w:rFonts w:asciiTheme="minorHAnsi" w:hAnsiTheme="minorHAnsi" w:cstheme="minorHAnsi"/>
                <w:vertAlign w:val="superscript"/>
              </w:rPr>
              <w:t>*</w:t>
            </w:r>
            <w:r w:rsidRPr="007059DF">
              <w:rPr>
                <w:rFonts w:asciiTheme="minorHAnsi" w:hAnsiTheme="minorHAnsi" w:cstheme="minorHAnsi"/>
              </w:rPr>
              <w:t xml:space="preserve"> </w:t>
            </w:r>
          </w:p>
        </w:tc>
        <w:tc>
          <w:tcPr>
            <w:tcW w:w="5490" w:type="dxa"/>
          </w:tcPr>
          <w:p w:rsidR="00FA7132" w:rsidRPr="004E1C21" w:rsidP="00FA7132" w14:paraId="2C834B2D"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43E7CBCC" w14:textId="77777777">
            <w:pPr>
              <w:rPr>
                <w:rFonts w:asciiTheme="minorHAnsi" w:hAnsiTheme="minorHAnsi" w:cstheme="minorHAnsi"/>
              </w:rPr>
            </w:pPr>
          </w:p>
          <w:p w:rsidR="00FA7132" w:rsidRPr="004E1C21" w:rsidP="00FA7132" w14:paraId="2E8231C5"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53BC122E" w14:textId="77777777">
            <w:pPr>
              <w:rPr>
                <w:rFonts w:asciiTheme="minorHAnsi" w:hAnsiTheme="minorHAnsi" w:cstheme="minorHAnsi"/>
              </w:rPr>
            </w:pPr>
          </w:p>
          <w:p w:rsidR="00FA7132" w:rsidRPr="004E1C21" w:rsidP="00FA7132" w14:paraId="7D736580" w14:textId="711250B7">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 xml:space="preserve">: </w:t>
            </w:r>
            <w:r>
              <w:rPr>
                <w:rFonts w:asciiTheme="minorHAnsi" w:hAnsiTheme="minorHAnsi" w:cstheme="minorHAnsi"/>
              </w:rPr>
              <w:t xml:space="preserve">To </w:t>
            </w:r>
            <w:r w:rsidRPr="004E1C21">
              <w:rPr>
                <w:rFonts w:asciiTheme="minorHAnsi" w:hAnsiTheme="minorHAnsi" w:cstheme="minorHAnsi"/>
              </w:rPr>
              <w:t>describe the target population and allow for a demonstration of baseline equivalence</w:t>
            </w:r>
          </w:p>
        </w:tc>
        <w:tc>
          <w:tcPr>
            <w:tcW w:w="1170" w:type="dxa"/>
          </w:tcPr>
          <w:p w:rsidR="00FA7132" w:rsidRPr="004E1C21" w:rsidP="00FA7132" w14:paraId="72EDB2BC" w14:textId="77777777">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Web</w:t>
            </w:r>
            <w:r>
              <w:rPr>
                <w:rFonts w:asciiTheme="minorHAnsi" w:hAnsiTheme="minorHAnsi" w:cstheme="minorHAnsi"/>
              </w:rPr>
              <w:t xml:space="preserve"> and phone </w:t>
            </w:r>
          </w:p>
          <w:p w:rsidR="00FA7132" w:rsidRPr="004E1C21" w:rsidP="00FA7132" w14:paraId="23EED454" w14:textId="77777777">
            <w:pPr>
              <w:rPr>
                <w:rFonts w:asciiTheme="minorHAnsi" w:hAnsiTheme="minorHAnsi" w:cstheme="minorHAnsi"/>
              </w:rPr>
            </w:pPr>
          </w:p>
          <w:p w:rsidR="00FA7132" w:rsidRPr="004E1C21" w:rsidP="00FA7132" w14:paraId="63176BC9" w14:textId="1C546213">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Pr>
                <w:rFonts w:asciiTheme="minorHAnsi" w:hAnsiTheme="minorHAnsi" w:cstheme="minorHAnsi"/>
              </w:rPr>
              <w:t xml:space="preserve">25 </w:t>
            </w:r>
            <w:r w:rsidRPr="004E1C21">
              <w:rPr>
                <w:rFonts w:asciiTheme="minorHAnsi" w:hAnsiTheme="minorHAnsi" w:cstheme="minorHAnsi"/>
              </w:rPr>
              <w:t xml:space="preserve"> minutes </w:t>
            </w:r>
          </w:p>
        </w:tc>
      </w:tr>
      <w:tr w14:paraId="67F3C42B" w14:textId="77777777" w:rsidTr="0079272C">
        <w:tblPrEx>
          <w:tblW w:w="10345" w:type="dxa"/>
          <w:tblInd w:w="0" w:type="dxa"/>
          <w:tblLayout w:type="fixed"/>
          <w:tblLook w:val="04A0"/>
        </w:tblPrEx>
        <w:tc>
          <w:tcPr>
            <w:tcW w:w="2245" w:type="dxa"/>
          </w:tcPr>
          <w:p w:rsidR="00FA7132" w:rsidRPr="004E1C21" w:rsidP="00FA7132" w14:paraId="4A9F3AB1" w14:textId="5B64DA7D">
            <w:pPr>
              <w:rPr>
                <w:rFonts w:asciiTheme="minorHAnsi" w:hAnsiTheme="minorHAnsi" w:cstheme="minorHAnsi"/>
              </w:rPr>
            </w:pPr>
            <w:r w:rsidRPr="004E1C21">
              <w:rPr>
                <w:rFonts w:asciiTheme="minorHAnsi" w:hAnsiTheme="minorHAnsi" w:cstheme="minorHAnsi"/>
              </w:rPr>
              <w:t>Follow-up data collection (6</w:t>
            </w:r>
            <w:r>
              <w:rPr>
                <w:rFonts w:asciiTheme="minorHAnsi" w:hAnsiTheme="minorHAnsi" w:cstheme="minorHAnsi"/>
              </w:rPr>
              <w:t>-</w:t>
            </w:r>
            <w:r w:rsidRPr="004E1C21">
              <w:rPr>
                <w:rFonts w:asciiTheme="minorHAnsi" w:hAnsiTheme="minorHAnsi" w:cstheme="minorHAnsi"/>
              </w:rPr>
              <w:t>months</w:t>
            </w:r>
            <w:r>
              <w:rPr>
                <w:rFonts w:asciiTheme="minorHAnsi" w:hAnsiTheme="minorHAnsi" w:cstheme="minorHAnsi"/>
              </w:rPr>
              <w:t>, 12-months, and 24-months</w:t>
            </w:r>
            <w:r w:rsidRPr="004E1C21">
              <w:rPr>
                <w:rFonts w:asciiTheme="minorHAnsi" w:hAnsiTheme="minorHAnsi" w:cstheme="minorHAnsi"/>
              </w:rPr>
              <w:t xml:space="preserve">) </w:t>
            </w:r>
          </w:p>
        </w:tc>
        <w:tc>
          <w:tcPr>
            <w:tcW w:w="1440" w:type="dxa"/>
          </w:tcPr>
          <w:p w:rsidR="00FA7132" w:rsidRPr="004E1C21" w:rsidP="00FA7132" w14:paraId="599B792F" w14:textId="02C05493">
            <w:pPr>
              <w:rPr>
                <w:rFonts w:asciiTheme="minorHAnsi" w:hAnsiTheme="minorHAnsi" w:cstheme="minorHAnsi"/>
              </w:rPr>
            </w:pPr>
            <w:r w:rsidRPr="004E1C21">
              <w:rPr>
                <w:rFonts w:asciiTheme="minorHAnsi" w:hAnsiTheme="minorHAnsi" w:cstheme="minorHAnsi"/>
              </w:rPr>
              <w:t xml:space="preserve">Youth Survey </w:t>
            </w:r>
          </w:p>
        </w:tc>
        <w:tc>
          <w:tcPr>
            <w:tcW w:w="5490" w:type="dxa"/>
          </w:tcPr>
          <w:p w:rsidR="00FA7132" w:rsidRPr="004E1C21" w:rsidP="00FA7132" w14:paraId="27792CA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6EB38ED6" w14:textId="77777777">
            <w:pPr>
              <w:rPr>
                <w:rFonts w:asciiTheme="minorHAnsi" w:hAnsiTheme="minorHAnsi" w:cstheme="minorHAnsi"/>
              </w:rPr>
            </w:pPr>
          </w:p>
          <w:p w:rsidR="00FA7132" w:rsidRPr="004E1C21" w:rsidP="00FA7132" w14:paraId="797B9C1A"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16209519" w14:textId="77777777">
            <w:pPr>
              <w:rPr>
                <w:rFonts w:asciiTheme="minorHAnsi" w:hAnsiTheme="minorHAnsi" w:cstheme="minorHAnsi"/>
              </w:rPr>
            </w:pPr>
          </w:p>
          <w:p w:rsidR="00FA7132" w:rsidP="00FA7132" w14:paraId="7B049919" w14:textId="77777777">
            <w:pPr>
              <w:rPr>
                <w:rFonts w:asciiTheme="minorHAnsi" w:hAnsiTheme="minorHAnsi" w:cstheme="minorHAnsi"/>
              </w:rPr>
            </w:pPr>
            <w:r w:rsidRPr="004E1C21">
              <w:rPr>
                <w:rFonts w:asciiTheme="minorHAnsi" w:hAnsiTheme="minorHAnsi" w:cstheme="minorHAnsi"/>
                <w:b/>
              </w:rPr>
              <w:t>Purpose</w:t>
            </w:r>
            <w:r>
              <w:rPr>
                <w:rFonts w:asciiTheme="minorHAnsi" w:hAnsiTheme="minorHAnsi" w:cstheme="minorHAnsi"/>
                <w:b/>
              </w:rPr>
              <w:t xml:space="preserve"> (6-months)</w:t>
            </w:r>
            <w:r w:rsidRPr="004E1C21">
              <w:rPr>
                <w:rFonts w:asciiTheme="minorHAnsi" w:hAnsiTheme="minorHAnsi" w:cstheme="minorHAnsi"/>
              </w:rPr>
              <w:t xml:space="preserve">: </w:t>
            </w:r>
            <w:r>
              <w:rPr>
                <w:rFonts w:asciiTheme="minorHAnsi" w:hAnsiTheme="minorHAnsi" w:cstheme="minorHAnsi"/>
              </w:rPr>
              <w:t>To</w:t>
            </w:r>
            <w:r w:rsidRPr="004E1C21">
              <w:rPr>
                <w:rFonts w:asciiTheme="minorHAnsi" w:hAnsiTheme="minorHAnsi" w:cstheme="minorHAnsi"/>
              </w:rPr>
              <w:t xml:space="preserve"> examine </w:t>
            </w:r>
            <w:r>
              <w:rPr>
                <w:rFonts w:asciiTheme="minorHAnsi" w:hAnsiTheme="minorHAnsi" w:cstheme="minorHAnsi"/>
              </w:rPr>
              <w:t xml:space="preserve">short-term </w:t>
            </w:r>
            <w:r w:rsidRPr="004E1C21">
              <w:rPr>
                <w:rFonts w:asciiTheme="minorHAnsi" w:hAnsiTheme="minorHAnsi" w:cstheme="minorHAnsi"/>
              </w:rPr>
              <w:t>impacts across outcome domains of interest</w:t>
            </w:r>
          </w:p>
          <w:p w:rsidR="00FA7132" w:rsidP="00FA7132" w14:paraId="7A725D0C"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FA7132" w:rsidRPr="004E1C21" w:rsidP="00FA7132" w14:paraId="481BA18A" w14:textId="402093F0">
            <w:pPr>
              <w:rPr>
                <w:rFonts w:asciiTheme="minorHAnsi" w:hAnsiTheme="minorHAnsi" w:cstheme="minorHAnsi"/>
                <w:b/>
              </w:rPr>
            </w:pPr>
            <w:r>
              <w:rPr>
                <w:rFonts w:asciiTheme="minorHAnsi" w:hAnsiTheme="minorHAnsi" w:cstheme="minorHAnsi"/>
                <w:b/>
              </w:rPr>
              <w:t xml:space="preserve">Purpose (24-months): </w:t>
            </w:r>
            <w:r>
              <w:rPr>
                <w:rFonts w:asciiTheme="minorHAnsi" w:hAnsiTheme="minorHAnsi" w:cstheme="minorHAnsi"/>
                <w:bCs/>
              </w:rPr>
              <w:t>To</w:t>
            </w:r>
            <w:r w:rsidRPr="004E1C21">
              <w:rPr>
                <w:rFonts w:asciiTheme="minorHAnsi" w:hAnsiTheme="minorHAnsi" w:cstheme="minorHAnsi"/>
                <w:bCs/>
              </w:rPr>
              <w:t xml:space="preserve"> examine </w:t>
            </w:r>
            <w:r>
              <w:rPr>
                <w:rFonts w:asciiTheme="minorHAnsi" w:hAnsiTheme="minorHAnsi" w:cstheme="minorHAnsi"/>
                <w:bCs/>
              </w:rPr>
              <w:t xml:space="preserve">long-term </w:t>
            </w:r>
            <w:r w:rsidRPr="004E1C21">
              <w:rPr>
                <w:rFonts w:asciiTheme="minorHAnsi" w:hAnsiTheme="minorHAnsi" w:cstheme="minorHAnsi"/>
                <w:bCs/>
              </w:rPr>
              <w:t>impacts across outcome domains of interest</w:t>
            </w:r>
          </w:p>
        </w:tc>
        <w:tc>
          <w:tcPr>
            <w:tcW w:w="1170" w:type="dxa"/>
          </w:tcPr>
          <w:p w:rsidR="00FA7132" w:rsidP="00FA7132" w14:paraId="1778047A" w14:textId="77777777">
            <w:pPr>
              <w:rPr>
                <w:rFonts w:asciiTheme="minorHAnsi" w:hAnsiTheme="minorHAnsi" w:cstheme="minorHAnsi"/>
              </w:rPr>
            </w:pPr>
            <w:r w:rsidRPr="004E1C21">
              <w:rPr>
                <w:rFonts w:asciiTheme="minorHAnsi" w:hAnsiTheme="minorHAnsi" w:cstheme="minorHAnsi"/>
                <w:b/>
              </w:rPr>
              <w:t>Mode</w:t>
            </w:r>
            <w:r>
              <w:rPr>
                <w:rFonts w:asciiTheme="minorHAnsi" w:hAnsiTheme="minorHAnsi" w:cstheme="minorHAnsi"/>
                <w:b/>
              </w:rPr>
              <w:t xml:space="preserve"> (6-months)</w:t>
            </w:r>
            <w:r w:rsidRPr="004E1C21">
              <w:rPr>
                <w:rFonts w:asciiTheme="minorHAnsi" w:hAnsiTheme="minorHAnsi" w:cstheme="minorHAnsi"/>
              </w:rPr>
              <w:t>: Web</w:t>
            </w:r>
            <w:r>
              <w:rPr>
                <w:rFonts w:asciiTheme="minorHAnsi" w:hAnsiTheme="minorHAnsi" w:cstheme="minorHAnsi"/>
              </w:rPr>
              <w:t xml:space="preserve"> and phone </w:t>
            </w:r>
          </w:p>
          <w:p w:rsidR="00FA7132" w:rsidRPr="00063AAF" w:rsidP="00FA7132" w14:paraId="7250709E" w14:textId="77777777">
            <w:pPr>
              <w:rPr>
                <w:rFonts w:asciiTheme="minorHAnsi" w:hAnsiTheme="minorHAnsi" w:cstheme="minorHAnsi"/>
              </w:rPr>
            </w:pPr>
            <w:r>
              <w:rPr>
                <w:rFonts w:asciiTheme="minorHAnsi" w:hAnsiTheme="minorHAnsi" w:cstheme="minorHAnsi"/>
                <w:b/>
                <w:bCs/>
              </w:rPr>
              <w:t xml:space="preserve">Mode (12- and 24-months): </w:t>
            </w:r>
            <w:r>
              <w:rPr>
                <w:rFonts w:asciiTheme="minorHAnsi" w:hAnsiTheme="minorHAnsi" w:cstheme="minorHAnsi"/>
              </w:rPr>
              <w:t>Web, with phone and field non-response follow-up</w:t>
            </w:r>
          </w:p>
          <w:p w:rsidR="00FA7132" w:rsidRPr="004E1C21" w:rsidP="00FA7132" w14:paraId="12FD555D" w14:textId="77777777">
            <w:pPr>
              <w:rPr>
                <w:rFonts w:asciiTheme="minorHAnsi" w:hAnsiTheme="minorHAnsi" w:cstheme="minorHAnsi"/>
              </w:rPr>
            </w:pPr>
          </w:p>
          <w:p w:rsidR="00FA7132" w:rsidP="00FA7132" w14:paraId="1BC07CEC" w14:textId="7777777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Pr>
                <w:rFonts w:asciiTheme="minorHAnsi" w:hAnsiTheme="minorHAnsi" w:cstheme="minorHAnsi"/>
              </w:rPr>
              <w:t xml:space="preserve">25 </w:t>
            </w:r>
            <w:r w:rsidRPr="004E1C21">
              <w:rPr>
                <w:rFonts w:asciiTheme="minorHAnsi" w:hAnsiTheme="minorHAnsi" w:cstheme="minorHAnsi"/>
              </w:rPr>
              <w:t xml:space="preserve"> minutes</w:t>
            </w:r>
          </w:p>
          <w:p w:rsidR="00FA7132" w:rsidRPr="004E1C21" w:rsidP="00FA7132" w14:paraId="44180139" w14:textId="7B01D8A8">
            <w:pPr>
              <w:rPr>
                <w:rFonts w:asciiTheme="minorHAnsi" w:hAnsiTheme="minorHAnsi" w:cstheme="minorHAnsi"/>
                <w:b/>
              </w:rPr>
            </w:pPr>
          </w:p>
        </w:tc>
      </w:tr>
      <w:tr w14:paraId="2DD2AC37" w14:textId="77777777" w:rsidTr="0079272C">
        <w:tblPrEx>
          <w:tblW w:w="10345" w:type="dxa"/>
          <w:tblInd w:w="0" w:type="dxa"/>
          <w:tblLayout w:type="fixed"/>
          <w:tblLook w:val="04A0"/>
        </w:tblPrEx>
        <w:tc>
          <w:tcPr>
            <w:tcW w:w="2245" w:type="dxa"/>
          </w:tcPr>
          <w:p w:rsidR="00FA7132" w:rsidRPr="004E1C21" w:rsidP="00FA7132" w14:paraId="220E6F6D" w14:textId="6A027881">
            <w:pPr>
              <w:rPr>
                <w:rFonts w:asciiTheme="minorHAnsi" w:hAnsiTheme="minorHAnsi" w:cstheme="minorHAnsi"/>
              </w:rPr>
            </w:pPr>
            <w:r w:rsidRPr="004E1C21">
              <w:rPr>
                <w:rFonts w:asciiTheme="minorHAnsi" w:hAnsiTheme="minorHAnsi" w:cstheme="minorHAnsi"/>
                <w:bCs/>
              </w:rPr>
              <w:t xml:space="preserve">Interviews </w:t>
            </w:r>
          </w:p>
        </w:tc>
        <w:tc>
          <w:tcPr>
            <w:tcW w:w="1440" w:type="dxa"/>
          </w:tcPr>
          <w:p w:rsidR="00FA7132" w:rsidRPr="004E1C21" w:rsidP="00FA7132" w14:paraId="1ED56092" w14:textId="56091879">
            <w:pPr>
              <w:rPr>
                <w:rFonts w:asciiTheme="minorHAnsi" w:hAnsiTheme="minorHAnsi"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Pathways Sites (Treatment Sites)</w:t>
            </w:r>
          </w:p>
        </w:tc>
        <w:tc>
          <w:tcPr>
            <w:tcW w:w="5490" w:type="dxa"/>
          </w:tcPr>
          <w:p w:rsidR="00FA7132" w:rsidRPr="004E1C21" w:rsidP="00FA7132" w14:paraId="3A176FF4" w14:textId="77777777">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treatment sites</w:t>
            </w:r>
          </w:p>
          <w:p w:rsidR="00FA7132" w:rsidRPr="004E1C21" w:rsidP="00FA7132" w14:paraId="302EC86C" w14:textId="77777777">
            <w:pPr>
              <w:rPr>
                <w:rFonts w:asciiTheme="minorHAnsi" w:hAnsiTheme="minorHAnsi" w:cstheme="minorHAnsi"/>
                <w:bCs/>
              </w:rPr>
            </w:pPr>
          </w:p>
          <w:p w:rsidR="00FA7132" w:rsidRPr="004E1C21" w:rsidP="00FA7132" w14:paraId="0DCB967A"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658857C" w14:textId="77777777">
            <w:pPr>
              <w:rPr>
                <w:rFonts w:asciiTheme="minorHAnsi" w:hAnsiTheme="minorHAnsi" w:cstheme="minorHAnsi"/>
                <w:bCs/>
              </w:rPr>
            </w:pPr>
          </w:p>
          <w:p w:rsidR="00FA7132" w:rsidRPr="004E1C21" w:rsidP="00FA7132" w14:paraId="7AE68ED0" w14:textId="1D05C49C">
            <w:pPr>
              <w:rPr>
                <w:rFonts w:asciiTheme="minorHAnsi" w:hAnsiTheme="minorHAnsi" w:cstheme="minorHAnsi"/>
                <w:bCs/>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00FA7132" w:rsidRPr="004E1C21" w:rsidP="00FA7132" w14:paraId="1AB3DC38"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01140FD0" w14:textId="77777777">
            <w:pPr>
              <w:rPr>
                <w:rFonts w:asciiTheme="minorHAnsi" w:hAnsiTheme="minorHAnsi" w:cstheme="minorHAnsi"/>
                <w:bCs/>
              </w:rPr>
            </w:pPr>
          </w:p>
          <w:p w:rsidR="00FA7132" w:rsidRPr="004E1C21" w:rsidP="00FA7132" w14:paraId="7A01B03A" w14:textId="79AF57C4">
            <w:pPr>
              <w:rPr>
                <w:rFonts w:asciiTheme="minorHAnsi" w:hAnsiTheme="minorHAnsi" w:cstheme="minorHAnsi"/>
                <w:bCs/>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289C36F0" w14:textId="77777777" w:rsidTr="0079272C">
        <w:tblPrEx>
          <w:tblW w:w="10345" w:type="dxa"/>
          <w:tblInd w:w="0" w:type="dxa"/>
          <w:tblLayout w:type="fixed"/>
          <w:tblLook w:val="04A0"/>
        </w:tblPrEx>
        <w:tc>
          <w:tcPr>
            <w:tcW w:w="2245" w:type="dxa"/>
          </w:tcPr>
          <w:p w:rsidR="00FA7132" w:rsidP="00FA7132" w14:paraId="31CB355B" w14:textId="4A4D1349">
            <w:pPr>
              <w:rPr>
                <w:rFonts w:cstheme="minorHAnsi"/>
                <w:bCs/>
              </w:rPr>
            </w:pPr>
            <w:r>
              <w:rPr>
                <w:rFonts w:asciiTheme="minorHAnsi" w:hAnsiTheme="minorHAnsi" w:cstheme="minorHAnsi"/>
                <w:bCs/>
              </w:rPr>
              <w:t xml:space="preserve">Program Director Check-ins </w:t>
            </w:r>
          </w:p>
        </w:tc>
        <w:tc>
          <w:tcPr>
            <w:tcW w:w="1440" w:type="dxa"/>
          </w:tcPr>
          <w:p w:rsidR="00FA7132" w:rsidP="00FA7132" w14:paraId="5BCAB43B" w14:textId="6645BC95">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5490" w:type="dxa"/>
          </w:tcPr>
          <w:p w:rsidR="00FA7132" w:rsidRPr="004E1C21" w:rsidP="00FA7132" w14:paraId="3EA9747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all Pathways sites (treatment sites)  </w:t>
            </w:r>
          </w:p>
          <w:p w:rsidR="00FA7132" w:rsidRPr="004E1C21" w:rsidP="00FA7132" w14:paraId="05E4FEA7" w14:textId="77777777">
            <w:pPr>
              <w:rPr>
                <w:rFonts w:asciiTheme="minorHAnsi" w:hAnsiTheme="minorHAnsi" w:cstheme="minorHAnsi"/>
                <w:bCs/>
              </w:rPr>
            </w:pPr>
          </w:p>
          <w:p w:rsidR="00FA7132" w:rsidRPr="004E1C21" w:rsidP="00FA7132" w14:paraId="3D09F9DA"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42C2E7FA" w14:textId="77777777">
            <w:pPr>
              <w:rPr>
                <w:rFonts w:asciiTheme="minorHAnsi" w:hAnsiTheme="minorHAnsi" w:cstheme="minorHAnsi"/>
                <w:bCs/>
              </w:rPr>
            </w:pPr>
          </w:p>
          <w:p w:rsidR="00FA7132" w:rsidRPr="00DF6A4E" w:rsidP="00FA7132" w14:paraId="0A7122EA" w14:textId="4A4A3C1C">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sites  </w:t>
            </w:r>
          </w:p>
        </w:tc>
        <w:tc>
          <w:tcPr>
            <w:tcW w:w="1170" w:type="dxa"/>
          </w:tcPr>
          <w:p w:rsidR="00FA7132" w:rsidRPr="004E1C21" w:rsidP="00FA7132" w14:paraId="5DE6A4E8"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74514F1D" w14:textId="77777777">
            <w:pPr>
              <w:rPr>
                <w:rFonts w:asciiTheme="minorHAnsi" w:hAnsiTheme="minorHAnsi" w:cstheme="minorHAnsi"/>
                <w:bCs/>
              </w:rPr>
            </w:pPr>
          </w:p>
          <w:p w:rsidR="00FA7132" w:rsidP="00FA7132" w14:paraId="6E550EE2"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C17DA7" w:rsidP="00FA7132" w14:paraId="31551891" w14:textId="5028DDF9">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14:paraId="438365A3" w14:textId="77777777" w:rsidTr="0079272C">
        <w:tblPrEx>
          <w:tblW w:w="10345" w:type="dxa"/>
          <w:tblInd w:w="0" w:type="dxa"/>
          <w:tblLayout w:type="fixed"/>
          <w:tblLook w:val="04A0"/>
        </w:tblPrEx>
        <w:tc>
          <w:tcPr>
            <w:tcW w:w="2245" w:type="dxa"/>
          </w:tcPr>
          <w:p w:rsidR="00FA7132" w:rsidRPr="004E1C21" w:rsidP="00FA7132" w14:paraId="7121F754" w14:textId="3844092D">
            <w:pPr>
              <w:rPr>
                <w:rFonts w:cstheme="minorHAnsi"/>
                <w:bCs/>
              </w:rPr>
            </w:pPr>
            <w:r w:rsidRPr="004E1C21">
              <w:rPr>
                <w:rFonts w:asciiTheme="minorHAnsi" w:hAnsiTheme="minorHAnsi" w:cstheme="minorHAnsi"/>
                <w:bCs/>
              </w:rPr>
              <w:t xml:space="preserve">Interviews </w:t>
            </w:r>
          </w:p>
        </w:tc>
        <w:tc>
          <w:tcPr>
            <w:tcW w:w="1440" w:type="dxa"/>
          </w:tcPr>
          <w:p w:rsidR="00FA7132" w:rsidRPr="004E1C21" w:rsidP="00FA7132" w14:paraId="3F1A3F10" w14:textId="753D555D">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5490" w:type="dxa"/>
          </w:tcPr>
          <w:p w:rsidR="00FA7132" w:rsidRPr="004E1C21" w:rsidP="00FA7132" w14:paraId="2F171D02" w14:textId="77777777">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comparison sites</w:t>
            </w:r>
          </w:p>
          <w:p w:rsidR="00FA7132" w:rsidRPr="004E1C21" w:rsidP="00FA7132" w14:paraId="24C093EB" w14:textId="77777777">
            <w:pPr>
              <w:rPr>
                <w:rFonts w:asciiTheme="minorHAnsi" w:hAnsiTheme="minorHAnsi" w:cstheme="minorHAnsi"/>
                <w:bCs/>
              </w:rPr>
            </w:pPr>
          </w:p>
          <w:p w:rsidR="00FA7132" w:rsidRPr="004E1C21" w:rsidP="00FA7132" w14:paraId="0AF76F13"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16CD111" w14:textId="77777777">
            <w:pPr>
              <w:rPr>
                <w:rFonts w:asciiTheme="minorHAnsi" w:hAnsiTheme="minorHAnsi" w:cstheme="minorHAnsi"/>
                <w:bCs/>
              </w:rPr>
            </w:pPr>
          </w:p>
          <w:p w:rsidR="00FA7132" w:rsidRPr="009310AE" w:rsidP="00FA7132" w14:paraId="6CF211DD" w14:textId="569D569C">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00FA7132" w:rsidRPr="004E1C21" w:rsidP="00FA7132" w14:paraId="2ED489C5"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AB6047D" w14:textId="77777777">
            <w:pPr>
              <w:rPr>
                <w:rFonts w:asciiTheme="minorHAnsi" w:hAnsiTheme="minorHAnsi" w:cstheme="minorHAnsi"/>
                <w:bCs/>
              </w:rPr>
            </w:pPr>
          </w:p>
          <w:p w:rsidR="00FA7132" w:rsidRPr="009310AE" w:rsidP="00FA7132" w14:paraId="1DA44F50" w14:textId="23D6F28C">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02394CE1" w14:textId="77777777" w:rsidTr="0079272C">
        <w:tblPrEx>
          <w:tblW w:w="10345" w:type="dxa"/>
          <w:tblInd w:w="0" w:type="dxa"/>
          <w:tblLayout w:type="fixed"/>
          <w:tblLook w:val="04A0"/>
        </w:tblPrEx>
        <w:tc>
          <w:tcPr>
            <w:tcW w:w="2245" w:type="dxa"/>
          </w:tcPr>
          <w:p w:rsidR="00FA7132" w:rsidP="00FA7132" w14:paraId="2155BBB6" w14:textId="06FA3E2B">
            <w:pPr>
              <w:rPr>
                <w:rFonts w:cstheme="minorHAnsi"/>
                <w:bCs/>
              </w:rPr>
            </w:pPr>
            <w:r>
              <w:rPr>
                <w:rFonts w:asciiTheme="minorHAnsi" w:hAnsiTheme="minorHAnsi" w:cstheme="minorHAnsi"/>
                <w:bCs/>
              </w:rPr>
              <w:t xml:space="preserve">Program Director Check-ins </w:t>
            </w:r>
          </w:p>
        </w:tc>
        <w:tc>
          <w:tcPr>
            <w:tcW w:w="1440" w:type="dxa"/>
          </w:tcPr>
          <w:p w:rsidR="00FA7132" w:rsidP="00FA7132" w14:paraId="710F02AA" w14:textId="42D26621">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5490" w:type="dxa"/>
          </w:tcPr>
          <w:p w:rsidR="00FA7132" w:rsidRPr="004E1C21" w:rsidP="00FA7132" w14:paraId="78CFE80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Program Directors from all comparison sites</w:t>
            </w:r>
          </w:p>
          <w:p w:rsidR="00FA7132" w:rsidRPr="004E1C21" w:rsidP="00FA7132" w14:paraId="5B048245" w14:textId="77777777">
            <w:pPr>
              <w:rPr>
                <w:rFonts w:asciiTheme="minorHAnsi" w:hAnsiTheme="minorHAnsi" w:cstheme="minorHAnsi"/>
                <w:bCs/>
              </w:rPr>
            </w:pPr>
          </w:p>
          <w:p w:rsidR="00FA7132" w:rsidRPr="004E1C21" w:rsidP="00FA7132" w14:paraId="5706807C"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2F7BF2B5" w14:textId="77777777">
            <w:pPr>
              <w:rPr>
                <w:rFonts w:asciiTheme="minorHAnsi" w:hAnsiTheme="minorHAnsi" w:cstheme="minorHAnsi"/>
                <w:bCs/>
              </w:rPr>
            </w:pPr>
          </w:p>
          <w:p w:rsidR="00FA7132" w:rsidRPr="00DF6A4E" w:rsidP="00FA7132" w14:paraId="67E633E2" w14:textId="411AE58B">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understand the breadth of services provided to youth in comparison sites</w:t>
            </w:r>
          </w:p>
        </w:tc>
        <w:tc>
          <w:tcPr>
            <w:tcW w:w="1170" w:type="dxa"/>
          </w:tcPr>
          <w:p w:rsidR="00FA7132" w:rsidRPr="004E1C21" w:rsidP="00FA7132" w14:paraId="4787386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298A92D8" w14:textId="77777777">
            <w:pPr>
              <w:rPr>
                <w:rFonts w:asciiTheme="minorHAnsi" w:hAnsiTheme="minorHAnsi" w:cstheme="minorHAnsi"/>
                <w:bCs/>
              </w:rPr>
            </w:pPr>
          </w:p>
          <w:p w:rsidR="00FA7132" w:rsidRPr="00C17DA7" w:rsidP="00FA7132" w14:paraId="05615652" w14:textId="44302563">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14:paraId="253E7745" w14:textId="77777777" w:rsidTr="0079272C">
        <w:tblPrEx>
          <w:tblW w:w="10345" w:type="dxa"/>
          <w:tblInd w:w="0" w:type="dxa"/>
          <w:tblLayout w:type="fixed"/>
          <w:tblLook w:val="04A0"/>
        </w:tblPrEx>
        <w:tc>
          <w:tcPr>
            <w:tcW w:w="2245" w:type="dxa"/>
          </w:tcPr>
          <w:p w:rsidR="00FA7132" w:rsidRPr="004E1C21" w:rsidP="00FA7132" w14:paraId="2C51AA85" w14:textId="67ACBE5B">
            <w:pPr>
              <w:rPr>
                <w:rFonts w:asciiTheme="minorHAnsi" w:hAnsiTheme="minorHAnsi" w:cstheme="minorHAnsi"/>
              </w:rPr>
            </w:pPr>
            <w:r w:rsidRPr="004E1C21">
              <w:rPr>
                <w:rFonts w:asciiTheme="minorHAnsi" w:hAnsiTheme="minorHAnsi" w:cstheme="minorHAnsi"/>
                <w:bCs/>
              </w:rPr>
              <w:t xml:space="preserve">Focus groups </w:t>
            </w:r>
          </w:p>
        </w:tc>
        <w:tc>
          <w:tcPr>
            <w:tcW w:w="1440" w:type="dxa"/>
          </w:tcPr>
          <w:p w:rsidR="00FA7132" w:rsidRPr="004E1C21" w:rsidP="00FA7132" w14:paraId="5407819D" w14:textId="171CD530">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5490" w:type="dxa"/>
          </w:tcPr>
          <w:p w:rsidR="00FA7132" w:rsidRPr="004E1C21" w:rsidP="00FA7132" w14:paraId="43700247"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3B1435D6" w14:textId="77777777">
            <w:pPr>
              <w:rPr>
                <w:rFonts w:asciiTheme="minorHAnsi" w:hAnsiTheme="minorHAnsi" w:cstheme="minorHAnsi"/>
                <w:bCs/>
              </w:rPr>
            </w:pPr>
          </w:p>
          <w:p w:rsidR="00FA7132" w:rsidRPr="004E1C21" w:rsidP="00FA7132" w14:paraId="116216A1"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7B0AE7B1" w14:textId="77777777">
            <w:pPr>
              <w:rPr>
                <w:rFonts w:asciiTheme="minorHAnsi" w:hAnsiTheme="minorHAnsi" w:cstheme="minorHAnsi"/>
                <w:bCs/>
              </w:rPr>
            </w:pPr>
          </w:p>
          <w:p w:rsidR="00FA7132" w:rsidRPr="004E1C21" w:rsidP="00FA7132" w14:paraId="3F0440F2" w14:textId="6C675CE5">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00FA7132" w:rsidRPr="004E1C21" w:rsidP="00FA7132" w14:paraId="1074284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533AF33B" w14:textId="77777777">
            <w:pPr>
              <w:rPr>
                <w:rFonts w:asciiTheme="minorHAnsi" w:hAnsiTheme="minorHAnsi" w:cstheme="minorHAnsi"/>
                <w:bCs/>
              </w:rPr>
            </w:pPr>
          </w:p>
          <w:p w:rsidR="00FA7132" w:rsidRPr="004E1C21" w:rsidP="00FA7132" w14:paraId="213C66BF" w14:textId="1791EF6F">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C1C6A12" w14:textId="77777777" w:rsidTr="0079272C">
        <w:tblPrEx>
          <w:tblW w:w="10345" w:type="dxa"/>
          <w:tblInd w:w="0" w:type="dxa"/>
          <w:tblLayout w:type="fixed"/>
          <w:tblLook w:val="04A0"/>
        </w:tblPrEx>
        <w:tc>
          <w:tcPr>
            <w:tcW w:w="2245" w:type="dxa"/>
          </w:tcPr>
          <w:p w:rsidR="00FA7132" w:rsidRPr="004E1C21" w:rsidP="00FA7132" w14:paraId="7C27BFFB" w14:textId="08692FCF">
            <w:pPr>
              <w:rPr>
                <w:rFonts w:cstheme="minorHAnsi"/>
                <w:bCs/>
              </w:rPr>
            </w:pPr>
            <w:r w:rsidRPr="004E1C21">
              <w:rPr>
                <w:rFonts w:asciiTheme="minorHAnsi" w:hAnsiTheme="minorHAnsi" w:cstheme="minorHAnsi"/>
                <w:bCs/>
              </w:rPr>
              <w:t xml:space="preserve">Focus groups </w:t>
            </w:r>
          </w:p>
        </w:tc>
        <w:tc>
          <w:tcPr>
            <w:tcW w:w="1440" w:type="dxa"/>
          </w:tcPr>
          <w:p w:rsidR="00FA7132" w:rsidRPr="004E1C21" w:rsidP="00FA7132" w14:paraId="1BFCEEEE" w14:textId="4D369FC6">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5490" w:type="dxa"/>
          </w:tcPr>
          <w:p w:rsidR="00FA7132" w:rsidRPr="004E1C21" w:rsidP="00FA7132" w14:paraId="5F3E6C9D"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78D9B0CD" w14:textId="77777777">
            <w:pPr>
              <w:rPr>
                <w:rFonts w:asciiTheme="minorHAnsi" w:hAnsiTheme="minorHAnsi" w:cstheme="minorHAnsi"/>
                <w:bCs/>
              </w:rPr>
            </w:pPr>
          </w:p>
          <w:p w:rsidR="00FA7132" w:rsidRPr="004E1C21" w:rsidP="00FA7132" w14:paraId="5260ACA5"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61CC1FAA" w14:textId="77777777">
            <w:pPr>
              <w:rPr>
                <w:rFonts w:asciiTheme="minorHAnsi" w:hAnsiTheme="minorHAnsi" w:cstheme="minorHAnsi"/>
                <w:bCs/>
              </w:rPr>
            </w:pPr>
          </w:p>
          <w:p w:rsidR="00FA7132" w:rsidRPr="00DF6A4E" w:rsidP="00FA7132" w14:paraId="5166E5EB" w14:textId="6EE7A1E9">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00FA7132" w:rsidRPr="004E1C21" w:rsidP="00FA7132" w14:paraId="48883591"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C7BE314" w14:textId="77777777">
            <w:pPr>
              <w:rPr>
                <w:rFonts w:asciiTheme="minorHAnsi" w:hAnsiTheme="minorHAnsi" w:cstheme="minorHAnsi"/>
                <w:bCs/>
              </w:rPr>
            </w:pPr>
          </w:p>
          <w:p w:rsidR="00FA7132" w:rsidRPr="00C17DA7" w:rsidP="00FA7132" w14:paraId="738F50D1" w14:textId="27C34338">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ADAB28F" w14:textId="77777777" w:rsidTr="0079272C">
        <w:tblPrEx>
          <w:tblW w:w="10345" w:type="dxa"/>
          <w:tblInd w:w="0" w:type="dxa"/>
          <w:tblLayout w:type="fixed"/>
          <w:tblLook w:val="04A0"/>
        </w:tblPrEx>
        <w:tc>
          <w:tcPr>
            <w:tcW w:w="2245" w:type="dxa"/>
          </w:tcPr>
          <w:p w:rsidR="00FA7132" w:rsidRPr="00227501" w:rsidP="00FA7132" w14:paraId="09087123" w14:textId="74283BE0">
            <w:pPr>
              <w:rPr>
                <w:rFonts w:asciiTheme="minorHAnsi" w:hAnsiTheme="minorHAnsi" w:cstheme="minorHAnsi"/>
                <w:bCs/>
              </w:rPr>
            </w:pPr>
            <w:r w:rsidRPr="00227501">
              <w:rPr>
                <w:rFonts w:asciiTheme="minorHAnsi" w:hAnsiTheme="minorHAnsi" w:cstheme="minorHAnsi"/>
                <w:bCs/>
              </w:rPr>
              <w:t xml:space="preserve">Contact Information Update </w:t>
            </w:r>
            <w:r>
              <w:rPr>
                <w:rFonts w:asciiTheme="minorHAnsi" w:hAnsiTheme="minorHAnsi" w:cstheme="minorHAnsi"/>
                <w:bCs/>
              </w:rPr>
              <w:t>(9, 15, 18, and 21 months)</w:t>
            </w:r>
          </w:p>
        </w:tc>
        <w:tc>
          <w:tcPr>
            <w:tcW w:w="1440" w:type="dxa"/>
          </w:tcPr>
          <w:p w:rsidR="00FA7132" w:rsidRPr="00227501" w:rsidP="00FA7132" w14:paraId="23E8F47A" w14:textId="50D2DE46">
            <w:pPr>
              <w:rPr>
                <w:rFonts w:asciiTheme="minorHAnsi" w:hAnsiTheme="minorHAnsi" w:cstheme="minorHAnsi"/>
              </w:rPr>
            </w:pPr>
            <w:r>
              <w:rPr>
                <w:rFonts w:asciiTheme="minorHAnsi" w:hAnsiTheme="minorHAnsi" w:cstheme="minorHAnsi"/>
              </w:rPr>
              <w:t xml:space="preserve">Contact Information Update Request </w:t>
            </w:r>
          </w:p>
        </w:tc>
        <w:tc>
          <w:tcPr>
            <w:tcW w:w="5490" w:type="dxa"/>
          </w:tcPr>
          <w:p w:rsidR="00FA7132" w:rsidRPr="004E1C21" w:rsidP="00FA7132" w14:paraId="2F11B051"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enrolled in the study. </w:t>
            </w:r>
          </w:p>
          <w:p w:rsidR="00FA7132" w:rsidRPr="004E1C21" w:rsidP="00FA7132" w14:paraId="54A5E5D9" w14:textId="77777777">
            <w:pPr>
              <w:rPr>
                <w:rFonts w:asciiTheme="minorHAnsi" w:hAnsiTheme="minorHAnsi" w:cstheme="minorHAnsi"/>
                <w:bCs/>
              </w:rPr>
            </w:pPr>
          </w:p>
          <w:p w:rsidR="00FA7132" w:rsidRPr="004E1C21" w:rsidP="00FA7132" w14:paraId="7B6F882D"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Address, phone number and alternate contact information. </w:t>
            </w:r>
          </w:p>
          <w:p w:rsidR="00FA7132" w:rsidRPr="004E1C21" w:rsidP="00FA7132" w14:paraId="00C81818" w14:textId="77777777">
            <w:pPr>
              <w:rPr>
                <w:rFonts w:asciiTheme="minorHAnsi" w:hAnsiTheme="minorHAnsi" w:cstheme="minorHAnsi"/>
                <w:bCs/>
              </w:rPr>
            </w:pPr>
          </w:p>
          <w:p w:rsidR="00FA7132" w:rsidRPr="00227501" w:rsidP="00FA7132" w14:paraId="3AF7BEF8" w14:textId="1750FA02">
            <w:pPr>
              <w:rPr>
                <w:rFonts w:asciiTheme="minorHAnsi" w:hAnsiTheme="minorHAnsi"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obtain updated contact information for youth and continue to engage and familiarize youth with the study. </w:t>
            </w:r>
          </w:p>
        </w:tc>
        <w:tc>
          <w:tcPr>
            <w:tcW w:w="1170" w:type="dxa"/>
          </w:tcPr>
          <w:p w:rsidR="00FA7132" w:rsidRPr="004E1C21" w:rsidP="00FA7132" w14:paraId="7A6F8C8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 xml:space="preserve">Email and text </w:t>
            </w:r>
          </w:p>
          <w:p w:rsidR="00FA7132" w:rsidRPr="004E1C21" w:rsidP="00FA7132" w14:paraId="246E0127" w14:textId="77777777">
            <w:pPr>
              <w:rPr>
                <w:rFonts w:asciiTheme="minorHAnsi" w:hAnsiTheme="minorHAnsi" w:cstheme="minorHAnsi"/>
                <w:bCs/>
              </w:rPr>
            </w:pPr>
          </w:p>
          <w:p w:rsidR="00FA7132" w:rsidP="00FA7132" w14:paraId="2B2EED97"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227501" w:rsidP="00FA7132" w14:paraId="4D65F0FB" w14:textId="425D8B14">
            <w:pPr>
              <w:rPr>
                <w:rFonts w:asciiTheme="minorHAnsi" w:hAnsiTheme="minorHAnsi" w:cstheme="minorHAnsi"/>
                <w:b/>
              </w:rPr>
            </w:pPr>
            <w:r>
              <w:rPr>
                <w:rFonts w:asciiTheme="minorHAnsi" w:hAnsiTheme="minorHAnsi" w:cstheme="minorHAnsi"/>
                <w:bCs/>
              </w:rPr>
              <w:t>5 minutes</w:t>
            </w:r>
          </w:p>
        </w:tc>
      </w:tr>
    </w:tbl>
    <w:p w:rsidR="00B756A6" w:rsidP="00B756A6" w14:paraId="1B3A6D02" w14:textId="48E719E6">
      <w:pPr>
        <w:pStyle w:val="CommentText"/>
        <w:spacing w:after="0"/>
        <w:rPr>
          <w:iCs/>
          <w:vertAlign w:val="superscript"/>
        </w:rPr>
      </w:pPr>
    </w:p>
    <w:p w:rsidR="00655274" w:rsidP="00B756A6" w14:paraId="319A2845" w14:textId="77777777">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four 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AF2CFC">
        <w:rPr>
          <w:sz w:val="16"/>
          <w:szCs w:val="16"/>
        </w:rPr>
        <w:t xml:space="preserve">(3) </w:t>
      </w:r>
      <w:r w:rsidRPr="00B756A6">
        <w:rPr>
          <w:sz w:val="16"/>
          <w:szCs w:val="16"/>
        </w:rPr>
        <w:t>12</w:t>
      </w:r>
      <w:r w:rsidR="00AF2CFC">
        <w:rPr>
          <w:sz w:val="16"/>
          <w:szCs w:val="16"/>
        </w:rPr>
        <w:t>-</w:t>
      </w:r>
      <w:r w:rsidRPr="00B756A6">
        <w:rPr>
          <w:sz w:val="16"/>
          <w:szCs w:val="16"/>
        </w:rPr>
        <w:t xml:space="preserve">month follow-up, and </w:t>
      </w:r>
      <w:r w:rsidR="00AF2CFC">
        <w:rPr>
          <w:sz w:val="16"/>
          <w:szCs w:val="16"/>
        </w:rPr>
        <w:t xml:space="preserve">(4) </w:t>
      </w:r>
      <w:r w:rsidRPr="00B756A6">
        <w:rPr>
          <w:sz w:val="16"/>
          <w:szCs w:val="16"/>
        </w:rPr>
        <w:t>24</w:t>
      </w:r>
      <w:r w:rsidR="00AF2CFC">
        <w:rPr>
          <w:sz w:val="16"/>
          <w:szCs w:val="16"/>
        </w:rPr>
        <w:t>-</w:t>
      </w:r>
      <w:r w:rsidRPr="00B756A6">
        <w:rPr>
          <w:sz w:val="16"/>
          <w:szCs w:val="16"/>
        </w:rPr>
        <w:t>month follow-up.</w:t>
      </w:r>
    </w:p>
    <w:p w:rsidR="00B756A6" w:rsidP="00B756A6" w14:paraId="64D956A8" w14:textId="460407A7">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instrument; they will be conducted using a subset of items from the interview protocol.</w:t>
      </w:r>
      <w:r>
        <w:rPr>
          <w:sz w:val="16"/>
          <w:szCs w:val="16"/>
        </w:rPr>
        <w:t xml:space="preserve"> </w:t>
      </w:r>
      <w:r w:rsidRPr="00A777F9">
        <w:t xml:space="preserve"> </w:t>
      </w:r>
    </w:p>
    <w:p w:rsidR="00FB5594" w:rsidP="00B756A6"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00CD57BA" w:rsidRPr="00CD57BA" w:rsidP="00B756A6" w14:paraId="3C87192E" w14:textId="28CFA928">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During a webinar for YARH-3 stakeholders, we received feedback on youth recruitment and engagement activities for evaluation activities. Stakeholders suggested that virtual focus groups are more effective than in-person focus groups for engaging youth participants. We will have the flexibility to conduct in-person focus groups, if necessary.</w:t>
      </w:r>
    </w:p>
    <w:p w:rsidR="001D1C73" w:rsidRPr="00A777F9" w:rsidP="001D1C73" w14:paraId="0DB98502" w14:textId="4B1DC045">
      <w:pPr>
        <w:spacing w:after="0" w:line="240" w:lineRule="auto"/>
        <w:rPr>
          <w:iCs/>
        </w:rPr>
      </w:pPr>
    </w:p>
    <w:p w:rsidR="00813E0E" w:rsidP="001D1C73" w14:paraId="6279F64A" w14:textId="77777777">
      <w:pPr>
        <w:spacing w:after="60" w:line="240" w:lineRule="auto"/>
        <w:rPr>
          <w:i/>
        </w:rPr>
      </w:pPr>
      <w:r w:rsidRPr="009139B3">
        <w:rPr>
          <w:i/>
        </w:rPr>
        <w:t>Other Data Sources and Uses of Information</w:t>
      </w:r>
    </w:p>
    <w:p w:rsidR="00FA7132" w:rsidP="00FA7132" w14:paraId="2155DF5C" w14:textId="77777777">
      <w:pPr>
        <w:spacing w:after="0" w:line="240" w:lineRule="auto"/>
      </w:pPr>
      <w:bookmarkStart w:id="1" w:name="_Hlk64987640"/>
      <w:r w:rsidRPr="00813E0E">
        <w:rPr>
          <w:rFonts w:cstheme="minorHAnsi"/>
        </w:rPr>
        <w:t>The study will also use administrative data</w:t>
      </w:r>
      <w:r>
        <w:rPr>
          <w:rFonts w:cstheme="minorHAnsi"/>
        </w:rPr>
        <w:t xml:space="preserve"> </w:t>
      </w:r>
      <w:r w:rsidRPr="00813E0E">
        <w:rPr>
          <w:rFonts w:cstheme="minorHAnsi"/>
        </w:rPr>
        <w:t>from the child welfare system, homelessness management information system, and program providers.</w:t>
      </w:r>
      <w:r>
        <w:rPr>
          <w:rFonts w:cstheme="minorHAnsi"/>
        </w:rPr>
        <w:t xml:space="preserve"> </w:t>
      </w:r>
      <w:r w:rsidRPr="00600AF2">
        <w:t>Administrative data from the Linked Information Network of Colorado</w:t>
      </w:r>
      <w:r>
        <w:t xml:space="preserve"> (LINC)</w:t>
      </w:r>
      <w:r w:rsidRPr="00600AF2">
        <w:t xml:space="preserve"> will provide additional outcomes on child welfare, public assistance, and employment, among others.</w:t>
      </w:r>
      <w:r>
        <w:t xml:space="preserve"> We will use the administrative data from LINC as an alternative outcome data source for estimating impacts on the outcomes. We expect that some outcomes measured in the administrative data will not be captured in the survey data (in particular, long-term outcomes). LINC data will also be used to validate the subset of constructs measured in both the survey and administrative data (for example, by comparing youth self-reports on recent child welfare status with administrative data on recent status). </w:t>
      </w:r>
      <w:r w:rsidRPr="00BF60A6">
        <w:rPr>
          <w:iCs/>
        </w:rPr>
        <w:t xml:space="preserve">We will </w:t>
      </w:r>
      <w:r>
        <w:rPr>
          <w:iCs/>
        </w:rPr>
        <w:t xml:space="preserve">also </w:t>
      </w:r>
      <w:r w:rsidRPr="00BF60A6">
        <w:rPr>
          <w:iCs/>
        </w:rPr>
        <w:t xml:space="preserve">collect and analyze program administrative data </w:t>
      </w:r>
      <w:r>
        <w:rPr>
          <w:iCs/>
        </w:rPr>
        <w:t>from the Pathways Management Information System (PMIS)</w:t>
      </w:r>
      <w:r>
        <w:rPr>
          <w:rStyle w:val="FootnoteReference"/>
          <w:iCs/>
        </w:rPr>
        <w:footnoteReference w:id="5"/>
      </w:r>
      <w:r>
        <w:rPr>
          <w:iCs/>
        </w:rPr>
        <w:t xml:space="preserve"> </w:t>
      </w:r>
      <w:r w:rsidRPr="00BF60A6">
        <w:rPr>
          <w:iCs/>
        </w:rPr>
        <w:t>to assess patterns of service delivery and describe the extent to which Pathways services are delivered with fidelity.</w:t>
      </w:r>
      <w:r>
        <w:rPr>
          <w:rFonts w:cstheme="minorHAnsi"/>
        </w:rPr>
        <w:t xml:space="preserve"> </w:t>
      </w:r>
      <w:r w:rsidRPr="00813E0E">
        <w:rPr>
          <w:rFonts w:cstheme="minorHAnsi"/>
        </w:rPr>
        <w:t>Administrative data</w:t>
      </w:r>
      <w:r>
        <w:rPr>
          <w:rFonts w:cstheme="minorHAnsi"/>
        </w:rPr>
        <w:t xml:space="preserve"> from the LINC and PMIS </w:t>
      </w:r>
      <w:r w:rsidRPr="00813E0E">
        <w:rPr>
          <w:rFonts w:cstheme="minorHAnsi"/>
        </w:rPr>
        <w:t xml:space="preserve">will be used in </w:t>
      </w:r>
      <w:r>
        <w:rPr>
          <w:rFonts w:cstheme="minorHAnsi"/>
        </w:rPr>
        <w:t>their</w:t>
      </w:r>
      <w:r w:rsidRPr="00813E0E">
        <w:rPr>
          <w:rFonts w:cstheme="minorHAnsi"/>
        </w:rPr>
        <w:t xml:space="preserve"> existing forma</w:t>
      </w:r>
      <w:r>
        <w:rPr>
          <w:rFonts w:cstheme="minorHAnsi"/>
        </w:rPr>
        <w:t>t. Use of these data will</w:t>
      </w:r>
      <w:r w:rsidRPr="00813E0E">
        <w:rPr>
          <w:rFonts w:cstheme="minorHAnsi"/>
        </w:rPr>
        <w:t xml:space="preserve"> not impose any new information collection or record</w:t>
      </w:r>
      <w:r>
        <w:rPr>
          <w:rFonts w:cstheme="minorHAnsi"/>
        </w:rPr>
        <w:t>-</w:t>
      </w:r>
      <w:r w:rsidRPr="00813E0E">
        <w:rPr>
          <w:rFonts w:cstheme="minorHAnsi"/>
        </w:rPr>
        <w:t xml:space="preserve">keeping requirements on </w:t>
      </w:r>
      <w:r w:rsidRPr="00A6397A">
        <w:rPr>
          <w:rFonts w:cstheme="minorHAnsi"/>
        </w:rPr>
        <w:t>respondents.</w:t>
      </w:r>
      <w:r>
        <w:rPr>
          <w:rStyle w:val="FootnoteReference"/>
          <w:rFonts w:cstheme="minorHAnsi"/>
        </w:rPr>
        <w:footnoteReference w:id="6"/>
      </w:r>
      <w:r w:rsidRPr="00A6397A">
        <w:rPr>
          <w:rFonts w:cstheme="minorHAnsi"/>
        </w:rPr>
        <w:t xml:space="preserve"> </w:t>
      </w:r>
      <w:r w:rsidRPr="00A6397A">
        <w:t xml:space="preserve"> </w:t>
      </w:r>
    </w:p>
    <w:bookmarkEnd w:id="1"/>
    <w:p w:rsidR="001D1C73" w:rsidRPr="009139B3" w:rsidP="001D1C73" w14:paraId="213059F9" w14:textId="169827FA">
      <w:pPr>
        <w:spacing w:after="60" w:line="240" w:lineRule="auto"/>
        <w:rPr>
          <w:i/>
        </w:rPr>
      </w:pPr>
    </w:p>
    <w:p w:rsidR="001D1C73" w:rsidRPr="009139B3" w:rsidP="001D1C73" w14:paraId="56F85A6E"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FA7132" w:rsidRPr="00224AE0" w:rsidP="00FA7132" w14:paraId="155AD96A" w14:textId="7777777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will be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will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A7132" w:rsidP="00FA7132" w14:paraId="5953832F" w14:textId="77777777">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Web-based surveys are an attractive option for surveys for adolescents and young adults, and in particular</w:t>
      </w:r>
      <w:r>
        <w:rPr>
          <w:rFonts w:asciiTheme="minorHAnsi" w:hAnsiTheme="minorHAnsi" w:cstheme="minorHAnsi"/>
          <w:sz w:val="22"/>
          <w:szCs w:val="22"/>
        </w:rPr>
        <w:t xml:space="preserve"> </w:t>
      </w:r>
      <w:r w:rsidRPr="00224AE0">
        <w:rPr>
          <w:rFonts w:asciiTheme="minorHAnsi" w:hAnsiTheme="minorHAnsi" w:cstheme="minorHAnsi"/>
          <w:sz w:val="22"/>
          <w:szCs w:val="22"/>
        </w:rPr>
        <w:t xml:space="preserve">for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 xml:space="preserve">In </w:t>
      </w:r>
      <w:r>
        <w:rPr>
          <w:rFonts w:asciiTheme="minorHAnsi" w:hAnsiTheme="minorHAnsi" w:cstheme="minorHAnsi"/>
          <w:sz w:val="22"/>
          <w:szCs w:val="22"/>
        </w:rPr>
        <w:t>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00FA7132" w:rsidRPr="00224AE0" w:rsidP="00FA7132" w14:paraId="73DC8D72" w14:textId="7777777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Mathematica will conduct semi-structured interviews with program administrators, supervisors, and direct service staff and focus groups with participating youth and young adults.  Mathematica will also conduct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FA7132" w14:paraId="7552BE3A" w14:textId="77777777">
      <w:pPr>
        <w:spacing w:after="120" w:line="240" w:lineRule="auto"/>
        <w:rPr>
          <w:rFonts w:cstheme="minorHAnsi"/>
        </w:rPr>
      </w:pPr>
    </w:p>
    <w:p w:rsidR="001D1C73" w:rsidRPr="009139B3" w:rsidP="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FA7132" w:rsidP="00FA7132" w14:paraId="6122B0E0" w14:textId="77777777">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Additionally, as noted earlier, survey questions that request information that can be answered by data items available through administrative data sources have been removed from the survey, thus reducing burden on youth and minimizing duplication of information</w:t>
      </w:r>
      <w:r w:rsidRPr="00434791">
        <w:t>.</w:t>
      </w:r>
      <w:r>
        <w:rPr>
          <w:rStyle w:val="FootnoteReference"/>
        </w:rPr>
        <w:t xml:space="preserve"> </w:t>
      </w:r>
    </w:p>
    <w:p w:rsidR="001D1C73" w:rsidRPr="009139B3" w:rsidP="001D1C73" w14:paraId="23E0A2E3" w14:textId="77777777">
      <w:pPr>
        <w:spacing w:after="0" w:line="240" w:lineRule="auto"/>
      </w:pP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6F05B46F">
      <w:pPr>
        <w:spacing w:after="0" w:line="240" w:lineRule="auto"/>
      </w:pPr>
      <w:r>
        <w:t xml:space="preserve">No small businesses will be involved with this information collection. </w:t>
      </w:r>
    </w:p>
    <w:p w:rsidR="001D1C73" w:rsidP="001D1C73" w14:paraId="45C45C0C" w14:textId="0CA15D44">
      <w:pPr>
        <w:spacing w:after="0" w:line="240" w:lineRule="auto"/>
      </w:pPr>
    </w:p>
    <w:p w:rsidR="00AD1059" w:rsidRPr="009139B3" w:rsidP="001D1C73" w14:paraId="2583A683" w14:textId="77777777">
      <w:pPr>
        <w:spacing w:after="0" w:line="240" w:lineRule="auto"/>
      </w:pPr>
    </w:p>
    <w:p w:rsidR="00092192" w:rsidRPr="009139B3" w:rsidP="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FA7132" w:rsidP="00FA7132" w14:paraId="72B02FBF" w14:textId="77777777">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 xml:space="preserve">6-month follow-up survey), or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 xml:space="preserve"> and 24-month follow-up surveys). Data collected through the implementation study </w:t>
      </w:r>
      <w:r>
        <w:t xml:space="preserve">will be </w:t>
      </w:r>
      <w:r w:rsidRPr="00433086">
        <w:t xml:space="preserve">essential for understanding the results of the impact study and assessing the implementation of Pathways. </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8FD8DCF" w14:textId="77777777">
      <w:pPr>
        <w:spacing w:after="0" w:line="240" w:lineRule="auto"/>
        <w:rPr>
          <w:b/>
        </w:rPr>
      </w:pPr>
    </w:p>
    <w:p w:rsidR="001D1C73" w:rsidRPr="009139B3" w:rsidP="001D1C73" w14:paraId="0235E4A4" w14:textId="77777777">
      <w:pPr>
        <w:spacing w:after="0" w:line="240" w:lineRule="auto"/>
        <w:rPr>
          <w:b/>
        </w:rPr>
      </w:pPr>
    </w:p>
    <w:p w:rsidR="00D831A9" w:rsidP="001D1C73" w14:paraId="7CC99BC2" w14:textId="77777777">
      <w:pPr>
        <w:spacing w:after="120"/>
        <w:rPr>
          <w:b/>
        </w:rPr>
      </w:pPr>
    </w:p>
    <w:p w:rsidR="001D1C73" w:rsidRPr="009139B3" w:rsidP="001D1C73" w14:paraId="68912205" w14:textId="082CB297">
      <w:pPr>
        <w:spacing w:after="120"/>
        <w:rPr>
          <w:b/>
        </w:rPr>
      </w:pPr>
      <w:r w:rsidRPr="009139B3">
        <w:rPr>
          <w:b/>
        </w:rPr>
        <w:t>A8</w:t>
      </w:r>
      <w:r w:rsidRPr="009139B3">
        <w:t>.</w:t>
      </w:r>
      <w:r w:rsidRPr="009139B3">
        <w:tab/>
      </w:r>
      <w:r w:rsidRPr="009139B3">
        <w:rPr>
          <w:b/>
        </w:rPr>
        <w:t>Consultation</w:t>
      </w:r>
    </w:p>
    <w:p w:rsidR="00BD5D4A" w:rsidP="001D1C73" w14:paraId="3DCD6375" w14:textId="77777777">
      <w:pPr>
        <w:spacing w:after="60"/>
        <w:rPr>
          <w:i/>
        </w:rPr>
      </w:pPr>
      <w:r w:rsidRPr="009139B3">
        <w:rPr>
          <w:i/>
        </w:rPr>
        <w:t>Federal Register Notice and Comments</w:t>
      </w:r>
      <w:r w:rsidR="004E33A2">
        <w:rPr>
          <w:i/>
        </w:rPr>
        <w:t xml:space="preserve"> </w:t>
      </w:r>
    </w:p>
    <w:p w:rsidR="001D1C73" w:rsidRPr="00BD5D4A" w:rsidP="00D831A9" w14:paraId="15C2AFB4" w14:textId="79491449">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18E4">
        <w:t>December 30,</w:t>
      </w:r>
      <w:r w:rsidR="00B044CA">
        <w:t xml:space="preserve"> </w:t>
      </w:r>
      <w:r w:rsidR="001118E4">
        <w:t>2020</w:t>
      </w:r>
      <w:r w:rsidRPr="009139B3">
        <w:t>, Volume #</w:t>
      </w:r>
      <w:r w:rsidR="001118E4">
        <w:t xml:space="preserve"> 85</w:t>
      </w:r>
      <w:r w:rsidRPr="009139B3">
        <w:t>, Number #</w:t>
      </w:r>
      <w:r w:rsidR="001118E4">
        <w:t xml:space="preserve"> 250</w:t>
      </w:r>
      <w:r w:rsidRPr="009139B3">
        <w:t>, page #</w:t>
      </w:r>
      <w:r w:rsidR="001118E4">
        <w:t xml:space="preserve"> 86589</w:t>
      </w:r>
      <w:r w:rsidRPr="009139B3">
        <w:t>, and provided a sixty-day period for public comment.  During the notice and comment period,</w:t>
      </w:r>
      <w:r w:rsidR="00493791">
        <w:t xml:space="preserve"> no substantive comments were received</w:t>
      </w:r>
      <w:r w:rsidRPr="009139B3">
        <w:t xml:space="preserve">. </w:t>
      </w:r>
    </w:p>
    <w:p w:rsidR="001D1C73" w:rsidRPr="009139B3" w:rsidP="001D1C73" w14:paraId="68DB4E07" w14:textId="77777777">
      <w:pPr>
        <w:spacing w:after="0"/>
      </w:pPr>
    </w:p>
    <w:p w:rsidR="00F42B9D" w:rsidRPr="00D831A9" w:rsidP="00F42B9D"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001D1C73" w:rsidRPr="00F42B9D" w:rsidP="00F42B9D" w14:paraId="6EBEC583" w14:textId="298AB102">
      <w:pPr>
        <w:pStyle w:val="NormalSS"/>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0F5931" w14:paraId="5DD4B794"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Tym</w:t>
      </w:r>
      <w:r>
        <w:rPr>
          <w:rFonts w:asciiTheme="minorHAnsi" w:hAnsiTheme="minorHAnsi" w:cstheme="minorHAnsi"/>
          <w:sz w:val="22"/>
          <w:szCs w:val="22"/>
        </w:rPr>
        <w:t xml:space="preserve"> Belseth, Research Coordinator with Texas Institute for Child and Family Wellbeing, University of Texas at Austin </w:t>
      </w:r>
    </w:p>
    <w:p w:rsidR="005100B2" w:rsidP="000F5931" w14:paraId="44939F3A"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005100B2" w:rsidRPr="008A59C0" w:rsidP="000F5931" w14:paraId="6E505493"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0F5931" w14:paraId="1AC989C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p>
    <w:p w:rsidR="005100B2" w:rsidP="000F5931" w14:paraId="40B88E29"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0F5931" w14:paraId="03328B12"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0F5931" w14:paraId="450DF2A7"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0F5931" w14:paraId="4322C497" w14:textId="57301FEB">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w:t>
      </w:r>
      <w:r>
        <w:rPr>
          <w:rFonts w:asciiTheme="minorHAnsi" w:hAnsiTheme="minorHAnsi" w:cstheme="minorHAnsi"/>
          <w:sz w:val="22"/>
          <w:szCs w:val="22"/>
        </w:rPr>
        <w:t>BraveLife</w:t>
      </w:r>
      <w:r>
        <w:rPr>
          <w:rFonts w:asciiTheme="minorHAnsi" w:hAnsiTheme="minorHAnsi" w:cstheme="minorHAnsi"/>
          <w:sz w:val="22"/>
          <w:szCs w:val="22"/>
        </w:rPr>
        <w:t xml:space="preserve"> Coordinator </w:t>
      </w:r>
    </w:p>
    <w:p w:rsidR="005100B2" w:rsidP="000F5931" w14:paraId="27DCB01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0F5931" w14:paraId="585D51E1"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001D1C73" w:rsidRPr="009139B3" w:rsidP="001D1C73" w14:paraId="1184C5C2" w14:textId="77777777">
      <w:pPr>
        <w:spacing w:after="0"/>
      </w:pPr>
    </w:p>
    <w:p w:rsidR="009C17F2" w:rsidP="00957F66" w14:paraId="79D18A1E" w14:textId="6A6CD051">
      <w:pPr>
        <w:spacing w:after="120" w:line="240" w:lineRule="auto"/>
      </w:pPr>
      <w:r w:rsidRPr="009139B3">
        <w:rPr>
          <w:b/>
        </w:rPr>
        <w:t>A9</w:t>
      </w:r>
      <w:r w:rsidRPr="009139B3">
        <w:t>.</w:t>
      </w:r>
      <w:r w:rsidRPr="009139B3">
        <w:tab/>
      </w:r>
      <w:r w:rsidRPr="009139B3">
        <w:rPr>
          <w:b/>
        </w:rPr>
        <w:t>Tokens of Appreciation</w:t>
      </w:r>
      <w:bookmarkStart w:id="2" w:name="_Hlk48562136"/>
    </w:p>
    <w:bookmarkEnd w:id="2"/>
    <w:p w:rsidR="00CE62B5" w:rsidP="00CE62B5" w14:paraId="38A9F6F3" w14:textId="77777777">
      <w:pPr>
        <w:spacing w:after="120"/>
      </w:pPr>
      <w:r>
        <w:t>We propose offering tokens of appreciation to youth for (1) completion of each 25-minute survey, and (2) participation in 1.5-hour focus groups. Additionally, youth will receive an item such as a dry bag, water bottle, document portfolio, or other item of similar value when they enroll in the study.</w:t>
      </w:r>
      <w:r>
        <w:t xml:space="preserve"> </w:t>
      </w:r>
      <w:r>
        <w:rPr>
          <w:rStyle w:val="FootnoteReference"/>
        </w:rPr>
        <w:footnoteReference w:id="7"/>
      </w:r>
      <w:r>
        <w:t xml:space="preserve">. We are also proposing a $5 token of appreciation for youth who complete a contact information update request. </w:t>
      </w:r>
      <w:bookmarkStart w:id="3" w:name="_Hlk67645818"/>
      <w:r>
        <w:t xml:space="preserve">In our discussions with experts in the field, program staff, and stakeholders, several stressed the importance of </w:t>
      </w:r>
      <w:r>
        <w:rPr>
          <w:rFonts w:eastAsia="Times New Roman"/>
        </w:rPr>
        <w:t xml:space="preserve"> providing </w:t>
      </w:r>
      <w:r>
        <w:t>tokens of appreciation to youth that reflect the value of their input, as no one can replace them for this data collection.</w:t>
      </w:r>
      <w:r>
        <w:rPr>
          <w:rFonts w:eastAsia="Times New Roman"/>
        </w:rPr>
        <w:t xml:space="preserve"> The data collection requires input from the small, specialized population of youth and young adults with experience in the child welfare system. The surveys contain introspective and potentially sensitive questions that only youth with their experiences can speak to. The tokens of appreciation reflect the value of the specific experiences these youth provide in responding to the surveys. </w:t>
      </w:r>
      <w:r w:rsidRPr="00A65ACA">
        <w:t xml:space="preserve">The following </w:t>
      </w:r>
      <w:r>
        <w:t xml:space="preserve">proposed </w:t>
      </w:r>
      <w:r w:rsidRPr="00A65ACA">
        <w:t xml:space="preserve">amounts </w:t>
      </w:r>
      <w:r>
        <w:t xml:space="preserve">for the surveys </w:t>
      </w:r>
      <w:r w:rsidRPr="00A65ACA">
        <w:t>were determined based on consultation with experts</w:t>
      </w:r>
      <w:r>
        <w:t xml:space="preserve"> in the field, stakeholders, and program staff</w:t>
      </w:r>
      <w:r>
        <w:rPr>
          <w:rFonts w:cstheme="minorHAnsi"/>
        </w:rPr>
        <w:t xml:space="preserve">: </w:t>
      </w:r>
    </w:p>
    <w:p w:rsidR="00CE62B5" w:rsidP="00CE62B5" w14:paraId="6B73991F" w14:textId="77777777">
      <w:pPr>
        <w:pStyle w:val="ListParagraph"/>
        <w:numPr>
          <w:ilvl w:val="0"/>
          <w:numId w:val="10"/>
        </w:numPr>
        <w:spacing w:after="120"/>
      </w:pPr>
      <w:r>
        <w:t>$40 gift card for baseline survey</w:t>
      </w:r>
    </w:p>
    <w:p w:rsidR="00CE62B5" w:rsidP="00CE62B5" w14:paraId="4CC63A17" w14:textId="77777777">
      <w:pPr>
        <w:pStyle w:val="ListParagraph"/>
        <w:numPr>
          <w:ilvl w:val="0"/>
          <w:numId w:val="10"/>
        </w:numPr>
        <w:spacing w:after="120"/>
      </w:pPr>
      <w:r>
        <w:t>$45 gift card for the 6-month follow-up survey</w:t>
      </w:r>
    </w:p>
    <w:p w:rsidR="00CE62B5" w:rsidP="00CE62B5" w14:paraId="6BAF59B2" w14:textId="77777777">
      <w:pPr>
        <w:pStyle w:val="ListParagraph"/>
        <w:numPr>
          <w:ilvl w:val="0"/>
          <w:numId w:val="10"/>
        </w:numPr>
        <w:spacing w:after="120"/>
      </w:pPr>
      <w:r>
        <w:t>$50 gift card for the 12-month follow-up survey</w:t>
      </w:r>
    </w:p>
    <w:p w:rsidR="00CE62B5" w:rsidP="00CE62B5" w14:paraId="4110FD99" w14:textId="77777777">
      <w:pPr>
        <w:pStyle w:val="ListParagraph"/>
        <w:numPr>
          <w:ilvl w:val="0"/>
          <w:numId w:val="10"/>
        </w:numPr>
        <w:spacing w:after="120"/>
      </w:pPr>
      <w:r>
        <w:t xml:space="preserve">$65 gift card for the 24-month follow-up survey. </w:t>
      </w:r>
    </w:p>
    <w:p w:rsidR="00CE62B5" w:rsidP="00CE62B5" w14:paraId="43DD9AD8" w14:textId="77777777">
      <w:pPr>
        <w:spacing w:after="120"/>
      </w:pPr>
      <w:bookmarkStart w:id="4" w:name="_Hlk67645920"/>
      <w:bookmarkEnd w:id="3"/>
      <w:r>
        <w:rPr>
          <w:rFonts w:eastAsia="Times New Roman"/>
        </w:rPr>
        <w:t xml:space="preserve">Participating youth will be asked to participate in multiple waves of data collection. </w:t>
      </w:r>
      <w:r>
        <w:t xml:space="preserve">The proposed amounts for the tokens of appreciation serve to develop an on-going relationship with youth to encourage their continued participation for each survey, which is essential for assessing program impacts on long-term outcomes. We value youth’s participation in the data collection and the proposed tokens of appreciation reflect the value of their participation in data collection activities and contributions to the data collection that only they can provide.  Estimates of program impacts may be biased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 and young adults with experience with the child welfare system who are at risk of homelessness. A number of factors could complicate tracking participants over time including: </w:t>
      </w:r>
    </w:p>
    <w:p w:rsidR="00CE62B5" w:rsidP="00CE62B5" w14:paraId="278A1627" w14:textId="77777777">
      <w:pPr>
        <w:pStyle w:val="ListParagraph"/>
        <w:numPr>
          <w:ilvl w:val="0"/>
          <w:numId w:val="8"/>
        </w:numPr>
        <w:spacing w:after="160" w:line="252" w:lineRule="auto"/>
        <w:rPr>
          <w:rFonts w:eastAsia="Times New Roman"/>
        </w:rPr>
      </w:pPr>
      <w:r>
        <w:rPr>
          <w:rFonts w:eastAsia="Times New Roman"/>
        </w:rPr>
        <w:t>System fatigue</w:t>
      </w:r>
    </w:p>
    <w:p w:rsidR="00CE62B5" w:rsidP="00CE62B5" w14:paraId="7780AD28" w14:textId="77777777">
      <w:pPr>
        <w:pStyle w:val="ListParagraph"/>
        <w:numPr>
          <w:ilvl w:val="0"/>
          <w:numId w:val="8"/>
        </w:numPr>
        <w:spacing w:after="160" w:line="252" w:lineRule="auto"/>
        <w:rPr>
          <w:rFonts w:eastAsia="Times New Roman"/>
        </w:rPr>
      </w:pPr>
      <w:r>
        <w:rPr>
          <w:rFonts w:eastAsia="Times New Roman"/>
        </w:rPr>
        <w:t xml:space="preserve">Unstable housing </w:t>
      </w:r>
    </w:p>
    <w:p w:rsidR="00CE62B5" w:rsidP="00CE62B5" w14:paraId="1E7FD351" w14:textId="77777777">
      <w:pPr>
        <w:pStyle w:val="ListParagraph"/>
        <w:numPr>
          <w:ilvl w:val="0"/>
          <w:numId w:val="8"/>
        </w:numPr>
        <w:spacing w:after="160" w:line="252" w:lineRule="auto"/>
        <w:rPr>
          <w:rFonts w:eastAsia="Times New Roman"/>
        </w:rPr>
      </w:pPr>
      <w:r>
        <w:rPr>
          <w:rFonts w:eastAsia="Times New Roman"/>
        </w:rPr>
        <w:t xml:space="preserve">Fewer permanent connections with others </w:t>
      </w:r>
    </w:p>
    <w:p w:rsidR="00CE62B5" w:rsidP="00CE62B5" w14:paraId="28DA809A" w14:textId="77777777">
      <w:pPr>
        <w:pStyle w:val="ListParagraph"/>
        <w:numPr>
          <w:ilvl w:val="0"/>
          <w:numId w:val="8"/>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CE62B5" w:rsidP="00CE62B5" w14:paraId="618453EF" w14:textId="77777777">
      <w:pPr>
        <w:pStyle w:val="ListParagraph"/>
        <w:numPr>
          <w:ilvl w:val="0"/>
          <w:numId w:val="8"/>
        </w:numPr>
        <w:spacing w:after="160" w:line="252" w:lineRule="auto"/>
        <w:rPr>
          <w:rFonts w:eastAsia="Times New Roman"/>
        </w:rPr>
      </w:pPr>
      <w:r>
        <w:rPr>
          <w:rFonts w:eastAsia="Times New Roman"/>
        </w:rPr>
        <w:t>Use of an alias to get utility accounts because of poor credit and prior payment issues</w:t>
      </w:r>
    </w:p>
    <w:p w:rsidR="00CE62B5" w:rsidRPr="00984EA1" w:rsidP="00CE62B5" w14:paraId="2C94D64F" w14:textId="77777777">
      <w:pPr>
        <w:pStyle w:val="ListParagraph"/>
        <w:numPr>
          <w:ilvl w:val="0"/>
          <w:numId w:val="8"/>
        </w:numPr>
        <w:spacing w:after="160" w:line="252" w:lineRule="auto"/>
        <w:rPr>
          <w:rFonts w:eastAsia="Times New Roman"/>
        </w:rPr>
      </w:pPr>
      <w:r>
        <w:rPr>
          <w:rFonts w:eastAsia="Times New Roman"/>
        </w:rPr>
        <w:t>Use of pay-as-you-go phones</w:t>
      </w:r>
    </w:p>
    <w:p w:rsidR="00CE62B5" w:rsidRPr="007C7DE9" w:rsidP="00CE62B5" w14:paraId="64EE7069" w14:textId="77777777">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propose increasing the value of the </w:t>
      </w:r>
      <w:r>
        <w:rPr>
          <w:rFonts w:cstheme="minorHAnsi"/>
        </w:rPr>
        <w:t>token of appreciation</w:t>
      </w:r>
      <w:r w:rsidRPr="007C7DE9">
        <w:rPr>
          <w:rFonts w:cstheme="minorHAnsi"/>
        </w:rPr>
        <w:t xml:space="preserve"> as time passes to account for the decreased contact between the study and youth once they are no longer receiving services and the increased value of money to help with bills once living on their own.</w:t>
      </w:r>
      <w:r>
        <w:rPr>
          <w:rFonts w:cstheme="minorHAnsi"/>
        </w:rPr>
        <w:t xml:space="preserve"> For surveys that are completed in-person, data collectors will distribute gift cards to youth immediately after completing the survey. For surveys that are not completed in-person, gift cards will be distributed to youth as quickly as possible (either via mail or electronically), using youth’s available contact information.  </w:t>
      </w:r>
    </w:p>
    <w:p w:rsidR="00CE62B5" w:rsidRPr="007C7DE9" w:rsidP="00CE62B5" w14:paraId="2A5B5293" w14:textId="77777777">
      <w:pPr>
        <w:spacing w:after="240" w:line="240" w:lineRule="auto"/>
        <w:rPr>
          <w:rFonts w:eastAsia="Times New Roman" w:cstheme="minorHAnsi"/>
        </w:rPr>
      </w:pPr>
      <w:r w:rsidRPr="007C7DE9">
        <w:rPr>
          <w:rFonts w:cstheme="minorHAnsi"/>
        </w:rPr>
        <w:t xml:space="preserve">Additionally, we expect that as participating youth get older and age out of the foster care system, they will be more transient and harder to locate for data collection. </w:t>
      </w:r>
      <w:r>
        <w:rPr>
          <w:rFonts w:ascii="Calibri" w:hAnsi="Calibri" w:cs="Calibri"/>
        </w:rPr>
        <w:t xml:space="preserve"> We have budgeted for field staff to locate and complete surveys with these hard to reach youth, however we anticipate that offering proposed  tokens of appreciation will create cost savings for the field tracking efforts. We expect that the proposed tokens will encourage youth to complete the surveys, resulting in a smaller proportion of youth who will need to be located by field staff. </w:t>
      </w:r>
    </w:p>
    <w:p w:rsidR="00CE62B5" w:rsidP="00CE62B5" w14:paraId="0C7B907F" w14:textId="77777777">
      <w:pPr>
        <w:pStyle w:val="NormalSS"/>
        <w:ind w:firstLine="0"/>
        <w:rPr>
          <w:rFonts w:ascii="Calibri" w:hAnsi="Calibri" w:cs="Calibri"/>
          <w:sz w:val="22"/>
          <w:szCs w:val="22"/>
        </w:rPr>
      </w:pPr>
      <w:r w:rsidRPr="007C7DE9">
        <w:rPr>
          <w:rFonts w:asciiTheme="minorHAnsi" w:hAnsiTheme="minorHAnsi" w:cstheme="minorHAnsi"/>
          <w:sz w:val="22"/>
          <w:szCs w:val="22"/>
        </w:rPr>
        <w:t xml:space="preserve"> The proposed </w:t>
      </w:r>
      <w:r>
        <w:rPr>
          <w:rFonts w:asciiTheme="minorHAnsi" w:hAnsiTheme="minorHAnsi" w:cstheme="minorHAnsi"/>
          <w:sz w:val="22"/>
          <w:szCs w:val="22"/>
        </w:rPr>
        <w:t>tokens of appreciation</w:t>
      </w:r>
      <w:r w:rsidRPr="007C7DE9">
        <w:rPr>
          <w:rFonts w:asciiTheme="minorHAnsi" w:hAnsiTheme="minorHAnsi" w:cstheme="minorHAnsi"/>
          <w:sz w:val="22"/>
          <w:szCs w:val="22"/>
        </w:rPr>
        <w:t xml:space="preserve"> 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 and may not feel that the surveys are relevant to them. Additionally, youth in the comparison group may not have developed the strong connections with their Chafee workers that treatment youth may have developed with their Navigators and therefore may be less likely to feel connected to the study and participate in the data collection. </w:t>
      </w:r>
      <w:r>
        <w:rPr>
          <w:rFonts w:ascii="Calibri" w:hAnsi="Calibri" w:cs="Calibri"/>
          <w:sz w:val="22"/>
          <w:szCs w:val="22"/>
        </w:rPr>
        <w:t>Pejtersen</w:t>
      </w:r>
      <w:r>
        <w:rPr>
          <w:rFonts w:ascii="Calibri" w:hAnsi="Calibri" w:cs="Calibri"/>
          <w:sz w:val="22"/>
          <w:szCs w:val="22"/>
        </w:rPr>
        <w:t xml:space="preserve"> (2020) showed incentives can increase the response rates in surveys of youth, and higher incentive amounts can have some beneficial impacts on response rates (Brown and Calderwood, 2014). Oh et al (2021) found larger incentives may encourage youth to complete study activities. </w:t>
      </w:r>
      <w:bookmarkEnd w:id="4"/>
    </w:p>
    <w:p w:rsidR="00CE62B5" w:rsidP="00CE62B5" w14:paraId="7B63095C" w14:textId="77777777">
      <w:pPr>
        <w:spacing w:after="0"/>
      </w:pPr>
      <w:r>
        <w:t xml:space="preserve">We also propose offering an item such as a mug, tote bag, or other item of similar value to the Chafee workers as a way to engage them and obtain buy-in to the study and facilitate data collection. The proposed token shows our appreciation for the additional work related to the study, mainly screening and obtaining consent/assent for participation. Additionally, the token will help a feeling of being part of a team. </w:t>
      </w:r>
    </w:p>
    <w:p w:rsidR="00CE62B5" w:rsidP="00CE62B5" w14:paraId="216B1B97" w14:textId="77777777">
      <w:pPr>
        <w:spacing w:after="0"/>
      </w:pPr>
    </w:p>
    <w:p w:rsidR="00CE62B5" w:rsidP="00CE62B5" w14:paraId="250E2B6D" w14:textId="77777777">
      <w:pPr>
        <w:pStyle w:val="Paragraph"/>
        <w:spacing w:after="0"/>
      </w:pPr>
      <w:r>
        <w:t xml:space="preserve">We also propose a $5 token of appreciation to youth who complete the contact information update requests (Instrument 5). These requests will be sent at 9, 15, 18, and 21 months after study enrollment via text and email. Obtaining updated contact information is essential to achieving target response rates for the follow-up surveys. Particularly with a population that is more transient, contact information may change more frequently, making it even more difficult to locate sample members for additional data collection efforts. </w:t>
      </w:r>
    </w:p>
    <w:p w:rsidR="00CE62B5" w:rsidP="00CE62B5" w14:paraId="2BA4B796" w14:textId="77777777">
      <w:pPr>
        <w:pStyle w:val="Paragraph"/>
        <w:spacing w:after="0"/>
      </w:pPr>
    </w:p>
    <w:p w:rsidR="00CE62B5" w:rsidP="00CE62B5" w14:paraId="6923B7CD" w14:textId="77777777">
      <w:pPr>
        <w:pStyle w:val="Paragraph"/>
        <w:spacing w:after="0"/>
      </w:pPr>
      <w:r>
        <w:rPr>
          <w:rFonts w:eastAsia="Times New Roman"/>
        </w:rPr>
        <w:t>To maintain updated contact information and continue to familiarize youth with the study, Mathematica has been reaching out to youth via text and email asking youth to contact them if their contact information has changed with previously approved messages (Appendix C). Moving forward, Mathematica will continue contacting youth via text and email at 9, 15, 18 and 21 months after enrollment asking them to provide updated contact information through the contact information requests (see Appendix C and Instrument 5)</w:t>
      </w:r>
      <w:r>
        <w:t xml:space="preserve">. </w:t>
      </w:r>
    </w:p>
    <w:p w:rsidR="00CE62B5" w:rsidP="00CE62B5" w14:paraId="1A4F2A29" w14:textId="77777777">
      <w:pPr>
        <w:pStyle w:val="Paragraph"/>
        <w:spacing w:after="0"/>
      </w:pPr>
    </w:p>
    <w:p w:rsidR="00CE62B5" w:rsidP="00CE62B5" w14:paraId="6A1135F1" w14:textId="77777777">
      <w:pPr>
        <w:pStyle w:val="Paragraph"/>
        <w:spacing w:after="0"/>
        <w:rPr>
          <w:rFonts w:cstheme="minorHAnsi"/>
        </w:rPr>
      </w:pPr>
      <w:r w:rsidRPr="00A20BF1">
        <w:rPr>
          <w:rFonts w:cstheme="minorHAnsi"/>
        </w:rPr>
        <w:t xml:space="preserve">We do not currently offer youth </w:t>
      </w:r>
      <w:r>
        <w:rPr>
          <w:rFonts w:cstheme="minorHAnsi"/>
        </w:rPr>
        <w:t xml:space="preserve">a token of appreciation </w:t>
      </w:r>
      <w:r w:rsidRPr="00A20BF1">
        <w:rPr>
          <w:rFonts w:cstheme="minorHAnsi"/>
        </w:rPr>
        <w:t xml:space="preserve">for providing updated contact information. Literature has noted that providing an incentive increases response rates as compared to no incentive (Couper, 2008). The proposed $5 amount is considered in alignment with the effort of the request. We anticipate that providing </w:t>
      </w:r>
      <w:r>
        <w:rPr>
          <w:rFonts w:cstheme="minorHAnsi"/>
        </w:rPr>
        <w:t xml:space="preserve">a token of appreciation </w:t>
      </w:r>
      <w:r w:rsidRPr="00A20BF1">
        <w:rPr>
          <w:rFonts w:cstheme="minorHAnsi"/>
        </w:rPr>
        <w:t>for youth to update their contact information will increase response to those requests, which will then increase the chances of locating youth for follow-up surveys, potentially boosting response rates for the follow-up surveys.</w:t>
      </w:r>
    </w:p>
    <w:p w:rsidR="00CE62B5" w:rsidP="00CE62B5" w14:paraId="314F5098" w14:textId="77777777">
      <w:pPr>
        <w:pStyle w:val="Paragraph"/>
        <w:spacing w:after="0"/>
      </w:pPr>
      <w:r>
        <w:t xml:space="preserve"> </w:t>
      </w:r>
    </w:p>
    <w:p w:rsidR="00CE62B5" w:rsidP="00CE62B5" w14:paraId="4AD39C3A" w14:textId="77777777">
      <w:r>
        <w:t xml:space="preserve">ACF and Mathematica will take this opportunity to learn about the effect of offering tokens of appreciation on completing the short information requests. We will conduct an experiment with new enrollees only, using a cluster RCT with the unit of assignment being a group of youth/young adults who are receiving the first contact request at nine months. Each cluster will be randomly assigned to the intervention or control group. Those in the intervention group who respond to the contact request will </w:t>
      </w:r>
      <w:r>
        <w:t xml:space="preserve">receive a $5 token of appreciation. Those in the control group who respond to the request will not be offered a token of appreciation at nine months. To maintain fairness for all youth in the study and ensure they each have the opportunity to receive an equal </w:t>
      </w:r>
      <w:r>
        <w:t>amount</w:t>
      </w:r>
      <w:r>
        <w:t xml:space="preserve"> of tokens of appreciation, those in the control group who respond to the contact request at 21 months will receive a $10 token of appreciation. Table A.9 presents the tokens of appreciation by condition.</w:t>
      </w:r>
    </w:p>
    <w:p w:rsidR="00CE62B5" w:rsidRPr="00DC77EC" w:rsidP="00CE62B5" w14:paraId="331D4213" w14:textId="77777777">
      <w:pPr>
        <w:spacing w:after="0"/>
        <w:rPr>
          <w:b/>
          <w:bCs/>
        </w:rPr>
      </w:pPr>
      <w:r w:rsidRPr="00273FC0">
        <w:rPr>
          <w:b/>
          <w:bCs/>
        </w:rPr>
        <w:t xml:space="preserve">Table </w:t>
      </w:r>
      <w:r>
        <w:rPr>
          <w:b/>
          <w:bCs/>
        </w:rPr>
        <w:t>A</w:t>
      </w:r>
      <w:r w:rsidRPr="00273FC0">
        <w:rPr>
          <w:b/>
          <w:bCs/>
        </w:rPr>
        <w:t>.</w:t>
      </w:r>
      <w:r>
        <w:rPr>
          <w:b/>
          <w:bCs/>
        </w:rPr>
        <w:t>9.</w:t>
      </w:r>
      <w:r w:rsidRPr="00273FC0">
        <w:rPr>
          <w:b/>
          <w:bCs/>
        </w:rPr>
        <w:t xml:space="preserve"> </w:t>
      </w:r>
      <w:r w:rsidRPr="00DC77EC">
        <w:rPr>
          <w:b/>
          <w:bCs/>
        </w:rPr>
        <w:t>Tokens of appreciation by condition and contact survey</w:t>
      </w:r>
    </w:p>
    <w:tbl>
      <w:tblPr>
        <w:tblStyle w:val="TableGrid"/>
        <w:tblW w:w="0" w:type="auto"/>
        <w:tblInd w:w="0" w:type="dxa"/>
        <w:tblLook w:val="04A0"/>
      </w:tblPr>
      <w:tblGrid>
        <w:gridCol w:w="1558"/>
        <w:gridCol w:w="1558"/>
        <w:gridCol w:w="1558"/>
        <w:gridCol w:w="1558"/>
        <w:gridCol w:w="1559"/>
        <w:gridCol w:w="1559"/>
      </w:tblGrid>
      <w:tr w14:paraId="04E73B11" w14:textId="77777777" w:rsidTr="006D0CC3">
        <w:tblPrEx>
          <w:tblW w:w="0" w:type="auto"/>
          <w:tblInd w:w="0" w:type="dxa"/>
          <w:tblLook w:val="04A0"/>
        </w:tblPrEx>
        <w:tc>
          <w:tcPr>
            <w:tcW w:w="1558" w:type="dxa"/>
          </w:tcPr>
          <w:p w:rsidR="00CE62B5" w:rsidRPr="009D4CAC" w:rsidP="006D0CC3" w14:paraId="047CA70D" w14:textId="77777777">
            <w:pPr>
              <w:rPr>
                <w:rFonts w:asciiTheme="minorHAnsi" w:hAnsiTheme="minorHAnsi" w:cstheme="minorHAnsi"/>
                <w:b/>
                <w:bCs/>
              </w:rPr>
            </w:pPr>
            <w:r w:rsidRPr="009D4CAC">
              <w:rPr>
                <w:rFonts w:asciiTheme="minorHAnsi" w:hAnsiTheme="minorHAnsi" w:cstheme="minorHAnsi"/>
                <w:b/>
                <w:bCs/>
              </w:rPr>
              <w:t>Condition</w:t>
            </w:r>
          </w:p>
        </w:tc>
        <w:tc>
          <w:tcPr>
            <w:tcW w:w="1558" w:type="dxa"/>
          </w:tcPr>
          <w:p w:rsidR="00CE62B5" w:rsidRPr="009D4CAC" w:rsidP="006D0CC3" w14:paraId="3D215086" w14:textId="77777777">
            <w:pPr>
              <w:rPr>
                <w:rFonts w:asciiTheme="minorHAnsi" w:hAnsiTheme="minorHAnsi" w:cstheme="minorHAnsi"/>
                <w:b/>
                <w:bCs/>
              </w:rPr>
            </w:pPr>
            <w:r w:rsidRPr="009D4CAC">
              <w:rPr>
                <w:rFonts w:asciiTheme="minorHAnsi" w:hAnsiTheme="minorHAnsi" w:cstheme="minorHAnsi"/>
                <w:b/>
                <w:bCs/>
              </w:rPr>
              <w:t>9-month contact survey</w:t>
            </w:r>
          </w:p>
        </w:tc>
        <w:tc>
          <w:tcPr>
            <w:tcW w:w="1558" w:type="dxa"/>
          </w:tcPr>
          <w:p w:rsidR="00CE62B5" w:rsidRPr="009D4CAC" w:rsidP="006D0CC3" w14:paraId="421B045D" w14:textId="77777777">
            <w:pPr>
              <w:rPr>
                <w:rFonts w:asciiTheme="minorHAnsi" w:hAnsiTheme="minorHAnsi" w:cstheme="minorHAnsi"/>
                <w:b/>
                <w:bCs/>
              </w:rPr>
            </w:pPr>
            <w:r w:rsidRPr="009D4CAC">
              <w:rPr>
                <w:rFonts w:asciiTheme="minorHAnsi" w:hAnsiTheme="minorHAnsi" w:cstheme="minorHAnsi"/>
                <w:b/>
                <w:bCs/>
              </w:rPr>
              <w:t>15-month contact survey</w:t>
            </w:r>
          </w:p>
        </w:tc>
        <w:tc>
          <w:tcPr>
            <w:tcW w:w="1558" w:type="dxa"/>
          </w:tcPr>
          <w:p w:rsidR="00CE62B5" w:rsidRPr="009D4CAC" w:rsidP="006D0CC3" w14:paraId="21833BE7" w14:textId="77777777">
            <w:pPr>
              <w:rPr>
                <w:rFonts w:asciiTheme="minorHAnsi" w:hAnsiTheme="minorHAnsi" w:cstheme="minorHAnsi"/>
                <w:b/>
                <w:bCs/>
              </w:rPr>
            </w:pPr>
            <w:r w:rsidRPr="009D4CAC">
              <w:rPr>
                <w:rFonts w:asciiTheme="minorHAnsi" w:hAnsiTheme="minorHAnsi" w:cstheme="minorHAnsi"/>
                <w:b/>
                <w:bCs/>
              </w:rPr>
              <w:t>18-month contact survey</w:t>
            </w:r>
          </w:p>
        </w:tc>
        <w:tc>
          <w:tcPr>
            <w:tcW w:w="1559" w:type="dxa"/>
          </w:tcPr>
          <w:p w:rsidR="00CE62B5" w:rsidRPr="009D4CAC" w:rsidP="006D0CC3" w14:paraId="429DD7C6" w14:textId="77777777">
            <w:pPr>
              <w:rPr>
                <w:rFonts w:asciiTheme="minorHAnsi" w:hAnsiTheme="minorHAnsi" w:cstheme="minorHAnsi"/>
                <w:b/>
                <w:bCs/>
              </w:rPr>
            </w:pPr>
            <w:r w:rsidRPr="009D4CAC">
              <w:rPr>
                <w:rFonts w:asciiTheme="minorHAnsi" w:hAnsiTheme="minorHAnsi" w:cstheme="minorHAnsi"/>
                <w:b/>
                <w:bCs/>
              </w:rPr>
              <w:t>21-month contact survey</w:t>
            </w:r>
          </w:p>
        </w:tc>
        <w:tc>
          <w:tcPr>
            <w:tcW w:w="1559" w:type="dxa"/>
          </w:tcPr>
          <w:p w:rsidR="00CE62B5" w:rsidRPr="009D4CAC" w:rsidP="006D0CC3" w14:paraId="3C6B8C04" w14:textId="77777777">
            <w:pPr>
              <w:rPr>
                <w:rFonts w:asciiTheme="minorHAnsi" w:hAnsiTheme="minorHAnsi" w:cstheme="minorHAnsi"/>
                <w:b/>
                <w:bCs/>
              </w:rPr>
            </w:pPr>
            <w:r w:rsidRPr="009D4CAC">
              <w:rPr>
                <w:rFonts w:asciiTheme="minorHAnsi" w:hAnsiTheme="minorHAnsi" w:cstheme="minorHAnsi"/>
                <w:b/>
                <w:bCs/>
              </w:rPr>
              <w:t xml:space="preserve">Total </w:t>
            </w:r>
          </w:p>
        </w:tc>
      </w:tr>
      <w:tr w14:paraId="20597253" w14:textId="77777777" w:rsidTr="006D0CC3">
        <w:tblPrEx>
          <w:tblW w:w="0" w:type="auto"/>
          <w:tblInd w:w="0" w:type="dxa"/>
          <w:tblLook w:val="04A0"/>
        </w:tblPrEx>
        <w:tc>
          <w:tcPr>
            <w:tcW w:w="1558" w:type="dxa"/>
          </w:tcPr>
          <w:p w:rsidR="00CE62B5" w:rsidRPr="009D4CAC" w:rsidP="006D0CC3" w14:paraId="35D1A4D6" w14:textId="77777777">
            <w:pPr>
              <w:rPr>
                <w:rFonts w:asciiTheme="minorHAnsi" w:hAnsiTheme="minorHAnsi" w:cstheme="minorHAnsi"/>
              </w:rPr>
            </w:pPr>
            <w:r w:rsidRPr="009D4CAC">
              <w:rPr>
                <w:rFonts w:asciiTheme="minorHAnsi" w:hAnsiTheme="minorHAnsi" w:cstheme="minorHAnsi"/>
              </w:rPr>
              <w:t>Intervention</w:t>
            </w:r>
          </w:p>
        </w:tc>
        <w:tc>
          <w:tcPr>
            <w:tcW w:w="1558" w:type="dxa"/>
          </w:tcPr>
          <w:p w:rsidR="00CE62B5" w:rsidRPr="009D4CAC" w:rsidP="006D0CC3" w14:paraId="46AD7F48" w14:textId="77777777">
            <w:pPr>
              <w:rPr>
                <w:rFonts w:asciiTheme="minorHAnsi" w:hAnsiTheme="minorHAnsi" w:cstheme="minorHAnsi"/>
              </w:rPr>
            </w:pPr>
            <w:r w:rsidRPr="009D4CAC">
              <w:rPr>
                <w:rFonts w:asciiTheme="minorHAnsi" w:hAnsiTheme="minorHAnsi" w:cstheme="minorHAnsi"/>
              </w:rPr>
              <w:t>$5</w:t>
            </w:r>
          </w:p>
        </w:tc>
        <w:tc>
          <w:tcPr>
            <w:tcW w:w="1558" w:type="dxa"/>
          </w:tcPr>
          <w:p w:rsidR="00CE62B5" w:rsidRPr="009D4CAC" w:rsidP="006D0CC3" w14:paraId="08F8C952" w14:textId="77777777">
            <w:pPr>
              <w:rPr>
                <w:rFonts w:asciiTheme="minorHAnsi" w:hAnsiTheme="minorHAnsi" w:cstheme="minorHAnsi"/>
              </w:rPr>
            </w:pPr>
            <w:r w:rsidRPr="009D4CAC">
              <w:rPr>
                <w:rFonts w:asciiTheme="minorHAnsi" w:hAnsiTheme="minorHAnsi" w:cstheme="minorHAnsi"/>
              </w:rPr>
              <w:t>$5</w:t>
            </w:r>
          </w:p>
        </w:tc>
        <w:tc>
          <w:tcPr>
            <w:tcW w:w="1558" w:type="dxa"/>
          </w:tcPr>
          <w:p w:rsidR="00CE62B5" w:rsidRPr="009D4CAC" w:rsidP="006D0CC3" w14:paraId="4B50124D" w14:textId="77777777">
            <w:pPr>
              <w:rPr>
                <w:rFonts w:asciiTheme="minorHAnsi" w:hAnsiTheme="minorHAnsi" w:cstheme="minorHAnsi"/>
              </w:rPr>
            </w:pPr>
            <w:r w:rsidRPr="009D4CAC">
              <w:rPr>
                <w:rFonts w:asciiTheme="minorHAnsi" w:hAnsiTheme="minorHAnsi" w:cstheme="minorHAnsi"/>
              </w:rPr>
              <w:t>$5</w:t>
            </w:r>
          </w:p>
        </w:tc>
        <w:tc>
          <w:tcPr>
            <w:tcW w:w="1559" w:type="dxa"/>
          </w:tcPr>
          <w:p w:rsidR="00CE62B5" w:rsidRPr="009D4CAC" w:rsidP="006D0CC3" w14:paraId="59DAE0B3" w14:textId="77777777">
            <w:pPr>
              <w:rPr>
                <w:rFonts w:asciiTheme="minorHAnsi" w:hAnsiTheme="minorHAnsi" w:cstheme="minorHAnsi"/>
              </w:rPr>
            </w:pPr>
            <w:r w:rsidRPr="009D4CAC">
              <w:rPr>
                <w:rFonts w:asciiTheme="minorHAnsi" w:hAnsiTheme="minorHAnsi" w:cstheme="minorHAnsi"/>
              </w:rPr>
              <w:t>$5</w:t>
            </w:r>
          </w:p>
        </w:tc>
        <w:tc>
          <w:tcPr>
            <w:tcW w:w="1559" w:type="dxa"/>
          </w:tcPr>
          <w:p w:rsidR="00CE62B5" w:rsidRPr="009D4CAC" w:rsidP="006D0CC3" w14:paraId="3CEB0CDE" w14:textId="77777777">
            <w:pPr>
              <w:rPr>
                <w:rFonts w:asciiTheme="minorHAnsi" w:hAnsiTheme="minorHAnsi" w:cstheme="minorHAnsi"/>
              </w:rPr>
            </w:pPr>
            <w:r w:rsidRPr="009D4CAC">
              <w:rPr>
                <w:rFonts w:asciiTheme="minorHAnsi" w:hAnsiTheme="minorHAnsi" w:cstheme="minorHAnsi"/>
              </w:rPr>
              <w:t>$20</w:t>
            </w:r>
          </w:p>
        </w:tc>
      </w:tr>
      <w:tr w14:paraId="6BEA0BE9" w14:textId="77777777" w:rsidTr="006D0CC3">
        <w:tblPrEx>
          <w:tblW w:w="0" w:type="auto"/>
          <w:tblInd w:w="0" w:type="dxa"/>
          <w:tblLook w:val="04A0"/>
        </w:tblPrEx>
        <w:tc>
          <w:tcPr>
            <w:tcW w:w="1558" w:type="dxa"/>
          </w:tcPr>
          <w:p w:rsidR="00CE62B5" w:rsidRPr="009D4CAC" w:rsidP="006D0CC3" w14:paraId="22838D2E" w14:textId="77777777">
            <w:pPr>
              <w:rPr>
                <w:rFonts w:asciiTheme="minorHAnsi" w:hAnsiTheme="minorHAnsi" w:cstheme="minorHAnsi"/>
              </w:rPr>
            </w:pPr>
            <w:r w:rsidRPr="009D4CAC">
              <w:rPr>
                <w:rFonts w:asciiTheme="minorHAnsi" w:hAnsiTheme="minorHAnsi" w:cstheme="minorHAnsi"/>
              </w:rPr>
              <w:t>Control</w:t>
            </w:r>
          </w:p>
        </w:tc>
        <w:tc>
          <w:tcPr>
            <w:tcW w:w="1558" w:type="dxa"/>
          </w:tcPr>
          <w:p w:rsidR="00CE62B5" w:rsidRPr="009D4CAC" w:rsidP="006D0CC3" w14:paraId="2BCBEBF0" w14:textId="77777777">
            <w:pPr>
              <w:rPr>
                <w:rFonts w:asciiTheme="minorHAnsi" w:hAnsiTheme="minorHAnsi" w:cstheme="minorHAnsi"/>
              </w:rPr>
            </w:pPr>
            <w:r w:rsidRPr="009D4CAC">
              <w:rPr>
                <w:rFonts w:asciiTheme="minorHAnsi" w:hAnsiTheme="minorHAnsi" w:cstheme="minorHAnsi"/>
              </w:rPr>
              <w:t>$0</w:t>
            </w:r>
          </w:p>
        </w:tc>
        <w:tc>
          <w:tcPr>
            <w:tcW w:w="1558" w:type="dxa"/>
          </w:tcPr>
          <w:p w:rsidR="00CE62B5" w:rsidRPr="009D4CAC" w:rsidP="006D0CC3" w14:paraId="492721F1" w14:textId="77777777">
            <w:pPr>
              <w:rPr>
                <w:rFonts w:asciiTheme="minorHAnsi" w:hAnsiTheme="minorHAnsi" w:cstheme="minorHAnsi"/>
              </w:rPr>
            </w:pPr>
            <w:r w:rsidRPr="009D4CAC">
              <w:rPr>
                <w:rFonts w:asciiTheme="minorHAnsi" w:hAnsiTheme="minorHAnsi" w:cstheme="minorHAnsi"/>
              </w:rPr>
              <w:t>$5</w:t>
            </w:r>
          </w:p>
        </w:tc>
        <w:tc>
          <w:tcPr>
            <w:tcW w:w="1558" w:type="dxa"/>
          </w:tcPr>
          <w:p w:rsidR="00CE62B5" w:rsidRPr="009D4CAC" w:rsidP="006D0CC3" w14:paraId="7D4DE686" w14:textId="77777777">
            <w:pPr>
              <w:rPr>
                <w:rFonts w:asciiTheme="minorHAnsi" w:hAnsiTheme="minorHAnsi" w:cstheme="minorHAnsi"/>
              </w:rPr>
            </w:pPr>
            <w:r w:rsidRPr="009D4CAC">
              <w:rPr>
                <w:rFonts w:asciiTheme="minorHAnsi" w:hAnsiTheme="minorHAnsi" w:cstheme="minorHAnsi"/>
              </w:rPr>
              <w:t>$5</w:t>
            </w:r>
          </w:p>
        </w:tc>
        <w:tc>
          <w:tcPr>
            <w:tcW w:w="1559" w:type="dxa"/>
          </w:tcPr>
          <w:p w:rsidR="00CE62B5" w:rsidRPr="009D4CAC" w:rsidP="006D0CC3" w14:paraId="3091A9ED" w14:textId="77777777">
            <w:pPr>
              <w:rPr>
                <w:rFonts w:asciiTheme="minorHAnsi" w:hAnsiTheme="minorHAnsi" w:cstheme="minorHAnsi"/>
              </w:rPr>
            </w:pPr>
            <w:r w:rsidRPr="009D4CAC">
              <w:rPr>
                <w:rFonts w:asciiTheme="minorHAnsi" w:hAnsiTheme="minorHAnsi" w:cstheme="minorHAnsi"/>
              </w:rPr>
              <w:t>$10</w:t>
            </w:r>
          </w:p>
        </w:tc>
        <w:tc>
          <w:tcPr>
            <w:tcW w:w="1559" w:type="dxa"/>
          </w:tcPr>
          <w:p w:rsidR="00CE62B5" w:rsidRPr="009D4CAC" w:rsidP="006D0CC3" w14:paraId="5F30BDB1" w14:textId="77777777">
            <w:pPr>
              <w:rPr>
                <w:rFonts w:asciiTheme="minorHAnsi" w:hAnsiTheme="minorHAnsi" w:cstheme="minorHAnsi"/>
              </w:rPr>
            </w:pPr>
            <w:r w:rsidRPr="009D4CAC">
              <w:rPr>
                <w:rFonts w:asciiTheme="minorHAnsi" w:hAnsiTheme="minorHAnsi" w:cstheme="minorHAnsi"/>
              </w:rPr>
              <w:t>$20</w:t>
            </w:r>
          </w:p>
        </w:tc>
      </w:tr>
    </w:tbl>
    <w:p w:rsidR="00CE62B5" w:rsidP="00CE62B5" w14:paraId="0CD7D6F8" w14:textId="77777777">
      <w:pPr>
        <w:pStyle w:val="Paragraph"/>
        <w:spacing w:after="0"/>
      </w:pPr>
    </w:p>
    <w:p w:rsidR="00CE62B5" w:rsidP="00CE62B5" w14:paraId="4F5E9C2B" w14:textId="77777777">
      <w:pPr>
        <w:spacing w:after="0"/>
      </w:pPr>
    </w:p>
    <w:p w:rsidR="00435103" w:rsidP="00CE62B5" w14:paraId="451E2781" w14:textId="7B9A00AC">
      <w:pPr>
        <w:spacing w:after="0"/>
      </w:pPr>
      <w:r>
        <w:t xml:space="preserve">We also propose offering youth who participate in the 1.5-hour focus groups a $40 gift card.  </w:t>
      </w:r>
      <w:r w:rsidRPr="00435103">
        <w:t>Focus group</w:t>
      </w:r>
      <w:r>
        <w:t xml:space="preserve"> </w:t>
      </w:r>
      <w:r w:rsidRPr="00435103">
        <w:t>data are not intended to be representative in a statistical sense, in that they will not be used to make statements about the prevalence of experiences</w:t>
      </w:r>
      <w:r>
        <w:t xml:space="preserve"> </w:t>
      </w:r>
      <w:r w:rsidRPr="00493DEF">
        <w:rPr>
          <w:rFonts w:cs="Calibri"/>
        </w:rPr>
        <w:t>youth and young adults with experience in the child welfare system.</w:t>
      </w:r>
      <w:r w:rsidRPr="00435103">
        <w:t xml:space="preserve"> However, it is important to secure participants with a range of background characteristics to capture a variety of possible experiences.  </w:t>
      </w:r>
      <w:r>
        <w:t>A</w:t>
      </w:r>
      <w:r w:rsidRPr="00435103">
        <w:t xml:space="preserve">ll participants </w:t>
      </w:r>
      <w:r>
        <w:t>are expected to</w:t>
      </w:r>
      <w:r w:rsidRPr="00435103">
        <w:t xml:space="preserve"> be</w:t>
      </w:r>
      <w:r>
        <w:t xml:space="preserve"> low income youth and young adults</w:t>
      </w:r>
      <w:r w:rsidRPr="00435103">
        <w:t>. Without offsetting the direct costs incurred by responde</w:t>
      </w:r>
      <w:r w:rsidRPr="00E8551D">
        <w:t>nts for attending the focus groups, such as</w:t>
      </w:r>
      <w:r>
        <w:t xml:space="preserve"> child care, additional use of data plans or minutes or phones, or transportation if focus groups are able to be held in-person safely, </w:t>
      </w:r>
      <w:r w:rsidRPr="00E8551D">
        <w:t xml:space="preserve">the research team increases the risk that only individuals able to overcome financial barriers to attend will participate in the study. </w:t>
      </w:r>
      <w:r>
        <w:t>The proposed</w:t>
      </w:r>
      <w:r w:rsidRPr="00E8551D">
        <w:t xml:space="preserve"> $</w:t>
      </w:r>
      <w:r>
        <w:t>40</w:t>
      </w:r>
      <w:r w:rsidRPr="00E8551D">
        <w:t xml:space="preserve"> gift card </w:t>
      </w:r>
      <w:r>
        <w:t xml:space="preserve">will help offset these </w:t>
      </w:r>
      <w:r w:rsidRPr="00E8551D">
        <w:t>incidental expenses that may otherwise prevent their participation.</w:t>
      </w:r>
    </w:p>
    <w:p w:rsidR="00EB62DB" w:rsidP="00EB62DB" w14:paraId="2C8681E4" w14:textId="77777777">
      <w:pPr>
        <w:spacing w:after="0"/>
      </w:pPr>
    </w:p>
    <w:p w:rsidR="001D1C73" w:rsidRPr="009139B3" w:rsidP="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CE62B5" w:rsidRPr="009A2FB4" w:rsidP="00CE62B5" w14:paraId="70A22A75" w14:textId="77777777">
      <w:pPr>
        <w:spacing w:after="0" w:line="240" w:lineRule="auto"/>
      </w:pPr>
      <w:r w:rsidRPr="009139B3">
        <w:rPr>
          <w:i/>
        </w:rPr>
        <w:t>Personally Identifiable Information</w:t>
      </w:r>
      <w:r>
        <w:rPr>
          <w:i/>
        </w:rPr>
        <w:t xml:space="preserve"> (PII)</w:t>
      </w:r>
      <w:r>
        <w:t xml:space="preserve">PII will be collected on consent forms and through the youth surveys. Each youth will be assigned a unique study ID for the duration of the study. This ID will be linked to the user-specific URLs that youth will use to access the web-based surveys. The unique ID will be used to link survey responses by a single respondent across surveys. </w:t>
      </w:r>
      <w:r>
        <w:rPr>
          <w:rFonts w:cstheme="minorHAnsi"/>
        </w:rPr>
        <w:t>PII</w:t>
      </w:r>
      <w:r w:rsidRPr="001D579D">
        <w:rPr>
          <w:rFonts w:cstheme="minorHAnsi"/>
        </w:rPr>
        <w:t xml:space="preserve"> will be stored in secure files, separate from survey and other individual-level data.</w:t>
      </w:r>
    </w:p>
    <w:p w:rsidR="00CE62B5" w:rsidP="00CE62B5" w14:paraId="1843B1E8" w14:textId="77777777">
      <w:pPr>
        <w:pStyle w:val="ParagraphContinued"/>
        <w:rPr>
          <w:rFonts w:cstheme="minorHAnsi"/>
          <w:b/>
          <w:caps/>
          <w:noProof/>
          <w:color w:val="1F497D" w:themeColor="text2"/>
        </w:rPr>
      </w:pPr>
      <w:r>
        <w:t xml:space="preserve">Table A.3 below lists </w:t>
      </w:r>
      <w:r w:rsidRPr="00241797">
        <w:t>the PII that</w:t>
      </w:r>
      <w:r>
        <w:t xml:space="preserve"> will be collected and its use.</w:t>
      </w:r>
      <w:r>
        <w:rPr>
          <w:rFonts w:cstheme="minorHAnsi"/>
          <w:b/>
          <w:caps/>
          <w:noProof/>
          <w:color w:val="1F497D" w:themeColor="text2"/>
        </w:rPr>
        <w:t xml:space="preserve"> </w:t>
      </w:r>
    </w:p>
    <w:p w:rsidR="00CE62B5" w:rsidRPr="000D4258" w:rsidP="00CE62B5" w14:paraId="780CDE3B" w14:textId="77777777">
      <w:pPr>
        <w:spacing w:after="0" w:line="240" w:lineRule="auto"/>
        <w:rPr>
          <w:b/>
          <w:bCs/>
          <w:iCs/>
        </w:rPr>
      </w:pPr>
      <w:r w:rsidRPr="000D4258">
        <w:rPr>
          <w:b/>
          <w:bCs/>
          <w:iCs/>
        </w:rPr>
        <w:t xml:space="preserve">Table </w:t>
      </w:r>
      <w:r>
        <w:rPr>
          <w:b/>
          <w:bCs/>
          <w:iCs/>
        </w:rPr>
        <w:t>A.3</w:t>
      </w:r>
      <w:r w:rsidRPr="000D4258">
        <w:rPr>
          <w:b/>
          <w:bCs/>
          <w:iCs/>
        </w:rPr>
        <w:t xml:space="preserve">. Personally Identifiable Information (PII) </w:t>
      </w:r>
      <w:r>
        <w:rPr>
          <w:b/>
          <w:bCs/>
          <w:iCs/>
        </w:rPr>
        <w:t>T</w:t>
      </w:r>
      <w:r w:rsidRPr="000D4258">
        <w:rPr>
          <w:b/>
          <w:bCs/>
          <w:iCs/>
        </w:rPr>
        <w:t xml:space="preserve">o </w:t>
      </w:r>
      <w:r>
        <w:rPr>
          <w:b/>
          <w:bCs/>
          <w:iCs/>
        </w:rPr>
        <w:t>B</w:t>
      </w:r>
      <w:r w:rsidRPr="000D4258">
        <w:rPr>
          <w:b/>
          <w:bCs/>
          <w:iCs/>
        </w:rPr>
        <w:t xml:space="preserve">e Collected and </w:t>
      </w:r>
      <w:r>
        <w:rPr>
          <w:b/>
          <w:bCs/>
          <w:iCs/>
        </w:rPr>
        <w:t>I</w:t>
      </w:r>
      <w:r w:rsidRPr="000D4258">
        <w:rPr>
          <w:b/>
          <w:bCs/>
          <w:iCs/>
        </w:rPr>
        <w:t xml:space="preserve">ts Use  </w:t>
      </w:r>
    </w:p>
    <w:tbl>
      <w:tblPr>
        <w:tblStyle w:val="TableGrid"/>
        <w:tblW w:w="0" w:type="auto"/>
        <w:tblInd w:w="-5" w:type="dxa"/>
        <w:tblLook w:val="04A0"/>
      </w:tblPr>
      <w:tblGrid>
        <w:gridCol w:w="3327"/>
        <w:gridCol w:w="6028"/>
      </w:tblGrid>
      <w:tr w14:paraId="4D6AE812" w14:textId="77777777" w:rsidTr="006D0CC3">
        <w:tblPrEx>
          <w:tblW w:w="0" w:type="auto"/>
          <w:tblInd w:w="-5" w:type="dxa"/>
          <w:tblLook w:val="04A0"/>
        </w:tblPrEx>
        <w:trPr>
          <w:trHeight w:val="282"/>
        </w:trPr>
        <w:tc>
          <w:tcPr>
            <w:tcW w:w="3327" w:type="dxa"/>
            <w:shd w:val="clear" w:color="auto" w:fill="D9D9D9" w:themeFill="background1" w:themeFillShade="D9"/>
            <w:noWrap/>
            <w:hideMark/>
          </w:tcPr>
          <w:p w:rsidR="00CE62B5" w:rsidRPr="00E32FE9" w:rsidP="006D0CC3" w14:paraId="20B66C2E" w14:textId="77777777">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00CE62B5" w:rsidRPr="00E32FE9" w:rsidP="006D0CC3" w14:paraId="1160E62C" w14:textId="77777777">
            <w:pPr>
              <w:rPr>
                <w:rFonts w:asciiTheme="minorHAnsi" w:hAnsiTheme="minorHAnsi"/>
                <w:b/>
                <w:bCs/>
                <w:iCs/>
              </w:rPr>
            </w:pPr>
            <w:r w:rsidRPr="00E32FE9">
              <w:rPr>
                <w:rFonts w:asciiTheme="minorHAnsi" w:hAnsiTheme="minorHAnsi"/>
                <w:b/>
                <w:bCs/>
                <w:iCs/>
              </w:rPr>
              <w:t xml:space="preserve">Intended Use </w:t>
            </w:r>
          </w:p>
        </w:tc>
      </w:tr>
      <w:tr w14:paraId="1A8AC272" w14:textId="77777777" w:rsidTr="006D0CC3">
        <w:tblPrEx>
          <w:tblW w:w="0" w:type="auto"/>
          <w:tblInd w:w="-5" w:type="dxa"/>
          <w:tblLook w:val="04A0"/>
        </w:tblPrEx>
        <w:trPr>
          <w:trHeight w:val="282"/>
        </w:trPr>
        <w:tc>
          <w:tcPr>
            <w:tcW w:w="3327" w:type="dxa"/>
            <w:noWrap/>
            <w:hideMark/>
          </w:tcPr>
          <w:p w:rsidR="00CE62B5" w:rsidRPr="00E32FE9" w:rsidP="006D0CC3" w14:paraId="1955DC53" w14:textId="77777777">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00CE62B5" w:rsidRPr="00E32FE9" w:rsidP="006D0CC3" w14:paraId="0DF21134" w14:textId="77777777">
            <w:pPr>
              <w:rPr>
                <w:rFonts w:asciiTheme="minorHAnsi" w:hAnsiTheme="minorHAnsi"/>
                <w:iCs/>
              </w:rPr>
            </w:pPr>
            <w:r w:rsidRPr="00E32FE9">
              <w:rPr>
                <w:rFonts w:asciiTheme="minorHAnsi" w:hAnsiTheme="minorHAnsi"/>
                <w:iCs/>
              </w:rPr>
              <w:t xml:space="preserve">Contact information collected through the consent forms and surveys will be used to contact respondents about completing the follow-up surveys.  </w:t>
            </w:r>
          </w:p>
        </w:tc>
      </w:tr>
      <w:tr w14:paraId="4F0E82E3" w14:textId="77777777" w:rsidTr="006D0CC3">
        <w:tblPrEx>
          <w:tblW w:w="0" w:type="auto"/>
          <w:tblInd w:w="-5" w:type="dxa"/>
          <w:tblLook w:val="04A0"/>
        </w:tblPrEx>
        <w:trPr>
          <w:trHeight w:val="282"/>
        </w:trPr>
        <w:tc>
          <w:tcPr>
            <w:tcW w:w="3327" w:type="dxa"/>
            <w:noWrap/>
            <w:hideMark/>
          </w:tcPr>
          <w:p w:rsidR="00CE62B5" w:rsidRPr="00E32FE9" w:rsidP="006D0CC3" w14:paraId="58525EFD" w14:textId="77777777">
            <w:pPr>
              <w:rPr>
                <w:rFonts w:asciiTheme="minorHAnsi" w:hAnsiTheme="minorHAnsi"/>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00CE62B5" w:rsidRPr="00E32FE9" w:rsidP="006D0CC3" w14:paraId="6B12E600" w14:textId="77777777">
            <w:pPr>
              <w:rPr>
                <w:rFonts w:asciiTheme="minorHAnsi" w:hAnsiTheme="minorHAnsi"/>
                <w:iCs/>
              </w:rPr>
            </w:pPr>
          </w:p>
        </w:tc>
      </w:tr>
      <w:tr w14:paraId="73675425" w14:textId="77777777" w:rsidTr="006D0CC3">
        <w:tblPrEx>
          <w:tblW w:w="0" w:type="auto"/>
          <w:tblInd w:w="-5" w:type="dxa"/>
          <w:tblLook w:val="04A0"/>
        </w:tblPrEx>
        <w:trPr>
          <w:trHeight w:val="282"/>
        </w:trPr>
        <w:tc>
          <w:tcPr>
            <w:tcW w:w="3327" w:type="dxa"/>
            <w:noWrap/>
            <w:hideMark/>
          </w:tcPr>
          <w:p w:rsidR="00CE62B5" w:rsidRPr="00E32FE9" w:rsidP="006D0CC3" w14:paraId="7AC02616" w14:textId="77777777">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00CE62B5" w:rsidRPr="00E32FE9" w:rsidP="006D0CC3" w14:paraId="38822236" w14:textId="77777777">
            <w:pPr>
              <w:rPr>
                <w:rFonts w:asciiTheme="minorHAnsi" w:hAnsiTheme="minorHAnsi"/>
                <w:iCs/>
              </w:rPr>
            </w:pPr>
          </w:p>
        </w:tc>
      </w:tr>
      <w:tr w14:paraId="762E3425" w14:textId="77777777" w:rsidTr="006D0CC3">
        <w:tblPrEx>
          <w:tblW w:w="0" w:type="auto"/>
          <w:tblInd w:w="-5" w:type="dxa"/>
          <w:tblLook w:val="04A0"/>
        </w:tblPrEx>
        <w:trPr>
          <w:trHeight w:val="282"/>
        </w:trPr>
        <w:tc>
          <w:tcPr>
            <w:tcW w:w="3327" w:type="dxa"/>
            <w:noWrap/>
            <w:hideMark/>
          </w:tcPr>
          <w:p w:rsidR="00CE62B5" w:rsidRPr="00E32FE9" w:rsidP="006D0CC3" w14:paraId="5E140A2C" w14:textId="77777777">
            <w:pPr>
              <w:rPr>
                <w:rFonts w:asciiTheme="minorHAnsi" w:hAnsiTheme="minorHAnsi"/>
                <w:iCs/>
              </w:rPr>
            </w:pPr>
            <w:r w:rsidRPr="00E32FE9">
              <w:rPr>
                <w:rFonts w:eastAsia="Symbol" w:asciiTheme="minorHAnsi" w:hAnsiTheme="minorHAnsi"/>
                <w:iCs/>
              </w:rPr>
              <w:t>Email address</w:t>
            </w:r>
          </w:p>
        </w:tc>
        <w:tc>
          <w:tcPr>
            <w:tcW w:w="6028" w:type="dxa"/>
            <w:vMerge/>
            <w:hideMark/>
          </w:tcPr>
          <w:p w:rsidR="00CE62B5" w:rsidRPr="00E32FE9" w:rsidP="006D0CC3" w14:paraId="41D72834" w14:textId="77777777">
            <w:pPr>
              <w:rPr>
                <w:rFonts w:asciiTheme="minorHAnsi" w:hAnsiTheme="minorHAnsi"/>
                <w:iCs/>
              </w:rPr>
            </w:pPr>
          </w:p>
        </w:tc>
      </w:tr>
      <w:tr w14:paraId="20AD1733" w14:textId="77777777" w:rsidTr="006D0CC3">
        <w:tblPrEx>
          <w:tblW w:w="0" w:type="auto"/>
          <w:tblInd w:w="-5" w:type="dxa"/>
          <w:tblLook w:val="04A0"/>
        </w:tblPrEx>
        <w:trPr>
          <w:trHeight w:val="282"/>
        </w:trPr>
        <w:tc>
          <w:tcPr>
            <w:tcW w:w="3327" w:type="dxa"/>
            <w:noWrap/>
            <w:hideMark/>
          </w:tcPr>
          <w:p w:rsidR="00CE62B5" w:rsidRPr="00E32FE9" w:rsidP="006D0CC3" w14:paraId="659366CD" w14:textId="77777777">
            <w:pPr>
              <w:rPr>
                <w:rFonts w:asciiTheme="minorHAnsi" w:hAnsiTheme="minorHAnsi"/>
                <w:iCs/>
              </w:rPr>
            </w:pPr>
          </w:p>
        </w:tc>
        <w:tc>
          <w:tcPr>
            <w:tcW w:w="6028" w:type="dxa"/>
            <w:vMerge/>
            <w:hideMark/>
          </w:tcPr>
          <w:p w:rsidR="00CE62B5" w:rsidRPr="00E32FE9" w:rsidP="006D0CC3" w14:paraId="62DBADF2" w14:textId="77777777">
            <w:pPr>
              <w:rPr>
                <w:rFonts w:asciiTheme="minorHAnsi" w:hAnsiTheme="minorHAnsi"/>
                <w:iCs/>
              </w:rPr>
            </w:pPr>
          </w:p>
        </w:tc>
      </w:tr>
      <w:tr w14:paraId="1B7B7D2C" w14:textId="77777777" w:rsidTr="006D0CC3">
        <w:tblPrEx>
          <w:tblW w:w="0" w:type="auto"/>
          <w:tblInd w:w="-5" w:type="dxa"/>
          <w:tblLook w:val="04A0"/>
        </w:tblPrEx>
        <w:trPr>
          <w:trHeight w:val="563"/>
        </w:trPr>
        <w:tc>
          <w:tcPr>
            <w:tcW w:w="3327" w:type="dxa"/>
            <w:noWrap/>
          </w:tcPr>
          <w:p w:rsidR="00CE62B5" w:rsidRPr="00E32FE9" w:rsidP="006D0CC3" w14:paraId="2B5FC3CA" w14:textId="77777777">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00CE62B5" w:rsidRPr="00E32FE9" w:rsidP="006D0CC3" w14:paraId="13E6E212" w14:textId="77777777">
            <w:pPr>
              <w:rPr>
                <w:rFonts w:asciiTheme="minorHAnsi" w:hAnsiTheme="minorHAnsi"/>
                <w:iCs/>
              </w:rPr>
            </w:pPr>
            <w:r w:rsidRPr="00E32FE9">
              <w:rPr>
                <w:rFonts w:asciiTheme="minorHAnsi" w:hAnsiTheme="minorHAnsi"/>
                <w:iCs/>
              </w:rPr>
              <w:t xml:space="preserve">Youth participants will be asked to provide contact information for up to </w:t>
            </w:r>
            <w:r>
              <w:rPr>
                <w:rFonts w:asciiTheme="minorHAnsi" w:hAnsiTheme="minorHAnsi"/>
                <w:iCs/>
              </w:rPr>
              <w:t>three</w:t>
            </w:r>
            <w:r w:rsidRPr="00E32FE9">
              <w:rPr>
                <w:rFonts w:asciiTheme="minorHAnsi" w:hAnsiTheme="minorHAnsi"/>
                <w:iCs/>
              </w:rPr>
              <w:t xml:space="preserve"> people who will know their location should they move during </w:t>
            </w:r>
            <w:r w:rsidRPr="00E32FE9">
              <w:rPr>
                <w:rFonts w:asciiTheme="minorHAnsi" w:hAnsiTheme="minorHAnsi"/>
                <w:iCs/>
              </w:rPr>
              <w:t>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14:paraId="1191F40D" w14:textId="77777777" w:rsidTr="006D0CC3">
        <w:tblPrEx>
          <w:tblW w:w="0" w:type="auto"/>
          <w:tblInd w:w="-5" w:type="dxa"/>
          <w:tblLook w:val="04A0"/>
        </w:tblPrEx>
        <w:trPr>
          <w:trHeight w:val="563"/>
        </w:trPr>
        <w:tc>
          <w:tcPr>
            <w:tcW w:w="3327" w:type="dxa"/>
            <w:noWrap/>
          </w:tcPr>
          <w:p w:rsidR="00CE62B5" w:rsidRPr="00E32FE9" w:rsidP="006D0CC3" w14:paraId="6B7DB009" w14:textId="77777777">
            <w:pPr>
              <w:rPr>
                <w:rFonts w:eastAsia="Symbol"/>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00CE62B5" w:rsidRPr="00E32FE9" w:rsidP="006D0CC3" w14:paraId="4FD74C2B" w14:textId="77777777">
            <w:pPr>
              <w:rPr>
                <w:iCs/>
              </w:rPr>
            </w:pPr>
          </w:p>
        </w:tc>
      </w:tr>
      <w:tr w14:paraId="233192F9" w14:textId="77777777" w:rsidTr="006D0CC3">
        <w:tblPrEx>
          <w:tblW w:w="0" w:type="auto"/>
          <w:tblInd w:w="-5" w:type="dxa"/>
          <w:tblLook w:val="04A0"/>
        </w:tblPrEx>
        <w:trPr>
          <w:trHeight w:val="563"/>
        </w:trPr>
        <w:tc>
          <w:tcPr>
            <w:tcW w:w="3327" w:type="dxa"/>
            <w:noWrap/>
          </w:tcPr>
          <w:p w:rsidR="00CE62B5" w:rsidRPr="00E32FE9" w:rsidP="006D0CC3" w14:paraId="274C55D0" w14:textId="77777777">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00CE62B5" w:rsidRPr="00E32FE9" w:rsidP="006D0CC3" w14:paraId="3684E428" w14:textId="77777777">
            <w:pPr>
              <w:rPr>
                <w:iCs/>
              </w:rPr>
            </w:pPr>
          </w:p>
        </w:tc>
      </w:tr>
      <w:tr w14:paraId="7D0E9CB7" w14:textId="77777777" w:rsidTr="006D0CC3">
        <w:tblPrEx>
          <w:tblW w:w="0" w:type="auto"/>
          <w:tblInd w:w="-5" w:type="dxa"/>
          <w:tblLook w:val="04A0"/>
        </w:tblPrEx>
        <w:trPr>
          <w:trHeight w:val="563"/>
        </w:trPr>
        <w:tc>
          <w:tcPr>
            <w:tcW w:w="3327" w:type="dxa"/>
            <w:noWrap/>
          </w:tcPr>
          <w:p w:rsidR="00CE62B5" w:rsidRPr="00E32FE9" w:rsidP="006D0CC3" w14:paraId="3FE01606" w14:textId="77777777">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00CE62B5" w:rsidRPr="00E32FE9" w:rsidP="006D0CC3" w14:paraId="12B9CD88" w14:textId="77777777">
            <w:pPr>
              <w:rPr>
                <w:iCs/>
              </w:rPr>
            </w:pPr>
          </w:p>
        </w:tc>
      </w:tr>
      <w:tr w14:paraId="3C9A992A" w14:textId="77777777" w:rsidTr="006D0CC3">
        <w:tblPrEx>
          <w:tblW w:w="0" w:type="auto"/>
          <w:tblInd w:w="-5" w:type="dxa"/>
          <w:tblLook w:val="04A0"/>
        </w:tblPrEx>
        <w:trPr>
          <w:trHeight w:val="563"/>
        </w:trPr>
        <w:tc>
          <w:tcPr>
            <w:tcW w:w="3327" w:type="dxa"/>
            <w:noWrap/>
          </w:tcPr>
          <w:p w:rsidR="00CE62B5" w:rsidRPr="00E32FE9" w:rsidP="006D0CC3" w14:paraId="349F0F2B" w14:textId="77777777">
            <w:pPr>
              <w:rPr>
                <w:rFonts w:eastAsia="Symbol" w:asciiTheme="minorHAnsi" w:hAnsiTheme="minorHAnsi"/>
                <w:iCs/>
              </w:rPr>
            </w:pPr>
            <w:r w:rsidRPr="00E32FE9">
              <w:rPr>
                <w:rFonts w:eastAsia="Symbol" w:asciiTheme="minorHAnsi" w:hAnsiTheme="minorHAnsi"/>
                <w:iCs/>
              </w:rPr>
              <w:t>Date of birth</w:t>
            </w:r>
          </w:p>
        </w:tc>
        <w:tc>
          <w:tcPr>
            <w:tcW w:w="6028" w:type="dxa"/>
          </w:tcPr>
          <w:p w:rsidR="00CE62B5" w:rsidRPr="00E32FE9" w:rsidP="006D0CC3" w14:paraId="5515B3AB" w14:textId="77777777">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14:paraId="65546B86" w14:textId="77777777" w:rsidTr="006D0CC3">
        <w:tblPrEx>
          <w:tblW w:w="0" w:type="auto"/>
          <w:tblInd w:w="-5" w:type="dxa"/>
          <w:tblLook w:val="04A0"/>
        </w:tblPrEx>
        <w:trPr>
          <w:trHeight w:val="563"/>
        </w:trPr>
        <w:tc>
          <w:tcPr>
            <w:tcW w:w="3327" w:type="dxa"/>
            <w:noWrap/>
            <w:hideMark/>
          </w:tcPr>
          <w:p w:rsidR="00CE62B5" w:rsidRPr="00E32FE9" w:rsidP="006D0CC3" w14:paraId="11F2A545" w14:textId="77777777">
            <w:pPr>
              <w:rPr>
                <w:rFonts w:asciiTheme="minorHAnsi" w:hAnsiTheme="minorHAnsi"/>
                <w:iCs/>
              </w:rPr>
            </w:pPr>
            <w:r w:rsidRPr="00E32FE9">
              <w:rPr>
                <w:rFonts w:eastAsia="Symbol" w:asciiTheme="minorHAnsi" w:hAnsiTheme="minorHAnsi"/>
                <w:iCs/>
              </w:rPr>
              <w:t>Race</w:t>
            </w:r>
          </w:p>
        </w:tc>
        <w:tc>
          <w:tcPr>
            <w:tcW w:w="6028" w:type="dxa"/>
            <w:vMerge w:val="restart"/>
            <w:hideMark/>
          </w:tcPr>
          <w:p w:rsidR="00CE62B5" w:rsidRPr="00E32FE9" w:rsidP="006D0CC3" w14:paraId="24BB06B5" w14:textId="77777777">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Pr>
                <w:rFonts w:asciiTheme="minorHAnsi" w:hAnsiTheme="minorHAnsi"/>
                <w:iCs/>
              </w:rPr>
              <w:t>.</w:t>
            </w:r>
            <w:r w:rsidRPr="00E32FE9">
              <w:rPr>
                <w:rFonts w:asciiTheme="minorHAnsi" w:hAnsiTheme="minorHAnsi"/>
                <w:iCs/>
              </w:rPr>
              <w:t xml:space="preserve"> The</w:t>
            </w:r>
            <w:r>
              <w:rPr>
                <w:rFonts w:asciiTheme="minorHAnsi" w:hAnsiTheme="minorHAnsi"/>
                <w:iCs/>
              </w:rPr>
              <w:t>y</w:t>
            </w:r>
            <w:r w:rsidRPr="00E32FE9">
              <w:rPr>
                <w:rFonts w:asciiTheme="minorHAnsi" w:hAnsiTheme="minorHAnsi"/>
                <w:iCs/>
              </w:rPr>
              <w:t xml:space="preserve"> will include at a minimum a baseline measure of the outcome and demographic characteristics, </w:t>
            </w:r>
            <w:r>
              <w:rPr>
                <w:rFonts w:asciiTheme="minorHAnsi" w:hAnsiTheme="minorHAnsi"/>
                <w:iCs/>
              </w:rPr>
              <w:t xml:space="preserve">because </w:t>
            </w:r>
            <w:r w:rsidRPr="00E32FE9">
              <w:rPr>
                <w:rFonts w:asciiTheme="minorHAnsi" w:hAnsiTheme="minorHAnsi"/>
                <w:iCs/>
              </w:rPr>
              <w:t>these variables are likely to be strongly predictive of the outcomes of interest.</w:t>
            </w:r>
          </w:p>
          <w:p w:rsidR="00CE62B5" w:rsidRPr="00E32FE9" w:rsidP="006D0CC3" w14:paraId="35FD21E6" w14:textId="77777777">
            <w:pPr>
              <w:rPr>
                <w:rFonts w:asciiTheme="minorHAnsi" w:hAnsiTheme="minorHAnsi"/>
                <w:iCs/>
                <w:strike/>
              </w:rPr>
            </w:pPr>
          </w:p>
          <w:p w:rsidR="00CE62B5" w:rsidRPr="00E32FE9" w:rsidP="006D0CC3" w14:paraId="4B0A4DB8" w14:textId="77777777">
            <w:pPr>
              <w:rPr>
                <w:rFonts w:asciiTheme="minorHAnsi" w:hAnsiTheme="minorHAnsi"/>
                <w:iCs/>
              </w:rPr>
            </w:pPr>
            <w:r w:rsidRPr="00E32FE9">
              <w:rPr>
                <w:rFonts w:asciiTheme="minorHAnsi" w:hAnsiTheme="minorHAnsi"/>
                <w:iCs/>
                <w:strike/>
              </w:rPr>
              <w:t xml:space="preserve"> </w:t>
            </w:r>
          </w:p>
        </w:tc>
      </w:tr>
      <w:tr w14:paraId="44C15FE9" w14:textId="77777777" w:rsidTr="006D0CC3">
        <w:tblPrEx>
          <w:tblW w:w="0" w:type="auto"/>
          <w:tblInd w:w="-5" w:type="dxa"/>
          <w:tblLook w:val="04A0"/>
        </w:tblPrEx>
        <w:trPr>
          <w:trHeight w:val="325"/>
        </w:trPr>
        <w:tc>
          <w:tcPr>
            <w:tcW w:w="3327" w:type="dxa"/>
            <w:noWrap/>
            <w:hideMark/>
          </w:tcPr>
          <w:p w:rsidR="00CE62B5" w:rsidRPr="00E32FE9" w:rsidP="006D0CC3" w14:paraId="72ADF228" w14:textId="77777777">
            <w:pPr>
              <w:rPr>
                <w:rFonts w:asciiTheme="minorHAnsi" w:hAnsiTheme="minorHAnsi"/>
                <w:iCs/>
              </w:rPr>
            </w:pPr>
            <w:r w:rsidRPr="00E32FE9">
              <w:rPr>
                <w:rFonts w:eastAsia="Symbol" w:asciiTheme="minorHAnsi" w:hAnsiTheme="minorHAnsi"/>
                <w:iCs/>
              </w:rPr>
              <w:t>Ethnicity</w:t>
            </w:r>
          </w:p>
        </w:tc>
        <w:tc>
          <w:tcPr>
            <w:tcW w:w="6028" w:type="dxa"/>
            <w:vMerge/>
            <w:hideMark/>
          </w:tcPr>
          <w:p w:rsidR="00CE62B5" w:rsidRPr="00E32FE9" w:rsidP="006D0CC3" w14:paraId="162FD9C0" w14:textId="77777777">
            <w:pPr>
              <w:rPr>
                <w:rFonts w:asciiTheme="minorHAnsi" w:hAnsiTheme="minorHAnsi"/>
                <w:iCs/>
              </w:rPr>
            </w:pPr>
          </w:p>
        </w:tc>
      </w:tr>
      <w:tr w14:paraId="6F390295" w14:textId="77777777" w:rsidTr="006D0CC3">
        <w:tblPrEx>
          <w:tblW w:w="0" w:type="auto"/>
          <w:tblInd w:w="-5" w:type="dxa"/>
          <w:tblLook w:val="04A0"/>
        </w:tblPrEx>
        <w:trPr>
          <w:trHeight w:val="433"/>
        </w:trPr>
        <w:tc>
          <w:tcPr>
            <w:tcW w:w="3327" w:type="dxa"/>
            <w:noWrap/>
            <w:hideMark/>
          </w:tcPr>
          <w:p w:rsidR="00CE62B5" w:rsidRPr="00E32FE9" w:rsidP="006D0CC3" w14:paraId="49893A39" w14:textId="77777777">
            <w:pPr>
              <w:rPr>
                <w:rFonts w:asciiTheme="minorHAnsi" w:hAnsiTheme="minorHAnsi"/>
                <w:iCs/>
              </w:rPr>
            </w:pPr>
            <w:r w:rsidRPr="00E32FE9">
              <w:rPr>
                <w:rFonts w:eastAsia="Symbol" w:asciiTheme="minorHAnsi" w:hAnsiTheme="minorHAnsi"/>
                <w:iCs/>
              </w:rPr>
              <w:t>Employment status</w:t>
            </w:r>
          </w:p>
        </w:tc>
        <w:tc>
          <w:tcPr>
            <w:tcW w:w="6028" w:type="dxa"/>
            <w:vMerge/>
            <w:hideMark/>
          </w:tcPr>
          <w:p w:rsidR="00CE62B5" w:rsidRPr="00E32FE9" w:rsidP="006D0CC3" w14:paraId="308B689C" w14:textId="77777777">
            <w:pPr>
              <w:rPr>
                <w:rFonts w:asciiTheme="minorHAnsi" w:hAnsiTheme="minorHAnsi"/>
                <w:iCs/>
              </w:rPr>
            </w:pPr>
          </w:p>
        </w:tc>
      </w:tr>
      <w:tr w14:paraId="4588D04F" w14:textId="77777777" w:rsidTr="006D0CC3">
        <w:tblPrEx>
          <w:tblW w:w="0" w:type="auto"/>
          <w:tblInd w:w="-5" w:type="dxa"/>
          <w:tblLook w:val="04A0"/>
        </w:tblPrEx>
        <w:trPr>
          <w:trHeight w:val="444"/>
        </w:trPr>
        <w:tc>
          <w:tcPr>
            <w:tcW w:w="3327" w:type="dxa"/>
            <w:noWrap/>
          </w:tcPr>
          <w:p w:rsidR="00CE62B5" w:rsidRPr="00E32FE9" w:rsidP="006D0CC3" w14:paraId="79250D21" w14:textId="77777777">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00CE62B5" w:rsidRPr="00E32FE9" w:rsidP="006D0CC3" w14:paraId="1D75A6B3" w14:textId="77777777">
            <w:pPr>
              <w:rPr>
                <w:rFonts w:asciiTheme="minorHAnsi" w:hAnsiTheme="minorHAnsi"/>
                <w:iCs/>
              </w:rPr>
            </w:pPr>
          </w:p>
        </w:tc>
      </w:tr>
      <w:tr w14:paraId="117F9EC5" w14:textId="77777777" w:rsidTr="006D0CC3">
        <w:tblPrEx>
          <w:tblW w:w="0" w:type="auto"/>
          <w:tblInd w:w="-5" w:type="dxa"/>
          <w:tblLook w:val="04A0"/>
        </w:tblPrEx>
        <w:trPr>
          <w:trHeight w:val="747"/>
        </w:trPr>
        <w:tc>
          <w:tcPr>
            <w:tcW w:w="3327" w:type="dxa"/>
            <w:noWrap/>
          </w:tcPr>
          <w:p w:rsidR="00CE62B5" w:rsidRPr="00E32FE9" w:rsidP="006D0CC3" w14:paraId="2CAC31C7" w14:textId="77777777">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00CE62B5" w:rsidRPr="00E32FE9" w:rsidP="006D0CC3" w14:paraId="64FE7948" w14:textId="77777777">
            <w:pPr>
              <w:rPr>
                <w:rFonts w:asciiTheme="minorHAnsi" w:hAnsiTheme="minorHAnsi"/>
                <w:iCs/>
              </w:rPr>
            </w:pPr>
          </w:p>
        </w:tc>
      </w:tr>
      <w:tr w14:paraId="69539031" w14:textId="77777777" w:rsidTr="006D0CC3">
        <w:tblPrEx>
          <w:tblW w:w="0" w:type="auto"/>
          <w:tblInd w:w="-5" w:type="dxa"/>
          <w:tblLook w:val="04A0"/>
        </w:tblPrEx>
        <w:trPr>
          <w:trHeight w:val="964"/>
        </w:trPr>
        <w:tc>
          <w:tcPr>
            <w:tcW w:w="3327" w:type="dxa"/>
            <w:noWrap/>
          </w:tcPr>
          <w:p w:rsidR="00CE62B5" w:rsidRPr="00E32FE9" w:rsidP="006D0CC3" w14:paraId="67FA9659" w14:textId="77777777">
            <w:pPr>
              <w:rPr>
                <w:rFonts w:eastAsia="Symbol" w:asciiTheme="minorHAnsi" w:hAnsiTheme="minorHAnsi"/>
                <w:iCs/>
              </w:rPr>
            </w:pPr>
            <w:r w:rsidRPr="00E32FE9">
              <w:rPr>
                <w:rFonts w:eastAsia="Symbol" w:asciiTheme="minorHAnsi" w:hAnsiTheme="minorHAnsi"/>
                <w:iCs/>
              </w:rPr>
              <w:t xml:space="preserve">State child welfare identification </w:t>
            </w:r>
            <w:r>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00CE62B5" w:rsidRPr="00E32FE9" w:rsidP="006D0CC3" w14:paraId="1366C9AC" w14:textId="77777777">
            <w:pPr>
              <w:rPr>
                <w:rFonts w:asciiTheme="minorHAnsi" w:hAnsiTheme="minorHAnsi"/>
                <w:iCs/>
              </w:rPr>
            </w:pPr>
            <w:r>
              <w:rPr>
                <w:rFonts w:asciiTheme="minorHAnsi" w:hAnsiTheme="minorHAnsi"/>
                <w:iCs/>
              </w:rPr>
              <w:t xml:space="preserve">We will request the youth’s state child welfare ID number from the Chafee workers when they enroll youth. We will use this ID to help communicate with Chafee workers about youth throughout the study. </w:t>
            </w:r>
          </w:p>
        </w:tc>
      </w:tr>
    </w:tbl>
    <w:p w:rsidR="00CE62B5" w:rsidRPr="009139B3" w:rsidP="00CE62B5" w14:paraId="45CF974B" w14:textId="77777777">
      <w:pPr>
        <w:spacing w:after="0" w:line="240" w:lineRule="auto"/>
        <w:rPr>
          <w:i/>
        </w:rPr>
      </w:pPr>
    </w:p>
    <w:p w:rsidR="00CE62B5" w:rsidP="00CE62B5" w14:paraId="47EBFCE0" w14:textId="77777777">
      <w:pPr>
        <w:spacing w:after="0" w:line="240" w:lineRule="auto"/>
        <w:rPr>
          <w:rFonts w:cstheme="minorHAnsi"/>
        </w:rPr>
      </w:pPr>
      <w:r>
        <w:rPr>
          <w:rFonts w:cstheme="minorHAnsi"/>
        </w:rPr>
        <w:t xml:space="preserve">PII will not be kept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00CE62B5" w:rsidRPr="003750A8" w:rsidP="00CE62B5" w14:paraId="4350F50B" w14:textId="77777777">
      <w:pPr>
        <w:spacing w:after="0" w:line="240" w:lineRule="auto"/>
        <w:rPr>
          <w:rFonts w:cstheme="minorHAnsi"/>
        </w:rPr>
      </w:pPr>
    </w:p>
    <w:p w:rsidR="00CE62B5" w:rsidP="00CE62B5" w14:paraId="13D56E68" w14:textId="77777777">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Pr>
          <w:rFonts w:cstheme="minorHAnsi"/>
        </w:rPr>
        <w:t xml:space="preserve"> </w:t>
      </w:r>
    </w:p>
    <w:p w:rsidR="00CE62B5" w:rsidP="00CE62B5" w14:paraId="7DF9433A" w14:textId="77777777">
      <w:pPr>
        <w:spacing w:after="60" w:line="240" w:lineRule="auto"/>
        <w:rPr>
          <w:i/>
        </w:rPr>
      </w:pPr>
    </w:p>
    <w:p w:rsidR="00CE62B5" w:rsidRPr="009139B3" w:rsidP="00CE62B5" w14:paraId="5E94F1CB" w14:textId="77777777">
      <w:pPr>
        <w:spacing w:after="60" w:line="240" w:lineRule="auto"/>
        <w:rPr>
          <w:i/>
        </w:rPr>
      </w:pPr>
      <w:r w:rsidRPr="009139B3">
        <w:rPr>
          <w:i/>
        </w:rPr>
        <w:t>Assurances of Privacy</w:t>
      </w:r>
    </w:p>
    <w:p w:rsidR="00CE62B5" w:rsidRPr="009139B3" w:rsidP="00CE62B5" w14:paraId="130CDDFA" w14:textId="77777777">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theme="minorHAnsi"/>
        </w:rPr>
        <w:t xml:space="preserve">(see Appendix A). </w:t>
      </w:r>
      <w:r w:rsidRPr="009139B3">
        <w:rPr>
          <w:rFonts w:cstheme="minorHAnsi"/>
        </w:rPr>
        <w:t>As specified in the contract, the Contractor will comply with all Federal and Departmental regulations for private information.</w:t>
      </w:r>
    </w:p>
    <w:p w:rsidR="00CE62B5" w:rsidRPr="009139B3" w:rsidP="00CE62B5" w14:paraId="6FAC8281" w14:textId="77777777">
      <w:pPr>
        <w:spacing w:after="0" w:line="240" w:lineRule="auto"/>
        <w:rPr>
          <w:rFonts w:cstheme="minorHAnsi"/>
        </w:rPr>
      </w:pPr>
    </w:p>
    <w:p w:rsidR="00CE62B5" w:rsidP="00CE62B5" w14:paraId="48178207" w14:textId="7777777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w:t>
      </w:r>
      <w:r>
        <w:rPr>
          <w:rFonts w:eastAsia="Times New Roman" w:cstheme="minorHAnsi"/>
        </w:rPr>
        <w:t>will apply for this</w:t>
      </w:r>
      <w:r w:rsidRPr="009139B3">
        <w:rPr>
          <w:rFonts w:eastAsia="Times New Roman" w:cstheme="minorHAnsi"/>
        </w:rPr>
        <w:t xml:space="preserve"> Certificate and will provide it to OMB once it is received. The Certificate of Confidentiality helps to assure participants that their information will be kept private to the fullest extent permitted by law. </w:t>
      </w:r>
    </w:p>
    <w:p w:rsidR="00CE62B5" w:rsidRPr="00E249CF" w:rsidP="00CE62B5" w14:paraId="48E4276D" w14:textId="77777777">
      <w:pPr>
        <w:tabs>
          <w:tab w:val="left" w:pos="3800"/>
        </w:tabs>
        <w:spacing w:after="0" w:line="240" w:lineRule="auto"/>
        <w:rPr>
          <w:rFonts w:eastAsia="Times New Roman" w:cstheme="minorHAnsi"/>
        </w:rPr>
      </w:pPr>
      <w:r>
        <w:rPr>
          <w:rFonts w:eastAsia="Times New Roman" w:cstheme="minorHAnsi"/>
        </w:rPr>
        <w:tab/>
      </w:r>
    </w:p>
    <w:p w:rsidR="00CE62B5" w:rsidRPr="009139B3" w:rsidP="00CE62B5" w14:paraId="73C9551D" w14:textId="77777777">
      <w:pPr>
        <w:spacing w:after="0" w:line="240" w:lineRule="auto"/>
        <w:rPr>
          <w:rFonts w:eastAsia="Times New Roman" w:cstheme="minorHAnsi"/>
        </w:rPr>
      </w:pPr>
      <w:r>
        <w:rPr>
          <w:rFonts w:cstheme="minorHAnsi"/>
        </w:rPr>
        <w:t>The project team will seek Institutional Review Board (IRB) approval from the Health Media Lab IRB</w:t>
      </w:r>
      <w:r>
        <w:rPr>
          <w:rFonts w:eastAsia="Times New Roman" w:cstheme="minorHAnsi"/>
        </w:rPr>
        <w:t xml:space="preserve">. </w:t>
      </w:r>
    </w:p>
    <w:p w:rsidR="00CE62B5" w:rsidRPr="009139B3" w:rsidP="00CE62B5" w14:paraId="0DD3358B" w14:textId="77777777">
      <w:pPr>
        <w:spacing w:after="0" w:line="240" w:lineRule="auto"/>
        <w:rPr>
          <w:rFonts w:cstheme="minorHAnsi"/>
        </w:rPr>
      </w:pPr>
    </w:p>
    <w:p w:rsidR="00CE62B5" w:rsidRPr="009139B3" w:rsidP="00CE62B5" w14:paraId="7AB9E0A5" w14:textId="77777777">
      <w:pPr>
        <w:spacing w:after="60" w:line="240" w:lineRule="auto"/>
        <w:rPr>
          <w:rFonts w:cstheme="minorHAnsi"/>
          <w:i/>
        </w:rPr>
      </w:pPr>
      <w:r w:rsidRPr="009139B3">
        <w:rPr>
          <w:rFonts w:cstheme="minorHAnsi"/>
          <w:i/>
        </w:rPr>
        <w:t>Data Security and Monitoring</w:t>
      </w:r>
    </w:p>
    <w:p w:rsidR="00CE62B5" w:rsidRPr="009139B3" w:rsidP="00CE62B5" w14:paraId="47EC2143"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CE62B5" w:rsidRPr="009139B3" w:rsidP="00CE62B5" w14:paraId="48C4E2FA" w14:textId="77777777">
      <w:pPr>
        <w:spacing w:after="0" w:line="240" w:lineRule="auto"/>
        <w:rPr>
          <w:rFonts w:eastAsia="Times New Roman" w:cstheme="minorHAnsi"/>
        </w:rPr>
      </w:pPr>
    </w:p>
    <w:p w:rsidR="00CE62B5" w:rsidRPr="007C7DE9" w:rsidP="00CE62B5" w14:paraId="44447047" w14:textId="77777777">
      <w:pPr>
        <w:spacing w:after="0" w:line="240" w:lineRule="auto"/>
        <w:rPr>
          <w:rFonts w:eastAsia="Times New Roman" w:cstheme="minorHAnsi"/>
        </w:rPr>
      </w:pPr>
      <w:r w:rsidRPr="009139B3">
        <w:rPr>
          <w:rFonts w:eastAsia="Times New Roman" w:cstheme="minorHAnsi"/>
        </w:rPr>
        <w:t xml:space="preserve">As specified in the evaluator’s contract, the </w:t>
      </w:r>
      <w:r>
        <w:rPr>
          <w:rFonts w:eastAsia="Times New Roman" w:cstheme="minorHAnsi"/>
        </w:rPr>
        <w:t>c</w:t>
      </w:r>
      <w:r w:rsidRPr="009139B3">
        <w:rPr>
          <w:rFonts w:eastAsia="Times New Roman" w:cstheme="minorHAnsi"/>
        </w:rPr>
        <w:t>ontractor shall use Federal Information Processing Standard</w:t>
      </w:r>
      <w:r>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Pr>
          <w:rFonts w:eastAsia="Times New Roman" w:cstheme="minorHAnsi"/>
        </w:rPr>
        <w:t>c</w:t>
      </w:r>
      <w:r w:rsidRPr="009139B3">
        <w:rPr>
          <w:rFonts w:eastAsia="Times New Roman" w:cstheme="minorHAnsi"/>
        </w:rPr>
        <w:t xml:space="preserve">ontractor shall securely generate and manage encryption keys to prevent unauthorized decryption of information, in accordance with the Federal </w:t>
      </w:r>
      <w:r>
        <w:rPr>
          <w:rFonts w:eastAsia="Times New Roman" w:cstheme="minorHAnsi"/>
        </w:rPr>
        <w:t xml:space="preserve">Information </w:t>
      </w:r>
      <w:r w:rsidRPr="009139B3">
        <w:rPr>
          <w:rFonts w:eastAsia="Times New Roman" w:cstheme="minorHAnsi"/>
        </w:rPr>
        <w:t xml:space="preserve">Processing Standard.  The </w:t>
      </w:r>
      <w:r>
        <w:rPr>
          <w:rFonts w:eastAsia="Times New Roman" w:cstheme="minorHAnsi"/>
        </w:rPr>
        <w:t>c</w:t>
      </w:r>
      <w:r w:rsidRPr="009139B3">
        <w:rPr>
          <w:rFonts w:eastAsia="Times New Roman" w:cstheme="minorHAnsi"/>
        </w:rPr>
        <w:t xml:space="preserve">ontractor shall ensure that this standard is incorporated into the </w:t>
      </w:r>
      <w:r>
        <w:rPr>
          <w:rFonts w:eastAsia="Times New Roman" w:cstheme="minorHAnsi"/>
        </w:rPr>
        <w:t>c</w:t>
      </w:r>
      <w:r w:rsidRPr="009139B3">
        <w:rPr>
          <w:rFonts w:eastAsia="Times New Roman" w:cstheme="minorHAnsi"/>
        </w:rPr>
        <w:t>ontractor’s property management</w:t>
      </w:r>
      <w:r>
        <w:rPr>
          <w:rFonts w:eastAsia="Times New Roman" w:cstheme="minorHAnsi"/>
        </w:rPr>
        <w:t xml:space="preserve"> or</w:t>
      </w:r>
      <w:r w:rsidRPr="009139B3">
        <w:rPr>
          <w:rFonts w:eastAsia="Times New Roman" w:cstheme="minorHAnsi"/>
        </w:rPr>
        <w:t xml:space="preserve"> control system</w:t>
      </w:r>
      <w:r>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cstheme="minorHAnsi"/>
        </w:rPr>
        <w:t>f</w:t>
      </w:r>
      <w:r w:rsidRPr="009139B3">
        <w:rPr>
          <w:rFonts w:eastAsia="Times New Roman" w:cstheme="minorHAnsi"/>
        </w:rPr>
        <w:t xml:space="preserve">ederal and </w:t>
      </w:r>
      <w:r>
        <w:rPr>
          <w:rFonts w:eastAsia="Times New Roman" w:cstheme="minorHAnsi"/>
        </w:rPr>
        <w:t>d</w:t>
      </w:r>
      <w:r w:rsidRPr="009139B3">
        <w:rPr>
          <w:rFonts w:eastAsia="Times New Roman" w:cstheme="minorHAnsi"/>
        </w:rPr>
        <w:t xml:space="preserve">epartmental regulations. In addition, the </w:t>
      </w:r>
      <w:r>
        <w:rPr>
          <w:rFonts w:eastAsia="Times New Roman" w:cstheme="minorHAnsi"/>
        </w:rPr>
        <w:t>c</w:t>
      </w:r>
      <w:r w:rsidRPr="009139B3">
        <w:rPr>
          <w:rFonts w:eastAsia="Times New Roman" w:cstheme="minorHAnsi"/>
        </w:rPr>
        <w:t xml:space="preserve">ontractor must submit a plan for minimizing to the extent possible the inclusion of sensitive information on paper records and for the protection of any paper records, field notes, or other documents </w:t>
      </w:r>
      <w:r>
        <w:rPr>
          <w:rFonts w:eastAsia="Times New Roman" w:cstheme="minorHAnsi"/>
        </w:rPr>
        <w:t>with</w:t>
      </w:r>
      <w:r w:rsidRPr="009139B3">
        <w:rPr>
          <w:rFonts w:eastAsia="Times New Roman" w:cstheme="minorHAnsi"/>
        </w:rPr>
        <w:t xml:space="preserve"> sensitive</w:t>
      </w:r>
      <w:r>
        <w:rPr>
          <w:rFonts w:eastAsia="Times New Roman" w:cstheme="minorHAnsi"/>
        </w:rPr>
        <w:t xml:space="preserve"> information</w:t>
      </w:r>
      <w:r w:rsidRPr="009139B3">
        <w:rPr>
          <w:rFonts w:eastAsia="Times New Roman" w:cstheme="minorHAnsi"/>
        </w:rPr>
        <w:t xml:space="preserve"> or PII that ensures secure storage and limits on access.   </w:t>
      </w:r>
    </w:p>
    <w:p w:rsidR="00CE62B5" w:rsidP="00CE62B5" w14:paraId="10943D5F" w14:textId="77777777">
      <w:pPr>
        <w:pStyle w:val="ParagraphContinued"/>
        <w:rPr>
          <w:rFonts w:cstheme="minorHAnsi"/>
        </w:rPr>
      </w:pPr>
      <w:r w:rsidRPr="001D579D">
        <w:rPr>
          <w:rFonts w:cstheme="minorHAnsi"/>
        </w:rPr>
        <w:t xml:space="preserve">Interviews and focus groups 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Pr>
          <w:rFonts w:cstheme="minorHAnsi"/>
        </w:rPr>
        <w:t xml:space="preserve"> (see Appendix A)</w:t>
      </w:r>
      <w:r w:rsidRPr="001D579D">
        <w:rPr>
          <w:rFonts w:cstheme="minorHAnsi"/>
        </w:rPr>
        <w:t>.</w:t>
      </w:r>
    </w:p>
    <w:p w:rsidR="00CE62B5" w:rsidP="00CE62B5" w14:paraId="2203165E" w14:textId="77777777">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Pr="00517479">
        <w:rPr>
          <w:rFonts w:cstheme="minorHAnsi"/>
          <w:szCs w:val="24"/>
        </w:rPr>
        <w:t xml:space="preserve">will be deleted as soon </w:t>
      </w:r>
      <w:r>
        <w:rPr>
          <w:rFonts w:cstheme="minorHAnsi"/>
          <w:szCs w:val="24"/>
        </w:rPr>
        <w:t>as they have</w:t>
      </w:r>
      <w:r w:rsidRPr="00517479">
        <w:rPr>
          <w:rFonts w:cstheme="minorHAnsi"/>
          <w:szCs w:val="24"/>
        </w:rPr>
        <w:t xml:space="preserve"> been transcribed. We will wait to begin recording the discussion until after everyone has introduced themselves. The transcribed notes will not include any names.</w:t>
      </w:r>
      <w:r>
        <w:rPr>
          <w:rFonts w:cstheme="minorHAnsi"/>
          <w:szCs w:val="24"/>
        </w:rPr>
        <w:t xml:space="preserve"> All recording will be stored on Mathematica’s secure network and destroyed per the contract requirements. </w:t>
      </w:r>
    </w:p>
    <w:p w:rsidR="00733A62" w:rsidP="00CE62B5" w14:paraId="40902DA1" w14:textId="6B7DD81B">
      <w:pPr>
        <w:spacing w:after="120" w:line="240" w:lineRule="auto"/>
        <w:rPr>
          <w:b/>
        </w:rPr>
      </w:pPr>
      <w:r>
        <w:rPr>
          <w:rFonts w:eastAsia="Calibri"/>
        </w:rPr>
        <w:t xml:space="preserve">The survey data will be archived, likely with the </w:t>
      </w:r>
      <w:hyperlink r:id="rId9" w:history="1">
        <w:r>
          <w:rPr>
            <w:rStyle w:val="Hyperlink"/>
          </w:rPr>
          <w:t>National Data Archive on Child Abuse and Neglect (NDACAN) (hhs.gov)</w:t>
        </w:r>
      </w:hyperlink>
      <w:r>
        <w:rPr>
          <w:rFonts w:eastAsia="Calibri"/>
        </w:rPr>
        <w:t>.</w:t>
      </w:r>
    </w:p>
    <w:p w:rsidR="00C125AC" w:rsidP="001D1C73" w14:paraId="43F250E4" w14:textId="77777777">
      <w:pPr>
        <w:spacing w:after="120" w:line="240" w:lineRule="auto"/>
        <w:rPr>
          <w:b/>
        </w:rPr>
      </w:pPr>
    </w:p>
    <w:p w:rsidR="00D831A9" w:rsidP="00000F87" w14:paraId="0EF34807" w14:textId="77777777">
      <w:pPr>
        <w:pStyle w:val="ParagraphContinued"/>
        <w:rPr>
          <w:rStyle w:val="FootnoteReference"/>
        </w:rPr>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8"/>
      </w:r>
    </w:p>
    <w:p w:rsidR="00CE62B5" w:rsidP="00CE62B5" w14:paraId="2CEDB643" w14:textId="77777777">
      <w:pPr>
        <w:pStyle w:val="ParagraphContinued"/>
      </w:pPr>
      <w:r>
        <w:t xml:space="preserve">This study includes questions on sensitive topics. It is necessary to include these questions in order to describe the population and determine baseline equivalence between the treatment and comparison groups, to measure the impacts of Pathways on the targeted outcomes (Research Question 1), and to </w:t>
      </w:r>
      <w:r>
        <w:t xml:space="preserve">determine whether Pathways is particularly effective for key subgroups of the population (Research Question 2). </w:t>
      </w:r>
    </w:p>
    <w:p w:rsidR="00CE62B5" w:rsidP="00CE62B5" w14:paraId="36760028" w14:textId="77777777">
      <w:pPr>
        <w:pStyle w:val="CommentText"/>
        <w:rPr>
          <w:sz w:val="22"/>
          <w:szCs w:val="22"/>
        </w:rPr>
      </w:pPr>
      <w:r w:rsidRPr="00107CBB">
        <w:rPr>
          <w:sz w:val="22"/>
          <w:szCs w:val="22"/>
        </w:rPr>
        <w:t xml:space="preserve">Table </w:t>
      </w:r>
      <w:r>
        <w:rPr>
          <w:sz w:val="22"/>
          <w:szCs w:val="22"/>
        </w:rPr>
        <w:t>A.4</w:t>
      </w:r>
      <w:r w:rsidRPr="00107CBB">
        <w:rPr>
          <w:sz w:val="22"/>
          <w:szCs w:val="22"/>
        </w:rPr>
        <w:t xml:space="preserve"> 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00CE62B5" w:rsidRPr="007C7DE9" w:rsidP="00CE62B5" w14:paraId="67F0D3DF" w14:textId="77777777">
      <w:pPr>
        <w:pStyle w:val="CommentText"/>
        <w:rPr>
          <w:sz w:val="22"/>
          <w:szCs w:val="22"/>
        </w:rPr>
      </w:pPr>
      <w:r w:rsidRPr="00107CBB">
        <w:rPr>
          <w:rFonts w:cstheme="minorHAnsi"/>
          <w:sz w:val="22"/>
          <w:szCs w:val="22"/>
        </w:rPr>
        <w:t xml:space="preserve">The items have been carefully selected </w:t>
      </w:r>
      <w:r>
        <w:rPr>
          <w:rFonts w:cstheme="minorHAnsi"/>
          <w:sz w:val="22"/>
          <w:szCs w:val="22"/>
        </w:rPr>
        <w:t xml:space="preserve">based on </w:t>
      </w:r>
      <w:r w:rsidRPr="00107CBB">
        <w:rPr>
          <w:rFonts w:cstheme="minorHAnsi"/>
          <w:sz w:val="22"/>
          <w:szCs w:val="22"/>
        </w:rPr>
        <w:t>experience</w:t>
      </w:r>
      <w:r>
        <w:rPr>
          <w:rFonts w:cstheme="minorHAnsi"/>
          <w:sz w:val="22"/>
          <w:szCs w:val="22"/>
        </w:rPr>
        <w:t xml:space="preserve"> and consultation with outside experts. We have considered</w:t>
      </w:r>
      <w:r w:rsidRPr="00107CBB">
        <w:rPr>
          <w:rFonts w:cstheme="minorHAnsi"/>
          <w:sz w:val="22"/>
          <w:szCs w:val="22"/>
        </w:rPr>
        <w:t xml:space="preserve"> whether the benefits </w:t>
      </w:r>
      <w:r>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have obtained feedback from youth during the pre-test on the proposed measures and asked specifically about questions that they may consider to be too sensitive. Items that pre-test respondents raised as being too sensitive were removed from the current version of the survey</w:t>
      </w:r>
      <w:r w:rsidRPr="00107CBB">
        <w:rPr>
          <w:sz w:val="22"/>
          <w:szCs w:val="22"/>
        </w:rPr>
        <w:t xml:space="preserve">. </w:t>
      </w:r>
    </w:p>
    <w:p w:rsidR="00CE62B5" w:rsidRPr="00E50E09" w:rsidP="00CE62B5" w14:paraId="1CFD0DF2" w14:textId="77777777">
      <w:pPr>
        <w:pStyle w:val="Callout"/>
        <w:rPr>
          <w:rFonts w:asciiTheme="minorHAnsi" w:hAnsiTheme="minorHAnsi" w:cstheme="minorHAnsi"/>
          <w:color w:val="auto"/>
          <w:sz w:val="22"/>
        </w:rPr>
      </w:pPr>
      <w:r w:rsidRPr="00E50E09">
        <w:rPr>
          <w:rFonts w:asciiTheme="minorHAnsi" w:hAnsiTheme="minorHAnsi" w:cstheme="minorHAnsi"/>
          <w:color w:val="auto"/>
          <w:sz w:val="22"/>
        </w:rPr>
        <w:t>Table A.</w:t>
      </w:r>
      <w:r>
        <w:rPr>
          <w:rFonts w:asciiTheme="minorHAnsi" w:hAnsiTheme="minorHAnsi" w:cstheme="minorHAnsi"/>
          <w:color w:val="auto"/>
          <w:sz w:val="22"/>
        </w:rPr>
        <w:t>4</w:t>
      </w:r>
      <w:r w:rsidRPr="00E50E09">
        <w:rPr>
          <w:rFonts w:asciiTheme="minorHAnsi" w:hAnsiTheme="minorHAnsi" w:cstheme="minorHAnsi"/>
          <w:color w:val="auto"/>
          <w:sz w:val="22"/>
        </w:rPr>
        <w:t xml:space="preserve">. Summary of Sensitive Questions To Be Included in the Youth Survey and Their Justification </w:t>
      </w:r>
    </w:p>
    <w:tbl>
      <w:tblPr>
        <w:tblStyle w:val="TableGrid"/>
        <w:tblW w:w="0" w:type="auto"/>
        <w:tblInd w:w="0" w:type="dxa"/>
        <w:tblLook w:val="04A0"/>
      </w:tblPr>
      <w:tblGrid>
        <w:gridCol w:w="4675"/>
        <w:gridCol w:w="4675"/>
      </w:tblGrid>
      <w:tr w14:paraId="78B0B31D" w14:textId="77777777" w:rsidTr="006D0CC3">
        <w:tblPrEx>
          <w:tblW w:w="0" w:type="auto"/>
          <w:tblInd w:w="0" w:type="dxa"/>
          <w:tblLook w:val="04A0"/>
        </w:tblPrEx>
        <w:trPr>
          <w:tblHeader/>
        </w:trPr>
        <w:tc>
          <w:tcPr>
            <w:tcW w:w="4675" w:type="dxa"/>
            <w:shd w:val="clear" w:color="auto" w:fill="D9D9D9" w:themeFill="background1" w:themeFillShade="D9"/>
          </w:tcPr>
          <w:p w:rsidR="00CE62B5" w:rsidRPr="00E50E09" w:rsidP="006D0CC3" w14:paraId="330CC106"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shd w:val="clear" w:color="auto" w:fill="D9D9D9" w:themeFill="background1" w:themeFillShade="D9"/>
          </w:tcPr>
          <w:p w:rsidR="00CE62B5" w:rsidRPr="00E50E09" w:rsidP="006D0CC3" w14:paraId="0B55E14B"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14:paraId="0250768F" w14:textId="77777777" w:rsidTr="006D0CC3">
        <w:tblPrEx>
          <w:tblW w:w="0" w:type="auto"/>
          <w:tblInd w:w="0" w:type="dxa"/>
          <w:tblLook w:val="04A0"/>
        </w:tblPrEx>
        <w:tc>
          <w:tcPr>
            <w:tcW w:w="4675" w:type="dxa"/>
          </w:tcPr>
          <w:p w:rsidR="00CE62B5" w:rsidRPr="00E50E09" w:rsidP="006D0CC3" w14:paraId="2DD45A92"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00CE62B5" w:rsidRPr="00E50E09" w:rsidP="006D0CC3" w14:paraId="46A35068"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A6F202C" w14:textId="77777777" w:rsidTr="006D0CC3">
        <w:tblPrEx>
          <w:tblW w:w="0" w:type="auto"/>
          <w:tblInd w:w="0" w:type="dxa"/>
          <w:tblLook w:val="04A0"/>
        </w:tblPrEx>
        <w:tc>
          <w:tcPr>
            <w:tcW w:w="4675" w:type="dxa"/>
          </w:tcPr>
          <w:p w:rsidR="00CE62B5" w:rsidRPr="00E50E09" w:rsidP="006D0CC3" w14:paraId="63E0F815"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00CE62B5" w:rsidRPr="00E50E09" w:rsidP="006D0CC3" w14:paraId="489A16F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16B10A56" w14:textId="77777777" w:rsidTr="006D0CC3">
        <w:tblPrEx>
          <w:tblW w:w="0" w:type="auto"/>
          <w:tblInd w:w="0" w:type="dxa"/>
          <w:tblLook w:val="04A0"/>
        </w:tblPrEx>
        <w:tc>
          <w:tcPr>
            <w:tcW w:w="4675" w:type="dxa"/>
          </w:tcPr>
          <w:p w:rsidR="00CE62B5" w:rsidRPr="00E50E09" w:rsidP="006D0CC3" w14:paraId="74322527"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Gender identity </w:t>
            </w:r>
          </w:p>
        </w:tc>
        <w:tc>
          <w:tcPr>
            <w:tcW w:w="4675" w:type="dxa"/>
          </w:tcPr>
          <w:p w:rsidR="00CE62B5" w:rsidRPr="00E50E09" w:rsidP="006D0CC3" w14:paraId="42C83BF5"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C46D734" w14:textId="77777777" w:rsidTr="006D0CC3">
        <w:tblPrEx>
          <w:tblW w:w="0" w:type="auto"/>
          <w:tblInd w:w="0" w:type="dxa"/>
          <w:tblLook w:val="04A0"/>
        </w:tblPrEx>
        <w:tc>
          <w:tcPr>
            <w:tcW w:w="4675" w:type="dxa"/>
          </w:tcPr>
          <w:p w:rsidR="00CE62B5" w:rsidRPr="00E50E09" w:rsidP="006D0CC3" w14:paraId="20E6410A"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00CE62B5" w:rsidRPr="00E50E09" w:rsidP="006D0CC3" w14:paraId="3C59CE29"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0D8C99F7" w14:textId="77777777" w:rsidTr="006D0CC3">
        <w:tblPrEx>
          <w:tblW w:w="0" w:type="auto"/>
          <w:tblInd w:w="0" w:type="dxa"/>
          <w:tblLook w:val="04A0"/>
        </w:tblPrEx>
        <w:tc>
          <w:tcPr>
            <w:tcW w:w="4675" w:type="dxa"/>
          </w:tcPr>
          <w:p w:rsidR="00CE62B5" w:rsidRPr="00E50E09" w:rsidP="006D0CC3" w14:paraId="24BADDB4"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00CE62B5" w:rsidRPr="00E50E09" w:rsidP="006D0CC3" w14:paraId="2FD806E0"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for baseline equivalence.</w:t>
            </w:r>
          </w:p>
        </w:tc>
      </w:tr>
      <w:tr w14:paraId="6EEF53B3" w14:textId="77777777" w:rsidTr="006D0CC3">
        <w:tblPrEx>
          <w:tblW w:w="0" w:type="auto"/>
          <w:tblInd w:w="0" w:type="dxa"/>
          <w:tblLook w:val="04A0"/>
        </w:tblPrEx>
        <w:tc>
          <w:tcPr>
            <w:tcW w:w="4675" w:type="dxa"/>
          </w:tcPr>
          <w:p w:rsidR="00CE62B5" w:rsidRPr="00E50E09" w:rsidP="006D0CC3" w14:paraId="65FB635B"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Risk behaviors (including unprotected sex, drug and alcohol use, domestic violence) </w:t>
            </w:r>
          </w:p>
        </w:tc>
        <w:tc>
          <w:tcPr>
            <w:tcW w:w="4675" w:type="dxa"/>
          </w:tcPr>
          <w:p w:rsidR="00CE62B5" w:rsidRPr="00E50E09" w:rsidP="006D0CC3" w14:paraId="781F96F6"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to assess baseline equivalence between groups; identify subgroups for subgroup analyses and assess social-emotional well-being, a key outcome domain. </w:t>
            </w:r>
          </w:p>
        </w:tc>
      </w:tr>
      <w:tr w14:paraId="53FCE3E3" w14:textId="77777777" w:rsidTr="006D0CC3">
        <w:tblPrEx>
          <w:tblW w:w="0" w:type="auto"/>
          <w:tblInd w:w="0" w:type="dxa"/>
          <w:tblLook w:val="04A0"/>
        </w:tblPrEx>
        <w:tc>
          <w:tcPr>
            <w:tcW w:w="4675" w:type="dxa"/>
          </w:tcPr>
          <w:p w:rsidR="00CE62B5" w:rsidRPr="00E50E09" w:rsidP="006D0CC3" w14:paraId="6E6AEF70"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00CE62B5" w:rsidRPr="00E50E09" w:rsidP="006D0CC3" w14:paraId="17708DCE"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Related to employment and self-sufficiency, which may affect housing stability, both key outcome domains for the study. </w:t>
            </w:r>
          </w:p>
        </w:tc>
      </w:tr>
      <w:tr w14:paraId="05AA76AD" w14:textId="77777777" w:rsidTr="006D0CC3">
        <w:tblPrEx>
          <w:tblW w:w="0" w:type="auto"/>
          <w:tblInd w:w="0" w:type="dxa"/>
          <w:tblLook w:val="04A0"/>
        </w:tblPrEx>
        <w:tc>
          <w:tcPr>
            <w:tcW w:w="4675" w:type="dxa"/>
          </w:tcPr>
          <w:p w:rsidR="00CE62B5" w:rsidRPr="00E50E09" w:rsidP="006D0CC3" w14:paraId="27BF6351"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Criminal justice history</w:t>
            </w:r>
          </w:p>
        </w:tc>
        <w:tc>
          <w:tcPr>
            <w:tcW w:w="4675" w:type="dxa"/>
          </w:tcPr>
          <w:p w:rsidR="00CE62B5" w:rsidRPr="00E50E09" w:rsidP="006D0CC3" w14:paraId="7451EAD2"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This is a key outcome domain for the study. Involvement in the criminal justice system makes it harder to find employment and to secure stable housing, both of which are key outcomes of the study.  </w:t>
            </w:r>
          </w:p>
        </w:tc>
      </w:tr>
      <w:tr w14:paraId="57DA15DE" w14:textId="77777777" w:rsidTr="006D0CC3">
        <w:tblPrEx>
          <w:tblW w:w="0" w:type="auto"/>
          <w:tblInd w:w="0" w:type="dxa"/>
          <w:tblLook w:val="04A0"/>
        </w:tblPrEx>
        <w:tc>
          <w:tcPr>
            <w:tcW w:w="4675" w:type="dxa"/>
          </w:tcPr>
          <w:p w:rsidR="00CE62B5" w:rsidRPr="00E50E09" w:rsidP="006D0CC3" w14:paraId="77976C0A"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00CE62B5" w:rsidRPr="00E50E09" w:rsidP="006D0CC3" w14:paraId="0718A76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Will use </w:t>
            </w:r>
            <w:r w:rsidRPr="00E50E09">
              <w:rPr>
                <w:rFonts w:asciiTheme="minorHAnsi" w:hAnsiTheme="minorHAnsi" w:cstheme="minorHAnsi"/>
                <w:b w:val="0"/>
                <w:bCs w:val="0"/>
                <w:color w:val="auto"/>
                <w:sz w:val="22"/>
                <w:szCs w:val="22"/>
              </w:rPr>
              <w:t xml:space="preserve">for baseline equivalence and to assess impacts for key subgroups (for example, looking at effects based on age at entry, time in care, and so on). This is also a key outcome domain for the study.   </w:t>
            </w:r>
          </w:p>
        </w:tc>
      </w:tr>
      <w:tr w14:paraId="49EBB714" w14:textId="77777777" w:rsidTr="006D0CC3">
        <w:tblPrEx>
          <w:tblW w:w="0" w:type="auto"/>
          <w:tblInd w:w="0" w:type="dxa"/>
          <w:tblLook w:val="04A0"/>
        </w:tblPrEx>
        <w:tc>
          <w:tcPr>
            <w:tcW w:w="4675" w:type="dxa"/>
          </w:tcPr>
          <w:p w:rsidR="00CE62B5" w:rsidRPr="00E50E09" w:rsidP="006D0CC3" w14:paraId="6485D97C"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00CE62B5" w:rsidRPr="00E50E09" w:rsidP="006D0CC3" w14:paraId="7DF56334"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Includes items such as missing meals or needing to borrow money from friends. These outcomes </w:t>
            </w:r>
            <w:r w:rsidRPr="00E50E09">
              <w:rPr>
                <w:rFonts w:asciiTheme="minorHAnsi" w:hAnsiTheme="minorHAnsi" w:cstheme="minorHAnsi"/>
                <w:b w:val="0"/>
                <w:bCs w:val="0"/>
                <w:color w:val="auto"/>
                <w:sz w:val="22"/>
                <w:szCs w:val="22"/>
              </w:rPr>
              <w:t>reflect a lack of self-sufficiency and may affect housing stability, a key outcome of the study.</w:t>
            </w:r>
          </w:p>
        </w:tc>
      </w:tr>
      <w:tr w14:paraId="2C60B86A" w14:textId="77777777" w:rsidTr="006D0CC3">
        <w:tblPrEx>
          <w:tblW w:w="0" w:type="auto"/>
          <w:tblInd w:w="0" w:type="dxa"/>
          <w:tblLook w:val="04A0"/>
        </w:tblPrEx>
        <w:tc>
          <w:tcPr>
            <w:tcW w:w="4675" w:type="dxa"/>
          </w:tcPr>
          <w:p w:rsidR="00CE62B5" w:rsidRPr="00E50E09" w:rsidP="006D0CC3" w14:paraId="72DB5766"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00CE62B5" w:rsidRPr="00E50E09" w:rsidP="006D0CC3" w14:paraId="63B4DBCA"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Pr>
                <w:rFonts w:asciiTheme="minorHAnsi" w:hAnsiTheme="minorHAnsi" w:cstheme="minorHAnsi"/>
                <w:b w:val="0"/>
                <w:bCs w:val="0"/>
                <w:color w:val="auto"/>
                <w:sz w:val="22"/>
                <w:szCs w:val="22"/>
              </w:rPr>
              <w:t xml:space="preserve"> to assess ability to access system resources, which is a key outcome domain for the study. </w:t>
            </w:r>
          </w:p>
        </w:tc>
      </w:tr>
    </w:tbl>
    <w:p w:rsidR="00CE62B5" w:rsidRPr="00F14A8D" w:rsidP="00CE62B5" w14:paraId="158F80CB" w14:textId="77777777">
      <w:pPr>
        <w:pStyle w:val="TableListBullet2"/>
        <w:numPr>
          <w:ilvl w:val="0"/>
          <w:numId w:val="0"/>
        </w:numPr>
        <w:rPr>
          <w:rFonts w:asciiTheme="minorHAnsi" w:hAnsiTheme="minorHAnsi" w:cstheme="minorHAnsi"/>
        </w:rPr>
      </w:pPr>
    </w:p>
    <w:p w:rsidR="00CE62B5" w:rsidRPr="00F14A8D" w:rsidP="00CE62B5" w14:paraId="3D4CAD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will be told they can skip any questions they do not want to answer. We will 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are</w:t>
      </w:r>
      <w:r>
        <w:rPr>
          <w:rFonts w:cstheme="minorHAnsi"/>
        </w:rPr>
        <w:t xml:space="preserve"> able </w:t>
      </w:r>
      <w:r w:rsidRPr="00F14A8D">
        <w:rPr>
          <w:rFonts w:cstheme="minorHAnsi"/>
        </w:rPr>
        <w:t xml:space="preserve">to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00CE62B5" w:rsidRPr="001D579D" w:rsidP="00CE62B5" w14:paraId="41B2C64A" w14:textId="77777777">
      <w:pPr>
        <w:spacing w:after="0" w:line="240" w:lineRule="auto"/>
        <w:rPr>
          <w:rFonts w:cstheme="minorHAnsi"/>
        </w:rPr>
      </w:pPr>
    </w:p>
    <w:p w:rsidR="00CE62B5" w:rsidRPr="001D579D" w:rsidP="00CE62B5" w14:paraId="026DE46C" w14:textId="77777777">
      <w:pPr>
        <w:spacing w:after="0" w:line="240" w:lineRule="auto"/>
        <w:rPr>
          <w:rFonts w:cstheme="minorHAnsi"/>
        </w:rPr>
      </w:pPr>
      <w:r w:rsidRPr="001D579D">
        <w:rPr>
          <w:rFonts w:cstheme="minorHAnsi"/>
        </w:rPr>
        <w:t xml:space="preserve">Prior to collecting baseline data, Mathematica will seek active consent from a parent, legal guardian, or legally authorized representative for those participants </w:t>
      </w:r>
      <w:r>
        <w:rPr>
          <w:rFonts w:cstheme="minorHAnsi"/>
        </w:rPr>
        <w:t xml:space="preserve">younger than </w:t>
      </w:r>
      <w:r w:rsidRPr="001D579D">
        <w:rPr>
          <w:rFonts w:cstheme="minorHAnsi"/>
        </w:rPr>
        <w:t xml:space="preserve">age 18. Youth </w:t>
      </w:r>
      <w:r w:rsidRPr="001D579D">
        <w:rPr>
          <w:rFonts w:cstheme="minorHAnsi"/>
        </w:rPr>
        <w:t>age</w:t>
      </w:r>
      <w:r w:rsidRPr="001D579D">
        <w:rPr>
          <w:rFonts w:cstheme="minorHAnsi"/>
        </w:rPr>
        <w:t xml:space="preserve"> 18 or older will be asked to consent for themselves. The consent form will state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Pr>
          <w:rFonts w:cstheme="minorHAnsi"/>
        </w:rPr>
        <w:t xml:space="preserve"> (Appendix A)</w:t>
      </w:r>
      <w:r w:rsidRPr="001D579D">
        <w:rPr>
          <w:rFonts w:cstheme="minorHAnsi"/>
        </w:rPr>
        <w:t xml:space="preserve">. They will be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instrument will provide reassurance that we take the issue of privacy seriously. It will be made clear to respondents that identifying information will be kept separate from questionnaires. </w:t>
      </w:r>
    </w:p>
    <w:p w:rsidR="00CE62B5" w:rsidP="00CE62B5" w14:paraId="4CE0A70D" w14:textId="77777777">
      <w:pPr>
        <w:spacing w:after="0" w:line="240" w:lineRule="auto"/>
        <w:rPr>
          <w:rFonts w:cstheme="minorHAnsi"/>
        </w:rPr>
      </w:pPr>
    </w:p>
    <w:p w:rsidR="007200BA" w:rsidRPr="001D579D" w:rsidP="00CE62B5" w14:paraId="7807E6A4" w14:textId="617570D2">
      <w:pPr>
        <w:spacing w:after="0" w:line="240" w:lineRule="auto"/>
        <w:rPr>
          <w:rFonts w:cstheme="minorHAnsi"/>
        </w:rPr>
      </w:pPr>
      <w:r w:rsidRPr="001D579D">
        <w:rPr>
          <w:rFonts w:cstheme="minorHAnsi"/>
        </w:rPr>
        <w:t>The project team will seek IRB</w:t>
      </w:r>
      <w:r>
        <w:rPr>
          <w:rFonts w:cstheme="minorHAnsi"/>
        </w:rPr>
        <w:t xml:space="preserve"> </w:t>
      </w:r>
      <w:r w:rsidRPr="001D579D">
        <w:rPr>
          <w:rFonts w:cstheme="minorHAnsi"/>
        </w:rPr>
        <w:t>approval from the Health Media Lab IRB.</w:t>
      </w: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60118" w:rsidP="00160118" w14:paraId="111F96B6" w14:textId="77777777">
      <w:pPr>
        <w:spacing w:after="240" w:line="240" w:lineRule="auto"/>
        <w:rPr>
          <w:i/>
        </w:rPr>
      </w:pPr>
      <w:r w:rsidRPr="009139B3">
        <w:rPr>
          <w:i/>
        </w:rPr>
        <w:t>Explanation of Burden</w:t>
      </w:r>
      <w:r>
        <w:rPr>
          <w:i/>
        </w:rPr>
        <w:t xml:space="preserve"> and Cost</w:t>
      </w:r>
      <w:r w:rsidRPr="009139B3">
        <w:rPr>
          <w:i/>
        </w:rPr>
        <w:t xml:space="preserve"> Estimates</w:t>
      </w:r>
    </w:p>
    <w:p w:rsidR="00160118" w:rsidRPr="0062513F" w:rsidP="00160118" w14:paraId="03E58070" w14:textId="77777777">
      <w:pPr>
        <w:spacing w:after="240" w:line="240" w:lineRule="auto"/>
        <w:rPr>
          <w:szCs w:val="20"/>
        </w:rPr>
      </w:pPr>
      <w:r w:rsidRPr="00D9779D">
        <w:rPr>
          <w:szCs w:val="20"/>
        </w:rPr>
        <w:t xml:space="preserve">Table </w:t>
      </w:r>
      <w:r>
        <w:rPr>
          <w:szCs w:val="20"/>
        </w:rPr>
        <w:t>A.5</w:t>
      </w:r>
      <w:r w:rsidRPr="00D9779D">
        <w:rPr>
          <w:szCs w:val="20"/>
        </w:rPr>
        <w:t xml:space="preserve"> </w:t>
      </w:r>
      <w:r w:rsidRPr="0062513F">
        <w:rPr>
          <w:szCs w:val="20"/>
        </w:rPr>
        <w:t>provide</w:t>
      </w:r>
      <w:r>
        <w:rPr>
          <w:szCs w:val="20"/>
        </w:rPr>
        <w:t>s</w:t>
      </w:r>
      <w:r w:rsidRPr="0062513F">
        <w:rPr>
          <w:szCs w:val="20"/>
        </w:rPr>
        <w:t xml:space="preserve"> the estimated annual burden</w:t>
      </w:r>
      <w:r>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The total annual estimated burden is 461 hours</w:t>
      </w:r>
      <w:r w:rsidRPr="00F342E7">
        <w:rPr>
          <w:szCs w:val="20"/>
        </w:rPr>
        <w:t>. The total annual cost to all respondents is $</w:t>
      </w:r>
      <w:r>
        <w:rPr>
          <w:szCs w:val="20"/>
        </w:rPr>
        <w:t>4,500.98</w:t>
      </w:r>
      <w:r w:rsidRPr="00F342E7">
        <w:rPr>
          <w:szCs w:val="20"/>
        </w:rPr>
        <w:t>.</w:t>
      </w:r>
      <w:r>
        <w:rPr>
          <w:szCs w:val="20"/>
        </w:rPr>
        <w:t xml:space="preserve"> </w:t>
      </w:r>
    </w:p>
    <w:p w:rsidR="00160118" w:rsidP="00160118" w14:paraId="167D04A2" w14:textId="77777777">
      <w:pPr>
        <w:pStyle w:val="FootnoteText"/>
        <w:rPr>
          <w:sz w:val="22"/>
          <w:szCs w:val="22"/>
        </w:rPr>
      </w:pPr>
      <w:r w:rsidRPr="00C5404C">
        <w:rPr>
          <w:rFonts w:cstheme="minorHAnsi"/>
          <w:b/>
          <w:bCs/>
          <w:color w:val="000000"/>
          <w:sz w:val="22"/>
          <w:szCs w:val="22"/>
        </w:rPr>
        <w:t>Youth Survey</w:t>
      </w:r>
      <w:r>
        <w:rPr>
          <w:rFonts w:cstheme="minorHAnsi"/>
          <w:b/>
          <w:bCs/>
          <w:color w:val="000000"/>
          <w:sz w:val="22"/>
          <w:szCs w:val="22"/>
        </w:rPr>
        <w:t xml:space="preserve">: </w:t>
      </w:r>
      <w:r w:rsidRPr="002C2BA5">
        <w:rPr>
          <w:rFonts w:cstheme="minorHAnsi"/>
          <w:color w:val="000000"/>
          <w:sz w:val="22"/>
          <w:szCs w:val="22"/>
        </w:rPr>
        <w:t xml:space="preserve"> </w:t>
      </w:r>
      <w:r w:rsidRPr="004D25D8">
        <w:rPr>
          <w:rFonts w:cstheme="minorHAnsi"/>
          <w:color w:val="000000"/>
          <w:sz w:val="22"/>
          <w:szCs w:val="22"/>
        </w:rPr>
        <w:t>Based on previous experience with similar instruments and the pre</w:t>
      </w:r>
      <w:r>
        <w:rPr>
          <w:rFonts w:cstheme="minorHAnsi"/>
          <w:color w:val="000000"/>
          <w:sz w:val="22"/>
          <w:szCs w:val="22"/>
        </w:rPr>
        <w:t>-</w:t>
      </w:r>
      <w:r w:rsidRPr="004D25D8">
        <w:rPr>
          <w:rFonts w:cstheme="minorHAnsi"/>
          <w:color w:val="000000"/>
          <w:sz w:val="22"/>
          <w:szCs w:val="22"/>
        </w:rPr>
        <w:t xml:space="preserve">test, the </w:t>
      </w:r>
      <w:r>
        <w:rPr>
          <w:rFonts w:cstheme="minorHAnsi"/>
          <w:color w:val="000000"/>
          <w:sz w:val="22"/>
          <w:szCs w:val="22"/>
        </w:rPr>
        <w:t xml:space="preserve">original version of the youth </w:t>
      </w:r>
      <w:r w:rsidRPr="004D25D8">
        <w:rPr>
          <w:rFonts w:cstheme="minorHAnsi"/>
          <w:color w:val="000000"/>
          <w:sz w:val="22"/>
          <w:szCs w:val="22"/>
        </w:rPr>
        <w:t xml:space="preserve">survey </w:t>
      </w:r>
      <w:r>
        <w:rPr>
          <w:rFonts w:cstheme="minorHAnsi"/>
          <w:color w:val="000000"/>
          <w:sz w:val="22"/>
          <w:szCs w:val="22"/>
        </w:rPr>
        <w:t xml:space="preserve">was </w:t>
      </w:r>
      <w:r w:rsidRPr="004D25D8">
        <w:rPr>
          <w:rFonts w:cstheme="minorHAnsi"/>
          <w:color w:val="000000"/>
          <w:sz w:val="22"/>
          <w:szCs w:val="22"/>
        </w:rPr>
        <w:t>estimated to take 30 minutes (</w:t>
      </w:r>
      <w:r>
        <w:rPr>
          <w:rFonts w:cstheme="minorHAnsi"/>
          <w:color w:val="000000"/>
          <w:sz w:val="22"/>
          <w:szCs w:val="22"/>
        </w:rPr>
        <w:t>0</w:t>
      </w:r>
      <w:r w:rsidRPr="004D25D8">
        <w:rPr>
          <w:rFonts w:cstheme="minorHAnsi"/>
          <w:color w:val="000000"/>
          <w:sz w:val="22"/>
          <w:szCs w:val="22"/>
        </w:rPr>
        <w:t>.5 hour</w:t>
      </w:r>
      <w:r>
        <w:rPr>
          <w:rFonts w:cstheme="minorHAnsi"/>
          <w:color w:val="000000"/>
          <w:sz w:val="22"/>
          <w:szCs w:val="22"/>
        </w:rPr>
        <w:t>s</w:t>
      </w:r>
      <w:r w:rsidRPr="004D25D8">
        <w:rPr>
          <w:rFonts w:cstheme="minorHAnsi"/>
          <w:color w:val="000000"/>
          <w:sz w:val="22"/>
          <w:szCs w:val="22"/>
        </w:rPr>
        <w:t>) to complete.</w:t>
      </w:r>
      <w:r>
        <w:rPr>
          <w:rFonts w:cstheme="minorHAnsi"/>
          <w:color w:val="000000"/>
          <w:sz w:val="22"/>
          <w:szCs w:val="22"/>
        </w:rPr>
        <w:t xml:space="preserve"> </w:t>
      </w:r>
      <w:r>
        <w:rPr>
          <w:rFonts w:cstheme="minorHAnsi"/>
          <w:color w:val="000000"/>
          <w:sz w:val="22"/>
          <w:szCs w:val="22"/>
        </w:rPr>
        <w:t>Taking into account</w:t>
      </w:r>
      <w:r>
        <w:rPr>
          <w:rFonts w:cstheme="minorHAnsi"/>
          <w:color w:val="000000"/>
          <w:sz w:val="22"/>
          <w:szCs w:val="22"/>
        </w:rPr>
        <w:t xml:space="preserve"> proposed deletions, the revised time estimated to complete the survey is 25 minutes (.42 hours). </w:t>
      </w:r>
      <w:r w:rsidRPr="001C006A">
        <w:rPr>
          <w:sz w:val="22"/>
          <w:szCs w:val="22"/>
        </w:rPr>
        <w:t>The cost to respondents to the youth survey is estimated by assuming that 50 percent of youth will be age 18 or older</w:t>
      </w:r>
      <w:r>
        <w:rPr>
          <w:sz w:val="22"/>
          <w:szCs w:val="22"/>
        </w:rPr>
        <w:t xml:space="preserve"> at baseline</w:t>
      </w:r>
      <w:r w:rsidRPr="001C006A">
        <w:rPr>
          <w:sz w:val="22"/>
          <w:szCs w:val="22"/>
        </w:rPr>
        <w:t>,</w:t>
      </w:r>
      <w:r>
        <w:rPr>
          <w:rStyle w:val="FootnoteReference"/>
          <w:sz w:val="22"/>
          <w:szCs w:val="22"/>
        </w:rPr>
        <w:footnoteReference w:id="9"/>
      </w:r>
      <w:r w:rsidRPr="001C006A">
        <w:rPr>
          <w:sz w:val="22"/>
          <w:szCs w:val="22"/>
        </w:rPr>
        <w:t xml:space="preserve"> and then assigning a value to their time of $12.32 per hour, the 2021 Colorado minimum wage. The estimate of the proportion of youth </w:t>
      </w:r>
      <w:r>
        <w:rPr>
          <w:sz w:val="22"/>
          <w:szCs w:val="22"/>
        </w:rPr>
        <w:t>who</w:t>
      </w:r>
      <w:r w:rsidRPr="001C006A">
        <w:rPr>
          <w:sz w:val="22"/>
          <w:szCs w:val="22"/>
        </w:rPr>
        <w:t xml:space="preserve"> will be </w:t>
      </w:r>
      <w:r>
        <w:rPr>
          <w:sz w:val="22"/>
          <w:szCs w:val="22"/>
        </w:rPr>
        <w:t xml:space="preserve">age </w:t>
      </w:r>
      <w:r w:rsidRPr="001C006A">
        <w:rPr>
          <w:sz w:val="22"/>
          <w:szCs w:val="22"/>
        </w:rPr>
        <w:t xml:space="preserve">18 or older is based on </w:t>
      </w:r>
      <w:r w:rsidRPr="001C006A">
        <w:rPr>
          <w:rFonts w:cstheme="minorHAnsi"/>
          <w:color w:val="000000"/>
          <w:sz w:val="22"/>
          <w:szCs w:val="22"/>
        </w:rPr>
        <w:t xml:space="preserve">the average </w:t>
      </w:r>
      <w:r w:rsidRPr="001C006A">
        <w:rPr>
          <w:rFonts w:cstheme="minorHAnsi"/>
          <w:sz w:val="22"/>
          <w:szCs w:val="22"/>
        </w:rPr>
        <w:t xml:space="preserve">age at intake for youth in Chafee services in comparison </w:t>
      </w:r>
      <w:r>
        <w:rPr>
          <w:rFonts w:cstheme="minorHAnsi"/>
          <w:sz w:val="22"/>
          <w:szCs w:val="22"/>
        </w:rPr>
        <w:t>sites</w:t>
      </w:r>
      <w:r w:rsidRPr="001C006A">
        <w:rPr>
          <w:rFonts w:cstheme="minorHAnsi"/>
          <w:sz w:val="22"/>
          <w:szCs w:val="22"/>
        </w:rPr>
        <w:t xml:space="preserve"> (18.6) and treatment </w:t>
      </w:r>
      <w:r>
        <w:rPr>
          <w:rFonts w:cstheme="minorHAnsi"/>
          <w:sz w:val="22"/>
          <w:szCs w:val="22"/>
        </w:rPr>
        <w:t>sites</w:t>
      </w:r>
      <w:r w:rsidRPr="001C006A">
        <w:rPr>
          <w:rFonts w:cstheme="minorHAnsi"/>
          <w:sz w:val="22"/>
          <w:szCs w:val="22"/>
        </w:rPr>
        <w:t xml:space="preserve"> (18.8)</w:t>
      </w:r>
      <w:r w:rsidRPr="001C006A">
        <w:rPr>
          <w:sz w:val="22"/>
          <w:szCs w:val="22"/>
        </w:rPr>
        <w:t xml:space="preserve">.  </w:t>
      </w:r>
    </w:p>
    <w:p w:rsidR="00160118" w:rsidP="00160118" w14:paraId="55277A51" w14:textId="77777777">
      <w:pPr>
        <w:pStyle w:val="ListParagraph"/>
        <w:numPr>
          <w:ilvl w:val="0"/>
          <w:numId w:val="11"/>
        </w:numPr>
      </w:pPr>
      <w:r w:rsidRPr="005132D0">
        <w:rPr>
          <w:b/>
          <w:bCs/>
        </w:rPr>
        <w:t>Baseline.</w:t>
      </w:r>
      <w:r w:rsidRPr="004D25D8">
        <w:t xml:space="preserve"> We expect to survey </w:t>
      </w:r>
      <w:r>
        <w:t>about</w:t>
      </w:r>
      <w:r w:rsidRPr="004D25D8">
        <w:t xml:space="preserve"> 700 youth at baseline. The total burden over </w:t>
      </w:r>
      <w:r>
        <w:t xml:space="preserve">three </w:t>
      </w:r>
      <w:r w:rsidRPr="004D25D8">
        <w:t xml:space="preserve">years is estimated to be </w:t>
      </w:r>
      <w:r>
        <w:t xml:space="preserve">294 </w:t>
      </w:r>
      <w:r w:rsidRPr="004D25D8">
        <w:t xml:space="preserve">hours (700 </w:t>
      </w:r>
      <w:r>
        <w:t>*</w:t>
      </w:r>
      <w:r w:rsidRPr="004D25D8">
        <w:t xml:space="preserve"> .</w:t>
      </w:r>
      <w:r>
        <w:t>42</w:t>
      </w:r>
      <w:r w:rsidRPr="004D25D8">
        <w:t>)</w:t>
      </w:r>
      <w:r>
        <w:t>.</w:t>
      </w:r>
      <w:r w:rsidRPr="004D25D8">
        <w:t xml:space="preserve"> </w:t>
      </w:r>
      <w:r>
        <w:t>The</w:t>
      </w:r>
      <w:r w:rsidRPr="001C006A">
        <w:t xml:space="preserve"> annual burden for this data collection is estimated to </w:t>
      </w:r>
      <w:r w:rsidRPr="001C006A">
        <w:t xml:space="preserve">be </w:t>
      </w:r>
      <w:r>
        <w:t xml:space="preserve">98 </w:t>
      </w:r>
      <w:r w:rsidRPr="001C006A">
        <w:t>hours (</w:t>
      </w:r>
      <w:r>
        <w:t>294</w:t>
      </w:r>
      <w:r w:rsidRPr="001C006A">
        <w:t xml:space="preserve">/3). The annual cost to respondents for youth </w:t>
      </w:r>
      <w:r>
        <w:t>age</w:t>
      </w:r>
      <w:r>
        <w:t xml:space="preserve"> </w:t>
      </w:r>
      <w:r w:rsidRPr="001C006A">
        <w:t>18 and older is estimated to be $</w:t>
      </w:r>
      <w:r>
        <w:t>603.68</w:t>
      </w:r>
      <w:r w:rsidRPr="001C006A">
        <w:t xml:space="preserve"> (</w:t>
      </w:r>
      <w:r>
        <w:t>98</w:t>
      </w:r>
      <w:r w:rsidRPr="001C006A">
        <w:t>*0.5*</w:t>
      </w:r>
      <w:r>
        <w:t>$</w:t>
      </w:r>
      <w:r w:rsidRPr="001C006A">
        <w:t xml:space="preserve">12.32). </w:t>
      </w:r>
    </w:p>
    <w:p w:rsidR="00160118" w:rsidRPr="004D25D8" w:rsidP="00160118" w14:paraId="668C497E" w14:textId="77777777">
      <w:pPr>
        <w:pStyle w:val="ListParagraph"/>
        <w:numPr>
          <w:ilvl w:val="0"/>
          <w:numId w:val="11"/>
        </w:numPr>
      </w:pPr>
      <w:r w:rsidRPr="005132D0">
        <w:rPr>
          <w:b/>
          <w:bCs/>
        </w:rPr>
        <w:t>Follow-Up 1 (6 Months).</w:t>
      </w:r>
      <w:r w:rsidRPr="004D25D8">
        <w:t xml:space="preserve"> We expect to survey approximately 630 youth at the 6-month follow-up. The total burden over </w:t>
      </w:r>
      <w:r>
        <w:t>three</w:t>
      </w:r>
      <w:r w:rsidRPr="004D25D8">
        <w:t xml:space="preserve"> years is estimated to be </w:t>
      </w:r>
      <w:r>
        <w:t xml:space="preserve">265 </w:t>
      </w:r>
      <w:r w:rsidRPr="004D25D8">
        <w:t xml:space="preserve">hours (630 </w:t>
      </w:r>
      <w:r>
        <w:t>*</w:t>
      </w:r>
      <w:r w:rsidRPr="004D25D8">
        <w:t xml:space="preserve"> </w:t>
      </w:r>
      <w:r>
        <w:t>0</w:t>
      </w:r>
      <w:r w:rsidRPr="004D25D8">
        <w:t>.</w:t>
      </w:r>
      <w:r>
        <w:t>42</w:t>
      </w:r>
      <w:r w:rsidRPr="004D25D8">
        <w:t xml:space="preserve">) and the annual burden for this data collection is estimated to be </w:t>
      </w:r>
      <w:r>
        <w:t xml:space="preserve">88 </w:t>
      </w:r>
      <w:r w:rsidRPr="004D25D8">
        <w:t>hours (</w:t>
      </w:r>
      <w:r>
        <w:t>265</w:t>
      </w:r>
      <w:r w:rsidRPr="004D25D8">
        <w:t xml:space="preserve">/3). The annual cost to respondents for youth 18 and older is estimated to be </w:t>
      </w:r>
      <w:r>
        <w:t>$596.29 (88</w:t>
      </w:r>
      <w:r w:rsidRPr="004D25D8">
        <w:t>*0.</w:t>
      </w:r>
      <w:r>
        <w:t>55</w:t>
      </w:r>
      <w:r w:rsidRPr="004D25D8">
        <w:t>*</w:t>
      </w:r>
      <w:r>
        <w:t>$</w:t>
      </w:r>
      <w:r w:rsidRPr="004D25D8">
        <w:t>12.32</w:t>
      </w:r>
      <w:r>
        <w:t>).</w:t>
      </w:r>
      <w:r w:rsidRPr="004D25D8">
        <w:t xml:space="preserve"> </w:t>
      </w:r>
    </w:p>
    <w:p w:rsidR="00160118" w:rsidRPr="00AB1B48" w:rsidP="00160118" w14:paraId="2EEC5F56" w14:textId="77777777">
      <w:pPr>
        <w:pStyle w:val="ListParagraph"/>
        <w:numPr>
          <w:ilvl w:val="0"/>
          <w:numId w:val="1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xml:space="preserve">. We expect to survey approximately 595 youth at the 12-month follow-up. The total burden over three years is estimated to be </w:t>
      </w:r>
      <w:r>
        <w:rPr>
          <w:rFonts w:eastAsia="Times New Roman" w:cstheme="minorHAnsi"/>
          <w:color w:val="212121"/>
        </w:rPr>
        <w:t xml:space="preserve">250 </w:t>
      </w:r>
      <w:r w:rsidRPr="00AB1B48">
        <w:rPr>
          <w:rFonts w:eastAsia="Times New Roman" w:cstheme="minorHAnsi"/>
          <w:color w:val="212121"/>
        </w:rPr>
        <w:t>hours (595 * 0.</w:t>
      </w:r>
      <w:r>
        <w:rPr>
          <w:rFonts w:eastAsia="Times New Roman" w:cstheme="minorHAnsi"/>
          <w:color w:val="212121"/>
        </w:rPr>
        <w:t>42</w:t>
      </w:r>
      <w:r w:rsidRPr="00AB1B48">
        <w:rPr>
          <w:rFonts w:eastAsia="Times New Roman" w:cstheme="minorHAnsi"/>
          <w:color w:val="212121"/>
        </w:rPr>
        <w:t xml:space="preserve">). The annual burden for this data collection is estimated to be </w:t>
      </w:r>
      <w:r>
        <w:rPr>
          <w:rFonts w:eastAsia="Times New Roman" w:cstheme="minorHAnsi"/>
          <w:color w:val="212121"/>
        </w:rPr>
        <w:t xml:space="preserve">83 </w:t>
      </w:r>
      <w:r w:rsidRPr="00AB1B48">
        <w:rPr>
          <w:rFonts w:eastAsia="Times New Roman" w:cstheme="minorHAnsi"/>
          <w:color w:val="212121"/>
        </w:rPr>
        <w:t>hours (</w:t>
      </w:r>
      <w:r>
        <w:rPr>
          <w:rFonts w:eastAsia="Times New Roman" w:cstheme="minorHAnsi"/>
          <w:color w:val="212121"/>
        </w:rPr>
        <w:t>250</w:t>
      </w:r>
      <w:r w:rsidRPr="00AB1B48">
        <w:rPr>
          <w:rFonts w:eastAsia="Times New Roman" w:cstheme="minorHAnsi"/>
          <w:color w:val="212121"/>
        </w:rPr>
        <w:t>/3). The annual cost to respondents for youth age 18 and older is estimated to be $</w:t>
      </w:r>
      <w:r>
        <w:rPr>
          <w:rFonts w:eastAsia="Times New Roman" w:cstheme="minorHAnsi"/>
          <w:color w:val="212121"/>
        </w:rPr>
        <w:t>613.</w:t>
      </w:r>
      <w:r>
        <w:rPr>
          <w:rFonts w:eastAsia="Times New Roman" w:cstheme="minorHAnsi"/>
          <w:color w:val="212121"/>
        </w:rPr>
        <w:t xml:space="preserve">54 </w:t>
      </w:r>
      <w:r w:rsidRPr="00AB1B48">
        <w:rPr>
          <w:rFonts w:eastAsia="Times New Roman" w:cstheme="minorHAnsi"/>
          <w:color w:val="212121"/>
        </w:rPr>
        <w:t xml:space="preserve"> (</w:t>
      </w:r>
      <w:r>
        <w:rPr>
          <w:rFonts w:eastAsia="Times New Roman" w:cstheme="minorHAnsi"/>
          <w:color w:val="212121"/>
        </w:rPr>
        <w:t>83</w:t>
      </w:r>
      <w:r w:rsidRPr="00AB1B48">
        <w:rPr>
          <w:rFonts w:eastAsia="Times New Roman" w:cstheme="minorHAnsi"/>
          <w:color w:val="212121"/>
        </w:rPr>
        <w:t>*0.6*$12.32).</w:t>
      </w:r>
    </w:p>
    <w:p w:rsidR="00160118" w:rsidRPr="004D25D8" w:rsidP="00160118" w14:paraId="3D1223AF" w14:textId="77777777">
      <w:pPr>
        <w:pStyle w:val="NormalWeb"/>
        <w:numPr>
          <w:ilvl w:val="0"/>
          <w:numId w:val="11"/>
        </w:numPr>
        <w:shd w:val="clear" w:color="auto" w:fill="FFFFFF"/>
        <w:spacing w:before="0" w:beforeAutospacing="0" w:after="0" w:afterAutospacing="0"/>
        <w:rPr>
          <w:rFonts w:asciiTheme="minorHAnsi" w:eastAsiaTheme="minorHAnsi" w:hAnsiTheme="minorHAnsi" w:cstheme="minorHAnsi"/>
          <w:sz w:val="22"/>
          <w:szCs w:val="22"/>
        </w:rPr>
      </w:pPr>
      <w:r w:rsidRPr="00CC465C">
        <w:rPr>
          <w:rFonts w:asciiTheme="minorHAnsi" w:hAnsiTheme="minorHAnsi" w:cstheme="minorHAnsi"/>
          <w:b/>
          <w:bCs/>
          <w:color w:val="000000"/>
          <w:sz w:val="22"/>
          <w:szCs w:val="22"/>
        </w:rPr>
        <w:t>Follow-</w:t>
      </w:r>
      <w:r>
        <w:rPr>
          <w:rFonts w:asciiTheme="minorHAnsi" w:hAnsiTheme="minorHAnsi" w:cstheme="minorHAnsi"/>
          <w:b/>
          <w:bCs/>
          <w:color w:val="000000"/>
          <w:sz w:val="22"/>
          <w:szCs w:val="22"/>
        </w:rPr>
        <w:t>U</w:t>
      </w:r>
      <w:r w:rsidRPr="00CC465C">
        <w:rPr>
          <w:rFonts w:asciiTheme="minorHAnsi" w:hAnsiTheme="minorHAnsi" w:cstheme="minorHAnsi"/>
          <w:b/>
          <w:bCs/>
          <w:color w:val="000000"/>
          <w:sz w:val="22"/>
          <w:szCs w:val="22"/>
        </w:rPr>
        <w:t xml:space="preserve">p 3 (24 </w:t>
      </w:r>
      <w:r>
        <w:rPr>
          <w:rFonts w:asciiTheme="minorHAnsi" w:hAnsiTheme="minorHAnsi" w:cstheme="minorHAnsi"/>
          <w:b/>
          <w:bCs/>
          <w:color w:val="000000"/>
          <w:sz w:val="22"/>
          <w:szCs w:val="22"/>
        </w:rPr>
        <w:t>M</w:t>
      </w:r>
      <w:r w:rsidRPr="00CC465C">
        <w:rPr>
          <w:rFonts w:asciiTheme="minorHAnsi" w:hAnsiTheme="minorHAnsi" w:cstheme="minorHAnsi"/>
          <w:b/>
          <w:bCs/>
          <w:color w:val="000000"/>
          <w:sz w:val="22"/>
          <w:szCs w:val="22"/>
        </w:rPr>
        <w:t>onths).</w:t>
      </w:r>
      <w:r w:rsidRPr="004D25D8">
        <w:rPr>
          <w:rFonts w:asciiTheme="minorHAnsi" w:hAnsiTheme="minorHAnsi" w:cstheme="minorHAnsi"/>
          <w:color w:val="000000"/>
          <w:sz w:val="22"/>
          <w:szCs w:val="22"/>
        </w:rPr>
        <w:t xml:space="preserve"> We expect to survey approximately </w:t>
      </w:r>
      <w:r>
        <w:rPr>
          <w:rFonts w:asciiTheme="minorHAnsi" w:hAnsiTheme="minorHAnsi" w:cstheme="minorHAnsi"/>
          <w:color w:val="000000"/>
          <w:sz w:val="22"/>
          <w:szCs w:val="22"/>
        </w:rPr>
        <w:t>490</w:t>
      </w:r>
      <w:r w:rsidRPr="004D25D8">
        <w:rPr>
          <w:rFonts w:asciiTheme="minorHAnsi" w:hAnsiTheme="minorHAnsi" w:cstheme="minorHAnsi"/>
          <w:color w:val="000000"/>
          <w:sz w:val="22"/>
          <w:szCs w:val="22"/>
        </w:rPr>
        <w:t xml:space="preserve"> youth at</w:t>
      </w:r>
      <w:r>
        <w:rPr>
          <w:rFonts w:asciiTheme="minorHAnsi" w:hAnsiTheme="minorHAnsi" w:cstheme="minorHAnsi"/>
          <w:color w:val="000000"/>
          <w:sz w:val="22"/>
          <w:szCs w:val="22"/>
        </w:rPr>
        <w:t xml:space="preserve"> the</w:t>
      </w:r>
      <w:r w:rsidRPr="004D25D8">
        <w:rPr>
          <w:rFonts w:asciiTheme="minorHAnsi" w:hAnsiTheme="minorHAnsi" w:cstheme="minorHAnsi"/>
          <w:color w:val="000000"/>
          <w:sz w:val="22"/>
          <w:szCs w:val="22"/>
        </w:rPr>
        <w:t xml:space="preserve"> 24-month follow-up</w:t>
      </w:r>
      <w:r>
        <w:rPr>
          <w:rStyle w:val="FootnoteReference"/>
          <w:rFonts w:asciiTheme="minorHAnsi" w:hAnsiTheme="minorHAnsi" w:cstheme="minorHAnsi"/>
          <w:color w:val="000000"/>
          <w:sz w:val="22"/>
          <w:szCs w:val="22"/>
        </w:rPr>
        <w:footnoteReference w:id="10"/>
      </w:r>
      <w:r w:rsidRPr="004D25D8">
        <w:rPr>
          <w:rFonts w:asciiTheme="minorHAnsi" w:hAnsiTheme="minorHAnsi" w:cstheme="minorHAnsi"/>
          <w:color w:val="000000"/>
          <w:sz w:val="22"/>
          <w:szCs w:val="22"/>
        </w:rPr>
        <w:t xml:space="preserve">. The total burden over </w:t>
      </w:r>
      <w:r>
        <w:rPr>
          <w:rFonts w:asciiTheme="minorHAnsi" w:hAnsiTheme="minorHAnsi" w:cstheme="minorHAnsi"/>
          <w:color w:val="000000"/>
          <w:sz w:val="22"/>
          <w:szCs w:val="22"/>
        </w:rPr>
        <w:t>three</w:t>
      </w:r>
      <w:r w:rsidRPr="004D25D8">
        <w:rPr>
          <w:rFonts w:asciiTheme="minorHAnsi" w:hAnsiTheme="minorHAnsi" w:cstheme="minorHAnsi"/>
          <w:color w:val="000000"/>
          <w:sz w:val="22"/>
          <w:szCs w:val="22"/>
        </w:rPr>
        <w:t xml:space="preserve"> years is estimated to be </w:t>
      </w:r>
      <w:r>
        <w:rPr>
          <w:rFonts w:asciiTheme="minorHAnsi" w:hAnsiTheme="minorHAnsi" w:cstheme="minorHAnsi"/>
          <w:color w:val="000000"/>
          <w:sz w:val="22"/>
          <w:szCs w:val="22"/>
        </w:rPr>
        <w:t xml:space="preserve">206 </w:t>
      </w:r>
      <w:r w:rsidRPr="004D25D8">
        <w:rPr>
          <w:rFonts w:asciiTheme="minorHAnsi" w:hAnsiTheme="minorHAnsi" w:cstheme="minorHAnsi"/>
          <w:color w:val="000000"/>
          <w:sz w:val="22"/>
          <w:szCs w:val="22"/>
        </w:rPr>
        <w:t>hours (</w:t>
      </w:r>
      <w:r>
        <w:rPr>
          <w:rFonts w:asciiTheme="minorHAnsi" w:hAnsiTheme="minorHAnsi" w:cstheme="minorHAnsi"/>
          <w:color w:val="000000"/>
          <w:sz w:val="22"/>
          <w:szCs w:val="22"/>
        </w:rPr>
        <w:t>490*</w:t>
      </w:r>
      <w:r w:rsidRPr="004D25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0</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42</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is estimated to be </w:t>
      </w:r>
      <w:r>
        <w:rPr>
          <w:rFonts w:asciiTheme="minorHAnsi" w:hAnsiTheme="minorHAnsi" w:cstheme="minorHAnsi"/>
          <w:color w:val="000000"/>
          <w:sz w:val="22"/>
          <w:szCs w:val="22"/>
        </w:rPr>
        <w:t xml:space="preserve">69 </w:t>
      </w:r>
      <w:r w:rsidRPr="004D25D8">
        <w:rPr>
          <w:rFonts w:asciiTheme="minorHAnsi" w:hAnsiTheme="minorHAnsi" w:cstheme="minorHAnsi"/>
          <w:color w:val="000000"/>
          <w:sz w:val="22"/>
          <w:szCs w:val="22"/>
        </w:rPr>
        <w:t>hours (</w:t>
      </w:r>
      <w:r>
        <w:rPr>
          <w:rFonts w:asciiTheme="minorHAnsi" w:hAnsiTheme="minorHAnsi" w:cstheme="minorHAnsi"/>
          <w:color w:val="000000"/>
          <w:sz w:val="22"/>
          <w:szCs w:val="22"/>
        </w:rPr>
        <w:t>206</w:t>
      </w:r>
      <w:r w:rsidRPr="004D25D8">
        <w:rPr>
          <w:rFonts w:asciiTheme="minorHAnsi" w:hAnsiTheme="minorHAnsi" w:cstheme="minorHAnsi"/>
          <w:color w:val="000000"/>
          <w:sz w:val="22"/>
          <w:szCs w:val="22"/>
        </w:rPr>
        <w:t xml:space="preserve">/3). The annual cost to respondents for youth </w:t>
      </w:r>
      <w:r>
        <w:rPr>
          <w:rFonts w:asciiTheme="minorHAnsi" w:hAnsiTheme="minorHAnsi" w:cstheme="minorHAnsi"/>
          <w:color w:val="000000"/>
          <w:sz w:val="22"/>
          <w:szCs w:val="22"/>
        </w:rPr>
        <w:t xml:space="preserve">age 18 and older </w:t>
      </w:r>
      <w:r w:rsidRPr="004D25D8">
        <w:rPr>
          <w:rFonts w:asciiTheme="minorHAnsi" w:hAnsiTheme="minorHAnsi" w:cstheme="minorHAnsi"/>
          <w:color w:val="000000"/>
          <w:sz w:val="22"/>
          <w:szCs w:val="22"/>
        </w:rPr>
        <w:t xml:space="preserve">is estimated to be </w:t>
      </w:r>
      <w:r>
        <w:rPr>
          <w:rFonts w:asciiTheme="minorHAnsi" w:hAnsiTheme="minorHAnsi" w:cstheme="minorHAnsi"/>
          <w:color w:val="000000"/>
          <w:sz w:val="22"/>
          <w:szCs w:val="22"/>
        </w:rPr>
        <w:t>$595.</w:t>
      </w:r>
      <w:r>
        <w:rPr>
          <w:rFonts w:asciiTheme="minorHAnsi" w:hAnsiTheme="minorHAnsi" w:cstheme="minorHAnsi"/>
          <w:color w:val="000000"/>
          <w:sz w:val="22"/>
          <w:szCs w:val="22"/>
        </w:rPr>
        <w:t>06  (</w:t>
      </w:r>
      <w:r>
        <w:rPr>
          <w:rFonts w:asciiTheme="minorHAnsi" w:hAnsiTheme="minorHAnsi" w:cstheme="minorHAnsi"/>
          <w:color w:val="000000"/>
          <w:sz w:val="22"/>
          <w:szCs w:val="22"/>
        </w:rPr>
        <w:t>69</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7</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p>
    <w:p w:rsidR="00E50E09" w:rsidRPr="004D25D8" w:rsidP="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14:paraId="3649DE54" w14:textId="0858C452">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We </w:t>
      </w:r>
      <w:r w:rsidRPr="00C20CF5">
        <w:rPr>
          <w:rFonts w:cstheme="minorHAnsi"/>
          <w:color w:val="000000"/>
        </w:rPr>
        <w:t>expect</w:t>
      </w:r>
      <w:r w:rsidRPr="004D25D8">
        <w:rPr>
          <w:rFonts w:cstheme="minorHAnsi"/>
          <w:color w:val="000000"/>
        </w:rPr>
        <w:t xml:space="preserve"> to interview approximately </w:t>
      </w:r>
      <w:r w:rsidR="00160118">
        <w:rPr>
          <w:rFonts w:cstheme="minorHAnsi"/>
          <w:color w:val="000000"/>
        </w:rPr>
        <w:t>60</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Pr>
          <w:rFonts w:cstheme="minorHAnsi"/>
          <w:color w:val="000000"/>
        </w:rPr>
        <w:t xml:space="preserve"> and approximately </w:t>
      </w:r>
      <w:r w:rsidR="00160118">
        <w:rPr>
          <w:rFonts w:cstheme="minorHAnsi"/>
          <w:color w:val="000000"/>
        </w:rPr>
        <w:t xml:space="preserve">60 </w:t>
      </w:r>
      <w:r>
        <w:rPr>
          <w:rFonts w:cstheme="minorHAnsi"/>
          <w:color w:val="000000"/>
        </w:rPr>
        <w:t xml:space="preserve">program leaders and </w:t>
      </w:r>
      <w:r w:rsidRPr="0091074B">
        <w:rPr>
          <w:rFonts w:cstheme="minorHAnsi"/>
          <w:color w:val="000000"/>
        </w:rPr>
        <w:t xml:space="preserve">staff </w:t>
      </w:r>
      <w:r>
        <w:rPr>
          <w:rFonts w:cstheme="minorHAnsi"/>
          <w:color w:val="000000"/>
        </w:rPr>
        <w:t xml:space="preserve">who </w:t>
      </w:r>
      <w:r w:rsidRPr="0091074B">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160118">
        <w:rPr>
          <w:rFonts w:cstheme="minorHAnsi"/>
          <w:color w:val="000000"/>
        </w:rPr>
        <w:t>180</w:t>
      </w:r>
      <w:r w:rsidRPr="004D25D8">
        <w:rPr>
          <w:rFonts w:cstheme="minorHAnsi"/>
          <w:color w:val="000000"/>
        </w:rPr>
        <w:t>hours (</w:t>
      </w:r>
      <w:r w:rsidR="00160118">
        <w:rPr>
          <w:rFonts w:cstheme="minorHAnsi"/>
          <w:color w:val="000000"/>
        </w:rPr>
        <w:t>1</w:t>
      </w:r>
      <w:r w:rsidR="00F21545">
        <w:rPr>
          <w:rFonts w:cstheme="minorHAnsi"/>
          <w:color w:val="000000"/>
        </w:rPr>
        <w:t>2</w:t>
      </w:r>
      <w:r w:rsidR="00160118">
        <w:rPr>
          <w:rFonts w:cstheme="minorHAnsi"/>
          <w:color w:val="000000"/>
        </w:rPr>
        <w:t>0</w:t>
      </w:r>
      <w:r w:rsidRPr="004D25D8">
        <w:rPr>
          <w:rFonts w:cstheme="minorHAnsi"/>
          <w:color w:val="000000"/>
        </w:rPr>
        <w:t>x 1.5)</w:t>
      </w:r>
      <w:r w:rsidR="002F3941">
        <w:rPr>
          <w:rFonts w:cstheme="minorHAnsi"/>
          <w:color w:val="000000"/>
        </w:rPr>
        <w:t xml:space="preserve"> for treatment and comparison sites</w:t>
      </w:r>
      <w:r>
        <w:rPr>
          <w:rFonts w:cstheme="minorHAnsi"/>
          <w:color w:val="000000"/>
        </w:rPr>
        <w:t>. T</w:t>
      </w:r>
      <w:r w:rsidRPr="004D25D8">
        <w:rPr>
          <w:rFonts w:cstheme="minorHAnsi"/>
          <w:color w:val="000000"/>
        </w:rPr>
        <w:t xml:space="preserve">he annual burden for this data collection is estimated to be </w:t>
      </w:r>
      <w:r w:rsidR="00160118">
        <w:rPr>
          <w:rFonts w:cstheme="minorHAnsi"/>
          <w:color w:val="000000"/>
        </w:rPr>
        <w:t>60</w:t>
      </w:r>
      <w:r w:rsidRPr="004D25D8">
        <w:rPr>
          <w:rFonts w:cstheme="minorHAnsi"/>
          <w:color w:val="000000"/>
        </w:rPr>
        <w:t>hours (</w:t>
      </w:r>
      <w:r w:rsidR="00160118">
        <w:rPr>
          <w:rFonts w:cstheme="minorHAnsi"/>
          <w:color w:val="000000"/>
        </w:rPr>
        <w:t>180</w:t>
      </w:r>
      <w:r w:rsidRPr="004D25D8">
        <w:rPr>
          <w:rFonts w:cstheme="minorHAnsi"/>
          <w:color w:val="000000"/>
        </w:rPr>
        <w:t>/3)</w:t>
      </w:r>
      <w:r w:rsidR="009549B8">
        <w:rPr>
          <w:rFonts w:cstheme="minorHAnsi"/>
          <w:color w:val="000000"/>
        </w:rPr>
        <w:t xml:space="preserve"> for treatment and comparison sites</w:t>
      </w:r>
      <w:r w:rsidRPr="004D25D8">
        <w:rPr>
          <w:rFonts w:cstheme="minorHAnsi"/>
          <w:color w:val="000000"/>
        </w:rPr>
        <w:t xml:space="preserve">. The annual cost to respondents is </w:t>
      </w:r>
      <w:r w:rsidRPr="00C20CF5">
        <w:rPr>
          <w:rFonts w:cstheme="minorHAnsi"/>
          <w:color w:val="000000"/>
        </w:rPr>
        <w:t>estimated</w:t>
      </w:r>
      <w:r w:rsidRPr="004D25D8">
        <w:rPr>
          <w:rFonts w:cstheme="minorHAnsi"/>
          <w:color w:val="000000"/>
        </w:rPr>
        <w:t xml:space="preserve"> to be </w:t>
      </w:r>
      <w:r>
        <w:rPr>
          <w:rFonts w:cstheme="minorHAnsi"/>
          <w:color w:val="000000"/>
        </w:rPr>
        <w:t>$</w:t>
      </w:r>
      <w:r w:rsidR="00160118">
        <w:rPr>
          <w:rFonts w:cstheme="minorHAnsi"/>
          <w:color w:val="000000"/>
        </w:rPr>
        <w:t xml:space="preserve">2,495.40 </w:t>
      </w:r>
      <w:r>
        <w:rPr>
          <w:rFonts w:cstheme="minorHAnsi"/>
          <w:color w:val="000000"/>
        </w:rPr>
        <w:t>(</w:t>
      </w:r>
      <w:r w:rsidR="00160118">
        <w:rPr>
          <w:rFonts w:cstheme="minorHAnsi"/>
          <w:color w:val="000000"/>
        </w:rPr>
        <w:t>60</w:t>
      </w:r>
      <w:r w:rsidRPr="004D25D8">
        <w:rPr>
          <w:rFonts w:cstheme="minorHAnsi"/>
          <w:color w:val="000000"/>
        </w:rPr>
        <w:t>*</w:t>
      </w:r>
      <w:r>
        <w:rPr>
          <w:rFonts w:cstheme="minorHAnsi"/>
          <w:color w:val="000000"/>
        </w:rPr>
        <w:t>$41.59)</w:t>
      </w:r>
      <w:r w:rsidR="009549B8">
        <w:rPr>
          <w:rFonts w:cstheme="minorHAnsi"/>
          <w:color w:val="000000"/>
        </w:rPr>
        <w:t xml:space="preserve"> for treatment and comparison sites</w:t>
      </w:r>
      <w:r>
        <w:rPr>
          <w:rFonts w:cstheme="minorHAnsi"/>
          <w:color w:val="000000"/>
        </w:rPr>
        <w:t xml:space="preserve">. </w:t>
      </w:r>
    </w:p>
    <w:p w:rsidR="006902B1" w:rsidP="00EF7C75" w14:paraId="0630A379" w14:textId="77777777">
      <w:pPr>
        <w:shd w:val="clear" w:color="auto" w:fill="FFFFFF"/>
        <w:spacing w:after="0" w:line="240" w:lineRule="auto"/>
        <w:outlineLvl w:val="0"/>
        <w:rPr>
          <w:rFonts w:cstheme="minorHAnsi"/>
          <w:color w:val="000000"/>
        </w:rPr>
      </w:pPr>
    </w:p>
    <w:p w:rsidR="00EF7C75" w:rsidRPr="00E042B7" w:rsidP="00E042B7" w14:paraId="6FF7DB58" w14:textId="6F0AED9A">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($41.59)</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Bureau of Labor Statistics, Department of Labor, May 201</w:t>
      </w:r>
      <w:r>
        <w:rPr>
          <w:szCs w:val="20"/>
        </w:rPr>
        <w:t>9</w:t>
      </w:r>
      <w:r w:rsidRPr="0062513F">
        <w:rPr>
          <w:szCs w:val="20"/>
        </w:rPr>
        <w:t>).</w:t>
      </w:r>
      <w:r>
        <w:rPr>
          <w:szCs w:val="20"/>
        </w:rPr>
        <w:t xml:space="preserve"> </w:t>
      </w:r>
    </w:p>
    <w:p w:rsidR="00673E1E" w:rsidP="00EF7C75" w14:paraId="156294D0" w14:textId="01F39BED">
      <w:pPr>
        <w:shd w:val="clear" w:color="auto" w:fill="FFFFFF"/>
        <w:spacing w:after="0" w:line="240" w:lineRule="auto"/>
        <w:rPr>
          <w:rFonts w:cstheme="minorHAnsi"/>
          <w:color w:val="000000"/>
        </w:rPr>
      </w:pPr>
    </w:p>
    <w:p w:rsidR="002032AA" w:rsidRPr="007174C1" w:rsidP="007174C1" w14:paraId="05C74EFF" w14:textId="160E5FC0">
      <w:pPr>
        <w:spacing w:after="0" w:line="240" w:lineRule="auto"/>
        <w:rPr>
          <w:rFonts w:ascii="Calibri" w:hAnsi="Calibri" w:cs="Calibri"/>
          <w:color w:val="000000"/>
          <w:shd w:val="clear" w:color="auto" w:fill="FFFFFF"/>
        </w:rPr>
      </w:pPr>
      <w:bookmarkStart w:id="5" w:name="_Hlk137041501"/>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1"/>
      </w:r>
      <w:r w:rsidR="005132D0">
        <w:rPr>
          <w:rFonts w:ascii="Calibri" w:hAnsi="Calibri" w:cs="Calibri"/>
          <w:b/>
          <w:bCs/>
          <w:color w:val="000000"/>
        </w:rPr>
        <w:t xml:space="preserve"> and Comparison Sites</w:t>
      </w:r>
      <w:bookmarkEnd w:id="5"/>
      <w:r>
        <w:rPr>
          <w:rFonts w:ascii="Calibri" w:hAnsi="Calibri" w:cs="Calibri"/>
          <w:b/>
          <w:bCs/>
          <w:color w:val="000000"/>
        </w:rPr>
        <w:t xml:space="preserve">. </w:t>
      </w:r>
      <w:r>
        <w:rPr>
          <w:rFonts w:ascii="Calibri" w:hAnsi="Calibri" w:cs="Calibri"/>
        </w:rPr>
        <w:t xml:space="preserve">Mathematica will conduct two “check-ins” over the phone with program directors to ask about current service delivery in </w:t>
      </w:r>
      <w:r w:rsidR="007819AD">
        <w:rPr>
          <w:rFonts w:ascii="Calibri" w:hAnsi="Calibri" w:cs="Calibri"/>
        </w:rPr>
        <w:t xml:space="preserve">all </w:t>
      </w:r>
      <w:r>
        <w:rPr>
          <w:rFonts w:ascii="Calibri" w:hAnsi="Calibri" w:cs="Calibri"/>
        </w:rPr>
        <w:t xml:space="preserve">Pathways </w:t>
      </w:r>
      <w:r w:rsidR="00EE4445">
        <w:rPr>
          <w:rFonts w:ascii="Calibri" w:hAnsi="Calibri" w:cs="Calibri"/>
        </w:rPr>
        <w:t xml:space="preserve">sites </w:t>
      </w:r>
      <w:r w:rsidR="005132D0">
        <w:rPr>
          <w:rFonts w:ascii="Calibri" w:hAnsi="Calibri" w:cs="Calibri"/>
        </w:rPr>
        <w:t xml:space="preserve">and </w:t>
      </w:r>
      <w:r w:rsidR="007819AD">
        <w:rPr>
          <w:rFonts w:ascii="Calibri" w:hAnsi="Calibri" w:cs="Calibri"/>
        </w:rPr>
        <w:t xml:space="preserve">all </w:t>
      </w:r>
      <w:r w:rsidR="005132D0">
        <w:rPr>
          <w:rFonts w:ascii="Calibri" w:hAnsi="Calibri" w:cs="Calibri"/>
        </w:rPr>
        <w:t xml:space="preserve">comparison </w:t>
      </w:r>
      <w:r w:rsidR="00EE4445">
        <w:rPr>
          <w:rFonts w:ascii="Calibri" w:hAnsi="Calibri" w:cs="Calibri"/>
        </w:rPr>
        <w:t>sites</w:t>
      </w:r>
      <w:r>
        <w:rPr>
          <w:rFonts w:ascii="Calibri" w:hAnsi="Calibri" w:cs="Calibri"/>
        </w:rPr>
        <w:t xml:space="preserve">. A check-in will use five questions from the interview protocol related to the services being provided. Each check-in is estimated to be 30 minutes. We anticipate the first check-in will occur between the first and second site visit; the second will occur </w:t>
      </w:r>
      <w:r w:rsidR="00C673FC">
        <w:rPr>
          <w:rFonts w:ascii="Calibri" w:hAnsi="Calibri" w:cs="Calibri"/>
        </w:rPr>
        <w:t>in the second half of 2023</w:t>
      </w:r>
      <w:r>
        <w:rPr>
          <w:rFonts w:ascii="Calibri" w:hAnsi="Calibri" w:cs="Calibri"/>
        </w:rPr>
        <w:t xml:space="preserve">. The total burden over 3 years is estimated to be </w:t>
      </w:r>
      <w:r w:rsidR="00C673FC">
        <w:rPr>
          <w:rFonts w:ascii="Calibri" w:hAnsi="Calibri" w:cs="Calibri"/>
        </w:rPr>
        <w:t xml:space="preserve">45 </w:t>
      </w:r>
      <w:r>
        <w:rPr>
          <w:rFonts w:ascii="Calibri" w:hAnsi="Calibri" w:cs="Calibri"/>
        </w:rPr>
        <w:t>hours (</w:t>
      </w:r>
      <w:r w:rsidR="00C673FC">
        <w:rPr>
          <w:rFonts w:ascii="Calibri" w:hAnsi="Calibri" w:cs="Calibri"/>
        </w:rPr>
        <w:t>90</w:t>
      </w:r>
      <w:r>
        <w:rPr>
          <w:rFonts w:ascii="Calibri" w:hAnsi="Calibri" w:cs="Calibri"/>
        </w:rPr>
        <w:t xml:space="preserve">x .5) </w:t>
      </w:r>
      <w:r w:rsidR="005132D0">
        <w:rPr>
          <w:rFonts w:ascii="Calibri" w:hAnsi="Calibri" w:cs="Calibri"/>
        </w:rPr>
        <w:t>for treatment sites and for comparison sites</w:t>
      </w:r>
      <w:r>
        <w:rPr>
          <w:rFonts w:ascii="Calibri" w:hAnsi="Calibri" w:cs="Calibri"/>
        </w:rPr>
        <w:t xml:space="preserve">. The annual burden for this data collection is estimated to be </w:t>
      </w:r>
      <w:r w:rsidR="00C673FC">
        <w:rPr>
          <w:rFonts w:ascii="Calibri" w:hAnsi="Calibri" w:cs="Calibri"/>
        </w:rPr>
        <w:t xml:space="preserve">15 </w:t>
      </w:r>
      <w:r>
        <w:rPr>
          <w:rFonts w:ascii="Calibri" w:hAnsi="Calibri" w:cs="Calibri"/>
        </w:rPr>
        <w:t>hours (</w:t>
      </w:r>
      <w:r w:rsidR="00C673FC">
        <w:rPr>
          <w:rFonts w:ascii="Calibri" w:hAnsi="Calibri" w:cs="Calibri"/>
        </w:rPr>
        <w:t>45</w:t>
      </w:r>
      <w:r>
        <w:rPr>
          <w:rFonts w:ascii="Calibri" w:hAnsi="Calibri" w:cs="Calibri"/>
        </w:rPr>
        <w:t>/</w:t>
      </w:r>
      <w:r w:rsidR="009605ED">
        <w:rPr>
          <w:rFonts w:ascii="Calibri" w:hAnsi="Calibri" w:cs="Calibri"/>
        </w:rPr>
        <w:t>3</w:t>
      </w:r>
      <w:r>
        <w:rPr>
          <w:rFonts w:ascii="Calibri" w:hAnsi="Calibri" w:cs="Calibri"/>
        </w:rPr>
        <w:t>)</w:t>
      </w:r>
      <w:r w:rsidRPr="005132D0" w:rsidR="005132D0">
        <w:rPr>
          <w:rFonts w:ascii="Calibri" w:hAnsi="Calibri" w:cs="Calibri"/>
        </w:rPr>
        <w:t xml:space="preserve"> </w:t>
      </w:r>
      <w:r w:rsidR="005132D0">
        <w:rPr>
          <w:rFonts w:ascii="Calibri" w:hAnsi="Calibri" w:cs="Calibri"/>
        </w:rPr>
        <w:t>for treatment sites and for comparison sites</w:t>
      </w:r>
      <w:r>
        <w:rPr>
          <w:rFonts w:ascii="Calibri" w:hAnsi="Calibri" w:cs="Calibri"/>
        </w:rPr>
        <w:t xml:space="preserve">. </w:t>
      </w:r>
      <w:r w:rsidRPr="007174C1">
        <w:rPr>
          <w:rFonts w:ascii="Calibri" w:hAnsi="Calibri" w:cs="Calibri"/>
          <w:color w:val="000000"/>
          <w:shd w:val="clear" w:color="auto" w:fill="FFFFFF"/>
        </w:rPr>
        <w:t>The annual cost to respondents is estimated to be $</w:t>
      </w:r>
      <w:r w:rsidR="00C673FC">
        <w:rPr>
          <w:rFonts w:ascii="Calibri" w:hAnsi="Calibri" w:cs="Calibri"/>
          <w:color w:val="000000"/>
          <w:shd w:val="clear" w:color="auto" w:fill="FFFFFF"/>
        </w:rPr>
        <w:t>623.85</w:t>
      </w:r>
      <w:r w:rsidRPr="007174C1" w:rsidR="00C673FC">
        <w:rPr>
          <w:rFonts w:ascii="Calibri" w:hAnsi="Calibri" w:cs="Calibri"/>
          <w:color w:val="000000"/>
          <w:shd w:val="clear" w:color="auto" w:fill="FFFFFF"/>
        </w:rPr>
        <w:t xml:space="preserve"> </w:t>
      </w:r>
      <w:r w:rsidRPr="007174C1">
        <w:rPr>
          <w:rFonts w:ascii="Calibri" w:hAnsi="Calibri" w:cs="Calibri"/>
          <w:color w:val="000000"/>
          <w:shd w:val="clear" w:color="auto" w:fill="FFFFFF"/>
        </w:rPr>
        <w:t>(</w:t>
      </w:r>
      <w:r w:rsidR="00C673FC">
        <w:rPr>
          <w:rFonts w:ascii="Calibri" w:hAnsi="Calibri" w:cs="Calibri"/>
          <w:color w:val="000000"/>
          <w:shd w:val="clear" w:color="auto" w:fill="FFFFFF"/>
        </w:rPr>
        <w:t>15</w:t>
      </w:r>
      <w:r w:rsidRPr="007174C1">
        <w:rPr>
          <w:rFonts w:ascii="Calibri" w:hAnsi="Calibri" w:cs="Calibri"/>
          <w:color w:val="000000"/>
          <w:shd w:val="clear" w:color="auto" w:fill="FFFFFF"/>
        </w:rPr>
        <w:t>*$41.59)</w:t>
      </w:r>
      <w:r w:rsidR="005132D0">
        <w:rPr>
          <w:rFonts w:ascii="Calibri" w:hAnsi="Calibri" w:cs="Calibri"/>
          <w:color w:val="000000"/>
          <w:shd w:val="clear" w:color="auto" w:fill="FFFFFF"/>
        </w:rPr>
        <w:t xml:space="preserve"> </w:t>
      </w:r>
      <w:r w:rsidR="005132D0">
        <w:rPr>
          <w:rFonts w:ascii="Calibri" w:hAnsi="Calibri" w:cs="Calibri"/>
        </w:rPr>
        <w:t>for treatment sites and for comparison sites</w:t>
      </w:r>
      <w:r w:rsidRPr="007174C1">
        <w:rPr>
          <w:rFonts w:ascii="Calibri" w:hAnsi="Calibri" w:cs="Calibri"/>
          <w:color w:val="000000"/>
          <w:shd w:val="clear" w:color="auto" w:fill="FFFFFF"/>
        </w:rPr>
        <w:t>.</w:t>
      </w:r>
    </w:p>
    <w:p w:rsidR="00EF7C75" w:rsidRPr="00C20CF5" w:rsidP="007174C1" w14:paraId="12A6A540" w14:textId="585A63AB">
      <w:pPr>
        <w:spacing w:after="0" w:line="240" w:lineRule="auto"/>
        <w:rPr>
          <w:rFonts w:cstheme="minorHAnsi"/>
          <w:color w:val="000000"/>
        </w:rPr>
      </w:pPr>
    </w:p>
    <w:p w:rsidR="00EF7C75" w:rsidP="00EF7C75" w14:paraId="1E1E397B" w14:textId="3B6E5BF7">
      <w:pPr>
        <w:pStyle w:val="NormalWeb"/>
        <w:shd w:val="clear" w:color="auto" w:fill="FFFFFF"/>
        <w:spacing w:before="0" w:beforeAutospacing="0" w:after="0" w:afterAutospacing="0"/>
        <w:rPr>
          <w:rFonts w:asciiTheme="minorHAnsi" w:hAnsiTheme="minorHAnsi" w:cstheme="minorHAnsi"/>
          <w:color w:val="000000"/>
          <w:sz w:val="22"/>
          <w:szCs w:val="22"/>
        </w:rPr>
      </w:pPr>
      <w:bookmarkStart w:id="7" w:name="_Hlk137041903"/>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bookmarkEnd w:id="7"/>
      <w:r w:rsidRPr="004D25D8">
        <w:rPr>
          <w:rFonts w:asciiTheme="minorHAnsi" w:hAnsiTheme="minorHAnsi" w:cstheme="minorHAnsi"/>
          <w:color w:val="000000"/>
          <w:sz w:val="22"/>
          <w:szCs w:val="22"/>
        </w:rPr>
        <w:t xml:space="preserve"> </w:t>
      </w:r>
      <w:r w:rsidRPr="004D25D8" w:rsidR="00895863">
        <w:rPr>
          <w:rFonts w:asciiTheme="minorHAnsi" w:hAnsiTheme="minorHAnsi" w:cstheme="minorHAnsi"/>
          <w:color w:val="000000"/>
          <w:sz w:val="22"/>
          <w:szCs w:val="22"/>
        </w:rPr>
        <w:t xml:space="preserve">We expect to interview </w:t>
      </w:r>
      <w:r w:rsidR="00895863">
        <w:rPr>
          <w:rFonts w:asciiTheme="minorHAnsi" w:hAnsiTheme="minorHAnsi" w:cstheme="minorHAnsi"/>
          <w:color w:val="000000"/>
          <w:sz w:val="22"/>
          <w:szCs w:val="22"/>
        </w:rPr>
        <w:t xml:space="preserve">about </w:t>
      </w:r>
      <w:r w:rsidRPr="004D25D8" w:rsidR="00895863">
        <w:rPr>
          <w:rFonts w:asciiTheme="minorHAnsi" w:hAnsiTheme="minorHAnsi" w:cstheme="minorHAnsi"/>
          <w:color w:val="000000"/>
          <w:sz w:val="22"/>
          <w:szCs w:val="22"/>
        </w:rPr>
        <w:t xml:space="preserve">50 youth </w:t>
      </w:r>
      <w:r w:rsidR="00895863">
        <w:rPr>
          <w:rFonts w:asciiTheme="minorHAnsi" w:hAnsiTheme="minorHAnsi" w:cstheme="minorHAnsi"/>
          <w:color w:val="000000"/>
          <w:sz w:val="22"/>
          <w:szCs w:val="22"/>
        </w:rPr>
        <w:t xml:space="preserve">who </w:t>
      </w:r>
      <w:r w:rsidRPr="004D25D8" w:rsidR="00895863">
        <w:rPr>
          <w:rFonts w:asciiTheme="minorHAnsi" w:hAnsiTheme="minorHAnsi" w:cstheme="minorHAnsi"/>
          <w:color w:val="000000"/>
          <w:sz w:val="22"/>
          <w:szCs w:val="22"/>
        </w:rPr>
        <w:t>receiv</w:t>
      </w:r>
      <w:r w:rsidR="00895863">
        <w:rPr>
          <w:rFonts w:asciiTheme="minorHAnsi" w:hAnsiTheme="minorHAnsi" w:cstheme="minorHAnsi"/>
          <w:color w:val="000000"/>
          <w:sz w:val="22"/>
          <w:szCs w:val="22"/>
        </w:rPr>
        <w:t>e</w:t>
      </w:r>
      <w:r w:rsidRPr="004D25D8" w:rsidR="00895863">
        <w:rPr>
          <w:rFonts w:asciiTheme="minorHAnsi" w:hAnsiTheme="minorHAnsi" w:cstheme="minorHAnsi"/>
          <w:color w:val="000000"/>
          <w:sz w:val="22"/>
          <w:szCs w:val="22"/>
        </w:rPr>
        <w:t xml:space="preserve"> services at Pathway</w:t>
      </w:r>
      <w:r w:rsidR="00895863">
        <w:rPr>
          <w:rFonts w:asciiTheme="minorHAnsi" w:hAnsiTheme="minorHAnsi" w:cstheme="minorHAnsi"/>
          <w:color w:val="000000"/>
          <w:sz w:val="22"/>
          <w:szCs w:val="22"/>
        </w:rPr>
        <w:t>s</w:t>
      </w:r>
      <w:r w:rsidRPr="004D25D8" w:rsidR="00895863">
        <w:rPr>
          <w:rFonts w:asciiTheme="minorHAnsi" w:hAnsiTheme="minorHAnsi" w:cstheme="minorHAnsi"/>
          <w:color w:val="000000"/>
          <w:sz w:val="22"/>
          <w:szCs w:val="22"/>
        </w:rPr>
        <w:t xml:space="preserve"> sites</w:t>
      </w:r>
      <w:r w:rsidR="00895863">
        <w:rPr>
          <w:rFonts w:asciiTheme="minorHAnsi" w:hAnsiTheme="minorHAnsi" w:cstheme="minorHAnsi"/>
          <w:color w:val="000000"/>
          <w:sz w:val="22"/>
          <w:szCs w:val="22"/>
        </w:rPr>
        <w:t xml:space="preserve"> and about 50 youth who receive services at comparison sites</w:t>
      </w:r>
      <w:r w:rsidRPr="004D25D8" w:rsidR="00895863">
        <w:rPr>
          <w:rFonts w:asciiTheme="minorHAnsi" w:hAnsiTheme="minorHAnsi" w:cstheme="minorHAnsi"/>
          <w:color w:val="000000"/>
          <w:sz w:val="22"/>
          <w:szCs w:val="22"/>
        </w:rPr>
        <w:t>.</w:t>
      </w:r>
      <w:r w:rsidR="00E93E1A">
        <w:rPr>
          <w:rFonts w:asciiTheme="minorHAnsi" w:hAnsiTheme="minorHAnsi" w:cstheme="minorHAnsi"/>
          <w:color w:val="000000"/>
          <w:sz w:val="22"/>
          <w:szCs w:val="22"/>
        </w:rPr>
        <w:t xml:space="preserve"> </w:t>
      </w:r>
      <w:r w:rsidRPr="00F177DE" w:rsidR="00E93E1A">
        <w:rPr>
          <w:rFonts w:asciiTheme="minorHAnsi" w:hAnsiTheme="minorHAnsi" w:cstheme="minorHAnsi"/>
          <w:color w:val="000000"/>
          <w:sz w:val="22"/>
          <w:szCs w:val="22"/>
        </w:rPr>
        <w:t>If a youth requests a one-on-one interview instead of the focus group, we will accommodate the request by using the same discussion guide and adhering to the same amount of burden per individual.</w:t>
      </w:r>
      <w:r w:rsidRPr="004D25D8" w:rsidR="00895863">
        <w:rPr>
          <w:rFonts w:asciiTheme="minorHAnsi" w:hAnsiTheme="minorHAnsi" w:cstheme="minorHAnsi"/>
          <w:color w:val="000000"/>
          <w:sz w:val="22"/>
          <w:szCs w:val="22"/>
        </w:rPr>
        <w:t xml:space="preserve"> Based on previous experience with similar interviews, the focus group </w:t>
      </w:r>
      <w:r w:rsidRPr="004D25D8" w:rsidR="00895863">
        <w:rPr>
          <w:rFonts w:asciiTheme="minorHAnsi" w:hAnsiTheme="minorHAnsi" w:cstheme="minorHAnsi"/>
          <w:color w:val="000000"/>
          <w:sz w:val="22"/>
          <w:szCs w:val="22"/>
        </w:rPr>
        <w:t>is</w:t>
      </w:r>
      <w:r w:rsidR="00895863">
        <w:rPr>
          <w:rFonts w:asciiTheme="minorHAnsi" w:hAnsiTheme="minorHAnsi" w:cstheme="minorHAnsi"/>
          <w:color w:val="000000"/>
          <w:sz w:val="22"/>
          <w:szCs w:val="22"/>
        </w:rPr>
        <w:t xml:space="preserve"> estimated t</w:t>
      </w:r>
      <w:r w:rsidRPr="004D25D8" w:rsidR="00895863">
        <w:rPr>
          <w:rFonts w:asciiTheme="minorHAnsi" w:hAnsiTheme="minorHAnsi" w:cstheme="minorHAnsi"/>
          <w:color w:val="000000"/>
          <w:sz w:val="22"/>
          <w:szCs w:val="22"/>
        </w:rPr>
        <w:t xml:space="preserve">o take </w:t>
      </w:r>
      <w:r w:rsidR="00895863">
        <w:rPr>
          <w:rFonts w:asciiTheme="minorHAnsi" w:hAnsiTheme="minorHAnsi" w:cstheme="minorHAnsi"/>
          <w:color w:val="000000"/>
          <w:sz w:val="22"/>
          <w:szCs w:val="22"/>
        </w:rPr>
        <w:t>one and a half</w:t>
      </w:r>
      <w:r w:rsidRPr="004D25D8" w:rsidR="00895863">
        <w:rPr>
          <w:rFonts w:asciiTheme="minorHAnsi" w:hAnsiTheme="minorHAnsi" w:cstheme="minorHAnsi"/>
          <w:color w:val="000000"/>
          <w:sz w:val="22"/>
          <w:szCs w:val="22"/>
        </w:rPr>
        <w:t xml:space="preserve"> hours to complete. The total burden over </w:t>
      </w:r>
      <w:r w:rsidR="00895863">
        <w:rPr>
          <w:rFonts w:asciiTheme="minorHAnsi" w:hAnsiTheme="minorHAnsi" w:cstheme="minorHAnsi"/>
          <w:color w:val="000000"/>
          <w:sz w:val="22"/>
          <w:szCs w:val="22"/>
        </w:rPr>
        <w:t xml:space="preserve">three </w:t>
      </w:r>
      <w:r w:rsidRPr="004D25D8" w:rsidR="00895863">
        <w:rPr>
          <w:rFonts w:asciiTheme="minorHAnsi" w:hAnsiTheme="minorHAnsi" w:cstheme="minorHAnsi"/>
          <w:color w:val="000000"/>
          <w:sz w:val="22"/>
          <w:szCs w:val="22"/>
        </w:rPr>
        <w:t xml:space="preserve">years is estimated to be </w:t>
      </w:r>
      <w:r w:rsidR="00895863">
        <w:rPr>
          <w:rFonts w:asciiTheme="minorHAnsi" w:hAnsiTheme="minorHAnsi" w:cstheme="minorHAnsi"/>
          <w:color w:val="000000"/>
          <w:sz w:val="22"/>
          <w:szCs w:val="22"/>
        </w:rPr>
        <w:t>150</w:t>
      </w:r>
      <w:r w:rsidRPr="004D25D8" w:rsidR="00895863">
        <w:rPr>
          <w:rFonts w:asciiTheme="minorHAnsi" w:hAnsiTheme="minorHAnsi" w:cstheme="minorHAnsi"/>
          <w:color w:val="000000"/>
          <w:sz w:val="22"/>
          <w:szCs w:val="22"/>
        </w:rPr>
        <w:t xml:space="preserve"> hours (</w:t>
      </w:r>
      <w:r w:rsidR="00895863">
        <w:rPr>
          <w:rFonts w:asciiTheme="minorHAnsi" w:hAnsiTheme="minorHAnsi" w:cstheme="minorHAnsi"/>
          <w:color w:val="000000"/>
          <w:sz w:val="22"/>
          <w:szCs w:val="22"/>
        </w:rPr>
        <w:t>100</w:t>
      </w:r>
      <w:r w:rsidRPr="004D25D8" w:rsidR="00895863">
        <w:rPr>
          <w:rFonts w:asciiTheme="minorHAnsi" w:hAnsiTheme="minorHAnsi" w:cstheme="minorHAnsi"/>
          <w:color w:val="000000"/>
          <w:sz w:val="22"/>
          <w:szCs w:val="22"/>
        </w:rPr>
        <w:t xml:space="preserve"> x 1.5)</w:t>
      </w:r>
      <w:r w:rsidR="00895863">
        <w:rPr>
          <w:rFonts w:asciiTheme="minorHAnsi" w:hAnsiTheme="minorHAnsi" w:cstheme="minorHAnsi"/>
          <w:color w:val="000000"/>
          <w:sz w:val="22"/>
          <w:szCs w:val="22"/>
        </w:rPr>
        <w:t xml:space="preserve"> for treatment and comparison youth. T</w:t>
      </w:r>
      <w:r w:rsidRPr="004D25D8" w:rsidR="00895863">
        <w:rPr>
          <w:rFonts w:asciiTheme="minorHAnsi" w:hAnsiTheme="minorHAnsi" w:cstheme="minorHAnsi"/>
          <w:color w:val="000000"/>
          <w:sz w:val="22"/>
          <w:szCs w:val="22"/>
        </w:rPr>
        <w:t xml:space="preserve">he annual burden for this data collection is estimated to be </w:t>
      </w:r>
      <w:r w:rsidR="00895863">
        <w:rPr>
          <w:rFonts w:asciiTheme="minorHAnsi" w:hAnsiTheme="minorHAnsi" w:cstheme="minorHAnsi"/>
          <w:color w:val="000000"/>
          <w:sz w:val="22"/>
          <w:szCs w:val="22"/>
        </w:rPr>
        <w:t>50</w:t>
      </w:r>
      <w:r w:rsidRPr="004D25D8" w:rsidR="00895863">
        <w:rPr>
          <w:rFonts w:asciiTheme="minorHAnsi" w:hAnsiTheme="minorHAnsi" w:cstheme="minorHAnsi"/>
          <w:color w:val="000000"/>
          <w:sz w:val="22"/>
          <w:szCs w:val="22"/>
        </w:rPr>
        <w:t xml:space="preserve"> hours (</w:t>
      </w:r>
      <w:r w:rsidR="00895863">
        <w:rPr>
          <w:rFonts w:asciiTheme="minorHAnsi" w:hAnsiTheme="minorHAnsi" w:cstheme="minorHAnsi"/>
          <w:color w:val="000000"/>
          <w:sz w:val="22"/>
          <w:szCs w:val="22"/>
        </w:rPr>
        <w:t>150</w:t>
      </w:r>
      <w:r w:rsidRPr="004D25D8" w:rsidR="00895863">
        <w:rPr>
          <w:rFonts w:asciiTheme="minorHAnsi" w:hAnsiTheme="minorHAnsi" w:cstheme="minorHAnsi"/>
          <w:color w:val="000000"/>
          <w:sz w:val="22"/>
          <w:szCs w:val="22"/>
        </w:rPr>
        <w:t>/3)</w:t>
      </w:r>
      <w:r w:rsidR="00895863">
        <w:rPr>
          <w:rFonts w:asciiTheme="minorHAnsi" w:hAnsiTheme="minorHAnsi" w:cstheme="minorHAnsi"/>
          <w:color w:val="000000"/>
          <w:sz w:val="22"/>
          <w:szCs w:val="22"/>
        </w:rPr>
        <w:t xml:space="preserve"> for treatment and comparison youth</w:t>
      </w:r>
      <w:r w:rsidRPr="004D25D8" w:rsidR="00895863">
        <w:rPr>
          <w:rFonts w:asciiTheme="minorHAnsi" w:hAnsiTheme="minorHAnsi" w:cstheme="minorHAnsi"/>
          <w:color w:val="000000"/>
          <w:sz w:val="22"/>
          <w:szCs w:val="22"/>
        </w:rPr>
        <w:t xml:space="preserve">. The annual cost to respondents for youth </w:t>
      </w:r>
      <w:r w:rsidR="00895863">
        <w:rPr>
          <w:rFonts w:asciiTheme="minorHAnsi" w:hAnsiTheme="minorHAnsi" w:cstheme="minorHAnsi"/>
          <w:color w:val="000000"/>
          <w:sz w:val="22"/>
          <w:szCs w:val="22"/>
        </w:rPr>
        <w:t>age</w:t>
      </w:r>
      <w:r w:rsidR="00895863">
        <w:rPr>
          <w:rFonts w:asciiTheme="minorHAnsi" w:hAnsiTheme="minorHAnsi" w:cstheme="minorHAnsi"/>
          <w:color w:val="000000"/>
          <w:sz w:val="22"/>
          <w:szCs w:val="22"/>
        </w:rPr>
        <w:t xml:space="preserve"> </w:t>
      </w:r>
      <w:r w:rsidRPr="004D25D8" w:rsidR="00895863">
        <w:rPr>
          <w:rFonts w:asciiTheme="minorHAnsi" w:hAnsiTheme="minorHAnsi" w:cstheme="minorHAnsi"/>
          <w:color w:val="000000"/>
          <w:sz w:val="22"/>
          <w:szCs w:val="22"/>
        </w:rPr>
        <w:t xml:space="preserve">18 and older is estimated to be </w:t>
      </w:r>
      <w:r w:rsidR="00895863">
        <w:rPr>
          <w:rFonts w:asciiTheme="minorHAnsi" w:hAnsiTheme="minorHAnsi" w:cstheme="minorHAnsi"/>
          <w:color w:val="000000"/>
          <w:sz w:val="22"/>
          <w:szCs w:val="22"/>
        </w:rPr>
        <w:t>$308 (50</w:t>
      </w:r>
      <w:r w:rsidRPr="004D25D8" w:rsidR="00895863">
        <w:rPr>
          <w:rFonts w:asciiTheme="minorHAnsi" w:hAnsiTheme="minorHAnsi" w:cstheme="minorHAnsi"/>
          <w:color w:val="000000"/>
          <w:sz w:val="22"/>
          <w:szCs w:val="22"/>
        </w:rPr>
        <w:t>*0.</w:t>
      </w:r>
      <w:r w:rsidR="00895863">
        <w:rPr>
          <w:rFonts w:asciiTheme="minorHAnsi" w:hAnsiTheme="minorHAnsi" w:cstheme="minorHAnsi"/>
          <w:color w:val="000000"/>
          <w:sz w:val="22"/>
          <w:szCs w:val="22"/>
        </w:rPr>
        <w:t>5</w:t>
      </w:r>
      <w:r w:rsidRPr="004D25D8" w:rsidR="00895863">
        <w:rPr>
          <w:rFonts w:asciiTheme="minorHAnsi" w:hAnsiTheme="minorHAnsi" w:cstheme="minorHAnsi"/>
          <w:color w:val="000000"/>
          <w:sz w:val="22"/>
          <w:szCs w:val="22"/>
        </w:rPr>
        <w:t>*</w:t>
      </w:r>
      <w:r w:rsidR="00895863">
        <w:rPr>
          <w:rFonts w:asciiTheme="minorHAnsi" w:hAnsiTheme="minorHAnsi" w:cstheme="minorHAnsi"/>
          <w:color w:val="000000"/>
          <w:sz w:val="22"/>
          <w:szCs w:val="22"/>
        </w:rPr>
        <w:t>$</w:t>
      </w:r>
      <w:r w:rsidRPr="004D25D8" w:rsidR="00895863">
        <w:rPr>
          <w:rFonts w:asciiTheme="minorHAnsi" w:hAnsiTheme="minorHAnsi" w:cstheme="minorHAnsi"/>
          <w:color w:val="000000"/>
          <w:sz w:val="22"/>
          <w:szCs w:val="22"/>
        </w:rPr>
        <w:t>12.32</w:t>
      </w:r>
      <w:r w:rsidR="00895863">
        <w:rPr>
          <w:rFonts w:asciiTheme="minorHAnsi" w:hAnsiTheme="minorHAnsi" w:cstheme="minorHAnsi"/>
          <w:color w:val="000000"/>
          <w:sz w:val="22"/>
          <w:szCs w:val="22"/>
        </w:rPr>
        <w:t>) for treatment and comparison youth.</w:t>
      </w:r>
    </w:p>
    <w:p w:rsidR="005605A3" w:rsidP="00EF7C75" w14:paraId="3E8AB643" w14:textId="6A7F0F4A">
      <w:pPr>
        <w:pStyle w:val="NormalWeb"/>
        <w:shd w:val="clear" w:color="auto" w:fill="FFFFFF"/>
        <w:spacing w:before="0" w:beforeAutospacing="0" w:after="0" w:afterAutospacing="0"/>
        <w:rPr>
          <w:rFonts w:asciiTheme="minorHAnsi" w:hAnsiTheme="minorHAnsi" w:cstheme="minorHAnsi"/>
          <w:color w:val="000000"/>
          <w:sz w:val="22"/>
          <w:szCs w:val="22"/>
        </w:rPr>
      </w:pPr>
    </w:p>
    <w:p w:rsidR="005605A3" w:rsidRPr="00D00507" w:rsidP="00EF7C75" w14:paraId="277A79C1" w14:textId="3323A963">
      <w:pPr>
        <w:pStyle w:val="NormalWeb"/>
        <w:shd w:val="clear" w:color="auto" w:fill="FFFFFF"/>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Contact Information Update Requests. </w:t>
      </w:r>
      <w:r w:rsidRPr="007C5FF4" w:rsidR="00895863">
        <w:rPr>
          <w:rFonts w:asciiTheme="minorHAnsi" w:hAnsiTheme="minorHAnsi" w:cstheme="minorHAnsi"/>
          <w:sz w:val="22"/>
          <w:szCs w:val="22"/>
        </w:rPr>
        <w:t xml:space="preserve">We will implement four short contact information requests to provide an opportunity for youth to confirm their current contact information and continue to engage and familiarize youth with the SYSIL study (Instrument 5). The information requests will be sent 9, 15, 18, and 21 months after study enrollment. We anticipate the requests will take youth 5 minutes to complete and that 50 percent of youth will complete each of the four requests. The total burden over three years is estimated to be </w:t>
      </w:r>
      <w:r w:rsidR="00895863">
        <w:rPr>
          <w:rFonts w:asciiTheme="minorHAnsi" w:hAnsiTheme="minorHAnsi" w:cstheme="minorHAnsi"/>
          <w:sz w:val="22"/>
          <w:szCs w:val="22"/>
        </w:rPr>
        <w:t xml:space="preserve">112 </w:t>
      </w:r>
      <w:r w:rsidRPr="007C5FF4" w:rsidR="00895863">
        <w:rPr>
          <w:rFonts w:asciiTheme="minorHAnsi" w:hAnsiTheme="minorHAnsi" w:cstheme="minorHAnsi"/>
          <w:sz w:val="22"/>
          <w:szCs w:val="22"/>
        </w:rPr>
        <w:t>hours (.08 hours x 350 youth x 4 requests)</w:t>
      </w:r>
      <w:r w:rsidR="00895863">
        <w:rPr>
          <w:rFonts w:asciiTheme="minorHAnsi" w:hAnsiTheme="minorHAnsi" w:cstheme="minorHAnsi"/>
          <w:sz w:val="22"/>
          <w:szCs w:val="22"/>
        </w:rPr>
        <w:t>, with an estimated annual burden of 37 hours (112/3)</w:t>
      </w:r>
      <w:r w:rsidRPr="007C5FF4" w:rsidR="00895863">
        <w:rPr>
          <w:rFonts w:asciiTheme="minorHAnsi" w:hAnsiTheme="minorHAnsi" w:cstheme="minorHAnsi"/>
          <w:sz w:val="22"/>
          <w:szCs w:val="22"/>
        </w:rPr>
        <w:t>. The annual cost</w:t>
      </w:r>
      <w:r w:rsidR="00895863">
        <w:rPr>
          <w:rFonts w:asciiTheme="minorHAnsi" w:hAnsiTheme="minorHAnsi" w:cstheme="minorHAnsi"/>
          <w:sz w:val="22"/>
          <w:szCs w:val="22"/>
        </w:rPr>
        <w:t xml:space="preserve"> to respondents for youth 18 and older </w:t>
      </w:r>
      <w:r w:rsidRPr="007C5FF4" w:rsidR="00895863">
        <w:rPr>
          <w:rFonts w:asciiTheme="minorHAnsi" w:hAnsiTheme="minorHAnsi" w:cstheme="minorHAnsi"/>
          <w:sz w:val="22"/>
          <w:szCs w:val="22"/>
        </w:rPr>
        <w:t xml:space="preserve">associated with this data collection is estimated to be </w:t>
      </w:r>
      <w:r w:rsidR="00895863">
        <w:rPr>
          <w:rFonts w:asciiTheme="minorHAnsi" w:hAnsiTheme="minorHAnsi" w:cstheme="minorHAnsi"/>
          <w:sz w:val="22"/>
          <w:szCs w:val="22"/>
        </w:rPr>
        <w:t>$287.18.</w:t>
      </w:r>
    </w:p>
    <w:p w:rsidR="00D726F5" w:rsidRPr="009139B3" w:rsidP="008023E7" w14:paraId="28371102" w14:textId="5D5B14F4">
      <w:pPr>
        <w:pStyle w:val="NormalWeb"/>
        <w:shd w:val="clear" w:color="auto" w:fill="FFFFFF"/>
        <w:spacing w:before="0" w:beforeAutospacing="0" w:after="0" w:afterAutospacing="0"/>
        <w:rPr>
          <w:i/>
        </w:rPr>
      </w:pPr>
    </w:p>
    <w:p w:rsidR="001D1C73" w:rsidRPr="008023E7" w:rsidP="001D1C73" w14:paraId="36874344" w14:textId="0255E36F">
      <w:pPr>
        <w:spacing w:after="60" w:line="240" w:lineRule="auto"/>
        <w:rPr>
          <w:b/>
          <w:bCs/>
          <w:iCs/>
        </w:rPr>
      </w:pPr>
      <w:r w:rsidRPr="008023E7">
        <w:rPr>
          <w:b/>
          <w:bCs/>
          <w:iCs/>
        </w:rPr>
        <w:t>Table A.</w:t>
      </w:r>
      <w:r w:rsidRPr="008023E7" w:rsidR="00E44894">
        <w:rPr>
          <w:b/>
          <w:bCs/>
          <w:iCs/>
        </w:rPr>
        <w:t xml:space="preserve">5 </w:t>
      </w:r>
      <w:r w:rsidRPr="008023E7">
        <w:rPr>
          <w:b/>
          <w:bCs/>
          <w:iCs/>
        </w:rPr>
        <w:t>Estimated Annualized Cost to Respondents</w:t>
      </w:r>
    </w:p>
    <w:p w:rsidR="001D1C73" w:rsidRPr="009139B3" w:rsidP="001D1C73" w14:paraId="7E2C5F84" w14:textId="77777777">
      <w:pPr>
        <w:spacing w:after="0" w:line="240" w:lineRule="auto"/>
      </w:pPr>
    </w:p>
    <w:tbl>
      <w:tblPr>
        <w:tblStyle w:val="TableGrid"/>
        <w:tblW w:w="9653" w:type="dxa"/>
        <w:tblInd w:w="108" w:type="dxa"/>
        <w:tblLayout w:type="fixed"/>
        <w:tblLook w:val="01E0"/>
      </w:tblPr>
      <w:tblGrid>
        <w:gridCol w:w="1777"/>
        <w:gridCol w:w="1350"/>
        <w:gridCol w:w="1440"/>
        <w:gridCol w:w="1350"/>
        <w:gridCol w:w="810"/>
        <w:gridCol w:w="810"/>
        <w:gridCol w:w="900"/>
        <w:gridCol w:w="1216"/>
      </w:tblGrid>
      <w:tr w14:paraId="74C15667" w14:textId="77777777" w:rsidTr="00C125AC">
        <w:tblPrEx>
          <w:tblW w:w="9653" w:type="dxa"/>
          <w:tblInd w:w="108" w:type="dxa"/>
          <w:tblLayout w:type="fixed"/>
          <w:tblLook w:val="01E0"/>
        </w:tblPrEx>
        <w:trPr>
          <w:tblHeader/>
        </w:trPr>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2647" w:rsidRPr="009139B3" w:rsidP="00553863"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14:paraId="236517E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ED0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700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56059E4" w14:textId="4FEA0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F71897" w:rsidP="00553863" w14:paraId="7CAA8157" w14:textId="6008E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RPr="00BC37C0" w:rsidP="00553863" w14:paraId="6C655EAF" w14:textId="4FF28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294</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EE5E22" w14:textId="277AA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98</w:t>
            </w:r>
          </w:p>
        </w:tc>
        <w:tc>
          <w:tcPr>
            <w:tcW w:w="900" w:type="dxa"/>
            <w:tcBorders>
              <w:top w:val="single" w:sz="4" w:space="0" w:color="auto"/>
              <w:left w:val="single" w:sz="4" w:space="0" w:color="auto"/>
              <w:bottom w:val="single" w:sz="4" w:space="0" w:color="auto"/>
              <w:right w:val="single" w:sz="4" w:space="0" w:color="auto"/>
            </w:tcBorders>
            <w:vAlign w:val="center"/>
            <w:hideMark/>
          </w:tcPr>
          <w:p w:rsidR="00A42647" w:rsidRPr="00BC37C0" w:rsidP="00553863" w14:paraId="5E9DE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w:t>
            </w:r>
            <w:r>
              <w:rPr>
                <w:rFonts w:asciiTheme="minorHAnsi" w:hAnsiTheme="minorHAnsi" w:cstheme="minorHAnsi"/>
                <w:bCs/>
              </w:rPr>
              <w:t>.</w:t>
            </w:r>
            <w:r w:rsidRPr="00BC37C0">
              <w:rPr>
                <w:rFonts w:asciiTheme="minorHAnsi" w:hAnsiTheme="minorHAnsi" w:cstheme="minorHAnsi"/>
                <w:bCs/>
              </w:rPr>
              <w:t>32</w:t>
            </w:r>
          </w:p>
        </w:tc>
        <w:tc>
          <w:tcPr>
            <w:tcW w:w="1216" w:type="dxa"/>
            <w:tcBorders>
              <w:top w:val="single" w:sz="4" w:space="0" w:color="auto"/>
              <w:left w:val="single" w:sz="4" w:space="0" w:color="auto"/>
              <w:bottom w:val="single" w:sz="4" w:space="0" w:color="auto"/>
              <w:right w:val="single" w:sz="4" w:space="0" w:color="auto"/>
            </w:tcBorders>
            <w:vAlign w:val="center"/>
            <w:hideMark/>
          </w:tcPr>
          <w:p w:rsidR="00D126F7" w:rsidP="00553863" w14:paraId="3C6033F3" w14:textId="26B87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B5209">
              <w:rPr>
                <w:rFonts w:asciiTheme="minorHAnsi" w:hAnsiTheme="minorHAnsi" w:cstheme="minorHAnsi"/>
                <w:bCs/>
              </w:rPr>
              <w:t>603.68</w:t>
            </w:r>
          </w:p>
          <w:p w:rsidR="00A42647" w:rsidRPr="00BC37C0" w:rsidP="00553863" w14:paraId="6B227165" w14:textId="459EC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244DD27"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17C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630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D9A6585" w14:textId="0D965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F71897" w:rsidP="00553863" w14:paraId="53EAFB52" w14:textId="5A8DC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RPr="00BC37C0" w:rsidP="00553863" w14:paraId="0735811A" w14:textId="5D615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26</w:t>
            </w:r>
            <w:r w:rsidR="008E0E98">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AA6777F" w14:textId="0C91E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88</w:t>
            </w:r>
          </w:p>
        </w:tc>
        <w:tc>
          <w:tcPr>
            <w:tcW w:w="900" w:type="dxa"/>
            <w:tcBorders>
              <w:top w:val="single" w:sz="4" w:space="0" w:color="auto"/>
              <w:left w:val="single" w:sz="4" w:space="0" w:color="auto"/>
              <w:bottom w:val="single" w:sz="4" w:space="0" w:color="auto"/>
              <w:right w:val="single" w:sz="4" w:space="0" w:color="auto"/>
            </w:tcBorders>
            <w:vAlign w:val="center"/>
          </w:tcPr>
          <w:p w:rsidR="00A42647" w:rsidP="00553863"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3E547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p w:rsidR="00A42647" w:rsidP="00553863" w14:paraId="4A5E331E" w14:textId="77777777">
            <w:pPr>
              <w:rPr>
                <w:rFonts w:asciiTheme="minorHAnsi" w:hAnsiTheme="minorHAnsi" w:cstheme="minorHAnsi"/>
                <w:bCs/>
              </w:rPr>
            </w:pPr>
          </w:p>
          <w:p w:rsidR="00A42647" w:rsidRPr="00BC37C0" w:rsidP="00553863" w14:paraId="1ADBED87" w14:textId="77777777">
            <w:pPr>
              <w:rPr>
                <w:rFonts w:asciiTheme="minorHAnsi" w:hAnsiTheme="minorHAnsi" w:cstheme="minorHAnsi"/>
              </w:rPr>
            </w:pPr>
          </w:p>
        </w:tc>
        <w:tc>
          <w:tcPr>
            <w:tcW w:w="1216" w:type="dxa"/>
            <w:tcBorders>
              <w:top w:val="single" w:sz="4" w:space="0" w:color="auto"/>
              <w:left w:val="single" w:sz="4" w:space="0" w:color="auto"/>
              <w:bottom w:val="single" w:sz="4" w:space="0" w:color="auto"/>
              <w:right w:val="single" w:sz="4" w:space="0" w:color="auto"/>
            </w:tcBorders>
            <w:vAlign w:val="center"/>
          </w:tcPr>
          <w:p w:rsidR="00D126F7" w:rsidP="00553863" w14:paraId="45BF9543" w14:textId="54D67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B5209">
              <w:rPr>
                <w:rFonts w:asciiTheme="minorHAnsi" w:hAnsiTheme="minorHAnsi" w:cstheme="minorHAnsi"/>
                <w:bCs/>
              </w:rPr>
              <w:t>5</w:t>
            </w:r>
            <w:r w:rsidR="000F5931">
              <w:rPr>
                <w:rFonts w:asciiTheme="minorHAnsi" w:hAnsiTheme="minorHAnsi" w:cstheme="minorHAnsi"/>
                <w:bCs/>
              </w:rPr>
              <w:t>96.29</w:t>
            </w:r>
          </w:p>
          <w:p w:rsidR="00A42647" w:rsidRPr="00BC37C0" w:rsidP="00553863" w14:paraId="02340F8A" w14:textId="52CCD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08EDCC7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46E4E79A" w14:textId="057BE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 </w:t>
            </w:r>
            <w:r w:rsidRPr="00BC37C0">
              <w:rPr>
                <w:rFonts w:asciiTheme="minorHAnsi" w:hAnsiTheme="minorHAnsi" w:cstheme="minorHAnsi"/>
              </w:rPr>
              <w:t xml:space="preserve">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95E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595</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FA18A8D" w14:textId="41A7B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F71897" w:rsidP="00553863" w14:paraId="53F8C8A2" w14:textId="5ADA3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RPr="00BC37C0" w:rsidP="00553863" w14:paraId="734D5302" w14:textId="6CCC7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8E0E98">
              <w:rPr>
                <w:rFonts w:asciiTheme="minorHAnsi" w:hAnsiTheme="minorHAnsi" w:cstheme="minorHAnsi"/>
                <w:bCs/>
              </w:rPr>
              <w:t>50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8766371" w14:textId="7FF88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83</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D1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DB5209" w:rsidP="00553863" w14:paraId="2A4D3CCB" w14:textId="7C2C6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6</w:t>
            </w:r>
            <w:r w:rsidR="002C3D27">
              <w:rPr>
                <w:rFonts w:asciiTheme="minorHAnsi" w:hAnsiTheme="minorHAnsi" w:cstheme="minorHAnsi"/>
                <w:bCs/>
              </w:rPr>
              <w:t>13.54</w:t>
            </w:r>
          </w:p>
          <w:p w:rsidR="00A42647" w:rsidRPr="00BC37C0" w:rsidP="00553863" w14:paraId="3E7E28BE" w14:textId="3A40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19B0F4F"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25CA3ACA" w14:textId="0964B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3</w:t>
            </w:r>
            <w:r>
              <w:rPr>
                <w:rFonts w:asciiTheme="minorHAnsi" w:hAnsiTheme="minorHAnsi" w:cstheme="minorHAnsi"/>
                <w:bCs/>
              </w:rPr>
              <w:t xml:space="preserve"> (</w:t>
            </w:r>
            <w:r w:rsidRPr="00BC37C0">
              <w:rPr>
                <w:rFonts w:asciiTheme="minorHAnsi" w:hAnsiTheme="minorHAnsi" w:cstheme="minorHAnsi"/>
                <w:bCs/>
              </w:rPr>
              <w:t>24 months)</w:t>
            </w:r>
            <w:r>
              <w:rPr>
                <w:rStyle w:val="FootnoteReference"/>
                <w:rFonts w:asciiTheme="minorHAnsi" w:hAnsiTheme="minorHAnsi" w:cstheme="minorHAnsi"/>
                <w:bCs/>
              </w:rPr>
              <w:footnoteReference w:id="12"/>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A3E2262" w14:textId="334A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490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1CBA0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7116147" w14:textId="4F1C5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F71897" w:rsidP="00553863" w14:paraId="4B0DCF3C" w14:textId="0D290F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RPr="00BC37C0" w:rsidP="00553863" w14:paraId="60CDB190" w14:textId="1EF58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w:t>
            </w:r>
            <w:r w:rsidR="008E0E98">
              <w:rPr>
                <w:rFonts w:asciiTheme="minorHAnsi" w:hAnsiTheme="minorHAnsi" w:cstheme="minorHAnsi"/>
                <w:bCs/>
              </w:rPr>
              <w:t>6</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4E21DA2C" w14:textId="7B430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r w:rsidR="008E0E98">
              <w:rPr>
                <w:rFonts w:asciiTheme="minorHAnsi" w:hAnsiTheme="minorHAnsi" w:cstheme="minorHAnsi"/>
                <w:bCs/>
              </w:rPr>
              <w:t>9</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3BBA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074883B" w14:textId="54DBB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B5209">
              <w:rPr>
                <w:rFonts w:asciiTheme="minorHAnsi" w:hAnsiTheme="minorHAnsi" w:cstheme="minorHAnsi"/>
                <w:bCs/>
              </w:rPr>
              <w:t>59</w:t>
            </w:r>
            <w:r w:rsidR="002C3D27">
              <w:rPr>
                <w:rFonts w:asciiTheme="minorHAnsi" w:hAnsiTheme="minorHAnsi" w:cstheme="minorHAnsi"/>
                <w:bCs/>
              </w:rPr>
              <w:t>5.06</w:t>
            </w:r>
          </w:p>
        </w:tc>
      </w:tr>
      <w:tr w14:paraId="2D2EE080"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8E90F61" w14:textId="407C1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6F50041" w14:textId="737BE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178B89" w14:textId="727C0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2510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8FB566A" w14:textId="1A62C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12039C">
              <w:rPr>
                <w:rFonts w:asciiTheme="minorHAnsi" w:hAnsiTheme="minorHAnsi" w:cstheme="minorHAnsi"/>
                <w:bCs/>
              </w:rPr>
              <w:t>3,743.10</w:t>
            </w:r>
          </w:p>
        </w:tc>
      </w:tr>
      <w:tr w14:paraId="04931BE5"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Program Director Check-ins for Pathways Sites (Treatment Sites)</w:t>
            </w:r>
            <w:r w:rsidRPr="00930AE1">
              <w:rPr>
                <w:rFonts w:asciiTheme="minorHAnsi" w:hAnsiTheme="minorHAnsi" w:cstheme="minorHAnsi"/>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4AF051" w14:textId="59739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54</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2F240AD" w14:textId="41B05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C5E6CF3" w14:textId="251AB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27</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D866272" w14:textId="0D6CB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9</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77B83C8" w14:textId="628C6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87B7DBB" w14:textId="1DC26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12039C">
              <w:rPr>
                <w:rFonts w:asciiTheme="minorHAnsi" w:hAnsiTheme="minorHAnsi" w:cstheme="minorHAnsi"/>
                <w:bCs/>
              </w:rPr>
              <w:t>1,122.93</w:t>
            </w:r>
          </w:p>
        </w:tc>
      </w:tr>
      <w:tr w14:paraId="7CFC071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7A67469E"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p w:rsidR="00F66886" w:rsidRPr="00BC37C0" w:rsidP="00F66886" w14:paraId="670D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309161" w14:textId="461D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1D9564" w14:textId="65179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FF8F705" w14:textId="55C35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293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25188DB" w14:textId="4218E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12039C">
              <w:rPr>
                <w:rFonts w:asciiTheme="minorHAnsi" w:hAnsiTheme="minorHAnsi" w:cstheme="minorHAnsi"/>
                <w:bCs/>
              </w:rPr>
              <w:t>3,743.10</w:t>
            </w:r>
          </w:p>
        </w:tc>
      </w:tr>
      <w:tr w14:paraId="3376F3AF"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18AD35F" w14:textId="50F9E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5DBA4ED" w14:textId="1E99B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4A2D22E" w14:textId="0AFE3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18</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5661C43" w14:textId="55CDA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956D8E2" w14:textId="73F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3CB25D3" w14:textId="4CB55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12039C">
              <w:rPr>
                <w:rFonts w:asciiTheme="minorHAnsi" w:hAnsiTheme="minorHAnsi" w:cstheme="minorHAnsi"/>
                <w:bCs/>
              </w:rPr>
              <w:t>748.62</w:t>
            </w:r>
          </w:p>
        </w:tc>
      </w:tr>
      <w:tr w14:paraId="33EB4500"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6BA996EF"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p w:rsidR="00F66886" w:rsidRPr="00BC37C0" w:rsidP="00F66886" w14:paraId="6410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75A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374B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EFCD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4739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0FF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14:paraId="1E477C2B"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63C2ED7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Y</w:t>
            </w:r>
            <w:r w:rsidRPr="00BC37C0">
              <w:rPr>
                <w:rFonts w:asciiTheme="minorHAnsi" w:hAnsiTheme="minorHAnsi" w:cstheme="minorHAnsi"/>
                <w:sz w:val="20"/>
                <w:szCs w:val="20"/>
              </w:rPr>
              <w:t>outh</w:t>
            </w:r>
          </w:p>
          <w:p w:rsidR="00F66886" w:rsidRPr="00BC37C0" w:rsidP="00F66886" w14:paraId="481C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E49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862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33E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D0A6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438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14:paraId="04F8A288"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8B6065" w:rsidRPr="00BC37C0" w:rsidP="00F66886" w14:paraId="61EE86E6" w14:textId="6D62CEFB">
            <w:pPr>
              <w:pStyle w:val="Default"/>
              <w:rPr>
                <w:rFonts w:asciiTheme="minorHAnsi" w:hAnsiTheme="minorHAnsi" w:cstheme="minorHAnsi"/>
                <w:sz w:val="20"/>
                <w:szCs w:val="20"/>
              </w:rPr>
            </w:pPr>
            <w:r>
              <w:rPr>
                <w:rFonts w:asciiTheme="minorHAnsi" w:hAnsiTheme="minorHAnsi" w:cstheme="minorHAnsi"/>
                <w:sz w:val="20"/>
                <w:szCs w:val="20"/>
              </w:rPr>
              <w:t xml:space="preserve">Contact Information Update Requests </w:t>
            </w:r>
          </w:p>
        </w:tc>
        <w:tc>
          <w:tcPr>
            <w:tcW w:w="135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16BA1773" w14:textId="4DB4E2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350</w:t>
            </w:r>
          </w:p>
        </w:tc>
        <w:tc>
          <w:tcPr>
            <w:tcW w:w="144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7C224DD9" w14:textId="2F543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4</w:t>
            </w:r>
          </w:p>
        </w:tc>
        <w:tc>
          <w:tcPr>
            <w:tcW w:w="135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4B116B14" w14:textId="59223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7645B1CF" w14:textId="566C4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112</w:t>
            </w:r>
          </w:p>
        </w:tc>
        <w:tc>
          <w:tcPr>
            <w:tcW w:w="81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6AC34057" w14:textId="72BBD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86AB5">
              <w:rPr>
                <w:rFonts w:asciiTheme="minorHAnsi" w:hAnsiTheme="minorHAnsi" w:cstheme="minorHAnsi"/>
                <w:bCs/>
              </w:rPr>
              <w:t>37</w:t>
            </w:r>
          </w:p>
        </w:tc>
        <w:tc>
          <w:tcPr>
            <w:tcW w:w="900"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5F884A68" w14:textId="27BDF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8B6065" w:rsidRPr="00A86AB5" w:rsidP="00F66886" w14:paraId="0A9B5AD7" w14:textId="7F9BE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$28</w:t>
            </w:r>
            <w:r w:rsidR="002C3D27">
              <w:rPr>
                <w:rFonts w:asciiTheme="minorHAnsi" w:hAnsiTheme="minorHAnsi" w:cstheme="minorHAnsi"/>
                <w:bCs/>
              </w:rPr>
              <w:t>7</w:t>
            </w:r>
            <w:r>
              <w:rPr>
                <w:rFonts w:asciiTheme="minorHAnsi" w:hAnsiTheme="minorHAnsi" w:cstheme="minorHAnsi"/>
                <w:bCs/>
              </w:rPr>
              <w:t>.</w:t>
            </w:r>
            <w:r w:rsidR="002C3D27">
              <w:rPr>
                <w:rFonts w:asciiTheme="minorHAnsi" w:hAnsiTheme="minorHAnsi" w:cstheme="minorHAnsi"/>
                <w:bCs/>
              </w:rPr>
              <w:t>18</w:t>
            </w:r>
          </w:p>
        </w:tc>
      </w:tr>
      <w:tr w14:paraId="124AA5DD" w14:textId="77777777" w:rsidTr="00C125A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tcPr>
          <w:p w:rsidR="00F66886" w:rsidRPr="00BC37C0" w:rsidP="007C7DE9" w14:paraId="6277C997" w14:textId="565D4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1,502</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87D9BA5" w14:textId="7CE35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46</w:t>
            </w:r>
            <w:r w:rsidR="008E0E98">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7C7DE9" w14:paraId="340A82DA" w14:textId="548CE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12039C">
              <w:rPr>
                <w:rFonts w:asciiTheme="minorHAnsi" w:hAnsiTheme="minorHAnsi" w:cstheme="minorHAnsi"/>
                <w:bCs/>
              </w:rPr>
              <w:t>12,361.50</w:t>
            </w:r>
          </w:p>
        </w:tc>
      </w:tr>
    </w:tbl>
    <w:p w:rsidR="002A464F" w:rsidRPr="000D7288" w:rsidP="002A464F"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001D1C73" w:rsidRPr="000D7288" w:rsidP="001D1C73" w14:paraId="5B8AB35B" w14:textId="77777777">
      <w:pPr>
        <w:spacing w:after="0" w:line="240" w:lineRule="auto"/>
        <w:rPr>
          <w:sz w:val="16"/>
          <w:szCs w:val="16"/>
        </w:rPr>
      </w:pPr>
    </w:p>
    <w:p w:rsidR="001D1C73" w:rsidP="002717A1"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00E042B7" w:rsidRPr="009139B3" w:rsidP="001D1C73" w14:paraId="617A0D2D" w14:textId="77777777">
      <w:pPr>
        <w:autoSpaceDE w:val="0"/>
        <w:autoSpaceDN w:val="0"/>
        <w:adjustRightInd w:val="0"/>
        <w:spacing w:after="0" w:line="240" w:lineRule="auto"/>
        <w:rPr>
          <w:rFonts w:cstheme="minorHAnsi"/>
        </w:rPr>
      </w:pPr>
    </w:p>
    <w:p w:rsidR="0031011C" w:rsidP="007C7DE9" w14:paraId="1DB559CD" w14:textId="340919A7">
      <w:pPr>
        <w:spacing w:after="120" w:line="240" w:lineRule="auto"/>
        <w:rPr>
          <w:rFonts w:cstheme="minorHAnsi"/>
        </w:rPr>
      </w:pPr>
      <w:bookmarkStart w:id="8" w:name="_Hlk62120847"/>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404E4D" w:rsidRPr="008771C4" w:rsidP="00404E4D" w14:paraId="3524EC15" w14:textId="5704E522">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Pr="004C21C5">
        <w:t>7,373,853</w:t>
      </w:r>
      <w:r w:rsidRPr="004C21C5">
        <w:rPr>
          <w:rFonts w:cstheme="minorHAnsi"/>
        </w:rPr>
        <w:t>. Annualized costs to the federal government are estimated at $</w:t>
      </w:r>
      <w:r w:rsidRPr="004C21C5">
        <w:t>2,457,951</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A.6</w:t>
      </w:r>
      <w:r w:rsidRPr="008771C4">
        <w:rPr>
          <w:rFonts w:cstheme="minorHAnsi"/>
        </w:rPr>
        <w:t xml:space="preserve">. </w:t>
      </w:r>
      <w:r w:rsidRPr="008771C4">
        <w:rPr>
          <w:rFonts w:cstheme="minorHAnsi"/>
        </w:rPr>
        <w:t xml:space="preserve"> </w:t>
      </w:r>
    </w:p>
    <w:p w:rsidR="00560D39" w:rsidRPr="009139B3" w:rsidP="001D1C73" w14:paraId="4B018248" w14:textId="77777777">
      <w:pPr>
        <w:spacing w:after="0" w:line="240" w:lineRule="auto"/>
        <w:rPr>
          <w:rFonts w:cstheme="minorHAnsi"/>
        </w:rPr>
      </w:pPr>
    </w:p>
    <w:p w:rsidR="001D1C73" w:rsidRPr="00FC7DAE" w:rsidP="001D1C73" w14:paraId="30A9FAE4" w14:textId="093902E0">
      <w:pPr>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tblPr>
      <w:tblGrid>
        <w:gridCol w:w="4878"/>
        <w:gridCol w:w="2250"/>
      </w:tblGrid>
      <w:tr w14:paraId="03A6925A" w14:textId="77777777" w:rsidTr="003555C3">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3555C3" w14:paraId="040ACCEE" w14:textId="6481A9B5">
            <w:pPr>
              <w:spacing w:after="0"/>
              <w:rPr>
                <w:b/>
                <w:bCs/>
                <w:sz w:val="20"/>
              </w:rPr>
            </w:pPr>
            <w:r w:rsidRPr="009139B3">
              <w:rPr>
                <w:b/>
                <w:bCs/>
                <w:sz w:val="20"/>
              </w:rPr>
              <w:t xml:space="preserve">Cost </w:t>
            </w:r>
            <w:r w:rsidRPr="009139B3">
              <w:rPr>
                <w:b/>
                <w:bCs/>
                <w:sz w:val="20"/>
              </w:rPr>
              <w:t xml:space="preserve">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3555C3" w14:paraId="2D64809B" w14:textId="77777777">
            <w:pPr>
              <w:spacing w:after="0"/>
              <w:jc w:val="center"/>
              <w:rPr>
                <w:b/>
                <w:bCs/>
                <w:sz w:val="20"/>
              </w:rPr>
            </w:pPr>
            <w:r w:rsidRPr="009139B3">
              <w:rPr>
                <w:b/>
                <w:bCs/>
                <w:sz w:val="20"/>
              </w:rPr>
              <w:t>Estimated Costs</w:t>
            </w:r>
          </w:p>
        </w:tc>
      </w:tr>
      <w:tr w14:paraId="20564B7A"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8494A95" w14:textId="77777777">
            <w:pPr>
              <w:spacing w:after="0"/>
              <w:rPr>
                <w:sz w:val="20"/>
              </w:rPr>
            </w:pPr>
            <w:r w:rsidRPr="009139B3">
              <w:rPr>
                <w:sz w:val="20"/>
              </w:rP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1EBEFF56" w14:textId="1CD48954">
            <w:pPr>
              <w:spacing w:after="0"/>
              <w:jc w:val="center"/>
              <w:rPr>
                <w:sz w:val="20"/>
              </w:rPr>
            </w:pPr>
            <w:r w:rsidRPr="009139B3">
              <w:rPr>
                <w:sz w:val="20"/>
              </w:rPr>
              <w:t>$</w:t>
            </w:r>
            <w:r w:rsidR="00046C42">
              <w:rPr>
                <w:sz w:val="20"/>
              </w:rPr>
              <w:t>802,283</w:t>
            </w:r>
          </w:p>
        </w:tc>
      </w:tr>
      <w:tr w14:paraId="15425C4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99A5ADE" w14:textId="77777777">
            <w:pPr>
              <w:spacing w:after="0"/>
              <w:rPr>
                <w:rFonts w:ascii="Calibri" w:eastAsia="Calibri" w:hAnsi="Calibri" w:cs="Calibri"/>
                <w:sz w:val="20"/>
              </w:rPr>
            </w:pPr>
            <w:r w:rsidRPr="009139B3">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19CBE6F" w14:textId="74E9025E">
            <w:pPr>
              <w:spacing w:after="0"/>
              <w:jc w:val="center"/>
              <w:rPr>
                <w:sz w:val="20"/>
              </w:rPr>
            </w:pPr>
            <w:r w:rsidRPr="009139B3">
              <w:rPr>
                <w:sz w:val="20"/>
              </w:rPr>
              <w:t>$</w:t>
            </w:r>
            <w:r w:rsidR="00192FFD">
              <w:rPr>
                <w:sz w:val="20"/>
              </w:rPr>
              <w:t>5,913,439</w:t>
            </w:r>
          </w:p>
        </w:tc>
      </w:tr>
      <w:tr w14:paraId="71F20FD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3555C3" w14:paraId="2DD9D85F" w14:textId="77777777">
            <w:pPr>
              <w:spacing w:after="0"/>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3555C3" w14:paraId="194E752D" w14:textId="0FDB3575">
            <w:pPr>
              <w:spacing w:after="0"/>
              <w:jc w:val="center"/>
              <w:rPr>
                <w:sz w:val="20"/>
              </w:rPr>
            </w:pPr>
            <w:r w:rsidRPr="009139B3">
              <w:rPr>
                <w:sz w:val="20"/>
              </w:rPr>
              <w:t>$</w:t>
            </w:r>
            <w:r w:rsidR="00656A58">
              <w:rPr>
                <w:sz w:val="20"/>
              </w:rPr>
              <w:t>605,647</w:t>
            </w:r>
          </w:p>
        </w:tc>
      </w:tr>
      <w:tr w14:paraId="19E4F024" w14:textId="77777777" w:rsidTr="003555C3">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E55C846" w14:textId="77777777">
            <w:pPr>
              <w:spacing w:after="0"/>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BF10F4D" w14:textId="53BFF09F">
            <w:pPr>
              <w:spacing w:after="0"/>
              <w:jc w:val="center"/>
              <w:rPr>
                <w:sz w:val="20"/>
              </w:rPr>
            </w:pPr>
            <w:r w:rsidRPr="009139B3">
              <w:rPr>
                <w:sz w:val="20"/>
              </w:rPr>
              <w:t>$</w:t>
            </w:r>
            <w:r w:rsidR="00046C42">
              <w:rPr>
                <w:sz w:val="20"/>
              </w:rPr>
              <w:t>52,484</w:t>
            </w:r>
          </w:p>
        </w:tc>
      </w:tr>
      <w:tr w14:paraId="35F03C17"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0B43751B" w14:textId="59927EB8">
            <w:pPr>
              <w:spacing w:after="0"/>
              <w:jc w:val="center"/>
              <w:rPr>
                <w:b/>
                <w:bCs/>
                <w:sz w:val="20"/>
              </w:rPr>
            </w:pPr>
            <w:r w:rsidRPr="009139B3">
              <w:rPr>
                <w:sz w:val="20"/>
              </w:rPr>
              <w:t>$</w:t>
            </w:r>
            <w:r w:rsidR="00192FFD">
              <w:rPr>
                <w:sz w:val="20"/>
              </w:rPr>
              <w:t>7,373,853</w:t>
            </w:r>
          </w:p>
        </w:tc>
      </w:tr>
      <w:tr w14:paraId="4590F9AC"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C3E096F" w14:textId="77777777">
            <w:pPr>
              <w:spacing w:after="0"/>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2FCC150" w14:textId="2A8BC22A">
            <w:pPr>
              <w:spacing w:after="0"/>
              <w:jc w:val="center"/>
              <w:rPr>
                <w:b/>
                <w:bCs/>
                <w:sz w:val="20"/>
              </w:rPr>
            </w:pPr>
            <w:r w:rsidRPr="009139B3">
              <w:rPr>
                <w:sz w:val="20"/>
              </w:rPr>
              <w:t>$</w:t>
            </w:r>
            <w:r w:rsidR="00063FD9">
              <w:rPr>
                <w:sz w:val="20"/>
              </w:rPr>
              <w:t>2,457,951</w:t>
            </w:r>
          </w:p>
        </w:tc>
      </w:tr>
      <w:bookmarkEnd w:id="8"/>
    </w:tbl>
    <w:p w:rsidR="007C7DE9" w:rsidP="001D1C73" w14:paraId="5082D07C" w14:textId="77777777">
      <w:pPr>
        <w:spacing w:after="120" w:line="240" w:lineRule="auto"/>
        <w:rPr>
          <w:rFonts w:cstheme="minorHAnsi"/>
          <w:b/>
        </w:rPr>
      </w:pPr>
    </w:p>
    <w:p w:rsidR="001D1C73" w:rsidRPr="009139B3" w:rsidP="001D1C73" w14:paraId="60855735" w14:textId="5C29F402">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A97F4A" w:rsidRPr="00A97F4A" w:rsidP="00A97F4A" w14:paraId="05C408CD" w14:textId="2853E684">
      <w:pPr>
        <w:pStyle w:val="CommentText"/>
        <w:rPr>
          <w:sz w:val="22"/>
          <w:szCs w:val="22"/>
        </w:rPr>
      </w:pPr>
      <w:r w:rsidRPr="00A97F4A">
        <w:rPr>
          <w:sz w:val="22"/>
          <w:szCs w:val="22"/>
        </w:rPr>
        <w:t xml:space="preserve">To account for more than anticipated respondents during the first round of site visits and to reflect a similar number of respondents during the second round of site visits, we have increased the estimated number of respondents overall for the following information collections: </w:t>
      </w:r>
    </w:p>
    <w:p w:rsidR="00A97F4A" w:rsidRPr="00A97F4A" w:rsidP="00A97F4A" w14:paraId="4C924496" w14:textId="339BE51B">
      <w:pPr>
        <w:pStyle w:val="ListParagraph"/>
        <w:numPr>
          <w:ilvl w:val="0"/>
          <w:numId w:val="23"/>
        </w:numPr>
        <w:spacing w:after="0" w:line="240" w:lineRule="auto"/>
        <w:rPr>
          <w:rFonts w:cstheme="minorHAnsi"/>
        </w:rPr>
      </w:pPr>
      <w:r w:rsidRPr="00990C4D">
        <w:t>Interview Guide for Pathways Sites (Treatment Sites)</w:t>
      </w:r>
      <w:r>
        <w:t xml:space="preserve"> </w:t>
      </w:r>
    </w:p>
    <w:p w:rsidR="00A97F4A" w:rsidRPr="00A97F4A" w:rsidP="00A97F4A" w14:paraId="225E1D77" w14:textId="0ED32951">
      <w:pPr>
        <w:pStyle w:val="ListParagraph"/>
        <w:numPr>
          <w:ilvl w:val="0"/>
          <w:numId w:val="23"/>
        </w:numPr>
        <w:spacing w:after="0" w:line="240" w:lineRule="auto"/>
        <w:rPr>
          <w:rFonts w:cstheme="minorHAnsi"/>
        </w:rPr>
      </w:pPr>
      <w:r w:rsidRPr="00990C4D">
        <w:t>Interview Guide for Comparison Sites</w:t>
      </w:r>
      <w:r>
        <w:t xml:space="preserve"> </w:t>
      </w:r>
    </w:p>
    <w:p w:rsidR="00A97F4A" w:rsidRPr="00A97F4A" w:rsidP="00A97F4A" w14:paraId="0F9D1216" w14:textId="68C6B8D0">
      <w:pPr>
        <w:pStyle w:val="ListParagraph"/>
        <w:numPr>
          <w:ilvl w:val="0"/>
          <w:numId w:val="23"/>
        </w:numPr>
        <w:spacing w:after="0" w:line="240" w:lineRule="auto"/>
        <w:rPr>
          <w:rFonts w:cstheme="minorHAnsi"/>
        </w:rPr>
      </w:pPr>
      <w:r w:rsidRPr="00A97F4A">
        <w:rPr>
          <w:bCs/>
        </w:rPr>
        <w:t xml:space="preserve">Program Director Check-ins for Pathways Sites (Treatment Sites) </w:t>
      </w:r>
    </w:p>
    <w:p w:rsidR="00895863" w:rsidRPr="00A97F4A" w:rsidP="00A97F4A" w14:paraId="1658C0CB" w14:textId="02CA9348">
      <w:pPr>
        <w:pStyle w:val="ListParagraph"/>
        <w:numPr>
          <w:ilvl w:val="0"/>
          <w:numId w:val="23"/>
        </w:numPr>
        <w:spacing w:after="0" w:line="240" w:lineRule="auto"/>
        <w:rPr>
          <w:rFonts w:cstheme="minorHAnsi"/>
        </w:rPr>
      </w:pPr>
      <w:r w:rsidRPr="00A97F4A">
        <w:rPr>
          <w:bCs/>
        </w:rPr>
        <w:t xml:space="preserve">Program Director Check-ins for Comparison Sites </w:t>
      </w:r>
    </w:p>
    <w:p w:rsidR="00C125AC" w:rsidP="001D1C73" w14:paraId="4BFB44DD" w14:textId="018DC29B">
      <w:pPr>
        <w:spacing w:after="0" w:line="240" w:lineRule="auto"/>
        <w:rPr>
          <w:rFonts w:cstheme="minorHAnsi"/>
        </w:rPr>
      </w:pPr>
    </w:p>
    <w:p w:rsidR="001D1C73" w:rsidP="001D1C73" w14:paraId="69096039" w14:textId="4585042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68353C" w:rsidRPr="00C125AC" w:rsidP="00C125AC" w14:paraId="74DE80CA" w14:textId="38DE7C3A">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r:id="rId9" w:history="1">
        <w:r>
          <w:rPr>
            <w:rStyle w:val="Hyperlink"/>
          </w:rPr>
          <w:t>NDACAN (hhs.gov)</w:t>
        </w:r>
      </w:hyperlink>
      <w:r>
        <w:rPr>
          <w:rFonts w:eastAsia="Calibri"/>
        </w:rPr>
        <w:t>.</w:t>
      </w:r>
    </w:p>
    <w:p w:rsidR="00D22777" w:rsidRPr="00C125AC" w:rsidP="00C125AC"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tblPr>
      <w:tblGrid>
        <w:gridCol w:w="5210"/>
        <w:gridCol w:w="4410"/>
      </w:tblGrid>
      <w:tr w14:paraId="4B778F8B" w14:textId="77777777" w:rsidTr="00C125AC">
        <w:tblPrEx>
          <w:tblW w:w="9620" w:type="dxa"/>
          <w:tblCellMar>
            <w:left w:w="0" w:type="dxa"/>
            <w:right w:w="0" w:type="dxa"/>
          </w:tblCellMar>
          <w:tblLook w:val="04A0"/>
        </w:tblPrEx>
        <w:trPr>
          <w:cantSplit/>
        </w:trPr>
        <w:tc>
          <w:tcPr>
            <w:tcW w:w="5210" w:type="dxa"/>
            <w:tcBorders>
              <w:top w:val="nil"/>
              <w:left w:val="single" w:sz="8" w:space="0" w:color="D9D9D9"/>
              <w:bottom w:val="single" w:sz="8" w:space="0" w:color="D9D9D9"/>
              <w:right w:val="single" w:sz="8" w:space="0" w:color="D9D9D9"/>
            </w:tcBorders>
            <w:shd w:val="clear" w:color="auto" w:fill="0A357E"/>
            <w:tcMar>
              <w:top w:w="0" w:type="dxa"/>
              <w:left w:w="86" w:type="dxa"/>
              <w:bottom w:w="0" w:type="dxa"/>
              <w:right w:w="86" w:type="dxa"/>
            </w:tcMar>
            <w:vAlign w:val="center"/>
            <w:hideMark/>
          </w:tcPr>
          <w:p w:rsidR="00D22777" w:rsidRPr="00C125AC" w:rsidP="00C125AC" w14:paraId="375FEDAB" w14:textId="77777777">
            <w:pPr>
              <w:rPr>
                <w:sz w:val="20"/>
                <w:szCs w:val="20"/>
              </w:rPr>
            </w:pPr>
            <w:bookmarkStart w:id="9" w:name="_Hlk63170597"/>
            <w:r w:rsidRPr="00C125AC">
              <w:rPr>
                <w:sz w:val="20"/>
                <w:szCs w:val="20"/>
              </w:rPr>
              <w:t>Project Activity</w:t>
            </w:r>
          </w:p>
        </w:tc>
        <w:tc>
          <w:tcPr>
            <w:tcW w:w="4410" w:type="dxa"/>
            <w:tcBorders>
              <w:top w:val="nil"/>
              <w:left w:val="nil"/>
              <w:bottom w:val="single" w:sz="8" w:space="0" w:color="D9D9D9"/>
              <w:right w:val="nil"/>
            </w:tcBorders>
            <w:shd w:val="clear" w:color="auto" w:fill="0A357E"/>
            <w:tcMar>
              <w:top w:w="0" w:type="dxa"/>
              <w:left w:w="86" w:type="dxa"/>
              <w:bottom w:w="0" w:type="dxa"/>
              <w:right w:w="86" w:type="dxa"/>
            </w:tcMar>
            <w:vAlign w:val="center"/>
            <w:hideMark/>
          </w:tcPr>
          <w:p w:rsidR="00D22777" w:rsidRPr="00C125AC" w14:paraId="762D85EB" w14:textId="0763D124">
            <w:pPr>
              <w:pStyle w:val="TableHeaders"/>
              <w:spacing w:line="276" w:lineRule="auto"/>
            </w:pPr>
            <w:r w:rsidRPr="00C125AC">
              <w:rPr>
                <w:color w:val="FFFFFF"/>
              </w:rPr>
              <w:t xml:space="preserve">Time </w:t>
            </w:r>
            <w:r w:rsidRPr="00C125AC" w:rsidR="002C007A">
              <w:rPr>
                <w:color w:val="FFFFFF"/>
              </w:rPr>
              <w:t>Period</w:t>
            </w:r>
          </w:p>
        </w:tc>
      </w:tr>
      <w:tr w14:paraId="14A6762B" w14:textId="77777777" w:rsidTr="00C125AC">
        <w:tblPrEx>
          <w:tblW w:w="9620" w:type="dxa"/>
          <w:tblCellMar>
            <w:left w:w="0" w:type="dxa"/>
            <w:right w:w="0" w:type="dxa"/>
          </w:tblCellMar>
          <w:tblLook w:val="04A0"/>
        </w:tblPrEx>
        <w:trPr>
          <w:cantSplit/>
        </w:trPr>
        <w:tc>
          <w:tcPr>
            <w:tcW w:w="9620" w:type="dxa"/>
            <w:gridSpan w:val="2"/>
            <w:tcBorders>
              <w:top w:val="nil"/>
              <w:left w:val="single" w:sz="8" w:space="0" w:color="D9D9D9"/>
              <w:bottom w:val="single" w:sz="4" w:space="0" w:color="auto"/>
              <w:right w:val="single" w:sz="8" w:space="0" w:color="D9D9D9"/>
            </w:tcBorders>
            <w:shd w:val="clear" w:color="auto" w:fill="auto"/>
            <w:tcMar>
              <w:top w:w="0" w:type="dxa"/>
              <w:left w:w="86" w:type="dxa"/>
              <w:bottom w:w="0" w:type="dxa"/>
              <w:right w:w="86" w:type="dxa"/>
            </w:tcMar>
            <w:vAlign w:val="center"/>
          </w:tcPr>
          <w:p w:rsidR="00323821" w:rsidRPr="00C125AC" w:rsidP="00C125AC" w14:paraId="69FFC7F2" w14:textId="290557E7">
            <w:pPr>
              <w:spacing w:before="40" w:after="60"/>
              <w:jc w:val="center"/>
              <w:rPr>
                <w:b/>
                <w:bCs/>
                <w:sz w:val="20"/>
                <w:szCs w:val="20"/>
              </w:rPr>
            </w:pPr>
            <w:r w:rsidRPr="00C125AC">
              <w:rPr>
                <w:b/>
                <w:bCs/>
                <w:sz w:val="20"/>
                <w:szCs w:val="20"/>
              </w:rPr>
              <w:t>Impact Study</w:t>
            </w:r>
          </w:p>
        </w:tc>
      </w:tr>
      <w:tr w14:paraId="5A17E154"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AC4C720" w14:textId="6D4703FD">
            <w:pPr>
              <w:pStyle w:val="TableText"/>
              <w:spacing w:after="80" w:line="276" w:lineRule="auto"/>
            </w:pPr>
            <w:r w:rsidRPr="00C125AC">
              <w:t>30</w:t>
            </w:r>
            <w:r w:rsidRPr="00C125AC" w:rsidR="00566146">
              <w:t xml:space="preserve"> </w:t>
            </w:r>
            <w:r w:rsidRPr="00C125AC">
              <w:t>months, following OMB approval</w:t>
            </w:r>
          </w:p>
        </w:tc>
      </w:tr>
      <w:tr w14:paraId="0110DE58"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70AB921A" w14:textId="402548CA">
            <w:pPr>
              <w:pStyle w:val="TableText"/>
              <w:spacing w:after="80" w:line="276" w:lineRule="auto"/>
            </w:pPr>
            <w:r w:rsidRPr="00C125AC">
              <w:t>48</w:t>
            </w:r>
            <w:r w:rsidRPr="00C125AC">
              <w:t xml:space="preserve"> months, </w:t>
            </w:r>
            <w:r w:rsidRPr="00C125AC" w:rsidR="00045189">
              <w:t>beginning 6 months after baseline</w:t>
            </w:r>
            <w:r w:rsidRPr="00C125AC" w:rsidR="00C5420A">
              <w:rPr>
                <w:vertAlign w:val="superscript"/>
              </w:rPr>
              <w:t>+</w:t>
            </w:r>
          </w:p>
        </w:tc>
      </w:tr>
      <w:tr w14:paraId="785F9CF6"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2C3106" w14:textId="77777777">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7761A764" w14:textId="1B5B1332">
            <w:pPr>
              <w:pStyle w:val="TableText"/>
              <w:spacing w:after="80" w:line="276" w:lineRule="auto"/>
            </w:pPr>
            <w:r w:rsidRPr="00C125AC">
              <w:t xml:space="preserve">36 </w:t>
            </w:r>
            <w:r w:rsidRPr="00C125AC">
              <w:t xml:space="preserve">months, </w:t>
            </w:r>
            <w:r w:rsidRPr="00C125AC" w:rsidR="002C007A">
              <w:t xml:space="preserve">3–6 </w:t>
            </w:r>
            <w:r w:rsidRPr="00C125AC" w:rsidR="00A87EEE">
              <w:t xml:space="preserve">months after </w:t>
            </w:r>
            <w:r w:rsidRPr="00C125AC">
              <w:t>data collection</w:t>
            </w:r>
            <w:r w:rsidRPr="00C125AC" w:rsidR="00A87EEE">
              <w:t xml:space="preserve"> begins</w:t>
            </w:r>
          </w:p>
        </w:tc>
      </w:tr>
      <w:tr w14:paraId="6B8D4851"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07159077" w14:textId="77777777">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14:paraId="5BF34BCD"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61C3800" w14:textId="77777777">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14:paraId="6558C94A" w14:textId="77777777" w:rsidTr="00C125AC">
        <w:tblPrEx>
          <w:tblW w:w="9620" w:type="dxa"/>
          <w:tblCellMar>
            <w:left w:w="0" w:type="dxa"/>
            <w:right w:w="0" w:type="dxa"/>
          </w:tblCellMar>
          <w:tblLook w:val="04A0"/>
        </w:tblPrEx>
        <w:trPr>
          <w:cantSplit/>
          <w:trHeight w:val="484"/>
        </w:trPr>
        <w:tc>
          <w:tcPr>
            <w:tcW w:w="9620" w:type="dxa"/>
            <w:gridSpan w:val="2"/>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4A3EC6AD" w14:textId="2BCAD77F">
            <w:pPr>
              <w:spacing w:before="40" w:after="60"/>
              <w:jc w:val="center"/>
              <w:rPr>
                <w:b/>
                <w:bCs/>
                <w:sz w:val="20"/>
                <w:szCs w:val="20"/>
              </w:rPr>
            </w:pPr>
            <w:bookmarkStart w:id="10" w:name="_Hlk62731305"/>
            <w:r w:rsidRPr="00C125AC">
              <w:rPr>
                <w:b/>
                <w:bCs/>
                <w:sz w:val="20"/>
                <w:szCs w:val="20"/>
              </w:rPr>
              <w:t>Implementation Study</w:t>
            </w:r>
          </w:p>
        </w:tc>
      </w:tr>
      <w:tr w14:paraId="1AA65B3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561C6ACC" w14:textId="4A6C5619">
            <w:pPr>
              <w:spacing w:after="80"/>
              <w:rPr>
                <w:sz w:val="20"/>
                <w:szCs w:val="20"/>
              </w:rPr>
            </w:pPr>
            <w:r w:rsidRPr="00C125AC">
              <w:rPr>
                <w:sz w:val="20"/>
                <w:szCs w:val="20"/>
              </w:rPr>
              <w:t>D</w:t>
            </w:r>
            <w:r w:rsidRPr="00C125AC">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14:paraId="0F0155DE"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3ED86757" w14:textId="7926637F">
            <w:pPr>
              <w:pStyle w:val="TableText"/>
              <w:spacing w:after="80" w:line="276" w:lineRule="auto"/>
            </w:pPr>
            <w:r w:rsidRPr="00C125AC">
              <w:t>1 month, about 12 months after enrollment begins</w:t>
            </w:r>
          </w:p>
        </w:tc>
      </w:tr>
      <w:bookmarkEnd w:id="10"/>
      <w:tr w14:paraId="28A7F6EA"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33FA6957" w14:textId="55EBF270">
            <w:pPr>
              <w:pStyle w:val="TableText"/>
              <w:spacing w:after="80" w:line="276" w:lineRule="auto"/>
            </w:pPr>
            <w:r w:rsidRPr="00C125AC">
              <w:t xml:space="preserve">2–3 months, 18–20 </w:t>
            </w:r>
            <w:r w:rsidRPr="00C125AC">
              <w:t>months after enrollment begins</w:t>
            </w:r>
          </w:p>
        </w:tc>
      </w:tr>
      <w:tr w14:paraId="61746EAC"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5CFC9888" w14:textId="17B4CDEE">
            <w:pPr>
              <w:pStyle w:val="TableText"/>
              <w:spacing w:after="80" w:line="276" w:lineRule="auto"/>
            </w:pPr>
            <w:r w:rsidRPr="00C125AC">
              <w:t xml:space="preserve">1 month, about 24 months after enrollment begins </w:t>
            </w:r>
          </w:p>
        </w:tc>
      </w:tr>
      <w:tr w14:paraId="5CE5B388"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51A301D7" w14:textId="7F6E18B1">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758A7CE1" w14:textId="0FFC12B9">
            <w:pPr>
              <w:pStyle w:val="TableText"/>
              <w:spacing w:after="80" w:line="276" w:lineRule="auto"/>
            </w:pPr>
            <w:r w:rsidRPr="00C125AC">
              <w:t xml:space="preserve">6–12 </w:t>
            </w:r>
            <w:r w:rsidRPr="00C125AC" w:rsidR="00D435C0">
              <w:t>months after data collection begins</w:t>
            </w:r>
          </w:p>
        </w:tc>
      </w:tr>
      <w:tr w14:paraId="65D9CE42"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2118BB0E" w14:textId="5D3C2A3C">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CCCBF75" w14:textId="71F56AB8">
            <w:pPr>
              <w:pStyle w:val="TableText"/>
              <w:spacing w:after="80" w:line="276" w:lineRule="auto"/>
            </w:pPr>
            <w:r w:rsidRPr="00C125AC">
              <w:t xml:space="preserve">About 6 months after completion of data analysis </w:t>
            </w:r>
          </w:p>
        </w:tc>
      </w:tr>
      <w:tr w14:paraId="7471BD94"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0595415C" w14:textId="10BF4B61">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9F91A46" w14:textId="68D3AAD2">
            <w:pPr>
              <w:pStyle w:val="TableText"/>
              <w:spacing w:after="80" w:line="276" w:lineRule="auto"/>
            </w:pPr>
            <w:r w:rsidRPr="00C125AC">
              <w:t>About 9 months after completion of data analysis</w:t>
            </w:r>
          </w:p>
        </w:tc>
      </w:tr>
    </w:tbl>
    <w:bookmarkEnd w:id="9"/>
    <w:p w:rsidR="00385459" w:rsidRPr="00B12279" w:rsidP="00385459" w14:paraId="7E7A5A7E" w14:textId="0019DB96">
      <w:pPr>
        <w:pStyle w:val="CommentText"/>
        <w:spacing w:after="0"/>
        <w:rPr>
          <w:iCs/>
          <w:sz w:val="16"/>
          <w:szCs w:val="16"/>
          <w:vertAlign w:val="superscript"/>
        </w:rPr>
      </w:pPr>
      <w:r>
        <w:rPr>
          <w:vertAlign w:val="superscript"/>
        </w:rPr>
        <w:t>+</w:t>
      </w:r>
      <w:r w:rsidR="002C007A">
        <w:rPr>
          <w:vertAlign w:val="superscript"/>
        </w:rPr>
        <w:t xml:space="preserve"> </w:t>
      </w:r>
      <w:r w:rsidRP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w:t>
      </w:r>
      <w:r w:rsidR="00176E15">
        <w:rPr>
          <w:sz w:val="16"/>
          <w:szCs w:val="16"/>
        </w:rPr>
        <w:t>6 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 xml:space="preserve">); and </w:t>
      </w:r>
      <w:r w:rsidR="00CC00BC">
        <w:rPr>
          <w:sz w:val="16"/>
          <w:szCs w:val="16"/>
        </w:rPr>
        <w:t xml:space="preserve">the </w:t>
      </w:r>
      <w:r w:rsidR="00A84739">
        <w:rPr>
          <w:sz w:val="16"/>
          <w:szCs w:val="16"/>
        </w:rPr>
        <w:t>24 month</w:t>
      </w:r>
      <w:r w:rsidR="00CC00BC">
        <w:rPr>
          <w:sz w:val="16"/>
          <w:szCs w:val="16"/>
        </w:rPr>
        <w:t xml:space="preserve"> follow-up survey</w:t>
      </w:r>
      <w:r w:rsidR="00A84739">
        <w:rPr>
          <w:sz w:val="16"/>
          <w:szCs w:val="16"/>
        </w:rPr>
        <w:t xml:space="preserve"> (to begin 24</w:t>
      </w:r>
      <w:r w:rsidR="009D418C">
        <w:rPr>
          <w:sz w:val="16"/>
          <w:szCs w:val="16"/>
        </w:rPr>
        <w:t xml:space="preserve"> </w:t>
      </w:r>
      <w:r w:rsidR="00A84739">
        <w:rPr>
          <w:sz w:val="16"/>
          <w:szCs w:val="16"/>
        </w:rPr>
        <w:t>months after baseline</w:t>
      </w:r>
      <w:r w:rsidR="00CC00BC">
        <w:rPr>
          <w:sz w:val="16"/>
          <w:szCs w:val="16"/>
        </w:rPr>
        <w:t xml:space="preserve"> and continue for</w:t>
      </w:r>
      <w:r w:rsidR="00E074DF">
        <w:rPr>
          <w:sz w:val="16"/>
          <w:szCs w:val="16"/>
        </w:rPr>
        <w:t xml:space="preserve"> </w:t>
      </w:r>
      <w:r w:rsidR="00760666">
        <w:rPr>
          <w:sz w:val="16"/>
          <w:szCs w:val="16"/>
        </w:rPr>
        <w:t xml:space="preserve">24 </w:t>
      </w:r>
      <w:r w:rsidR="00CC00BC">
        <w:rPr>
          <w:sz w:val="16"/>
          <w:szCs w:val="16"/>
        </w:rPr>
        <w:t>months</w:t>
      </w:r>
      <w:r w:rsidR="00A84739">
        <w:rPr>
          <w:sz w:val="16"/>
          <w:szCs w:val="16"/>
        </w:rPr>
        <w:t>).</w:t>
      </w:r>
      <w:r w:rsidR="00B12279">
        <w:rPr>
          <w:sz w:val="16"/>
          <w:szCs w:val="16"/>
        </w:rPr>
        <w:t xml:space="preserve"> </w:t>
      </w:r>
      <w:r w:rsidRPr="00B12279" w:rsidR="00B12279">
        <w:rPr>
          <w:sz w:val="16"/>
          <w:szCs w:val="16"/>
        </w:rPr>
        <w:t>Data collection for the 24-month follow-up is likely to extend beyond 3 years. A request to continue data collection will be submitted prior to the expiration date of OMB approval.</w:t>
      </w:r>
      <w:r w:rsidRPr="00B12279" w:rsidR="00A84739">
        <w:rPr>
          <w:sz w:val="16"/>
          <w:szCs w:val="16"/>
        </w:rPr>
        <w:t xml:space="preserve"> </w:t>
      </w:r>
    </w:p>
    <w:p w:rsidR="00395CA2" w:rsidP="001D1C73" w14:paraId="25D6E99D" w14:textId="77777777">
      <w:pPr>
        <w:spacing w:after="120" w:line="240" w:lineRule="auto"/>
        <w:rPr>
          <w:rFonts w:cstheme="minorHAnsi"/>
          <w:b/>
        </w:rPr>
      </w:pPr>
    </w:p>
    <w:p w:rsidR="001D1C73" w:rsidRPr="009139B3" w:rsidP="001D1C73" w14:paraId="48C4ACC5" w14:textId="2D8015F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7C7DE9" w14:paraId="7C83E739" w14:textId="77777777">
      <w:pPr>
        <w:rPr>
          <w:b/>
        </w:rPr>
      </w:pPr>
      <w:r>
        <w:rPr>
          <w:b/>
        </w:rPr>
        <w:br w:type="page"/>
      </w:r>
    </w:p>
    <w:p w:rsidR="007C7DE9" w:rsidP="001D1C73" w14:paraId="21106F30" w14:textId="77777777">
      <w:pPr>
        <w:spacing w:after="120" w:line="240" w:lineRule="auto"/>
        <w:rPr>
          <w:b/>
        </w:rPr>
      </w:pPr>
    </w:p>
    <w:p w:rsidR="001D1C73" w:rsidP="001D1C73" w14:paraId="7BED44AA" w14:textId="6B4A6BA4">
      <w:pPr>
        <w:spacing w:after="120" w:line="240" w:lineRule="auto"/>
        <w:rPr>
          <w:b/>
        </w:rPr>
      </w:pPr>
      <w:r w:rsidRPr="009139B3">
        <w:rPr>
          <w:b/>
        </w:rPr>
        <w:t>Attachments</w:t>
      </w:r>
    </w:p>
    <w:p w:rsidR="000C4613" w:rsidP="000C4613" w14:paraId="77091181" w14:textId="77777777">
      <w:pPr>
        <w:spacing w:after="0"/>
      </w:pPr>
      <w:r>
        <w:t>Instrument 1: SYSIL Youth Survey (Baseline and Follow-Ups 1-3)</w:t>
      </w:r>
    </w:p>
    <w:p w:rsidR="000C4613" w:rsidP="000C4613" w14:paraId="31F16C56" w14:textId="77777777">
      <w:pPr>
        <w:spacing w:after="0" w:line="240" w:lineRule="auto"/>
      </w:pPr>
      <w:r>
        <w:t xml:space="preserve">Instrument 2: Interview Guide </w:t>
      </w:r>
      <w:r>
        <w:tab/>
      </w:r>
    </w:p>
    <w:p w:rsidR="000C4613" w:rsidP="000C4613" w14:paraId="15D5FD6E" w14:textId="77777777">
      <w:pPr>
        <w:spacing w:after="0" w:line="240" w:lineRule="auto"/>
      </w:pPr>
      <w:r>
        <w:tab/>
        <w:t xml:space="preserve">2a: Interview Guide (Treatment Sites) </w:t>
      </w:r>
    </w:p>
    <w:p w:rsidR="000C4613" w:rsidP="000C4613" w14:paraId="4D6824CD" w14:textId="77777777">
      <w:pPr>
        <w:spacing w:after="0" w:line="240" w:lineRule="auto"/>
      </w:pPr>
      <w:r>
        <w:tab/>
        <w:t>2b:</w:t>
      </w:r>
      <w:r w:rsidRPr="00624F49">
        <w:t xml:space="preserve"> </w:t>
      </w:r>
      <w:r>
        <w:t>Interview Guide (Comparison Sites)</w:t>
      </w:r>
    </w:p>
    <w:p w:rsidR="000C4613" w:rsidP="000C4613" w14:paraId="2F589D06" w14:textId="77777777">
      <w:pPr>
        <w:spacing w:after="0" w:line="240" w:lineRule="auto"/>
      </w:pPr>
      <w:r>
        <w:t>Instrument 3: Program Director Check-ins</w:t>
      </w:r>
      <w:r>
        <w:tab/>
      </w:r>
    </w:p>
    <w:p w:rsidR="000C4613" w:rsidP="000C4613" w14:paraId="758CACC5" w14:textId="77777777">
      <w:pPr>
        <w:spacing w:after="0" w:line="240" w:lineRule="auto"/>
      </w:pPr>
      <w:r>
        <w:tab/>
        <w:t>3a: Program Director Check-ins (Treatment Sites)</w:t>
      </w:r>
    </w:p>
    <w:p w:rsidR="000C4613" w:rsidP="000C4613" w14:paraId="30CCE73F" w14:textId="77777777">
      <w:pPr>
        <w:spacing w:after="0" w:line="240" w:lineRule="auto"/>
      </w:pPr>
      <w:r>
        <w:tab/>
        <w:t>3b:</w:t>
      </w:r>
      <w:r w:rsidRPr="00624F49">
        <w:t xml:space="preserve"> </w:t>
      </w:r>
      <w:r>
        <w:t>Program Director Check-ins (Comparison Sites)</w:t>
      </w:r>
    </w:p>
    <w:p w:rsidR="000C4613" w:rsidP="000C4613" w14:paraId="3FD02218" w14:textId="77777777">
      <w:pPr>
        <w:spacing w:after="0" w:line="240" w:lineRule="auto"/>
      </w:pPr>
      <w:r>
        <w:t xml:space="preserve">Instrument 4: Focus Group Guide </w:t>
      </w:r>
      <w:r>
        <w:tab/>
      </w:r>
    </w:p>
    <w:p w:rsidR="000C4613" w:rsidP="000C4613" w14:paraId="2EB8D420" w14:textId="77777777">
      <w:pPr>
        <w:spacing w:after="0" w:line="240" w:lineRule="auto"/>
      </w:pPr>
      <w:r>
        <w:tab/>
        <w:t xml:space="preserve">4a: Focus Group Guide (Treatment Youth) </w:t>
      </w:r>
    </w:p>
    <w:p w:rsidR="00E65CC6" w:rsidP="000C4613" w14:paraId="313797DF" w14:textId="50539727">
      <w:pPr>
        <w:spacing w:after="0" w:line="240" w:lineRule="auto"/>
      </w:pPr>
      <w:r>
        <w:tab/>
        <w:t>4b:</w:t>
      </w:r>
      <w:r w:rsidRPr="00624F49">
        <w:t xml:space="preserve"> </w:t>
      </w:r>
      <w:r>
        <w:t>Focus Group Guide (Comparison Youth)</w:t>
      </w:r>
    </w:p>
    <w:p w:rsidR="00C820A0" w:rsidP="000C4613" w14:paraId="31DA8D28" w14:textId="32E52AEF">
      <w:pPr>
        <w:spacing w:after="0" w:line="240" w:lineRule="auto"/>
      </w:pPr>
      <w:r>
        <w:t xml:space="preserve">Instrument 5: Contact Information Update Request </w:t>
      </w:r>
    </w:p>
    <w:p w:rsidR="0065231D" w:rsidP="00F342C0" w14:paraId="1875551C" w14:textId="0CC40C5E">
      <w:pPr>
        <w:spacing w:after="0"/>
      </w:pPr>
      <w:r>
        <w:t xml:space="preserve">Appendix </w:t>
      </w:r>
      <w:r w:rsidR="008101FD">
        <w:t>A</w:t>
      </w:r>
      <w:r w:rsidR="00A20059">
        <w:t xml:space="preserve">: </w:t>
      </w:r>
      <w:r w:rsidR="00427F4D">
        <w:t>Consent</w:t>
      </w:r>
      <w:r w:rsidR="00680BA8">
        <w:t xml:space="preserve"> and </w:t>
      </w:r>
      <w:r w:rsidR="00427F4D">
        <w:t>Assent Forms</w:t>
      </w:r>
    </w:p>
    <w:p w:rsidR="00427F4D" w:rsidP="00F342C0" w14:paraId="46FDC1F9" w14:textId="581B1909">
      <w:pPr>
        <w:spacing w:after="0"/>
      </w:pPr>
      <w:r>
        <w:t xml:space="preserve">Appendix </w:t>
      </w:r>
      <w:r w:rsidR="008101FD">
        <w:t>B</w:t>
      </w:r>
      <w:r>
        <w:t xml:space="preserve">: List of </w:t>
      </w:r>
      <w:r w:rsidR="002C007A">
        <w:t>Surveys R</w:t>
      </w:r>
      <w:r>
        <w:t xml:space="preserve">eferenced </w:t>
      </w:r>
    </w:p>
    <w:p w:rsidR="008101FD" w:rsidP="00F342C0" w14:paraId="7989BC0A" w14:textId="28426A47">
      <w:pPr>
        <w:spacing w:after="0"/>
      </w:pPr>
      <w:r>
        <w:t>Appendix C: Emails and Text for Outreach to Youth</w:t>
      </w:r>
    </w:p>
    <w:p w:rsidR="00864DAA" w:rsidP="00F342C0" w14:paraId="16F3F1B3" w14:textId="3E92861B">
      <w:pPr>
        <w:spacing w:after="0"/>
      </w:pPr>
      <w:r>
        <w:t>Appendix D: One-page Informational Documents for Implementation Study</w:t>
      </w:r>
    </w:p>
    <w:p w:rsidR="00FA125E" w:rsidP="003C4292" w14:paraId="423E770B" w14:textId="3F72E3CF">
      <w:pPr>
        <w:spacing w:after="120" w:line="240" w:lineRule="auto"/>
        <w:rPr>
          <w:b/>
        </w:rPr>
      </w:pPr>
    </w:p>
    <w:p w:rsidR="00C125AC" w:rsidP="003C4292" w14:paraId="359A5FB4" w14:textId="77777777">
      <w:pPr>
        <w:spacing w:after="120" w:line="240" w:lineRule="auto"/>
        <w:rPr>
          <w:b/>
        </w:rPr>
      </w:pPr>
    </w:p>
    <w:p w:rsidR="00FE2A26" w:rsidP="00EC76ED" w14:paraId="0B2AD0C4" w14:textId="62F9E188">
      <w:pPr>
        <w:spacing w:after="120" w:line="240" w:lineRule="auto"/>
        <w:jc w:val="center"/>
        <w:rPr>
          <w:b/>
        </w:rPr>
      </w:pPr>
      <w:r w:rsidRPr="003C4292">
        <w:rPr>
          <w:b/>
        </w:rPr>
        <w:t>References</w:t>
      </w:r>
    </w:p>
    <w:p w:rsidR="00EC76ED" w:rsidRPr="00EC76ED" w:rsidP="00EC76ED" w14:paraId="274DFBEB" w14:textId="77777777">
      <w:pPr>
        <w:spacing w:after="120" w:line="240" w:lineRule="auto"/>
        <w:jc w:val="center"/>
        <w:rPr>
          <w:b/>
        </w:rPr>
      </w:pPr>
    </w:p>
    <w:p w:rsidR="00A3677D" w:rsidP="00FE2A26"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00DE70AC" w:rsidRPr="003375AF" w:rsidP="003375AF" w14:paraId="2956AA88" w14:textId="2B76FD36">
      <w:pPr>
        <w:pStyle w:val="References"/>
        <w:widowControl w:val="0"/>
        <w:rPr>
          <w:rFonts w:asciiTheme="minorHAnsi" w:hAnsiTheme="minorHAnsi" w:cstheme="minorHAnsi"/>
          <w:sz w:val="22"/>
          <w:szCs w:val="22"/>
        </w:rPr>
      </w:pPr>
      <w:r w:rsidRPr="003375AF">
        <w:rPr>
          <w:rFonts w:asciiTheme="minorHAnsi" w:hAnsiTheme="minorHAnsi" w:cstheme="minorHAnsi"/>
          <w:sz w:val="22"/>
          <w:szCs w:val="22"/>
        </w:rPr>
        <w:t xml:space="preserve">Couper, M.P. (2008). </w:t>
      </w:r>
      <w:r w:rsidRPr="003375AF">
        <w:rPr>
          <w:rFonts w:asciiTheme="minorHAnsi" w:hAnsiTheme="minorHAnsi" w:cstheme="minorHAnsi"/>
          <w:i/>
          <w:iCs/>
          <w:sz w:val="22"/>
          <w:szCs w:val="22"/>
        </w:rPr>
        <w:t>Designing effective web surveys</w:t>
      </w:r>
      <w:r w:rsidRPr="003375AF">
        <w:rPr>
          <w:rFonts w:asciiTheme="minorHAnsi" w:hAnsiTheme="minorHAnsi" w:cstheme="minorHAnsi"/>
          <w:sz w:val="22"/>
          <w:szCs w:val="22"/>
        </w:rPr>
        <w:t>. Cambridge, UK: Cambridge University Press.</w:t>
      </w:r>
    </w:p>
    <w:p w:rsidR="001D1248" w:rsidRPr="00EC76ED" w:rsidP="00EC76ED" w14:paraId="2B325AA2" w14:textId="1E39C566">
      <w:pPr>
        <w:pStyle w:val="References"/>
        <w:widowControl w:val="0"/>
        <w:rPr>
          <w:rFonts w:asciiTheme="minorHAnsi" w:hAnsiTheme="minorHAnsi"/>
          <w:sz w:val="22"/>
          <w:szCs w:val="22"/>
        </w:rPr>
      </w:pPr>
      <w:r w:rsidRPr="00AB32C2">
        <w:rPr>
          <w:rFonts w:asciiTheme="minorHAnsi" w:hAnsiTheme="minorHAnsi"/>
          <w:sz w:val="22"/>
          <w:szCs w:val="22"/>
        </w:rPr>
        <w:t>Dion, R., A. Dworsky, J. Kauff, and R. Kleinman. “Housing for Youth Aging Out of Foster Care.” Washington, DC: Mathematica Policy Research, 2014.</w:t>
      </w:r>
    </w:p>
    <w:p w:rsidR="00A3677D" w:rsidRPr="00A3677D" w:rsidP="00A3677D" w14:paraId="7588CFE0" w14:textId="77777777">
      <w:pPr>
        <w:spacing w:after="240" w:line="240" w:lineRule="auto"/>
        <w:rPr>
          <w:rFonts w:ascii="Calibri" w:eastAsia="Times New Roman" w:hAnsi="Calibri" w:cs="Calibri"/>
          <w:color w:val="333333"/>
        </w:rPr>
      </w:pPr>
      <w:r w:rsidRPr="00A3677D">
        <w:rPr>
          <w:rFonts w:ascii="Calibri" w:eastAsia="Times New Roman" w:hAnsi="Calibri" w:cs="Calibri"/>
          <w:color w:val="333333"/>
          <w:shd w:val="clear" w:color="auto" w:fill="FFFFFF"/>
        </w:rPr>
        <w:t xml:space="preserve">Oh, A.Y., A. </w:t>
      </w:r>
      <w:r w:rsidRPr="00A3677D">
        <w:rPr>
          <w:rFonts w:ascii="Calibri" w:eastAsia="Times New Roman" w:hAnsi="Calibri" w:cs="Calibri"/>
          <w:color w:val="333333"/>
          <w:shd w:val="clear" w:color="auto" w:fill="FFFFFF"/>
        </w:rPr>
        <w:t>Caporaso</w:t>
      </w:r>
      <w:r w:rsidRPr="00A3677D">
        <w:rPr>
          <w:rFonts w:ascii="Calibri" w:eastAsia="Times New Roman" w:hAnsi="Calibri" w:cs="Calibri"/>
          <w:color w:val="333333"/>
          <w:shd w:val="clear" w:color="auto" w:fill="FFFFFF"/>
        </w:rPr>
        <w:t xml:space="preserve">, T. Davis, L. A. Dwyer, L. C. </w:t>
      </w:r>
      <w:r w:rsidRPr="00A3677D">
        <w:rPr>
          <w:rFonts w:ascii="Calibri" w:eastAsia="Times New Roman" w:hAnsi="Calibri" w:cs="Calibri"/>
          <w:color w:val="333333"/>
          <w:shd w:val="clear" w:color="auto" w:fill="FFFFFF"/>
        </w:rPr>
        <w:t>Nebling</w:t>
      </w:r>
      <w:r w:rsidRPr="00A3677D">
        <w:rPr>
          <w:rFonts w:ascii="Calibri" w:eastAsia="Times New Roman" w:hAnsi="Calibri" w:cs="Calibri"/>
          <w:color w:val="333333"/>
          <w:shd w:val="clear" w:color="auto" w:fill="FFFFFF"/>
        </w:rPr>
        <w:t xml:space="preserve">, B. Liu, and E. Hennessy. “Adolescents’ Participation in an Accelerometer Data Collection Component of a National Survey”. Field Methods (2021). </w:t>
      </w:r>
    </w:p>
    <w:p w:rsidR="00A3677D" w:rsidP="002C2418" w14:paraId="09DD3622" w14:textId="47028250">
      <w:pPr>
        <w:pStyle w:val="Reference"/>
        <w:spacing w:after="120"/>
        <w:rPr>
          <w:rFonts w:eastAsiaTheme="minorEastAsia"/>
          <w:color w:val="131413"/>
        </w:rPr>
      </w:pPr>
      <w:r>
        <w:rPr>
          <w:rFonts w:ascii="Calibri" w:hAnsi="Calibri" w:cs="Calibri"/>
        </w:rPr>
        <w:t>Pejtersen</w:t>
      </w:r>
      <w:r>
        <w:rPr>
          <w:rFonts w:ascii="Calibri" w:hAnsi="Calibri" w:cs="Calibri"/>
        </w:rPr>
        <w:t xml:space="preserve">, J.H. “The effect of monetary incentive on survey response for vulnerable children and youths: A randomized controlled trial.” </w:t>
      </w:r>
      <w:r>
        <w:rPr>
          <w:rFonts w:ascii="Calibri" w:hAnsi="Calibri" w:cs="Calibri"/>
        </w:rPr>
        <w:t>PLoS</w:t>
      </w:r>
      <w:r>
        <w:rPr>
          <w:rFonts w:ascii="Calibri" w:hAnsi="Calibri" w:cs="Calibri"/>
        </w:rPr>
        <w:t xml:space="preserve"> ONE 15(5), 2020.</w:t>
      </w:r>
    </w:p>
    <w:p w:rsidR="002C2418" w:rsidP="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003C4292" w:rsidRPr="00AB32C2" w:rsidP="003C4292" w14:paraId="340699E2" w14:textId="2E4ECAA8">
      <w:pPr>
        <w:pStyle w:val="Reference"/>
      </w:pPr>
      <w:r w:rsidRPr="00AB32C2">
        <w:t xml:space="preserve">What Works Clearinghouse. “Assessing Attrition Bias.” Available at: </w:t>
      </w:r>
      <w:hyperlink r:id="rId10" w:history="1">
        <w:r w:rsidRPr="00AB32C2">
          <w:rPr>
            <w:rStyle w:val="Hyperlink"/>
          </w:rPr>
          <w:t>https://ies.ed.gov/ncee/wwc/Docs/ReferenceResources/wwc_attrition_v2.1.pdf</w:t>
        </w:r>
      </w:hyperlink>
      <w:r w:rsidRPr="00AB32C2">
        <w:t>. 2013.</w:t>
      </w:r>
    </w:p>
    <w:p w:rsidR="003C4292" w:rsidRPr="003C4292" w:rsidP="003C4292" w14:paraId="79AFC893" w14:textId="77777777">
      <w:pPr>
        <w:pStyle w:val="Reference"/>
        <w:rPr>
          <w:b/>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8A7F2C" w14:paraId="03A5A331" w14:textId="442DB9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8A7F2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3F1" w:rsidP="0004063C" w14:paraId="0DA8AB43" w14:textId="77777777">
      <w:pPr>
        <w:spacing w:after="0" w:line="240" w:lineRule="auto"/>
      </w:pPr>
      <w:r>
        <w:separator/>
      </w:r>
    </w:p>
  </w:footnote>
  <w:footnote w:type="continuationSeparator" w:id="1">
    <w:p w:rsidR="00D453F1" w:rsidP="0004063C" w14:paraId="26A015CF" w14:textId="77777777">
      <w:pPr>
        <w:spacing w:after="0" w:line="240" w:lineRule="auto"/>
      </w:pPr>
      <w:r>
        <w:continuationSeparator/>
      </w:r>
    </w:p>
  </w:footnote>
  <w:footnote w:type="continuationNotice" w:id="2">
    <w:p w:rsidR="00D453F1" w14:paraId="265EC9F4" w14:textId="77777777">
      <w:pPr>
        <w:spacing w:after="0" w:line="240" w:lineRule="auto"/>
      </w:pPr>
    </w:p>
  </w:footnote>
  <w:footnote w:id="3">
    <w:p w:rsidR="00FA7132" w:rsidP="00FA7132" w14:paraId="28D43A88" w14:textId="77777777">
      <w:pPr>
        <w:pStyle w:val="FootnoteText"/>
      </w:pPr>
      <w:r w:rsidRPr="00493DEF">
        <w:rPr>
          <w:rStyle w:val="FootnoteReference"/>
          <w:sz w:val="18"/>
          <w:szCs w:val="18"/>
        </w:rPr>
        <w:footnoteRef/>
      </w:r>
      <w:r w:rsidRPr="00493DEF">
        <w:rPr>
          <w:sz w:val="18"/>
          <w:szCs w:val="18"/>
        </w:rPr>
        <w:t xml:space="preserve"> The youth surveys include all possible questions</w:t>
      </w:r>
      <w:r>
        <w:rPr>
          <w:sz w:val="18"/>
          <w:szCs w:val="18"/>
        </w:rPr>
        <w:t xml:space="preserve">. The study team will remove any </w:t>
      </w:r>
      <w:r w:rsidRPr="00493DEF">
        <w:rPr>
          <w:sz w:val="18"/>
          <w:szCs w:val="18"/>
        </w:rPr>
        <w:t>questions that can be addressed through the use of administrative data</w:t>
      </w:r>
    </w:p>
  </w:footnote>
  <w:footnote w:id="4">
    <w:p w:rsidR="00FA7132" w:rsidP="00FA7132" w14:paraId="70D64899" w14:textId="77777777">
      <w:pPr>
        <w:pStyle w:val="FootnoteText"/>
      </w:pPr>
      <w:r>
        <w:rPr>
          <w:rStyle w:val="FootnoteReference"/>
        </w:rPr>
        <w:footnoteRef/>
      </w:r>
      <w:r>
        <w:t xml:space="preserve"> A “site” is a service unit that may include one or more counties. The 37 counties form 16 sites (10 intervention and 6 comparison) due to coordination of services across small adjacent counties. </w:t>
      </w:r>
    </w:p>
  </w:footnote>
  <w:footnote w:id="5">
    <w:p w:rsidR="00FA7132" w:rsidP="00FA7132" w14:paraId="7666A0E7" w14:textId="77777777">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6">
    <w:p w:rsidR="00FA7132" w:rsidP="00FA7132" w14:paraId="5A37A342" w14:textId="77777777">
      <w:pPr>
        <w:pStyle w:val="FootnoteText"/>
      </w:pPr>
      <w:r>
        <w:rPr>
          <w:rStyle w:val="FootnoteReference"/>
        </w:rPr>
        <w:footnoteRef/>
      </w:r>
      <w:r>
        <w:t xml:space="preserve"> </w:t>
      </w:r>
      <w:r w:rsidRPr="00AE1A0F">
        <w:rPr>
          <w:sz w:val="18"/>
          <w:szCs w:val="18"/>
        </w:rPr>
        <w:t>If the survey questions and data provided through administrative data are identical or similar enough to provide the necessary information, the project team will remove the survey question(s) from the survey.</w:t>
      </w:r>
    </w:p>
  </w:footnote>
  <w:footnote w:id="7">
    <w:p w:rsidR="00CE62B5" w:rsidP="00CE62B5" w14:paraId="5E18CBA1" w14:textId="77777777">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be printed on the dry bag to help </w:t>
      </w:r>
      <w:r>
        <w:rPr>
          <w:sz w:val="18"/>
          <w:szCs w:val="18"/>
        </w:rPr>
        <w:t xml:space="preserve">us </w:t>
      </w:r>
      <w:r w:rsidRPr="00E042B7">
        <w:rPr>
          <w:sz w:val="18"/>
          <w:szCs w:val="18"/>
        </w:rPr>
        <w:t>familiarize youth with the study.</w:t>
      </w:r>
    </w:p>
  </w:footnote>
  <w:footnote w:id="8">
    <w:p w:rsidR="008A7F2C" w:rsidRPr="00D82755" w:rsidP="001D1C73" w14:paraId="440255E6" w14:textId="676E26DE">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160118" w:rsidP="00160118" w14:paraId="7BEFC850" w14:textId="77777777">
      <w:pPr>
        <w:pStyle w:val="FootnoteText"/>
      </w:pPr>
      <w:r>
        <w:rPr>
          <w:rStyle w:val="FootnoteReference"/>
        </w:rPr>
        <w:footnoteRef/>
      </w:r>
      <w:r>
        <w:t xml:space="preserve"> </w:t>
      </w:r>
      <w:r w:rsidRPr="00423BCB">
        <w:rPr>
          <w:sz w:val="18"/>
          <w:szCs w:val="18"/>
        </w:rPr>
        <w:t>For follow-up data collection, we estimate a 5 percent increase in the estimated number of youth age 18 and older for every six months. The estimated percentage of youth age 18 and older for follow-up data collection are: 55 percent for 6 months, 60 percent for 12 months, and 70 percent for 24 months.</w:t>
      </w:r>
      <w:r>
        <w:t xml:space="preserve"> </w:t>
      </w:r>
    </w:p>
  </w:footnote>
  <w:footnote w:id="10">
    <w:p w:rsidR="00160118" w:rsidRPr="00A022BA" w:rsidP="00160118" w14:paraId="38E499CD" w14:textId="77777777">
      <w:pPr>
        <w:pStyle w:val="FootnoteText"/>
        <w:rPr>
          <w:sz w:val="18"/>
          <w:szCs w:val="18"/>
        </w:rPr>
      </w:pPr>
      <w:r w:rsidRPr="00A022BA">
        <w:rPr>
          <w:rStyle w:val="FootnoteReference"/>
          <w:sz w:val="18"/>
          <w:szCs w:val="18"/>
        </w:rPr>
        <w:footnoteRef/>
      </w:r>
      <w:r w:rsidRPr="00A022BA">
        <w:rPr>
          <w:sz w:val="18"/>
          <w:szCs w:val="18"/>
        </w:rPr>
        <w:t xml:space="preserve"> Data collection for the 24-month follow-up is likely to extend beyond 3 years. A request to continue data collection will be submitted prior to the expiration date of OMB approval.</w:t>
      </w:r>
    </w:p>
  </w:footnote>
  <w:footnote w:id="11">
    <w:p w:rsidR="008A7F2C" w:rsidP="002032AA" w14:paraId="4A2E5085" w14:textId="6216B9DE">
      <w:pPr>
        <w:pStyle w:val="FootnoteText"/>
      </w:pPr>
      <w:r>
        <w:rPr>
          <w:rStyle w:val="FootnoteReference"/>
        </w:rPr>
        <w:footnoteRef/>
      </w:r>
      <w:r>
        <w:t xml:space="preserve"> </w:t>
      </w:r>
      <w:bookmarkStart w:id="6" w:name="_Hlk66452819"/>
      <w:r>
        <w:t>The program director check-ins do not require a unique instrument; they will be conducted using a subset of items from the interview protocol.</w:t>
      </w:r>
      <w:bookmarkEnd w:id="6"/>
    </w:p>
  </w:footnote>
  <w:footnote w:id="12">
    <w:p w:rsidR="008A7F2C" w14:paraId="77724FDD" w14:textId="37D11C0E">
      <w:pPr>
        <w:pStyle w:val="FootnoteText"/>
      </w:pPr>
      <w:r>
        <w:rPr>
          <w:rStyle w:val="FootnoteReference"/>
        </w:rPr>
        <w:footnoteRef/>
      </w:r>
      <w:r>
        <w:t xml:space="preserve"> </w:t>
      </w:r>
      <w:r w:rsidRPr="004631BB">
        <w:rPr>
          <w:sz w:val="18"/>
          <w:szCs w:val="18"/>
        </w:rPr>
        <w:t>Data collection for the 24-month follow-up is likely to extend beyond 3 years. A request to continue data collection will be submitted prior to the expiration date of OMB approval</w:t>
      </w:r>
      <w:r w:rsidRPr="00685B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F2C"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8A7F2C"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nsid w:val="02872173"/>
    <w:multiLevelType w:val="hybridMultilevel"/>
    <w:tmpl w:val="C8F019B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903C9"/>
    <w:multiLevelType w:val="hybridMultilevel"/>
    <w:tmpl w:val="AFDC0392"/>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553B06"/>
    <w:multiLevelType w:val="hybridMultilevel"/>
    <w:tmpl w:val="4CC8F7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6676ED"/>
    <w:multiLevelType w:val="hybridMultilevel"/>
    <w:tmpl w:val="44B41D2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6">
    <w:nsid w:val="1B280509"/>
    <w:multiLevelType w:val="hybridMultilevel"/>
    <w:tmpl w:val="A49C77C6"/>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23209A"/>
    <w:multiLevelType w:val="hybridMultilevel"/>
    <w:tmpl w:val="E902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F58C8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16482A"/>
    <w:multiLevelType w:val="hybridMultilevel"/>
    <w:tmpl w:val="66A681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3D36BE"/>
    <w:multiLevelType w:val="hybridMultilevel"/>
    <w:tmpl w:val="21D8CC3C"/>
    <w:lvl w:ilvl="0">
      <w:start w:val="1"/>
      <w:numFmt w:val="bullet"/>
      <w:pStyle w:val="TableListBullet2"/>
      <w:lvlText w:val=""/>
      <w:lvlJc w:val="left"/>
      <w:pPr>
        <w:tabs>
          <w:tab w:val="num" w:pos="432"/>
        </w:tabs>
        <w:ind w:left="432" w:hanging="216"/>
      </w:pPr>
      <w:rPr>
        <w:rFonts w:ascii="Symbol" w:hAnsi="Symbol" w:hint="default"/>
        <w:color w:val="27628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214388"/>
    <w:multiLevelType w:val="hybridMultilevel"/>
    <w:tmpl w:val="ED243F3C"/>
    <w:lvl w:ilvl="0">
      <w:start w:val="1"/>
      <w:numFmt w:val="lowerLetter"/>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31B26B8"/>
    <w:multiLevelType w:val="hybridMultilevel"/>
    <w:tmpl w:val="5AC0F8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39D1990"/>
    <w:multiLevelType w:val="hybridMultilevel"/>
    <w:tmpl w:val="7B501A86"/>
    <w:lvl w:ilvl="0">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4D31FAC"/>
    <w:multiLevelType w:val="hybridMultilevel"/>
    <w:tmpl w:val="538A516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A8A5C0B"/>
    <w:multiLevelType w:val="hybridMultilevel"/>
    <w:tmpl w:val="97BED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9708FD"/>
    <w:multiLevelType w:val="hybridMultilevel"/>
    <w:tmpl w:val="E7182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982232"/>
    <w:multiLevelType w:val="hybridMultilevel"/>
    <w:tmpl w:val="F09AF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323E42"/>
    <w:multiLevelType w:val="hybridMultilevel"/>
    <w:tmpl w:val="50FAF36E"/>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74299F"/>
    <w:multiLevelType w:val="hybridMultilevel"/>
    <w:tmpl w:val="DF2646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1239CF"/>
    <w:multiLevelType w:val="hybridMultilevel"/>
    <w:tmpl w:val="15CEF9AA"/>
    <w:lvl w:ilvl="0">
      <w:start w:val="1"/>
      <w:numFmt w:val="lowerLetter"/>
      <w:lvlText w:val="%1."/>
      <w:lvlJc w:val="left"/>
      <w:pPr>
        <w:ind w:left="1080" w:hanging="360"/>
      </w:pPr>
      <w:rPr>
        <w:rFonts w:hint="default"/>
        <w:b w:val="0"/>
        <w:i w:val="0"/>
      </w:rPr>
    </w:lvl>
    <w:lvl w:ilvl="1">
      <w:start w:val="1"/>
      <w:numFmt w:val="lowerLetter"/>
      <w:lvlText w:val="%2."/>
      <w:lvlJc w:val="left"/>
      <w:pPr>
        <w:ind w:left="1800" w:hanging="360"/>
      </w:pPr>
      <w:rPr>
        <w:rFonts w:hint="default"/>
        <w:b w:val="0"/>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85936260">
    <w:abstractNumId w:val="8"/>
  </w:num>
  <w:num w:numId="2" w16cid:durableId="1203250220">
    <w:abstractNumId w:val="13"/>
  </w:num>
  <w:num w:numId="3" w16cid:durableId="1946503162">
    <w:abstractNumId w:val="0"/>
  </w:num>
  <w:num w:numId="4" w16cid:durableId="1634210601">
    <w:abstractNumId w:val="13"/>
    <w:lvlOverride w:ilvl="0">
      <w:startOverride w:val="1"/>
    </w:lvlOverride>
  </w:num>
  <w:num w:numId="5" w16cid:durableId="1180705150">
    <w:abstractNumId w:val="0"/>
    <w:lvlOverride w:ilvl="0">
      <w:startOverride w:val="1"/>
    </w:lvlOverride>
  </w:num>
  <w:num w:numId="6" w16cid:durableId="50930753">
    <w:abstractNumId w:val="10"/>
  </w:num>
  <w:num w:numId="7" w16cid:durableId="1988782281">
    <w:abstractNumId w:val="3"/>
  </w:num>
  <w:num w:numId="8" w16cid:durableId="2108501424">
    <w:abstractNumId w:val="14"/>
  </w:num>
  <w:num w:numId="9" w16cid:durableId="335966474">
    <w:abstractNumId w:val="17"/>
  </w:num>
  <w:num w:numId="10" w16cid:durableId="1914049428">
    <w:abstractNumId w:val="15"/>
  </w:num>
  <w:num w:numId="11" w16cid:durableId="1947612618">
    <w:abstractNumId w:val="9"/>
  </w:num>
  <w:num w:numId="12" w16cid:durableId="1197084049">
    <w:abstractNumId w:val="11"/>
  </w:num>
  <w:num w:numId="13" w16cid:durableId="344720919">
    <w:abstractNumId w:val="1"/>
  </w:num>
  <w:num w:numId="14" w16cid:durableId="1915159696">
    <w:abstractNumId w:val="2"/>
  </w:num>
  <w:num w:numId="15" w16cid:durableId="351809639">
    <w:abstractNumId w:val="6"/>
  </w:num>
  <w:num w:numId="16" w16cid:durableId="395515919">
    <w:abstractNumId w:val="20"/>
  </w:num>
  <w:num w:numId="17" w16cid:durableId="465706873">
    <w:abstractNumId w:val="5"/>
  </w:num>
  <w:num w:numId="18" w16cid:durableId="1848059412">
    <w:abstractNumId w:val="12"/>
  </w:num>
  <w:num w:numId="19" w16cid:durableId="2013873274">
    <w:abstractNumId w:val="7"/>
  </w:num>
  <w:num w:numId="20" w16cid:durableId="590242608">
    <w:abstractNumId w:val="19"/>
  </w:num>
  <w:num w:numId="21" w16cid:durableId="274288047">
    <w:abstractNumId w:val="4"/>
  </w:num>
  <w:num w:numId="22" w16cid:durableId="1828401642">
    <w:abstractNumId w:val="18"/>
  </w:num>
  <w:num w:numId="23" w16cid:durableId="60079779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removeDateAndTime/>
  <w:proofState w:spelling="clean" w:grammar="clean"/>
  <w:revisionView w:comments="1" w:formatting="1" w:inkAnnotations="0" w:insDel="1" w:markup="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C5"/>
    <w:rsid w:val="0000048B"/>
    <w:rsid w:val="00000CD7"/>
    <w:rsid w:val="00000D8B"/>
    <w:rsid w:val="00000F87"/>
    <w:rsid w:val="000018D0"/>
    <w:rsid w:val="00002864"/>
    <w:rsid w:val="00002A91"/>
    <w:rsid w:val="0001092A"/>
    <w:rsid w:val="00011110"/>
    <w:rsid w:val="00011704"/>
    <w:rsid w:val="00011F72"/>
    <w:rsid w:val="000120B7"/>
    <w:rsid w:val="0001255D"/>
    <w:rsid w:val="000128F8"/>
    <w:rsid w:val="00015610"/>
    <w:rsid w:val="0001614F"/>
    <w:rsid w:val="00016363"/>
    <w:rsid w:val="00016426"/>
    <w:rsid w:val="00016455"/>
    <w:rsid w:val="00016AD0"/>
    <w:rsid w:val="0001745C"/>
    <w:rsid w:val="0001747D"/>
    <w:rsid w:val="000208AB"/>
    <w:rsid w:val="00020CD6"/>
    <w:rsid w:val="000210FD"/>
    <w:rsid w:val="0002157B"/>
    <w:rsid w:val="00021628"/>
    <w:rsid w:val="00023ECF"/>
    <w:rsid w:val="00026674"/>
    <w:rsid w:val="00026DBF"/>
    <w:rsid w:val="00026FC5"/>
    <w:rsid w:val="00027E79"/>
    <w:rsid w:val="00030A0C"/>
    <w:rsid w:val="00031845"/>
    <w:rsid w:val="00032440"/>
    <w:rsid w:val="0003586A"/>
    <w:rsid w:val="0004063C"/>
    <w:rsid w:val="0004076F"/>
    <w:rsid w:val="000412D7"/>
    <w:rsid w:val="0004247F"/>
    <w:rsid w:val="00044548"/>
    <w:rsid w:val="0004500D"/>
    <w:rsid w:val="000450A7"/>
    <w:rsid w:val="00045189"/>
    <w:rsid w:val="0004519F"/>
    <w:rsid w:val="00046520"/>
    <w:rsid w:val="00046C42"/>
    <w:rsid w:val="00047F2B"/>
    <w:rsid w:val="00050CCD"/>
    <w:rsid w:val="00052CE7"/>
    <w:rsid w:val="00055B44"/>
    <w:rsid w:val="000564CC"/>
    <w:rsid w:val="00056A1C"/>
    <w:rsid w:val="00060307"/>
    <w:rsid w:val="00060B24"/>
    <w:rsid w:val="000614BD"/>
    <w:rsid w:val="0006182B"/>
    <w:rsid w:val="000619BB"/>
    <w:rsid w:val="00061A59"/>
    <w:rsid w:val="00062AFB"/>
    <w:rsid w:val="00063283"/>
    <w:rsid w:val="00063AAF"/>
    <w:rsid w:val="00063FD9"/>
    <w:rsid w:val="000655DD"/>
    <w:rsid w:val="000668D7"/>
    <w:rsid w:val="00066926"/>
    <w:rsid w:val="00066DA8"/>
    <w:rsid w:val="00066DFA"/>
    <w:rsid w:val="0006786E"/>
    <w:rsid w:val="00071E57"/>
    <w:rsid w:val="00071F79"/>
    <w:rsid w:val="00072262"/>
    <w:rsid w:val="0007251B"/>
    <w:rsid w:val="000733A5"/>
    <w:rsid w:val="00075D91"/>
    <w:rsid w:val="00076786"/>
    <w:rsid w:val="00080FE2"/>
    <w:rsid w:val="000819E1"/>
    <w:rsid w:val="00081AE7"/>
    <w:rsid w:val="00082C5B"/>
    <w:rsid w:val="00083227"/>
    <w:rsid w:val="000833F4"/>
    <w:rsid w:val="00084136"/>
    <w:rsid w:val="00084902"/>
    <w:rsid w:val="00084EE7"/>
    <w:rsid w:val="00086CBE"/>
    <w:rsid w:val="00087D92"/>
    <w:rsid w:val="000904AD"/>
    <w:rsid w:val="000904E8"/>
    <w:rsid w:val="000906D6"/>
    <w:rsid w:val="00090812"/>
    <w:rsid w:val="00092192"/>
    <w:rsid w:val="000921F0"/>
    <w:rsid w:val="00092527"/>
    <w:rsid w:val="00093A90"/>
    <w:rsid w:val="00093ACC"/>
    <w:rsid w:val="000955ED"/>
    <w:rsid w:val="0009716B"/>
    <w:rsid w:val="00097BF1"/>
    <w:rsid w:val="000A012A"/>
    <w:rsid w:val="000A021F"/>
    <w:rsid w:val="000A07AA"/>
    <w:rsid w:val="000A112F"/>
    <w:rsid w:val="000A2C43"/>
    <w:rsid w:val="000A37E3"/>
    <w:rsid w:val="000A4CB3"/>
    <w:rsid w:val="000A5985"/>
    <w:rsid w:val="000B04A5"/>
    <w:rsid w:val="000B09DD"/>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578"/>
    <w:rsid w:val="000D2CD2"/>
    <w:rsid w:val="000D3DF9"/>
    <w:rsid w:val="000D4258"/>
    <w:rsid w:val="000D44BC"/>
    <w:rsid w:val="000D49A5"/>
    <w:rsid w:val="000D4E9A"/>
    <w:rsid w:val="000D507C"/>
    <w:rsid w:val="000D5188"/>
    <w:rsid w:val="000D6D32"/>
    <w:rsid w:val="000D7288"/>
    <w:rsid w:val="000D73FD"/>
    <w:rsid w:val="000D782E"/>
    <w:rsid w:val="000D7D44"/>
    <w:rsid w:val="000D7F99"/>
    <w:rsid w:val="000E0537"/>
    <w:rsid w:val="000E2204"/>
    <w:rsid w:val="000E4304"/>
    <w:rsid w:val="000E4DC1"/>
    <w:rsid w:val="000E6815"/>
    <w:rsid w:val="000E681A"/>
    <w:rsid w:val="000E7390"/>
    <w:rsid w:val="000F093A"/>
    <w:rsid w:val="000F09D4"/>
    <w:rsid w:val="000F0DC1"/>
    <w:rsid w:val="000F0F6F"/>
    <w:rsid w:val="000F1E4A"/>
    <w:rsid w:val="000F1F05"/>
    <w:rsid w:val="000F2AB6"/>
    <w:rsid w:val="000F31A9"/>
    <w:rsid w:val="000F3564"/>
    <w:rsid w:val="000F3C51"/>
    <w:rsid w:val="000F3F7E"/>
    <w:rsid w:val="000F5579"/>
    <w:rsid w:val="000F5931"/>
    <w:rsid w:val="000F7299"/>
    <w:rsid w:val="000F7DDD"/>
    <w:rsid w:val="0010093C"/>
    <w:rsid w:val="00100D34"/>
    <w:rsid w:val="001012E5"/>
    <w:rsid w:val="00101527"/>
    <w:rsid w:val="00102247"/>
    <w:rsid w:val="00102C6F"/>
    <w:rsid w:val="00103915"/>
    <w:rsid w:val="00103EFD"/>
    <w:rsid w:val="00105240"/>
    <w:rsid w:val="001052CA"/>
    <w:rsid w:val="00105758"/>
    <w:rsid w:val="00107CBB"/>
    <w:rsid w:val="00107D87"/>
    <w:rsid w:val="00110B46"/>
    <w:rsid w:val="001118E4"/>
    <w:rsid w:val="00111D46"/>
    <w:rsid w:val="0011213F"/>
    <w:rsid w:val="001123FC"/>
    <w:rsid w:val="00112F3B"/>
    <w:rsid w:val="00115BD1"/>
    <w:rsid w:val="00116EF5"/>
    <w:rsid w:val="00117DB3"/>
    <w:rsid w:val="0012039C"/>
    <w:rsid w:val="001208D0"/>
    <w:rsid w:val="00120BD8"/>
    <w:rsid w:val="001211E6"/>
    <w:rsid w:val="0012122B"/>
    <w:rsid w:val="00121597"/>
    <w:rsid w:val="00121913"/>
    <w:rsid w:val="001253F4"/>
    <w:rsid w:val="001266C0"/>
    <w:rsid w:val="00127CB2"/>
    <w:rsid w:val="001312CE"/>
    <w:rsid w:val="00131E61"/>
    <w:rsid w:val="0013307D"/>
    <w:rsid w:val="001348A0"/>
    <w:rsid w:val="00134B0C"/>
    <w:rsid w:val="00134C81"/>
    <w:rsid w:val="00135300"/>
    <w:rsid w:val="001364CC"/>
    <w:rsid w:val="0013672F"/>
    <w:rsid w:val="00137021"/>
    <w:rsid w:val="001377E8"/>
    <w:rsid w:val="001405D3"/>
    <w:rsid w:val="00141CAC"/>
    <w:rsid w:val="00143808"/>
    <w:rsid w:val="00144112"/>
    <w:rsid w:val="00144E7F"/>
    <w:rsid w:val="00144EC1"/>
    <w:rsid w:val="00146E29"/>
    <w:rsid w:val="00150F3A"/>
    <w:rsid w:val="0015155D"/>
    <w:rsid w:val="001544BA"/>
    <w:rsid w:val="00155DDF"/>
    <w:rsid w:val="0015738F"/>
    <w:rsid w:val="00157399"/>
    <w:rsid w:val="00157482"/>
    <w:rsid w:val="001575C8"/>
    <w:rsid w:val="00157F43"/>
    <w:rsid w:val="00160118"/>
    <w:rsid w:val="0016019E"/>
    <w:rsid w:val="001616A8"/>
    <w:rsid w:val="00162C90"/>
    <w:rsid w:val="00163601"/>
    <w:rsid w:val="00163DF8"/>
    <w:rsid w:val="00163EB2"/>
    <w:rsid w:val="00164AA6"/>
    <w:rsid w:val="00165245"/>
    <w:rsid w:val="00166520"/>
    <w:rsid w:val="001665A7"/>
    <w:rsid w:val="00166633"/>
    <w:rsid w:val="00167E08"/>
    <w:rsid w:val="001700BE"/>
    <w:rsid w:val="001701E2"/>
    <w:rsid w:val="001707D8"/>
    <w:rsid w:val="00174ADB"/>
    <w:rsid w:val="00175B89"/>
    <w:rsid w:val="001763EF"/>
    <w:rsid w:val="001769E5"/>
    <w:rsid w:val="00176A22"/>
    <w:rsid w:val="00176E15"/>
    <w:rsid w:val="001842C6"/>
    <w:rsid w:val="0018435F"/>
    <w:rsid w:val="00184A67"/>
    <w:rsid w:val="001872F5"/>
    <w:rsid w:val="001879D9"/>
    <w:rsid w:val="00190881"/>
    <w:rsid w:val="00191514"/>
    <w:rsid w:val="00192FFD"/>
    <w:rsid w:val="00193A13"/>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2AB3"/>
    <w:rsid w:val="001B3E9D"/>
    <w:rsid w:val="001B5172"/>
    <w:rsid w:val="001C006A"/>
    <w:rsid w:val="001C0B72"/>
    <w:rsid w:val="001C1D7D"/>
    <w:rsid w:val="001C3CD0"/>
    <w:rsid w:val="001C492A"/>
    <w:rsid w:val="001C4BAA"/>
    <w:rsid w:val="001C4D3B"/>
    <w:rsid w:val="001C77B3"/>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3CC9"/>
    <w:rsid w:val="001E6BD9"/>
    <w:rsid w:val="001E7600"/>
    <w:rsid w:val="001F0895"/>
    <w:rsid w:val="001F1857"/>
    <w:rsid w:val="001F20F4"/>
    <w:rsid w:val="001F28F5"/>
    <w:rsid w:val="001F2B52"/>
    <w:rsid w:val="001F38D0"/>
    <w:rsid w:val="001F4305"/>
    <w:rsid w:val="001F57F5"/>
    <w:rsid w:val="001F5981"/>
    <w:rsid w:val="002027A6"/>
    <w:rsid w:val="002028EE"/>
    <w:rsid w:val="002030D0"/>
    <w:rsid w:val="002032AA"/>
    <w:rsid w:val="0020401C"/>
    <w:rsid w:val="00204931"/>
    <w:rsid w:val="002058A1"/>
    <w:rsid w:val="00205C21"/>
    <w:rsid w:val="0020629A"/>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31FF"/>
    <w:rsid w:val="0022368C"/>
    <w:rsid w:val="002240CE"/>
    <w:rsid w:val="00224AE0"/>
    <w:rsid w:val="00226654"/>
    <w:rsid w:val="00226C97"/>
    <w:rsid w:val="00226EFF"/>
    <w:rsid w:val="00227501"/>
    <w:rsid w:val="0022761D"/>
    <w:rsid w:val="00227628"/>
    <w:rsid w:val="0022779F"/>
    <w:rsid w:val="00227966"/>
    <w:rsid w:val="00231775"/>
    <w:rsid w:val="00233B7E"/>
    <w:rsid w:val="00234674"/>
    <w:rsid w:val="002346EC"/>
    <w:rsid w:val="0023508B"/>
    <w:rsid w:val="002355A4"/>
    <w:rsid w:val="002357BB"/>
    <w:rsid w:val="0023796A"/>
    <w:rsid w:val="002406C0"/>
    <w:rsid w:val="0024127F"/>
    <w:rsid w:val="00241797"/>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E41"/>
    <w:rsid w:val="00263FBA"/>
    <w:rsid w:val="00264448"/>
    <w:rsid w:val="00265491"/>
    <w:rsid w:val="00267446"/>
    <w:rsid w:val="002717A1"/>
    <w:rsid w:val="00271EA4"/>
    <w:rsid w:val="00273C35"/>
    <w:rsid w:val="00273DF4"/>
    <w:rsid w:val="00273F92"/>
    <w:rsid w:val="00273FC0"/>
    <w:rsid w:val="002761EE"/>
    <w:rsid w:val="00276CE2"/>
    <w:rsid w:val="00277019"/>
    <w:rsid w:val="00281EE8"/>
    <w:rsid w:val="002822A0"/>
    <w:rsid w:val="00282D4F"/>
    <w:rsid w:val="002835B1"/>
    <w:rsid w:val="00285A48"/>
    <w:rsid w:val="00286E52"/>
    <w:rsid w:val="00287AF1"/>
    <w:rsid w:val="0029117D"/>
    <w:rsid w:val="00291B87"/>
    <w:rsid w:val="002920E0"/>
    <w:rsid w:val="00292459"/>
    <w:rsid w:val="0029380D"/>
    <w:rsid w:val="002943B2"/>
    <w:rsid w:val="002947B0"/>
    <w:rsid w:val="00295458"/>
    <w:rsid w:val="00295C86"/>
    <w:rsid w:val="00296A64"/>
    <w:rsid w:val="00297B63"/>
    <w:rsid w:val="002A30FB"/>
    <w:rsid w:val="002A41C6"/>
    <w:rsid w:val="002A464F"/>
    <w:rsid w:val="002A5C74"/>
    <w:rsid w:val="002A6181"/>
    <w:rsid w:val="002A690F"/>
    <w:rsid w:val="002A6B38"/>
    <w:rsid w:val="002A6FEC"/>
    <w:rsid w:val="002A76B3"/>
    <w:rsid w:val="002B0595"/>
    <w:rsid w:val="002B0EE3"/>
    <w:rsid w:val="002B3ECD"/>
    <w:rsid w:val="002B785B"/>
    <w:rsid w:val="002C007A"/>
    <w:rsid w:val="002C118C"/>
    <w:rsid w:val="002C163B"/>
    <w:rsid w:val="002C2025"/>
    <w:rsid w:val="002C2418"/>
    <w:rsid w:val="002C2BA5"/>
    <w:rsid w:val="002C3885"/>
    <w:rsid w:val="002C3D27"/>
    <w:rsid w:val="002C4B37"/>
    <w:rsid w:val="002C4BA6"/>
    <w:rsid w:val="002C5048"/>
    <w:rsid w:val="002C6D3D"/>
    <w:rsid w:val="002C7013"/>
    <w:rsid w:val="002C7355"/>
    <w:rsid w:val="002C73D5"/>
    <w:rsid w:val="002C761D"/>
    <w:rsid w:val="002C77D5"/>
    <w:rsid w:val="002D0412"/>
    <w:rsid w:val="002D07ED"/>
    <w:rsid w:val="002D0E0F"/>
    <w:rsid w:val="002D256A"/>
    <w:rsid w:val="002D3C0A"/>
    <w:rsid w:val="002D4355"/>
    <w:rsid w:val="002D500F"/>
    <w:rsid w:val="002D6EB2"/>
    <w:rsid w:val="002D712E"/>
    <w:rsid w:val="002D7C2E"/>
    <w:rsid w:val="002E09BD"/>
    <w:rsid w:val="002E3A7B"/>
    <w:rsid w:val="002E51EB"/>
    <w:rsid w:val="002E58A9"/>
    <w:rsid w:val="002E68D8"/>
    <w:rsid w:val="002E69C9"/>
    <w:rsid w:val="002E6CCF"/>
    <w:rsid w:val="002E7E31"/>
    <w:rsid w:val="002F0A40"/>
    <w:rsid w:val="002F0A92"/>
    <w:rsid w:val="002F142D"/>
    <w:rsid w:val="002F1486"/>
    <w:rsid w:val="002F14CF"/>
    <w:rsid w:val="002F33D0"/>
    <w:rsid w:val="002F3941"/>
    <w:rsid w:val="002F47F9"/>
    <w:rsid w:val="002F4F9F"/>
    <w:rsid w:val="002F57F5"/>
    <w:rsid w:val="002F601C"/>
    <w:rsid w:val="002F615F"/>
    <w:rsid w:val="002F69D2"/>
    <w:rsid w:val="002F6D9B"/>
    <w:rsid w:val="002F7070"/>
    <w:rsid w:val="002F70B8"/>
    <w:rsid w:val="0030069A"/>
    <w:rsid w:val="00300722"/>
    <w:rsid w:val="00300C6D"/>
    <w:rsid w:val="0030316D"/>
    <w:rsid w:val="00304852"/>
    <w:rsid w:val="00304A09"/>
    <w:rsid w:val="00304F90"/>
    <w:rsid w:val="003068A9"/>
    <w:rsid w:val="0031011C"/>
    <w:rsid w:val="00310888"/>
    <w:rsid w:val="00310E6B"/>
    <w:rsid w:val="003113B6"/>
    <w:rsid w:val="003116DF"/>
    <w:rsid w:val="00311AE1"/>
    <w:rsid w:val="00312F79"/>
    <w:rsid w:val="00314514"/>
    <w:rsid w:val="00316A74"/>
    <w:rsid w:val="003170F4"/>
    <w:rsid w:val="00317F7F"/>
    <w:rsid w:val="0032240F"/>
    <w:rsid w:val="00323628"/>
    <w:rsid w:val="00323821"/>
    <w:rsid w:val="00323D60"/>
    <w:rsid w:val="003258FF"/>
    <w:rsid w:val="0033032C"/>
    <w:rsid w:val="003305B3"/>
    <w:rsid w:val="00332900"/>
    <w:rsid w:val="00334454"/>
    <w:rsid w:val="00335B08"/>
    <w:rsid w:val="003361C3"/>
    <w:rsid w:val="003375AF"/>
    <w:rsid w:val="00340C6E"/>
    <w:rsid w:val="00340F3D"/>
    <w:rsid w:val="003414FD"/>
    <w:rsid w:val="00341C6E"/>
    <w:rsid w:val="003420B6"/>
    <w:rsid w:val="00342DF1"/>
    <w:rsid w:val="00342F90"/>
    <w:rsid w:val="0034330A"/>
    <w:rsid w:val="00343653"/>
    <w:rsid w:val="00343729"/>
    <w:rsid w:val="00343D34"/>
    <w:rsid w:val="00344033"/>
    <w:rsid w:val="00344B71"/>
    <w:rsid w:val="003451EB"/>
    <w:rsid w:val="00346379"/>
    <w:rsid w:val="00347B5A"/>
    <w:rsid w:val="003531BB"/>
    <w:rsid w:val="0035410E"/>
    <w:rsid w:val="003555C3"/>
    <w:rsid w:val="00360770"/>
    <w:rsid w:val="0036083D"/>
    <w:rsid w:val="00361351"/>
    <w:rsid w:val="00363E1E"/>
    <w:rsid w:val="00364D7D"/>
    <w:rsid w:val="003653BC"/>
    <w:rsid w:val="00366052"/>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9C5"/>
    <w:rsid w:val="00391A23"/>
    <w:rsid w:val="00392663"/>
    <w:rsid w:val="003933AE"/>
    <w:rsid w:val="0039351D"/>
    <w:rsid w:val="003941AE"/>
    <w:rsid w:val="00395CA2"/>
    <w:rsid w:val="00397E21"/>
    <w:rsid w:val="003A0E80"/>
    <w:rsid w:val="003A0F97"/>
    <w:rsid w:val="003A2725"/>
    <w:rsid w:val="003A294B"/>
    <w:rsid w:val="003A2C14"/>
    <w:rsid w:val="003A3506"/>
    <w:rsid w:val="003A36C1"/>
    <w:rsid w:val="003A4683"/>
    <w:rsid w:val="003A5832"/>
    <w:rsid w:val="003A5D24"/>
    <w:rsid w:val="003A5F3B"/>
    <w:rsid w:val="003A7774"/>
    <w:rsid w:val="003B028C"/>
    <w:rsid w:val="003B03BB"/>
    <w:rsid w:val="003B262C"/>
    <w:rsid w:val="003B5986"/>
    <w:rsid w:val="003B61EF"/>
    <w:rsid w:val="003B6FDB"/>
    <w:rsid w:val="003C355F"/>
    <w:rsid w:val="003C3A79"/>
    <w:rsid w:val="003C3BA5"/>
    <w:rsid w:val="003C4292"/>
    <w:rsid w:val="003C57FE"/>
    <w:rsid w:val="003C7358"/>
    <w:rsid w:val="003D0456"/>
    <w:rsid w:val="003D06A4"/>
    <w:rsid w:val="003D0ADF"/>
    <w:rsid w:val="003D1BDB"/>
    <w:rsid w:val="003D2FCF"/>
    <w:rsid w:val="003D6E65"/>
    <w:rsid w:val="003E1038"/>
    <w:rsid w:val="003E1B60"/>
    <w:rsid w:val="003E2B18"/>
    <w:rsid w:val="003E3366"/>
    <w:rsid w:val="003E3AB3"/>
    <w:rsid w:val="003E46BE"/>
    <w:rsid w:val="003E4D4E"/>
    <w:rsid w:val="003E51D3"/>
    <w:rsid w:val="003E56A0"/>
    <w:rsid w:val="003E57B1"/>
    <w:rsid w:val="003E61F6"/>
    <w:rsid w:val="003E67E2"/>
    <w:rsid w:val="003F01D3"/>
    <w:rsid w:val="003F054D"/>
    <w:rsid w:val="003F0975"/>
    <w:rsid w:val="003F0C7D"/>
    <w:rsid w:val="003F0E2F"/>
    <w:rsid w:val="003F0E80"/>
    <w:rsid w:val="003F15DB"/>
    <w:rsid w:val="003F1A32"/>
    <w:rsid w:val="003F1A77"/>
    <w:rsid w:val="003F3EFD"/>
    <w:rsid w:val="003F4107"/>
    <w:rsid w:val="003F47CC"/>
    <w:rsid w:val="003F6C61"/>
    <w:rsid w:val="003F6EB2"/>
    <w:rsid w:val="00401109"/>
    <w:rsid w:val="00402C5E"/>
    <w:rsid w:val="0040353D"/>
    <w:rsid w:val="004036E9"/>
    <w:rsid w:val="00403C8A"/>
    <w:rsid w:val="00404BE4"/>
    <w:rsid w:val="00404E4D"/>
    <w:rsid w:val="004052C5"/>
    <w:rsid w:val="00405CEC"/>
    <w:rsid w:val="004062D6"/>
    <w:rsid w:val="0040647E"/>
    <w:rsid w:val="004072BA"/>
    <w:rsid w:val="00407537"/>
    <w:rsid w:val="00407583"/>
    <w:rsid w:val="00407B9B"/>
    <w:rsid w:val="00413A1E"/>
    <w:rsid w:val="00414838"/>
    <w:rsid w:val="004153E7"/>
    <w:rsid w:val="00416369"/>
    <w:rsid w:val="004165BD"/>
    <w:rsid w:val="00420770"/>
    <w:rsid w:val="0042162E"/>
    <w:rsid w:val="0042220D"/>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476"/>
    <w:rsid w:val="00434791"/>
    <w:rsid w:val="00435103"/>
    <w:rsid w:val="004352E7"/>
    <w:rsid w:val="004353B0"/>
    <w:rsid w:val="00435F68"/>
    <w:rsid w:val="0043711C"/>
    <w:rsid w:val="004379B6"/>
    <w:rsid w:val="00437C66"/>
    <w:rsid w:val="00442417"/>
    <w:rsid w:val="00443A0E"/>
    <w:rsid w:val="00443FBE"/>
    <w:rsid w:val="00444055"/>
    <w:rsid w:val="0044428E"/>
    <w:rsid w:val="004447DB"/>
    <w:rsid w:val="00446465"/>
    <w:rsid w:val="004467B7"/>
    <w:rsid w:val="00446CC7"/>
    <w:rsid w:val="00446CD8"/>
    <w:rsid w:val="0045073C"/>
    <w:rsid w:val="00450D28"/>
    <w:rsid w:val="00451446"/>
    <w:rsid w:val="00451539"/>
    <w:rsid w:val="00452207"/>
    <w:rsid w:val="004526BF"/>
    <w:rsid w:val="00452981"/>
    <w:rsid w:val="004539EC"/>
    <w:rsid w:val="00454098"/>
    <w:rsid w:val="0045700C"/>
    <w:rsid w:val="004570DB"/>
    <w:rsid w:val="00457F53"/>
    <w:rsid w:val="00460130"/>
    <w:rsid w:val="00460D54"/>
    <w:rsid w:val="00461D3E"/>
    <w:rsid w:val="00462179"/>
    <w:rsid w:val="00462A5E"/>
    <w:rsid w:val="00462A7F"/>
    <w:rsid w:val="004631BB"/>
    <w:rsid w:val="00463855"/>
    <w:rsid w:val="00465735"/>
    <w:rsid w:val="004706CC"/>
    <w:rsid w:val="004756AD"/>
    <w:rsid w:val="00480C25"/>
    <w:rsid w:val="00481600"/>
    <w:rsid w:val="004829A1"/>
    <w:rsid w:val="0048314B"/>
    <w:rsid w:val="00483757"/>
    <w:rsid w:val="00483983"/>
    <w:rsid w:val="00484201"/>
    <w:rsid w:val="00485513"/>
    <w:rsid w:val="00486422"/>
    <w:rsid w:val="00487253"/>
    <w:rsid w:val="00490B03"/>
    <w:rsid w:val="00491A16"/>
    <w:rsid w:val="00491B09"/>
    <w:rsid w:val="00493791"/>
    <w:rsid w:val="00493DEF"/>
    <w:rsid w:val="00493F05"/>
    <w:rsid w:val="00494DF2"/>
    <w:rsid w:val="004A0E0F"/>
    <w:rsid w:val="004A1919"/>
    <w:rsid w:val="004A1BB3"/>
    <w:rsid w:val="004A2998"/>
    <w:rsid w:val="004A2DBF"/>
    <w:rsid w:val="004A487C"/>
    <w:rsid w:val="004A4952"/>
    <w:rsid w:val="004A59A5"/>
    <w:rsid w:val="004A5CB8"/>
    <w:rsid w:val="004B0B31"/>
    <w:rsid w:val="004B397A"/>
    <w:rsid w:val="004B5C93"/>
    <w:rsid w:val="004B5E78"/>
    <w:rsid w:val="004B75AC"/>
    <w:rsid w:val="004B7670"/>
    <w:rsid w:val="004C00F0"/>
    <w:rsid w:val="004C0586"/>
    <w:rsid w:val="004C1DB4"/>
    <w:rsid w:val="004C21C5"/>
    <w:rsid w:val="004C25A3"/>
    <w:rsid w:val="004C3644"/>
    <w:rsid w:val="004C4B70"/>
    <w:rsid w:val="004C65A7"/>
    <w:rsid w:val="004D0936"/>
    <w:rsid w:val="004D12DD"/>
    <w:rsid w:val="004D182F"/>
    <w:rsid w:val="004D1A6C"/>
    <w:rsid w:val="004D25D8"/>
    <w:rsid w:val="004D33CA"/>
    <w:rsid w:val="004D52D7"/>
    <w:rsid w:val="004D5604"/>
    <w:rsid w:val="004D64B5"/>
    <w:rsid w:val="004E1C21"/>
    <w:rsid w:val="004E1EF3"/>
    <w:rsid w:val="004E2423"/>
    <w:rsid w:val="004E2657"/>
    <w:rsid w:val="004E33A2"/>
    <w:rsid w:val="004E377B"/>
    <w:rsid w:val="004E3F8D"/>
    <w:rsid w:val="004E43B0"/>
    <w:rsid w:val="004E5778"/>
    <w:rsid w:val="004E5EBE"/>
    <w:rsid w:val="004E6743"/>
    <w:rsid w:val="004E68BA"/>
    <w:rsid w:val="004E7DAB"/>
    <w:rsid w:val="004E7ED8"/>
    <w:rsid w:val="004F1D9B"/>
    <w:rsid w:val="004F2B8A"/>
    <w:rsid w:val="004F4054"/>
    <w:rsid w:val="00500BF1"/>
    <w:rsid w:val="00502896"/>
    <w:rsid w:val="0050376D"/>
    <w:rsid w:val="00503FF3"/>
    <w:rsid w:val="005057DD"/>
    <w:rsid w:val="005100B2"/>
    <w:rsid w:val="00512C25"/>
    <w:rsid w:val="005132D0"/>
    <w:rsid w:val="0051401E"/>
    <w:rsid w:val="005144D4"/>
    <w:rsid w:val="0051489D"/>
    <w:rsid w:val="00515974"/>
    <w:rsid w:val="00516F83"/>
    <w:rsid w:val="00517479"/>
    <w:rsid w:val="00520F55"/>
    <w:rsid w:val="00521309"/>
    <w:rsid w:val="00522C55"/>
    <w:rsid w:val="00524B4A"/>
    <w:rsid w:val="005253DE"/>
    <w:rsid w:val="005266B0"/>
    <w:rsid w:val="00527144"/>
    <w:rsid w:val="00527FD5"/>
    <w:rsid w:val="005302CB"/>
    <w:rsid w:val="00530830"/>
    <w:rsid w:val="00531CCF"/>
    <w:rsid w:val="005326EF"/>
    <w:rsid w:val="00533086"/>
    <w:rsid w:val="00535660"/>
    <w:rsid w:val="005364C9"/>
    <w:rsid w:val="00536839"/>
    <w:rsid w:val="005377B5"/>
    <w:rsid w:val="00540CF3"/>
    <w:rsid w:val="00540DE8"/>
    <w:rsid w:val="005416A8"/>
    <w:rsid w:val="00541A13"/>
    <w:rsid w:val="005427A7"/>
    <w:rsid w:val="00542D21"/>
    <w:rsid w:val="005458A7"/>
    <w:rsid w:val="00546FDA"/>
    <w:rsid w:val="00547196"/>
    <w:rsid w:val="005502F9"/>
    <w:rsid w:val="00550D26"/>
    <w:rsid w:val="00550DC1"/>
    <w:rsid w:val="005520EE"/>
    <w:rsid w:val="00552E5A"/>
    <w:rsid w:val="00553863"/>
    <w:rsid w:val="005539F6"/>
    <w:rsid w:val="0055434C"/>
    <w:rsid w:val="00555608"/>
    <w:rsid w:val="005605A3"/>
    <w:rsid w:val="00560B5F"/>
    <w:rsid w:val="00560D39"/>
    <w:rsid w:val="005627FB"/>
    <w:rsid w:val="0056377C"/>
    <w:rsid w:val="00564051"/>
    <w:rsid w:val="005640AE"/>
    <w:rsid w:val="00564DFB"/>
    <w:rsid w:val="005658E8"/>
    <w:rsid w:val="00566146"/>
    <w:rsid w:val="005668C3"/>
    <w:rsid w:val="00567C62"/>
    <w:rsid w:val="00570491"/>
    <w:rsid w:val="005717F9"/>
    <w:rsid w:val="00571A6E"/>
    <w:rsid w:val="00571F10"/>
    <w:rsid w:val="00571FAC"/>
    <w:rsid w:val="0057305F"/>
    <w:rsid w:val="00573760"/>
    <w:rsid w:val="00573FF5"/>
    <w:rsid w:val="0057485A"/>
    <w:rsid w:val="00576C14"/>
    <w:rsid w:val="00576D3B"/>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1B80"/>
    <w:rsid w:val="00592419"/>
    <w:rsid w:val="00594084"/>
    <w:rsid w:val="0059418B"/>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C0AA9"/>
    <w:rsid w:val="005C3586"/>
    <w:rsid w:val="005C501F"/>
    <w:rsid w:val="005C6074"/>
    <w:rsid w:val="005C6417"/>
    <w:rsid w:val="005C7336"/>
    <w:rsid w:val="005C73C7"/>
    <w:rsid w:val="005C7943"/>
    <w:rsid w:val="005C7BDC"/>
    <w:rsid w:val="005D0155"/>
    <w:rsid w:val="005D0278"/>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27AA"/>
    <w:rsid w:val="005E338B"/>
    <w:rsid w:val="005E3694"/>
    <w:rsid w:val="005E45FA"/>
    <w:rsid w:val="005E493B"/>
    <w:rsid w:val="005E4A94"/>
    <w:rsid w:val="005E712D"/>
    <w:rsid w:val="005E731A"/>
    <w:rsid w:val="005F1024"/>
    <w:rsid w:val="005F18C7"/>
    <w:rsid w:val="005F1961"/>
    <w:rsid w:val="005F1EF6"/>
    <w:rsid w:val="005F2749"/>
    <w:rsid w:val="005F2951"/>
    <w:rsid w:val="005F34A9"/>
    <w:rsid w:val="005F4889"/>
    <w:rsid w:val="005F5036"/>
    <w:rsid w:val="005F70F7"/>
    <w:rsid w:val="005F7CCB"/>
    <w:rsid w:val="005F7CCE"/>
    <w:rsid w:val="00600586"/>
    <w:rsid w:val="00600AF2"/>
    <w:rsid w:val="00600DD7"/>
    <w:rsid w:val="006014D3"/>
    <w:rsid w:val="00602DBA"/>
    <w:rsid w:val="006064D4"/>
    <w:rsid w:val="00611095"/>
    <w:rsid w:val="00611F62"/>
    <w:rsid w:val="00612A76"/>
    <w:rsid w:val="00613597"/>
    <w:rsid w:val="00614861"/>
    <w:rsid w:val="00614BEF"/>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4F49"/>
    <w:rsid w:val="0062513F"/>
    <w:rsid w:val="006253B6"/>
    <w:rsid w:val="006257ED"/>
    <w:rsid w:val="006265E6"/>
    <w:rsid w:val="006267FC"/>
    <w:rsid w:val="0062686E"/>
    <w:rsid w:val="00627ACC"/>
    <w:rsid w:val="00630B30"/>
    <w:rsid w:val="00632BA5"/>
    <w:rsid w:val="00633684"/>
    <w:rsid w:val="00633B43"/>
    <w:rsid w:val="00633DC8"/>
    <w:rsid w:val="00634519"/>
    <w:rsid w:val="0063524E"/>
    <w:rsid w:val="0063557D"/>
    <w:rsid w:val="00635BB9"/>
    <w:rsid w:val="00637470"/>
    <w:rsid w:val="00637B35"/>
    <w:rsid w:val="006405EA"/>
    <w:rsid w:val="00640928"/>
    <w:rsid w:val="00640DAF"/>
    <w:rsid w:val="00642873"/>
    <w:rsid w:val="00642A18"/>
    <w:rsid w:val="006442AB"/>
    <w:rsid w:val="00646631"/>
    <w:rsid w:val="00646654"/>
    <w:rsid w:val="006466C5"/>
    <w:rsid w:val="00647165"/>
    <w:rsid w:val="00647683"/>
    <w:rsid w:val="0065013C"/>
    <w:rsid w:val="00650437"/>
    <w:rsid w:val="00651FF6"/>
    <w:rsid w:val="0065231D"/>
    <w:rsid w:val="0065478F"/>
    <w:rsid w:val="00655274"/>
    <w:rsid w:val="00655318"/>
    <w:rsid w:val="0065599B"/>
    <w:rsid w:val="00655D91"/>
    <w:rsid w:val="00656A58"/>
    <w:rsid w:val="00656D76"/>
    <w:rsid w:val="00657CA6"/>
    <w:rsid w:val="006600E3"/>
    <w:rsid w:val="00660767"/>
    <w:rsid w:val="00662E7F"/>
    <w:rsid w:val="00662FC7"/>
    <w:rsid w:val="006631CB"/>
    <w:rsid w:val="00664575"/>
    <w:rsid w:val="0066642A"/>
    <w:rsid w:val="00666856"/>
    <w:rsid w:val="006673B6"/>
    <w:rsid w:val="006673BB"/>
    <w:rsid w:val="006710A7"/>
    <w:rsid w:val="00671730"/>
    <w:rsid w:val="00671B87"/>
    <w:rsid w:val="00672658"/>
    <w:rsid w:val="00673E1E"/>
    <w:rsid w:val="00674CF1"/>
    <w:rsid w:val="0067527B"/>
    <w:rsid w:val="00675792"/>
    <w:rsid w:val="006761F6"/>
    <w:rsid w:val="00677508"/>
    <w:rsid w:val="006803D6"/>
    <w:rsid w:val="00680BA8"/>
    <w:rsid w:val="0068303E"/>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3126"/>
    <w:rsid w:val="006933AA"/>
    <w:rsid w:val="00693433"/>
    <w:rsid w:val="00693446"/>
    <w:rsid w:val="00693E30"/>
    <w:rsid w:val="00697501"/>
    <w:rsid w:val="006A0ADB"/>
    <w:rsid w:val="006A1018"/>
    <w:rsid w:val="006A1F7C"/>
    <w:rsid w:val="006A255C"/>
    <w:rsid w:val="006A294F"/>
    <w:rsid w:val="006A2AFC"/>
    <w:rsid w:val="006A31CA"/>
    <w:rsid w:val="006A34DC"/>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4D3B"/>
    <w:rsid w:val="006B53F1"/>
    <w:rsid w:val="006B589A"/>
    <w:rsid w:val="006B6037"/>
    <w:rsid w:val="006B650E"/>
    <w:rsid w:val="006B7E43"/>
    <w:rsid w:val="006C083D"/>
    <w:rsid w:val="006C0CA0"/>
    <w:rsid w:val="006C0E56"/>
    <w:rsid w:val="006C26CE"/>
    <w:rsid w:val="006C2BF9"/>
    <w:rsid w:val="006C344D"/>
    <w:rsid w:val="006C412B"/>
    <w:rsid w:val="006C5AA0"/>
    <w:rsid w:val="006C5C44"/>
    <w:rsid w:val="006D06CA"/>
    <w:rsid w:val="006D0CC3"/>
    <w:rsid w:val="006D3D51"/>
    <w:rsid w:val="006D3F0A"/>
    <w:rsid w:val="006D6E81"/>
    <w:rsid w:val="006D7814"/>
    <w:rsid w:val="006E10FB"/>
    <w:rsid w:val="006E21AB"/>
    <w:rsid w:val="006E389A"/>
    <w:rsid w:val="006E40E5"/>
    <w:rsid w:val="006E4AA9"/>
    <w:rsid w:val="006E4BD6"/>
    <w:rsid w:val="006E4D77"/>
    <w:rsid w:val="006E4F82"/>
    <w:rsid w:val="006E52B4"/>
    <w:rsid w:val="006E5C20"/>
    <w:rsid w:val="006E6596"/>
    <w:rsid w:val="006E67CC"/>
    <w:rsid w:val="006E7300"/>
    <w:rsid w:val="006F0C1C"/>
    <w:rsid w:val="006F1BC1"/>
    <w:rsid w:val="006F2249"/>
    <w:rsid w:val="006F2278"/>
    <w:rsid w:val="006F2E97"/>
    <w:rsid w:val="006F3513"/>
    <w:rsid w:val="006F66B3"/>
    <w:rsid w:val="006F68D2"/>
    <w:rsid w:val="006F6EE3"/>
    <w:rsid w:val="0070005B"/>
    <w:rsid w:val="007006E0"/>
    <w:rsid w:val="00700977"/>
    <w:rsid w:val="007012AA"/>
    <w:rsid w:val="00701D12"/>
    <w:rsid w:val="00702280"/>
    <w:rsid w:val="00705528"/>
    <w:rsid w:val="007059DF"/>
    <w:rsid w:val="00705B0F"/>
    <w:rsid w:val="00706544"/>
    <w:rsid w:val="007067BF"/>
    <w:rsid w:val="00706A88"/>
    <w:rsid w:val="00707AFD"/>
    <w:rsid w:val="0071044A"/>
    <w:rsid w:val="007114F9"/>
    <w:rsid w:val="00711D64"/>
    <w:rsid w:val="00711DBE"/>
    <w:rsid w:val="007135E5"/>
    <w:rsid w:val="007174C1"/>
    <w:rsid w:val="00717811"/>
    <w:rsid w:val="00717BDC"/>
    <w:rsid w:val="00717C93"/>
    <w:rsid w:val="007200BA"/>
    <w:rsid w:val="00722608"/>
    <w:rsid w:val="0072265C"/>
    <w:rsid w:val="00723A28"/>
    <w:rsid w:val="007255C7"/>
    <w:rsid w:val="00726230"/>
    <w:rsid w:val="007268C6"/>
    <w:rsid w:val="0072698D"/>
    <w:rsid w:val="00731098"/>
    <w:rsid w:val="007323CE"/>
    <w:rsid w:val="00732D07"/>
    <w:rsid w:val="007333EC"/>
    <w:rsid w:val="00733A62"/>
    <w:rsid w:val="00735211"/>
    <w:rsid w:val="0073566E"/>
    <w:rsid w:val="00736538"/>
    <w:rsid w:val="00736B62"/>
    <w:rsid w:val="00736F11"/>
    <w:rsid w:val="007375BF"/>
    <w:rsid w:val="00741CE7"/>
    <w:rsid w:val="007426F9"/>
    <w:rsid w:val="00742F57"/>
    <w:rsid w:val="007454D4"/>
    <w:rsid w:val="00746B94"/>
    <w:rsid w:val="00747082"/>
    <w:rsid w:val="00751622"/>
    <w:rsid w:val="007516BF"/>
    <w:rsid w:val="00751AC0"/>
    <w:rsid w:val="00751E98"/>
    <w:rsid w:val="0075262F"/>
    <w:rsid w:val="00752E96"/>
    <w:rsid w:val="0075472B"/>
    <w:rsid w:val="0075543A"/>
    <w:rsid w:val="007559F4"/>
    <w:rsid w:val="007565D6"/>
    <w:rsid w:val="00756DA0"/>
    <w:rsid w:val="0076020C"/>
    <w:rsid w:val="00760538"/>
    <w:rsid w:val="00760666"/>
    <w:rsid w:val="00760BAD"/>
    <w:rsid w:val="0076125B"/>
    <w:rsid w:val="00761E42"/>
    <w:rsid w:val="00763DA5"/>
    <w:rsid w:val="007641D2"/>
    <w:rsid w:val="00764C85"/>
    <w:rsid w:val="00764D21"/>
    <w:rsid w:val="00765BA1"/>
    <w:rsid w:val="00767B26"/>
    <w:rsid w:val="00767CC8"/>
    <w:rsid w:val="007709B3"/>
    <w:rsid w:val="00770E8B"/>
    <w:rsid w:val="00770FB8"/>
    <w:rsid w:val="00771929"/>
    <w:rsid w:val="007729BC"/>
    <w:rsid w:val="00773A9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973"/>
    <w:rsid w:val="007A29C5"/>
    <w:rsid w:val="007A3B9B"/>
    <w:rsid w:val="007A3BE6"/>
    <w:rsid w:val="007A61EF"/>
    <w:rsid w:val="007A629E"/>
    <w:rsid w:val="007A6528"/>
    <w:rsid w:val="007A749C"/>
    <w:rsid w:val="007A75AA"/>
    <w:rsid w:val="007B0BBE"/>
    <w:rsid w:val="007B17D8"/>
    <w:rsid w:val="007B19AA"/>
    <w:rsid w:val="007B19E1"/>
    <w:rsid w:val="007B1AB2"/>
    <w:rsid w:val="007B1B4F"/>
    <w:rsid w:val="007B21F5"/>
    <w:rsid w:val="007B21FD"/>
    <w:rsid w:val="007B2444"/>
    <w:rsid w:val="007B590C"/>
    <w:rsid w:val="007B5C79"/>
    <w:rsid w:val="007B63E0"/>
    <w:rsid w:val="007B6BCB"/>
    <w:rsid w:val="007C1553"/>
    <w:rsid w:val="007C1F5A"/>
    <w:rsid w:val="007C33F6"/>
    <w:rsid w:val="007C4C59"/>
    <w:rsid w:val="007C5AB3"/>
    <w:rsid w:val="007C5E8C"/>
    <w:rsid w:val="007C5FF4"/>
    <w:rsid w:val="007C6D6F"/>
    <w:rsid w:val="007C7B4B"/>
    <w:rsid w:val="007C7DE9"/>
    <w:rsid w:val="007D1318"/>
    <w:rsid w:val="007D19F6"/>
    <w:rsid w:val="007D1F55"/>
    <w:rsid w:val="007D1F9F"/>
    <w:rsid w:val="007D255B"/>
    <w:rsid w:val="007D2C41"/>
    <w:rsid w:val="007D4114"/>
    <w:rsid w:val="007D665A"/>
    <w:rsid w:val="007D6D1E"/>
    <w:rsid w:val="007E0F3F"/>
    <w:rsid w:val="007E1628"/>
    <w:rsid w:val="007E1752"/>
    <w:rsid w:val="007E1DFC"/>
    <w:rsid w:val="007E27DC"/>
    <w:rsid w:val="007E2C78"/>
    <w:rsid w:val="007E3369"/>
    <w:rsid w:val="007E3A53"/>
    <w:rsid w:val="007E4532"/>
    <w:rsid w:val="007E498F"/>
    <w:rsid w:val="007E4AB6"/>
    <w:rsid w:val="007E4D82"/>
    <w:rsid w:val="007E6074"/>
    <w:rsid w:val="007E6274"/>
    <w:rsid w:val="007F046A"/>
    <w:rsid w:val="007F14F2"/>
    <w:rsid w:val="007F2E70"/>
    <w:rsid w:val="007F2FCA"/>
    <w:rsid w:val="007F409E"/>
    <w:rsid w:val="007F49E0"/>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078B7"/>
    <w:rsid w:val="008101FD"/>
    <w:rsid w:val="0081024B"/>
    <w:rsid w:val="00810766"/>
    <w:rsid w:val="00813E0E"/>
    <w:rsid w:val="00820A2E"/>
    <w:rsid w:val="00822D6E"/>
    <w:rsid w:val="00823428"/>
    <w:rsid w:val="00824482"/>
    <w:rsid w:val="008248D2"/>
    <w:rsid w:val="00824A14"/>
    <w:rsid w:val="00825F0A"/>
    <w:rsid w:val="00826CEF"/>
    <w:rsid w:val="00827442"/>
    <w:rsid w:val="00827A16"/>
    <w:rsid w:val="00830711"/>
    <w:rsid w:val="0083329F"/>
    <w:rsid w:val="008335AD"/>
    <w:rsid w:val="008348B8"/>
    <w:rsid w:val="0083510A"/>
    <w:rsid w:val="00835328"/>
    <w:rsid w:val="00836175"/>
    <w:rsid w:val="008369BA"/>
    <w:rsid w:val="00840D32"/>
    <w:rsid w:val="008419FC"/>
    <w:rsid w:val="00842DA7"/>
    <w:rsid w:val="008436E2"/>
    <w:rsid w:val="00843933"/>
    <w:rsid w:val="00845611"/>
    <w:rsid w:val="00847228"/>
    <w:rsid w:val="00847823"/>
    <w:rsid w:val="008544A1"/>
    <w:rsid w:val="00855116"/>
    <w:rsid w:val="00856B13"/>
    <w:rsid w:val="00857079"/>
    <w:rsid w:val="008605F8"/>
    <w:rsid w:val="00861746"/>
    <w:rsid w:val="00861759"/>
    <w:rsid w:val="00861B0E"/>
    <w:rsid w:val="00863E62"/>
    <w:rsid w:val="00864105"/>
    <w:rsid w:val="00864C1F"/>
    <w:rsid w:val="00864DA7"/>
    <w:rsid w:val="00864DAA"/>
    <w:rsid w:val="00865450"/>
    <w:rsid w:val="00865D4B"/>
    <w:rsid w:val="008676FE"/>
    <w:rsid w:val="008702CA"/>
    <w:rsid w:val="00870689"/>
    <w:rsid w:val="00870E93"/>
    <w:rsid w:val="00870FA1"/>
    <w:rsid w:val="0087205D"/>
    <w:rsid w:val="00873199"/>
    <w:rsid w:val="008742BA"/>
    <w:rsid w:val="00875220"/>
    <w:rsid w:val="00875F74"/>
    <w:rsid w:val="008771C4"/>
    <w:rsid w:val="008803D4"/>
    <w:rsid w:val="00880942"/>
    <w:rsid w:val="00881AAE"/>
    <w:rsid w:val="00881F09"/>
    <w:rsid w:val="00885440"/>
    <w:rsid w:val="00886A2F"/>
    <w:rsid w:val="008902B4"/>
    <w:rsid w:val="008903C6"/>
    <w:rsid w:val="00891BEC"/>
    <w:rsid w:val="00891CD9"/>
    <w:rsid w:val="00895863"/>
    <w:rsid w:val="008A0804"/>
    <w:rsid w:val="008A1A7C"/>
    <w:rsid w:val="008A25E9"/>
    <w:rsid w:val="008A5127"/>
    <w:rsid w:val="008A59C0"/>
    <w:rsid w:val="008A6FE3"/>
    <w:rsid w:val="008A7F2C"/>
    <w:rsid w:val="008B08CA"/>
    <w:rsid w:val="008B2966"/>
    <w:rsid w:val="008B387E"/>
    <w:rsid w:val="008B4504"/>
    <w:rsid w:val="008B47A6"/>
    <w:rsid w:val="008B6065"/>
    <w:rsid w:val="008B7763"/>
    <w:rsid w:val="008B7E83"/>
    <w:rsid w:val="008C42CC"/>
    <w:rsid w:val="008C5704"/>
    <w:rsid w:val="008C6F24"/>
    <w:rsid w:val="008D0EE8"/>
    <w:rsid w:val="008D1403"/>
    <w:rsid w:val="008D2E81"/>
    <w:rsid w:val="008D38FD"/>
    <w:rsid w:val="008D3A4C"/>
    <w:rsid w:val="008D4D1D"/>
    <w:rsid w:val="008D4FF0"/>
    <w:rsid w:val="008D53B8"/>
    <w:rsid w:val="008D6406"/>
    <w:rsid w:val="008D6A35"/>
    <w:rsid w:val="008D6C77"/>
    <w:rsid w:val="008D77EB"/>
    <w:rsid w:val="008E0239"/>
    <w:rsid w:val="008E0E98"/>
    <w:rsid w:val="008E2218"/>
    <w:rsid w:val="008E26F1"/>
    <w:rsid w:val="008E28D9"/>
    <w:rsid w:val="008E2E0D"/>
    <w:rsid w:val="008E4317"/>
    <w:rsid w:val="008E4718"/>
    <w:rsid w:val="008E5B62"/>
    <w:rsid w:val="008E6208"/>
    <w:rsid w:val="008E7B31"/>
    <w:rsid w:val="008E7C0D"/>
    <w:rsid w:val="008E7FEB"/>
    <w:rsid w:val="008F11FD"/>
    <w:rsid w:val="008F12F1"/>
    <w:rsid w:val="008F16B5"/>
    <w:rsid w:val="008F17C2"/>
    <w:rsid w:val="008F2446"/>
    <w:rsid w:val="008F3A56"/>
    <w:rsid w:val="008F3B7F"/>
    <w:rsid w:val="008F5EEB"/>
    <w:rsid w:val="008F604C"/>
    <w:rsid w:val="008F6349"/>
    <w:rsid w:val="008F7F13"/>
    <w:rsid w:val="00901040"/>
    <w:rsid w:val="0090144C"/>
    <w:rsid w:val="0090255C"/>
    <w:rsid w:val="00904177"/>
    <w:rsid w:val="009057F6"/>
    <w:rsid w:val="00906613"/>
    <w:rsid w:val="00906AAD"/>
    <w:rsid w:val="00907A44"/>
    <w:rsid w:val="00907F37"/>
    <w:rsid w:val="0091074B"/>
    <w:rsid w:val="00910C2D"/>
    <w:rsid w:val="009112CD"/>
    <w:rsid w:val="00911CE9"/>
    <w:rsid w:val="00912BF1"/>
    <w:rsid w:val="00913162"/>
    <w:rsid w:val="009139B3"/>
    <w:rsid w:val="00914190"/>
    <w:rsid w:val="009153F3"/>
    <w:rsid w:val="00915C83"/>
    <w:rsid w:val="009165BF"/>
    <w:rsid w:val="00916F98"/>
    <w:rsid w:val="00921A82"/>
    <w:rsid w:val="00921AB0"/>
    <w:rsid w:val="00921BEE"/>
    <w:rsid w:val="00922284"/>
    <w:rsid w:val="00922C2F"/>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5102"/>
    <w:rsid w:val="00946B2C"/>
    <w:rsid w:val="0094787A"/>
    <w:rsid w:val="00950038"/>
    <w:rsid w:val="00950C4F"/>
    <w:rsid w:val="009513DA"/>
    <w:rsid w:val="009522A4"/>
    <w:rsid w:val="00952D4E"/>
    <w:rsid w:val="009549B8"/>
    <w:rsid w:val="00955B29"/>
    <w:rsid w:val="009565E9"/>
    <w:rsid w:val="00956FC4"/>
    <w:rsid w:val="00957224"/>
    <w:rsid w:val="009574C1"/>
    <w:rsid w:val="0095754C"/>
    <w:rsid w:val="00957A7D"/>
    <w:rsid w:val="00957F66"/>
    <w:rsid w:val="00957FCD"/>
    <w:rsid w:val="009605ED"/>
    <w:rsid w:val="00960FEC"/>
    <w:rsid w:val="009618E0"/>
    <w:rsid w:val="00963503"/>
    <w:rsid w:val="00963C72"/>
    <w:rsid w:val="00964AF2"/>
    <w:rsid w:val="00964CE8"/>
    <w:rsid w:val="00965DBD"/>
    <w:rsid w:val="00965E21"/>
    <w:rsid w:val="00966604"/>
    <w:rsid w:val="00967E17"/>
    <w:rsid w:val="009700BB"/>
    <w:rsid w:val="009702F9"/>
    <w:rsid w:val="00971944"/>
    <w:rsid w:val="00972C04"/>
    <w:rsid w:val="00972F1D"/>
    <w:rsid w:val="00974E6F"/>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0C4D"/>
    <w:rsid w:val="00991139"/>
    <w:rsid w:val="00992373"/>
    <w:rsid w:val="009929F8"/>
    <w:rsid w:val="00994871"/>
    <w:rsid w:val="00996201"/>
    <w:rsid w:val="00996D28"/>
    <w:rsid w:val="00997781"/>
    <w:rsid w:val="009A03A0"/>
    <w:rsid w:val="009A0444"/>
    <w:rsid w:val="009A1316"/>
    <w:rsid w:val="009A1C9C"/>
    <w:rsid w:val="009A26E8"/>
    <w:rsid w:val="009A2FB4"/>
    <w:rsid w:val="009A3130"/>
    <w:rsid w:val="009A39E1"/>
    <w:rsid w:val="009A3AD8"/>
    <w:rsid w:val="009A4183"/>
    <w:rsid w:val="009A4CF5"/>
    <w:rsid w:val="009A5620"/>
    <w:rsid w:val="009A6EE8"/>
    <w:rsid w:val="009A7857"/>
    <w:rsid w:val="009B0336"/>
    <w:rsid w:val="009B0D1B"/>
    <w:rsid w:val="009B0F58"/>
    <w:rsid w:val="009B1B2D"/>
    <w:rsid w:val="009B2078"/>
    <w:rsid w:val="009B212E"/>
    <w:rsid w:val="009B2156"/>
    <w:rsid w:val="009B38CF"/>
    <w:rsid w:val="009B3BA2"/>
    <w:rsid w:val="009B4639"/>
    <w:rsid w:val="009B5B1B"/>
    <w:rsid w:val="009B6563"/>
    <w:rsid w:val="009B7380"/>
    <w:rsid w:val="009B7C41"/>
    <w:rsid w:val="009C100D"/>
    <w:rsid w:val="009C17F2"/>
    <w:rsid w:val="009C186D"/>
    <w:rsid w:val="009C2176"/>
    <w:rsid w:val="009C30AB"/>
    <w:rsid w:val="009C318A"/>
    <w:rsid w:val="009C3380"/>
    <w:rsid w:val="009C3CDC"/>
    <w:rsid w:val="009C643F"/>
    <w:rsid w:val="009C6A51"/>
    <w:rsid w:val="009C6EB1"/>
    <w:rsid w:val="009C75B8"/>
    <w:rsid w:val="009C7FE5"/>
    <w:rsid w:val="009D11FF"/>
    <w:rsid w:val="009D1824"/>
    <w:rsid w:val="009D1AE2"/>
    <w:rsid w:val="009D2FBA"/>
    <w:rsid w:val="009D418C"/>
    <w:rsid w:val="009D4CAC"/>
    <w:rsid w:val="009D4FBC"/>
    <w:rsid w:val="009D5408"/>
    <w:rsid w:val="009D6280"/>
    <w:rsid w:val="009D6447"/>
    <w:rsid w:val="009D7203"/>
    <w:rsid w:val="009D7981"/>
    <w:rsid w:val="009E005A"/>
    <w:rsid w:val="009E13D5"/>
    <w:rsid w:val="009E176B"/>
    <w:rsid w:val="009E182D"/>
    <w:rsid w:val="009E18CB"/>
    <w:rsid w:val="009E2F56"/>
    <w:rsid w:val="009E37F6"/>
    <w:rsid w:val="009E6850"/>
    <w:rsid w:val="009E7E38"/>
    <w:rsid w:val="009F1D23"/>
    <w:rsid w:val="009F233B"/>
    <w:rsid w:val="009F265B"/>
    <w:rsid w:val="009F2F68"/>
    <w:rsid w:val="009F36B3"/>
    <w:rsid w:val="009F3FB0"/>
    <w:rsid w:val="009F482C"/>
    <w:rsid w:val="009F4C30"/>
    <w:rsid w:val="009F5227"/>
    <w:rsid w:val="009F56E6"/>
    <w:rsid w:val="009F57EB"/>
    <w:rsid w:val="009F64C9"/>
    <w:rsid w:val="009F666A"/>
    <w:rsid w:val="009F68DB"/>
    <w:rsid w:val="009F703D"/>
    <w:rsid w:val="00A00260"/>
    <w:rsid w:val="00A00728"/>
    <w:rsid w:val="00A01670"/>
    <w:rsid w:val="00A016FE"/>
    <w:rsid w:val="00A021F7"/>
    <w:rsid w:val="00A022BA"/>
    <w:rsid w:val="00A02AF5"/>
    <w:rsid w:val="00A031B1"/>
    <w:rsid w:val="00A0347E"/>
    <w:rsid w:val="00A03E3F"/>
    <w:rsid w:val="00A0527D"/>
    <w:rsid w:val="00A0697F"/>
    <w:rsid w:val="00A0761C"/>
    <w:rsid w:val="00A1108E"/>
    <w:rsid w:val="00A11624"/>
    <w:rsid w:val="00A1260A"/>
    <w:rsid w:val="00A1271A"/>
    <w:rsid w:val="00A127B4"/>
    <w:rsid w:val="00A133F1"/>
    <w:rsid w:val="00A13627"/>
    <w:rsid w:val="00A136C8"/>
    <w:rsid w:val="00A13D07"/>
    <w:rsid w:val="00A20059"/>
    <w:rsid w:val="00A20BF1"/>
    <w:rsid w:val="00A2200C"/>
    <w:rsid w:val="00A22930"/>
    <w:rsid w:val="00A250BB"/>
    <w:rsid w:val="00A254AA"/>
    <w:rsid w:val="00A25639"/>
    <w:rsid w:val="00A26A46"/>
    <w:rsid w:val="00A27CD0"/>
    <w:rsid w:val="00A30EB3"/>
    <w:rsid w:val="00A31D3A"/>
    <w:rsid w:val="00A34B49"/>
    <w:rsid w:val="00A34FBF"/>
    <w:rsid w:val="00A362B6"/>
    <w:rsid w:val="00A3677D"/>
    <w:rsid w:val="00A370C2"/>
    <w:rsid w:val="00A41359"/>
    <w:rsid w:val="00A4192A"/>
    <w:rsid w:val="00A42647"/>
    <w:rsid w:val="00A4270B"/>
    <w:rsid w:val="00A43E24"/>
    <w:rsid w:val="00A45F08"/>
    <w:rsid w:val="00A4758E"/>
    <w:rsid w:val="00A5230F"/>
    <w:rsid w:val="00A52FFB"/>
    <w:rsid w:val="00A5407E"/>
    <w:rsid w:val="00A547A1"/>
    <w:rsid w:val="00A55018"/>
    <w:rsid w:val="00A5504D"/>
    <w:rsid w:val="00A550B4"/>
    <w:rsid w:val="00A55A4D"/>
    <w:rsid w:val="00A6019B"/>
    <w:rsid w:val="00A6258E"/>
    <w:rsid w:val="00A63495"/>
    <w:rsid w:val="00A6372A"/>
    <w:rsid w:val="00A6397A"/>
    <w:rsid w:val="00A643DF"/>
    <w:rsid w:val="00A65ACA"/>
    <w:rsid w:val="00A67DFF"/>
    <w:rsid w:val="00A708A8"/>
    <w:rsid w:val="00A711FE"/>
    <w:rsid w:val="00A71475"/>
    <w:rsid w:val="00A714DC"/>
    <w:rsid w:val="00A7179C"/>
    <w:rsid w:val="00A7461A"/>
    <w:rsid w:val="00A758B2"/>
    <w:rsid w:val="00A75DB6"/>
    <w:rsid w:val="00A75E8F"/>
    <w:rsid w:val="00A761CB"/>
    <w:rsid w:val="00A7663D"/>
    <w:rsid w:val="00A76B41"/>
    <w:rsid w:val="00A76FEC"/>
    <w:rsid w:val="00A773BA"/>
    <w:rsid w:val="00A777F9"/>
    <w:rsid w:val="00A77FEE"/>
    <w:rsid w:val="00A80A2B"/>
    <w:rsid w:val="00A80ED9"/>
    <w:rsid w:val="00A81F6B"/>
    <w:rsid w:val="00A82152"/>
    <w:rsid w:val="00A82A26"/>
    <w:rsid w:val="00A84739"/>
    <w:rsid w:val="00A85701"/>
    <w:rsid w:val="00A863AC"/>
    <w:rsid w:val="00A86AB5"/>
    <w:rsid w:val="00A86D32"/>
    <w:rsid w:val="00A87EEE"/>
    <w:rsid w:val="00A87FA8"/>
    <w:rsid w:val="00A90ED1"/>
    <w:rsid w:val="00A9201F"/>
    <w:rsid w:val="00A93035"/>
    <w:rsid w:val="00A93FC1"/>
    <w:rsid w:val="00A9460D"/>
    <w:rsid w:val="00A95930"/>
    <w:rsid w:val="00A95D59"/>
    <w:rsid w:val="00A95E75"/>
    <w:rsid w:val="00A968B2"/>
    <w:rsid w:val="00A97F4A"/>
    <w:rsid w:val="00AA0495"/>
    <w:rsid w:val="00AA12B8"/>
    <w:rsid w:val="00AA1381"/>
    <w:rsid w:val="00AA3138"/>
    <w:rsid w:val="00AA3156"/>
    <w:rsid w:val="00AA34BD"/>
    <w:rsid w:val="00AA4F09"/>
    <w:rsid w:val="00AA602B"/>
    <w:rsid w:val="00AA7837"/>
    <w:rsid w:val="00AA7CD2"/>
    <w:rsid w:val="00AB0B75"/>
    <w:rsid w:val="00AB10CD"/>
    <w:rsid w:val="00AB1B48"/>
    <w:rsid w:val="00AB2DEA"/>
    <w:rsid w:val="00AB32C2"/>
    <w:rsid w:val="00AB3D7B"/>
    <w:rsid w:val="00AB43C5"/>
    <w:rsid w:val="00AC2491"/>
    <w:rsid w:val="00AC5F36"/>
    <w:rsid w:val="00AC6D20"/>
    <w:rsid w:val="00AD1059"/>
    <w:rsid w:val="00AD121A"/>
    <w:rsid w:val="00AD31DB"/>
    <w:rsid w:val="00AD3261"/>
    <w:rsid w:val="00AD4355"/>
    <w:rsid w:val="00AD4754"/>
    <w:rsid w:val="00AD4A81"/>
    <w:rsid w:val="00AD6675"/>
    <w:rsid w:val="00AD764B"/>
    <w:rsid w:val="00AD7C35"/>
    <w:rsid w:val="00AE0558"/>
    <w:rsid w:val="00AE0F36"/>
    <w:rsid w:val="00AE158F"/>
    <w:rsid w:val="00AE1A0F"/>
    <w:rsid w:val="00AE2FD2"/>
    <w:rsid w:val="00AE3F5F"/>
    <w:rsid w:val="00AE41B4"/>
    <w:rsid w:val="00AE41E7"/>
    <w:rsid w:val="00AE5C11"/>
    <w:rsid w:val="00AE6A0D"/>
    <w:rsid w:val="00AE7003"/>
    <w:rsid w:val="00AF0FA5"/>
    <w:rsid w:val="00AF1B16"/>
    <w:rsid w:val="00AF225E"/>
    <w:rsid w:val="00AF22B5"/>
    <w:rsid w:val="00AF2CFC"/>
    <w:rsid w:val="00AF36E7"/>
    <w:rsid w:val="00AF46E4"/>
    <w:rsid w:val="00AF5121"/>
    <w:rsid w:val="00AF60FE"/>
    <w:rsid w:val="00AF623C"/>
    <w:rsid w:val="00AF69B9"/>
    <w:rsid w:val="00AF773F"/>
    <w:rsid w:val="00B00442"/>
    <w:rsid w:val="00B00A43"/>
    <w:rsid w:val="00B0376C"/>
    <w:rsid w:val="00B044CA"/>
    <w:rsid w:val="00B0597C"/>
    <w:rsid w:val="00B0615A"/>
    <w:rsid w:val="00B07181"/>
    <w:rsid w:val="00B10A9C"/>
    <w:rsid w:val="00B12279"/>
    <w:rsid w:val="00B12DD6"/>
    <w:rsid w:val="00B13DC4"/>
    <w:rsid w:val="00B147C7"/>
    <w:rsid w:val="00B1633C"/>
    <w:rsid w:val="00B173D9"/>
    <w:rsid w:val="00B17B7C"/>
    <w:rsid w:val="00B21798"/>
    <w:rsid w:val="00B22486"/>
    <w:rsid w:val="00B22E7A"/>
    <w:rsid w:val="00B22EEC"/>
    <w:rsid w:val="00B23277"/>
    <w:rsid w:val="00B23537"/>
    <w:rsid w:val="00B23E69"/>
    <w:rsid w:val="00B243D3"/>
    <w:rsid w:val="00B245AD"/>
    <w:rsid w:val="00B26A5E"/>
    <w:rsid w:val="00B2702D"/>
    <w:rsid w:val="00B2713B"/>
    <w:rsid w:val="00B27ACB"/>
    <w:rsid w:val="00B30371"/>
    <w:rsid w:val="00B322A2"/>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6D7B"/>
    <w:rsid w:val="00B5792C"/>
    <w:rsid w:val="00B614DD"/>
    <w:rsid w:val="00B62224"/>
    <w:rsid w:val="00B649A3"/>
    <w:rsid w:val="00B64D05"/>
    <w:rsid w:val="00B65E39"/>
    <w:rsid w:val="00B66548"/>
    <w:rsid w:val="00B66A25"/>
    <w:rsid w:val="00B66ADC"/>
    <w:rsid w:val="00B67D92"/>
    <w:rsid w:val="00B70207"/>
    <w:rsid w:val="00B70460"/>
    <w:rsid w:val="00B7196A"/>
    <w:rsid w:val="00B71A8C"/>
    <w:rsid w:val="00B748BA"/>
    <w:rsid w:val="00B756A6"/>
    <w:rsid w:val="00B7676F"/>
    <w:rsid w:val="00B76CDE"/>
    <w:rsid w:val="00B80012"/>
    <w:rsid w:val="00B807F1"/>
    <w:rsid w:val="00B824B7"/>
    <w:rsid w:val="00B83DCE"/>
    <w:rsid w:val="00B84226"/>
    <w:rsid w:val="00B84C53"/>
    <w:rsid w:val="00B85B26"/>
    <w:rsid w:val="00B866CE"/>
    <w:rsid w:val="00B86C21"/>
    <w:rsid w:val="00B87358"/>
    <w:rsid w:val="00B902FE"/>
    <w:rsid w:val="00B913C3"/>
    <w:rsid w:val="00B915E0"/>
    <w:rsid w:val="00B929A5"/>
    <w:rsid w:val="00B9441B"/>
    <w:rsid w:val="00B94FD6"/>
    <w:rsid w:val="00B9565E"/>
    <w:rsid w:val="00B95BF2"/>
    <w:rsid w:val="00B964C1"/>
    <w:rsid w:val="00B96BA7"/>
    <w:rsid w:val="00B9768B"/>
    <w:rsid w:val="00BA1062"/>
    <w:rsid w:val="00BA1810"/>
    <w:rsid w:val="00BA1876"/>
    <w:rsid w:val="00BA249A"/>
    <w:rsid w:val="00BA2F20"/>
    <w:rsid w:val="00BA43FB"/>
    <w:rsid w:val="00BA4427"/>
    <w:rsid w:val="00BA4759"/>
    <w:rsid w:val="00BA4C22"/>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E60"/>
    <w:rsid w:val="00BC37C0"/>
    <w:rsid w:val="00BC3FFC"/>
    <w:rsid w:val="00BC49F2"/>
    <w:rsid w:val="00BC4D9B"/>
    <w:rsid w:val="00BC5102"/>
    <w:rsid w:val="00BC5DF5"/>
    <w:rsid w:val="00BC70DD"/>
    <w:rsid w:val="00BD18D9"/>
    <w:rsid w:val="00BD2AAD"/>
    <w:rsid w:val="00BD4B46"/>
    <w:rsid w:val="00BD55F4"/>
    <w:rsid w:val="00BD56C1"/>
    <w:rsid w:val="00BD5D4A"/>
    <w:rsid w:val="00BD702B"/>
    <w:rsid w:val="00BD7034"/>
    <w:rsid w:val="00BD734A"/>
    <w:rsid w:val="00BD7B78"/>
    <w:rsid w:val="00BE1499"/>
    <w:rsid w:val="00BE1A9A"/>
    <w:rsid w:val="00BE20EE"/>
    <w:rsid w:val="00BE22CD"/>
    <w:rsid w:val="00BE3BB4"/>
    <w:rsid w:val="00BE6195"/>
    <w:rsid w:val="00BE771B"/>
    <w:rsid w:val="00BE773B"/>
    <w:rsid w:val="00BF03C1"/>
    <w:rsid w:val="00BF2D47"/>
    <w:rsid w:val="00BF2F09"/>
    <w:rsid w:val="00BF2F18"/>
    <w:rsid w:val="00BF36DD"/>
    <w:rsid w:val="00BF4F39"/>
    <w:rsid w:val="00BF50AB"/>
    <w:rsid w:val="00BF60A6"/>
    <w:rsid w:val="00BF60EA"/>
    <w:rsid w:val="00BF6B6E"/>
    <w:rsid w:val="00C0139D"/>
    <w:rsid w:val="00C01792"/>
    <w:rsid w:val="00C02732"/>
    <w:rsid w:val="00C02825"/>
    <w:rsid w:val="00C0378E"/>
    <w:rsid w:val="00C03C16"/>
    <w:rsid w:val="00C05343"/>
    <w:rsid w:val="00C05352"/>
    <w:rsid w:val="00C05D12"/>
    <w:rsid w:val="00C0654B"/>
    <w:rsid w:val="00C0763E"/>
    <w:rsid w:val="00C07C81"/>
    <w:rsid w:val="00C121E2"/>
    <w:rsid w:val="00C12375"/>
    <w:rsid w:val="00C125AC"/>
    <w:rsid w:val="00C12C44"/>
    <w:rsid w:val="00C138CF"/>
    <w:rsid w:val="00C1442B"/>
    <w:rsid w:val="00C1455F"/>
    <w:rsid w:val="00C16048"/>
    <w:rsid w:val="00C160D0"/>
    <w:rsid w:val="00C17DA7"/>
    <w:rsid w:val="00C20CF5"/>
    <w:rsid w:val="00C2183D"/>
    <w:rsid w:val="00C30B20"/>
    <w:rsid w:val="00C32311"/>
    <w:rsid w:val="00C32404"/>
    <w:rsid w:val="00C32DA5"/>
    <w:rsid w:val="00C34292"/>
    <w:rsid w:val="00C349D0"/>
    <w:rsid w:val="00C36511"/>
    <w:rsid w:val="00C36E13"/>
    <w:rsid w:val="00C37BD9"/>
    <w:rsid w:val="00C40989"/>
    <w:rsid w:val="00C40F9A"/>
    <w:rsid w:val="00C41730"/>
    <w:rsid w:val="00C449D2"/>
    <w:rsid w:val="00C45677"/>
    <w:rsid w:val="00C45E79"/>
    <w:rsid w:val="00C46258"/>
    <w:rsid w:val="00C46CF6"/>
    <w:rsid w:val="00C47748"/>
    <w:rsid w:val="00C47ADE"/>
    <w:rsid w:val="00C505CF"/>
    <w:rsid w:val="00C5076C"/>
    <w:rsid w:val="00C51505"/>
    <w:rsid w:val="00C51819"/>
    <w:rsid w:val="00C536AD"/>
    <w:rsid w:val="00C5404C"/>
    <w:rsid w:val="00C5420A"/>
    <w:rsid w:val="00C60718"/>
    <w:rsid w:val="00C60AB8"/>
    <w:rsid w:val="00C614BC"/>
    <w:rsid w:val="00C62A96"/>
    <w:rsid w:val="00C645C1"/>
    <w:rsid w:val="00C64B27"/>
    <w:rsid w:val="00C661C3"/>
    <w:rsid w:val="00C661D4"/>
    <w:rsid w:val="00C673FC"/>
    <w:rsid w:val="00C708BE"/>
    <w:rsid w:val="00C724A1"/>
    <w:rsid w:val="00C72B7B"/>
    <w:rsid w:val="00C73360"/>
    <w:rsid w:val="00C73A4C"/>
    <w:rsid w:val="00C7441A"/>
    <w:rsid w:val="00C75EDE"/>
    <w:rsid w:val="00C76833"/>
    <w:rsid w:val="00C811C0"/>
    <w:rsid w:val="00C820A0"/>
    <w:rsid w:val="00C832B9"/>
    <w:rsid w:val="00C85A45"/>
    <w:rsid w:val="00C86CB2"/>
    <w:rsid w:val="00C90F01"/>
    <w:rsid w:val="00C91C71"/>
    <w:rsid w:val="00C91CBE"/>
    <w:rsid w:val="00C91E6F"/>
    <w:rsid w:val="00C922CB"/>
    <w:rsid w:val="00C93A2E"/>
    <w:rsid w:val="00C9402C"/>
    <w:rsid w:val="00C95126"/>
    <w:rsid w:val="00C952A0"/>
    <w:rsid w:val="00C95DFF"/>
    <w:rsid w:val="00CA1962"/>
    <w:rsid w:val="00CA263E"/>
    <w:rsid w:val="00CA26A0"/>
    <w:rsid w:val="00CA30F2"/>
    <w:rsid w:val="00CA3D89"/>
    <w:rsid w:val="00CA40FC"/>
    <w:rsid w:val="00CA5177"/>
    <w:rsid w:val="00CA5746"/>
    <w:rsid w:val="00CA5C97"/>
    <w:rsid w:val="00CA6C20"/>
    <w:rsid w:val="00CA72A5"/>
    <w:rsid w:val="00CA7D03"/>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7751"/>
    <w:rsid w:val="00CC77EF"/>
    <w:rsid w:val="00CD0219"/>
    <w:rsid w:val="00CD0DD2"/>
    <w:rsid w:val="00CD2560"/>
    <w:rsid w:val="00CD3755"/>
    <w:rsid w:val="00CD3B2C"/>
    <w:rsid w:val="00CD4021"/>
    <w:rsid w:val="00CD45D1"/>
    <w:rsid w:val="00CD479D"/>
    <w:rsid w:val="00CD4B50"/>
    <w:rsid w:val="00CD55F4"/>
    <w:rsid w:val="00CD57BA"/>
    <w:rsid w:val="00CD6616"/>
    <w:rsid w:val="00CE018E"/>
    <w:rsid w:val="00CE0B9C"/>
    <w:rsid w:val="00CE11B8"/>
    <w:rsid w:val="00CE2104"/>
    <w:rsid w:val="00CE3E3B"/>
    <w:rsid w:val="00CE3F1B"/>
    <w:rsid w:val="00CE57AA"/>
    <w:rsid w:val="00CE5B9B"/>
    <w:rsid w:val="00CE62B5"/>
    <w:rsid w:val="00CE65CD"/>
    <w:rsid w:val="00CE7A4A"/>
    <w:rsid w:val="00CF1339"/>
    <w:rsid w:val="00CF1B65"/>
    <w:rsid w:val="00CF1CAD"/>
    <w:rsid w:val="00CF1DED"/>
    <w:rsid w:val="00CF3FED"/>
    <w:rsid w:val="00CF4C08"/>
    <w:rsid w:val="00CF591B"/>
    <w:rsid w:val="00CF6D35"/>
    <w:rsid w:val="00D00507"/>
    <w:rsid w:val="00D022D6"/>
    <w:rsid w:val="00D064C5"/>
    <w:rsid w:val="00D07CC8"/>
    <w:rsid w:val="00D07E14"/>
    <w:rsid w:val="00D10704"/>
    <w:rsid w:val="00D1078B"/>
    <w:rsid w:val="00D10E39"/>
    <w:rsid w:val="00D1170A"/>
    <w:rsid w:val="00D126F7"/>
    <w:rsid w:val="00D1290D"/>
    <w:rsid w:val="00D12A5D"/>
    <w:rsid w:val="00D1343F"/>
    <w:rsid w:val="00D13AA8"/>
    <w:rsid w:val="00D13BB1"/>
    <w:rsid w:val="00D13FC8"/>
    <w:rsid w:val="00D1506E"/>
    <w:rsid w:val="00D171A9"/>
    <w:rsid w:val="00D1728A"/>
    <w:rsid w:val="00D20496"/>
    <w:rsid w:val="00D2086D"/>
    <w:rsid w:val="00D209AE"/>
    <w:rsid w:val="00D22777"/>
    <w:rsid w:val="00D239B5"/>
    <w:rsid w:val="00D24803"/>
    <w:rsid w:val="00D24AC7"/>
    <w:rsid w:val="00D25CF7"/>
    <w:rsid w:val="00D30036"/>
    <w:rsid w:val="00D30B6F"/>
    <w:rsid w:val="00D32390"/>
    <w:rsid w:val="00D328E1"/>
    <w:rsid w:val="00D32B72"/>
    <w:rsid w:val="00D337AA"/>
    <w:rsid w:val="00D33888"/>
    <w:rsid w:val="00D34A63"/>
    <w:rsid w:val="00D35F4F"/>
    <w:rsid w:val="00D36642"/>
    <w:rsid w:val="00D36B34"/>
    <w:rsid w:val="00D37229"/>
    <w:rsid w:val="00D37685"/>
    <w:rsid w:val="00D37C27"/>
    <w:rsid w:val="00D4033C"/>
    <w:rsid w:val="00D421DB"/>
    <w:rsid w:val="00D42447"/>
    <w:rsid w:val="00D42BE1"/>
    <w:rsid w:val="00D42E76"/>
    <w:rsid w:val="00D43591"/>
    <w:rsid w:val="00D435C0"/>
    <w:rsid w:val="00D45077"/>
    <w:rsid w:val="00D4533E"/>
    <w:rsid w:val="00D453C0"/>
    <w:rsid w:val="00D453F1"/>
    <w:rsid w:val="00D45504"/>
    <w:rsid w:val="00D46392"/>
    <w:rsid w:val="00D471FC"/>
    <w:rsid w:val="00D5040A"/>
    <w:rsid w:val="00D5346A"/>
    <w:rsid w:val="00D5360C"/>
    <w:rsid w:val="00D53A7D"/>
    <w:rsid w:val="00D53DC7"/>
    <w:rsid w:val="00D53DDB"/>
    <w:rsid w:val="00D54A0D"/>
    <w:rsid w:val="00D55767"/>
    <w:rsid w:val="00D55FFB"/>
    <w:rsid w:val="00D6011C"/>
    <w:rsid w:val="00D60560"/>
    <w:rsid w:val="00D61DB7"/>
    <w:rsid w:val="00D629C4"/>
    <w:rsid w:val="00D635FC"/>
    <w:rsid w:val="00D63A81"/>
    <w:rsid w:val="00D64249"/>
    <w:rsid w:val="00D65E20"/>
    <w:rsid w:val="00D66515"/>
    <w:rsid w:val="00D666F1"/>
    <w:rsid w:val="00D677B1"/>
    <w:rsid w:val="00D67DE7"/>
    <w:rsid w:val="00D70281"/>
    <w:rsid w:val="00D71987"/>
    <w:rsid w:val="00D71BA0"/>
    <w:rsid w:val="00D71D5C"/>
    <w:rsid w:val="00D726F5"/>
    <w:rsid w:val="00D73453"/>
    <w:rsid w:val="00D735C6"/>
    <w:rsid w:val="00D749DF"/>
    <w:rsid w:val="00D754DA"/>
    <w:rsid w:val="00D75DCE"/>
    <w:rsid w:val="00D764F2"/>
    <w:rsid w:val="00D76909"/>
    <w:rsid w:val="00D77372"/>
    <w:rsid w:val="00D80C69"/>
    <w:rsid w:val="00D8100D"/>
    <w:rsid w:val="00D82755"/>
    <w:rsid w:val="00D828CB"/>
    <w:rsid w:val="00D82E67"/>
    <w:rsid w:val="00D831A9"/>
    <w:rsid w:val="00D831AC"/>
    <w:rsid w:val="00D8446D"/>
    <w:rsid w:val="00D8511E"/>
    <w:rsid w:val="00D85FBA"/>
    <w:rsid w:val="00D85FFB"/>
    <w:rsid w:val="00D90C1E"/>
    <w:rsid w:val="00D92C65"/>
    <w:rsid w:val="00D93D83"/>
    <w:rsid w:val="00D9561B"/>
    <w:rsid w:val="00D975F4"/>
    <w:rsid w:val="00D9779D"/>
    <w:rsid w:val="00D97926"/>
    <w:rsid w:val="00D97AB3"/>
    <w:rsid w:val="00DA0239"/>
    <w:rsid w:val="00DA0513"/>
    <w:rsid w:val="00DA0A19"/>
    <w:rsid w:val="00DA0C7B"/>
    <w:rsid w:val="00DA14BD"/>
    <w:rsid w:val="00DA1770"/>
    <w:rsid w:val="00DA208B"/>
    <w:rsid w:val="00DA3494"/>
    <w:rsid w:val="00DA34BA"/>
    <w:rsid w:val="00DA3557"/>
    <w:rsid w:val="00DA4701"/>
    <w:rsid w:val="00DA5047"/>
    <w:rsid w:val="00DA5FEC"/>
    <w:rsid w:val="00DA6104"/>
    <w:rsid w:val="00DA7298"/>
    <w:rsid w:val="00DB084A"/>
    <w:rsid w:val="00DB3A56"/>
    <w:rsid w:val="00DB3B66"/>
    <w:rsid w:val="00DB5209"/>
    <w:rsid w:val="00DB5F23"/>
    <w:rsid w:val="00DB6FF9"/>
    <w:rsid w:val="00DB74F7"/>
    <w:rsid w:val="00DC055F"/>
    <w:rsid w:val="00DC3AF0"/>
    <w:rsid w:val="00DC4BB8"/>
    <w:rsid w:val="00DC65F2"/>
    <w:rsid w:val="00DC77EC"/>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AB3"/>
    <w:rsid w:val="00DE3ED7"/>
    <w:rsid w:val="00DE57DB"/>
    <w:rsid w:val="00DE5C1B"/>
    <w:rsid w:val="00DE6A7F"/>
    <w:rsid w:val="00DE6DBE"/>
    <w:rsid w:val="00DE70AC"/>
    <w:rsid w:val="00DE7121"/>
    <w:rsid w:val="00DF07C4"/>
    <w:rsid w:val="00DF1291"/>
    <w:rsid w:val="00DF3A11"/>
    <w:rsid w:val="00DF4BBB"/>
    <w:rsid w:val="00DF4EBE"/>
    <w:rsid w:val="00DF5AAA"/>
    <w:rsid w:val="00DF64CA"/>
    <w:rsid w:val="00DF670C"/>
    <w:rsid w:val="00DF67C6"/>
    <w:rsid w:val="00DF6A4E"/>
    <w:rsid w:val="00E00913"/>
    <w:rsid w:val="00E017AF"/>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17E3C"/>
    <w:rsid w:val="00E200DD"/>
    <w:rsid w:val="00E22AC6"/>
    <w:rsid w:val="00E23498"/>
    <w:rsid w:val="00E24830"/>
    <w:rsid w:val="00E249CF"/>
    <w:rsid w:val="00E2514D"/>
    <w:rsid w:val="00E25A84"/>
    <w:rsid w:val="00E25C7D"/>
    <w:rsid w:val="00E2623B"/>
    <w:rsid w:val="00E273E5"/>
    <w:rsid w:val="00E30097"/>
    <w:rsid w:val="00E318A6"/>
    <w:rsid w:val="00E3282A"/>
    <w:rsid w:val="00E32E43"/>
    <w:rsid w:val="00E32FE9"/>
    <w:rsid w:val="00E334C6"/>
    <w:rsid w:val="00E3362A"/>
    <w:rsid w:val="00E3375B"/>
    <w:rsid w:val="00E33979"/>
    <w:rsid w:val="00E346A0"/>
    <w:rsid w:val="00E35E35"/>
    <w:rsid w:val="00E374EE"/>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4349"/>
    <w:rsid w:val="00E54BF7"/>
    <w:rsid w:val="00E577EC"/>
    <w:rsid w:val="00E60107"/>
    <w:rsid w:val="00E60C1F"/>
    <w:rsid w:val="00E60EFB"/>
    <w:rsid w:val="00E62285"/>
    <w:rsid w:val="00E62819"/>
    <w:rsid w:val="00E63960"/>
    <w:rsid w:val="00E6454B"/>
    <w:rsid w:val="00E64E94"/>
    <w:rsid w:val="00E65CC6"/>
    <w:rsid w:val="00E66801"/>
    <w:rsid w:val="00E66B1D"/>
    <w:rsid w:val="00E66F7B"/>
    <w:rsid w:val="00E70E18"/>
    <w:rsid w:val="00E71E25"/>
    <w:rsid w:val="00E76002"/>
    <w:rsid w:val="00E7747A"/>
    <w:rsid w:val="00E77520"/>
    <w:rsid w:val="00E77825"/>
    <w:rsid w:val="00E812AB"/>
    <w:rsid w:val="00E8250E"/>
    <w:rsid w:val="00E82660"/>
    <w:rsid w:val="00E840B7"/>
    <w:rsid w:val="00E85159"/>
    <w:rsid w:val="00E8551D"/>
    <w:rsid w:val="00E85A7E"/>
    <w:rsid w:val="00E85B5D"/>
    <w:rsid w:val="00E85C90"/>
    <w:rsid w:val="00E86547"/>
    <w:rsid w:val="00E86B2D"/>
    <w:rsid w:val="00E86F69"/>
    <w:rsid w:val="00E8705F"/>
    <w:rsid w:val="00E9020F"/>
    <w:rsid w:val="00E9045F"/>
    <w:rsid w:val="00E9269B"/>
    <w:rsid w:val="00E93BBC"/>
    <w:rsid w:val="00E93C29"/>
    <w:rsid w:val="00E93E1A"/>
    <w:rsid w:val="00E93FF2"/>
    <w:rsid w:val="00E940B2"/>
    <w:rsid w:val="00E95DBF"/>
    <w:rsid w:val="00E96EEB"/>
    <w:rsid w:val="00E97E92"/>
    <w:rsid w:val="00EA0D4F"/>
    <w:rsid w:val="00EA129D"/>
    <w:rsid w:val="00EA1B2B"/>
    <w:rsid w:val="00EA405B"/>
    <w:rsid w:val="00EA5748"/>
    <w:rsid w:val="00EB0D10"/>
    <w:rsid w:val="00EB45D0"/>
    <w:rsid w:val="00EB4C26"/>
    <w:rsid w:val="00EB4D4D"/>
    <w:rsid w:val="00EB6134"/>
    <w:rsid w:val="00EB62DB"/>
    <w:rsid w:val="00EB669F"/>
    <w:rsid w:val="00EB729D"/>
    <w:rsid w:val="00EB782A"/>
    <w:rsid w:val="00EC1A6C"/>
    <w:rsid w:val="00EC3344"/>
    <w:rsid w:val="00EC5EAD"/>
    <w:rsid w:val="00EC6081"/>
    <w:rsid w:val="00EC6CC0"/>
    <w:rsid w:val="00EC6DAB"/>
    <w:rsid w:val="00EC76ED"/>
    <w:rsid w:val="00ED1644"/>
    <w:rsid w:val="00ED3021"/>
    <w:rsid w:val="00ED391C"/>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6BD8"/>
    <w:rsid w:val="00EE7DC2"/>
    <w:rsid w:val="00EF065A"/>
    <w:rsid w:val="00EF0F2D"/>
    <w:rsid w:val="00EF152E"/>
    <w:rsid w:val="00EF189F"/>
    <w:rsid w:val="00EF197C"/>
    <w:rsid w:val="00EF254B"/>
    <w:rsid w:val="00EF4FF2"/>
    <w:rsid w:val="00EF5218"/>
    <w:rsid w:val="00EF5F86"/>
    <w:rsid w:val="00EF737D"/>
    <w:rsid w:val="00EF77F2"/>
    <w:rsid w:val="00EF7C75"/>
    <w:rsid w:val="00F03C97"/>
    <w:rsid w:val="00F04225"/>
    <w:rsid w:val="00F048A8"/>
    <w:rsid w:val="00F0652B"/>
    <w:rsid w:val="00F06A66"/>
    <w:rsid w:val="00F06D40"/>
    <w:rsid w:val="00F071DE"/>
    <w:rsid w:val="00F07600"/>
    <w:rsid w:val="00F076B0"/>
    <w:rsid w:val="00F07CC4"/>
    <w:rsid w:val="00F07F73"/>
    <w:rsid w:val="00F117FE"/>
    <w:rsid w:val="00F11B19"/>
    <w:rsid w:val="00F14A8D"/>
    <w:rsid w:val="00F15900"/>
    <w:rsid w:val="00F16353"/>
    <w:rsid w:val="00F177DE"/>
    <w:rsid w:val="00F17E4E"/>
    <w:rsid w:val="00F2035F"/>
    <w:rsid w:val="00F2063E"/>
    <w:rsid w:val="00F21545"/>
    <w:rsid w:val="00F24B8F"/>
    <w:rsid w:val="00F25344"/>
    <w:rsid w:val="00F2582A"/>
    <w:rsid w:val="00F25DDD"/>
    <w:rsid w:val="00F2627B"/>
    <w:rsid w:val="00F30325"/>
    <w:rsid w:val="00F342C0"/>
    <w:rsid w:val="00F342E7"/>
    <w:rsid w:val="00F345A8"/>
    <w:rsid w:val="00F365A9"/>
    <w:rsid w:val="00F40464"/>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67A"/>
    <w:rsid w:val="00F55741"/>
    <w:rsid w:val="00F56F31"/>
    <w:rsid w:val="00F577C9"/>
    <w:rsid w:val="00F577EE"/>
    <w:rsid w:val="00F61BD1"/>
    <w:rsid w:val="00F61ED2"/>
    <w:rsid w:val="00F6273D"/>
    <w:rsid w:val="00F636CC"/>
    <w:rsid w:val="00F6410D"/>
    <w:rsid w:val="00F64E96"/>
    <w:rsid w:val="00F654F8"/>
    <w:rsid w:val="00F6680D"/>
    <w:rsid w:val="00F66886"/>
    <w:rsid w:val="00F6730A"/>
    <w:rsid w:val="00F67F20"/>
    <w:rsid w:val="00F70384"/>
    <w:rsid w:val="00F70DF4"/>
    <w:rsid w:val="00F71081"/>
    <w:rsid w:val="00F71897"/>
    <w:rsid w:val="00F720D8"/>
    <w:rsid w:val="00F74630"/>
    <w:rsid w:val="00F774B3"/>
    <w:rsid w:val="00F81654"/>
    <w:rsid w:val="00F827C6"/>
    <w:rsid w:val="00F8386B"/>
    <w:rsid w:val="00F8533D"/>
    <w:rsid w:val="00F861DC"/>
    <w:rsid w:val="00F87376"/>
    <w:rsid w:val="00F9060E"/>
    <w:rsid w:val="00F9075B"/>
    <w:rsid w:val="00F909B3"/>
    <w:rsid w:val="00F90BA1"/>
    <w:rsid w:val="00F9122A"/>
    <w:rsid w:val="00F917E4"/>
    <w:rsid w:val="00F91D10"/>
    <w:rsid w:val="00F93A0D"/>
    <w:rsid w:val="00FA05D6"/>
    <w:rsid w:val="00FA125E"/>
    <w:rsid w:val="00FA6D2C"/>
    <w:rsid w:val="00FA7132"/>
    <w:rsid w:val="00FA7D2E"/>
    <w:rsid w:val="00FB00AB"/>
    <w:rsid w:val="00FB0936"/>
    <w:rsid w:val="00FB100C"/>
    <w:rsid w:val="00FB2A15"/>
    <w:rsid w:val="00FB2BE3"/>
    <w:rsid w:val="00FB3863"/>
    <w:rsid w:val="00FB5336"/>
    <w:rsid w:val="00FB5594"/>
    <w:rsid w:val="00FB5BF6"/>
    <w:rsid w:val="00FB761F"/>
    <w:rsid w:val="00FC2C5D"/>
    <w:rsid w:val="00FC413E"/>
    <w:rsid w:val="00FC4D55"/>
    <w:rsid w:val="00FC5907"/>
    <w:rsid w:val="00FC6DB8"/>
    <w:rsid w:val="00FC71A2"/>
    <w:rsid w:val="00FC7535"/>
    <w:rsid w:val="00FC7602"/>
    <w:rsid w:val="00FC779A"/>
    <w:rsid w:val="00FC7DAE"/>
    <w:rsid w:val="00FD22EC"/>
    <w:rsid w:val="00FD24BE"/>
    <w:rsid w:val="00FD2E1D"/>
    <w:rsid w:val="00FD3BB2"/>
    <w:rsid w:val="00FD48EC"/>
    <w:rsid w:val="00FD56DC"/>
    <w:rsid w:val="00FD7BAF"/>
    <w:rsid w:val="00FD7D8C"/>
    <w:rsid w:val="00FE01BB"/>
    <w:rsid w:val="00FE2727"/>
    <w:rsid w:val="00FE2976"/>
    <w:rsid w:val="00FE2A26"/>
    <w:rsid w:val="00FE318B"/>
    <w:rsid w:val="00FE3658"/>
    <w:rsid w:val="00FE3880"/>
    <w:rsid w:val="00FE3D41"/>
    <w:rsid w:val="00FE4187"/>
    <w:rsid w:val="00FE43D3"/>
    <w:rsid w:val="00FE4CDB"/>
    <w:rsid w:val="00FE5683"/>
    <w:rsid w:val="00FE6FE0"/>
    <w:rsid w:val="00FE7709"/>
    <w:rsid w:val="00FF03F7"/>
    <w:rsid w:val="00FF1055"/>
    <w:rsid w:val="00FF11DA"/>
    <w:rsid w:val="00FF16C2"/>
    <w:rsid w:val="00FF1D55"/>
    <w:rsid w:val="00FF27E6"/>
    <w:rsid w:val="00FF4404"/>
    <w:rsid w:val="00FF5C51"/>
    <w:rsid w:val="00FF6289"/>
    <w:rsid w:val="00FF6DC7"/>
    <w:rsid w:val="00FF76EA"/>
  </w:rsids>
  <w:docVars>
    <w:docVar w:name="__Grammarly_42___1" w:val="H4sIAAAAAAAEAKtWcslP9kxRslIyNDYyNTUwtjA0NDM0N7YwMDJX0lEKTi0uzszPAymwqAUA44TE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qFormat/>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3"/>
      </w:numPr>
      <w:adjustRightInd w:val="0"/>
      <w:spacing w:after="80" w:line="264" w:lineRule="auto"/>
    </w:pPr>
  </w:style>
  <w:style w:type="paragraph" w:customStyle="1" w:styleId="ListAlpha2">
    <w:name w:val="List Alpha 2"/>
    <w:basedOn w:val="List2"/>
    <w:qFormat/>
    <w:rsid w:val="004D64B5"/>
    <w:pPr>
      <w:numPr>
        <w:numId w:val="2"/>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7"/>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6"/>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ies.ed.gov/ncee/wwc/Docs/ReferenceResources/wwc_attrition_v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daca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4.xml><?xml version="1.0" encoding="utf-8"?>
<ds:datastoreItem xmlns:ds="http://schemas.openxmlformats.org/officeDocument/2006/customXml" ds:itemID="{381379FD-124E-4712-9AAF-6C92DEAE8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8882</Words>
  <Characters>50632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4</cp:revision>
  <cp:lastPrinted>2021-01-30T16:11:00Z</cp:lastPrinted>
  <dcterms:created xsi:type="dcterms:W3CDTF">2023-06-09T14:44:00Z</dcterms:created>
  <dcterms:modified xsi:type="dcterms:W3CDTF">2023-06-09T14:45:00Z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98000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