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714A" w:rsidP="00F06866" w:rsidRDefault="00F06866" w14:paraId="3F57C70D" w14:textId="77777777">
      <w:pPr>
        <w:pStyle w:val="Heading2"/>
        <w:tabs>
          <w:tab w:val="left" w:pos="900"/>
        </w:tabs>
        <w:ind w:right="-180"/>
      </w:pPr>
      <w:r>
        <w:rPr>
          <w:sz w:val="28"/>
        </w:rPr>
        <w:t xml:space="preserve">Request for </w:t>
      </w:r>
      <w:r w:rsidR="004F5C5A">
        <w:rPr>
          <w:sz w:val="28"/>
        </w:rPr>
        <w:t>A</w:t>
      </w:r>
      <w:r>
        <w:rPr>
          <w:sz w:val="28"/>
        </w:rPr>
        <w:t xml:space="preserve">pproval under the </w:t>
      </w:r>
      <w:r w:rsidR="00BD3E02">
        <w:rPr>
          <w:sz w:val="28"/>
        </w:rPr>
        <w:t>c</w:t>
      </w:r>
      <w:r w:rsidRPr="00F06866">
        <w:rPr>
          <w:sz w:val="28"/>
        </w:rPr>
        <w:t xml:space="preserve">learance </w:t>
      </w:r>
      <w:r w:rsidR="00BD3E02">
        <w:rPr>
          <w:sz w:val="28"/>
        </w:rPr>
        <w:t>of the</w:t>
      </w:r>
      <w:r w:rsidRPr="00F06866">
        <w:rPr>
          <w:sz w:val="28"/>
        </w:rPr>
        <w:t xml:space="preserve"> </w:t>
      </w:r>
      <w:r w:rsidR="00BD3E02">
        <w:rPr>
          <w:sz w:val="28"/>
        </w:rPr>
        <w:t xml:space="preserve">“Generic </w:t>
      </w:r>
      <w:r w:rsidR="009B611C">
        <w:rPr>
          <w:sz w:val="28"/>
        </w:rPr>
        <w:t>for ACF Program Office Monitoring Activities</w:t>
      </w:r>
      <w:r w:rsidR="00BC789E">
        <w:rPr>
          <w:sz w:val="28"/>
        </w:rPr>
        <w:t>” O</w:t>
      </w:r>
      <w:r w:rsidR="004F5C5A">
        <w:rPr>
          <w:sz w:val="28"/>
        </w:rPr>
        <w:t xml:space="preserve">ffice of </w:t>
      </w:r>
      <w:r w:rsidR="00BC789E">
        <w:rPr>
          <w:sz w:val="28"/>
        </w:rPr>
        <w:t>M</w:t>
      </w:r>
      <w:r w:rsidR="004F5C5A">
        <w:rPr>
          <w:sz w:val="28"/>
        </w:rPr>
        <w:t xml:space="preserve">anagement and </w:t>
      </w:r>
      <w:r w:rsidR="00BC789E">
        <w:rPr>
          <w:sz w:val="28"/>
        </w:rPr>
        <w:t>B</w:t>
      </w:r>
      <w:r w:rsidR="004F5C5A">
        <w:rPr>
          <w:sz w:val="28"/>
        </w:rPr>
        <w:t>udget (OMB)</w:t>
      </w:r>
      <w:r w:rsidR="00BC789E">
        <w:rPr>
          <w:sz w:val="28"/>
        </w:rPr>
        <w:t xml:space="preserve"> </w:t>
      </w:r>
      <w:r w:rsidR="004F5C5A">
        <w:rPr>
          <w:sz w:val="28"/>
        </w:rPr>
        <w:t>C</w:t>
      </w:r>
      <w:r w:rsidR="00BC789E">
        <w:rPr>
          <w:sz w:val="28"/>
        </w:rPr>
        <w:t>ontr</w:t>
      </w:r>
      <w:r>
        <w:rPr>
          <w:sz w:val="28"/>
        </w:rPr>
        <w:t xml:space="preserve">ol Number: </w:t>
      </w:r>
      <w:r w:rsidR="004F5C5A">
        <w:rPr>
          <w:sz w:val="28"/>
        </w:rPr>
        <w:t xml:space="preserve"> </w:t>
      </w:r>
      <w:r w:rsidR="00C25899">
        <w:rPr>
          <w:sz w:val="28"/>
        </w:rPr>
        <w:t>0970-</w:t>
      </w:r>
      <w:r w:rsidR="004E07C6">
        <w:rPr>
          <w:sz w:val="28"/>
        </w:rPr>
        <w:t>0558</w:t>
      </w:r>
    </w:p>
    <w:p w:rsidRPr="00D47391" w:rsidR="00BC789E" w:rsidRDefault="00833C62" w14:paraId="243F0562" w14:textId="2279D8C2">
      <w:pPr>
        <w:rPr>
          <w:bCs/>
        </w:rPr>
      </w:pPr>
      <w:r>
        <w:rPr>
          <w:b/>
          <w:noProof/>
        </w:rPr>
        <mc:AlternateContent>
          <mc:Choice Requires="wps">
            <w:drawing>
              <wp:anchor distT="0" distB="0" distL="114300" distR="114300" simplePos="0" relativeHeight="251657216" behindDoc="0" locked="0" layoutInCell="0" allowOverlap="1" wp14:editId="7248BC87" wp14:anchorId="1CDD5669">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78A0E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E63ADE">
        <w:rPr>
          <w:bCs/>
        </w:rPr>
        <w:t xml:space="preserve">Office of Head Start Survey on Background Checks and Staffing </w:t>
      </w:r>
    </w:p>
    <w:p w:rsidR="00BC789E" w:rsidRDefault="00BC789E" w14:paraId="20BE4CA8" w14:textId="77777777">
      <w:pPr>
        <w:rPr>
          <w:b/>
        </w:rPr>
      </w:pPr>
    </w:p>
    <w:p w:rsidR="00F15956" w:rsidRDefault="00F15956" w14:paraId="184EA056" w14:textId="7ADF6396">
      <w:r>
        <w:rPr>
          <w:b/>
        </w:rPr>
        <w:t>PURPOSE</w:t>
      </w:r>
      <w:r w:rsidRPr="009239AA">
        <w:rPr>
          <w:b/>
        </w:rPr>
        <w:t>:</w:t>
      </w:r>
      <w:r w:rsidRPr="009239AA" w:rsidR="00C14CC4">
        <w:rPr>
          <w:b/>
        </w:rPr>
        <w:t xml:space="preserve">  </w:t>
      </w:r>
      <w:r w:rsidR="00454F47">
        <w:t xml:space="preserve">Head Start grantees are responsible for completing comprehensive background checks on all prospective employees as set forth in the Head Start Program Performance Standards </w:t>
      </w:r>
      <w:r w:rsidRPr="00454F47" w:rsidR="00454F47">
        <w:t>under §1302.90(b)</w:t>
      </w:r>
      <w:r w:rsidR="00E85FF0">
        <w:t xml:space="preserve"> (OMB #: 0970-0148)</w:t>
      </w:r>
      <w:r w:rsidRPr="00454F47" w:rsidR="00454F47">
        <w:t>.</w:t>
      </w:r>
      <w:r w:rsidR="00454F47">
        <w:t xml:space="preserve"> Grantees have reported </w:t>
      </w:r>
      <w:r w:rsidR="005755D2">
        <w:t xml:space="preserve">anecdotally on </w:t>
      </w:r>
      <w:r w:rsidR="00D47391">
        <w:t xml:space="preserve">workforce </w:t>
      </w:r>
      <w:r w:rsidR="00454F47">
        <w:t xml:space="preserve">challenges </w:t>
      </w:r>
      <w:r w:rsidR="00D47391">
        <w:t xml:space="preserve">related to recruitment and retention of staff and with complying with </w:t>
      </w:r>
      <w:r w:rsidR="00454F47">
        <w:t>comprehensive background check</w:t>
      </w:r>
      <w:r w:rsidR="00D47391">
        <w:t xml:space="preserve"> requirements</w:t>
      </w:r>
      <w:r w:rsidR="00454F47">
        <w:t xml:space="preserve"> within the timeframe allotted under the </w:t>
      </w:r>
      <w:r w:rsidR="00D47391">
        <w:t>Head Start P</w:t>
      </w:r>
      <w:r w:rsidR="00454F47">
        <w:t xml:space="preserve">erformance </w:t>
      </w:r>
      <w:r w:rsidR="00D47391">
        <w:t>S</w:t>
      </w:r>
      <w:r w:rsidR="00454F47">
        <w:t>tandards</w:t>
      </w:r>
      <w:r w:rsidR="005755D2">
        <w:t xml:space="preserve">. </w:t>
      </w:r>
      <w:r w:rsidR="00D47391">
        <w:t>Processing of b</w:t>
      </w:r>
      <w:r w:rsidR="005755D2">
        <w:t xml:space="preserve">ackground checks is further complicated for many Head Start grantees by the additional </w:t>
      </w:r>
      <w:r w:rsidR="00D47391">
        <w:t xml:space="preserve">background check </w:t>
      </w:r>
      <w:r w:rsidR="005755D2">
        <w:t xml:space="preserve">requirements </w:t>
      </w:r>
      <w:r w:rsidR="00D47391">
        <w:t xml:space="preserve">under </w:t>
      </w:r>
      <w:r w:rsidR="00FE79DD">
        <w:t>OMB #: 0970-0148</w:t>
      </w:r>
      <w:r w:rsidR="005755D2">
        <w:t>. The background check systems are often led by state law enforcement agencies and accessed by the lead agency for the Child Care and Development Block Grant Program and cannot be directly accessed by Head Start grantees.  The Office of Head Start seeks to learn more about the specific experiences grantees are having in accessing the background check systems in their states</w:t>
      </w:r>
      <w:r w:rsidR="00D47391">
        <w:t xml:space="preserve"> as well as experiences with recruiting and retaining staff generally.</w:t>
      </w:r>
      <w:r w:rsidR="009004DD">
        <w:t xml:space="preserve"> With this information, the Office of Head Start will develop technical assistance supports and materials to assist grant recipients in navigating state background check systems and in staff recruitment and retention efforts. Data will also be used to inform possible policy changes and monitoring practices that can support recipients as they strive to hire, </w:t>
      </w:r>
      <w:proofErr w:type="gramStart"/>
      <w:r w:rsidR="009004DD">
        <w:t>onboard</w:t>
      </w:r>
      <w:proofErr w:type="gramEnd"/>
      <w:r w:rsidR="009004DD">
        <w:t xml:space="preserve"> and retain qualified staff to serve in Head Start and Early Head Start programs. </w:t>
      </w:r>
    </w:p>
    <w:p w:rsidR="00272333" w:rsidRDefault="00272333" w14:paraId="1B69CCF9" w14:textId="77777777"/>
    <w:p w:rsidR="00D440C1" w:rsidP="004E1A04" w:rsidRDefault="00D440C1" w14:paraId="5560BE4F" w14:textId="76E97670">
      <w:pPr>
        <w:spacing w:after="120"/>
      </w:pPr>
      <w:r>
        <w:t xml:space="preserve">This information collection aligns with the overarching generic for monitoring activities, which specifically states that ACF will collect the information for: </w:t>
      </w:r>
    </w:p>
    <w:p w:rsidRPr="00FF6271" w:rsidR="00D440C1" w:rsidP="00D440C1" w:rsidRDefault="00D440C1" w14:paraId="524709F2" w14:textId="77777777">
      <w:pPr>
        <w:pStyle w:val="ListParagraph"/>
        <w:numPr>
          <w:ilvl w:val="0"/>
          <w:numId w:val="24"/>
        </w:numPr>
        <w:contextualSpacing w:val="0"/>
        <w:rPr>
          <w:color w:val="19150F"/>
          <w:lang w:val="en"/>
        </w:rPr>
      </w:pPr>
      <w:r>
        <w:t xml:space="preserve">monitoring of </w:t>
      </w:r>
      <w:r w:rsidRPr="00FF6271">
        <w:t xml:space="preserve">compliance with federal practice, </w:t>
      </w:r>
      <w:proofErr w:type="gramStart"/>
      <w:r w:rsidRPr="00FF6271">
        <w:t>guidelines</w:t>
      </w:r>
      <w:proofErr w:type="gramEnd"/>
      <w:r w:rsidRPr="00FF6271">
        <w:t xml:space="preserve"> and requirements, </w:t>
      </w:r>
    </w:p>
    <w:p w:rsidRPr="00FF6271" w:rsidR="00D440C1" w:rsidP="00D440C1" w:rsidRDefault="00D440C1" w14:paraId="0A5579C2" w14:textId="77777777">
      <w:pPr>
        <w:pStyle w:val="ListParagraph"/>
        <w:numPr>
          <w:ilvl w:val="0"/>
          <w:numId w:val="24"/>
        </w:numPr>
        <w:contextualSpacing w:val="0"/>
        <w:rPr>
          <w:color w:val="19150F"/>
          <w:lang w:val="en"/>
        </w:rPr>
      </w:pPr>
      <w:r w:rsidRPr="00FF6271">
        <w:t xml:space="preserve">quick understanding of and remediation to </w:t>
      </w:r>
      <w:r>
        <w:t xml:space="preserve">national, regional, and/or site-specific </w:t>
      </w:r>
      <w:r w:rsidRPr="00FF6271">
        <w:t xml:space="preserve">issues, </w:t>
      </w:r>
    </w:p>
    <w:p w:rsidRPr="00FF6271" w:rsidR="00D440C1" w:rsidP="00D440C1" w:rsidRDefault="00D440C1" w14:paraId="0C2CD016" w14:textId="77777777">
      <w:pPr>
        <w:pStyle w:val="ListParagraph"/>
        <w:numPr>
          <w:ilvl w:val="0"/>
          <w:numId w:val="24"/>
        </w:numPr>
        <w:contextualSpacing w:val="0"/>
        <w:rPr>
          <w:color w:val="19150F"/>
          <w:lang w:val="en"/>
        </w:rPr>
      </w:pPr>
      <w:r w:rsidRPr="00FF6271">
        <w:t xml:space="preserve">provision of support as needed, </w:t>
      </w:r>
    </w:p>
    <w:p w:rsidRPr="00A7048D" w:rsidR="00D440C1" w:rsidP="00D440C1" w:rsidRDefault="00D440C1" w14:paraId="24961F9F" w14:textId="77777777">
      <w:pPr>
        <w:pStyle w:val="ListParagraph"/>
        <w:numPr>
          <w:ilvl w:val="0"/>
          <w:numId w:val="24"/>
        </w:numPr>
        <w:contextualSpacing w:val="0"/>
        <w:rPr>
          <w:color w:val="19150F"/>
          <w:lang w:val="en"/>
        </w:rPr>
      </w:pPr>
      <w:r>
        <w:t>documentation of promising practice, innovative services, and program strengths</w:t>
      </w:r>
    </w:p>
    <w:p w:rsidR="00D440C1" w:rsidP="00D440C1" w:rsidRDefault="00D440C1" w14:paraId="2681CD84" w14:textId="77777777"/>
    <w:p w:rsidR="00D440C1" w:rsidP="004E1A04" w:rsidRDefault="00D440C1" w14:paraId="5CB5F52D" w14:textId="595CB745">
      <w:pPr>
        <w:spacing w:after="120"/>
      </w:pPr>
      <w:r>
        <w:t>The proposed uses of the data also align with the overarching generic</w:t>
      </w:r>
      <w:r w:rsidR="00731346">
        <w:t xml:space="preserve"> clearance</w:t>
      </w:r>
      <w:r>
        <w:t>, which specifies that program offices will use information collected under this generic clearance to monitor the efficiency and efficacy of funding recipient activities and to provide support or take appropriate action, as needed.</w:t>
      </w:r>
      <w:r w:rsidR="00731346">
        <w:t xml:space="preserve"> Specifically, these data will be used to </w:t>
      </w:r>
    </w:p>
    <w:p w:rsidR="004E1A04" w:rsidP="004E1A04" w:rsidRDefault="00731346" w14:paraId="3C9C199D" w14:textId="77777777">
      <w:pPr>
        <w:pStyle w:val="ListParagraph"/>
        <w:numPr>
          <w:ilvl w:val="0"/>
          <w:numId w:val="26"/>
        </w:numPr>
      </w:pPr>
      <w:r>
        <w:t xml:space="preserve">Inform oversight and evaluation of grantee performance and compliance, and </w:t>
      </w:r>
    </w:p>
    <w:p w:rsidR="00731346" w:rsidP="004E1A04" w:rsidRDefault="00731346" w14:paraId="5181B9DC" w14:textId="01BFF80F">
      <w:pPr>
        <w:pStyle w:val="ListParagraph"/>
        <w:numPr>
          <w:ilvl w:val="0"/>
          <w:numId w:val="26"/>
        </w:numPr>
      </w:pPr>
      <w:r>
        <w:t>Determine if</w:t>
      </w:r>
      <w:r w:rsidRPr="007E295F">
        <w:t xml:space="preserve"> additional actions</w:t>
      </w:r>
      <w:r>
        <w:t>/support</w:t>
      </w:r>
      <w:r w:rsidRPr="007E295F">
        <w:t xml:space="preserve"> (</w:t>
      </w:r>
      <w:r>
        <w:t xml:space="preserve">e.g., </w:t>
      </w:r>
      <w:r w:rsidRPr="007E295F">
        <w:t>T/TA)</w:t>
      </w:r>
      <w:r>
        <w:t xml:space="preserve"> </w:t>
      </w:r>
      <w:r w:rsidRPr="007E295F">
        <w:t xml:space="preserve">are needed to increase the potential for success or to protect federal interests (e.g., </w:t>
      </w:r>
      <w:r>
        <w:t>enforcement actions</w:t>
      </w:r>
      <w:r w:rsidRPr="007E295F">
        <w:t>)</w:t>
      </w:r>
      <w:r>
        <w:t xml:space="preserve">. </w:t>
      </w:r>
    </w:p>
    <w:p w:rsidR="00C8488C" w:rsidP="00434E33" w:rsidRDefault="00C8488C" w14:paraId="44E93C1B" w14:textId="77777777">
      <w:pPr>
        <w:pStyle w:val="Header"/>
        <w:tabs>
          <w:tab w:val="clear" w:pos="4320"/>
          <w:tab w:val="clear" w:pos="8640"/>
        </w:tabs>
        <w:rPr>
          <w:b/>
        </w:rPr>
      </w:pPr>
    </w:p>
    <w:p w:rsidR="00C8488C" w:rsidP="00434E33" w:rsidRDefault="00C8488C" w14:paraId="42B3B4DF" w14:textId="77777777">
      <w:pPr>
        <w:pStyle w:val="Header"/>
        <w:tabs>
          <w:tab w:val="clear" w:pos="4320"/>
          <w:tab w:val="clear" w:pos="8640"/>
        </w:tabs>
        <w:rPr>
          <w:b/>
        </w:rPr>
      </w:pPr>
    </w:p>
    <w:p w:rsidRPr="00434E33" w:rsidR="00434E33" w:rsidP="00434E33" w:rsidRDefault="00434E33" w14:paraId="032E996B" w14:textId="77777777">
      <w:pPr>
        <w:pStyle w:val="Header"/>
        <w:tabs>
          <w:tab w:val="clear" w:pos="4320"/>
          <w:tab w:val="clear" w:pos="8640"/>
        </w:tabs>
        <w:rPr>
          <w:i/>
          <w:snapToGrid/>
        </w:rPr>
      </w:pPr>
      <w:r w:rsidRPr="00434E33">
        <w:rPr>
          <w:b/>
        </w:rPr>
        <w:t>DESCRIPTION OF RESPONDENTS</w:t>
      </w:r>
      <w:r w:rsidRPr="001522C4">
        <w:rPr>
          <w:b/>
        </w:rPr>
        <w:t>:</w:t>
      </w:r>
      <w:r>
        <w:t xml:space="preserve"> </w:t>
      </w:r>
      <w:r w:rsidR="004F5C5A">
        <w:t xml:space="preserve"> </w:t>
      </w:r>
      <w:r w:rsidR="00BC789E">
        <w:t>(e.g.</w:t>
      </w:r>
      <w:r w:rsidR="004F5C5A">
        <w:t>,</w:t>
      </w:r>
      <w:r w:rsidR="00BC789E">
        <w:t xml:space="preserve"> </w:t>
      </w:r>
      <w:r w:rsidR="004F5C5A">
        <w:t>s</w:t>
      </w:r>
      <w:r w:rsidR="00BC789E">
        <w:t>tates</w:t>
      </w:r>
      <w:r w:rsidR="009B611C">
        <w:t xml:space="preserve">, </w:t>
      </w:r>
      <w:r w:rsidR="004F5C5A">
        <w:t>g</w:t>
      </w:r>
      <w:r w:rsidR="009B611C">
        <w:t>rantees,</w:t>
      </w:r>
      <w:r w:rsidR="00BC789E">
        <w:t xml:space="preserve"> or type of </w:t>
      </w:r>
      <w:r w:rsidR="0093272F">
        <w:t>non-profit</w:t>
      </w:r>
      <w:r w:rsidR="00BC789E">
        <w:t>)</w:t>
      </w:r>
    </w:p>
    <w:p w:rsidR="00F15956" w:rsidRDefault="00D47391" w14:paraId="2DC05F82" w14:textId="32E64948">
      <w:r>
        <w:t>The survey will be distributed to a random sample of</w:t>
      </w:r>
      <w:r w:rsidR="00D342AE">
        <w:t xml:space="preserve"> 200</w:t>
      </w:r>
      <w:r>
        <w:t xml:space="preserve"> </w:t>
      </w:r>
      <w:r w:rsidR="00731346">
        <w:t>Head Start grant</w:t>
      </w:r>
      <w:r w:rsidR="00E26223">
        <w:t xml:space="preserve"> recipients</w:t>
      </w:r>
      <w:r w:rsidR="00E85FF0">
        <w:t>. We</w:t>
      </w:r>
      <w:r w:rsidR="00D342AE">
        <w:t xml:space="preserve"> anticipate</w:t>
      </w:r>
      <w:r w:rsidR="00E85FF0">
        <w:t xml:space="preserve"> about</w:t>
      </w:r>
      <w:r w:rsidR="00D342AE">
        <w:t xml:space="preserve"> 150 respondents. </w:t>
      </w:r>
    </w:p>
    <w:p w:rsidR="00C8488C" w:rsidRDefault="00C8488C" w14:paraId="481CDC90" w14:textId="77777777"/>
    <w:p w:rsidR="00751779" w:rsidRDefault="00751779" w14:paraId="16466518" w14:textId="77777777"/>
    <w:p w:rsidR="004E1A04" w:rsidRDefault="004E1A04" w14:paraId="56264387" w14:textId="77777777">
      <w:pPr>
        <w:rPr>
          <w:b/>
        </w:rPr>
      </w:pPr>
    </w:p>
    <w:p w:rsidR="004E1A04" w:rsidRDefault="004E1A04" w14:paraId="41D475F1" w14:textId="77777777">
      <w:pPr>
        <w:rPr>
          <w:b/>
        </w:rPr>
      </w:pPr>
    </w:p>
    <w:p w:rsidR="004E1A04" w:rsidRDefault="004E1A04" w14:paraId="17D70DF3" w14:textId="77777777">
      <w:pPr>
        <w:rPr>
          <w:b/>
        </w:rPr>
      </w:pPr>
    </w:p>
    <w:p w:rsidR="00CA2650" w:rsidP="004E1A04" w:rsidRDefault="00441434" w14:paraId="2DE18488" w14:textId="0EBD8654">
      <w:pPr>
        <w:spacing w:after="120"/>
        <w:rPr>
          <w:b/>
        </w:rPr>
      </w:pPr>
      <w:r>
        <w:rPr>
          <w:b/>
        </w:rPr>
        <w:lastRenderedPageBreak/>
        <w:t>C</w:t>
      </w:r>
      <w:r w:rsidR="009C13B9">
        <w:rPr>
          <w:b/>
        </w:rPr>
        <w:t>ERTIFICATION:</w:t>
      </w:r>
    </w:p>
    <w:p w:rsidR="008101A5" w:rsidP="004E1A04" w:rsidRDefault="008101A5" w14:paraId="66246D69" w14:textId="77777777">
      <w:pPr>
        <w:spacing w:after="120"/>
      </w:pPr>
      <w:r>
        <w:t xml:space="preserve">I certify the following to be true: </w:t>
      </w:r>
    </w:p>
    <w:p w:rsidR="008101A5" w:rsidP="008C7D85" w:rsidRDefault="008C7D85" w14:paraId="1E863774" w14:textId="77777777">
      <w:pPr>
        <w:pStyle w:val="ListParagraph"/>
        <w:numPr>
          <w:ilvl w:val="0"/>
          <w:numId w:val="20"/>
        </w:numPr>
      </w:pPr>
      <w:r>
        <w:t xml:space="preserve">The collection </w:t>
      </w:r>
      <w:proofErr w:type="gramStart"/>
      <w:r>
        <w:t>is in compliance with</w:t>
      </w:r>
      <w:proofErr w:type="gramEnd"/>
      <w:r>
        <w:t xml:space="preserve"> </w:t>
      </w:r>
      <w:r w:rsidR="004F5C5A">
        <w:t xml:space="preserve">U.S. Health and Human Services </w:t>
      </w:r>
      <w:r>
        <w:t>regulations.</w:t>
      </w:r>
    </w:p>
    <w:p w:rsidR="008101A5" w:rsidP="008C7D85" w:rsidRDefault="008101A5" w14:paraId="1E0A1C9B" w14:textId="77777777">
      <w:pPr>
        <w:pStyle w:val="ListParagraph"/>
        <w:numPr>
          <w:ilvl w:val="0"/>
          <w:numId w:val="20"/>
        </w:numPr>
      </w:pPr>
      <w:r>
        <w:t>The</w:t>
      </w:r>
      <w:r w:rsidRPr="00C14CC4">
        <w:t xml:space="preserve"> collection </w:t>
      </w:r>
      <w:r>
        <w:t xml:space="preserve">is </w:t>
      </w:r>
      <w:r w:rsidRPr="00C14CC4">
        <w:t>low-burden for respondents and low-cost for the Federal Government</w:t>
      </w:r>
      <w:r>
        <w:t>.</w:t>
      </w:r>
    </w:p>
    <w:p w:rsidR="009B611C" w:rsidP="00933193" w:rsidRDefault="008101A5" w14:paraId="04F83A62"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p>
    <w:p w:rsidR="008101A5" w:rsidP="009B611C" w:rsidRDefault="009B611C" w14:paraId="41E46D6F" w14:textId="77777777">
      <w:pPr>
        <w:pStyle w:val="ListParagraph"/>
        <w:numPr>
          <w:ilvl w:val="0"/>
          <w:numId w:val="20"/>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r w:rsidR="008101A5">
        <w:tab/>
      </w:r>
      <w:r w:rsidR="008101A5">
        <w:tab/>
      </w:r>
      <w:r w:rsidR="008101A5">
        <w:tab/>
      </w:r>
      <w:r w:rsidR="008101A5">
        <w:tab/>
      </w:r>
      <w:r w:rsidR="008101A5">
        <w:tab/>
      </w:r>
      <w:r w:rsidR="008101A5">
        <w:tab/>
      </w:r>
      <w:r w:rsidR="008101A5">
        <w:tab/>
      </w:r>
      <w:r w:rsidR="008101A5">
        <w:tab/>
      </w:r>
    </w:p>
    <w:p w:rsidR="009C13B9" w:rsidP="000F12D1" w:rsidRDefault="008101A5" w14:paraId="73471F20" w14:textId="77777777">
      <w:pPr>
        <w:pStyle w:val="ListParagraph"/>
      </w:pPr>
      <w:r>
        <w:tab/>
      </w:r>
    </w:p>
    <w:p w:rsidR="009C13B9" w:rsidP="009C13B9" w:rsidRDefault="009C13B9" w14:paraId="0A820CBC" w14:textId="00205DC7">
      <w:r>
        <w:t>Name:</w:t>
      </w:r>
      <w:r w:rsidR="00E26223">
        <w:t xml:space="preserve"> </w:t>
      </w:r>
      <w:r w:rsidRPr="00E26223" w:rsidR="00E26223">
        <w:rPr>
          <w:u w:val="single"/>
        </w:rPr>
        <w:t xml:space="preserve">Beth Caron, </w:t>
      </w:r>
      <w:r w:rsidR="00087E38">
        <w:rPr>
          <w:u w:val="single"/>
        </w:rPr>
        <w:t>Office of Head Start</w:t>
      </w:r>
      <w:r w:rsidRPr="00E26223" w:rsidR="00E26223">
        <w:rPr>
          <w:u w:val="single"/>
        </w:rPr>
        <w:t xml:space="preserve"> State Systems Specialist </w:t>
      </w:r>
      <w:r>
        <w:t>____________</w:t>
      </w:r>
    </w:p>
    <w:p w:rsidR="009C13B9" w:rsidP="009C13B9" w:rsidRDefault="009C13B9" w14:paraId="3A2F3062" w14:textId="77777777">
      <w:pPr>
        <w:pStyle w:val="ListParagraph"/>
        <w:ind w:left="360"/>
      </w:pPr>
    </w:p>
    <w:p w:rsidR="009C13B9" w:rsidP="009C13B9" w:rsidRDefault="009C13B9" w14:paraId="3F600042" w14:textId="77777777">
      <w:r>
        <w:t xml:space="preserve">To assist </w:t>
      </w:r>
      <w:r w:rsidR="00C53C1E">
        <w:t xml:space="preserve">OMB </w:t>
      </w:r>
      <w:r>
        <w:t>review</w:t>
      </w:r>
      <w:r w:rsidR="00C53C1E">
        <w:t xml:space="preserve"> of your request</w:t>
      </w:r>
      <w:r>
        <w:t>, please provide answers to the following question:</w:t>
      </w:r>
    </w:p>
    <w:p w:rsidR="009C13B9" w:rsidP="009C13B9" w:rsidRDefault="009C13B9" w14:paraId="60F6C9F4" w14:textId="77777777">
      <w:pPr>
        <w:pStyle w:val="ListParagraph"/>
        <w:ind w:left="360"/>
      </w:pPr>
    </w:p>
    <w:p w:rsidR="009C13B9" w:rsidP="008438D1" w:rsidRDefault="0058602A" w14:paraId="76AE77A5" w14:textId="77777777">
      <w:pPr>
        <w:spacing w:after="120"/>
        <w:rPr>
          <w:b/>
        </w:rPr>
      </w:pPr>
      <w:r>
        <w:rPr>
          <w:b/>
        </w:rPr>
        <w:t>PERSONALLY IDENTIFIABLE INFORMATION</w:t>
      </w:r>
      <w:r w:rsidRPr="00C86E91" w:rsidR="00C86E91">
        <w:rPr>
          <w:b/>
        </w:rPr>
        <w:t>:</w:t>
      </w:r>
    </w:p>
    <w:p w:rsidR="00C86E91" w:rsidP="00C86E91" w:rsidRDefault="009C13B9" w14:paraId="54D7F99B" w14:textId="2AA2C27C">
      <w:pPr>
        <w:pStyle w:val="ListParagraph"/>
        <w:numPr>
          <w:ilvl w:val="0"/>
          <w:numId w:val="18"/>
        </w:numPr>
      </w:pPr>
      <w:r>
        <w:t>Is</w:t>
      </w:r>
      <w:r w:rsidR="00237B48">
        <w:t xml:space="preserve"> personally identifiable information (PII) collected</w:t>
      </w:r>
      <w:r>
        <w:t xml:space="preserve">?  </w:t>
      </w:r>
      <w:r w:rsidR="009239AA">
        <w:t xml:space="preserve">[  ] Yes  </w:t>
      </w:r>
      <w:r w:rsidR="00731346">
        <w:t>[X</w:t>
      </w:r>
      <w:r w:rsidR="009239AA">
        <w:t xml:space="preserve">]  No </w:t>
      </w:r>
    </w:p>
    <w:p w:rsidR="00C86E91" w:rsidP="00C86E91" w:rsidRDefault="009C13B9" w14:paraId="7C8F86F9" w14:textId="77777777">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P="00C86E91" w:rsidRDefault="00C86E91" w14:paraId="2939EC3B" w14:textId="77777777">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w:t>
      </w:r>
      <w:r>
        <w:t>been published?  [  ] Yes  [  ] No</w:t>
      </w:r>
    </w:p>
    <w:p w:rsidR="00CF6542" w:rsidP="00C86E91" w:rsidRDefault="00CF6542" w14:paraId="2E284AF5" w14:textId="77777777">
      <w:pPr>
        <w:pStyle w:val="ListParagraph"/>
        <w:ind w:left="0"/>
        <w:rPr>
          <w:b/>
        </w:rPr>
      </w:pPr>
    </w:p>
    <w:p w:rsidR="005E714A" w:rsidP="008438D1" w:rsidRDefault="005E714A" w14:paraId="5AD06355" w14:textId="77777777">
      <w:pPr>
        <w:spacing w:after="120"/>
        <w:rPr>
          <w:i/>
        </w:rPr>
      </w:pPr>
      <w:r>
        <w:rPr>
          <w:b/>
        </w:rPr>
        <w:t>BURDEN HOUR</w:t>
      </w:r>
      <w:r w:rsidR="00441434">
        <w:rPr>
          <w:b/>
        </w:rPr>
        <w:t>S</w:t>
      </w:r>
      <w:r>
        <w:t xml:space="preserve"> </w:t>
      </w:r>
    </w:p>
    <w:p w:rsidRPr="006832D9" w:rsidR="006832D9" w:rsidP="008438D1" w:rsidRDefault="00E85FF0" w14:paraId="077F94EA" w14:textId="41BB4470">
      <w:pPr>
        <w:spacing w:after="200"/>
      </w:pPr>
      <w:r>
        <w:t>The survey will be distributed to a random sample of 200 Head Start grant</w:t>
      </w:r>
      <w:r w:rsidR="00FE79DD">
        <w:t xml:space="preserve"> recipients</w:t>
      </w:r>
      <w:r>
        <w:t xml:space="preserve"> and we anticipate </w:t>
      </w:r>
      <w:r w:rsidR="00731346">
        <w:t>one response from</w:t>
      </w:r>
      <w:r w:rsidR="00104753">
        <w:t xml:space="preserve"> each</w:t>
      </w:r>
      <w:r w:rsidR="00731346">
        <w:t xml:space="preserve"> </w:t>
      </w:r>
      <w:r>
        <w:t xml:space="preserve">funding </w:t>
      </w:r>
      <w:r w:rsidR="00104753">
        <w:t xml:space="preserve">recipient </w:t>
      </w:r>
      <w:r>
        <w:t>that responds (estimated to be 150)</w:t>
      </w:r>
      <w:r w:rsidR="00731346">
        <w:t xml:space="preserve">. </w:t>
      </w:r>
      <w:r>
        <w:t>To estimate t</w:t>
      </w:r>
      <w:r w:rsidR="00731346">
        <w:t>he average time per response</w:t>
      </w:r>
      <w:r>
        <w:t xml:space="preserve">, we received feedback from </w:t>
      </w:r>
      <w:r w:rsidR="009004DD">
        <w:t xml:space="preserve">OHS regional </w:t>
      </w:r>
      <w:r w:rsidR="00731346">
        <w:t>program office</w:t>
      </w:r>
      <w:r w:rsidR="009004DD">
        <w:t>s</w:t>
      </w:r>
      <w:r>
        <w:t xml:space="preserve"> and conducted </w:t>
      </w:r>
      <w:r w:rsidR="00104753">
        <w:t xml:space="preserve">a small pilot </w:t>
      </w:r>
      <w:r>
        <w:t xml:space="preserve">with </w:t>
      </w:r>
      <w:r w:rsidR="00FE79DD">
        <w:t>7</w:t>
      </w:r>
      <w:r>
        <w:t xml:space="preserve"> </w:t>
      </w:r>
      <w:r w:rsidR="00104753">
        <w:t>respondents</w:t>
      </w:r>
      <w:r>
        <w:t>. Based on these efforts, the average estimated time per response is</w:t>
      </w:r>
      <w:r w:rsidR="00731346">
        <w:t xml:space="preserve"> </w:t>
      </w:r>
      <w:r w:rsidRPr="00FE79DD" w:rsidR="00E63ADE">
        <w:t>12 minutes</w:t>
      </w:r>
      <w:r w:rsidRPr="00FE79DD" w:rsidR="005F3F75">
        <w:t>.</w:t>
      </w:r>
    </w:p>
    <w:tbl>
      <w:tblPr>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15"/>
        <w:gridCol w:w="2070"/>
        <w:gridCol w:w="1440"/>
        <w:gridCol w:w="1890"/>
        <w:gridCol w:w="1170"/>
        <w:gridCol w:w="1080"/>
      </w:tblGrid>
      <w:tr w:rsidRPr="002B2C69" w:rsidR="002B2C69" w:rsidTr="00DE2DB7" w14:paraId="72CD6E0A" w14:textId="77777777">
        <w:trPr>
          <w:trHeight w:val="274"/>
          <w:jc w:val="center"/>
        </w:trPr>
        <w:tc>
          <w:tcPr>
            <w:tcW w:w="1615" w:type="dxa"/>
          </w:tcPr>
          <w:p w:rsidRPr="002B2C69" w:rsidR="002B2C69" w:rsidP="00C8488C" w:rsidRDefault="002B2C69" w14:paraId="783936FB" w14:textId="47ABD2A5">
            <w:pPr>
              <w:rPr>
                <w:b/>
                <w:sz w:val="22"/>
                <w:szCs w:val="22"/>
              </w:rPr>
            </w:pPr>
            <w:r w:rsidRPr="002B2C69">
              <w:rPr>
                <w:b/>
                <w:sz w:val="22"/>
                <w:szCs w:val="22"/>
              </w:rPr>
              <w:t xml:space="preserve">Information Collection </w:t>
            </w:r>
          </w:p>
        </w:tc>
        <w:tc>
          <w:tcPr>
            <w:tcW w:w="2070" w:type="dxa"/>
          </w:tcPr>
          <w:p w:rsidRPr="002B2C69" w:rsidR="002B2C69" w:rsidP="00C8488C" w:rsidRDefault="002B2C69" w14:paraId="4480911A" w14:textId="59FDC9F2">
            <w:pPr>
              <w:rPr>
                <w:b/>
                <w:sz w:val="22"/>
                <w:szCs w:val="22"/>
              </w:rPr>
            </w:pPr>
            <w:r w:rsidRPr="002B2C69">
              <w:rPr>
                <w:b/>
                <w:sz w:val="22"/>
                <w:szCs w:val="22"/>
              </w:rPr>
              <w:t xml:space="preserve">Category of Respondent </w:t>
            </w:r>
          </w:p>
        </w:tc>
        <w:tc>
          <w:tcPr>
            <w:tcW w:w="1440" w:type="dxa"/>
          </w:tcPr>
          <w:p w:rsidRPr="002B2C69" w:rsidR="002B2C69" w:rsidP="00843796" w:rsidRDefault="002B2C69" w14:paraId="134B5FD9" w14:textId="77777777">
            <w:pPr>
              <w:rPr>
                <w:b/>
                <w:sz w:val="22"/>
                <w:szCs w:val="22"/>
              </w:rPr>
            </w:pPr>
            <w:r w:rsidRPr="002B2C69">
              <w:rPr>
                <w:b/>
                <w:sz w:val="22"/>
                <w:szCs w:val="22"/>
              </w:rPr>
              <w:t>No. of Respondents</w:t>
            </w:r>
          </w:p>
        </w:tc>
        <w:tc>
          <w:tcPr>
            <w:tcW w:w="1890" w:type="dxa"/>
          </w:tcPr>
          <w:p w:rsidRPr="002B2C69" w:rsidR="002B2C69" w:rsidP="00843796" w:rsidRDefault="002B2C69" w14:paraId="4DA8D3A9" w14:textId="77777777">
            <w:pPr>
              <w:rPr>
                <w:b/>
                <w:sz w:val="22"/>
                <w:szCs w:val="22"/>
              </w:rPr>
            </w:pPr>
            <w:r w:rsidRPr="002B2C69">
              <w:rPr>
                <w:b/>
                <w:sz w:val="22"/>
                <w:szCs w:val="22"/>
              </w:rPr>
              <w:t>No. of Responses per Respondent per year</w:t>
            </w:r>
          </w:p>
        </w:tc>
        <w:tc>
          <w:tcPr>
            <w:tcW w:w="1170" w:type="dxa"/>
          </w:tcPr>
          <w:p w:rsidRPr="002B2C69" w:rsidR="002B2C69" w:rsidP="00843796" w:rsidRDefault="002B2C69" w14:paraId="60CCCD57" w14:textId="77777777">
            <w:pPr>
              <w:rPr>
                <w:b/>
                <w:sz w:val="22"/>
                <w:szCs w:val="22"/>
              </w:rPr>
            </w:pPr>
            <w:r w:rsidRPr="002B2C69">
              <w:rPr>
                <w:b/>
                <w:sz w:val="22"/>
                <w:szCs w:val="22"/>
              </w:rPr>
              <w:t>Burden per Response</w:t>
            </w:r>
          </w:p>
        </w:tc>
        <w:tc>
          <w:tcPr>
            <w:tcW w:w="1080" w:type="dxa"/>
          </w:tcPr>
          <w:p w:rsidRPr="002B2C69" w:rsidR="002B2C69" w:rsidP="00843796" w:rsidRDefault="002B2C69" w14:paraId="2BEE5F5E" w14:textId="77777777">
            <w:pPr>
              <w:rPr>
                <w:b/>
                <w:sz w:val="22"/>
                <w:szCs w:val="22"/>
              </w:rPr>
            </w:pPr>
            <w:r w:rsidRPr="002B2C69">
              <w:rPr>
                <w:b/>
                <w:sz w:val="22"/>
                <w:szCs w:val="22"/>
              </w:rPr>
              <w:t>Annual Burden</w:t>
            </w:r>
          </w:p>
        </w:tc>
      </w:tr>
      <w:tr w:rsidRPr="002B2C69" w:rsidR="002B2C69" w:rsidTr="00DE2DB7" w14:paraId="49F51C8A" w14:textId="77777777">
        <w:trPr>
          <w:trHeight w:val="274"/>
          <w:jc w:val="center"/>
        </w:trPr>
        <w:tc>
          <w:tcPr>
            <w:tcW w:w="1615" w:type="dxa"/>
          </w:tcPr>
          <w:p w:rsidRPr="002B2C69" w:rsidR="002B2C69" w:rsidP="00843796" w:rsidRDefault="002B2C69" w14:paraId="6A9C01E3" w14:textId="6837351C">
            <w:pPr>
              <w:rPr>
                <w:sz w:val="22"/>
                <w:szCs w:val="22"/>
              </w:rPr>
            </w:pPr>
            <w:r w:rsidRPr="002B2C69">
              <w:rPr>
                <w:sz w:val="22"/>
                <w:szCs w:val="22"/>
              </w:rPr>
              <w:t>Background Check Survey</w:t>
            </w:r>
          </w:p>
        </w:tc>
        <w:tc>
          <w:tcPr>
            <w:tcW w:w="2070" w:type="dxa"/>
          </w:tcPr>
          <w:p w:rsidRPr="002B2C69" w:rsidR="002B2C69" w:rsidP="00843796" w:rsidRDefault="002B2C69" w14:paraId="4E036E1E" w14:textId="41F82905">
            <w:pPr>
              <w:rPr>
                <w:sz w:val="22"/>
                <w:szCs w:val="22"/>
              </w:rPr>
            </w:pPr>
            <w:r>
              <w:rPr>
                <w:sz w:val="22"/>
                <w:szCs w:val="22"/>
              </w:rPr>
              <w:t>Private Sector (Head Start Grantees)</w:t>
            </w:r>
          </w:p>
        </w:tc>
        <w:tc>
          <w:tcPr>
            <w:tcW w:w="1440" w:type="dxa"/>
            <w:vAlign w:val="center"/>
          </w:tcPr>
          <w:p w:rsidRPr="002B2C69" w:rsidR="002B2C69" w:rsidP="00DE2DB7" w:rsidRDefault="002B2C69" w14:paraId="74A451BB" w14:textId="000FE0EF">
            <w:pPr>
              <w:jc w:val="center"/>
              <w:rPr>
                <w:sz w:val="22"/>
                <w:szCs w:val="22"/>
              </w:rPr>
            </w:pPr>
            <w:r w:rsidRPr="002B2C69">
              <w:rPr>
                <w:sz w:val="22"/>
                <w:szCs w:val="22"/>
              </w:rPr>
              <w:t>150</w:t>
            </w:r>
          </w:p>
        </w:tc>
        <w:tc>
          <w:tcPr>
            <w:tcW w:w="1890" w:type="dxa"/>
            <w:vAlign w:val="center"/>
          </w:tcPr>
          <w:p w:rsidRPr="002B2C69" w:rsidR="002B2C69" w:rsidP="00DE2DB7" w:rsidRDefault="002B2C69" w14:paraId="5EE07528" w14:textId="3178F09F">
            <w:pPr>
              <w:jc w:val="center"/>
              <w:rPr>
                <w:sz w:val="22"/>
                <w:szCs w:val="22"/>
              </w:rPr>
            </w:pPr>
            <w:r w:rsidRPr="002B2C69">
              <w:rPr>
                <w:sz w:val="22"/>
                <w:szCs w:val="22"/>
              </w:rPr>
              <w:t>1</w:t>
            </w:r>
          </w:p>
        </w:tc>
        <w:tc>
          <w:tcPr>
            <w:tcW w:w="1170" w:type="dxa"/>
            <w:vAlign w:val="center"/>
          </w:tcPr>
          <w:p w:rsidRPr="002B2C69" w:rsidR="002B2C69" w:rsidP="00DE2DB7" w:rsidRDefault="002B2C69" w14:paraId="63FB740B" w14:textId="2D8FC9A5">
            <w:pPr>
              <w:jc w:val="center"/>
              <w:rPr>
                <w:sz w:val="22"/>
                <w:szCs w:val="22"/>
              </w:rPr>
            </w:pPr>
            <w:r w:rsidRPr="002B2C69">
              <w:rPr>
                <w:sz w:val="22"/>
                <w:szCs w:val="22"/>
              </w:rPr>
              <w:t>12 min</w:t>
            </w:r>
          </w:p>
        </w:tc>
        <w:tc>
          <w:tcPr>
            <w:tcW w:w="1080" w:type="dxa"/>
            <w:vAlign w:val="center"/>
          </w:tcPr>
          <w:p w:rsidRPr="002B2C69" w:rsidR="002B2C69" w:rsidP="00DE2DB7" w:rsidRDefault="002B2C69" w14:paraId="409FB525" w14:textId="7D4924E7">
            <w:pPr>
              <w:jc w:val="center"/>
              <w:rPr>
                <w:sz w:val="22"/>
                <w:szCs w:val="22"/>
              </w:rPr>
            </w:pPr>
            <w:r w:rsidRPr="002B2C69">
              <w:rPr>
                <w:sz w:val="22"/>
                <w:szCs w:val="22"/>
              </w:rPr>
              <w:t>30 hours</w:t>
            </w:r>
          </w:p>
        </w:tc>
      </w:tr>
    </w:tbl>
    <w:p w:rsidR="005F3F75" w:rsidP="00F3170F" w:rsidRDefault="005F3F75" w14:paraId="34CD7765" w14:textId="77777777"/>
    <w:p w:rsidR="005F3F75" w:rsidP="005F3F75" w:rsidRDefault="005F3F75" w14:paraId="44E4DD32" w14:textId="340EB261">
      <w:r>
        <w:t xml:space="preserve">The cost per respondent is expected to be consistent across respondents. Our estimate is based on Labor Statistics data from 2021 for </w:t>
      </w:r>
      <w:r w:rsidR="00104753">
        <w:t xml:space="preserve">Education and Childcare Administrators </w:t>
      </w:r>
    </w:p>
    <w:p w:rsidR="00F3170F" w:rsidP="005F3F75" w:rsidRDefault="005F3F75" w14:paraId="7FE65F33" w14:textId="239F526A">
      <w:r>
        <w:t xml:space="preserve"> (job code </w:t>
      </w:r>
      <w:r w:rsidR="00104753">
        <w:t xml:space="preserve">11-9031; </w:t>
      </w:r>
      <w:hyperlink w:history="1" r:id="rId7">
        <w:r w:rsidR="00104753">
          <w:rPr>
            <w:rStyle w:val="Hyperlink"/>
          </w:rPr>
          <w:t>https://www.bls.gov/oes/current/oes119031.htm</w:t>
        </w:r>
      </w:hyperlink>
      <w:r>
        <w:t xml:space="preserve">). The mean national hourly wage for this occupation is </w:t>
      </w:r>
      <w:r w:rsidR="00104753">
        <w:t xml:space="preserve">$25.87. To account for benefits and overhead the rate is multiplied by two which is </w:t>
      </w:r>
      <w:r w:rsidR="00104753">
        <w:rPr>
          <w:b/>
          <w:bCs/>
        </w:rPr>
        <w:t>$51.74</w:t>
      </w:r>
      <w:r w:rsidR="00104753">
        <w:t xml:space="preserve">.  </w:t>
      </w:r>
      <w:r>
        <w:t xml:space="preserve">The estimate of </w:t>
      </w:r>
      <w:r w:rsidR="00C42447">
        <w:t xml:space="preserve">burden </w:t>
      </w:r>
      <w:r>
        <w:t>cost to respondents is $</w:t>
      </w:r>
      <w:r w:rsidR="00104753">
        <w:t xml:space="preserve">51.74 </w:t>
      </w:r>
      <w:r w:rsidR="00C42447">
        <w:t>multiplied by  30 hours of</w:t>
      </w:r>
      <w:r>
        <w:t xml:space="preserve"> burden</w:t>
      </w:r>
      <w:r w:rsidR="00C42447">
        <w:t>, which is</w:t>
      </w:r>
      <w:r>
        <w:t xml:space="preserve"> $</w:t>
      </w:r>
      <w:r w:rsidR="00E63ADE">
        <w:t>1552.2</w:t>
      </w:r>
      <w:r w:rsidR="00104753">
        <w:t>0</w:t>
      </w:r>
      <w:r>
        <w:t xml:space="preserve">. </w:t>
      </w:r>
    </w:p>
    <w:p w:rsidR="005F3F75" w:rsidP="005F3F75" w:rsidRDefault="005F3F75" w14:paraId="06EC0759" w14:textId="77777777"/>
    <w:p w:rsidR="005E714A" w:rsidRDefault="001C39F7" w14:paraId="43DF13A6" w14:textId="32296DFF">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w:t>
      </w:r>
      <w:r w:rsidR="004F5C5A">
        <w:t>G</w:t>
      </w:r>
      <w:r w:rsidR="00C86E91">
        <w:t xml:space="preserve">overnment is </w:t>
      </w:r>
      <w:r w:rsidR="00E63ADE">
        <w:rPr>
          <w:u w:val="single"/>
        </w:rPr>
        <w:t xml:space="preserve">    </w:t>
      </w:r>
      <w:r w:rsidRPr="00E63ADE" w:rsidR="00E63ADE">
        <w:rPr>
          <w:u w:val="single"/>
        </w:rPr>
        <w:t>$</w:t>
      </w:r>
      <w:r w:rsidR="00EF31D3">
        <w:rPr>
          <w:u w:val="single"/>
        </w:rPr>
        <w:t>1,0</w:t>
      </w:r>
      <w:r w:rsidRPr="00E63ADE" w:rsidR="00E63ADE">
        <w:rPr>
          <w:u w:val="single"/>
        </w:rPr>
        <w:t>00.0</w:t>
      </w:r>
      <w:r w:rsidR="00E63ADE">
        <w:rPr>
          <w:u w:val="single"/>
        </w:rPr>
        <w:t xml:space="preserve">0   </w:t>
      </w:r>
      <w:r w:rsidR="00305A29">
        <w:t>.</w:t>
      </w:r>
    </w:p>
    <w:p w:rsidR="009B611C" w:rsidP="00A403BB" w:rsidRDefault="009B611C" w14:paraId="6001A557" w14:textId="77777777">
      <w:pPr>
        <w:rPr>
          <w:b/>
        </w:rPr>
      </w:pPr>
    </w:p>
    <w:p w:rsidR="00A403BB" w:rsidP="004E1A04" w:rsidRDefault="00630A62" w14:paraId="3A30D2DF" w14:textId="77777777">
      <w:pPr>
        <w:spacing w:after="120"/>
        <w:rPr>
          <w:b/>
        </w:rPr>
      </w:pPr>
      <w:r>
        <w:rPr>
          <w:b/>
        </w:rPr>
        <w:t>TYPE OF COLLECTION:</w:t>
      </w:r>
    </w:p>
    <w:p w:rsidR="00A403BB" w:rsidP="00630A62" w:rsidRDefault="001B0AAA" w14:paraId="424AD4AE" w14:textId="77777777">
      <w:pPr>
        <w:pStyle w:val="ListParagraph"/>
        <w:ind w:left="360"/>
      </w:pPr>
      <w:r>
        <w:t>H</w:t>
      </w:r>
      <w:r w:rsidR="00A403BB">
        <w:t>ow will you collect the information? (Check all that apply)</w:t>
      </w:r>
    </w:p>
    <w:p w:rsidR="001B0AAA" w:rsidP="001B0AAA" w:rsidRDefault="00A403BB" w14:paraId="4BCDDD91" w14:textId="222DB168">
      <w:pPr>
        <w:ind w:left="720"/>
      </w:pPr>
      <w:r>
        <w:t>[</w:t>
      </w:r>
      <w:r w:rsidR="00E63ADE">
        <w:t>x</w:t>
      </w:r>
      <w:r>
        <w:t>] Web-based</w:t>
      </w:r>
      <w:r w:rsidR="001B0AAA">
        <w:t xml:space="preserve">  </w:t>
      </w:r>
    </w:p>
    <w:p w:rsidR="001B0AAA" w:rsidP="001B0AAA" w:rsidRDefault="00BD3E02" w14:paraId="33B9F305" w14:textId="77777777">
      <w:pPr>
        <w:ind w:left="720"/>
      </w:pPr>
      <w:r>
        <w:t>[  ] E-mail</w:t>
      </w:r>
      <w:r w:rsidR="00A403BB">
        <w:tab/>
      </w:r>
    </w:p>
    <w:p w:rsidR="001B0AAA" w:rsidP="001B0AAA" w:rsidRDefault="00A403BB" w14:paraId="7FACDD81" w14:textId="77777777">
      <w:pPr>
        <w:ind w:left="720"/>
      </w:pPr>
      <w:r>
        <w:t xml:space="preserve">[ </w:t>
      </w:r>
      <w:r w:rsidR="001B0AAA">
        <w:t xml:space="preserve"> </w:t>
      </w:r>
      <w:r>
        <w:t xml:space="preserve">] </w:t>
      </w:r>
      <w:r w:rsidR="00BD3E02">
        <w:t>Paper m</w:t>
      </w:r>
      <w:r>
        <w:t>ail</w:t>
      </w:r>
      <w:r w:rsidR="001B0AAA">
        <w:t xml:space="preserve"> </w:t>
      </w:r>
    </w:p>
    <w:p w:rsidR="00F24CFC" w:rsidP="004E1A04" w:rsidRDefault="00A403BB" w14:paraId="6403B65D" w14:textId="3E5721EA">
      <w:pPr>
        <w:spacing w:after="120"/>
        <w:ind w:left="720"/>
      </w:pPr>
      <w:proofErr w:type="gramStart"/>
      <w:r>
        <w:t xml:space="preserve">[ </w:t>
      </w:r>
      <w:r w:rsidR="001B0AAA">
        <w:t xml:space="preserve"> </w:t>
      </w:r>
      <w:r>
        <w:t>]</w:t>
      </w:r>
      <w:proofErr w:type="gramEnd"/>
      <w:r>
        <w:t xml:space="preserve"> Other, Explain</w:t>
      </w:r>
    </w:p>
    <w:p w:rsidRPr="008228C3" w:rsidR="005E714A" w:rsidP="00FE79DD" w:rsidRDefault="00F24CFC" w14:paraId="04F7434B" w14:textId="6C15FC38">
      <w:pPr>
        <w:rPr>
          <w:b/>
        </w:rPr>
      </w:pPr>
      <w:r w:rsidRPr="00F24CFC">
        <w:rPr>
          <w:b/>
        </w:rPr>
        <w:t xml:space="preserve">Please make sure </w:t>
      </w:r>
      <w:r w:rsidR="00272333">
        <w:rPr>
          <w:b/>
        </w:rPr>
        <w:t>to submit</w:t>
      </w:r>
      <w:r w:rsidRPr="00F24CFC">
        <w:rPr>
          <w:b/>
        </w:rPr>
        <w:t xml:space="preserve"> all instruments, instructions, and scripts with the request.</w:t>
      </w:r>
      <w:r w:rsidDel="00FE79DD" w:rsidR="00FE79DD">
        <w:rPr>
          <w:sz w:val="28"/>
        </w:rPr>
        <w:t xml:space="preserve"> </w:t>
      </w:r>
    </w:p>
    <w:sectPr w:rsidRPr="008228C3" w:rsidR="005E714A" w:rsidSect="009B611C">
      <w:footerReference w:type="default" r:id="rId8"/>
      <w:pgSz w:w="12240" w:h="15840"/>
      <w:pgMar w:top="72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DD1EE" w14:textId="77777777" w:rsidR="00494CE7" w:rsidRDefault="00494CE7">
      <w:r>
        <w:separator/>
      </w:r>
    </w:p>
  </w:endnote>
  <w:endnote w:type="continuationSeparator" w:id="0">
    <w:p w14:paraId="40E931E3" w14:textId="77777777" w:rsidR="00494CE7" w:rsidRDefault="0049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3EC3" w14:textId="7777777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1F552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68701" w14:textId="77777777" w:rsidR="00494CE7" w:rsidRDefault="00494CE7">
      <w:r>
        <w:separator/>
      </w:r>
    </w:p>
  </w:footnote>
  <w:footnote w:type="continuationSeparator" w:id="0">
    <w:p w14:paraId="71480EB4" w14:textId="77777777" w:rsidR="00494CE7" w:rsidRDefault="00494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D1C069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1E795B"/>
    <w:multiLevelType w:val="hybridMultilevel"/>
    <w:tmpl w:val="703E6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D0F34"/>
    <w:multiLevelType w:val="hybridMultilevel"/>
    <w:tmpl w:val="8D624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407489"/>
    <w:multiLevelType w:val="hybridMultilevel"/>
    <w:tmpl w:val="8D624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A6C15"/>
    <w:multiLevelType w:val="hybridMultilevel"/>
    <w:tmpl w:val="70525B9C"/>
    <w:lvl w:ilvl="0" w:tplc="FDE86698">
      <w:start w:val="1"/>
      <w:numFmt w:val="bullet"/>
      <w:lvlText w:val="•"/>
      <w:lvlJc w:val="left"/>
      <w:pPr>
        <w:tabs>
          <w:tab w:val="num" w:pos="720"/>
        </w:tabs>
        <w:ind w:left="720" w:hanging="360"/>
      </w:pPr>
      <w:rPr>
        <w:rFonts w:ascii="Arial" w:hAnsi="Arial" w:hint="default"/>
      </w:rPr>
    </w:lvl>
    <w:lvl w:ilvl="1" w:tplc="5E66FD98" w:tentative="1">
      <w:start w:val="1"/>
      <w:numFmt w:val="bullet"/>
      <w:lvlText w:val="•"/>
      <w:lvlJc w:val="left"/>
      <w:pPr>
        <w:tabs>
          <w:tab w:val="num" w:pos="1440"/>
        </w:tabs>
        <w:ind w:left="1440" w:hanging="360"/>
      </w:pPr>
      <w:rPr>
        <w:rFonts w:ascii="Arial" w:hAnsi="Arial" w:hint="default"/>
      </w:rPr>
    </w:lvl>
    <w:lvl w:ilvl="2" w:tplc="50E49CEC" w:tentative="1">
      <w:start w:val="1"/>
      <w:numFmt w:val="bullet"/>
      <w:lvlText w:val="•"/>
      <w:lvlJc w:val="left"/>
      <w:pPr>
        <w:tabs>
          <w:tab w:val="num" w:pos="2160"/>
        </w:tabs>
        <w:ind w:left="2160" w:hanging="360"/>
      </w:pPr>
      <w:rPr>
        <w:rFonts w:ascii="Arial" w:hAnsi="Arial" w:hint="default"/>
      </w:rPr>
    </w:lvl>
    <w:lvl w:ilvl="3" w:tplc="92066DF4" w:tentative="1">
      <w:start w:val="1"/>
      <w:numFmt w:val="bullet"/>
      <w:lvlText w:val="•"/>
      <w:lvlJc w:val="left"/>
      <w:pPr>
        <w:tabs>
          <w:tab w:val="num" w:pos="2880"/>
        </w:tabs>
        <w:ind w:left="2880" w:hanging="360"/>
      </w:pPr>
      <w:rPr>
        <w:rFonts w:ascii="Arial" w:hAnsi="Arial" w:hint="default"/>
      </w:rPr>
    </w:lvl>
    <w:lvl w:ilvl="4" w:tplc="CB82B5F2" w:tentative="1">
      <w:start w:val="1"/>
      <w:numFmt w:val="bullet"/>
      <w:lvlText w:val="•"/>
      <w:lvlJc w:val="left"/>
      <w:pPr>
        <w:tabs>
          <w:tab w:val="num" w:pos="3600"/>
        </w:tabs>
        <w:ind w:left="3600" w:hanging="360"/>
      </w:pPr>
      <w:rPr>
        <w:rFonts w:ascii="Arial" w:hAnsi="Arial" w:hint="default"/>
      </w:rPr>
    </w:lvl>
    <w:lvl w:ilvl="5" w:tplc="9E28D71A" w:tentative="1">
      <w:start w:val="1"/>
      <w:numFmt w:val="bullet"/>
      <w:lvlText w:val="•"/>
      <w:lvlJc w:val="left"/>
      <w:pPr>
        <w:tabs>
          <w:tab w:val="num" w:pos="4320"/>
        </w:tabs>
        <w:ind w:left="4320" w:hanging="360"/>
      </w:pPr>
      <w:rPr>
        <w:rFonts w:ascii="Arial" w:hAnsi="Arial" w:hint="default"/>
      </w:rPr>
    </w:lvl>
    <w:lvl w:ilvl="6" w:tplc="BC905B06" w:tentative="1">
      <w:start w:val="1"/>
      <w:numFmt w:val="bullet"/>
      <w:lvlText w:val="•"/>
      <w:lvlJc w:val="left"/>
      <w:pPr>
        <w:tabs>
          <w:tab w:val="num" w:pos="5040"/>
        </w:tabs>
        <w:ind w:left="5040" w:hanging="360"/>
      </w:pPr>
      <w:rPr>
        <w:rFonts w:ascii="Arial" w:hAnsi="Arial" w:hint="default"/>
      </w:rPr>
    </w:lvl>
    <w:lvl w:ilvl="7" w:tplc="4F7006D6" w:tentative="1">
      <w:start w:val="1"/>
      <w:numFmt w:val="bullet"/>
      <w:lvlText w:val="•"/>
      <w:lvlJc w:val="left"/>
      <w:pPr>
        <w:tabs>
          <w:tab w:val="num" w:pos="5760"/>
        </w:tabs>
        <w:ind w:left="5760" w:hanging="360"/>
      </w:pPr>
      <w:rPr>
        <w:rFonts w:ascii="Arial" w:hAnsi="Arial" w:hint="default"/>
      </w:rPr>
    </w:lvl>
    <w:lvl w:ilvl="8" w:tplc="95EE714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23C76D4"/>
    <w:multiLevelType w:val="hybridMultilevel"/>
    <w:tmpl w:val="DDB289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5"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336F54"/>
    <w:multiLevelType w:val="hybridMultilevel"/>
    <w:tmpl w:val="82BE5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4A08E1"/>
    <w:multiLevelType w:val="hybridMultilevel"/>
    <w:tmpl w:val="B0B0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2" w15:restartNumberingAfterBreak="0">
    <w:nsid w:val="746221AE"/>
    <w:multiLevelType w:val="hybridMultilevel"/>
    <w:tmpl w:val="31001D42"/>
    <w:lvl w:ilvl="0" w:tplc="D93A269A">
      <w:start w:val="1"/>
      <w:numFmt w:val="decimal"/>
      <w:lvlText w:val="%1."/>
      <w:lvlJc w:val="left"/>
      <w:pPr>
        <w:ind w:left="270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4"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5"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4"/>
  </w:num>
  <w:num w:numId="3">
    <w:abstractNumId w:val="23"/>
  </w:num>
  <w:num w:numId="4">
    <w:abstractNumId w:val="25"/>
  </w:num>
  <w:num w:numId="5">
    <w:abstractNumId w:val="3"/>
  </w:num>
  <w:num w:numId="6">
    <w:abstractNumId w:val="1"/>
  </w:num>
  <w:num w:numId="7">
    <w:abstractNumId w:val="14"/>
  </w:num>
  <w:num w:numId="8">
    <w:abstractNumId w:val="21"/>
  </w:num>
  <w:num w:numId="9">
    <w:abstractNumId w:val="15"/>
  </w:num>
  <w:num w:numId="10">
    <w:abstractNumId w:val="2"/>
  </w:num>
  <w:num w:numId="11">
    <w:abstractNumId w:val="8"/>
  </w:num>
  <w:num w:numId="12">
    <w:abstractNumId w:val="10"/>
  </w:num>
  <w:num w:numId="13">
    <w:abstractNumId w:val="0"/>
  </w:num>
  <w:num w:numId="14">
    <w:abstractNumId w:val="22"/>
  </w:num>
  <w:num w:numId="15">
    <w:abstractNumId w:val="20"/>
  </w:num>
  <w:num w:numId="16">
    <w:abstractNumId w:val="18"/>
  </w:num>
  <w:num w:numId="17">
    <w:abstractNumId w:val="4"/>
  </w:num>
  <w:num w:numId="18">
    <w:abstractNumId w:val="7"/>
  </w:num>
  <w:num w:numId="19">
    <w:abstractNumId w:val="6"/>
  </w:num>
  <w:num w:numId="20">
    <w:abstractNumId w:val="5"/>
  </w:num>
  <w:num w:numId="21">
    <w:abstractNumId w:val="9"/>
  </w:num>
  <w:num w:numId="22">
    <w:abstractNumId w:val="11"/>
  </w:num>
  <w:num w:numId="23">
    <w:abstractNumId w:val="17"/>
  </w:num>
  <w:num w:numId="24">
    <w:abstractNumId w:val="13"/>
  </w:num>
  <w:num w:numId="25">
    <w:abstractNumId w:val="1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87E38"/>
    <w:rsid w:val="000A6354"/>
    <w:rsid w:val="000B2838"/>
    <w:rsid w:val="000D44CA"/>
    <w:rsid w:val="000E200B"/>
    <w:rsid w:val="000F12D1"/>
    <w:rsid w:val="000F68BE"/>
    <w:rsid w:val="00104753"/>
    <w:rsid w:val="001522C4"/>
    <w:rsid w:val="00152CE4"/>
    <w:rsid w:val="001927A4"/>
    <w:rsid w:val="00194AC6"/>
    <w:rsid w:val="00196E2D"/>
    <w:rsid w:val="001A23B0"/>
    <w:rsid w:val="001A25CC"/>
    <w:rsid w:val="001B0AAA"/>
    <w:rsid w:val="001C39F7"/>
    <w:rsid w:val="001D4A37"/>
    <w:rsid w:val="001F552F"/>
    <w:rsid w:val="00237B48"/>
    <w:rsid w:val="0024521E"/>
    <w:rsid w:val="00263C3D"/>
    <w:rsid w:val="00266F16"/>
    <w:rsid w:val="00272333"/>
    <w:rsid w:val="00274D0B"/>
    <w:rsid w:val="002969EF"/>
    <w:rsid w:val="002B052D"/>
    <w:rsid w:val="002B2C69"/>
    <w:rsid w:val="002B34CD"/>
    <w:rsid w:val="002B3C95"/>
    <w:rsid w:val="002D0B92"/>
    <w:rsid w:val="00305A29"/>
    <w:rsid w:val="003A183F"/>
    <w:rsid w:val="003D5BBE"/>
    <w:rsid w:val="003E3C61"/>
    <w:rsid w:val="003E4857"/>
    <w:rsid w:val="003F1C5B"/>
    <w:rsid w:val="0041242E"/>
    <w:rsid w:val="00434E33"/>
    <w:rsid w:val="004410DB"/>
    <w:rsid w:val="00441434"/>
    <w:rsid w:val="0045264C"/>
    <w:rsid w:val="00454F47"/>
    <w:rsid w:val="004651E5"/>
    <w:rsid w:val="004876EC"/>
    <w:rsid w:val="004879BF"/>
    <w:rsid w:val="00494CE7"/>
    <w:rsid w:val="004B05C1"/>
    <w:rsid w:val="004D6E14"/>
    <w:rsid w:val="004E07C6"/>
    <w:rsid w:val="004E1A04"/>
    <w:rsid w:val="004F5C5A"/>
    <w:rsid w:val="005009B0"/>
    <w:rsid w:val="00516ADD"/>
    <w:rsid w:val="00534D18"/>
    <w:rsid w:val="005755D2"/>
    <w:rsid w:val="0058602A"/>
    <w:rsid w:val="005936D8"/>
    <w:rsid w:val="005A1006"/>
    <w:rsid w:val="005E714A"/>
    <w:rsid w:val="005F3F75"/>
    <w:rsid w:val="005F693D"/>
    <w:rsid w:val="006140A0"/>
    <w:rsid w:val="00630A62"/>
    <w:rsid w:val="00636621"/>
    <w:rsid w:val="00642B49"/>
    <w:rsid w:val="00665E0B"/>
    <w:rsid w:val="006832D9"/>
    <w:rsid w:val="00683B51"/>
    <w:rsid w:val="0069403B"/>
    <w:rsid w:val="006E496E"/>
    <w:rsid w:val="006E5712"/>
    <w:rsid w:val="006F3DDE"/>
    <w:rsid w:val="00704678"/>
    <w:rsid w:val="00727FA4"/>
    <w:rsid w:val="00731346"/>
    <w:rsid w:val="007425E7"/>
    <w:rsid w:val="00751779"/>
    <w:rsid w:val="00787F49"/>
    <w:rsid w:val="007F7080"/>
    <w:rsid w:val="00802607"/>
    <w:rsid w:val="008101A5"/>
    <w:rsid w:val="00815A29"/>
    <w:rsid w:val="00822664"/>
    <w:rsid w:val="008228C3"/>
    <w:rsid w:val="00833C62"/>
    <w:rsid w:val="00843796"/>
    <w:rsid w:val="008438D1"/>
    <w:rsid w:val="00895229"/>
    <w:rsid w:val="008B2EB3"/>
    <w:rsid w:val="008C7D85"/>
    <w:rsid w:val="008F0203"/>
    <w:rsid w:val="008F50D4"/>
    <w:rsid w:val="008F63B5"/>
    <w:rsid w:val="009004DD"/>
    <w:rsid w:val="009239AA"/>
    <w:rsid w:val="00923BB6"/>
    <w:rsid w:val="0093272F"/>
    <w:rsid w:val="00933193"/>
    <w:rsid w:val="00935ADA"/>
    <w:rsid w:val="00946B6C"/>
    <w:rsid w:val="009470A3"/>
    <w:rsid w:val="00955A71"/>
    <w:rsid w:val="0096108F"/>
    <w:rsid w:val="0098404E"/>
    <w:rsid w:val="009B52DC"/>
    <w:rsid w:val="009B611C"/>
    <w:rsid w:val="009C13B9"/>
    <w:rsid w:val="009D01A2"/>
    <w:rsid w:val="009F5923"/>
    <w:rsid w:val="00A403BB"/>
    <w:rsid w:val="00A552B1"/>
    <w:rsid w:val="00A674DF"/>
    <w:rsid w:val="00A83AA6"/>
    <w:rsid w:val="00A934D6"/>
    <w:rsid w:val="00A9524E"/>
    <w:rsid w:val="00AE1809"/>
    <w:rsid w:val="00AF2837"/>
    <w:rsid w:val="00AF47AD"/>
    <w:rsid w:val="00B80D76"/>
    <w:rsid w:val="00B824F4"/>
    <w:rsid w:val="00B954CA"/>
    <w:rsid w:val="00BA2105"/>
    <w:rsid w:val="00BA7E06"/>
    <w:rsid w:val="00BB43B5"/>
    <w:rsid w:val="00BB6219"/>
    <w:rsid w:val="00BC789E"/>
    <w:rsid w:val="00BD290F"/>
    <w:rsid w:val="00BD3E02"/>
    <w:rsid w:val="00BD78CA"/>
    <w:rsid w:val="00C14CC4"/>
    <w:rsid w:val="00C25899"/>
    <w:rsid w:val="00C27923"/>
    <w:rsid w:val="00C27F29"/>
    <w:rsid w:val="00C33C52"/>
    <w:rsid w:val="00C40D8B"/>
    <w:rsid w:val="00C42447"/>
    <w:rsid w:val="00C44B9E"/>
    <w:rsid w:val="00C53C1E"/>
    <w:rsid w:val="00C8407A"/>
    <w:rsid w:val="00C8488C"/>
    <w:rsid w:val="00C86E91"/>
    <w:rsid w:val="00C93D56"/>
    <w:rsid w:val="00CA2650"/>
    <w:rsid w:val="00CA565E"/>
    <w:rsid w:val="00CB1078"/>
    <w:rsid w:val="00CC6FAF"/>
    <w:rsid w:val="00CF6542"/>
    <w:rsid w:val="00D24698"/>
    <w:rsid w:val="00D342AE"/>
    <w:rsid w:val="00D440C1"/>
    <w:rsid w:val="00D47391"/>
    <w:rsid w:val="00D6383F"/>
    <w:rsid w:val="00D82880"/>
    <w:rsid w:val="00DB59D0"/>
    <w:rsid w:val="00DC33D3"/>
    <w:rsid w:val="00DC4659"/>
    <w:rsid w:val="00DE2DB7"/>
    <w:rsid w:val="00E02310"/>
    <w:rsid w:val="00E24809"/>
    <w:rsid w:val="00E26223"/>
    <w:rsid w:val="00E26329"/>
    <w:rsid w:val="00E40B50"/>
    <w:rsid w:val="00E430CA"/>
    <w:rsid w:val="00E50293"/>
    <w:rsid w:val="00E63ADE"/>
    <w:rsid w:val="00E65FFC"/>
    <w:rsid w:val="00E744EA"/>
    <w:rsid w:val="00E80951"/>
    <w:rsid w:val="00E85FF0"/>
    <w:rsid w:val="00E86CC6"/>
    <w:rsid w:val="00EB56B3"/>
    <w:rsid w:val="00ED6492"/>
    <w:rsid w:val="00EF2095"/>
    <w:rsid w:val="00EF31D3"/>
    <w:rsid w:val="00F06866"/>
    <w:rsid w:val="00F15956"/>
    <w:rsid w:val="00F24CFC"/>
    <w:rsid w:val="00F3170F"/>
    <w:rsid w:val="00F374E6"/>
    <w:rsid w:val="00F51AC7"/>
    <w:rsid w:val="00F85161"/>
    <w:rsid w:val="00F87126"/>
    <w:rsid w:val="00F976B0"/>
    <w:rsid w:val="00FA6DE7"/>
    <w:rsid w:val="00FC0A8E"/>
    <w:rsid w:val="00FE2FA6"/>
    <w:rsid w:val="00FE3DF2"/>
    <w:rsid w:val="00FE7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45A2C6"/>
  <w15:chartTrackingRefBased/>
  <w15:docId w15:val="{33D0DE70-3988-46A7-893F-283DD3AE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5F3F75"/>
    <w:rPr>
      <w:color w:val="0563C1" w:themeColor="hyperlink"/>
      <w:u w:val="single"/>
    </w:rPr>
  </w:style>
  <w:style w:type="character" w:styleId="UnresolvedMention">
    <w:name w:val="Unresolved Mention"/>
    <w:basedOn w:val="DefaultParagraphFont"/>
    <w:uiPriority w:val="99"/>
    <w:semiHidden/>
    <w:unhideWhenUsed/>
    <w:rsid w:val="005F3F75"/>
    <w:rPr>
      <w:color w:val="605E5C"/>
      <w:shd w:val="clear" w:color="auto" w:fill="E1DFDD"/>
    </w:rPr>
  </w:style>
  <w:style w:type="character" w:styleId="FollowedHyperlink">
    <w:name w:val="FollowedHyperlink"/>
    <w:basedOn w:val="DefaultParagraphFont"/>
    <w:rsid w:val="005F3F75"/>
    <w:rPr>
      <w:color w:val="954F72" w:themeColor="followedHyperlink"/>
      <w:u w:val="single"/>
    </w:rPr>
  </w:style>
  <w:style w:type="paragraph" w:styleId="Revision">
    <w:name w:val="Revision"/>
    <w:hidden/>
    <w:uiPriority w:val="99"/>
    <w:semiHidden/>
    <w:rsid w:val="00EF31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406513">
      <w:bodyDiv w:val="1"/>
      <w:marLeft w:val="0"/>
      <w:marRight w:val="0"/>
      <w:marTop w:val="0"/>
      <w:marBottom w:val="0"/>
      <w:divBdr>
        <w:top w:val="none" w:sz="0" w:space="0" w:color="auto"/>
        <w:left w:val="none" w:sz="0" w:space="0" w:color="auto"/>
        <w:bottom w:val="none" w:sz="0" w:space="0" w:color="auto"/>
        <w:right w:val="none" w:sz="0" w:space="0" w:color="auto"/>
      </w:divBdr>
    </w:div>
    <w:div w:id="1547645087">
      <w:bodyDiv w:val="1"/>
      <w:marLeft w:val="0"/>
      <w:marRight w:val="0"/>
      <w:marTop w:val="0"/>
      <w:marBottom w:val="0"/>
      <w:divBdr>
        <w:top w:val="none" w:sz="0" w:space="0" w:color="auto"/>
        <w:left w:val="none" w:sz="0" w:space="0" w:color="auto"/>
        <w:bottom w:val="none" w:sz="0" w:space="0" w:color="auto"/>
        <w:right w:val="none" w:sz="0" w:space="0" w:color="auto"/>
      </w:divBdr>
    </w:div>
    <w:div w:id="1566843222">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cc02.safelinks.protection.outlook.com/?url=https%3A%2F%2Fwww.bls.gov%2Foes%2Fcurrent%2Foes119031.htm&amp;data=05%7C01%7CBeth.Caron%40acf.hhs.gov%7C148fa00ac8eb4e35c82908da70ac225f%7Cd58addea50534a808499ba4d944910df%7C0%7C0%7C637946181851796091%7CUnknown%7CTWFpbGZsb3d8eyJWIjoiMC4wLjAwMDAiLCJQIjoiV2luMzIiLCJBTiI6Ik1haWwiLCJXVCI6Mn0%3D%7C3000%7C%7C%7C&amp;sdata=iRwGzEVB9KdTBy1AXK7D5JzoXdkDmXb7xBLYBVk6N3c%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811</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ACF PRA</cp:lastModifiedBy>
  <cp:revision>5</cp:revision>
  <cp:lastPrinted>2017-02-23T14:30:00Z</cp:lastPrinted>
  <dcterms:created xsi:type="dcterms:W3CDTF">2022-08-18T20:11:00Z</dcterms:created>
  <dcterms:modified xsi:type="dcterms:W3CDTF">2022-08-19T13:21:00Z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