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5B72D832"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5FDCDC4A" w14:textId="46174F2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B162F">
        <w:t xml:space="preserve">Office of Refugee Resettlement </w:t>
      </w:r>
      <w:r w:rsidR="001D0FFD">
        <w:t xml:space="preserve">Monitoring </w:t>
      </w:r>
      <w:r w:rsidR="003B162F">
        <w:t xml:space="preserve">of </w:t>
      </w:r>
      <w:r w:rsidR="001D0FFD">
        <w:t xml:space="preserve">the Status of Required Licensure </w:t>
      </w:r>
      <w:r w:rsidR="003B162F">
        <w:t>for Residential Care Providers</w:t>
      </w:r>
      <w:r w:rsidR="00DB7691">
        <w:t xml:space="preserve"> </w:t>
      </w:r>
    </w:p>
    <w:p w:rsidR="00BC789E" w14:paraId="7A9F70B9" w14:textId="77777777">
      <w:pPr>
        <w:rPr>
          <w:b/>
        </w:rPr>
      </w:pPr>
    </w:p>
    <w:p w:rsidR="001B0AAA" w14:paraId="12F47F08" w14:textId="77418004">
      <w:r>
        <w:rPr>
          <w:b/>
        </w:rPr>
        <w:t>PURPOSE</w:t>
      </w:r>
      <w:r w:rsidRPr="009239AA">
        <w:rPr>
          <w:b/>
        </w:rPr>
        <w:t>:</w:t>
      </w:r>
      <w:r w:rsidRPr="009239AA" w:rsidR="00C14CC4">
        <w:rPr>
          <w:b/>
        </w:rPr>
        <w:t xml:space="preserve">  </w:t>
      </w:r>
      <w:r w:rsidRPr="003B162F" w:rsidR="003B162F">
        <w:rPr>
          <w:bCs/>
        </w:rPr>
        <w:t>U</w:t>
      </w:r>
      <w:r w:rsidR="003B162F">
        <w:rPr>
          <w:bCs/>
        </w:rPr>
        <w:t>naccompanied children r</w:t>
      </w:r>
      <w:r w:rsidR="001D0FFD">
        <w:rPr>
          <w:bCs/>
        </w:rPr>
        <w:t xml:space="preserve">esidential care providers are required </w:t>
      </w:r>
      <w:r w:rsidR="00DA2072">
        <w:rPr>
          <w:bCs/>
        </w:rPr>
        <w:t xml:space="preserve">by the Office of Refugee Resettlement (ORR) </w:t>
      </w:r>
      <w:r w:rsidR="001D0FFD">
        <w:rPr>
          <w:bCs/>
        </w:rPr>
        <w:t xml:space="preserve">to be licensed to provide residential services. </w:t>
      </w:r>
      <w:r w:rsidR="00DA2072">
        <w:rPr>
          <w:bCs/>
        </w:rPr>
        <w:t>ORR</w:t>
      </w:r>
      <w:r w:rsidR="003B162F">
        <w:rPr>
          <w:bCs/>
        </w:rPr>
        <w:t xml:space="preserve"> aims to </w:t>
      </w:r>
      <w:r w:rsidR="001D0FFD">
        <w:rPr>
          <w:bCs/>
        </w:rPr>
        <w:t xml:space="preserve">ensure that </w:t>
      </w:r>
      <w:r w:rsidR="001D0FFD">
        <w:rPr>
          <w:bCs/>
        </w:rPr>
        <w:t>prelicensed</w:t>
      </w:r>
      <w:r w:rsidR="001D0FFD">
        <w:rPr>
          <w:bCs/>
        </w:rPr>
        <w:t xml:space="preserve"> recipients </w:t>
      </w:r>
      <w:r w:rsidR="00E37917">
        <w:rPr>
          <w:bCs/>
        </w:rPr>
        <w:t xml:space="preserve">become </w:t>
      </w:r>
      <w:r w:rsidR="001D0FFD">
        <w:rPr>
          <w:bCs/>
        </w:rPr>
        <w:t>licensed in a timely manner</w:t>
      </w:r>
      <w:r w:rsidR="003B162F">
        <w:rPr>
          <w:bCs/>
        </w:rPr>
        <w:t>. To do so</w:t>
      </w:r>
      <w:r w:rsidR="001D0FFD">
        <w:rPr>
          <w:bCs/>
        </w:rPr>
        <w:t xml:space="preserve">, ORR </w:t>
      </w:r>
      <w:r w:rsidR="003B162F">
        <w:rPr>
          <w:bCs/>
        </w:rPr>
        <w:t>proposes to</w:t>
      </w:r>
      <w:r w:rsidR="001D0FFD">
        <w:rPr>
          <w:bCs/>
        </w:rPr>
        <w:t xml:space="preserve"> </w:t>
      </w:r>
      <w:r w:rsidR="00DB7691">
        <w:t>monitor</w:t>
      </w:r>
      <w:r w:rsidR="006E2ADB">
        <w:t xml:space="preserve"> </w:t>
      </w:r>
      <w:r w:rsidR="00DB7691">
        <w:t>recipients</w:t>
      </w:r>
      <w:r w:rsidR="006E2ADB">
        <w:t>’</w:t>
      </w:r>
      <w:r w:rsidR="00DB7691">
        <w:t xml:space="preserve"> progress </w:t>
      </w:r>
      <w:r w:rsidR="006C7D9B">
        <w:t>through the required submission of</w:t>
      </w:r>
      <w:r w:rsidR="001D0FFD">
        <w:t xml:space="preserve"> bi-monthly</w:t>
      </w:r>
      <w:r w:rsidR="006C7D9B">
        <w:t xml:space="preserve"> (every two months)</w:t>
      </w:r>
      <w:r w:rsidR="001D0FFD">
        <w:t xml:space="preserve"> updates to ORR indicating the status of their licensure. The proposed instrument, </w:t>
      </w:r>
      <w:r w:rsidRPr="001D0FFD" w:rsidR="001D0FFD">
        <w:rPr>
          <w:i/>
          <w:iCs/>
        </w:rPr>
        <w:t>Monitoring the Status of Required Licensure</w:t>
      </w:r>
      <w:r w:rsidR="001D0FFD">
        <w:t xml:space="preserve">, will allow ORR to </w:t>
      </w:r>
      <w:r w:rsidR="003B162F">
        <w:t>ensure timely and complete licensure by recipients</w:t>
      </w:r>
      <w:r w:rsidR="001D0FFD">
        <w:t xml:space="preserve">. </w:t>
      </w:r>
    </w:p>
    <w:p w:rsidR="00C8488C" w14:paraId="48BA1E96" w14:textId="4DE7D80B"/>
    <w:p w:rsidR="00E32D62" w14:paraId="52580A7E" w14:textId="31F1BB82">
      <w:r>
        <w:t xml:space="preserve">The proposed instrument does not collect sensitive individual-level data. </w:t>
      </w:r>
    </w:p>
    <w:p w:rsidR="00C8488C" w:rsidP="00434E33" w14:paraId="3B0A7B22" w14:textId="6E309356">
      <w:pPr>
        <w:pStyle w:val="Header"/>
        <w:tabs>
          <w:tab w:val="clear" w:pos="4320"/>
          <w:tab w:val="clear" w:pos="8640"/>
        </w:tabs>
        <w:rPr>
          <w:b/>
        </w:rPr>
      </w:pPr>
    </w:p>
    <w:p w:rsidR="00E32D62" w:rsidP="00E32D62" w14:paraId="54DCB775" w14:textId="69E1F158">
      <w:r>
        <w:t xml:space="preserve">This information collection aligns with the overarching generic for monitoring activities, which specifically states that the information collected will allow ACF to: </w:t>
      </w:r>
    </w:p>
    <w:p w:rsidR="00E32D62" w:rsidP="00E32D62" w14:paraId="1BF4BE99" w14:textId="77777777"/>
    <w:p w:rsidR="00E32D62" w:rsidP="00E32D62" w14:paraId="3276F565" w14:textId="435BCD0F">
      <w:pPr>
        <w:pStyle w:val="ListParagraph"/>
        <w:numPr>
          <w:ilvl w:val="0"/>
          <w:numId w:val="23"/>
        </w:numPr>
      </w:pPr>
      <w:r>
        <w:t>monitor compliance with federal practice, guidelines, and requirements</w:t>
      </w:r>
    </w:p>
    <w:p w:rsidR="00E32D62" w:rsidP="00E32D62" w14:paraId="18B10121" w14:textId="77777777">
      <w:pPr>
        <w:pStyle w:val="ListParagraph"/>
        <w:numPr>
          <w:ilvl w:val="0"/>
          <w:numId w:val="23"/>
        </w:numPr>
      </w:pPr>
      <w:r>
        <w:t>quickly understand and remediate national, regional, and/or site-specific issues</w:t>
      </w:r>
    </w:p>
    <w:p w:rsidR="00E32D62" w:rsidP="00E32D62" w14:paraId="598515DF" w14:textId="77777777">
      <w:pPr>
        <w:pStyle w:val="ListParagraph"/>
        <w:numPr>
          <w:ilvl w:val="0"/>
          <w:numId w:val="23"/>
        </w:numPr>
      </w:pPr>
      <w:r w:rsidRPr="0091401A">
        <w:t>ensure timely action by ACF to support grantees and protect federal interests</w:t>
      </w:r>
    </w:p>
    <w:p w:rsidR="00E32D62" w:rsidP="00E32D62" w14:paraId="61A4DF68" w14:textId="77777777"/>
    <w:p w:rsidR="00E32D62" w:rsidP="00E32D62" w14:paraId="0D1B78FE" w14:textId="77777777">
      <w:r>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p>
    <w:p w:rsidR="00C8488C" w:rsidP="00434E33" w14:paraId="1C229342" w14:textId="77777777">
      <w:pPr>
        <w:pStyle w:val="Header"/>
        <w:tabs>
          <w:tab w:val="clear" w:pos="4320"/>
          <w:tab w:val="clear" w:pos="8640"/>
        </w:tabs>
        <w:rPr>
          <w:b/>
        </w:rPr>
      </w:pPr>
    </w:p>
    <w:p w:rsidR="00751779" w:rsidRPr="00E32D62" w:rsidP="00E32D62" w14:paraId="0D3B03F1" w14:textId="2E549B92">
      <w:pPr>
        <w:pStyle w:val="Header"/>
        <w:tabs>
          <w:tab w:val="clear" w:pos="4320"/>
          <w:tab w:val="clear" w:pos="8640"/>
        </w:tabs>
        <w:rPr>
          <w:i/>
          <w:snapToGrid/>
        </w:rPr>
      </w:pPr>
      <w:r w:rsidRPr="00434E33">
        <w:rPr>
          <w:b/>
        </w:rPr>
        <w:t>DESCRIPTION OF RESPONDENTS</w:t>
      </w:r>
      <w:r w:rsidRPr="001522C4">
        <w:rPr>
          <w:b/>
        </w:rPr>
        <w:t>:</w:t>
      </w:r>
      <w:r>
        <w:t xml:space="preserve"> </w:t>
      </w:r>
      <w:r w:rsidR="00DA2072">
        <w:t xml:space="preserve">Unaccompanied children residential </w:t>
      </w:r>
      <w:r w:rsidR="00E32D62">
        <w:t>care provider program</w:t>
      </w:r>
      <w:r w:rsidR="006C7D9B">
        <w:t>s</w:t>
      </w:r>
      <w:r w:rsidR="00E32D62">
        <w:t xml:space="preserve">. </w:t>
      </w:r>
      <w:r w:rsidR="004F5C5A">
        <w:t xml:space="preserve"> </w:t>
      </w:r>
    </w:p>
    <w:p w:rsidR="00434E33" w14:paraId="2C12F8AA" w14:textId="77777777">
      <w:pPr>
        <w:pStyle w:val="Header"/>
        <w:tabs>
          <w:tab w:val="clear" w:pos="4320"/>
          <w:tab w:val="clear" w:pos="8640"/>
        </w:tabs>
      </w:pPr>
    </w:p>
    <w:p w:rsidR="00CA2650" w14:paraId="6EDA4980" w14:textId="77777777">
      <w:pPr>
        <w:rPr>
          <w:b/>
        </w:rPr>
      </w:pPr>
      <w:r>
        <w:rPr>
          <w:b/>
        </w:rPr>
        <w:t>C</w:t>
      </w:r>
      <w:r w:rsidR="009C13B9">
        <w:rPr>
          <w:b/>
        </w:rPr>
        <w:t>ERTIFICATION:</w:t>
      </w:r>
    </w:p>
    <w:p w:rsidR="00441434" w14:paraId="4742B919" w14:textId="77777777">
      <w:pPr>
        <w:rPr>
          <w:sz w:val="16"/>
          <w:szCs w:val="16"/>
        </w:rPr>
      </w:pPr>
    </w:p>
    <w:p w:rsidR="008101A5" w:rsidP="008101A5" w14:paraId="65C3C8D3" w14:textId="77777777">
      <w:r>
        <w:t xml:space="preserve">I certify the following to be true: </w:t>
      </w:r>
    </w:p>
    <w:p w:rsidR="008101A5" w:rsidP="008C7D85" w14:paraId="22FC313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3FF856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351F536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DD02B48"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061922DB" w14:textId="77777777">
      <w:pPr>
        <w:pStyle w:val="ListParagraph"/>
      </w:pPr>
      <w:r>
        <w:tab/>
      </w:r>
    </w:p>
    <w:p w:rsidR="009C13B9" w:rsidP="009C13B9" w14:paraId="0D5AD9CB" w14:textId="469AE36C">
      <w:r>
        <w:t>Name:_</w:t>
      </w:r>
      <w:r w:rsidR="006D3E62">
        <w:rPr>
          <w:u w:val="single"/>
        </w:rPr>
        <w:t>Leandra</w:t>
      </w:r>
      <w:r w:rsidR="006D3E62">
        <w:rPr>
          <w:u w:val="single"/>
        </w:rPr>
        <w:t xml:space="preserve"> Naranjo, Policy Advisor, Office of Refugee Resettlement </w:t>
      </w:r>
    </w:p>
    <w:p w:rsidR="009C13B9" w:rsidP="009C13B9" w14:paraId="7161F6FE" w14:textId="77777777">
      <w:pPr>
        <w:pStyle w:val="ListParagraph"/>
        <w:ind w:left="360"/>
      </w:pPr>
    </w:p>
    <w:p w:rsidR="009C13B9" w:rsidP="009C13B9" w14:paraId="564D5B98" w14:textId="5FFFCDDB">
      <w:r>
        <w:t xml:space="preserve">To assist </w:t>
      </w:r>
      <w:r w:rsidR="00C53C1E">
        <w:t xml:space="preserve">OMB </w:t>
      </w:r>
      <w:r>
        <w:t>review</w:t>
      </w:r>
      <w:r w:rsidR="00C53C1E">
        <w:t xml:space="preserve"> of your request</w:t>
      </w:r>
      <w:r>
        <w:t>, please provide answers to the following question</w:t>
      </w:r>
      <w:r w:rsidR="00DB7691">
        <w:t>s</w:t>
      </w:r>
      <w:r>
        <w:t>:</w:t>
      </w:r>
    </w:p>
    <w:p w:rsidR="009C13B9" w:rsidP="009C13B9" w14:paraId="70BFB0A8" w14:textId="77777777">
      <w:pPr>
        <w:pStyle w:val="ListParagraph"/>
        <w:ind w:left="360"/>
      </w:pPr>
    </w:p>
    <w:p w:rsidR="009C13B9" w:rsidP="00C86E91" w14:paraId="04E90017" w14:textId="77777777">
      <w:pPr>
        <w:rPr>
          <w:b/>
        </w:rPr>
      </w:pPr>
      <w:r>
        <w:rPr>
          <w:b/>
        </w:rPr>
        <w:t>PERSONALLY IDENTIFIABLE INFORMATION</w:t>
      </w:r>
      <w:r w:rsidRPr="00C86E91" w:rsidR="00C86E91">
        <w:rPr>
          <w:b/>
        </w:rPr>
        <w:t>:</w:t>
      </w:r>
    </w:p>
    <w:p w:rsidR="008C7D85" w:rsidRPr="00C86E91" w:rsidP="00C86E91" w14:paraId="79B52AEC" w14:textId="77777777">
      <w:pPr>
        <w:rPr>
          <w:b/>
        </w:rPr>
      </w:pPr>
    </w:p>
    <w:p w:rsidR="00C86E91" w:rsidP="00C86E91" w14:paraId="363CA542" w14:textId="7389242C">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B7691">
        <w:t>x</w:t>
      </w:r>
      <w:r w:rsidR="009239AA">
        <w:t xml:space="preserve"> ]  No </w:t>
      </w:r>
    </w:p>
    <w:p w:rsidR="00C86E91" w:rsidP="00C86E91" w14:paraId="4F9CA2D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71F6E4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1BD6ED78" w14:textId="77777777">
      <w:pPr>
        <w:pStyle w:val="ListParagraph"/>
        <w:ind w:left="0"/>
        <w:rPr>
          <w:b/>
        </w:rPr>
      </w:pPr>
    </w:p>
    <w:p w:rsidR="005E714A" w:rsidP="00C86E91" w14:paraId="1F60CD3E" w14:textId="77777777">
      <w:pPr>
        <w:rPr>
          <w:i/>
        </w:rPr>
      </w:pPr>
      <w:r>
        <w:rPr>
          <w:b/>
        </w:rPr>
        <w:t>BURDEN HOUR</w:t>
      </w:r>
      <w:r w:rsidR="00441434">
        <w:rPr>
          <w:b/>
        </w:rPr>
        <w:t>S</w:t>
      </w:r>
      <w:r>
        <w:t xml:space="preserve"> </w:t>
      </w:r>
    </w:p>
    <w:p w:rsidR="006832D9" w:rsidRPr="006832D9" w:rsidP="00F3170F" w14:paraId="5FAE8349" w14:textId="77777777">
      <w:pPr>
        <w:keepNext/>
        <w:keepLines/>
        <w:rPr>
          <w:b/>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1890"/>
        <w:gridCol w:w="2250"/>
        <w:gridCol w:w="1710"/>
        <w:gridCol w:w="1538"/>
      </w:tblGrid>
      <w:tr w14:paraId="70D7C093" w14:textId="77777777" w:rsidTr="00480594">
        <w:tblPrEx>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623" w:type="dxa"/>
            <w:shd w:val="clear" w:color="auto" w:fill="D9D9D9" w:themeFill="background1" w:themeFillShade="D9"/>
          </w:tcPr>
          <w:p w:rsidR="00BC789E" w:rsidRPr="00480594" w:rsidP="00C8488C" w14:paraId="44EF7776" w14:textId="77777777">
            <w:pPr>
              <w:rPr>
                <w:b/>
                <w:sz w:val="20"/>
                <w:szCs w:val="20"/>
              </w:rPr>
            </w:pPr>
            <w:r w:rsidRPr="00480594">
              <w:rPr>
                <w:b/>
                <w:sz w:val="20"/>
                <w:szCs w:val="20"/>
              </w:rPr>
              <w:t xml:space="preserve">Category of Respondent </w:t>
            </w:r>
          </w:p>
        </w:tc>
        <w:tc>
          <w:tcPr>
            <w:tcW w:w="1890" w:type="dxa"/>
            <w:shd w:val="clear" w:color="auto" w:fill="D9D9D9" w:themeFill="background1" w:themeFillShade="D9"/>
          </w:tcPr>
          <w:p w:rsidR="00BC789E" w:rsidRPr="00480594" w:rsidP="00843796" w14:paraId="31C6D1F2" w14:textId="77777777">
            <w:pPr>
              <w:rPr>
                <w:b/>
                <w:sz w:val="20"/>
                <w:szCs w:val="20"/>
              </w:rPr>
            </w:pPr>
            <w:r w:rsidRPr="00480594">
              <w:rPr>
                <w:b/>
                <w:sz w:val="20"/>
                <w:szCs w:val="20"/>
              </w:rPr>
              <w:t>No. of Respondents</w:t>
            </w:r>
          </w:p>
        </w:tc>
        <w:tc>
          <w:tcPr>
            <w:tcW w:w="2250" w:type="dxa"/>
            <w:shd w:val="clear" w:color="auto" w:fill="D9D9D9" w:themeFill="background1" w:themeFillShade="D9"/>
          </w:tcPr>
          <w:p w:rsidR="00BC789E" w:rsidRPr="00480594" w:rsidP="00843796" w14:paraId="3370EFDB" w14:textId="77777777">
            <w:pPr>
              <w:rPr>
                <w:b/>
                <w:sz w:val="20"/>
                <w:szCs w:val="20"/>
              </w:rPr>
            </w:pPr>
            <w:r w:rsidRPr="00480594">
              <w:rPr>
                <w:b/>
                <w:sz w:val="20"/>
                <w:szCs w:val="20"/>
              </w:rPr>
              <w:t>No. of Responses per Respondent</w:t>
            </w:r>
            <w:r w:rsidRPr="00480594" w:rsidR="009B611C">
              <w:rPr>
                <w:b/>
                <w:sz w:val="20"/>
                <w:szCs w:val="20"/>
              </w:rPr>
              <w:t xml:space="preserve"> per year</w:t>
            </w:r>
          </w:p>
        </w:tc>
        <w:tc>
          <w:tcPr>
            <w:tcW w:w="1710" w:type="dxa"/>
            <w:shd w:val="clear" w:color="auto" w:fill="D9D9D9" w:themeFill="background1" w:themeFillShade="D9"/>
          </w:tcPr>
          <w:p w:rsidR="00BC789E" w:rsidRPr="00480594" w:rsidP="00843796" w14:paraId="0EAE6E37" w14:textId="082BA034">
            <w:pPr>
              <w:rPr>
                <w:b/>
                <w:sz w:val="20"/>
                <w:szCs w:val="20"/>
              </w:rPr>
            </w:pPr>
            <w:r w:rsidRPr="00480594">
              <w:rPr>
                <w:b/>
                <w:sz w:val="20"/>
                <w:szCs w:val="20"/>
              </w:rPr>
              <w:t>Burden per Response</w:t>
            </w:r>
            <w:r w:rsidRPr="00480594" w:rsidR="00413089">
              <w:rPr>
                <w:b/>
                <w:sz w:val="20"/>
                <w:szCs w:val="20"/>
              </w:rPr>
              <w:t xml:space="preserve"> (hours)</w:t>
            </w:r>
          </w:p>
        </w:tc>
        <w:tc>
          <w:tcPr>
            <w:tcW w:w="1538" w:type="dxa"/>
            <w:shd w:val="clear" w:color="auto" w:fill="D9D9D9" w:themeFill="background1" w:themeFillShade="D9"/>
          </w:tcPr>
          <w:p w:rsidR="00BC789E" w:rsidRPr="00480594" w:rsidP="00843796" w14:paraId="54C6FCA9" w14:textId="77777777">
            <w:pPr>
              <w:rPr>
                <w:b/>
                <w:sz w:val="20"/>
                <w:szCs w:val="20"/>
              </w:rPr>
            </w:pPr>
            <w:r w:rsidRPr="00480594">
              <w:rPr>
                <w:b/>
                <w:sz w:val="20"/>
                <w:szCs w:val="20"/>
              </w:rPr>
              <w:t xml:space="preserve">Annual </w:t>
            </w:r>
            <w:r w:rsidRPr="00480594">
              <w:rPr>
                <w:b/>
                <w:sz w:val="20"/>
                <w:szCs w:val="20"/>
              </w:rPr>
              <w:t>Burden</w:t>
            </w:r>
          </w:p>
        </w:tc>
      </w:tr>
      <w:tr w14:paraId="21826E3E" w14:textId="77777777" w:rsidTr="00E32D62">
        <w:tblPrEx>
          <w:tblW w:w="10011" w:type="dxa"/>
          <w:jc w:val="center"/>
          <w:tblLayout w:type="fixed"/>
          <w:tblLook w:val="01E0"/>
        </w:tblPrEx>
        <w:trPr>
          <w:trHeight w:val="274"/>
          <w:jc w:val="center"/>
        </w:trPr>
        <w:tc>
          <w:tcPr>
            <w:tcW w:w="2623" w:type="dxa"/>
          </w:tcPr>
          <w:p w:rsidR="00BC789E" w:rsidRPr="00480594" w:rsidP="00843796" w14:paraId="2003B7CC" w14:textId="759AB6EB">
            <w:pPr>
              <w:rPr>
                <w:sz w:val="20"/>
                <w:szCs w:val="20"/>
              </w:rPr>
            </w:pPr>
            <w:r w:rsidRPr="00480594">
              <w:rPr>
                <w:sz w:val="20"/>
                <w:szCs w:val="20"/>
              </w:rPr>
              <w:t xml:space="preserve">ORR </w:t>
            </w:r>
            <w:r w:rsidRPr="00480594" w:rsidR="00413089">
              <w:rPr>
                <w:sz w:val="20"/>
                <w:szCs w:val="20"/>
              </w:rPr>
              <w:t>Care provider program</w:t>
            </w:r>
          </w:p>
        </w:tc>
        <w:tc>
          <w:tcPr>
            <w:tcW w:w="1890" w:type="dxa"/>
          </w:tcPr>
          <w:p w:rsidR="00BC789E" w:rsidRPr="00480594" w:rsidP="00843796" w14:paraId="49AED245" w14:textId="2F9B9B66">
            <w:pPr>
              <w:rPr>
                <w:sz w:val="20"/>
                <w:szCs w:val="20"/>
              </w:rPr>
            </w:pPr>
            <w:r w:rsidRPr="00480594">
              <w:rPr>
                <w:sz w:val="20"/>
                <w:szCs w:val="20"/>
              </w:rPr>
              <w:t>40</w:t>
            </w:r>
          </w:p>
        </w:tc>
        <w:tc>
          <w:tcPr>
            <w:tcW w:w="2250" w:type="dxa"/>
          </w:tcPr>
          <w:p w:rsidR="00BC789E" w:rsidRPr="00480594" w:rsidP="00843796" w14:paraId="52C56DA4" w14:textId="4637DE33">
            <w:pPr>
              <w:rPr>
                <w:sz w:val="20"/>
                <w:szCs w:val="20"/>
              </w:rPr>
            </w:pPr>
            <w:r w:rsidRPr="00480594">
              <w:rPr>
                <w:sz w:val="20"/>
                <w:szCs w:val="20"/>
              </w:rPr>
              <w:t>6</w:t>
            </w:r>
          </w:p>
        </w:tc>
        <w:tc>
          <w:tcPr>
            <w:tcW w:w="1710" w:type="dxa"/>
          </w:tcPr>
          <w:p w:rsidR="00BC789E" w:rsidRPr="00480594" w:rsidP="00843796" w14:paraId="7B0C1ED7" w14:textId="268F6461">
            <w:pPr>
              <w:rPr>
                <w:sz w:val="20"/>
                <w:szCs w:val="20"/>
              </w:rPr>
            </w:pPr>
            <w:r w:rsidRPr="00480594">
              <w:rPr>
                <w:sz w:val="20"/>
                <w:szCs w:val="20"/>
              </w:rPr>
              <w:t>.5</w:t>
            </w:r>
          </w:p>
        </w:tc>
        <w:tc>
          <w:tcPr>
            <w:tcW w:w="1538" w:type="dxa"/>
          </w:tcPr>
          <w:p w:rsidR="00BC789E" w:rsidRPr="00480594" w:rsidP="00843796" w14:paraId="1B081E63" w14:textId="53D4D461">
            <w:pPr>
              <w:rPr>
                <w:sz w:val="20"/>
                <w:szCs w:val="20"/>
              </w:rPr>
            </w:pPr>
            <w:r w:rsidRPr="00480594">
              <w:rPr>
                <w:sz w:val="20"/>
                <w:szCs w:val="20"/>
              </w:rPr>
              <w:t>120</w:t>
            </w:r>
            <w:r w:rsidRPr="00480594" w:rsidR="00413089">
              <w:rPr>
                <w:sz w:val="20"/>
                <w:szCs w:val="20"/>
              </w:rPr>
              <w:t xml:space="preserve"> </w:t>
            </w:r>
          </w:p>
        </w:tc>
      </w:tr>
    </w:tbl>
    <w:p w:rsidR="00F3170F" w:rsidP="00F3170F" w14:paraId="7151EB03" w14:textId="77777777"/>
    <w:p w:rsidR="00E32D62" w:rsidRPr="00965F31" w:rsidP="00E32D62" w14:paraId="3B09A891" w14:textId="77777777">
      <w:pPr>
        <w:rPr>
          <w:b/>
        </w:rPr>
      </w:pPr>
      <w:r w:rsidRPr="00794ECF">
        <w:rPr>
          <w:b/>
        </w:rPr>
        <w:t xml:space="preserve">FEDERAL </w:t>
      </w:r>
      <w:r w:rsidRPr="00965F31">
        <w:rPr>
          <w:b/>
        </w:rPr>
        <w:t xml:space="preserve">COST:  </w:t>
      </w:r>
      <w:r w:rsidRPr="00965F31">
        <w:t xml:space="preserve"> </w:t>
      </w:r>
      <w:r w:rsidRPr="00A37EF4">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00E32D62" w:rsidRPr="00965F31" w:rsidP="00E32D62" w14:paraId="7C94A787" w14:textId="77777777">
      <w:pP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2250"/>
        <w:gridCol w:w="1710"/>
        <w:gridCol w:w="1350"/>
        <w:gridCol w:w="1440"/>
        <w:gridCol w:w="1350"/>
      </w:tblGrid>
      <w:tr w14:paraId="3D752635" w14:textId="77777777" w:rsidTr="00604912">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435" w:type="dxa"/>
            <w:shd w:val="clear" w:color="auto" w:fill="D9D9D9" w:themeFill="background1" w:themeFillShade="D9"/>
            <w:vAlign w:val="center"/>
          </w:tcPr>
          <w:p w:rsidR="00E32D62" w:rsidRPr="004B1176" w:rsidP="00604912" w14:paraId="6DEBD29D" w14:textId="77777777">
            <w:pPr>
              <w:rPr>
                <w:b/>
                <w:sz w:val="20"/>
                <w:szCs w:val="20"/>
              </w:rPr>
            </w:pPr>
            <w:r w:rsidRPr="004B1176">
              <w:rPr>
                <w:b/>
                <w:sz w:val="20"/>
                <w:szCs w:val="20"/>
              </w:rPr>
              <w:t>No. of Federal Staff</w:t>
            </w:r>
          </w:p>
        </w:tc>
        <w:tc>
          <w:tcPr>
            <w:tcW w:w="2250" w:type="dxa"/>
            <w:shd w:val="clear" w:color="auto" w:fill="D9D9D9" w:themeFill="background1" w:themeFillShade="D9"/>
            <w:vAlign w:val="center"/>
          </w:tcPr>
          <w:p w:rsidR="00E32D62" w:rsidRPr="004B1176" w:rsidP="00604912" w14:paraId="0AFBB285" w14:textId="77777777">
            <w:pPr>
              <w:rPr>
                <w:b/>
                <w:sz w:val="20"/>
                <w:szCs w:val="20"/>
              </w:rPr>
            </w:pPr>
            <w:r w:rsidRPr="004B1176">
              <w:rPr>
                <w:b/>
                <w:sz w:val="20"/>
                <w:szCs w:val="20"/>
              </w:rPr>
              <w:t>No. of Responses per Federal Staff per year</w:t>
            </w:r>
          </w:p>
        </w:tc>
        <w:tc>
          <w:tcPr>
            <w:tcW w:w="1710" w:type="dxa"/>
            <w:shd w:val="clear" w:color="auto" w:fill="D9D9D9" w:themeFill="background1" w:themeFillShade="D9"/>
            <w:vAlign w:val="center"/>
          </w:tcPr>
          <w:p w:rsidR="00E32D62" w:rsidRPr="004B1176" w:rsidP="00604912" w14:paraId="74FC57ED" w14:textId="77777777">
            <w:pPr>
              <w:rPr>
                <w:b/>
                <w:sz w:val="20"/>
                <w:szCs w:val="20"/>
              </w:rPr>
            </w:pPr>
            <w:r w:rsidRPr="004B1176">
              <w:rPr>
                <w:b/>
                <w:sz w:val="20"/>
                <w:szCs w:val="20"/>
              </w:rPr>
              <w:t>Burden per Response (hours)</w:t>
            </w:r>
          </w:p>
        </w:tc>
        <w:tc>
          <w:tcPr>
            <w:tcW w:w="1350" w:type="dxa"/>
            <w:shd w:val="clear" w:color="auto" w:fill="D9D9D9" w:themeFill="background1" w:themeFillShade="D9"/>
            <w:vAlign w:val="center"/>
          </w:tcPr>
          <w:p w:rsidR="00E32D62" w:rsidRPr="004B1176" w:rsidP="00604912" w14:paraId="0FC62778" w14:textId="77777777">
            <w:pPr>
              <w:rPr>
                <w:b/>
                <w:sz w:val="20"/>
                <w:szCs w:val="20"/>
              </w:rPr>
            </w:pPr>
            <w:r w:rsidRPr="004B1176">
              <w:rPr>
                <w:b/>
                <w:sz w:val="20"/>
                <w:szCs w:val="20"/>
              </w:rPr>
              <w:t>Annual Burden</w:t>
            </w:r>
          </w:p>
        </w:tc>
        <w:tc>
          <w:tcPr>
            <w:tcW w:w="1440" w:type="dxa"/>
            <w:shd w:val="clear" w:color="auto" w:fill="D9D9D9" w:themeFill="background1" w:themeFillShade="D9"/>
            <w:vAlign w:val="center"/>
          </w:tcPr>
          <w:p w:rsidR="00E32D62" w:rsidRPr="004B1176" w:rsidP="00604912" w14:paraId="3FE4F08C" w14:textId="77777777">
            <w:pPr>
              <w:rPr>
                <w:b/>
                <w:sz w:val="20"/>
                <w:szCs w:val="20"/>
              </w:rPr>
            </w:pPr>
            <w:r w:rsidRPr="004B1176">
              <w:rPr>
                <w:b/>
                <w:sz w:val="20"/>
                <w:szCs w:val="20"/>
              </w:rPr>
              <w:t>Average Hourly Wage</w:t>
            </w:r>
          </w:p>
        </w:tc>
        <w:tc>
          <w:tcPr>
            <w:tcW w:w="1350" w:type="dxa"/>
            <w:shd w:val="clear" w:color="auto" w:fill="D9D9D9" w:themeFill="background1" w:themeFillShade="D9"/>
            <w:vAlign w:val="center"/>
          </w:tcPr>
          <w:p w:rsidR="00E32D62" w:rsidRPr="004B1176" w:rsidP="00604912" w14:paraId="4CED0F6A" w14:textId="77777777">
            <w:pPr>
              <w:rPr>
                <w:b/>
                <w:sz w:val="20"/>
                <w:szCs w:val="20"/>
              </w:rPr>
            </w:pPr>
            <w:r w:rsidRPr="004B1176">
              <w:rPr>
                <w:b/>
                <w:sz w:val="20"/>
                <w:szCs w:val="20"/>
              </w:rPr>
              <w:t>Total Annual Cost</w:t>
            </w:r>
          </w:p>
        </w:tc>
      </w:tr>
      <w:tr w14:paraId="36311E17" w14:textId="77777777" w:rsidTr="00604912">
        <w:tblPrEx>
          <w:tblW w:w="9535" w:type="dxa"/>
          <w:tblLayout w:type="fixed"/>
          <w:tblLook w:val="01E0"/>
        </w:tblPrEx>
        <w:trPr>
          <w:trHeight w:val="274"/>
        </w:trPr>
        <w:tc>
          <w:tcPr>
            <w:tcW w:w="1435" w:type="dxa"/>
            <w:vAlign w:val="center"/>
          </w:tcPr>
          <w:p w:rsidR="006D3E62" w:rsidRPr="004B1176" w:rsidP="00604912" w14:paraId="52478AC8" w14:textId="2C7B2675">
            <w:pPr>
              <w:rPr>
                <w:sz w:val="20"/>
                <w:szCs w:val="20"/>
              </w:rPr>
            </w:pPr>
            <w:r>
              <w:rPr>
                <w:sz w:val="20"/>
                <w:szCs w:val="20"/>
              </w:rPr>
              <w:t>20</w:t>
            </w:r>
          </w:p>
        </w:tc>
        <w:tc>
          <w:tcPr>
            <w:tcW w:w="2250" w:type="dxa"/>
            <w:vAlign w:val="center"/>
          </w:tcPr>
          <w:p w:rsidR="00E32D62" w:rsidRPr="004B1176" w:rsidP="00604912" w14:paraId="1DA3F818" w14:textId="7864A82C">
            <w:pPr>
              <w:rPr>
                <w:sz w:val="20"/>
                <w:szCs w:val="20"/>
              </w:rPr>
            </w:pPr>
            <w:r>
              <w:rPr>
                <w:sz w:val="20"/>
                <w:szCs w:val="20"/>
              </w:rPr>
              <w:t>6</w:t>
            </w:r>
          </w:p>
        </w:tc>
        <w:tc>
          <w:tcPr>
            <w:tcW w:w="1710" w:type="dxa"/>
            <w:vAlign w:val="center"/>
          </w:tcPr>
          <w:p w:rsidR="00E32D62" w:rsidRPr="004B1176" w:rsidP="00604912" w14:paraId="3671779A" w14:textId="660AB188">
            <w:pPr>
              <w:rPr>
                <w:sz w:val="20"/>
                <w:szCs w:val="20"/>
              </w:rPr>
            </w:pPr>
            <w:r w:rsidRPr="004B1176">
              <w:rPr>
                <w:sz w:val="20"/>
                <w:szCs w:val="20"/>
              </w:rPr>
              <w:t>.5</w:t>
            </w:r>
          </w:p>
        </w:tc>
        <w:tc>
          <w:tcPr>
            <w:tcW w:w="1350" w:type="dxa"/>
            <w:vAlign w:val="center"/>
          </w:tcPr>
          <w:p w:rsidR="00E32D62" w:rsidRPr="004B1176" w:rsidP="00604912" w14:paraId="3A062257" w14:textId="7EE0F665">
            <w:pPr>
              <w:rPr>
                <w:sz w:val="20"/>
                <w:szCs w:val="20"/>
              </w:rPr>
            </w:pPr>
            <w:r>
              <w:rPr>
                <w:sz w:val="20"/>
                <w:szCs w:val="20"/>
              </w:rPr>
              <w:t>60</w:t>
            </w:r>
          </w:p>
        </w:tc>
        <w:tc>
          <w:tcPr>
            <w:tcW w:w="1440" w:type="dxa"/>
            <w:vAlign w:val="center"/>
          </w:tcPr>
          <w:p w:rsidR="00E32D62" w:rsidRPr="004B1176" w:rsidP="00604912" w14:paraId="186043D1" w14:textId="77777777">
            <w:pPr>
              <w:rPr>
                <w:sz w:val="20"/>
                <w:szCs w:val="20"/>
              </w:rPr>
            </w:pPr>
            <w:r w:rsidRPr="004B1176">
              <w:rPr>
                <w:sz w:val="20"/>
                <w:szCs w:val="20"/>
              </w:rPr>
              <w:t>$83.56</w:t>
            </w:r>
          </w:p>
        </w:tc>
        <w:tc>
          <w:tcPr>
            <w:tcW w:w="1350" w:type="dxa"/>
            <w:vAlign w:val="center"/>
          </w:tcPr>
          <w:p w:rsidR="00E32D62" w:rsidRPr="004B1176" w:rsidP="00604912" w14:paraId="40166518" w14:textId="1759700A">
            <w:pPr>
              <w:rPr>
                <w:sz w:val="20"/>
                <w:szCs w:val="20"/>
              </w:rPr>
            </w:pPr>
            <w:r w:rsidRPr="004B1176">
              <w:rPr>
                <w:sz w:val="20"/>
                <w:szCs w:val="20"/>
              </w:rPr>
              <w:t>$</w:t>
            </w:r>
            <w:r w:rsidR="005E1429">
              <w:t xml:space="preserve"> </w:t>
            </w:r>
            <w:r w:rsidRPr="005E1429" w:rsidR="005E1429">
              <w:rPr>
                <w:sz w:val="20"/>
                <w:szCs w:val="20"/>
              </w:rPr>
              <w:t>5,013.6</w:t>
            </w:r>
            <w:r w:rsidRPr="005E1429" w:rsidR="005E1429">
              <w:rPr>
                <w:sz w:val="20"/>
                <w:szCs w:val="20"/>
              </w:rPr>
              <w:t>‬</w:t>
            </w:r>
            <w:r w:rsidR="005E1429">
              <w:rPr>
                <w:sz w:val="20"/>
                <w:szCs w:val="20"/>
              </w:rPr>
              <w:t>0</w:t>
            </w:r>
          </w:p>
        </w:tc>
      </w:tr>
    </w:tbl>
    <w:p w:rsidR="009B611C" w:rsidP="00A403BB" w14:paraId="330EE4C3" w14:textId="77777777">
      <w:pPr>
        <w:rPr>
          <w:b/>
        </w:rPr>
      </w:pPr>
    </w:p>
    <w:p w:rsidR="00A403BB" w:rsidP="00A403BB" w14:paraId="5D6ACFE6" w14:textId="77777777">
      <w:pPr>
        <w:rPr>
          <w:b/>
        </w:rPr>
      </w:pPr>
      <w:r>
        <w:rPr>
          <w:b/>
        </w:rPr>
        <w:t>TYPE OF COLLECTION:</w:t>
      </w:r>
    </w:p>
    <w:p w:rsidR="00630A62" w:rsidP="00A403BB" w14:paraId="65B69A32" w14:textId="77777777">
      <w:pPr>
        <w:rPr>
          <w:b/>
        </w:rPr>
      </w:pPr>
    </w:p>
    <w:p w:rsidR="00A403BB" w:rsidP="00630A62" w14:paraId="294662BB" w14:textId="77777777">
      <w:pPr>
        <w:pStyle w:val="ListParagraph"/>
        <w:ind w:left="360"/>
      </w:pPr>
      <w:r>
        <w:t>H</w:t>
      </w:r>
      <w:r>
        <w:t>ow will you collect the information? (Check all that apply)</w:t>
      </w:r>
    </w:p>
    <w:p w:rsidR="001B0AAA" w:rsidP="001B0AAA" w14:paraId="0C466F5C" w14:textId="06E23327">
      <w:pPr>
        <w:ind w:left="720"/>
      </w:pPr>
      <w:r>
        <w:t>[</w:t>
      </w:r>
      <w:r w:rsidR="008C255E">
        <w:t>x</w:t>
      </w:r>
      <w:r>
        <w:t xml:space="preserve"> </w:t>
      </w:r>
      <w:r>
        <w:t>]</w:t>
      </w:r>
      <w:r>
        <w:t xml:space="preserve"> Web-based</w:t>
      </w:r>
      <w:r>
        <w:t xml:space="preserve">  </w:t>
      </w:r>
    </w:p>
    <w:p w:rsidR="001B0AAA" w:rsidP="001B0AAA" w14:paraId="052AE495" w14:textId="063D138A">
      <w:pPr>
        <w:ind w:left="720"/>
      </w:pPr>
      <w:r>
        <w:t>[</w:t>
      </w:r>
      <w:r w:rsidR="006D3E62">
        <w:t>x</w:t>
      </w:r>
      <w:r>
        <w:t>] E-mail</w:t>
      </w:r>
      <w:r w:rsidR="00A403BB">
        <w:tab/>
      </w:r>
    </w:p>
    <w:p w:rsidR="001B0AAA" w:rsidP="001B0AAA" w14:paraId="598FD888" w14:textId="77777777">
      <w:pPr>
        <w:ind w:left="720"/>
      </w:pPr>
      <w:r>
        <w:t xml:space="preserve">[ </w:t>
      </w:r>
      <w:r>
        <w:t xml:space="preserve"> </w:t>
      </w:r>
      <w:r>
        <w:t>]</w:t>
      </w:r>
      <w:r>
        <w:t xml:space="preserve"> </w:t>
      </w:r>
      <w:r w:rsidR="00BD3E02">
        <w:t>Paper m</w:t>
      </w:r>
      <w:r>
        <w:t>ail</w:t>
      </w:r>
      <w:r>
        <w:t xml:space="preserve"> </w:t>
      </w:r>
    </w:p>
    <w:p w:rsidR="001B0AAA" w:rsidP="001B0AAA" w14:paraId="7E72C048" w14:textId="02572982">
      <w:pPr>
        <w:ind w:left="720"/>
      </w:pPr>
      <w:r>
        <w:t>[</w:t>
      </w:r>
      <w:r w:rsidR="00DB7691">
        <w:t>x</w:t>
      </w:r>
      <w:r>
        <w:t>] Other, Explain</w:t>
      </w:r>
      <w:r w:rsidR="00DB7691">
        <w:t xml:space="preserve">- During regularly scheduled monthly program calls. </w:t>
      </w:r>
    </w:p>
    <w:p w:rsidR="00F24CFC" w:rsidP="00BD3E02" w14:paraId="1347730F" w14:textId="07098A2F">
      <w:pPr>
        <w:pStyle w:val="ListParagraph"/>
        <w:ind w:left="0"/>
      </w:pPr>
    </w:p>
    <w:p w:rsidR="006C7D9B" w:rsidRPr="006C7D9B" w:rsidP="00BD3E02" w14:paraId="1406E86C" w14:textId="5B836572">
      <w:pPr>
        <w:pStyle w:val="ListParagraph"/>
        <w:ind w:left="0"/>
      </w:pPr>
      <w:r>
        <w:t xml:space="preserve">Funding recipients will provide ORR with the information requested in the </w:t>
      </w:r>
      <w:r w:rsidRPr="001D0FFD">
        <w:rPr>
          <w:i/>
          <w:iCs/>
        </w:rPr>
        <w:t>Monitoring the Status of Required Licensure</w:t>
      </w:r>
      <w:r>
        <w:rPr>
          <w:i/>
          <w:iCs/>
        </w:rPr>
        <w:t xml:space="preserve"> </w:t>
      </w:r>
      <w:r>
        <w:t>instrument every two months. This will occur either through email or during an already scheduled monthly program call</w:t>
      </w:r>
      <w:r w:rsidR="008C255E">
        <w:t>; however, the goal is to standardize this data collection for planning purposes using a web-based system</w:t>
      </w:r>
      <w:r>
        <w:t xml:space="preserve">. </w:t>
      </w:r>
      <w:r w:rsidR="008C255E">
        <w:t xml:space="preserve">Recipients will have the ability to enter this information </w:t>
      </w:r>
      <w:r w:rsidR="00116120">
        <w:t xml:space="preserve">directly and </w:t>
      </w:r>
      <w:r w:rsidR="008C255E">
        <w:t>regularly</w:t>
      </w:r>
      <w:r w:rsidR="00116120">
        <w:t>, providing real-time updates</w:t>
      </w:r>
      <w:r w:rsidR="008C255E">
        <w:t xml:space="preserve">. </w:t>
      </w:r>
    </w:p>
    <w:p w:rsidR="00F24CFC" w:rsidP="00F24CFC" w14:paraId="3715C551" w14:textId="77777777">
      <w:pPr>
        <w:pStyle w:val="ListParagraph"/>
        <w:ind w:left="360"/>
      </w:pPr>
      <w:r>
        <w:t xml:space="preserve"> </w:t>
      </w:r>
    </w:p>
    <w:p w:rsidR="0024521E" w:rsidRPr="00F24CFC" w:rsidP="0024521E" w14:paraId="593F771C"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DB7691" w:rsidP="000F12D1" w14:paraId="75E72149" w14:textId="77777777">
      <w:pPr>
        <w:pStyle w:val="Heading2"/>
        <w:tabs>
          <w:tab w:val="left" w:pos="900"/>
        </w:tabs>
        <w:ind w:right="-180"/>
        <w:rPr>
          <w:sz w:val="28"/>
        </w:rPr>
      </w:pPr>
    </w:p>
    <w:p w:rsidR="00DB7691" w:rsidP="000F12D1" w14:paraId="52C14170" w14:textId="77777777">
      <w:pPr>
        <w:pStyle w:val="Heading2"/>
        <w:tabs>
          <w:tab w:val="left" w:pos="900"/>
        </w:tabs>
        <w:ind w:right="-180"/>
        <w:rPr>
          <w:sz w:val="28"/>
        </w:rPr>
      </w:pPr>
    </w:p>
    <w:p w:rsidR="005E714A" w:rsidRPr="00065B36" w:rsidP="00065B36" w14:paraId="480D6553" w14:textId="5D2BE01C">
      <w:pPr>
        <w:shd w:val="clear" w:color="auto" w:fill="FFFFFF"/>
      </w:pP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9A1AC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0"/>
  </w:num>
  <w:num w:numId="4">
    <w:abstractNumId w:val="22"/>
  </w:num>
  <w:num w:numId="5">
    <w:abstractNumId w:val="3"/>
  </w:num>
  <w:num w:numId="6">
    <w:abstractNumId w:val="1"/>
  </w:num>
  <w:num w:numId="7">
    <w:abstractNumId w:val="12"/>
  </w:num>
  <w:num w:numId="8">
    <w:abstractNumId w:val="18"/>
  </w:num>
  <w:num w:numId="9">
    <w:abstractNumId w:val="13"/>
  </w:num>
  <w:num w:numId="10">
    <w:abstractNumId w:val="2"/>
  </w:num>
  <w:num w:numId="11">
    <w:abstractNumId w:val="8"/>
  </w:num>
  <w:num w:numId="12">
    <w:abstractNumId w:val="10"/>
  </w:num>
  <w:num w:numId="13">
    <w:abstractNumId w:val="0"/>
  </w:num>
  <w:num w:numId="14">
    <w:abstractNumId w:val="19"/>
  </w:num>
  <w:num w:numId="15">
    <w:abstractNumId w:val="17"/>
  </w:num>
  <w:num w:numId="16">
    <w:abstractNumId w:val="16"/>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5B36"/>
    <w:rsid w:val="00067329"/>
    <w:rsid w:val="000A6354"/>
    <w:rsid w:val="000B2838"/>
    <w:rsid w:val="000D44CA"/>
    <w:rsid w:val="000E200B"/>
    <w:rsid w:val="000F12D1"/>
    <w:rsid w:val="000F68BE"/>
    <w:rsid w:val="00107524"/>
    <w:rsid w:val="00116120"/>
    <w:rsid w:val="00126C7A"/>
    <w:rsid w:val="001522C4"/>
    <w:rsid w:val="00152CE4"/>
    <w:rsid w:val="001927A4"/>
    <w:rsid w:val="00194AC6"/>
    <w:rsid w:val="00196E2D"/>
    <w:rsid w:val="001A23B0"/>
    <w:rsid w:val="001A25CC"/>
    <w:rsid w:val="001B0AAA"/>
    <w:rsid w:val="001C39F7"/>
    <w:rsid w:val="001D0FFD"/>
    <w:rsid w:val="001D4A37"/>
    <w:rsid w:val="001F552F"/>
    <w:rsid w:val="002139FC"/>
    <w:rsid w:val="00237B48"/>
    <w:rsid w:val="0024521E"/>
    <w:rsid w:val="00263C3D"/>
    <w:rsid w:val="00266F16"/>
    <w:rsid w:val="00272333"/>
    <w:rsid w:val="00274D0B"/>
    <w:rsid w:val="002969EF"/>
    <w:rsid w:val="002B052D"/>
    <w:rsid w:val="002B34CD"/>
    <w:rsid w:val="002B3C95"/>
    <w:rsid w:val="002D0B92"/>
    <w:rsid w:val="002F723B"/>
    <w:rsid w:val="00305A29"/>
    <w:rsid w:val="003A183F"/>
    <w:rsid w:val="003B162F"/>
    <w:rsid w:val="003B69B5"/>
    <w:rsid w:val="003D5BBE"/>
    <w:rsid w:val="003D5FCC"/>
    <w:rsid w:val="003E3C61"/>
    <w:rsid w:val="003F1C5B"/>
    <w:rsid w:val="0041242E"/>
    <w:rsid w:val="00413089"/>
    <w:rsid w:val="00434E33"/>
    <w:rsid w:val="004410DB"/>
    <w:rsid w:val="00441434"/>
    <w:rsid w:val="0045264C"/>
    <w:rsid w:val="004651E5"/>
    <w:rsid w:val="00480594"/>
    <w:rsid w:val="004876EC"/>
    <w:rsid w:val="004879BF"/>
    <w:rsid w:val="004961B6"/>
    <w:rsid w:val="004B1176"/>
    <w:rsid w:val="004D6E14"/>
    <w:rsid w:val="004E07C6"/>
    <w:rsid w:val="004F5C5A"/>
    <w:rsid w:val="005009B0"/>
    <w:rsid w:val="0052094B"/>
    <w:rsid w:val="00534D18"/>
    <w:rsid w:val="0058602A"/>
    <w:rsid w:val="005936D8"/>
    <w:rsid w:val="005A1006"/>
    <w:rsid w:val="005B593A"/>
    <w:rsid w:val="005E1429"/>
    <w:rsid w:val="005E714A"/>
    <w:rsid w:val="005F693D"/>
    <w:rsid w:val="00604912"/>
    <w:rsid w:val="006140A0"/>
    <w:rsid w:val="00630A62"/>
    <w:rsid w:val="00636621"/>
    <w:rsid w:val="00642205"/>
    <w:rsid w:val="00642B49"/>
    <w:rsid w:val="00676A54"/>
    <w:rsid w:val="006832D9"/>
    <w:rsid w:val="00683B51"/>
    <w:rsid w:val="0069403B"/>
    <w:rsid w:val="006C7D9B"/>
    <w:rsid w:val="006D3E62"/>
    <w:rsid w:val="006D4EBA"/>
    <w:rsid w:val="006E2ADB"/>
    <w:rsid w:val="006E496E"/>
    <w:rsid w:val="006E5712"/>
    <w:rsid w:val="006F3DDE"/>
    <w:rsid w:val="00704678"/>
    <w:rsid w:val="00727FA4"/>
    <w:rsid w:val="007425E7"/>
    <w:rsid w:val="00751779"/>
    <w:rsid w:val="00787F49"/>
    <w:rsid w:val="00794ECF"/>
    <w:rsid w:val="007D7E78"/>
    <w:rsid w:val="007F7080"/>
    <w:rsid w:val="00802607"/>
    <w:rsid w:val="008101A5"/>
    <w:rsid w:val="00815A29"/>
    <w:rsid w:val="00822664"/>
    <w:rsid w:val="008228C3"/>
    <w:rsid w:val="00833C62"/>
    <w:rsid w:val="00843796"/>
    <w:rsid w:val="00895229"/>
    <w:rsid w:val="008B2EB3"/>
    <w:rsid w:val="008C255E"/>
    <w:rsid w:val="008C7D85"/>
    <w:rsid w:val="008F0203"/>
    <w:rsid w:val="008F3076"/>
    <w:rsid w:val="008F50D4"/>
    <w:rsid w:val="008F63B5"/>
    <w:rsid w:val="0091401A"/>
    <w:rsid w:val="00916908"/>
    <w:rsid w:val="009239AA"/>
    <w:rsid w:val="0093272F"/>
    <w:rsid w:val="00933193"/>
    <w:rsid w:val="00935ADA"/>
    <w:rsid w:val="00946B6C"/>
    <w:rsid w:val="00955A71"/>
    <w:rsid w:val="0096108F"/>
    <w:rsid w:val="00965F31"/>
    <w:rsid w:val="0098404E"/>
    <w:rsid w:val="009A121F"/>
    <w:rsid w:val="009B52DC"/>
    <w:rsid w:val="009B611C"/>
    <w:rsid w:val="009C13B9"/>
    <w:rsid w:val="009D01A2"/>
    <w:rsid w:val="009F5923"/>
    <w:rsid w:val="00A37EF4"/>
    <w:rsid w:val="00A403BB"/>
    <w:rsid w:val="00A674DF"/>
    <w:rsid w:val="00A83AA6"/>
    <w:rsid w:val="00A934D6"/>
    <w:rsid w:val="00A9524E"/>
    <w:rsid w:val="00AE1809"/>
    <w:rsid w:val="00AF47AD"/>
    <w:rsid w:val="00B80D76"/>
    <w:rsid w:val="00B824F4"/>
    <w:rsid w:val="00B954CA"/>
    <w:rsid w:val="00BA2105"/>
    <w:rsid w:val="00BA7E06"/>
    <w:rsid w:val="00BB43B5"/>
    <w:rsid w:val="00BB6219"/>
    <w:rsid w:val="00BC789E"/>
    <w:rsid w:val="00BD290F"/>
    <w:rsid w:val="00BD3E02"/>
    <w:rsid w:val="00BD78CA"/>
    <w:rsid w:val="00BF553B"/>
    <w:rsid w:val="00C117E1"/>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6383F"/>
    <w:rsid w:val="00D82880"/>
    <w:rsid w:val="00D82CED"/>
    <w:rsid w:val="00DA2072"/>
    <w:rsid w:val="00DB59D0"/>
    <w:rsid w:val="00DB7691"/>
    <w:rsid w:val="00DC33D3"/>
    <w:rsid w:val="00E02310"/>
    <w:rsid w:val="00E0358E"/>
    <w:rsid w:val="00E26329"/>
    <w:rsid w:val="00E32D62"/>
    <w:rsid w:val="00E37917"/>
    <w:rsid w:val="00E40B50"/>
    <w:rsid w:val="00E50293"/>
    <w:rsid w:val="00E54DED"/>
    <w:rsid w:val="00E65FFC"/>
    <w:rsid w:val="00E744EA"/>
    <w:rsid w:val="00E80951"/>
    <w:rsid w:val="00E854FE"/>
    <w:rsid w:val="00E86CC6"/>
    <w:rsid w:val="00EB56B3"/>
    <w:rsid w:val="00ED6492"/>
    <w:rsid w:val="00EF2095"/>
    <w:rsid w:val="00F06866"/>
    <w:rsid w:val="00F15956"/>
    <w:rsid w:val="00F24CFC"/>
    <w:rsid w:val="00F3170F"/>
    <w:rsid w:val="00F3375C"/>
    <w:rsid w:val="00F374E6"/>
    <w:rsid w:val="00F45D38"/>
    <w:rsid w:val="00F51AC7"/>
    <w:rsid w:val="00F85161"/>
    <w:rsid w:val="00F87126"/>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C45803"/>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F45D38"/>
  </w:style>
  <w:style w:type="character" w:styleId="Hyperlink">
    <w:name w:val="Hyperlink"/>
    <w:basedOn w:val="DefaultParagraphFont"/>
    <w:rsid w:val="00F45D38"/>
    <w:rPr>
      <w:color w:val="0563C1" w:themeColor="hyperlink"/>
      <w:u w:val="single"/>
    </w:rPr>
  </w:style>
  <w:style w:type="character" w:styleId="UnresolvedMention">
    <w:name w:val="Unresolved Mention"/>
    <w:basedOn w:val="DefaultParagraphFont"/>
    <w:uiPriority w:val="99"/>
    <w:semiHidden/>
    <w:unhideWhenUsed/>
    <w:rsid w:val="00F4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2022-12-19T17:44:00Z</dcterms:created>
  <dcterms:modified xsi:type="dcterms:W3CDTF">2022-12-19T17:44:00Z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