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307D" w:rsidRPr="00126401" w:rsidP="009F307D" w14:paraId="3E15B083" w14:textId="77777777">
      <w:pPr>
        <w:rPr>
          <w:rFonts w:ascii="Times New Roman" w:hAnsi="Times New Roman" w:cs="Times New Roman"/>
          <w:sz w:val="24"/>
          <w:szCs w:val="24"/>
        </w:rPr>
      </w:pPr>
      <w:r w:rsidRPr="00126401">
        <w:rPr>
          <w:rFonts w:ascii="Times New Roman" w:hAnsi="Times New Roman" w:cs="Times New Roman"/>
          <w:sz w:val="24"/>
          <w:szCs w:val="24"/>
        </w:rPr>
        <w:t>B. Collections of Information Employing Statistical Methods</w:t>
      </w:r>
    </w:p>
    <w:p w:rsidR="009F307D" w:rsidRPr="009F307D" w:rsidP="009F307D" w14:paraId="75D8233C" w14:textId="45694338">
      <w:pPr>
        <w:pStyle w:val="ListParagraph"/>
        <w:numPr>
          <w:ilvl w:val="0"/>
          <w:numId w:val="5"/>
        </w:numPr>
        <w:ind w:left="360"/>
        <w:rPr>
          <w:rFonts w:ascii="Times New Roman" w:hAnsi="Times New Roman" w:cs="Times New Roman"/>
          <w:b/>
          <w:sz w:val="24"/>
          <w:szCs w:val="24"/>
          <w:u w:val="single"/>
        </w:rPr>
      </w:pPr>
      <w:r w:rsidRPr="009F307D">
        <w:rPr>
          <w:rFonts w:ascii="Times New Roman" w:hAnsi="Times New Roman" w:cs="Times New Roman"/>
          <w:b/>
          <w:sz w:val="24"/>
          <w:szCs w:val="24"/>
          <w:u w:val="single"/>
        </w:rPr>
        <w:t xml:space="preserve">Describe the potential respondent universe and any sampling or other respondent selection methods to be used </w:t>
      </w:r>
    </w:p>
    <w:p w:rsidR="009F307D" w:rsidP="009F307D" w14:paraId="69DFD2F0" w14:textId="77777777">
      <w:pPr>
        <w:pStyle w:val="ListParagraph"/>
        <w:ind w:left="-90"/>
        <w:rPr>
          <w:rFonts w:ascii="Times New Roman" w:hAnsi="Times New Roman" w:cs="Times New Roman"/>
          <w:b/>
          <w:sz w:val="24"/>
          <w:szCs w:val="24"/>
        </w:rPr>
      </w:pPr>
    </w:p>
    <w:p w:rsidR="009F307D" w:rsidRPr="009F307D" w:rsidP="009F307D" w14:paraId="24AA26C8" w14:textId="1F1CD140">
      <w:pPr>
        <w:pStyle w:val="ListParagraph"/>
        <w:ind w:left="360"/>
        <w:rPr>
          <w:rFonts w:ascii="Times New Roman" w:hAnsi="Times New Roman" w:cs="Times New Roman"/>
          <w:sz w:val="24"/>
          <w:szCs w:val="24"/>
        </w:rPr>
      </w:pPr>
      <w:r w:rsidRPr="009F307D">
        <w:rPr>
          <w:rFonts w:ascii="Times New Roman" w:hAnsi="Times New Roman" w:cs="Times New Roman"/>
          <w:sz w:val="24"/>
          <w:szCs w:val="24"/>
        </w:rPr>
        <w:t>The respondent universe for this survey project will be the list of all individuals who obtained one</w:t>
      </w:r>
      <w:r w:rsidR="00056030">
        <w:rPr>
          <w:rFonts w:ascii="Times New Roman" w:hAnsi="Times New Roman" w:cs="Times New Roman"/>
          <w:sz w:val="24"/>
          <w:szCs w:val="24"/>
        </w:rPr>
        <w:t>-</w:t>
      </w:r>
      <w:r w:rsidRPr="009F307D">
        <w:rPr>
          <w:rFonts w:ascii="Times New Roman" w:hAnsi="Times New Roman" w:cs="Times New Roman"/>
          <w:sz w:val="24"/>
          <w:szCs w:val="24"/>
        </w:rPr>
        <w:t>on</w:t>
      </w:r>
      <w:r w:rsidR="00056030">
        <w:rPr>
          <w:rFonts w:ascii="Times New Roman" w:hAnsi="Times New Roman" w:cs="Times New Roman"/>
          <w:sz w:val="24"/>
          <w:szCs w:val="24"/>
        </w:rPr>
        <w:t>-</w:t>
      </w:r>
      <w:r w:rsidRPr="009F307D">
        <w:rPr>
          <w:rFonts w:ascii="Times New Roman" w:hAnsi="Times New Roman" w:cs="Times New Roman"/>
          <w:sz w:val="24"/>
          <w:szCs w:val="24"/>
        </w:rPr>
        <w:t>one assistance during the Medicare non-enrollment period (spring/summer) and during the Medicare Open Enrollment Period (October 15 – December 7). Based on initial samples, there are over 50,000 non-redundant individuals who receive Medicare one</w:t>
      </w:r>
      <w:r w:rsidR="00056030">
        <w:rPr>
          <w:rFonts w:ascii="Times New Roman" w:hAnsi="Times New Roman" w:cs="Times New Roman"/>
          <w:sz w:val="24"/>
          <w:szCs w:val="24"/>
        </w:rPr>
        <w:t>-</w:t>
      </w:r>
      <w:r w:rsidRPr="009F307D">
        <w:rPr>
          <w:rFonts w:ascii="Times New Roman" w:hAnsi="Times New Roman" w:cs="Times New Roman"/>
          <w:sz w:val="24"/>
          <w:szCs w:val="24"/>
        </w:rPr>
        <w:t>on</w:t>
      </w:r>
      <w:r w:rsidR="00056030">
        <w:rPr>
          <w:rFonts w:ascii="Times New Roman" w:hAnsi="Times New Roman" w:cs="Times New Roman"/>
          <w:sz w:val="24"/>
          <w:szCs w:val="24"/>
        </w:rPr>
        <w:t>-</w:t>
      </w:r>
      <w:r w:rsidRPr="009F307D">
        <w:rPr>
          <w:rFonts w:ascii="Times New Roman" w:hAnsi="Times New Roman" w:cs="Times New Roman"/>
          <w:sz w:val="24"/>
          <w:szCs w:val="24"/>
        </w:rPr>
        <w:t>one assistance services in an average week across all states/territories. ACL will focus on a non-redundant respondent universe so as not to bias this study towards individual opinion or place an undue burden on individual respondents.</w:t>
      </w:r>
    </w:p>
    <w:p w:rsidR="009F307D" w:rsidRPr="00126401" w:rsidP="009F307D" w14:paraId="2E9E7FD4" w14:textId="77777777">
      <w:pPr>
        <w:ind w:left="360"/>
        <w:rPr>
          <w:rFonts w:ascii="Times New Roman" w:hAnsi="Times New Roman" w:cs="Times New Roman"/>
          <w:sz w:val="24"/>
          <w:szCs w:val="24"/>
        </w:rPr>
      </w:pPr>
      <w:r w:rsidRPr="00126401">
        <w:rPr>
          <w:rFonts w:ascii="Times New Roman" w:hAnsi="Times New Roman" w:cs="Times New Roman"/>
          <w:sz w:val="24"/>
          <w:szCs w:val="24"/>
        </w:rPr>
        <w:t>To generate a sample with a 95% confidence level at the national level (with all 54 states/territories represented), 384 responses will be required</w:t>
      </w:r>
      <w:r>
        <w:rPr>
          <w:rFonts w:ascii="Times New Roman" w:hAnsi="Times New Roman" w:cs="Times New Roman"/>
          <w:sz w:val="24"/>
          <w:szCs w:val="24"/>
        </w:rPr>
        <w:t xml:space="preserve"> for the SHIP survey</w:t>
      </w:r>
      <w:r w:rsidRPr="00126401">
        <w:rPr>
          <w:rFonts w:ascii="Times New Roman" w:hAnsi="Times New Roman" w:cs="Times New Roman"/>
          <w:sz w:val="24"/>
          <w:szCs w:val="24"/>
        </w:rPr>
        <w:t xml:space="preserve"> </w:t>
      </w:r>
      <w:r>
        <w:rPr>
          <w:rFonts w:ascii="Times New Roman" w:hAnsi="Times New Roman" w:cs="Times New Roman"/>
          <w:sz w:val="24"/>
          <w:szCs w:val="24"/>
        </w:rPr>
        <w:t>and 384 for the SMP program</w:t>
      </w:r>
      <w:r w:rsidRPr="00126401">
        <w:rPr>
          <w:rFonts w:ascii="Times New Roman" w:hAnsi="Times New Roman" w:cs="Times New Roman"/>
          <w:sz w:val="24"/>
          <w:szCs w:val="24"/>
        </w:rPr>
        <w:t xml:space="preserve">. </w:t>
      </w:r>
      <w:r>
        <w:rPr>
          <w:rFonts w:ascii="Times New Roman" w:hAnsi="Times New Roman" w:cs="Times New Roman"/>
          <w:sz w:val="24"/>
          <w:szCs w:val="24"/>
        </w:rPr>
        <w:t>ACL</w:t>
      </w:r>
      <w:r w:rsidRPr="00126401">
        <w:rPr>
          <w:rFonts w:ascii="Times New Roman" w:hAnsi="Times New Roman" w:cs="Times New Roman"/>
          <w:sz w:val="24"/>
          <w:szCs w:val="24"/>
        </w:rPr>
        <w:t xml:space="preserve"> anticipates collecting </w:t>
      </w:r>
      <w:r>
        <w:rPr>
          <w:rFonts w:ascii="Times New Roman" w:hAnsi="Times New Roman" w:cs="Times New Roman"/>
          <w:sz w:val="24"/>
          <w:szCs w:val="24"/>
        </w:rPr>
        <w:t>400</w:t>
      </w:r>
      <w:r w:rsidRPr="00126401">
        <w:rPr>
          <w:rFonts w:ascii="Times New Roman" w:hAnsi="Times New Roman" w:cs="Times New Roman"/>
          <w:sz w:val="24"/>
          <w:szCs w:val="24"/>
        </w:rPr>
        <w:t xml:space="preserve"> completed surveys</w:t>
      </w:r>
      <w:r>
        <w:rPr>
          <w:rFonts w:ascii="Times New Roman" w:hAnsi="Times New Roman" w:cs="Times New Roman"/>
          <w:sz w:val="24"/>
          <w:szCs w:val="24"/>
        </w:rPr>
        <w:t xml:space="preserve"> for each program</w:t>
      </w:r>
      <w:r w:rsidRPr="00126401">
        <w:rPr>
          <w:rFonts w:ascii="Times New Roman" w:hAnsi="Times New Roman" w:cs="Times New Roman"/>
          <w:sz w:val="24"/>
          <w:szCs w:val="24"/>
        </w:rPr>
        <w:t xml:space="preserve"> </w:t>
      </w:r>
      <w:r>
        <w:rPr>
          <w:rFonts w:ascii="Times New Roman" w:hAnsi="Times New Roman" w:cs="Times New Roman"/>
          <w:sz w:val="24"/>
          <w:szCs w:val="24"/>
        </w:rPr>
        <w:t>each year</w:t>
      </w:r>
      <w:r w:rsidRPr="00126401">
        <w:rPr>
          <w:rFonts w:ascii="Times New Roman" w:hAnsi="Times New Roman" w:cs="Times New Roman"/>
          <w:sz w:val="24"/>
          <w:szCs w:val="24"/>
        </w:rPr>
        <w:t xml:space="preserve">, for a total collection of </w:t>
      </w:r>
      <w:r>
        <w:rPr>
          <w:rFonts w:ascii="Times New Roman" w:hAnsi="Times New Roman" w:cs="Times New Roman"/>
          <w:sz w:val="24"/>
          <w:szCs w:val="24"/>
        </w:rPr>
        <w:t>2</w:t>
      </w:r>
      <w:r w:rsidRPr="00126401">
        <w:rPr>
          <w:rFonts w:ascii="Times New Roman" w:hAnsi="Times New Roman" w:cs="Times New Roman"/>
          <w:sz w:val="24"/>
          <w:szCs w:val="24"/>
        </w:rPr>
        <w:t>,</w:t>
      </w:r>
      <w:r>
        <w:rPr>
          <w:rFonts w:ascii="Times New Roman" w:hAnsi="Times New Roman" w:cs="Times New Roman"/>
          <w:sz w:val="24"/>
          <w:szCs w:val="24"/>
        </w:rPr>
        <w:t>4</w:t>
      </w:r>
      <w:r w:rsidRPr="00126401">
        <w:rPr>
          <w:rFonts w:ascii="Times New Roman" w:hAnsi="Times New Roman" w:cs="Times New Roman"/>
          <w:sz w:val="24"/>
          <w:szCs w:val="24"/>
        </w:rPr>
        <w:t xml:space="preserve">00 completed surveys, or </w:t>
      </w:r>
      <w:r>
        <w:rPr>
          <w:rFonts w:ascii="Times New Roman" w:hAnsi="Times New Roman" w:cs="Times New Roman"/>
          <w:sz w:val="24"/>
          <w:szCs w:val="24"/>
        </w:rPr>
        <w:t xml:space="preserve">800 </w:t>
      </w:r>
      <w:r w:rsidRPr="00126401">
        <w:rPr>
          <w:rFonts w:ascii="Times New Roman" w:hAnsi="Times New Roman" w:cs="Times New Roman"/>
          <w:sz w:val="24"/>
          <w:szCs w:val="24"/>
        </w:rPr>
        <w:t>surveys per year.</w:t>
      </w:r>
      <w:r>
        <w:rPr>
          <w:rFonts w:ascii="Times New Roman" w:hAnsi="Times New Roman" w:cs="Times New Roman"/>
          <w:sz w:val="24"/>
          <w:szCs w:val="24"/>
        </w:rPr>
        <w:t xml:space="preserve"> The annual collection is slightly larger than the required number due to rounding differences that emerge after applying state/territory percentages to the required collection number. For example, smaller states like Maine or New Hampshire may only represent 0.4% of the total Medicare beneficiary population. Multiplying 0.4% by 384 results in a response total of 1.5, which needs to be rounded to the closest whole number. Doing so results in an estimate of two (2) responses for the relevant state(s), thereby increasing the overall response total.</w:t>
      </w:r>
    </w:p>
    <w:p w:rsidR="009F307D" w:rsidP="009F307D" w14:paraId="119AB233" w14:textId="77777777">
      <w:pPr>
        <w:ind w:left="360"/>
        <w:rPr>
          <w:rFonts w:ascii="Times New Roman" w:hAnsi="Times New Roman" w:cs="Times New Roman"/>
          <w:sz w:val="24"/>
          <w:szCs w:val="24"/>
        </w:rPr>
      </w:pPr>
      <w:r w:rsidRPr="00126401">
        <w:rPr>
          <w:rFonts w:ascii="Times New Roman" w:hAnsi="Times New Roman" w:cs="Times New Roman"/>
          <w:sz w:val="24"/>
          <w:szCs w:val="24"/>
        </w:rPr>
        <w:t xml:space="preserve">ACL will randomly select a group of individuals who received Medicare </w:t>
      </w:r>
      <w:r>
        <w:rPr>
          <w:rFonts w:ascii="Times New Roman" w:hAnsi="Times New Roman" w:cs="Times New Roman"/>
          <w:sz w:val="24"/>
          <w:szCs w:val="24"/>
        </w:rPr>
        <w:t>assistance</w:t>
      </w:r>
      <w:r w:rsidRPr="00126401">
        <w:rPr>
          <w:rFonts w:ascii="Times New Roman" w:hAnsi="Times New Roman" w:cs="Times New Roman"/>
          <w:sz w:val="24"/>
          <w:szCs w:val="24"/>
        </w:rPr>
        <w:t xml:space="preserve"> from </w:t>
      </w:r>
      <w:r>
        <w:rPr>
          <w:rFonts w:ascii="Times New Roman" w:hAnsi="Times New Roman" w:cs="Times New Roman"/>
          <w:sz w:val="24"/>
          <w:szCs w:val="24"/>
        </w:rPr>
        <w:t>each program</w:t>
      </w:r>
      <w:r w:rsidRPr="00126401">
        <w:rPr>
          <w:rFonts w:ascii="Times New Roman" w:hAnsi="Times New Roman" w:cs="Times New Roman"/>
          <w:sz w:val="24"/>
          <w:szCs w:val="24"/>
        </w:rPr>
        <w:t xml:space="preserve"> </w:t>
      </w:r>
      <w:r>
        <w:rPr>
          <w:rFonts w:ascii="Times New Roman" w:hAnsi="Times New Roman" w:cs="Times New Roman"/>
          <w:sz w:val="24"/>
          <w:szCs w:val="24"/>
        </w:rPr>
        <w:t>at two points each year</w:t>
      </w:r>
      <w:r w:rsidRPr="00126401">
        <w:rPr>
          <w:rFonts w:ascii="Times New Roman" w:hAnsi="Times New Roman" w:cs="Times New Roman"/>
          <w:sz w:val="24"/>
          <w:szCs w:val="24"/>
        </w:rPr>
        <w:t>. Table B-1-1 indicates how many completed surveys ACL expects each year.</w:t>
      </w:r>
    </w:p>
    <w:p w:rsidR="009F307D" w:rsidP="009F307D" w14:paraId="76B2FB42" w14:textId="77777777">
      <w:pPr>
        <w:ind w:left="360"/>
        <w:rPr>
          <w:rFonts w:ascii="Times New Roman" w:hAnsi="Times New Roman" w:cs="Times New Roman"/>
          <w:sz w:val="24"/>
          <w:szCs w:val="24"/>
        </w:rPr>
      </w:pPr>
    </w:p>
    <w:p w:rsidR="009F307D" w:rsidRPr="00126401" w:rsidP="009F307D" w14:paraId="4B5DFDAD" w14:textId="77777777">
      <w:pPr>
        <w:ind w:left="360"/>
        <w:rPr>
          <w:rFonts w:ascii="Times New Roman" w:hAnsi="Times New Roman" w:cs="Times New Roman"/>
          <w:sz w:val="24"/>
          <w:szCs w:val="24"/>
        </w:rPr>
      </w:pPr>
    </w:p>
    <w:p w:rsidR="004002CA" w:rsidRPr="004002CA" w:rsidP="004002CA" w14:paraId="7BEC4492" w14:textId="77777777">
      <w:pPr>
        <w:ind w:left="360"/>
        <w:rPr>
          <w:rFonts w:ascii="Times New Roman" w:hAnsi="Times New Roman" w:cs="Times New Roman"/>
          <w:b/>
          <w:sz w:val="24"/>
          <w:szCs w:val="24"/>
        </w:rPr>
      </w:pPr>
      <w:r w:rsidRPr="004002CA">
        <w:rPr>
          <w:rFonts w:ascii="Times New Roman" w:hAnsi="Times New Roman" w:cs="Times New Roman"/>
          <w:b/>
          <w:sz w:val="24"/>
          <w:szCs w:val="24"/>
        </w:rPr>
        <w:t>Table B-1-1: Expected Number of Completed SHIP/SMP Surveys by Year</w:t>
      </w: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6"/>
        <w:gridCol w:w="2109"/>
        <w:gridCol w:w="1537"/>
        <w:gridCol w:w="1630"/>
      </w:tblGrid>
      <w:tr w14:paraId="7068B609" w14:textId="77777777" w:rsidTr="009A275D">
        <w:tblPrEx>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2"/>
          <w:jc w:val="center"/>
        </w:trPr>
        <w:tc>
          <w:tcPr>
            <w:tcW w:w="1369" w:type="dxa"/>
            <w:shd w:val="clear" w:color="000000" w:fill="BFBFBF"/>
            <w:vAlign w:val="center"/>
            <w:hideMark/>
          </w:tcPr>
          <w:p w:rsidR="004002CA" w:rsidRPr="004002CA" w:rsidP="004002CA" w14:paraId="320F9B3D"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Period</w:t>
            </w:r>
          </w:p>
        </w:tc>
        <w:tc>
          <w:tcPr>
            <w:tcW w:w="1749" w:type="dxa"/>
            <w:shd w:val="clear" w:color="000000" w:fill="BFBFBF"/>
            <w:vAlign w:val="center"/>
          </w:tcPr>
          <w:p w:rsidR="004002CA" w:rsidRPr="004002CA" w:rsidP="004002CA" w14:paraId="1BC332ED"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Responses Needed for a Representative Survey*</w:t>
            </w:r>
          </w:p>
        </w:tc>
        <w:tc>
          <w:tcPr>
            <w:tcW w:w="1449" w:type="dxa"/>
            <w:shd w:val="clear" w:color="000000" w:fill="BFBFBF"/>
            <w:vAlign w:val="center"/>
          </w:tcPr>
          <w:p w:rsidR="004002CA" w:rsidRPr="004002CA" w:rsidP="004002CA" w14:paraId="2A8577AE"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Contacts Needed to Achieve a 50% Response Rate</w:t>
            </w:r>
          </w:p>
        </w:tc>
        <w:tc>
          <w:tcPr>
            <w:tcW w:w="1270" w:type="dxa"/>
            <w:shd w:val="clear" w:color="000000" w:fill="BFBFBF"/>
            <w:vAlign w:val="center"/>
            <w:hideMark/>
          </w:tcPr>
          <w:p w:rsidR="004002CA" w:rsidRPr="004002CA" w:rsidP="004002CA" w14:paraId="5D4D0FEC"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Expected Responses</w:t>
            </w:r>
          </w:p>
        </w:tc>
      </w:tr>
      <w:tr w14:paraId="452089E0" w14:textId="77777777" w:rsidTr="009A275D">
        <w:tblPrEx>
          <w:tblW w:w="5837" w:type="dxa"/>
          <w:jc w:val="center"/>
          <w:tblLook w:val="04A0"/>
        </w:tblPrEx>
        <w:trPr>
          <w:trHeight w:val="268"/>
          <w:jc w:val="center"/>
        </w:trPr>
        <w:tc>
          <w:tcPr>
            <w:tcW w:w="1369" w:type="dxa"/>
            <w:shd w:val="clear" w:color="auto" w:fill="auto"/>
            <w:vAlign w:val="center"/>
            <w:hideMark/>
          </w:tcPr>
          <w:p w:rsidR="004002CA" w:rsidRPr="004002CA" w:rsidP="004002CA" w14:paraId="7C1C6749"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Year 1</w:t>
            </w:r>
          </w:p>
        </w:tc>
        <w:tc>
          <w:tcPr>
            <w:tcW w:w="1749" w:type="dxa"/>
          </w:tcPr>
          <w:p w:rsidR="004002CA" w:rsidRPr="004002CA" w:rsidP="004002CA" w14:paraId="68B34AA3"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768</w:t>
            </w:r>
          </w:p>
        </w:tc>
        <w:tc>
          <w:tcPr>
            <w:tcW w:w="1449" w:type="dxa"/>
          </w:tcPr>
          <w:p w:rsidR="004002CA" w:rsidRPr="004002CA" w:rsidP="004002CA" w14:paraId="41433771"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1536</w:t>
            </w:r>
          </w:p>
        </w:tc>
        <w:tc>
          <w:tcPr>
            <w:tcW w:w="1270" w:type="dxa"/>
            <w:shd w:val="clear" w:color="auto" w:fill="auto"/>
            <w:vAlign w:val="center"/>
            <w:hideMark/>
          </w:tcPr>
          <w:p w:rsidR="004002CA" w:rsidRPr="004002CA" w:rsidP="004002CA" w14:paraId="4AB2B6ED"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800</w:t>
            </w:r>
          </w:p>
        </w:tc>
      </w:tr>
      <w:tr w14:paraId="7EDF8EC9" w14:textId="77777777" w:rsidTr="009A275D">
        <w:tblPrEx>
          <w:tblW w:w="5837" w:type="dxa"/>
          <w:jc w:val="center"/>
          <w:tblLook w:val="04A0"/>
        </w:tblPrEx>
        <w:trPr>
          <w:trHeight w:val="255"/>
          <w:jc w:val="center"/>
        </w:trPr>
        <w:tc>
          <w:tcPr>
            <w:tcW w:w="1369" w:type="dxa"/>
            <w:shd w:val="clear" w:color="auto" w:fill="auto"/>
            <w:vAlign w:val="center"/>
            <w:hideMark/>
          </w:tcPr>
          <w:p w:rsidR="004002CA" w:rsidRPr="004002CA" w:rsidP="004002CA" w14:paraId="0C561FCF"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Year 2</w:t>
            </w:r>
          </w:p>
        </w:tc>
        <w:tc>
          <w:tcPr>
            <w:tcW w:w="1749" w:type="dxa"/>
          </w:tcPr>
          <w:p w:rsidR="004002CA" w:rsidRPr="004002CA" w:rsidP="004002CA" w14:paraId="5F0EFBF9"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768</w:t>
            </w:r>
          </w:p>
        </w:tc>
        <w:tc>
          <w:tcPr>
            <w:tcW w:w="1449" w:type="dxa"/>
          </w:tcPr>
          <w:p w:rsidR="004002CA" w:rsidRPr="004002CA" w:rsidP="004002CA" w14:paraId="5CE56D00"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1536</w:t>
            </w:r>
          </w:p>
        </w:tc>
        <w:tc>
          <w:tcPr>
            <w:tcW w:w="1270" w:type="dxa"/>
            <w:shd w:val="clear" w:color="auto" w:fill="auto"/>
            <w:vAlign w:val="center"/>
            <w:hideMark/>
          </w:tcPr>
          <w:p w:rsidR="004002CA" w:rsidRPr="004002CA" w:rsidP="004002CA" w14:paraId="68938844"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800</w:t>
            </w:r>
          </w:p>
        </w:tc>
      </w:tr>
      <w:tr w14:paraId="31BBAB5D" w14:textId="77777777" w:rsidTr="009A275D">
        <w:tblPrEx>
          <w:tblW w:w="5837" w:type="dxa"/>
          <w:jc w:val="center"/>
          <w:tblLook w:val="04A0"/>
        </w:tblPrEx>
        <w:trPr>
          <w:trHeight w:val="270"/>
          <w:jc w:val="center"/>
        </w:trPr>
        <w:tc>
          <w:tcPr>
            <w:tcW w:w="1369" w:type="dxa"/>
            <w:shd w:val="clear" w:color="auto" w:fill="auto"/>
            <w:vAlign w:val="center"/>
            <w:hideMark/>
          </w:tcPr>
          <w:p w:rsidR="004002CA" w:rsidRPr="004002CA" w:rsidP="004002CA" w14:paraId="6175BF69"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Year 3</w:t>
            </w:r>
          </w:p>
        </w:tc>
        <w:tc>
          <w:tcPr>
            <w:tcW w:w="1749" w:type="dxa"/>
          </w:tcPr>
          <w:p w:rsidR="004002CA" w:rsidRPr="004002CA" w:rsidP="004002CA" w14:paraId="7D3D0BDD"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768</w:t>
            </w:r>
          </w:p>
        </w:tc>
        <w:tc>
          <w:tcPr>
            <w:tcW w:w="1449" w:type="dxa"/>
          </w:tcPr>
          <w:p w:rsidR="004002CA" w:rsidRPr="004002CA" w:rsidP="004002CA" w14:paraId="29FD0CA1"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1536</w:t>
            </w:r>
          </w:p>
        </w:tc>
        <w:tc>
          <w:tcPr>
            <w:tcW w:w="1270" w:type="dxa"/>
            <w:shd w:val="clear" w:color="auto" w:fill="auto"/>
            <w:vAlign w:val="center"/>
            <w:hideMark/>
          </w:tcPr>
          <w:p w:rsidR="004002CA" w:rsidRPr="004002CA" w:rsidP="004002CA" w14:paraId="6BDA5354"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800</w:t>
            </w:r>
          </w:p>
        </w:tc>
      </w:tr>
      <w:tr w14:paraId="35F15F02" w14:textId="77777777" w:rsidTr="009A275D">
        <w:tblPrEx>
          <w:tblW w:w="5837" w:type="dxa"/>
          <w:jc w:val="center"/>
          <w:tblLook w:val="04A0"/>
        </w:tblPrEx>
        <w:trPr>
          <w:trHeight w:val="232"/>
          <w:jc w:val="center"/>
        </w:trPr>
        <w:tc>
          <w:tcPr>
            <w:tcW w:w="1369" w:type="dxa"/>
            <w:shd w:val="clear" w:color="000000" w:fill="BFBFBF"/>
            <w:vAlign w:val="center"/>
            <w:hideMark/>
          </w:tcPr>
          <w:p w:rsidR="004002CA" w:rsidRPr="004002CA" w:rsidP="004002CA" w14:paraId="07A9CD5B"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GRAND TOTAL</w:t>
            </w:r>
          </w:p>
        </w:tc>
        <w:tc>
          <w:tcPr>
            <w:tcW w:w="1749" w:type="dxa"/>
            <w:shd w:val="clear" w:color="000000" w:fill="BFBFBF"/>
            <w:vAlign w:val="center"/>
          </w:tcPr>
          <w:p w:rsidR="004002CA" w:rsidRPr="004002CA" w:rsidP="004002CA" w14:paraId="1837C2E0"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2,304</w:t>
            </w:r>
          </w:p>
        </w:tc>
        <w:tc>
          <w:tcPr>
            <w:tcW w:w="1449" w:type="dxa"/>
            <w:shd w:val="clear" w:color="000000" w:fill="BFBFBF"/>
            <w:vAlign w:val="center"/>
          </w:tcPr>
          <w:p w:rsidR="004002CA" w:rsidRPr="004002CA" w:rsidP="004002CA" w14:paraId="2E3BC24D"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4,608</w:t>
            </w:r>
          </w:p>
        </w:tc>
        <w:tc>
          <w:tcPr>
            <w:tcW w:w="1270" w:type="dxa"/>
            <w:shd w:val="clear" w:color="000000" w:fill="BFBFBF"/>
            <w:vAlign w:val="center"/>
            <w:hideMark/>
          </w:tcPr>
          <w:p w:rsidR="004002CA" w:rsidRPr="004002CA" w:rsidP="004002CA" w14:paraId="4599BCEB" w14:textId="77777777">
            <w:pPr>
              <w:ind w:left="360"/>
              <w:rPr>
                <w:rFonts w:ascii="Times New Roman" w:hAnsi="Times New Roman" w:cs="Times New Roman"/>
                <w:b/>
                <w:bCs/>
                <w:sz w:val="24"/>
                <w:szCs w:val="24"/>
              </w:rPr>
            </w:pPr>
            <w:r w:rsidRPr="004002CA">
              <w:rPr>
                <w:rFonts w:ascii="Times New Roman" w:hAnsi="Times New Roman" w:cs="Times New Roman"/>
                <w:b/>
                <w:bCs/>
                <w:sz w:val="24"/>
                <w:szCs w:val="24"/>
              </w:rPr>
              <w:t>2,400</w:t>
            </w:r>
          </w:p>
        </w:tc>
      </w:tr>
    </w:tbl>
    <w:p w:rsidR="009F307D" w:rsidP="009F307D" w14:paraId="3DCC340F" w14:textId="77777777">
      <w:pPr>
        <w:ind w:left="1260" w:right="1260"/>
        <w:jc w:val="both"/>
        <w:rPr>
          <w:rFonts w:ascii="Times New Roman" w:hAnsi="Times New Roman" w:cs="Times New Roman"/>
          <w:b/>
          <w:sz w:val="24"/>
          <w:szCs w:val="24"/>
        </w:rPr>
      </w:pPr>
    </w:p>
    <w:p w:rsidR="004002CA" w:rsidRPr="00126401" w:rsidP="004002CA" w14:paraId="6BF7BC35" w14:textId="77777777">
      <w:pPr>
        <w:ind w:left="1260" w:right="1260"/>
        <w:rPr>
          <w:rFonts w:ascii="Times New Roman" w:hAnsi="Times New Roman" w:cs="Times New Roman"/>
          <w:sz w:val="24"/>
          <w:szCs w:val="24"/>
        </w:rPr>
      </w:pPr>
      <w:r w:rsidRPr="00BF4E96">
        <w:rPr>
          <w:rFonts w:ascii="Times New Roman" w:hAnsi="Times New Roman" w:cs="Times New Roman"/>
          <w:b/>
          <w:sz w:val="24"/>
          <w:szCs w:val="24"/>
        </w:rPr>
        <w:t>*</w:t>
      </w:r>
      <w:r w:rsidRPr="00BF4E96">
        <w:rPr>
          <w:rFonts w:ascii="Times New Roman" w:hAnsi="Times New Roman" w:cs="Times New Roman"/>
          <w:sz w:val="24"/>
          <w:szCs w:val="24"/>
        </w:rPr>
        <w:t xml:space="preserve">These response totals are based on </w:t>
      </w:r>
      <w:r>
        <w:rPr>
          <w:rFonts w:ascii="Times New Roman" w:hAnsi="Times New Roman" w:cs="Times New Roman"/>
          <w:sz w:val="24"/>
          <w:szCs w:val="24"/>
        </w:rPr>
        <w:t>2</w:t>
      </w:r>
      <w:r w:rsidRPr="00BF4E96">
        <w:rPr>
          <w:rFonts w:ascii="Times New Roman" w:hAnsi="Times New Roman" w:cs="Times New Roman"/>
          <w:sz w:val="24"/>
          <w:szCs w:val="24"/>
        </w:rPr>
        <w:t>,0</w:t>
      </w:r>
      <w:r>
        <w:rPr>
          <w:rFonts w:ascii="Times New Roman" w:hAnsi="Times New Roman" w:cs="Times New Roman"/>
          <w:sz w:val="24"/>
          <w:szCs w:val="24"/>
        </w:rPr>
        <w:t>69</w:t>
      </w:r>
      <w:r w:rsidRPr="00BF4E96">
        <w:rPr>
          <w:rFonts w:ascii="Times New Roman" w:hAnsi="Times New Roman" w:cs="Times New Roman"/>
          <w:sz w:val="24"/>
          <w:szCs w:val="24"/>
        </w:rPr>
        <w:t>,</w:t>
      </w:r>
      <w:r>
        <w:rPr>
          <w:rFonts w:ascii="Times New Roman" w:hAnsi="Times New Roman" w:cs="Times New Roman"/>
          <w:sz w:val="24"/>
          <w:szCs w:val="24"/>
        </w:rPr>
        <w:t>442</w:t>
      </w:r>
      <w:r w:rsidRPr="00BF4E96">
        <w:rPr>
          <w:rFonts w:ascii="Times New Roman" w:hAnsi="Times New Roman" w:cs="Times New Roman"/>
          <w:sz w:val="24"/>
          <w:szCs w:val="24"/>
        </w:rPr>
        <w:t xml:space="preserve"> one</w:t>
      </w:r>
      <w:r>
        <w:rPr>
          <w:rFonts w:ascii="Times New Roman" w:hAnsi="Times New Roman" w:cs="Times New Roman"/>
          <w:sz w:val="24"/>
          <w:szCs w:val="24"/>
        </w:rPr>
        <w:t>-</w:t>
      </w:r>
      <w:r w:rsidRPr="00BF4E96">
        <w:rPr>
          <w:rFonts w:ascii="Times New Roman" w:hAnsi="Times New Roman" w:cs="Times New Roman"/>
          <w:sz w:val="24"/>
          <w:szCs w:val="24"/>
        </w:rPr>
        <w:t>on</w:t>
      </w:r>
      <w:r>
        <w:rPr>
          <w:rFonts w:ascii="Times New Roman" w:hAnsi="Times New Roman" w:cs="Times New Roman"/>
          <w:sz w:val="24"/>
          <w:szCs w:val="24"/>
        </w:rPr>
        <w:t>-</w:t>
      </w:r>
      <w:r w:rsidRPr="00BF4E96">
        <w:rPr>
          <w:rFonts w:ascii="Times New Roman" w:hAnsi="Times New Roman" w:cs="Times New Roman"/>
          <w:sz w:val="24"/>
          <w:szCs w:val="24"/>
        </w:rPr>
        <w:t>one assistance sessions across all 54 states/territories in 20</w:t>
      </w:r>
      <w:r>
        <w:rPr>
          <w:rFonts w:ascii="Times New Roman" w:hAnsi="Times New Roman" w:cs="Times New Roman"/>
          <w:sz w:val="24"/>
          <w:szCs w:val="24"/>
        </w:rPr>
        <w:t>22</w:t>
      </w:r>
      <w:r w:rsidRPr="00BF4E96">
        <w:rPr>
          <w:rFonts w:ascii="Times New Roman" w:hAnsi="Times New Roman" w:cs="Times New Roman"/>
          <w:sz w:val="24"/>
          <w:szCs w:val="24"/>
        </w:rPr>
        <w:t xml:space="preserve"> This data was pulled from ACL’s STARS system. </w:t>
      </w:r>
    </w:p>
    <w:p w:rsidR="009F307D" w:rsidRPr="009F307D" w:rsidP="009F307D" w14:paraId="159F8510" w14:textId="320EEDC5">
      <w:pPr>
        <w:pStyle w:val="ListParagraph"/>
        <w:numPr>
          <w:ilvl w:val="0"/>
          <w:numId w:val="5"/>
        </w:numPr>
        <w:rPr>
          <w:rFonts w:ascii="Times New Roman" w:hAnsi="Times New Roman" w:cs="Times New Roman"/>
          <w:sz w:val="24"/>
          <w:szCs w:val="24"/>
        </w:rPr>
      </w:pPr>
      <w:r w:rsidRPr="009F307D">
        <w:rPr>
          <w:rFonts w:ascii="Times New Roman" w:hAnsi="Times New Roman" w:cs="Times New Roman"/>
          <w:b/>
          <w:sz w:val="24"/>
          <w:szCs w:val="24"/>
          <w:u w:val="single"/>
        </w:rPr>
        <w:t>Describe the procedures for the collection of information</w:t>
      </w:r>
      <w:r w:rsidRPr="009F307D">
        <w:rPr>
          <w:rFonts w:ascii="Times New Roman" w:hAnsi="Times New Roman" w:cs="Times New Roman"/>
          <w:b/>
          <w:sz w:val="24"/>
          <w:szCs w:val="24"/>
        </w:rPr>
        <w:t xml:space="preserve"> </w:t>
      </w:r>
    </w:p>
    <w:p w:rsidR="009F307D" w:rsidRPr="009F307D" w:rsidP="009F307D" w14:paraId="06B006BF" w14:textId="23C07D79">
      <w:pPr>
        <w:ind w:left="360"/>
        <w:rPr>
          <w:rFonts w:ascii="Times New Roman" w:hAnsi="Times New Roman" w:cs="Times New Roman"/>
          <w:sz w:val="24"/>
          <w:szCs w:val="24"/>
        </w:rPr>
      </w:pPr>
      <w:r w:rsidRPr="009F307D">
        <w:rPr>
          <w:rFonts w:ascii="Times New Roman" w:hAnsi="Times New Roman" w:cs="Times New Roman"/>
          <w:sz w:val="24"/>
          <w:szCs w:val="24"/>
        </w:rPr>
        <w:t>Program data will be stratified at the state/territory level, to determine how many responses will be collected from a given state/territory each year. The states/territories will be stratified by the number of Medicare-eligible residents in the state/territory. This stratification will inform the sampling methodology, as a state that requires 10 responses will produce an initial sample of 20 entries (assuming a 50% response rate), while a state that requires one response will produce a sample of two entries. The sample selection and stratification will apply to both SHIP and SMP programs at two points in time:</w:t>
      </w:r>
    </w:p>
    <w:p w:rsidR="009F307D" w:rsidRPr="00126401" w:rsidP="009F307D" w14:paraId="29FF879C" w14:textId="77777777">
      <w:pPr>
        <w:pStyle w:val="ListParagraph"/>
        <w:numPr>
          <w:ilvl w:val="1"/>
          <w:numId w:val="2"/>
        </w:numPr>
        <w:rPr>
          <w:rFonts w:ascii="Times New Roman" w:hAnsi="Times New Roman" w:cs="Times New Roman"/>
          <w:b/>
          <w:sz w:val="24"/>
          <w:szCs w:val="24"/>
        </w:rPr>
      </w:pPr>
      <w:r w:rsidRPr="00126401">
        <w:rPr>
          <w:rFonts w:ascii="Times New Roman" w:hAnsi="Times New Roman" w:cs="Times New Roman"/>
          <w:sz w:val="24"/>
          <w:szCs w:val="24"/>
        </w:rPr>
        <w:t xml:space="preserve"> Outside of Medicare Open Enrollment Period (spring/summer)</w:t>
      </w:r>
    </w:p>
    <w:p w:rsidR="009F307D" w:rsidRPr="00126401" w:rsidP="009F307D" w14:paraId="4B022451" w14:textId="77777777">
      <w:pPr>
        <w:pStyle w:val="ListParagraph"/>
        <w:numPr>
          <w:ilvl w:val="1"/>
          <w:numId w:val="2"/>
        </w:numPr>
        <w:rPr>
          <w:rFonts w:ascii="Times New Roman" w:hAnsi="Times New Roman" w:cs="Times New Roman"/>
          <w:b/>
          <w:sz w:val="24"/>
          <w:szCs w:val="24"/>
        </w:rPr>
      </w:pPr>
      <w:r w:rsidRPr="00126401">
        <w:rPr>
          <w:rFonts w:ascii="Times New Roman" w:hAnsi="Times New Roman" w:cs="Times New Roman"/>
          <w:sz w:val="24"/>
          <w:szCs w:val="24"/>
        </w:rPr>
        <w:t xml:space="preserve"> During Medicare Open Enrollment Period (October 15 – December 7).</w:t>
      </w:r>
    </w:p>
    <w:p w:rsidR="009F307D" w:rsidRPr="00126401" w:rsidP="009F307D" w14:paraId="2C381D8E" w14:textId="737CE24F">
      <w:pPr>
        <w:ind w:left="360"/>
        <w:rPr>
          <w:rFonts w:ascii="Times New Roman" w:hAnsi="Times New Roman" w:cs="Times New Roman"/>
          <w:sz w:val="24"/>
          <w:szCs w:val="24"/>
        </w:rPr>
      </w:pPr>
      <w:r w:rsidRPr="00126401">
        <w:rPr>
          <w:rFonts w:ascii="Times New Roman" w:hAnsi="Times New Roman" w:cs="Times New Roman"/>
          <w:sz w:val="24"/>
          <w:szCs w:val="24"/>
        </w:rPr>
        <w:t>During the week</w:t>
      </w:r>
      <w:r>
        <w:rPr>
          <w:rFonts w:ascii="Times New Roman" w:hAnsi="Times New Roman" w:cs="Times New Roman"/>
          <w:sz w:val="24"/>
          <w:szCs w:val="24"/>
        </w:rPr>
        <w:t>s</w:t>
      </w:r>
      <w:r w:rsidRPr="00126401">
        <w:rPr>
          <w:rFonts w:ascii="Times New Roman" w:hAnsi="Times New Roman" w:cs="Times New Roman"/>
          <w:sz w:val="24"/>
          <w:szCs w:val="24"/>
        </w:rPr>
        <w:t xml:space="preserve"> identified for sampling, </w:t>
      </w:r>
      <w:r>
        <w:rPr>
          <w:rFonts w:ascii="Times New Roman" w:hAnsi="Times New Roman" w:cs="Times New Roman"/>
          <w:sz w:val="24"/>
          <w:szCs w:val="24"/>
        </w:rPr>
        <w:t>program representatives</w:t>
      </w:r>
      <w:r w:rsidRPr="00126401">
        <w:rPr>
          <w:rFonts w:ascii="Times New Roman" w:hAnsi="Times New Roman" w:cs="Times New Roman"/>
          <w:sz w:val="24"/>
          <w:szCs w:val="24"/>
        </w:rPr>
        <w:t xml:space="preserve"> will notify individuals who request </w:t>
      </w:r>
      <w:r>
        <w:rPr>
          <w:rFonts w:ascii="Times New Roman" w:hAnsi="Times New Roman" w:cs="Times New Roman"/>
          <w:sz w:val="24"/>
          <w:szCs w:val="24"/>
        </w:rPr>
        <w:t>one</w:t>
      </w:r>
      <w:r w:rsidR="00056030">
        <w:rPr>
          <w:rFonts w:ascii="Times New Roman" w:hAnsi="Times New Roman" w:cs="Times New Roman"/>
          <w:sz w:val="24"/>
          <w:szCs w:val="24"/>
        </w:rPr>
        <w:t>-</w:t>
      </w:r>
      <w:r>
        <w:rPr>
          <w:rFonts w:ascii="Times New Roman" w:hAnsi="Times New Roman" w:cs="Times New Roman"/>
          <w:sz w:val="24"/>
          <w:szCs w:val="24"/>
        </w:rPr>
        <w:t>on</w:t>
      </w:r>
      <w:r w:rsidR="00056030">
        <w:rPr>
          <w:rFonts w:ascii="Times New Roman" w:hAnsi="Times New Roman" w:cs="Times New Roman"/>
          <w:sz w:val="24"/>
          <w:szCs w:val="24"/>
        </w:rPr>
        <w:t>-</w:t>
      </w:r>
      <w:r>
        <w:rPr>
          <w:rFonts w:ascii="Times New Roman" w:hAnsi="Times New Roman" w:cs="Times New Roman"/>
          <w:sz w:val="24"/>
          <w:szCs w:val="24"/>
        </w:rPr>
        <w:t xml:space="preserve">one </w:t>
      </w:r>
      <w:r w:rsidRPr="00126401">
        <w:rPr>
          <w:rFonts w:ascii="Times New Roman" w:hAnsi="Times New Roman" w:cs="Times New Roman"/>
          <w:sz w:val="24"/>
          <w:szCs w:val="24"/>
        </w:rPr>
        <w:t xml:space="preserve">Medicare </w:t>
      </w:r>
      <w:r>
        <w:rPr>
          <w:rFonts w:ascii="Times New Roman" w:hAnsi="Times New Roman" w:cs="Times New Roman"/>
          <w:sz w:val="24"/>
          <w:szCs w:val="24"/>
        </w:rPr>
        <w:t>assistance</w:t>
      </w:r>
      <w:r w:rsidRPr="00126401">
        <w:rPr>
          <w:rFonts w:ascii="Times New Roman" w:hAnsi="Times New Roman" w:cs="Times New Roman"/>
          <w:sz w:val="24"/>
          <w:szCs w:val="24"/>
        </w:rPr>
        <w:t xml:space="preserve"> that a third party might contact them to assess their satisfaction with their experience. On </w:t>
      </w:r>
      <w:r>
        <w:rPr>
          <w:rFonts w:ascii="Times New Roman" w:hAnsi="Times New Roman" w:cs="Times New Roman"/>
          <w:sz w:val="24"/>
          <w:szCs w:val="24"/>
        </w:rPr>
        <w:t>each</w:t>
      </w:r>
      <w:r w:rsidRPr="00126401">
        <w:rPr>
          <w:rFonts w:ascii="Times New Roman" w:hAnsi="Times New Roman" w:cs="Times New Roman"/>
          <w:sz w:val="24"/>
          <w:szCs w:val="24"/>
        </w:rPr>
        <w:t xml:space="preserve"> Monday </w:t>
      </w:r>
      <w:r>
        <w:rPr>
          <w:rFonts w:ascii="Times New Roman" w:hAnsi="Times New Roman" w:cs="Times New Roman"/>
          <w:sz w:val="24"/>
          <w:szCs w:val="24"/>
        </w:rPr>
        <w:t>during this period</w:t>
      </w:r>
      <w:r w:rsidRPr="00126401">
        <w:rPr>
          <w:rFonts w:ascii="Times New Roman" w:hAnsi="Times New Roman" w:cs="Times New Roman"/>
          <w:sz w:val="24"/>
          <w:szCs w:val="24"/>
        </w:rPr>
        <w:t xml:space="preserve"> ACL will download the complete </w:t>
      </w:r>
      <w:r>
        <w:rPr>
          <w:rFonts w:ascii="Times New Roman" w:hAnsi="Times New Roman" w:cs="Times New Roman"/>
          <w:sz w:val="24"/>
          <w:szCs w:val="24"/>
        </w:rPr>
        <w:t xml:space="preserve">collection of </w:t>
      </w:r>
      <w:r w:rsidR="00056030">
        <w:rPr>
          <w:rFonts w:ascii="Times New Roman" w:hAnsi="Times New Roman" w:cs="Times New Roman"/>
          <w:sz w:val="24"/>
          <w:szCs w:val="24"/>
        </w:rPr>
        <w:t>one-on-one</w:t>
      </w:r>
      <w:r>
        <w:rPr>
          <w:rFonts w:ascii="Times New Roman" w:hAnsi="Times New Roman" w:cs="Times New Roman"/>
          <w:sz w:val="24"/>
          <w:szCs w:val="24"/>
        </w:rPr>
        <w:t xml:space="preserve"> assistance</w:t>
      </w:r>
      <w:r w:rsidRPr="00126401">
        <w:rPr>
          <w:rFonts w:ascii="Times New Roman" w:hAnsi="Times New Roman" w:cs="Times New Roman"/>
          <w:sz w:val="24"/>
          <w:szCs w:val="24"/>
        </w:rPr>
        <w:t xml:space="preserve"> session</w:t>
      </w:r>
      <w:r>
        <w:rPr>
          <w:rFonts w:ascii="Times New Roman" w:hAnsi="Times New Roman" w:cs="Times New Roman"/>
          <w:sz w:val="24"/>
          <w:szCs w:val="24"/>
        </w:rPr>
        <w:t>s</w:t>
      </w:r>
      <w:r w:rsidRPr="00126401">
        <w:rPr>
          <w:rFonts w:ascii="Times New Roman" w:hAnsi="Times New Roman" w:cs="Times New Roman"/>
          <w:sz w:val="24"/>
          <w:szCs w:val="24"/>
        </w:rPr>
        <w:t xml:space="preserve"> </w:t>
      </w:r>
      <w:r>
        <w:rPr>
          <w:rFonts w:ascii="Times New Roman" w:hAnsi="Times New Roman" w:cs="Times New Roman"/>
          <w:sz w:val="24"/>
          <w:szCs w:val="24"/>
        </w:rPr>
        <w:t>that occurred during</w:t>
      </w:r>
      <w:r w:rsidRPr="00126401">
        <w:rPr>
          <w:rFonts w:ascii="Times New Roman" w:hAnsi="Times New Roman" w:cs="Times New Roman"/>
          <w:sz w:val="24"/>
          <w:szCs w:val="24"/>
        </w:rPr>
        <w:t xml:space="preserve"> th</w:t>
      </w:r>
      <w:r>
        <w:rPr>
          <w:rFonts w:ascii="Times New Roman" w:hAnsi="Times New Roman" w:cs="Times New Roman"/>
          <w:sz w:val="24"/>
          <w:szCs w:val="24"/>
        </w:rPr>
        <w:t>e previous</w:t>
      </w:r>
      <w:r w:rsidRPr="00126401">
        <w:rPr>
          <w:rFonts w:ascii="Times New Roman" w:hAnsi="Times New Roman" w:cs="Times New Roman"/>
          <w:sz w:val="24"/>
          <w:szCs w:val="24"/>
        </w:rPr>
        <w:t xml:space="preserve"> week. ACL will then randomly select potential respondents to call, with the expectation that </w:t>
      </w:r>
      <w:r>
        <w:rPr>
          <w:rFonts w:ascii="Times New Roman" w:hAnsi="Times New Roman" w:cs="Times New Roman"/>
          <w:sz w:val="24"/>
          <w:szCs w:val="24"/>
        </w:rPr>
        <w:t>200</w:t>
      </w:r>
      <w:r w:rsidRPr="00126401">
        <w:rPr>
          <w:rFonts w:ascii="Times New Roman" w:hAnsi="Times New Roman" w:cs="Times New Roman"/>
          <w:sz w:val="24"/>
          <w:szCs w:val="24"/>
        </w:rPr>
        <w:t xml:space="preserve"> responses </w:t>
      </w:r>
      <w:r>
        <w:rPr>
          <w:rFonts w:ascii="Times New Roman" w:hAnsi="Times New Roman" w:cs="Times New Roman"/>
          <w:sz w:val="24"/>
          <w:szCs w:val="24"/>
        </w:rPr>
        <w:t xml:space="preserve">will be collected </w:t>
      </w:r>
      <w:r w:rsidRPr="00126401">
        <w:rPr>
          <w:rFonts w:ascii="Times New Roman" w:hAnsi="Times New Roman" w:cs="Times New Roman"/>
          <w:sz w:val="24"/>
          <w:szCs w:val="24"/>
        </w:rPr>
        <w:t xml:space="preserve">outside </w:t>
      </w:r>
      <w:r>
        <w:rPr>
          <w:rFonts w:ascii="Times New Roman" w:hAnsi="Times New Roman" w:cs="Times New Roman"/>
          <w:sz w:val="24"/>
          <w:szCs w:val="24"/>
        </w:rPr>
        <w:t xml:space="preserve">the </w:t>
      </w:r>
      <w:r w:rsidRPr="00126401">
        <w:rPr>
          <w:rFonts w:ascii="Times New Roman" w:hAnsi="Times New Roman" w:cs="Times New Roman"/>
          <w:sz w:val="24"/>
          <w:szCs w:val="24"/>
        </w:rPr>
        <w:t>Medicare Open Enrollment Period</w:t>
      </w:r>
      <w:r>
        <w:rPr>
          <w:rFonts w:ascii="Times New Roman" w:hAnsi="Times New Roman" w:cs="Times New Roman"/>
          <w:sz w:val="24"/>
          <w:szCs w:val="24"/>
        </w:rPr>
        <w:t xml:space="preserve"> for each program</w:t>
      </w:r>
      <w:r w:rsidRPr="00126401">
        <w:rPr>
          <w:rFonts w:ascii="Times New Roman" w:hAnsi="Times New Roman" w:cs="Times New Roman"/>
          <w:sz w:val="24"/>
          <w:szCs w:val="24"/>
        </w:rPr>
        <w:t xml:space="preserve"> </w:t>
      </w:r>
      <w:r>
        <w:rPr>
          <w:rFonts w:ascii="Times New Roman" w:hAnsi="Times New Roman" w:cs="Times New Roman"/>
          <w:sz w:val="24"/>
          <w:szCs w:val="24"/>
        </w:rPr>
        <w:t>and 200</w:t>
      </w:r>
      <w:r w:rsidRPr="00126401">
        <w:rPr>
          <w:rFonts w:ascii="Times New Roman" w:hAnsi="Times New Roman" w:cs="Times New Roman"/>
          <w:sz w:val="24"/>
          <w:szCs w:val="24"/>
        </w:rPr>
        <w:t xml:space="preserve"> responses </w:t>
      </w:r>
      <w:r>
        <w:rPr>
          <w:rFonts w:ascii="Times New Roman" w:hAnsi="Times New Roman" w:cs="Times New Roman"/>
          <w:sz w:val="24"/>
          <w:szCs w:val="24"/>
        </w:rPr>
        <w:t xml:space="preserve">will be collected </w:t>
      </w:r>
      <w:r w:rsidRPr="00126401">
        <w:rPr>
          <w:rFonts w:ascii="Times New Roman" w:hAnsi="Times New Roman" w:cs="Times New Roman"/>
          <w:sz w:val="24"/>
          <w:szCs w:val="24"/>
        </w:rPr>
        <w:t xml:space="preserve">during </w:t>
      </w:r>
      <w:r>
        <w:rPr>
          <w:rFonts w:ascii="Times New Roman" w:hAnsi="Times New Roman" w:cs="Times New Roman"/>
          <w:sz w:val="24"/>
          <w:szCs w:val="24"/>
        </w:rPr>
        <w:t xml:space="preserve">the </w:t>
      </w:r>
      <w:r w:rsidRPr="00126401">
        <w:rPr>
          <w:rFonts w:ascii="Times New Roman" w:hAnsi="Times New Roman" w:cs="Times New Roman"/>
          <w:sz w:val="24"/>
          <w:szCs w:val="24"/>
        </w:rPr>
        <w:t>Medicare Open Enrollment Period</w:t>
      </w:r>
      <w:r>
        <w:rPr>
          <w:rFonts w:ascii="Times New Roman" w:hAnsi="Times New Roman" w:cs="Times New Roman"/>
          <w:sz w:val="24"/>
          <w:szCs w:val="24"/>
        </w:rPr>
        <w:t xml:space="preserve"> for each program</w:t>
      </w:r>
      <w:r w:rsidRPr="00126401">
        <w:rPr>
          <w:rFonts w:ascii="Times New Roman" w:hAnsi="Times New Roman" w:cs="Times New Roman"/>
          <w:sz w:val="24"/>
          <w:szCs w:val="24"/>
        </w:rPr>
        <w:t>. All completed responses will be entered electronically into a password-protected Microsoft Excel database, where ACL can track state/territory progress in survey completion and maintain data for analysis.</w:t>
      </w:r>
    </w:p>
    <w:p w:rsidR="009F307D" w:rsidRPr="00126401" w:rsidP="009F307D" w14:paraId="7FD29A29" w14:textId="77777777">
      <w:pPr>
        <w:pStyle w:val="ListParagraph"/>
        <w:keepNext/>
        <w:keepLines/>
        <w:numPr>
          <w:ilvl w:val="1"/>
          <w:numId w:val="5"/>
        </w:numPr>
        <w:rPr>
          <w:rFonts w:ascii="Times New Roman" w:hAnsi="Times New Roman" w:cs="Times New Roman"/>
          <w:b/>
          <w:sz w:val="24"/>
          <w:szCs w:val="24"/>
        </w:rPr>
      </w:pPr>
      <w:r w:rsidRPr="00126401">
        <w:rPr>
          <w:rFonts w:ascii="Times New Roman" w:hAnsi="Times New Roman" w:cs="Times New Roman"/>
          <w:b/>
          <w:sz w:val="24"/>
          <w:szCs w:val="24"/>
        </w:rPr>
        <w:t>* Estimation procedure,</w:t>
      </w:r>
    </w:p>
    <w:p w:rsidR="009F307D" w:rsidRPr="00126401" w:rsidP="009F307D" w14:paraId="4D712555" w14:textId="77777777">
      <w:pPr>
        <w:keepNext/>
        <w:keepLines/>
        <w:ind w:left="360"/>
        <w:rPr>
          <w:rFonts w:ascii="Times New Roman" w:hAnsi="Times New Roman" w:cs="Times New Roman"/>
          <w:sz w:val="24"/>
          <w:szCs w:val="24"/>
        </w:rPr>
      </w:pPr>
      <w:r w:rsidRPr="00126401">
        <w:rPr>
          <w:rFonts w:ascii="Times New Roman" w:hAnsi="Times New Roman" w:cs="Times New Roman"/>
          <w:sz w:val="24"/>
          <w:szCs w:val="24"/>
        </w:rPr>
        <w:t>ACL will derive its total sample based on three factors:</w:t>
      </w:r>
    </w:p>
    <w:p w:rsidR="009F307D" w:rsidRPr="00126401" w:rsidP="009F307D" w14:paraId="08B21343" w14:textId="2050E622">
      <w:pPr>
        <w:pStyle w:val="ListParagraph"/>
        <w:numPr>
          <w:ilvl w:val="1"/>
          <w:numId w:val="3"/>
        </w:numPr>
        <w:rPr>
          <w:rFonts w:ascii="Times New Roman" w:hAnsi="Times New Roman" w:cs="Times New Roman"/>
          <w:b/>
          <w:sz w:val="24"/>
          <w:szCs w:val="24"/>
        </w:rPr>
      </w:pPr>
      <w:r w:rsidRPr="00126401">
        <w:rPr>
          <w:rFonts w:ascii="Times New Roman" w:hAnsi="Times New Roman" w:cs="Times New Roman"/>
          <w:sz w:val="24"/>
          <w:szCs w:val="24"/>
        </w:rPr>
        <w:t xml:space="preserve">The number of unique (i.e., non-redundant) individuals who have received </w:t>
      </w:r>
      <w:r>
        <w:rPr>
          <w:rFonts w:ascii="Times New Roman" w:hAnsi="Times New Roman" w:cs="Times New Roman"/>
          <w:sz w:val="24"/>
          <w:szCs w:val="24"/>
        </w:rPr>
        <w:t>one</w:t>
      </w:r>
      <w:r w:rsidR="00056030">
        <w:rPr>
          <w:rFonts w:ascii="Times New Roman" w:hAnsi="Times New Roman" w:cs="Times New Roman"/>
          <w:sz w:val="24"/>
          <w:szCs w:val="24"/>
        </w:rPr>
        <w:t>-</w:t>
      </w:r>
      <w:r>
        <w:rPr>
          <w:rFonts w:ascii="Times New Roman" w:hAnsi="Times New Roman" w:cs="Times New Roman"/>
          <w:sz w:val="24"/>
          <w:szCs w:val="24"/>
        </w:rPr>
        <w:t>on</w:t>
      </w:r>
      <w:r w:rsidR="00056030">
        <w:rPr>
          <w:rFonts w:ascii="Times New Roman" w:hAnsi="Times New Roman" w:cs="Times New Roman"/>
          <w:sz w:val="24"/>
          <w:szCs w:val="24"/>
        </w:rPr>
        <w:t>-</w:t>
      </w:r>
      <w:r>
        <w:rPr>
          <w:rFonts w:ascii="Times New Roman" w:hAnsi="Times New Roman" w:cs="Times New Roman"/>
          <w:sz w:val="24"/>
          <w:szCs w:val="24"/>
        </w:rPr>
        <w:t>one assistance</w:t>
      </w:r>
      <w:r w:rsidRPr="00126401">
        <w:rPr>
          <w:rFonts w:ascii="Times New Roman" w:hAnsi="Times New Roman" w:cs="Times New Roman"/>
          <w:sz w:val="24"/>
          <w:szCs w:val="24"/>
        </w:rPr>
        <w:t xml:space="preserve"> at two points each year (those that received service during the </w:t>
      </w:r>
      <w:r w:rsidRPr="00126401">
        <w:rPr>
          <w:rFonts w:ascii="Times New Roman" w:hAnsi="Times New Roman" w:cs="Times New Roman"/>
          <w:sz w:val="24"/>
          <w:szCs w:val="24"/>
        </w:rPr>
        <w:t>Medicare Open Enrollment Period and those that received service outside of the Medicare Open Enrollment Period)</w:t>
      </w:r>
      <w:r>
        <w:rPr>
          <w:rFonts w:ascii="Times New Roman" w:hAnsi="Times New Roman" w:cs="Times New Roman"/>
          <w:sz w:val="24"/>
          <w:szCs w:val="24"/>
        </w:rPr>
        <w:t>,</w:t>
      </w:r>
    </w:p>
    <w:p w:rsidR="009F307D" w:rsidRPr="00126401" w:rsidP="009F307D" w14:paraId="32999B9A" w14:textId="77777777">
      <w:pPr>
        <w:pStyle w:val="ListParagraph"/>
        <w:numPr>
          <w:ilvl w:val="1"/>
          <w:numId w:val="3"/>
        </w:numPr>
        <w:rPr>
          <w:rFonts w:ascii="Times New Roman" w:hAnsi="Times New Roman" w:cs="Times New Roman"/>
          <w:sz w:val="24"/>
          <w:szCs w:val="24"/>
        </w:rPr>
      </w:pPr>
      <w:r w:rsidRPr="00126401">
        <w:rPr>
          <w:rFonts w:ascii="Times New Roman" w:hAnsi="Times New Roman" w:cs="Times New Roman"/>
          <w:sz w:val="24"/>
          <w:szCs w:val="24"/>
        </w:rPr>
        <w:t>The number of respondents required to achieve a 95% confidence level and,</w:t>
      </w:r>
    </w:p>
    <w:p w:rsidR="009F307D" w:rsidRPr="00126401" w:rsidP="009F307D" w14:paraId="49F32781" w14:textId="77777777">
      <w:pPr>
        <w:pStyle w:val="ListParagraph"/>
        <w:numPr>
          <w:ilvl w:val="1"/>
          <w:numId w:val="3"/>
        </w:numPr>
        <w:rPr>
          <w:rFonts w:ascii="Times New Roman" w:hAnsi="Times New Roman" w:cs="Times New Roman"/>
          <w:sz w:val="24"/>
          <w:szCs w:val="24"/>
        </w:rPr>
      </w:pPr>
      <w:r w:rsidRPr="00126401">
        <w:rPr>
          <w:rFonts w:ascii="Times New Roman" w:hAnsi="Times New Roman" w:cs="Times New Roman"/>
          <w:sz w:val="24"/>
          <w:szCs w:val="24"/>
        </w:rPr>
        <w:t>A margin of error of +/- 5%.</w:t>
      </w:r>
      <w:r w:rsidRPr="00126401">
        <w:rPr>
          <w:rFonts w:ascii="Times New Roman" w:hAnsi="Times New Roman" w:cs="Times New Roman"/>
          <w:sz w:val="24"/>
          <w:szCs w:val="24"/>
        </w:rPr>
        <w:br/>
      </w:r>
    </w:p>
    <w:p w:rsidR="009F307D" w:rsidRPr="00126401" w:rsidP="009F307D" w14:paraId="103F616C" w14:textId="77777777">
      <w:pPr>
        <w:pStyle w:val="ListParagraph"/>
        <w:numPr>
          <w:ilvl w:val="1"/>
          <w:numId w:val="5"/>
        </w:numPr>
        <w:rPr>
          <w:rFonts w:ascii="Times New Roman" w:hAnsi="Times New Roman" w:cs="Times New Roman"/>
          <w:b/>
          <w:sz w:val="24"/>
          <w:szCs w:val="24"/>
        </w:rPr>
      </w:pPr>
      <w:r w:rsidRPr="00126401">
        <w:rPr>
          <w:rFonts w:ascii="Times New Roman" w:hAnsi="Times New Roman" w:cs="Times New Roman"/>
          <w:b/>
          <w:sz w:val="24"/>
          <w:szCs w:val="24"/>
        </w:rPr>
        <w:t>* Degree of accuracy needed for the purpose described in the justification,</w:t>
      </w:r>
    </w:p>
    <w:p w:rsidR="009F307D" w:rsidRPr="00126401" w:rsidP="009F307D" w14:paraId="6A8932BD" w14:textId="77777777">
      <w:pPr>
        <w:ind w:left="360"/>
        <w:rPr>
          <w:rFonts w:ascii="Times New Roman" w:hAnsi="Times New Roman" w:cs="Times New Roman"/>
          <w:sz w:val="24"/>
          <w:szCs w:val="24"/>
        </w:rPr>
      </w:pPr>
      <w:r w:rsidRPr="00126401">
        <w:rPr>
          <w:rFonts w:ascii="Times New Roman" w:hAnsi="Times New Roman" w:cs="Times New Roman"/>
          <w:sz w:val="24"/>
          <w:szCs w:val="24"/>
        </w:rPr>
        <w:t>In order to generate a national sample</w:t>
      </w:r>
      <w:r>
        <w:rPr>
          <w:rFonts w:ascii="Times New Roman" w:hAnsi="Times New Roman" w:cs="Times New Roman"/>
          <w:sz w:val="24"/>
          <w:szCs w:val="24"/>
        </w:rPr>
        <w:t>,</w:t>
      </w:r>
      <w:r w:rsidRPr="00126401">
        <w:rPr>
          <w:rFonts w:ascii="Times New Roman" w:hAnsi="Times New Roman" w:cs="Times New Roman"/>
          <w:sz w:val="24"/>
          <w:szCs w:val="24"/>
        </w:rPr>
        <w:t xml:space="preserve"> 384 responses are required </w:t>
      </w:r>
      <w:r>
        <w:rPr>
          <w:rFonts w:ascii="Times New Roman" w:hAnsi="Times New Roman" w:cs="Times New Roman"/>
          <w:sz w:val="24"/>
          <w:szCs w:val="24"/>
        </w:rPr>
        <w:t xml:space="preserve">per year for each program. </w:t>
      </w:r>
      <w:r w:rsidRPr="00126401">
        <w:rPr>
          <w:rFonts w:ascii="Times New Roman" w:hAnsi="Times New Roman" w:cs="Times New Roman"/>
          <w:sz w:val="24"/>
          <w:szCs w:val="24"/>
        </w:rPr>
        <w:t>A</w:t>
      </w:r>
      <w:r>
        <w:rPr>
          <w:rFonts w:ascii="Times New Roman" w:hAnsi="Times New Roman" w:cs="Times New Roman"/>
          <w:sz w:val="24"/>
          <w:szCs w:val="24"/>
        </w:rPr>
        <w:t>CL will pursue a slightly larger collection (400 responses per year per program) to account for rounding differences after stratifying the 54 participating states/territories.</w:t>
      </w:r>
    </w:p>
    <w:p w:rsidR="009F307D" w:rsidRPr="00126401" w:rsidP="009F307D" w14:paraId="2C6C79F1" w14:textId="77777777">
      <w:pPr>
        <w:pStyle w:val="ListParagraph"/>
        <w:numPr>
          <w:ilvl w:val="1"/>
          <w:numId w:val="5"/>
        </w:numPr>
        <w:rPr>
          <w:rFonts w:ascii="Times New Roman" w:hAnsi="Times New Roman" w:cs="Times New Roman"/>
          <w:b/>
          <w:i/>
          <w:sz w:val="24"/>
          <w:szCs w:val="24"/>
          <w:u w:val="single"/>
        </w:rPr>
      </w:pPr>
      <w:r w:rsidRPr="00126401">
        <w:rPr>
          <w:rFonts w:ascii="Times New Roman" w:hAnsi="Times New Roman" w:cs="Times New Roman"/>
          <w:b/>
          <w:i/>
          <w:sz w:val="24"/>
          <w:szCs w:val="24"/>
          <w:u w:val="single"/>
        </w:rPr>
        <w:t>* Unusual problems requiring specialized sampling procedures, and</w:t>
      </w:r>
    </w:p>
    <w:p w:rsidR="009F307D" w:rsidRPr="00126401" w:rsidP="009F307D" w14:paraId="588EE100" w14:textId="77777777">
      <w:pPr>
        <w:ind w:left="360"/>
        <w:rPr>
          <w:rFonts w:ascii="Times New Roman" w:hAnsi="Times New Roman" w:cs="Times New Roman"/>
          <w:sz w:val="24"/>
          <w:szCs w:val="24"/>
        </w:rPr>
      </w:pPr>
      <w:r w:rsidRPr="00126401">
        <w:rPr>
          <w:rFonts w:ascii="Times New Roman" w:hAnsi="Times New Roman" w:cs="Times New Roman"/>
          <w:sz w:val="24"/>
          <w:szCs w:val="24"/>
        </w:rPr>
        <w:t>There are no unusual problems requiring specialized sampling in this collection.</w:t>
      </w:r>
    </w:p>
    <w:p w:rsidR="009F307D" w:rsidRPr="00126401" w:rsidP="009F307D" w14:paraId="7C5A9DA7" w14:textId="77777777">
      <w:pPr>
        <w:pStyle w:val="ListParagraph"/>
        <w:numPr>
          <w:ilvl w:val="1"/>
          <w:numId w:val="5"/>
        </w:numPr>
        <w:rPr>
          <w:rFonts w:ascii="Times New Roman" w:hAnsi="Times New Roman" w:cs="Times New Roman"/>
          <w:b/>
          <w:i/>
          <w:sz w:val="24"/>
          <w:szCs w:val="24"/>
          <w:u w:val="single"/>
        </w:rPr>
      </w:pPr>
      <w:r w:rsidRPr="00126401">
        <w:rPr>
          <w:rFonts w:ascii="Times New Roman" w:hAnsi="Times New Roman" w:cs="Times New Roman"/>
          <w:b/>
          <w:i/>
          <w:sz w:val="24"/>
          <w:szCs w:val="24"/>
          <w:u w:val="single"/>
        </w:rPr>
        <w:t>* Any use of periodic (less frequent than annual) data collection cycles to reduce burden.</w:t>
      </w:r>
    </w:p>
    <w:p w:rsidR="009F307D" w:rsidRPr="00126401" w:rsidP="009F307D" w14:paraId="3B5F1C02" w14:textId="77777777">
      <w:pPr>
        <w:ind w:left="360"/>
        <w:rPr>
          <w:rFonts w:ascii="Times New Roman" w:hAnsi="Times New Roman" w:cs="Times New Roman"/>
          <w:sz w:val="24"/>
          <w:szCs w:val="24"/>
        </w:rPr>
      </w:pPr>
      <w:r>
        <w:rPr>
          <w:rFonts w:ascii="Times New Roman" w:hAnsi="Times New Roman" w:cs="Times New Roman"/>
          <w:sz w:val="24"/>
          <w:szCs w:val="24"/>
        </w:rPr>
        <w:t>This is an annual survey.</w:t>
      </w:r>
    </w:p>
    <w:p w:rsidR="009F307D" w:rsidRPr="009F307D" w:rsidP="009F307D" w14:paraId="3A08917A" w14:textId="6166F246">
      <w:pPr>
        <w:pStyle w:val="ListParagraph"/>
        <w:numPr>
          <w:ilvl w:val="0"/>
          <w:numId w:val="5"/>
        </w:numPr>
        <w:ind w:left="360"/>
        <w:rPr>
          <w:rFonts w:ascii="Times New Roman" w:hAnsi="Times New Roman" w:cs="Times New Roman"/>
          <w:sz w:val="24"/>
          <w:szCs w:val="24"/>
        </w:rPr>
      </w:pPr>
      <w:r w:rsidRPr="009F307D">
        <w:rPr>
          <w:rFonts w:ascii="Times New Roman" w:hAnsi="Times New Roman" w:cs="Times New Roman"/>
          <w:b/>
          <w:sz w:val="24"/>
          <w:szCs w:val="24"/>
          <w:u w:val="single"/>
        </w:rPr>
        <w:t>Describe methods to maximize response rates and to deal with issues of non-response</w:t>
      </w:r>
    </w:p>
    <w:p w:rsidR="009F307D" w:rsidP="009F307D" w14:paraId="2712AB1F" w14:textId="77777777">
      <w:pPr>
        <w:pStyle w:val="ListParagraph"/>
        <w:ind w:left="360"/>
        <w:rPr>
          <w:rFonts w:ascii="Times New Roman" w:hAnsi="Times New Roman" w:cs="Times New Roman"/>
          <w:b/>
          <w:sz w:val="24"/>
          <w:szCs w:val="24"/>
        </w:rPr>
      </w:pPr>
    </w:p>
    <w:p w:rsidR="009F307D" w:rsidRPr="009F307D" w:rsidP="009F307D" w14:paraId="1D228820" w14:textId="5A996E95">
      <w:pPr>
        <w:pStyle w:val="ListParagraph"/>
        <w:ind w:left="360"/>
        <w:rPr>
          <w:rFonts w:ascii="Times New Roman" w:hAnsi="Times New Roman" w:cs="Times New Roman"/>
          <w:sz w:val="24"/>
          <w:szCs w:val="24"/>
        </w:rPr>
      </w:pPr>
      <w:r w:rsidRPr="009F307D">
        <w:rPr>
          <w:rFonts w:ascii="Times New Roman" w:hAnsi="Times New Roman" w:cs="Times New Roman"/>
          <w:sz w:val="24"/>
          <w:szCs w:val="24"/>
        </w:rPr>
        <w:t xml:space="preserve">Based on ACL's review of the existing survey and similar surveys, a 50% response rate is expected. </w:t>
      </w:r>
      <w:r w:rsidRPr="009F307D" w:rsidR="00DD28F3">
        <w:rPr>
          <w:rFonts w:ascii="Times New Roman" w:hAnsi="Times New Roman" w:cs="Times New Roman"/>
          <w:sz w:val="24"/>
          <w:szCs w:val="24"/>
        </w:rPr>
        <w:t>To</w:t>
      </w:r>
      <w:r w:rsidRPr="009F307D">
        <w:rPr>
          <w:rFonts w:ascii="Times New Roman" w:hAnsi="Times New Roman" w:cs="Times New Roman"/>
          <w:sz w:val="24"/>
          <w:szCs w:val="24"/>
        </w:rPr>
        <w:t xml:space="preserve"> achieve this rate of response, several best practices will be used, including:</w:t>
      </w:r>
    </w:p>
    <w:p w:rsidR="004002CA" w:rsidRPr="00126401" w:rsidP="004002CA" w14:paraId="3CEA99CA" w14:textId="77777777">
      <w:pPr>
        <w:pStyle w:val="ListParagraph"/>
        <w:keepNext/>
        <w:keepLines/>
        <w:numPr>
          <w:ilvl w:val="0"/>
          <w:numId w:val="4"/>
        </w:numPr>
        <w:rPr>
          <w:rFonts w:ascii="Times New Roman" w:hAnsi="Times New Roman" w:cs="Times New Roman"/>
          <w:sz w:val="24"/>
          <w:szCs w:val="24"/>
          <w:u w:val="single"/>
        </w:rPr>
      </w:pPr>
      <w:r w:rsidRPr="00126401">
        <w:rPr>
          <w:rFonts w:ascii="Times New Roman" w:hAnsi="Times New Roman" w:cs="Times New Roman"/>
          <w:sz w:val="24"/>
          <w:szCs w:val="24"/>
          <w:u w:val="single"/>
        </w:rPr>
        <w:t>Using a notable agency for data collection:</w:t>
      </w:r>
    </w:p>
    <w:p w:rsidR="004002CA" w:rsidRPr="00126401" w:rsidP="004002CA" w14:paraId="0F1AC143" w14:textId="77777777">
      <w:pPr>
        <w:pStyle w:val="ListParagraph"/>
        <w:keepLines/>
        <w:ind w:left="1080"/>
        <w:rPr>
          <w:rFonts w:ascii="Times New Roman" w:hAnsi="Times New Roman" w:cs="Times New Roman"/>
          <w:sz w:val="24"/>
          <w:szCs w:val="24"/>
        </w:rPr>
      </w:pPr>
      <w:r w:rsidRPr="00126401">
        <w:rPr>
          <w:rFonts w:ascii="Times New Roman" w:hAnsi="Times New Roman" w:cs="Times New Roman"/>
          <w:sz w:val="24"/>
          <w:szCs w:val="24"/>
        </w:rPr>
        <w:t xml:space="preserve">All letters, surveys, and email announcements </w:t>
      </w:r>
      <w:r>
        <w:rPr>
          <w:rFonts w:ascii="Times New Roman" w:hAnsi="Times New Roman" w:cs="Times New Roman"/>
          <w:sz w:val="24"/>
          <w:szCs w:val="24"/>
        </w:rPr>
        <w:t xml:space="preserve">sent to SHIP/SMP representatives </w:t>
      </w:r>
      <w:r w:rsidRPr="00126401">
        <w:rPr>
          <w:rFonts w:ascii="Times New Roman" w:hAnsi="Times New Roman" w:cs="Times New Roman"/>
          <w:sz w:val="24"/>
          <w:szCs w:val="24"/>
        </w:rPr>
        <w:t>will contain ACL's seal and logo, so as to improve the confidence respondents have with the survey.</w:t>
      </w:r>
    </w:p>
    <w:p w:rsidR="009F307D" w:rsidRPr="00126401" w:rsidP="009F307D" w14:paraId="63EE98AA" w14:textId="77777777">
      <w:pPr>
        <w:pStyle w:val="ListParagraph"/>
        <w:numPr>
          <w:ilvl w:val="0"/>
          <w:numId w:val="4"/>
        </w:numPr>
        <w:rPr>
          <w:rFonts w:ascii="Times New Roman" w:hAnsi="Times New Roman" w:cs="Times New Roman"/>
          <w:sz w:val="24"/>
          <w:szCs w:val="24"/>
          <w:u w:val="single"/>
        </w:rPr>
      </w:pPr>
      <w:r w:rsidRPr="00126401">
        <w:rPr>
          <w:rFonts w:ascii="Times New Roman" w:hAnsi="Times New Roman" w:cs="Times New Roman"/>
          <w:sz w:val="24"/>
          <w:szCs w:val="24"/>
          <w:u w:val="single"/>
        </w:rPr>
        <w:t>Advance Warning of the Survey Request:</w:t>
      </w:r>
    </w:p>
    <w:p w:rsidR="009F307D" w:rsidRPr="00126401" w:rsidP="009F307D" w14:paraId="5363A0F3" w14:textId="77777777">
      <w:pPr>
        <w:pStyle w:val="ListParagraph"/>
        <w:ind w:left="1080"/>
        <w:rPr>
          <w:rFonts w:ascii="Times New Roman" w:hAnsi="Times New Roman" w:cs="Times New Roman"/>
          <w:sz w:val="24"/>
          <w:szCs w:val="24"/>
          <w:u w:val="single"/>
        </w:rPr>
      </w:pPr>
      <w:r w:rsidRPr="00126401">
        <w:rPr>
          <w:rFonts w:ascii="Times New Roman" w:hAnsi="Times New Roman" w:cs="Times New Roman"/>
          <w:sz w:val="24"/>
          <w:szCs w:val="24"/>
        </w:rPr>
        <w:t xml:space="preserve">Each respondent will be notified during his/her </w:t>
      </w:r>
      <w:r>
        <w:rPr>
          <w:rFonts w:ascii="Times New Roman" w:hAnsi="Times New Roman" w:cs="Times New Roman"/>
          <w:sz w:val="24"/>
          <w:szCs w:val="24"/>
        </w:rPr>
        <w:t>assistance</w:t>
      </w:r>
      <w:r w:rsidRPr="00126401">
        <w:rPr>
          <w:rFonts w:ascii="Times New Roman" w:hAnsi="Times New Roman" w:cs="Times New Roman"/>
          <w:sz w:val="24"/>
          <w:szCs w:val="24"/>
        </w:rPr>
        <w:t xml:space="preserve"> session that he/she may be contacted in the following week to assess </w:t>
      </w:r>
      <w:r>
        <w:rPr>
          <w:rFonts w:ascii="Times New Roman" w:hAnsi="Times New Roman" w:cs="Times New Roman"/>
          <w:sz w:val="24"/>
          <w:szCs w:val="24"/>
        </w:rPr>
        <w:t>his/he</w:t>
      </w:r>
      <w:r w:rsidRPr="00126401">
        <w:rPr>
          <w:rFonts w:ascii="Times New Roman" w:hAnsi="Times New Roman" w:cs="Times New Roman"/>
          <w:sz w:val="24"/>
          <w:szCs w:val="24"/>
        </w:rPr>
        <w:t>r satisfaction</w:t>
      </w:r>
      <w:r>
        <w:rPr>
          <w:rFonts w:ascii="Times New Roman" w:hAnsi="Times New Roman" w:cs="Times New Roman"/>
          <w:sz w:val="24"/>
          <w:szCs w:val="24"/>
        </w:rPr>
        <w:t xml:space="preserve"> with Medicare assistance services</w:t>
      </w:r>
      <w:r w:rsidRPr="00126401">
        <w:rPr>
          <w:rFonts w:ascii="Times New Roman" w:hAnsi="Times New Roman" w:cs="Times New Roman"/>
          <w:sz w:val="24"/>
          <w:szCs w:val="24"/>
        </w:rPr>
        <w:t xml:space="preserve">. </w:t>
      </w:r>
    </w:p>
    <w:p w:rsidR="009F307D" w:rsidRPr="00126401" w:rsidP="009F307D" w14:paraId="30227966" w14:textId="77777777">
      <w:pPr>
        <w:pStyle w:val="ListParagraph"/>
        <w:numPr>
          <w:ilvl w:val="0"/>
          <w:numId w:val="4"/>
        </w:numPr>
        <w:rPr>
          <w:rFonts w:ascii="Times New Roman" w:hAnsi="Times New Roman" w:cs="Times New Roman"/>
          <w:sz w:val="24"/>
          <w:szCs w:val="24"/>
          <w:u w:val="single"/>
        </w:rPr>
      </w:pPr>
      <w:r w:rsidRPr="00126401">
        <w:rPr>
          <w:rFonts w:ascii="Times New Roman" w:hAnsi="Times New Roman" w:cs="Times New Roman"/>
          <w:sz w:val="24"/>
          <w:szCs w:val="24"/>
          <w:u w:val="single"/>
        </w:rPr>
        <w:t>Computer-Assisted Telephone Interviewing:</w:t>
      </w:r>
    </w:p>
    <w:p w:rsidR="009F307D" w:rsidRPr="004151D9" w:rsidP="009F307D" w14:paraId="3597FFD8" w14:textId="77777777">
      <w:pPr>
        <w:pStyle w:val="ListParagraph"/>
        <w:ind w:left="1080"/>
        <w:rPr>
          <w:rFonts w:ascii="Times New Roman" w:hAnsi="Times New Roman" w:cs="Times New Roman"/>
          <w:sz w:val="24"/>
          <w:szCs w:val="24"/>
        </w:rPr>
      </w:pPr>
      <w:r w:rsidRPr="00126401">
        <w:rPr>
          <w:rFonts w:ascii="Times New Roman" w:hAnsi="Times New Roman" w:cs="Times New Roman"/>
          <w:sz w:val="24"/>
          <w:szCs w:val="24"/>
        </w:rPr>
        <w:t xml:space="preserve">This method of collecting data is less burdensome and time consuming than traditional paper surveys. </w:t>
      </w:r>
    </w:p>
    <w:p w:rsidR="009F307D" w:rsidRPr="00126401" w:rsidP="009F307D" w14:paraId="233EC761" w14:textId="77777777">
      <w:pPr>
        <w:ind w:left="360"/>
        <w:rPr>
          <w:rFonts w:ascii="Times New Roman" w:hAnsi="Times New Roman" w:cs="Times New Roman"/>
          <w:sz w:val="24"/>
          <w:szCs w:val="24"/>
        </w:rPr>
      </w:pPr>
      <w:r w:rsidRPr="00126401">
        <w:rPr>
          <w:rFonts w:ascii="Times New Roman" w:hAnsi="Times New Roman" w:cs="Times New Roman"/>
          <w:sz w:val="24"/>
          <w:szCs w:val="24"/>
        </w:rPr>
        <w:t xml:space="preserve">These methods will minimize non-response. ACL </w:t>
      </w:r>
      <w:r>
        <w:rPr>
          <w:rFonts w:ascii="Times New Roman" w:hAnsi="Times New Roman" w:cs="Times New Roman"/>
          <w:sz w:val="24"/>
          <w:szCs w:val="24"/>
        </w:rPr>
        <w:t>has</w:t>
      </w:r>
      <w:r w:rsidRPr="00126401">
        <w:rPr>
          <w:rFonts w:ascii="Times New Roman" w:hAnsi="Times New Roman" w:cs="Times New Roman"/>
          <w:sz w:val="24"/>
          <w:szCs w:val="24"/>
        </w:rPr>
        <w:t xml:space="preserve"> conduct</w:t>
      </w:r>
      <w:r>
        <w:rPr>
          <w:rFonts w:ascii="Times New Roman" w:hAnsi="Times New Roman" w:cs="Times New Roman"/>
          <w:sz w:val="24"/>
          <w:szCs w:val="24"/>
        </w:rPr>
        <w:t>ed</w:t>
      </w:r>
      <w:r w:rsidRPr="00126401">
        <w:rPr>
          <w:rFonts w:ascii="Times New Roman" w:hAnsi="Times New Roman" w:cs="Times New Roman"/>
          <w:sz w:val="24"/>
          <w:szCs w:val="24"/>
        </w:rPr>
        <w:t xml:space="preserve"> a</w:t>
      </w:r>
      <w:r>
        <w:rPr>
          <w:rFonts w:ascii="Times New Roman" w:hAnsi="Times New Roman" w:cs="Times New Roman"/>
          <w:sz w:val="24"/>
          <w:szCs w:val="24"/>
        </w:rPr>
        <w:t xml:space="preserve"> preliminary</w:t>
      </w:r>
      <w:r w:rsidRPr="00126401">
        <w:rPr>
          <w:rFonts w:ascii="Times New Roman" w:hAnsi="Times New Roman" w:cs="Times New Roman"/>
          <w:sz w:val="24"/>
          <w:szCs w:val="24"/>
        </w:rPr>
        <w:t xml:space="preserve"> analysis of non-response bias for the </w:t>
      </w:r>
      <w:r>
        <w:rPr>
          <w:rFonts w:ascii="Times New Roman" w:hAnsi="Times New Roman" w:cs="Times New Roman"/>
          <w:sz w:val="24"/>
          <w:szCs w:val="24"/>
        </w:rPr>
        <w:t xml:space="preserve">existing version of this </w:t>
      </w:r>
      <w:r w:rsidRPr="00126401">
        <w:rPr>
          <w:rFonts w:ascii="Times New Roman" w:hAnsi="Times New Roman" w:cs="Times New Roman"/>
          <w:sz w:val="24"/>
          <w:szCs w:val="24"/>
        </w:rPr>
        <w:t>survey</w:t>
      </w:r>
      <w:r>
        <w:rPr>
          <w:rFonts w:ascii="Times New Roman" w:hAnsi="Times New Roman" w:cs="Times New Roman"/>
          <w:sz w:val="24"/>
          <w:szCs w:val="24"/>
        </w:rPr>
        <w:t xml:space="preserve"> and has found no evidence of non-response bias. While there are meaningful differences in response rates by age groups, where those under the age of 75 are more likely to respond than those 75 or older, there were no meaningful difference in the actual responses generated by individuals of different age ranges.</w:t>
      </w:r>
      <w:r w:rsidRPr="00126401">
        <w:rPr>
          <w:rFonts w:ascii="Times New Roman" w:hAnsi="Times New Roman" w:cs="Times New Roman"/>
          <w:sz w:val="24"/>
          <w:szCs w:val="24"/>
        </w:rPr>
        <w:t xml:space="preserve"> </w:t>
      </w:r>
    </w:p>
    <w:p w:rsidR="009F307D" w:rsidRPr="009F307D" w:rsidP="009F307D" w14:paraId="45F6B018" w14:textId="77777777">
      <w:pPr>
        <w:pStyle w:val="ListParagraph"/>
        <w:numPr>
          <w:ilvl w:val="0"/>
          <w:numId w:val="5"/>
        </w:numPr>
        <w:spacing w:after="120"/>
        <w:ind w:left="360"/>
        <w:rPr>
          <w:rFonts w:ascii="Times New Roman" w:hAnsi="Times New Roman" w:cs="Times New Roman"/>
          <w:sz w:val="24"/>
          <w:szCs w:val="24"/>
          <w:u w:val="single"/>
        </w:rPr>
      </w:pPr>
      <w:r w:rsidRPr="009F307D">
        <w:rPr>
          <w:rFonts w:ascii="Times New Roman" w:hAnsi="Times New Roman" w:cs="Times New Roman"/>
          <w:b/>
          <w:sz w:val="24"/>
          <w:szCs w:val="24"/>
          <w:u w:val="single"/>
        </w:rPr>
        <w:t>Describe any tests of procedures or methods to be undertaken</w:t>
      </w:r>
    </w:p>
    <w:p w:rsidR="009F307D" w:rsidP="009F307D" w14:paraId="426AF9CF" w14:textId="77777777">
      <w:pPr>
        <w:pStyle w:val="ListParagraph"/>
        <w:spacing w:after="120"/>
        <w:ind w:left="360"/>
        <w:rPr>
          <w:rFonts w:ascii="Times New Roman" w:hAnsi="Times New Roman" w:cs="Times New Roman"/>
          <w:b/>
          <w:sz w:val="24"/>
          <w:szCs w:val="24"/>
        </w:rPr>
      </w:pPr>
    </w:p>
    <w:p w:rsidR="009F307D" w:rsidRPr="009F307D" w:rsidP="009F307D" w14:paraId="7FDF09FB" w14:textId="23CE74FE">
      <w:pPr>
        <w:pStyle w:val="ListParagraph"/>
        <w:spacing w:after="120"/>
        <w:ind w:left="360"/>
        <w:rPr>
          <w:rFonts w:ascii="Times New Roman" w:hAnsi="Times New Roman" w:cs="Times New Roman"/>
          <w:sz w:val="24"/>
          <w:szCs w:val="24"/>
        </w:rPr>
      </w:pPr>
      <w:r w:rsidRPr="009F307D">
        <w:rPr>
          <w:rFonts w:ascii="Times New Roman" w:hAnsi="Times New Roman" w:cs="Times New Roman"/>
          <w:sz w:val="24"/>
          <w:szCs w:val="24"/>
        </w:rPr>
        <w:t>As this is a renewal of an existing collection, ACL has performed extensive testing of the survey instrument and its administration. To date, over 2500 completed surveys have been collected, with an expectation of 3400 completed surveys by May 2023. Based on this data collection, ACL has adjusted the expected time to complete the survey from eight minutes to six minutes. Informal discussions with State Directors about this survey have been universally positive, indicating that there have been no complaints about undue burden or a lack of utility in the data collection.</w:t>
      </w:r>
    </w:p>
    <w:p w:rsidR="009F307D" w:rsidP="009F307D" w14:paraId="494A7E35" w14:textId="77777777">
      <w:pPr>
        <w:pStyle w:val="ListParagraph"/>
        <w:spacing w:after="120"/>
        <w:rPr>
          <w:rFonts w:ascii="Times New Roman" w:hAnsi="Times New Roman" w:cs="Times New Roman"/>
          <w:b/>
          <w:sz w:val="24"/>
          <w:szCs w:val="24"/>
        </w:rPr>
      </w:pPr>
    </w:p>
    <w:p w:rsidR="009F307D" w:rsidRPr="009F307D" w:rsidP="009F307D" w14:paraId="2A8EE635" w14:textId="486F3084">
      <w:pPr>
        <w:pStyle w:val="ListParagraph"/>
        <w:numPr>
          <w:ilvl w:val="0"/>
          <w:numId w:val="5"/>
        </w:numPr>
        <w:spacing w:after="120"/>
        <w:rPr>
          <w:rFonts w:ascii="Times New Roman" w:hAnsi="Times New Roman" w:cs="Times New Roman"/>
          <w:b/>
          <w:sz w:val="24"/>
          <w:szCs w:val="24"/>
          <w:u w:val="single"/>
        </w:rPr>
      </w:pPr>
      <w:r w:rsidRPr="009F307D">
        <w:rPr>
          <w:rFonts w:ascii="Times New Roman" w:hAnsi="Times New Roman" w:cs="Times New Roman"/>
          <w:b/>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9F307D" w:rsidRPr="00126401" w:rsidP="009F307D" w14:paraId="47225B31" w14:textId="77777777">
      <w:pPr>
        <w:spacing w:after="120"/>
        <w:ind w:firstLine="360"/>
        <w:rPr>
          <w:rFonts w:ascii="Times New Roman" w:hAnsi="Times New Roman" w:cs="Times New Roman"/>
          <w:b/>
          <w:sz w:val="24"/>
          <w:szCs w:val="24"/>
        </w:rPr>
      </w:pPr>
      <w:r>
        <w:rPr>
          <w:rFonts w:ascii="Times New Roman" w:hAnsi="Times New Roman" w:cs="Times New Roman"/>
          <w:sz w:val="24"/>
          <w:szCs w:val="24"/>
        </w:rPr>
        <w:t>Two</w:t>
      </w:r>
      <w:r w:rsidRPr="00126401">
        <w:rPr>
          <w:rFonts w:ascii="Times New Roman" w:hAnsi="Times New Roman" w:cs="Times New Roman"/>
          <w:sz w:val="24"/>
          <w:szCs w:val="24"/>
        </w:rPr>
        <w:t xml:space="preserve"> members of the ACL staff will play a primary role in this project:</w:t>
      </w:r>
    </w:p>
    <w:p w:rsidR="009F307D" w:rsidP="009F307D" w14:paraId="0C113BC6" w14:textId="3A970263">
      <w:pPr>
        <w:pStyle w:val="ListParagraph"/>
        <w:numPr>
          <w:ilvl w:val="1"/>
          <w:numId w:val="5"/>
        </w:numPr>
        <w:spacing w:after="120"/>
        <w:rPr>
          <w:rFonts w:ascii="Times New Roman" w:hAnsi="Times New Roman" w:cs="Times New Roman"/>
          <w:sz w:val="24"/>
          <w:szCs w:val="24"/>
        </w:rPr>
      </w:pPr>
      <w:r>
        <w:rPr>
          <w:rFonts w:ascii="Times New Roman" w:hAnsi="Times New Roman" w:cs="Times New Roman"/>
          <w:sz w:val="24"/>
          <w:szCs w:val="24"/>
        </w:rPr>
        <w:t>Shefy Simon</w:t>
      </w:r>
      <w:r w:rsidRPr="00126401">
        <w:rPr>
          <w:rFonts w:ascii="Times New Roman" w:hAnsi="Times New Roman" w:cs="Times New Roman"/>
          <w:sz w:val="24"/>
          <w:szCs w:val="24"/>
        </w:rPr>
        <w:t xml:space="preserve"> </w:t>
      </w:r>
      <w:r>
        <w:rPr>
          <w:rFonts w:ascii="Times New Roman" w:hAnsi="Times New Roman" w:cs="Times New Roman"/>
          <w:sz w:val="24"/>
          <w:szCs w:val="24"/>
        </w:rPr>
        <w:t>–</w:t>
      </w:r>
      <w:r w:rsidRPr="00126401">
        <w:rPr>
          <w:rFonts w:ascii="Times New Roman" w:hAnsi="Times New Roman" w:cs="Times New Roman"/>
          <w:sz w:val="24"/>
          <w:szCs w:val="24"/>
        </w:rPr>
        <w:t xml:space="preserve"> </w:t>
      </w:r>
      <w:r>
        <w:rPr>
          <w:rFonts w:ascii="Times New Roman" w:hAnsi="Times New Roman" w:cs="Times New Roman"/>
          <w:sz w:val="24"/>
          <w:szCs w:val="24"/>
        </w:rPr>
        <w:t>Project Officer</w:t>
      </w:r>
      <w:r w:rsidRPr="00126401">
        <w:rPr>
          <w:rFonts w:ascii="Times New Roman" w:hAnsi="Times New Roman" w:cs="Times New Roman"/>
          <w:sz w:val="24"/>
          <w:szCs w:val="24"/>
        </w:rPr>
        <w:t>,</w:t>
      </w:r>
      <w:r w:rsidRPr="00D6512A">
        <w:rPr>
          <w:rFonts w:ascii="Times New Roman" w:hAnsi="Times New Roman" w:cs="Times New Roman"/>
          <w:sz w:val="24"/>
          <w:szCs w:val="24"/>
        </w:rPr>
        <w:t xml:space="preserve"> </w:t>
      </w:r>
      <w:hyperlink r:id="rId4" w:history="1">
        <w:r w:rsidRPr="00C07192">
          <w:rPr>
            <w:rStyle w:val="Hyperlink"/>
            <w:rFonts w:ascii="Times New Roman" w:hAnsi="Times New Roman" w:cs="Times New Roman"/>
            <w:sz w:val="24"/>
            <w:szCs w:val="24"/>
          </w:rPr>
          <w:t>shefy.simon@acl.hhs.gov</w:t>
        </w:r>
      </w:hyperlink>
      <w:r>
        <w:rPr>
          <w:rFonts w:ascii="Times New Roman" w:hAnsi="Times New Roman" w:cs="Times New Roman"/>
          <w:sz w:val="24"/>
          <w:szCs w:val="24"/>
        </w:rPr>
        <w:t xml:space="preserve">. </w:t>
      </w:r>
    </w:p>
    <w:p w:rsidR="009F307D" w:rsidP="009F307D" w14:paraId="0C2ECDA9" w14:textId="727EA3D9">
      <w:pPr>
        <w:pStyle w:val="ListParagraph"/>
        <w:numPr>
          <w:ilvl w:val="1"/>
          <w:numId w:val="5"/>
        </w:numPr>
        <w:spacing w:after="120"/>
        <w:rPr>
          <w:rFonts w:ascii="Times New Roman" w:hAnsi="Times New Roman" w:cs="Times New Roman"/>
          <w:sz w:val="24"/>
          <w:szCs w:val="24"/>
        </w:rPr>
      </w:pPr>
      <w:r w:rsidRPr="0045099F">
        <w:rPr>
          <w:rFonts w:ascii="Times New Roman" w:hAnsi="Times New Roman" w:cs="Times New Roman"/>
          <w:sz w:val="24"/>
          <w:szCs w:val="24"/>
        </w:rPr>
        <w:t xml:space="preserve">Rebecca Kinney </w:t>
      </w:r>
      <w:r>
        <w:rPr>
          <w:rFonts w:ascii="Times New Roman" w:hAnsi="Times New Roman" w:cs="Times New Roman"/>
          <w:sz w:val="24"/>
          <w:szCs w:val="24"/>
        </w:rPr>
        <w:t>–</w:t>
      </w:r>
      <w:r w:rsidRPr="0045099F">
        <w:rPr>
          <w:rFonts w:ascii="Times New Roman" w:hAnsi="Times New Roman" w:cs="Times New Roman"/>
          <w:sz w:val="24"/>
          <w:szCs w:val="24"/>
        </w:rPr>
        <w:t xml:space="preserve"> </w:t>
      </w:r>
      <w:r>
        <w:rPr>
          <w:rFonts w:ascii="Times New Roman" w:hAnsi="Times New Roman" w:cs="Times New Roman"/>
          <w:sz w:val="24"/>
          <w:szCs w:val="24"/>
        </w:rPr>
        <w:t xml:space="preserve">Director, </w:t>
      </w:r>
      <w:r w:rsidRPr="0045099F">
        <w:rPr>
          <w:rFonts w:ascii="Times New Roman" w:hAnsi="Times New Roman" w:cs="Times New Roman"/>
          <w:sz w:val="24"/>
          <w:szCs w:val="24"/>
        </w:rPr>
        <w:t xml:space="preserve">Office of Healthcare Information and Counseling,  </w:t>
      </w:r>
      <w:hyperlink r:id="rId5" w:history="1">
        <w:r w:rsidRPr="00A11F0A">
          <w:rPr>
            <w:rStyle w:val="Hyperlink"/>
            <w:rFonts w:ascii="Times New Roman" w:hAnsi="Times New Roman" w:cs="Times New Roman"/>
            <w:sz w:val="24"/>
            <w:szCs w:val="24"/>
          </w:rPr>
          <w:t>Rebecca.Kinney@acl.hhs.gov</w:t>
        </w:r>
      </w:hyperlink>
    </w:p>
    <w:p w:rsidR="00CC3071" w:rsidP="009F307D" w14:paraId="3A0C9A32" w14:textId="77777777">
      <w:pPr>
        <w:spacing w:after="120"/>
        <w:ind w:left="360"/>
        <w:rPr>
          <w:rFonts w:ascii="Times New Roman" w:hAnsi="Times New Roman" w:cs="Times New Roman"/>
          <w:sz w:val="24"/>
          <w:szCs w:val="24"/>
        </w:rPr>
      </w:pPr>
      <w:r>
        <w:rPr>
          <w:rFonts w:ascii="Times New Roman" w:hAnsi="Times New Roman" w:cs="Times New Roman"/>
          <w:sz w:val="24"/>
          <w:szCs w:val="24"/>
        </w:rPr>
        <w:t>Keybridge Research, in partnership with CG Strategy</w:t>
      </w:r>
      <w:r w:rsidRPr="00126401">
        <w:rPr>
          <w:rFonts w:ascii="Times New Roman" w:hAnsi="Times New Roman" w:cs="Times New Roman"/>
          <w:sz w:val="24"/>
          <w:szCs w:val="24"/>
        </w:rPr>
        <w:t xml:space="preserve"> (</w:t>
      </w:r>
      <w:hyperlink r:id="rId6" w:history="1">
        <w:r w:rsidRPr="00D6512A">
          <w:rPr>
            <w:rStyle w:val="Hyperlink"/>
            <w:rFonts w:ascii="Times New Roman" w:hAnsi="Times New Roman" w:cs="Times New Roman"/>
            <w:sz w:val="24"/>
            <w:szCs w:val="24"/>
          </w:rPr>
          <w:t>myeh@keybridgedc.com</w:t>
        </w:r>
      </w:hyperlink>
      <w:r>
        <w:rPr>
          <w:rFonts w:ascii="Times New Roman" w:hAnsi="Times New Roman" w:cs="Times New Roman"/>
          <w:sz w:val="24"/>
          <w:szCs w:val="24"/>
        </w:rPr>
        <w:t xml:space="preserve">) </w:t>
      </w:r>
    </w:p>
    <w:p w:rsidR="009F307D" w:rsidRPr="00126401" w:rsidP="009F307D" w14:paraId="7A947EBE" w14:textId="7F60A7A6">
      <w:pPr>
        <w:spacing w:after="120"/>
        <w:ind w:left="360"/>
        <w:rPr>
          <w:rFonts w:ascii="Times New Roman" w:hAnsi="Times New Roman" w:cs="Times New Roman"/>
          <w:sz w:val="24"/>
          <w:szCs w:val="24"/>
        </w:rPr>
      </w:pPr>
      <w:r>
        <w:rPr>
          <w:rFonts w:ascii="Times New Roman" w:hAnsi="Times New Roman" w:cs="Times New Roman"/>
          <w:sz w:val="24"/>
          <w:szCs w:val="24"/>
        </w:rPr>
        <w:t>202</w:t>
      </w:r>
      <w:r w:rsidRPr="00126401">
        <w:rPr>
          <w:rFonts w:ascii="Times New Roman" w:hAnsi="Times New Roman" w:cs="Times New Roman"/>
          <w:sz w:val="24"/>
          <w:szCs w:val="24"/>
        </w:rPr>
        <w:t>-</w:t>
      </w:r>
      <w:r>
        <w:rPr>
          <w:rFonts w:ascii="Times New Roman" w:hAnsi="Times New Roman" w:cs="Times New Roman"/>
          <w:sz w:val="24"/>
          <w:szCs w:val="24"/>
        </w:rPr>
        <w:t>864</w:t>
      </w:r>
      <w:r w:rsidRPr="00126401">
        <w:rPr>
          <w:rFonts w:ascii="Times New Roman" w:hAnsi="Times New Roman" w:cs="Times New Roman"/>
          <w:sz w:val="24"/>
          <w:szCs w:val="24"/>
        </w:rPr>
        <w:t>-</w:t>
      </w:r>
      <w:r>
        <w:rPr>
          <w:rFonts w:ascii="Times New Roman" w:hAnsi="Times New Roman" w:cs="Times New Roman"/>
          <w:sz w:val="24"/>
          <w:szCs w:val="24"/>
        </w:rPr>
        <w:t>6423</w:t>
      </w:r>
      <w:r w:rsidRPr="00126401">
        <w:rPr>
          <w:rFonts w:ascii="Times New Roman" w:hAnsi="Times New Roman" w:cs="Times New Roman"/>
          <w:sz w:val="24"/>
          <w:szCs w:val="24"/>
        </w:rPr>
        <w:t>.</w:t>
      </w:r>
    </w:p>
    <w:p w:rsidR="009F307D" w:rsidRPr="00126401" w:rsidP="009F307D" w14:paraId="2DCF41A0" w14:textId="77777777">
      <w:pPr>
        <w:spacing w:after="120"/>
        <w:ind w:left="360"/>
        <w:rPr>
          <w:rFonts w:ascii="Times New Roman" w:hAnsi="Times New Roman" w:cs="Times New Roman"/>
          <w:sz w:val="24"/>
          <w:szCs w:val="24"/>
        </w:rPr>
      </w:pPr>
      <w:r w:rsidRPr="00126401">
        <w:rPr>
          <w:rFonts w:ascii="Times New Roman" w:hAnsi="Times New Roman" w:cs="Times New Roman"/>
          <w:sz w:val="24"/>
          <w:szCs w:val="24"/>
        </w:rPr>
        <w:t>With respect to specific tasks, the following individuals were responsible for:</w:t>
      </w:r>
    </w:p>
    <w:p w:rsidR="009F307D" w:rsidRPr="00126401" w:rsidP="009F307D" w14:paraId="031561AF" w14:textId="77777777">
      <w:pPr>
        <w:pStyle w:val="ListParagraph"/>
        <w:numPr>
          <w:ilvl w:val="1"/>
          <w:numId w:val="5"/>
        </w:numPr>
        <w:spacing w:after="120"/>
        <w:rPr>
          <w:rFonts w:ascii="Times New Roman" w:hAnsi="Times New Roman" w:cs="Times New Roman"/>
          <w:sz w:val="24"/>
          <w:szCs w:val="24"/>
        </w:rPr>
      </w:pPr>
      <w:r w:rsidRPr="00126401">
        <w:rPr>
          <w:rFonts w:ascii="Times New Roman" w:hAnsi="Times New Roman" w:cs="Times New Roman"/>
          <w:sz w:val="24"/>
          <w:szCs w:val="24"/>
        </w:rPr>
        <w:t xml:space="preserve">Designing the data collection: Ms. Kinney, </w:t>
      </w:r>
      <w:r>
        <w:rPr>
          <w:rFonts w:ascii="Times New Roman" w:hAnsi="Times New Roman" w:cs="Times New Roman"/>
          <w:sz w:val="24"/>
          <w:szCs w:val="24"/>
        </w:rPr>
        <w:t>Ms. Simon</w:t>
      </w:r>
      <w:r w:rsidRPr="00126401">
        <w:rPr>
          <w:rFonts w:ascii="Times New Roman" w:hAnsi="Times New Roman" w:cs="Times New Roman"/>
          <w:sz w:val="24"/>
          <w:szCs w:val="24"/>
        </w:rPr>
        <w:t xml:space="preserve">, and </w:t>
      </w:r>
      <w:r>
        <w:rPr>
          <w:rFonts w:ascii="Times New Roman" w:hAnsi="Times New Roman" w:cs="Times New Roman"/>
          <w:sz w:val="24"/>
          <w:szCs w:val="24"/>
        </w:rPr>
        <w:t>Ms. Yeh</w:t>
      </w:r>
      <w:r w:rsidRPr="00126401">
        <w:rPr>
          <w:rFonts w:ascii="Times New Roman" w:hAnsi="Times New Roman" w:cs="Times New Roman"/>
          <w:sz w:val="24"/>
          <w:szCs w:val="24"/>
        </w:rPr>
        <w:t>.</w:t>
      </w:r>
    </w:p>
    <w:p w:rsidR="009F307D" w:rsidRPr="00126401" w:rsidP="009F307D" w14:paraId="66511FC8" w14:textId="77777777">
      <w:pPr>
        <w:pStyle w:val="ListParagraph"/>
        <w:numPr>
          <w:ilvl w:val="1"/>
          <w:numId w:val="5"/>
        </w:numPr>
        <w:rPr>
          <w:rFonts w:ascii="Times New Roman" w:hAnsi="Times New Roman" w:cs="Times New Roman"/>
          <w:sz w:val="24"/>
          <w:szCs w:val="24"/>
        </w:rPr>
      </w:pPr>
      <w:r w:rsidRPr="00126401">
        <w:rPr>
          <w:rFonts w:ascii="Times New Roman" w:hAnsi="Times New Roman" w:cs="Times New Roman"/>
          <w:sz w:val="24"/>
          <w:szCs w:val="24"/>
        </w:rPr>
        <w:t xml:space="preserve">Collecting the data: Ms. </w:t>
      </w:r>
      <w:r>
        <w:rPr>
          <w:rFonts w:ascii="Times New Roman" w:hAnsi="Times New Roman" w:cs="Times New Roman"/>
          <w:sz w:val="24"/>
          <w:szCs w:val="24"/>
        </w:rPr>
        <w:t>Simon and Ms. Yeh</w:t>
      </w:r>
      <w:r w:rsidRPr="00126401">
        <w:rPr>
          <w:rFonts w:ascii="Times New Roman" w:hAnsi="Times New Roman" w:cs="Times New Roman"/>
          <w:sz w:val="24"/>
          <w:szCs w:val="24"/>
        </w:rPr>
        <w:t>.</w:t>
      </w:r>
    </w:p>
    <w:p w:rsidR="009F307D" w:rsidRPr="00126401" w:rsidP="009F307D" w14:paraId="513D381D" w14:textId="77777777">
      <w:pPr>
        <w:pStyle w:val="ListParagraph"/>
        <w:numPr>
          <w:ilvl w:val="1"/>
          <w:numId w:val="5"/>
        </w:numPr>
        <w:rPr>
          <w:rFonts w:ascii="Times New Roman" w:hAnsi="Times New Roman" w:cs="Times New Roman"/>
          <w:sz w:val="24"/>
          <w:szCs w:val="24"/>
        </w:rPr>
      </w:pPr>
      <w:r w:rsidRPr="00126401">
        <w:rPr>
          <w:rFonts w:ascii="Times New Roman" w:hAnsi="Times New Roman" w:cs="Times New Roman"/>
          <w:sz w:val="24"/>
          <w:szCs w:val="24"/>
        </w:rPr>
        <w:t>Analyzing the data: M</w:t>
      </w:r>
      <w:r>
        <w:rPr>
          <w:rFonts w:ascii="Times New Roman" w:hAnsi="Times New Roman" w:cs="Times New Roman"/>
          <w:sz w:val="24"/>
          <w:szCs w:val="24"/>
        </w:rPr>
        <w:t>s. Yeh.</w:t>
      </w:r>
    </w:p>
    <w:p w:rsidR="00F0240B" w14:paraId="075BD2E2"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4223886"/>
      <w:docPartObj>
        <w:docPartGallery w:val="Page Numbers (Bottom of Page)"/>
        <w:docPartUnique/>
      </w:docPartObj>
    </w:sdtPr>
    <w:sdtEndPr>
      <w:rPr>
        <w:noProof/>
      </w:rPr>
    </w:sdtEndPr>
    <w:sdtContent>
      <w:p w:rsidR="003934C6" w14:paraId="4901CF1B" w14:textId="77777777">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3934C6" w14:paraId="657324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4C6" w:rsidRPr="004444C9" w:rsidP="00B46FD6" w14:paraId="349E9610" w14:textId="50DC7C3B">
    <w:pPr>
      <w:pStyle w:val="Header"/>
      <w:rPr>
        <w:b/>
        <w:sz w:val="18"/>
        <w:szCs w:val="18"/>
      </w:rPr>
    </w:pPr>
    <w:r w:rsidRPr="00B46FD6">
      <w:rPr>
        <w:b/>
        <w:sz w:val="18"/>
        <w:szCs w:val="18"/>
      </w:rPr>
      <w:t>SHIP–SMP Survey</w:t>
    </w:r>
    <w:r>
      <w:rPr>
        <w:b/>
        <w:sz w:val="18"/>
        <w:szCs w:val="18"/>
      </w:rPr>
      <w:t xml:space="preserve"> </w:t>
    </w:r>
    <w:r w:rsidRPr="00B46FD6">
      <w:rPr>
        <w:b/>
        <w:sz w:val="18"/>
        <w:szCs w:val="18"/>
      </w:rPr>
      <w:t>of One-on-One Assistance</w:t>
    </w:r>
    <w:r w:rsidR="008E7FC8">
      <w:rPr>
        <w:b/>
        <w:sz w:val="18"/>
        <w:szCs w:val="18"/>
      </w:rPr>
      <w:t xml:space="preserve"> OMB 0985-0057</w:t>
    </w:r>
    <w:r w:rsidRPr="004444C9">
      <w:rPr>
        <w:b/>
        <w:sz w:val="18"/>
        <w:szCs w:val="18"/>
      </w:rPr>
      <w:tab/>
    </w:r>
    <w:r w:rsidRPr="004444C9">
      <w:rPr>
        <w:b/>
        <w:sz w:val="18"/>
        <w:szCs w:val="18"/>
      </w:rPr>
      <w:tab/>
      <w:t>Supporting Statement</w:t>
    </w:r>
  </w:p>
  <w:p w:rsidR="003934C6" w14:paraId="42EFC2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1E7142"/>
    <w:multiLevelType w:val="hybridMultilevel"/>
    <w:tmpl w:val="940C14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6F18E2"/>
    <w:multiLevelType w:val="hybridMultilevel"/>
    <w:tmpl w:val="6DEA4CB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C23320"/>
    <w:multiLevelType w:val="hybridMultilevel"/>
    <w:tmpl w:val="36CA2BCA"/>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6C973EA4"/>
    <w:multiLevelType w:val="hybridMultilevel"/>
    <w:tmpl w:val="1A6E2FE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ind w:left="2160" w:hanging="180"/>
      </w:pPr>
      <w:rPr>
        <w:rFonts w:hint="default"/>
        <w:b/>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E82272C"/>
    <w:multiLevelType w:val="hybridMultilevel"/>
    <w:tmpl w:val="F64C80D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246115">
    <w:abstractNumId w:val="0"/>
  </w:num>
  <w:num w:numId="2" w16cid:durableId="1392535714">
    <w:abstractNumId w:val="3"/>
  </w:num>
  <w:num w:numId="3" w16cid:durableId="1844321706">
    <w:abstractNumId w:val="1"/>
  </w:num>
  <w:num w:numId="4" w16cid:durableId="1103769695">
    <w:abstractNumId w:val="2"/>
  </w:num>
  <w:num w:numId="5" w16cid:durableId="1796173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7D"/>
    <w:rsid w:val="00056030"/>
    <w:rsid w:val="000A6660"/>
    <w:rsid w:val="000E0972"/>
    <w:rsid w:val="00126401"/>
    <w:rsid w:val="002B08BE"/>
    <w:rsid w:val="003934C6"/>
    <w:rsid w:val="004002CA"/>
    <w:rsid w:val="004151D9"/>
    <w:rsid w:val="00425F4E"/>
    <w:rsid w:val="004444C9"/>
    <w:rsid w:val="0045099F"/>
    <w:rsid w:val="0048116D"/>
    <w:rsid w:val="00520662"/>
    <w:rsid w:val="005A5ACF"/>
    <w:rsid w:val="00865654"/>
    <w:rsid w:val="008E7FC8"/>
    <w:rsid w:val="009E3F3B"/>
    <w:rsid w:val="009F307D"/>
    <w:rsid w:val="00A11F0A"/>
    <w:rsid w:val="00A153E3"/>
    <w:rsid w:val="00B46FD6"/>
    <w:rsid w:val="00BA604E"/>
    <w:rsid w:val="00BF4E96"/>
    <w:rsid w:val="00C07192"/>
    <w:rsid w:val="00CB59DF"/>
    <w:rsid w:val="00CC3071"/>
    <w:rsid w:val="00CC5C48"/>
    <w:rsid w:val="00D6512A"/>
    <w:rsid w:val="00DB2AD5"/>
    <w:rsid w:val="00DD28F3"/>
    <w:rsid w:val="00E25769"/>
    <w:rsid w:val="00F024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00AC3"/>
  <w15:chartTrackingRefBased/>
  <w15:docId w15:val="{F37DA872-B540-474F-8A81-DE53D0AB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0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07D"/>
    <w:pPr>
      <w:ind w:left="720"/>
      <w:contextualSpacing/>
    </w:pPr>
  </w:style>
  <w:style w:type="character" w:styleId="Hyperlink">
    <w:name w:val="Hyperlink"/>
    <w:basedOn w:val="DefaultParagraphFont"/>
    <w:rsid w:val="009F307D"/>
    <w:rPr>
      <w:color w:val="0000FF"/>
      <w:u w:val="single"/>
    </w:rPr>
  </w:style>
  <w:style w:type="paragraph" w:styleId="Header">
    <w:name w:val="header"/>
    <w:basedOn w:val="Normal"/>
    <w:link w:val="HeaderChar"/>
    <w:uiPriority w:val="99"/>
    <w:unhideWhenUsed/>
    <w:rsid w:val="009F3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07D"/>
  </w:style>
  <w:style w:type="paragraph" w:styleId="Footer">
    <w:name w:val="footer"/>
    <w:basedOn w:val="Normal"/>
    <w:link w:val="FooterChar"/>
    <w:uiPriority w:val="99"/>
    <w:unhideWhenUsed/>
    <w:rsid w:val="009F3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07D"/>
  </w:style>
  <w:style w:type="character" w:styleId="CommentReference">
    <w:name w:val="annotation reference"/>
    <w:basedOn w:val="DefaultParagraphFont"/>
    <w:uiPriority w:val="99"/>
    <w:semiHidden/>
    <w:unhideWhenUsed/>
    <w:rsid w:val="00056030"/>
    <w:rPr>
      <w:sz w:val="16"/>
      <w:szCs w:val="16"/>
    </w:rPr>
  </w:style>
  <w:style w:type="paragraph" w:styleId="CommentText">
    <w:name w:val="annotation text"/>
    <w:basedOn w:val="Normal"/>
    <w:link w:val="CommentTextChar"/>
    <w:uiPriority w:val="99"/>
    <w:unhideWhenUsed/>
    <w:rsid w:val="00056030"/>
    <w:pPr>
      <w:spacing w:line="240" w:lineRule="auto"/>
    </w:pPr>
    <w:rPr>
      <w:sz w:val="20"/>
      <w:szCs w:val="20"/>
    </w:rPr>
  </w:style>
  <w:style w:type="character" w:customStyle="1" w:styleId="CommentTextChar">
    <w:name w:val="Comment Text Char"/>
    <w:basedOn w:val="DefaultParagraphFont"/>
    <w:link w:val="CommentText"/>
    <w:uiPriority w:val="99"/>
    <w:rsid w:val="00056030"/>
    <w:rPr>
      <w:sz w:val="20"/>
      <w:szCs w:val="20"/>
    </w:rPr>
  </w:style>
  <w:style w:type="paragraph" w:styleId="CommentSubject">
    <w:name w:val="annotation subject"/>
    <w:basedOn w:val="CommentText"/>
    <w:next w:val="CommentText"/>
    <w:link w:val="CommentSubjectChar"/>
    <w:uiPriority w:val="99"/>
    <w:semiHidden/>
    <w:unhideWhenUsed/>
    <w:rsid w:val="00056030"/>
    <w:rPr>
      <w:b/>
      <w:bCs/>
    </w:rPr>
  </w:style>
  <w:style w:type="character" w:customStyle="1" w:styleId="CommentSubjectChar">
    <w:name w:val="Comment Subject Char"/>
    <w:basedOn w:val="CommentTextChar"/>
    <w:link w:val="CommentSubject"/>
    <w:uiPriority w:val="99"/>
    <w:semiHidden/>
    <w:rsid w:val="00056030"/>
    <w:rPr>
      <w:b/>
      <w:bCs/>
      <w:sz w:val="20"/>
      <w:szCs w:val="20"/>
    </w:rPr>
  </w:style>
  <w:style w:type="paragraph" w:styleId="Revision">
    <w:name w:val="Revision"/>
    <w:hidden/>
    <w:uiPriority w:val="99"/>
    <w:semiHidden/>
    <w:rsid w:val="000560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hefy.simon@acl.hhs.gov" TargetMode="External" /><Relationship Id="rId5" Type="http://schemas.openxmlformats.org/officeDocument/2006/relationships/hyperlink" Target="mailto:Rebecca.Kinney@acl.hhs.gov" TargetMode="External" /><Relationship Id="rId6" Type="http://schemas.openxmlformats.org/officeDocument/2006/relationships/hyperlink" Target="mailto:myeh@keybridgedc.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14</cp:revision>
  <dcterms:created xsi:type="dcterms:W3CDTF">2023-06-23T15:29:00Z</dcterms:created>
  <dcterms:modified xsi:type="dcterms:W3CDTF">2023-07-19T18:48:00Z</dcterms:modified>
</cp:coreProperties>
</file>