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24F7" w:rsidRPr="00826A35" w:rsidP="00D324F7" w14:paraId="55D1896F" w14:textId="2373FB53">
      <w:pPr>
        <w:rPr>
          <w:rFonts w:ascii="Arial" w:hAnsi="Arial" w:cs="Arial"/>
          <w:b/>
          <w:bCs/>
          <w:sz w:val="40"/>
          <w:szCs w:val="40"/>
        </w:rPr>
      </w:pPr>
      <w:r w:rsidRPr="00826A35">
        <w:rPr>
          <w:rFonts w:ascii="Arial" w:hAnsi="Arial" w:cs="Arial"/>
          <w:b/>
          <w:bCs/>
          <w:sz w:val="40"/>
          <w:szCs w:val="40"/>
        </w:rPr>
        <w:t>NOFO Simplification Evaluation</w:t>
      </w:r>
      <w:r w:rsidR="00AC63B6">
        <w:rPr>
          <w:rFonts w:ascii="Arial" w:hAnsi="Arial" w:cs="Arial"/>
          <w:b/>
          <w:bCs/>
          <w:sz w:val="40"/>
          <w:szCs w:val="40"/>
        </w:rPr>
        <w:t xml:space="preserve"> Plan</w:t>
      </w:r>
      <w:r w:rsidRPr="00826A35">
        <w:rPr>
          <w:rFonts w:ascii="Arial" w:hAnsi="Arial" w:cs="Arial"/>
          <w:b/>
          <w:bCs/>
          <w:sz w:val="40"/>
          <w:szCs w:val="40"/>
        </w:rPr>
        <w:t xml:space="preserve"> </w:t>
      </w:r>
    </w:p>
    <w:p w:rsidR="003B28C1" w:rsidRPr="005A2452" w:rsidP="00D324F7" w14:paraId="77CFCEFF" w14:textId="77777777">
      <w:pPr>
        <w:rPr>
          <w:rFonts w:ascii="Arial" w:hAnsi="Arial" w:cs="Arial"/>
        </w:rPr>
      </w:pPr>
    </w:p>
    <w:p w:rsidR="003B28C1" w:rsidRPr="000174ED" w:rsidP="00D324F7" w14:paraId="41944F09" w14:textId="360F92F8">
      <w:pPr>
        <w:rPr>
          <w:rFonts w:ascii="Arial" w:eastAsia="Times New Roman" w:hAnsi="Arial" w:cs="Arial"/>
        </w:rPr>
      </w:pPr>
      <w:r w:rsidRPr="005A2452">
        <w:rPr>
          <w:rFonts w:ascii="Arial" w:hAnsi="Arial" w:cs="Arial"/>
          <w:b/>
          <w:bCs/>
        </w:rPr>
        <w:t>Goal:</w:t>
      </w:r>
      <w:r w:rsidRPr="005A2452">
        <w:rPr>
          <w:rFonts w:ascii="Arial" w:hAnsi="Arial" w:cs="Arial"/>
        </w:rPr>
        <w:t xml:space="preserve"> </w:t>
      </w:r>
      <w:r w:rsidRPr="005A2452">
        <w:rPr>
          <w:rFonts w:ascii="Arial" w:eastAsia="Times New Roman" w:hAnsi="Arial" w:cs="Arial"/>
        </w:rPr>
        <w:t xml:space="preserve">Reduce the burden associated with applying for grant opportunities </w:t>
      </w:r>
      <w:r>
        <w:rPr>
          <w:rFonts w:ascii="Arial" w:eastAsia="Times New Roman" w:hAnsi="Arial" w:cs="Arial"/>
        </w:rPr>
        <w:t xml:space="preserve">for </w:t>
      </w:r>
      <w:r w:rsidRPr="005A2452">
        <w:rPr>
          <w:rFonts w:ascii="Arial" w:eastAsia="Times New Roman" w:hAnsi="Arial" w:cs="Arial"/>
        </w:rPr>
        <w:t xml:space="preserve">qualified applicants, especially </w:t>
      </w:r>
      <w:r w:rsidRPr="005A2452" w:rsidR="00823191">
        <w:rPr>
          <w:rFonts w:ascii="Arial" w:eastAsia="Times New Roman" w:hAnsi="Arial" w:cs="Arial"/>
        </w:rPr>
        <w:t>those representing and/or providing services to underserved communities</w:t>
      </w:r>
      <w:r w:rsidRPr="005A2452" w:rsidR="00C50048">
        <w:rPr>
          <w:rFonts w:ascii="Arial" w:eastAsia="Times New Roman" w:hAnsi="Arial" w:cs="Arial"/>
        </w:rPr>
        <w:t>.</w:t>
      </w:r>
    </w:p>
    <w:p w:rsidR="00AC63B6" w:rsidP="00D324F7" w14:paraId="07F8090D" w14:textId="77777777">
      <w:pPr>
        <w:rPr>
          <w:rFonts w:ascii="Arial" w:hAnsi="Arial" w:cs="Arial"/>
          <w:b/>
          <w:bCs/>
        </w:rPr>
      </w:pPr>
    </w:p>
    <w:p w:rsidR="00D324F7" w:rsidRPr="005A2452" w:rsidP="00D324F7" w14:paraId="249A7D9C" w14:textId="6D4194D8">
      <w:pPr>
        <w:rPr>
          <w:rFonts w:ascii="Arial" w:hAnsi="Arial" w:cs="Arial"/>
          <w:b/>
          <w:bCs/>
        </w:rPr>
      </w:pPr>
      <w:r w:rsidRPr="005A2452">
        <w:rPr>
          <w:rFonts w:ascii="Arial" w:hAnsi="Arial" w:cs="Arial"/>
          <w:b/>
          <w:bCs/>
        </w:rPr>
        <w:t>Evaluation Plan:</w:t>
      </w:r>
    </w:p>
    <w:p w:rsidR="00D324F7" w:rsidRPr="003205A3" w:rsidP="00D62B4B" w14:paraId="20A55F1A" w14:textId="388CCF7B">
      <w:pPr>
        <w:pStyle w:val="ListParagraph"/>
        <w:numPr>
          <w:ilvl w:val="0"/>
          <w:numId w:val="2"/>
        </w:numPr>
        <w:rPr>
          <w:rFonts w:ascii="Arial" w:eastAsia="Times New Roman" w:hAnsi="Arial" w:cs="Arial"/>
        </w:rPr>
      </w:pPr>
      <w:r w:rsidRPr="005A2452">
        <w:rPr>
          <w:rFonts w:ascii="Arial" w:hAnsi="Arial" w:cs="Arial"/>
          <w:b/>
          <w:bCs/>
        </w:rPr>
        <w:t>Objective:</w:t>
      </w:r>
      <w:r w:rsidRPr="005A2452">
        <w:rPr>
          <w:rFonts w:ascii="Arial" w:hAnsi="Arial" w:cs="Arial"/>
        </w:rPr>
        <w:t xml:space="preserve"> </w:t>
      </w:r>
      <w:r w:rsidRPr="005A2452" w:rsidR="00C50048">
        <w:rPr>
          <w:rFonts w:ascii="Arial" w:hAnsi="Arial" w:cs="Arial"/>
          <w:color w:val="000000" w:themeColor="text1"/>
        </w:rPr>
        <w:t xml:space="preserve">Simplify and reorganize NOFO content to </w:t>
      </w:r>
      <w:r w:rsidRPr="005A2452" w:rsidR="00C50048">
        <w:rPr>
          <w:rFonts w:ascii="Arial" w:eastAsia="Times New Roman" w:hAnsi="Arial" w:cs="Arial"/>
          <w:color w:val="000000" w:themeColor="text1"/>
        </w:rPr>
        <w:t xml:space="preserve">help qualified applicants easily access, read, and understand NOFO </w:t>
      </w:r>
      <w:r w:rsidRPr="005A2452" w:rsidR="00C50048">
        <w:rPr>
          <w:rFonts w:ascii="Arial" w:hAnsi="Arial" w:cs="Arial"/>
          <w:color w:val="000000" w:themeColor="text1"/>
        </w:rPr>
        <w:t xml:space="preserve">objectives, program and application requirements, and instructions </w:t>
      </w:r>
      <w:r w:rsidRPr="005A2452" w:rsidR="00D6445A">
        <w:rPr>
          <w:rFonts w:ascii="Arial" w:eastAsia="Times New Roman" w:hAnsi="Arial" w:cs="Arial"/>
          <w:color w:val="000000" w:themeColor="text1"/>
        </w:rPr>
        <w:t>so that they</w:t>
      </w:r>
      <w:r w:rsidRPr="005A2452" w:rsidR="00C50048">
        <w:rPr>
          <w:rFonts w:ascii="Arial" w:eastAsia="Times New Roman" w:hAnsi="Arial" w:cs="Arial"/>
          <w:color w:val="000000" w:themeColor="text1"/>
        </w:rPr>
        <w:t xml:space="preserve"> submit strong applications.</w:t>
      </w:r>
    </w:p>
    <w:p w:rsidR="003205A3" w:rsidRPr="001D2B00" w:rsidP="003205A3" w14:paraId="0D008411" w14:textId="0760033D">
      <w:pPr>
        <w:pStyle w:val="ListParagraph"/>
        <w:numPr>
          <w:ilvl w:val="1"/>
          <w:numId w:val="2"/>
        </w:numPr>
        <w:rPr>
          <w:rFonts w:ascii="Arial" w:eastAsia="Times New Roman" w:hAnsi="Arial" w:cs="Arial"/>
        </w:rPr>
      </w:pPr>
      <w:r w:rsidRPr="001D2B00">
        <w:rPr>
          <w:rFonts w:ascii="Arial" w:hAnsi="Arial" w:cs="Arial"/>
          <w:b/>
          <w:bCs/>
        </w:rPr>
        <w:t>Secondary objective:</w:t>
      </w:r>
      <w:r w:rsidRPr="001D2B00" w:rsidR="000174ED">
        <w:rPr>
          <w:rFonts w:ascii="Arial" w:hAnsi="Arial" w:cs="Arial"/>
          <w:b/>
          <w:bCs/>
        </w:rPr>
        <w:t xml:space="preserve"> </w:t>
      </w:r>
      <w:r w:rsidRPr="001D2B00" w:rsidR="000174ED">
        <w:rPr>
          <w:rFonts w:ascii="Arial" w:hAnsi="Arial" w:cs="Arial"/>
        </w:rPr>
        <w:t>S</w:t>
      </w:r>
      <w:r w:rsidRPr="001D2B00" w:rsidR="008A425A">
        <w:rPr>
          <w:rFonts w:ascii="Arial" w:hAnsi="Arial" w:cs="Arial"/>
        </w:rPr>
        <w:t xml:space="preserve">tandardize </w:t>
      </w:r>
      <w:r w:rsidRPr="001D2B00" w:rsidR="000174ED">
        <w:rPr>
          <w:rFonts w:ascii="Arial" w:hAnsi="Arial" w:cs="Arial"/>
        </w:rPr>
        <w:t xml:space="preserve">applicable </w:t>
      </w:r>
      <w:r w:rsidRPr="001D2B00" w:rsidR="008A425A">
        <w:rPr>
          <w:rFonts w:ascii="Arial" w:hAnsi="Arial" w:cs="Arial"/>
        </w:rPr>
        <w:t>NOFO content</w:t>
      </w:r>
      <w:r w:rsidRPr="001D2B00" w:rsidR="000174ED">
        <w:rPr>
          <w:rFonts w:ascii="Arial" w:hAnsi="Arial" w:cs="Arial"/>
        </w:rPr>
        <w:t xml:space="preserve"> and provide NOFO writing guidance </w:t>
      </w:r>
      <w:r w:rsidRPr="001D2B00" w:rsidR="008A425A">
        <w:rPr>
          <w:rFonts w:ascii="Arial" w:hAnsi="Arial" w:cs="Arial"/>
        </w:rPr>
        <w:t>so grantors can create clear and concise NOFOs more efficiently and receive strong submissions from qualified applicants.</w:t>
      </w:r>
    </w:p>
    <w:p w:rsidR="00D324F7" w:rsidRPr="005A2452" w:rsidP="00D324F7" w14:paraId="033E3BB2" w14:textId="77777777">
      <w:pPr>
        <w:pStyle w:val="ListParagraph"/>
        <w:rPr>
          <w:rFonts w:ascii="Arial" w:eastAsia="Times New Roman" w:hAnsi="Arial" w:cs="Arial"/>
        </w:rPr>
      </w:pPr>
    </w:p>
    <w:p w:rsidR="00D324F7" w:rsidRPr="005A2452" w:rsidP="00D324F7" w14:paraId="0584C793" w14:textId="77777777">
      <w:pPr>
        <w:pStyle w:val="ListParagraph"/>
        <w:numPr>
          <w:ilvl w:val="0"/>
          <w:numId w:val="2"/>
        </w:numPr>
        <w:rPr>
          <w:rFonts w:ascii="Arial" w:eastAsia="Times New Roman" w:hAnsi="Arial" w:cs="Arial"/>
          <w:b/>
          <w:bCs/>
        </w:rPr>
      </w:pPr>
      <w:r w:rsidRPr="005A2452">
        <w:rPr>
          <w:rFonts w:ascii="Arial" w:eastAsia="Times New Roman" w:hAnsi="Arial" w:cs="Arial"/>
          <w:b/>
          <w:bCs/>
        </w:rPr>
        <w:t>Metrics:</w:t>
      </w:r>
    </w:p>
    <w:tbl>
      <w:tblPr>
        <w:tblStyle w:val="TableGrid"/>
        <w:tblW w:w="0" w:type="auto"/>
        <w:tblInd w:w="715" w:type="dxa"/>
        <w:tblLook w:val="04A0"/>
      </w:tblPr>
      <w:tblGrid>
        <w:gridCol w:w="1983"/>
        <w:gridCol w:w="5397"/>
      </w:tblGrid>
      <w:tr w14:paraId="549BDF1C" w14:textId="77777777" w:rsidTr="004660C6">
        <w:tblPrEx>
          <w:tblW w:w="0" w:type="auto"/>
          <w:tblInd w:w="715" w:type="dxa"/>
          <w:tblLook w:val="04A0"/>
        </w:tblPrEx>
        <w:tc>
          <w:tcPr>
            <w:tcW w:w="1983" w:type="dxa"/>
            <w:shd w:val="clear" w:color="auto" w:fill="F2F2F2" w:themeFill="background1" w:themeFillShade="F2"/>
          </w:tcPr>
          <w:p w:rsidR="00D324F7" w:rsidRPr="004660C6" w:rsidP="000C17A5" w14:paraId="51E916D0" w14:textId="77777777">
            <w:pPr>
              <w:rPr>
                <w:rFonts w:ascii="Arial" w:eastAsia="Times New Roman" w:hAnsi="Arial" w:cs="Arial"/>
                <w:b/>
                <w:bCs/>
                <w:color w:val="000000" w:themeColor="text1"/>
              </w:rPr>
            </w:pPr>
            <w:r w:rsidRPr="004660C6">
              <w:rPr>
                <w:rFonts w:ascii="Arial" w:eastAsia="Times New Roman" w:hAnsi="Arial" w:cs="Arial"/>
                <w:b/>
                <w:bCs/>
                <w:color w:val="000000" w:themeColor="text1"/>
              </w:rPr>
              <w:t xml:space="preserve">From Objective </w:t>
            </w:r>
          </w:p>
        </w:tc>
        <w:tc>
          <w:tcPr>
            <w:tcW w:w="5397" w:type="dxa"/>
            <w:shd w:val="clear" w:color="auto" w:fill="F2F2F2" w:themeFill="background1" w:themeFillShade="F2"/>
          </w:tcPr>
          <w:p w:rsidR="00D324F7" w:rsidRPr="004660C6" w:rsidP="000C17A5" w14:paraId="761D142C" w14:textId="77777777">
            <w:pPr>
              <w:rPr>
                <w:rFonts w:ascii="Arial" w:eastAsia="Times New Roman" w:hAnsi="Arial" w:cs="Arial"/>
                <w:b/>
                <w:bCs/>
                <w:color w:val="000000" w:themeColor="text1"/>
              </w:rPr>
            </w:pPr>
            <w:r w:rsidRPr="004660C6">
              <w:rPr>
                <w:rFonts w:ascii="Arial" w:eastAsia="Times New Roman" w:hAnsi="Arial" w:cs="Arial"/>
                <w:b/>
                <w:bCs/>
                <w:color w:val="000000" w:themeColor="text1"/>
              </w:rPr>
              <w:t>Metrics</w:t>
            </w:r>
          </w:p>
        </w:tc>
      </w:tr>
      <w:tr w14:paraId="59FB1460" w14:textId="77777777" w:rsidTr="004660C6">
        <w:tblPrEx>
          <w:tblW w:w="0" w:type="auto"/>
          <w:tblInd w:w="715" w:type="dxa"/>
          <w:tblLook w:val="04A0"/>
        </w:tblPrEx>
        <w:tc>
          <w:tcPr>
            <w:tcW w:w="1983" w:type="dxa"/>
            <w:vMerge w:val="restart"/>
            <w:shd w:val="clear" w:color="auto" w:fill="FFFFFF" w:themeFill="background1"/>
          </w:tcPr>
          <w:p w:rsidR="00337A09" w:rsidRPr="005A2452" w:rsidP="000C17A5" w14:paraId="7ACB0A36" w14:textId="77777777">
            <w:pPr>
              <w:rPr>
                <w:rFonts w:ascii="Arial" w:eastAsia="Times New Roman" w:hAnsi="Arial" w:cs="Arial"/>
              </w:rPr>
            </w:pPr>
            <w:r w:rsidRPr="005A2452">
              <w:rPr>
                <w:rFonts w:ascii="Arial" w:eastAsia="Times New Roman" w:hAnsi="Arial" w:cs="Arial"/>
              </w:rPr>
              <w:t>Accessible and usable NOFO</w:t>
            </w:r>
          </w:p>
        </w:tc>
        <w:tc>
          <w:tcPr>
            <w:tcW w:w="5397" w:type="dxa"/>
            <w:shd w:val="clear" w:color="auto" w:fill="FFFFFF" w:themeFill="background1"/>
          </w:tcPr>
          <w:p w:rsidR="00337A09" w:rsidRPr="005A2452" w:rsidP="000C17A5" w14:paraId="5A53C00A" w14:textId="77777777">
            <w:pPr>
              <w:rPr>
                <w:rFonts w:ascii="Arial" w:eastAsia="Times New Roman" w:hAnsi="Arial" w:cs="Arial"/>
              </w:rPr>
            </w:pPr>
            <w:r w:rsidRPr="005A2452">
              <w:rPr>
                <w:rFonts w:ascii="Arial" w:eastAsia="Times New Roman" w:hAnsi="Arial" w:cs="Arial"/>
              </w:rPr>
              <w:t>Amount of time spent applying for funding compared to baseline</w:t>
            </w:r>
          </w:p>
        </w:tc>
      </w:tr>
      <w:tr w14:paraId="0E70F52E" w14:textId="77777777" w:rsidTr="004660C6">
        <w:tblPrEx>
          <w:tblW w:w="0" w:type="auto"/>
          <w:tblInd w:w="715" w:type="dxa"/>
          <w:tblLook w:val="04A0"/>
        </w:tblPrEx>
        <w:tc>
          <w:tcPr>
            <w:tcW w:w="1983" w:type="dxa"/>
            <w:vMerge/>
            <w:shd w:val="clear" w:color="auto" w:fill="FFFFFF" w:themeFill="background1"/>
          </w:tcPr>
          <w:p w:rsidR="00337A09" w:rsidRPr="005A2452" w:rsidP="000C17A5" w14:paraId="1049916D" w14:textId="77777777">
            <w:pPr>
              <w:rPr>
                <w:rFonts w:ascii="Arial" w:eastAsia="Times New Roman" w:hAnsi="Arial" w:cs="Arial"/>
              </w:rPr>
            </w:pPr>
          </w:p>
        </w:tc>
        <w:tc>
          <w:tcPr>
            <w:tcW w:w="5397" w:type="dxa"/>
            <w:shd w:val="clear" w:color="auto" w:fill="FFFFFF" w:themeFill="background1"/>
          </w:tcPr>
          <w:p w:rsidR="00337A09" w:rsidRPr="005A2452" w:rsidP="000C17A5" w14:paraId="715CC14F" w14:textId="77777777">
            <w:pPr>
              <w:rPr>
                <w:rFonts w:ascii="Arial" w:eastAsia="Times New Roman" w:hAnsi="Arial" w:cs="Arial"/>
              </w:rPr>
            </w:pPr>
            <w:r w:rsidRPr="005A2452">
              <w:rPr>
                <w:rFonts w:ascii="Arial" w:eastAsia="Times New Roman" w:hAnsi="Arial" w:cs="Arial"/>
              </w:rPr>
              <w:t>% Compliance to 508 requirements</w:t>
            </w:r>
          </w:p>
        </w:tc>
      </w:tr>
      <w:tr w14:paraId="7064CA8E" w14:textId="77777777" w:rsidTr="004660C6">
        <w:tblPrEx>
          <w:tblW w:w="0" w:type="auto"/>
          <w:tblInd w:w="715" w:type="dxa"/>
          <w:tblLook w:val="04A0"/>
        </w:tblPrEx>
        <w:tc>
          <w:tcPr>
            <w:tcW w:w="1983" w:type="dxa"/>
            <w:vMerge/>
            <w:shd w:val="clear" w:color="auto" w:fill="FFFFFF" w:themeFill="background1"/>
          </w:tcPr>
          <w:p w:rsidR="00337A09" w:rsidRPr="005A2452" w:rsidP="000C17A5" w14:paraId="1E7A9465" w14:textId="77777777">
            <w:pPr>
              <w:rPr>
                <w:rFonts w:ascii="Arial" w:eastAsia="Times New Roman" w:hAnsi="Arial" w:cs="Arial"/>
              </w:rPr>
            </w:pPr>
          </w:p>
        </w:tc>
        <w:tc>
          <w:tcPr>
            <w:tcW w:w="5397" w:type="dxa"/>
            <w:shd w:val="clear" w:color="auto" w:fill="FFFFFF" w:themeFill="background1"/>
          </w:tcPr>
          <w:p w:rsidR="00337A09" w:rsidRPr="005A2452" w:rsidP="000C17A5" w14:paraId="5F9BA062" w14:textId="77777777">
            <w:pPr>
              <w:rPr>
                <w:rFonts w:ascii="Arial" w:eastAsia="Times New Roman" w:hAnsi="Arial" w:cs="Arial"/>
              </w:rPr>
            </w:pPr>
            <w:r w:rsidRPr="005A2452">
              <w:rPr>
                <w:rFonts w:ascii="Arial" w:eastAsia="Times New Roman" w:hAnsi="Arial" w:cs="Arial"/>
              </w:rPr>
              <w:t>Ease of NOFO navigation</w:t>
            </w:r>
          </w:p>
        </w:tc>
      </w:tr>
      <w:tr w14:paraId="526A4C6E" w14:textId="77777777" w:rsidTr="004660C6">
        <w:tblPrEx>
          <w:tblW w:w="0" w:type="auto"/>
          <w:tblInd w:w="715" w:type="dxa"/>
          <w:tblLook w:val="04A0"/>
        </w:tblPrEx>
        <w:tc>
          <w:tcPr>
            <w:tcW w:w="1983" w:type="dxa"/>
            <w:vMerge/>
            <w:shd w:val="clear" w:color="auto" w:fill="FFFFFF" w:themeFill="background1"/>
          </w:tcPr>
          <w:p w:rsidR="00337A09" w:rsidRPr="005A2452" w:rsidP="000C17A5" w14:paraId="65BBAC8F" w14:textId="77777777">
            <w:pPr>
              <w:rPr>
                <w:rFonts w:ascii="Arial" w:eastAsia="Times New Roman" w:hAnsi="Arial" w:cs="Arial"/>
              </w:rPr>
            </w:pPr>
          </w:p>
        </w:tc>
        <w:tc>
          <w:tcPr>
            <w:tcW w:w="5397" w:type="dxa"/>
            <w:shd w:val="clear" w:color="auto" w:fill="FFFFFF" w:themeFill="background1"/>
          </w:tcPr>
          <w:p w:rsidR="00337A09" w:rsidRPr="005A2452" w:rsidP="000C17A5" w14:paraId="6BD7D744" w14:textId="01805FAA">
            <w:pPr>
              <w:rPr>
                <w:rFonts w:ascii="Arial" w:eastAsia="Times New Roman" w:hAnsi="Arial" w:cs="Arial"/>
              </w:rPr>
            </w:pPr>
            <w:r w:rsidRPr="005A2452">
              <w:rPr>
                <w:rFonts w:ascii="Arial" w:eastAsia="Times New Roman" w:hAnsi="Arial" w:cs="Arial"/>
              </w:rPr>
              <w:t># of applications received from applicants representing and/or providing services to underserved communities</w:t>
            </w:r>
          </w:p>
        </w:tc>
      </w:tr>
      <w:tr w14:paraId="7BD6F02C" w14:textId="77777777" w:rsidTr="004660C6">
        <w:tblPrEx>
          <w:tblW w:w="0" w:type="auto"/>
          <w:tblInd w:w="715" w:type="dxa"/>
          <w:tblLook w:val="04A0"/>
        </w:tblPrEx>
        <w:tc>
          <w:tcPr>
            <w:tcW w:w="1983" w:type="dxa"/>
            <w:vMerge/>
            <w:shd w:val="clear" w:color="auto" w:fill="FFFFFF" w:themeFill="background1"/>
          </w:tcPr>
          <w:p w:rsidR="00337A09" w:rsidRPr="005A2452" w:rsidP="000C17A5" w14:paraId="45E1943B" w14:textId="77777777">
            <w:pPr>
              <w:rPr>
                <w:rFonts w:ascii="Arial" w:eastAsia="Times New Roman" w:hAnsi="Arial" w:cs="Arial"/>
              </w:rPr>
            </w:pPr>
          </w:p>
        </w:tc>
        <w:tc>
          <w:tcPr>
            <w:tcW w:w="5397" w:type="dxa"/>
            <w:shd w:val="clear" w:color="auto" w:fill="FFFFFF" w:themeFill="background1"/>
          </w:tcPr>
          <w:p w:rsidR="00337A09" w:rsidRPr="005A2452" w:rsidP="000C17A5" w14:paraId="7A0062B0" w14:textId="7A4475B4">
            <w:pPr>
              <w:rPr>
                <w:rFonts w:ascii="Arial" w:eastAsia="Times New Roman" w:hAnsi="Arial" w:cs="Arial"/>
              </w:rPr>
            </w:pPr>
            <w:r>
              <w:rPr>
                <w:rFonts w:ascii="Arial" w:eastAsia="Times New Roman" w:hAnsi="Arial" w:cs="Arial"/>
              </w:rPr>
              <w:t>Abandonment rate (# of subscribers and workspaces versus # of applicants)</w:t>
            </w:r>
          </w:p>
        </w:tc>
      </w:tr>
      <w:tr w14:paraId="6168FC55" w14:textId="77777777" w:rsidTr="004660C6">
        <w:tblPrEx>
          <w:tblW w:w="0" w:type="auto"/>
          <w:tblInd w:w="715" w:type="dxa"/>
          <w:tblLook w:val="04A0"/>
        </w:tblPrEx>
        <w:tc>
          <w:tcPr>
            <w:tcW w:w="1983" w:type="dxa"/>
            <w:vMerge w:val="restart"/>
            <w:shd w:val="clear" w:color="auto" w:fill="F2F2F2" w:themeFill="background1" w:themeFillShade="F2"/>
          </w:tcPr>
          <w:p w:rsidR="00D324F7" w:rsidRPr="005A2452" w:rsidP="000C17A5" w14:paraId="5302F432" w14:textId="77777777">
            <w:pPr>
              <w:rPr>
                <w:rFonts w:ascii="Arial" w:eastAsia="Times New Roman" w:hAnsi="Arial" w:cs="Arial"/>
              </w:rPr>
            </w:pPr>
            <w:r w:rsidRPr="005A2452">
              <w:rPr>
                <w:rFonts w:ascii="Arial" w:eastAsia="Times New Roman" w:hAnsi="Arial" w:cs="Arial"/>
              </w:rPr>
              <w:t>Readable NOFO</w:t>
            </w:r>
          </w:p>
        </w:tc>
        <w:tc>
          <w:tcPr>
            <w:tcW w:w="5397" w:type="dxa"/>
            <w:shd w:val="clear" w:color="auto" w:fill="F2F2F2" w:themeFill="background1" w:themeFillShade="F2"/>
          </w:tcPr>
          <w:p w:rsidR="00D324F7" w:rsidRPr="005A2452" w:rsidP="000C17A5" w14:paraId="335F1302" w14:textId="77777777">
            <w:pPr>
              <w:rPr>
                <w:rFonts w:ascii="Arial" w:eastAsia="Times New Roman" w:hAnsi="Arial" w:cs="Arial"/>
              </w:rPr>
            </w:pPr>
            <w:r w:rsidRPr="005A2452">
              <w:rPr>
                <w:rFonts w:ascii="Arial" w:eastAsia="Times New Roman" w:hAnsi="Arial" w:cs="Arial"/>
              </w:rPr>
              <w:t>Grade level reading score</w:t>
            </w:r>
          </w:p>
        </w:tc>
      </w:tr>
      <w:tr w14:paraId="53C6B8CC" w14:textId="77777777" w:rsidTr="004660C6">
        <w:tblPrEx>
          <w:tblW w:w="0" w:type="auto"/>
          <w:tblInd w:w="715" w:type="dxa"/>
          <w:tblLook w:val="04A0"/>
        </w:tblPrEx>
        <w:tc>
          <w:tcPr>
            <w:tcW w:w="1983" w:type="dxa"/>
            <w:vMerge/>
            <w:shd w:val="clear" w:color="auto" w:fill="F2F2F2" w:themeFill="background1" w:themeFillShade="F2"/>
          </w:tcPr>
          <w:p w:rsidR="00D324F7" w:rsidRPr="005A2452" w:rsidP="000C17A5" w14:paraId="13A52318" w14:textId="77777777">
            <w:pPr>
              <w:rPr>
                <w:rFonts w:ascii="Arial" w:eastAsia="Times New Roman" w:hAnsi="Arial" w:cs="Arial"/>
              </w:rPr>
            </w:pPr>
          </w:p>
        </w:tc>
        <w:tc>
          <w:tcPr>
            <w:tcW w:w="5397" w:type="dxa"/>
            <w:shd w:val="clear" w:color="auto" w:fill="F2F2F2" w:themeFill="background1" w:themeFillShade="F2"/>
          </w:tcPr>
          <w:p w:rsidR="00D324F7" w:rsidRPr="005A2452" w:rsidP="000C17A5" w14:paraId="41401DDF" w14:textId="3A2D7F40">
            <w:pPr>
              <w:rPr>
                <w:rFonts w:ascii="Arial" w:eastAsia="Times New Roman" w:hAnsi="Arial" w:cs="Arial"/>
              </w:rPr>
            </w:pPr>
            <w:r w:rsidRPr="005A2452">
              <w:rPr>
                <w:rFonts w:ascii="Arial" w:eastAsia="Times New Roman" w:hAnsi="Arial" w:cs="Arial"/>
              </w:rPr>
              <w:t xml:space="preserve">Efficiency/speed: </w:t>
            </w:r>
            <w:r w:rsidRPr="005A2452">
              <w:rPr>
                <w:rFonts w:ascii="Arial" w:eastAsia="Times New Roman" w:hAnsi="Arial" w:cs="Arial"/>
              </w:rPr>
              <w:t xml:space="preserve">Length of time to read specific NOFO components </w:t>
            </w:r>
          </w:p>
        </w:tc>
      </w:tr>
      <w:tr w14:paraId="0DCB87E2" w14:textId="77777777" w:rsidTr="004660C6">
        <w:tblPrEx>
          <w:tblW w:w="0" w:type="auto"/>
          <w:tblInd w:w="715" w:type="dxa"/>
          <w:tblLook w:val="04A0"/>
        </w:tblPrEx>
        <w:tc>
          <w:tcPr>
            <w:tcW w:w="1983" w:type="dxa"/>
            <w:vMerge/>
            <w:shd w:val="clear" w:color="auto" w:fill="F2F2F2" w:themeFill="background1" w:themeFillShade="F2"/>
          </w:tcPr>
          <w:p w:rsidR="00D324F7" w:rsidRPr="005A2452" w:rsidP="000C17A5" w14:paraId="09AC3A36" w14:textId="77777777">
            <w:pPr>
              <w:rPr>
                <w:rFonts w:ascii="Arial" w:eastAsia="Times New Roman" w:hAnsi="Arial" w:cs="Arial"/>
              </w:rPr>
            </w:pPr>
          </w:p>
        </w:tc>
        <w:tc>
          <w:tcPr>
            <w:tcW w:w="5397" w:type="dxa"/>
            <w:shd w:val="clear" w:color="auto" w:fill="F2F2F2" w:themeFill="background1" w:themeFillShade="F2"/>
          </w:tcPr>
          <w:p w:rsidR="00D324F7" w:rsidRPr="005A2452" w:rsidP="000C17A5" w14:paraId="2F41E3C3" w14:textId="22C97156">
            <w:pPr>
              <w:rPr>
                <w:rFonts w:ascii="Arial" w:eastAsia="Times New Roman" w:hAnsi="Arial" w:cs="Arial"/>
              </w:rPr>
            </w:pPr>
            <w:r w:rsidRPr="005A2452">
              <w:rPr>
                <w:rFonts w:ascii="Arial" w:eastAsia="Times New Roman" w:hAnsi="Arial" w:cs="Arial"/>
              </w:rPr>
              <w:t xml:space="preserve">Word count </w:t>
            </w:r>
          </w:p>
        </w:tc>
      </w:tr>
      <w:tr w14:paraId="71F95721" w14:textId="77777777" w:rsidTr="004660C6">
        <w:tblPrEx>
          <w:tblW w:w="0" w:type="auto"/>
          <w:tblInd w:w="715" w:type="dxa"/>
          <w:tblLook w:val="04A0"/>
        </w:tblPrEx>
        <w:tc>
          <w:tcPr>
            <w:tcW w:w="1983" w:type="dxa"/>
            <w:vMerge/>
            <w:shd w:val="clear" w:color="auto" w:fill="F2F2F2" w:themeFill="background1" w:themeFillShade="F2"/>
          </w:tcPr>
          <w:p w:rsidR="00D324F7" w:rsidRPr="005A2452" w:rsidP="000C17A5" w14:paraId="5428ACFC" w14:textId="77777777">
            <w:pPr>
              <w:rPr>
                <w:rFonts w:ascii="Arial" w:eastAsia="Times New Roman" w:hAnsi="Arial" w:cs="Arial"/>
              </w:rPr>
            </w:pPr>
          </w:p>
        </w:tc>
        <w:tc>
          <w:tcPr>
            <w:tcW w:w="5397" w:type="dxa"/>
            <w:shd w:val="clear" w:color="auto" w:fill="F2F2F2" w:themeFill="background1" w:themeFillShade="F2"/>
          </w:tcPr>
          <w:p w:rsidR="00D324F7" w:rsidRPr="005A2452" w:rsidP="000C17A5" w14:paraId="37812F1E" w14:textId="77777777">
            <w:pPr>
              <w:rPr>
                <w:rFonts w:ascii="Arial" w:eastAsia="Times New Roman" w:hAnsi="Arial" w:cs="Arial"/>
              </w:rPr>
            </w:pPr>
            <w:r w:rsidRPr="005A2452">
              <w:rPr>
                <w:rFonts w:ascii="Arial" w:eastAsia="Times New Roman" w:hAnsi="Arial" w:cs="Arial"/>
              </w:rPr>
              <w:t>Line length (optimal = 50 to 75)</w:t>
            </w:r>
          </w:p>
        </w:tc>
      </w:tr>
      <w:tr w14:paraId="0A07B668" w14:textId="77777777" w:rsidTr="004660C6">
        <w:tblPrEx>
          <w:tblW w:w="0" w:type="auto"/>
          <w:tblInd w:w="715" w:type="dxa"/>
          <w:tblLook w:val="04A0"/>
        </w:tblPrEx>
        <w:tc>
          <w:tcPr>
            <w:tcW w:w="1983" w:type="dxa"/>
            <w:vMerge w:val="restart"/>
            <w:shd w:val="clear" w:color="auto" w:fill="FFFFFF" w:themeFill="background1"/>
          </w:tcPr>
          <w:p w:rsidR="000174ED" w:rsidRPr="005A2452" w:rsidP="000C17A5" w14:paraId="059086E7" w14:textId="77777777">
            <w:pPr>
              <w:rPr>
                <w:rFonts w:ascii="Arial" w:eastAsia="Times New Roman" w:hAnsi="Arial" w:cs="Arial"/>
              </w:rPr>
            </w:pPr>
            <w:r w:rsidRPr="005A2452">
              <w:rPr>
                <w:rFonts w:ascii="Arial" w:eastAsia="Times New Roman" w:hAnsi="Arial" w:cs="Arial"/>
              </w:rPr>
              <w:t>Comprehensible NOFO</w:t>
            </w:r>
          </w:p>
        </w:tc>
        <w:tc>
          <w:tcPr>
            <w:tcW w:w="5397" w:type="dxa"/>
            <w:shd w:val="clear" w:color="auto" w:fill="FFFFFF" w:themeFill="background1"/>
          </w:tcPr>
          <w:p w:rsidR="000174ED" w:rsidRPr="005A2452" w:rsidP="000C17A5" w14:paraId="1493ED6A" w14:textId="1FF21D08">
            <w:pPr>
              <w:rPr>
                <w:rFonts w:ascii="Arial" w:eastAsia="Times New Roman" w:hAnsi="Arial" w:cs="Arial"/>
              </w:rPr>
            </w:pPr>
            <w:r>
              <w:rPr>
                <w:rFonts w:ascii="Arial" w:eastAsia="Times New Roman" w:hAnsi="Arial" w:cs="Arial"/>
              </w:rPr>
              <w:t>Cloze test scores</w:t>
            </w:r>
            <w:r w:rsidRPr="005A2452">
              <w:rPr>
                <w:rFonts w:ascii="Arial" w:eastAsia="Times New Roman" w:hAnsi="Arial" w:cs="Arial"/>
              </w:rPr>
              <w:t xml:space="preserve"> that measure </w:t>
            </w:r>
            <w:r>
              <w:rPr>
                <w:rFonts w:ascii="Arial" w:eastAsia="Times New Roman" w:hAnsi="Arial" w:cs="Arial"/>
              </w:rPr>
              <w:t>comprehension</w:t>
            </w:r>
            <w:r w:rsidRPr="005A2452">
              <w:rPr>
                <w:rFonts w:ascii="Arial" w:eastAsia="Times New Roman" w:hAnsi="Arial" w:cs="Arial"/>
              </w:rPr>
              <w:t xml:space="preserve"> </w:t>
            </w:r>
          </w:p>
        </w:tc>
      </w:tr>
      <w:tr w14:paraId="593F8A98" w14:textId="77777777" w:rsidTr="004660C6">
        <w:tblPrEx>
          <w:tblW w:w="0" w:type="auto"/>
          <w:tblInd w:w="715" w:type="dxa"/>
          <w:tblLook w:val="04A0"/>
        </w:tblPrEx>
        <w:tc>
          <w:tcPr>
            <w:tcW w:w="1983" w:type="dxa"/>
            <w:vMerge/>
            <w:shd w:val="clear" w:color="auto" w:fill="FFFFFF" w:themeFill="background1"/>
          </w:tcPr>
          <w:p w:rsidR="000174ED" w:rsidRPr="005A2452" w:rsidP="000C17A5" w14:paraId="64ED5E6A" w14:textId="77777777">
            <w:pPr>
              <w:rPr>
                <w:rFonts w:ascii="Arial" w:eastAsia="Times New Roman" w:hAnsi="Arial" w:cs="Arial"/>
              </w:rPr>
            </w:pPr>
          </w:p>
        </w:tc>
        <w:tc>
          <w:tcPr>
            <w:tcW w:w="5397" w:type="dxa"/>
            <w:shd w:val="clear" w:color="auto" w:fill="FFFFFF" w:themeFill="background1"/>
          </w:tcPr>
          <w:p w:rsidR="000174ED" w:rsidRPr="005A2452" w:rsidP="000C17A5" w14:paraId="014BEFEA" w14:textId="77777777">
            <w:pPr>
              <w:rPr>
                <w:rFonts w:ascii="Arial" w:eastAsia="Times New Roman" w:hAnsi="Arial" w:cs="Arial"/>
              </w:rPr>
            </w:pPr>
            <w:r w:rsidRPr="005A2452">
              <w:rPr>
                <w:rFonts w:ascii="Arial" w:eastAsia="Times New Roman" w:hAnsi="Arial" w:cs="Arial"/>
              </w:rPr>
              <w:t># and types of questions received by program points-of-contact and help desk</w:t>
            </w:r>
          </w:p>
        </w:tc>
      </w:tr>
      <w:tr w14:paraId="3869FA83" w14:textId="77777777" w:rsidTr="004660C6">
        <w:tblPrEx>
          <w:tblW w:w="0" w:type="auto"/>
          <w:tblInd w:w="715" w:type="dxa"/>
          <w:tblLook w:val="04A0"/>
        </w:tblPrEx>
        <w:tc>
          <w:tcPr>
            <w:tcW w:w="1983" w:type="dxa"/>
            <w:vMerge/>
            <w:shd w:val="clear" w:color="auto" w:fill="FFFFFF" w:themeFill="background1"/>
          </w:tcPr>
          <w:p w:rsidR="000174ED" w:rsidRPr="005A2452" w:rsidP="000C17A5" w14:paraId="75B4D7F6" w14:textId="77777777">
            <w:pPr>
              <w:rPr>
                <w:rFonts w:ascii="Arial" w:eastAsia="Times New Roman" w:hAnsi="Arial" w:cs="Arial"/>
              </w:rPr>
            </w:pPr>
          </w:p>
        </w:tc>
        <w:tc>
          <w:tcPr>
            <w:tcW w:w="5397" w:type="dxa"/>
            <w:shd w:val="clear" w:color="auto" w:fill="FFFFFF" w:themeFill="background1"/>
          </w:tcPr>
          <w:p w:rsidR="000174ED" w:rsidRPr="005A2452" w:rsidP="000C17A5" w14:paraId="35CDEF81" w14:textId="383844F1">
            <w:pPr>
              <w:rPr>
                <w:rFonts w:ascii="Arial" w:eastAsia="Times New Roman" w:hAnsi="Arial" w:cs="Arial"/>
              </w:rPr>
            </w:pPr>
            <w:r w:rsidRPr="005A2452">
              <w:rPr>
                <w:rFonts w:ascii="Arial" w:eastAsia="Times New Roman" w:hAnsi="Arial" w:cs="Arial"/>
              </w:rPr>
              <w:t>Rating of NOFO ease</w:t>
            </w:r>
          </w:p>
        </w:tc>
      </w:tr>
      <w:tr w14:paraId="3E808DAD" w14:textId="77777777" w:rsidTr="004660C6">
        <w:tblPrEx>
          <w:tblW w:w="0" w:type="auto"/>
          <w:tblInd w:w="715" w:type="dxa"/>
          <w:tblLook w:val="04A0"/>
        </w:tblPrEx>
        <w:tc>
          <w:tcPr>
            <w:tcW w:w="1983" w:type="dxa"/>
            <w:vMerge/>
            <w:shd w:val="clear" w:color="auto" w:fill="FFFFFF" w:themeFill="background1"/>
          </w:tcPr>
          <w:p w:rsidR="000174ED" w:rsidRPr="005A2452" w:rsidP="000C17A5" w14:paraId="6B5B3284" w14:textId="77777777">
            <w:pPr>
              <w:rPr>
                <w:rFonts w:ascii="Arial" w:eastAsia="Times New Roman" w:hAnsi="Arial" w:cs="Arial"/>
              </w:rPr>
            </w:pPr>
          </w:p>
        </w:tc>
        <w:tc>
          <w:tcPr>
            <w:tcW w:w="5397" w:type="dxa"/>
            <w:shd w:val="clear" w:color="auto" w:fill="FFFFFF" w:themeFill="background1"/>
          </w:tcPr>
          <w:p w:rsidR="000174ED" w:rsidRPr="005A2452" w:rsidP="000C17A5" w14:paraId="24ADE6EB" w14:textId="7834F622">
            <w:pPr>
              <w:rPr>
                <w:rFonts w:ascii="Arial" w:eastAsia="Times New Roman" w:hAnsi="Arial" w:cs="Arial"/>
              </w:rPr>
            </w:pPr>
            <w:r w:rsidRPr="005A2452">
              <w:rPr>
                <w:rFonts w:ascii="Arial" w:eastAsia="Times New Roman" w:hAnsi="Arial" w:cs="Arial"/>
              </w:rPr>
              <w:t xml:space="preserve">Rating of various </w:t>
            </w:r>
            <w:r w:rsidR="003B4C24">
              <w:rPr>
                <w:rFonts w:ascii="Arial" w:eastAsia="Times New Roman" w:hAnsi="Arial" w:cs="Arial"/>
              </w:rPr>
              <w:t>individual</w:t>
            </w:r>
            <w:r w:rsidRPr="005A2452">
              <w:rPr>
                <w:rFonts w:ascii="Arial" w:eastAsia="Times New Roman" w:hAnsi="Arial" w:cs="Arial"/>
              </w:rPr>
              <w:t xml:space="preserve"> components</w:t>
            </w:r>
          </w:p>
        </w:tc>
      </w:tr>
      <w:tr w14:paraId="5C51D0A6" w14:textId="77777777" w:rsidTr="004660C6">
        <w:tblPrEx>
          <w:tblW w:w="0" w:type="auto"/>
          <w:tblInd w:w="715" w:type="dxa"/>
          <w:tblLook w:val="04A0"/>
        </w:tblPrEx>
        <w:tc>
          <w:tcPr>
            <w:tcW w:w="1983" w:type="dxa"/>
            <w:vMerge w:val="restart"/>
            <w:shd w:val="clear" w:color="auto" w:fill="F2F2F2" w:themeFill="background1" w:themeFillShade="F2"/>
          </w:tcPr>
          <w:p w:rsidR="000174ED" w:rsidRPr="005A2452" w:rsidP="000C17A5" w14:paraId="54BC347A" w14:textId="476348C4">
            <w:pPr>
              <w:rPr>
                <w:rFonts w:ascii="Arial" w:eastAsia="Times New Roman" w:hAnsi="Arial" w:cs="Arial"/>
              </w:rPr>
            </w:pPr>
            <w:r>
              <w:rPr>
                <w:rFonts w:ascii="Arial" w:eastAsia="Times New Roman" w:hAnsi="Arial" w:cs="Arial"/>
              </w:rPr>
              <w:t>Applicants</w:t>
            </w:r>
            <w:r w:rsidRPr="005A2452">
              <w:rPr>
                <w:rFonts w:ascii="Arial" w:eastAsia="Times New Roman" w:hAnsi="Arial" w:cs="Arial"/>
              </w:rPr>
              <w:t xml:space="preserve"> are qualified and applications are strong</w:t>
            </w:r>
          </w:p>
        </w:tc>
        <w:tc>
          <w:tcPr>
            <w:tcW w:w="5397" w:type="dxa"/>
            <w:shd w:val="clear" w:color="auto" w:fill="F2F2F2" w:themeFill="background1" w:themeFillShade="F2"/>
          </w:tcPr>
          <w:p w:rsidR="000174ED" w:rsidRPr="005A2452" w:rsidP="000C17A5" w14:paraId="533611B3" w14:textId="51C2F001">
            <w:pPr>
              <w:rPr>
                <w:rFonts w:ascii="Arial" w:eastAsia="Times New Roman" w:hAnsi="Arial" w:cs="Arial"/>
              </w:rPr>
            </w:pPr>
            <w:r w:rsidRPr="005A2452">
              <w:rPr>
                <w:rFonts w:ascii="Arial" w:eastAsia="Times New Roman" w:hAnsi="Arial" w:cs="Arial"/>
              </w:rPr>
              <w:t xml:space="preserve">% of </w:t>
            </w:r>
            <w:r>
              <w:rPr>
                <w:rFonts w:ascii="Arial" w:eastAsia="Times New Roman" w:hAnsi="Arial" w:cs="Arial"/>
              </w:rPr>
              <w:t>disqualification factors and application errors</w:t>
            </w:r>
          </w:p>
        </w:tc>
      </w:tr>
      <w:tr w14:paraId="7A4B63FE" w14:textId="77777777" w:rsidTr="004660C6">
        <w:tblPrEx>
          <w:tblW w:w="0" w:type="auto"/>
          <w:tblInd w:w="715" w:type="dxa"/>
          <w:tblLook w:val="04A0"/>
        </w:tblPrEx>
        <w:tc>
          <w:tcPr>
            <w:tcW w:w="1983" w:type="dxa"/>
            <w:vMerge/>
            <w:shd w:val="clear" w:color="auto" w:fill="F2F2F2" w:themeFill="background1" w:themeFillShade="F2"/>
          </w:tcPr>
          <w:p w:rsidR="000174ED" w:rsidRPr="005A2452" w:rsidP="000C17A5" w14:paraId="49BE5B3A" w14:textId="77777777">
            <w:pPr>
              <w:rPr>
                <w:rFonts w:ascii="Arial" w:eastAsia="Times New Roman" w:hAnsi="Arial" w:cs="Arial"/>
              </w:rPr>
            </w:pPr>
          </w:p>
        </w:tc>
        <w:tc>
          <w:tcPr>
            <w:tcW w:w="5397" w:type="dxa"/>
            <w:shd w:val="clear" w:color="auto" w:fill="F2F2F2" w:themeFill="background1" w:themeFillShade="F2"/>
          </w:tcPr>
          <w:p w:rsidR="000174ED" w:rsidRPr="005A2452" w:rsidP="000C17A5" w14:paraId="26BEA1A1" w14:textId="58FA6A9D">
            <w:pPr>
              <w:rPr>
                <w:rFonts w:ascii="Arial" w:eastAsia="Times New Roman" w:hAnsi="Arial" w:cs="Arial"/>
              </w:rPr>
            </w:pPr>
            <w:r w:rsidRPr="005A2452">
              <w:rPr>
                <w:rFonts w:ascii="Arial" w:eastAsia="Times New Roman" w:hAnsi="Arial" w:cs="Arial"/>
              </w:rPr>
              <w:t>% of applicants representing and/or providing services to underserved communities</w:t>
            </w:r>
          </w:p>
        </w:tc>
      </w:tr>
      <w:tr w14:paraId="121F88C0" w14:textId="77777777" w:rsidTr="004660C6">
        <w:tblPrEx>
          <w:tblW w:w="0" w:type="auto"/>
          <w:tblInd w:w="715" w:type="dxa"/>
          <w:tblLook w:val="04A0"/>
        </w:tblPrEx>
        <w:tc>
          <w:tcPr>
            <w:tcW w:w="1983" w:type="dxa"/>
            <w:vMerge/>
            <w:shd w:val="clear" w:color="auto" w:fill="F2F2F2" w:themeFill="background1" w:themeFillShade="F2"/>
          </w:tcPr>
          <w:p w:rsidR="000174ED" w:rsidRPr="005A2452" w:rsidP="000C17A5" w14:paraId="4AD69F81" w14:textId="77777777">
            <w:pPr>
              <w:rPr>
                <w:rFonts w:ascii="Arial" w:eastAsia="Times New Roman" w:hAnsi="Arial" w:cs="Arial"/>
              </w:rPr>
            </w:pPr>
          </w:p>
        </w:tc>
        <w:tc>
          <w:tcPr>
            <w:tcW w:w="5397" w:type="dxa"/>
            <w:shd w:val="clear" w:color="auto" w:fill="F2F2F2" w:themeFill="background1" w:themeFillShade="F2"/>
          </w:tcPr>
          <w:p w:rsidR="000174ED" w:rsidRPr="005A2452" w:rsidP="000C17A5" w14:paraId="26B1E80A" w14:textId="6F9DD57E">
            <w:pPr>
              <w:rPr>
                <w:rFonts w:ascii="Arial" w:eastAsia="Times New Roman" w:hAnsi="Arial" w:cs="Arial"/>
              </w:rPr>
            </w:pPr>
            <w:r w:rsidRPr="005A2452">
              <w:rPr>
                <w:rFonts w:ascii="Arial" w:eastAsia="Times New Roman" w:hAnsi="Arial" w:cs="Arial"/>
              </w:rPr>
              <w:t>% of awards going to applicants representing and/or providing services to underserved communities</w:t>
            </w:r>
          </w:p>
        </w:tc>
      </w:tr>
      <w:tr w14:paraId="26335BEE" w14:textId="77777777" w:rsidTr="004660C6">
        <w:tblPrEx>
          <w:tblW w:w="0" w:type="auto"/>
          <w:tblInd w:w="715" w:type="dxa"/>
          <w:tblLook w:val="04A0"/>
        </w:tblPrEx>
        <w:tc>
          <w:tcPr>
            <w:tcW w:w="1983" w:type="dxa"/>
            <w:vMerge/>
            <w:shd w:val="clear" w:color="auto" w:fill="F2F2F2" w:themeFill="background1" w:themeFillShade="F2"/>
          </w:tcPr>
          <w:p w:rsidR="000174ED" w:rsidRPr="005A2452" w:rsidP="000C17A5" w14:paraId="3948048E" w14:textId="77777777">
            <w:pPr>
              <w:rPr>
                <w:rFonts w:ascii="Arial" w:eastAsia="Times New Roman" w:hAnsi="Arial" w:cs="Arial"/>
              </w:rPr>
            </w:pPr>
          </w:p>
        </w:tc>
        <w:tc>
          <w:tcPr>
            <w:tcW w:w="5397" w:type="dxa"/>
            <w:shd w:val="clear" w:color="auto" w:fill="F2F2F2" w:themeFill="background1" w:themeFillShade="F2"/>
          </w:tcPr>
          <w:p w:rsidR="000174ED" w:rsidRPr="005A2452" w:rsidP="000C17A5" w14:paraId="1AE38A0A" w14:textId="77777777">
            <w:pPr>
              <w:rPr>
                <w:rFonts w:ascii="Arial" w:eastAsia="Times New Roman" w:hAnsi="Arial" w:cs="Arial"/>
              </w:rPr>
            </w:pPr>
            <w:r w:rsidRPr="005A2452">
              <w:rPr>
                <w:rFonts w:ascii="Arial" w:eastAsia="Times New Roman" w:hAnsi="Arial" w:cs="Arial"/>
              </w:rPr>
              <w:t>Average score of applications</w:t>
            </w:r>
          </w:p>
        </w:tc>
      </w:tr>
      <w:tr w14:paraId="51E04799" w14:textId="77777777" w:rsidTr="004660C6">
        <w:tblPrEx>
          <w:tblW w:w="0" w:type="auto"/>
          <w:tblInd w:w="715" w:type="dxa"/>
          <w:tblLook w:val="04A0"/>
        </w:tblPrEx>
        <w:tc>
          <w:tcPr>
            <w:tcW w:w="1983" w:type="dxa"/>
            <w:vMerge/>
            <w:shd w:val="clear" w:color="auto" w:fill="F2F2F2" w:themeFill="background1" w:themeFillShade="F2"/>
          </w:tcPr>
          <w:p w:rsidR="000174ED" w:rsidRPr="005A2452" w:rsidP="000C17A5" w14:paraId="1B5A7914" w14:textId="77777777">
            <w:pPr>
              <w:rPr>
                <w:rFonts w:ascii="Arial" w:eastAsia="Times New Roman" w:hAnsi="Arial" w:cs="Arial"/>
              </w:rPr>
            </w:pPr>
          </w:p>
        </w:tc>
        <w:tc>
          <w:tcPr>
            <w:tcW w:w="5397" w:type="dxa"/>
            <w:shd w:val="clear" w:color="auto" w:fill="F2F2F2" w:themeFill="background1" w:themeFillShade="F2"/>
          </w:tcPr>
          <w:p w:rsidR="000174ED" w:rsidRPr="005A2452" w:rsidP="000C17A5" w14:paraId="78E3AFE8" w14:textId="675D7DC9">
            <w:pPr>
              <w:rPr>
                <w:rFonts w:ascii="Arial" w:eastAsia="Times New Roman" w:hAnsi="Arial" w:cs="Arial"/>
              </w:rPr>
            </w:pPr>
            <w:r w:rsidRPr="005A2452">
              <w:rPr>
                <w:rFonts w:ascii="Arial" w:eastAsia="Times New Roman" w:hAnsi="Arial" w:cs="Arial"/>
              </w:rPr>
              <w:t>Applicant rating of experience/satisfaction on Likert scale</w:t>
            </w:r>
          </w:p>
        </w:tc>
      </w:tr>
      <w:tr w14:paraId="65C20060" w14:textId="77777777" w:rsidTr="004660C6">
        <w:tblPrEx>
          <w:tblW w:w="0" w:type="auto"/>
          <w:tblInd w:w="715" w:type="dxa"/>
          <w:tblLook w:val="04A0"/>
        </w:tblPrEx>
        <w:tc>
          <w:tcPr>
            <w:tcW w:w="1983" w:type="dxa"/>
            <w:vMerge/>
            <w:shd w:val="clear" w:color="auto" w:fill="F2F2F2" w:themeFill="background1" w:themeFillShade="F2"/>
          </w:tcPr>
          <w:p w:rsidR="000174ED" w:rsidRPr="005A2452" w:rsidP="000C17A5" w14:paraId="459775D6" w14:textId="77777777">
            <w:pPr>
              <w:rPr>
                <w:rFonts w:ascii="Arial" w:eastAsia="Times New Roman" w:hAnsi="Arial" w:cs="Arial"/>
              </w:rPr>
            </w:pPr>
          </w:p>
        </w:tc>
        <w:tc>
          <w:tcPr>
            <w:tcW w:w="5397" w:type="dxa"/>
            <w:shd w:val="clear" w:color="auto" w:fill="F2F2F2" w:themeFill="background1" w:themeFillShade="F2"/>
          </w:tcPr>
          <w:p w:rsidR="000174ED" w:rsidRPr="005A2452" w:rsidP="000C17A5" w14:paraId="5E906D67" w14:textId="0A595BCE">
            <w:pPr>
              <w:rPr>
                <w:rFonts w:ascii="Arial" w:eastAsia="Times New Roman" w:hAnsi="Arial" w:cs="Arial"/>
              </w:rPr>
            </w:pPr>
            <w:r w:rsidRPr="001D2B00">
              <w:rPr>
                <w:rFonts w:ascii="Arial" w:eastAsia="Times New Roman" w:hAnsi="Arial" w:cs="Arial"/>
              </w:rPr>
              <w:t>Grantor rating of experience/satisfaction on Likert scale</w:t>
            </w:r>
          </w:p>
        </w:tc>
      </w:tr>
    </w:tbl>
    <w:p w:rsidR="003B28C1" w:rsidRPr="005A2452" w:rsidP="00D324F7" w14:paraId="289F6021" w14:textId="77777777">
      <w:pPr>
        <w:rPr>
          <w:rFonts w:ascii="Arial" w:eastAsia="Times New Roman" w:hAnsi="Arial" w:cs="Arial"/>
        </w:rPr>
      </w:pPr>
    </w:p>
    <w:p w:rsidR="00D324F7" w:rsidRPr="005A2452" w:rsidP="00D324F7" w14:paraId="1EC6F849" w14:textId="52C07D54">
      <w:pPr>
        <w:pStyle w:val="ListParagraph"/>
        <w:numPr>
          <w:ilvl w:val="0"/>
          <w:numId w:val="2"/>
        </w:numPr>
        <w:rPr>
          <w:rFonts w:ascii="Arial" w:eastAsia="Times New Roman" w:hAnsi="Arial" w:cs="Arial"/>
          <w:b/>
          <w:bCs/>
        </w:rPr>
      </w:pPr>
      <w:r w:rsidRPr="005A2452">
        <w:rPr>
          <w:rFonts w:ascii="Arial" w:eastAsia="Times New Roman" w:hAnsi="Arial" w:cs="Arial"/>
          <w:b/>
          <w:bCs/>
        </w:rPr>
        <w:t>We’ll make and test the following changes to the NOFOs to determine if we’ve met our objective:</w:t>
      </w:r>
    </w:p>
    <w:p w:rsidR="00D324F7" w:rsidRPr="005A2452" w:rsidP="00D324F7" w14:paraId="522FCFED" w14:textId="056C066F">
      <w:pPr>
        <w:pStyle w:val="ListParagraph"/>
        <w:numPr>
          <w:ilvl w:val="0"/>
          <w:numId w:val="3"/>
        </w:numPr>
        <w:rPr>
          <w:rFonts w:ascii="Arial" w:eastAsia="Times New Roman" w:hAnsi="Arial" w:cs="Arial"/>
        </w:rPr>
      </w:pPr>
      <w:r w:rsidRPr="005A2452">
        <w:rPr>
          <w:rFonts w:ascii="Arial" w:eastAsia="Times New Roman" w:hAnsi="Arial" w:cs="Arial"/>
        </w:rPr>
        <w:t>Reduc</w:t>
      </w:r>
      <w:r w:rsidRPr="005A2452" w:rsidR="006E3515">
        <w:rPr>
          <w:rFonts w:ascii="Arial" w:eastAsia="Times New Roman" w:hAnsi="Arial" w:cs="Arial"/>
        </w:rPr>
        <w:t>e</w:t>
      </w:r>
      <w:r w:rsidRPr="005A2452">
        <w:rPr>
          <w:rFonts w:ascii="Arial" w:eastAsia="Times New Roman" w:hAnsi="Arial" w:cs="Arial"/>
        </w:rPr>
        <w:t xml:space="preserve"> the total amount of words and pages in a NOFO</w:t>
      </w:r>
    </w:p>
    <w:p w:rsidR="00D324F7" w:rsidRPr="005A2452" w:rsidP="00D324F7" w14:paraId="0F4894E9" w14:textId="21916946">
      <w:pPr>
        <w:pStyle w:val="ListParagraph"/>
        <w:numPr>
          <w:ilvl w:val="0"/>
          <w:numId w:val="3"/>
        </w:numPr>
        <w:rPr>
          <w:rFonts w:ascii="Arial" w:eastAsia="Times New Roman" w:hAnsi="Arial" w:cs="Arial"/>
        </w:rPr>
      </w:pPr>
      <w:r w:rsidRPr="005A2452">
        <w:rPr>
          <w:rFonts w:ascii="Arial" w:eastAsia="Times New Roman" w:hAnsi="Arial" w:cs="Arial"/>
        </w:rPr>
        <w:t>Eliminat</w:t>
      </w:r>
      <w:r w:rsidRPr="005A2452" w:rsidR="006E3515">
        <w:rPr>
          <w:rFonts w:ascii="Arial" w:eastAsia="Times New Roman" w:hAnsi="Arial" w:cs="Arial"/>
        </w:rPr>
        <w:t>e</w:t>
      </w:r>
      <w:r w:rsidRPr="005A2452">
        <w:rPr>
          <w:rFonts w:ascii="Arial" w:eastAsia="Times New Roman" w:hAnsi="Arial" w:cs="Arial"/>
        </w:rPr>
        <w:t xml:space="preserve"> jargon and wri</w:t>
      </w:r>
      <w:r w:rsidRPr="005A2452" w:rsidR="006E3515">
        <w:rPr>
          <w:rFonts w:ascii="Arial" w:eastAsia="Times New Roman" w:hAnsi="Arial" w:cs="Arial"/>
        </w:rPr>
        <w:t>te</w:t>
      </w:r>
      <w:r w:rsidRPr="005A2452">
        <w:rPr>
          <w:rFonts w:ascii="Arial" w:eastAsia="Times New Roman" w:hAnsi="Arial" w:cs="Arial"/>
        </w:rPr>
        <w:t xml:space="preserve"> NOFOs in plain language at or below a 10</w:t>
      </w:r>
      <w:r w:rsidRPr="005A2452">
        <w:rPr>
          <w:rFonts w:ascii="Arial" w:eastAsia="Times New Roman" w:hAnsi="Arial" w:cs="Arial"/>
          <w:vertAlign w:val="superscript"/>
        </w:rPr>
        <w:t>th</w:t>
      </w:r>
      <w:r w:rsidRPr="005A2452">
        <w:rPr>
          <w:rFonts w:ascii="Arial" w:eastAsia="Times New Roman" w:hAnsi="Arial" w:cs="Arial"/>
        </w:rPr>
        <w:t xml:space="preserve"> grade reading level</w:t>
      </w:r>
    </w:p>
    <w:p w:rsidR="00D324F7" w:rsidRPr="005A2452" w:rsidP="00D324F7" w14:paraId="6E857201" w14:textId="1D62F709">
      <w:pPr>
        <w:pStyle w:val="ListParagraph"/>
        <w:numPr>
          <w:ilvl w:val="0"/>
          <w:numId w:val="3"/>
        </w:numPr>
        <w:rPr>
          <w:rFonts w:ascii="Arial" w:eastAsia="Times New Roman" w:hAnsi="Arial" w:cs="Arial"/>
        </w:rPr>
      </w:pPr>
      <w:r w:rsidRPr="005A2452">
        <w:rPr>
          <w:rFonts w:ascii="Arial" w:eastAsia="Times New Roman" w:hAnsi="Arial" w:cs="Arial"/>
        </w:rPr>
        <w:t>Us</w:t>
      </w:r>
      <w:r w:rsidRPr="005A2452" w:rsidR="006E3515">
        <w:rPr>
          <w:rFonts w:ascii="Arial" w:eastAsia="Times New Roman" w:hAnsi="Arial" w:cs="Arial"/>
        </w:rPr>
        <w:t>e</w:t>
      </w:r>
      <w:r w:rsidRPr="005A2452">
        <w:rPr>
          <w:rFonts w:ascii="Arial" w:eastAsia="Times New Roman" w:hAnsi="Arial" w:cs="Arial"/>
        </w:rPr>
        <w:t xml:space="preserve"> common naming conventions for the NOFO sections and components</w:t>
      </w:r>
    </w:p>
    <w:p w:rsidR="00D324F7" w:rsidRPr="005A2452" w:rsidP="00D324F7" w14:paraId="10737585" w14:textId="717F5788">
      <w:pPr>
        <w:pStyle w:val="ListParagraph"/>
        <w:numPr>
          <w:ilvl w:val="0"/>
          <w:numId w:val="3"/>
        </w:numPr>
        <w:rPr>
          <w:rFonts w:ascii="Arial" w:eastAsia="Times New Roman" w:hAnsi="Arial" w:cs="Arial"/>
        </w:rPr>
      </w:pPr>
      <w:r w:rsidRPr="005A2452">
        <w:rPr>
          <w:rFonts w:ascii="Arial" w:eastAsia="Times New Roman" w:hAnsi="Arial" w:cs="Arial"/>
        </w:rPr>
        <w:t>Reduc</w:t>
      </w:r>
      <w:r w:rsidRPr="005A2452" w:rsidR="006E3515">
        <w:rPr>
          <w:rFonts w:ascii="Arial" w:eastAsia="Times New Roman" w:hAnsi="Arial" w:cs="Arial"/>
        </w:rPr>
        <w:t>e</w:t>
      </w:r>
      <w:r w:rsidRPr="005A2452">
        <w:rPr>
          <w:rFonts w:ascii="Arial" w:eastAsia="Times New Roman" w:hAnsi="Arial" w:cs="Arial"/>
        </w:rPr>
        <w:t xml:space="preserve"> the number of steps to apply, including submission requirements &amp; forms</w:t>
      </w:r>
    </w:p>
    <w:p w:rsidR="00D324F7" w:rsidRPr="005A2452" w:rsidP="00D324F7" w14:paraId="38702B2F" w14:textId="6F74315F">
      <w:pPr>
        <w:pStyle w:val="ListParagraph"/>
        <w:numPr>
          <w:ilvl w:val="0"/>
          <w:numId w:val="3"/>
        </w:numPr>
        <w:rPr>
          <w:rFonts w:ascii="Arial" w:eastAsia="Times New Roman" w:hAnsi="Arial" w:cs="Arial"/>
        </w:rPr>
      </w:pPr>
      <w:r w:rsidRPr="005A2452">
        <w:rPr>
          <w:rFonts w:ascii="Arial" w:eastAsia="Times New Roman" w:hAnsi="Arial" w:cs="Arial"/>
        </w:rPr>
        <w:t>Adopt a welcoming tone of voice</w:t>
      </w:r>
    </w:p>
    <w:p w:rsidR="00D324F7" w:rsidRPr="005A2452" w:rsidP="00D324F7" w14:paraId="423588EF" w14:textId="5EE326E0">
      <w:pPr>
        <w:pStyle w:val="ListParagraph"/>
        <w:numPr>
          <w:ilvl w:val="0"/>
          <w:numId w:val="3"/>
        </w:numPr>
        <w:rPr>
          <w:rFonts w:ascii="Arial" w:eastAsia="Times New Roman" w:hAnsi="Arial" w:cs="Arial"/>
        </w:rPr>
      </w:pPr>
      <w:r w:rsidRPr="005A2452">
        <w:rPr>
          <w:rFonts w:ascii="Arial" w:eastAsia="Times New Roman" w:hAnsi="Arial" w:cs="Arial"/>
        </w:rPr>
        <w:t>Add digital bookmarks for easier wayfinding</w:t>
      </w:r>
    </w:p>
    <w:p w:rsidR="006E3515" w:rsidRPr="005A2452" w:rsidP="00D324F7" w14:paraId="64A8EDEC" w14:textId="77777777">
      <w:pPr>
        <w:pStyle w:val="ListParagraph"/>
        <w:numPr>
          <w:ilvl w:val="0"/>
          <w:numId w:val="3"/>
        </w:numPr>
        <w:rPr>
          <w:rFonts w:ascii="Arial" w:eastAsia="Times New Roman" w:hAnsi="Arial" w:cs="Arial"/>
        </w:rPr>
      </w:pPr>
      <w:r w:rsidRPr="005A2452">
        <w:rPr>
          <w:rFonts w:ascii="Arial" w:eastAsia="Times New Roman" w:hAnsi="Arial" w:cs="Arial"/>
        </w:rPr>
        <w:t>Us</w:t>
      </w:r>
      <w:r w:rsidRPr="005A2452">
        <w:rPr>
          <w:rFonts w:ascii="Arial" w:eastAsia="Times New Roman" w:hAnsi="Arial" w:cs="Arial"/>
        </w:rPr>
        <w:t xml:space="preserve">e </w:t>
      </w:r>
      <w:r w:rsidRPr="005A2452">
        <w:rPr>
          <w:rFonts w:ascii="Arial" w:eastAsia="Times New Roman" w:hAnsi="Arial" w:cs="Arial"/>
        </w:rPr>
        <w:t>codified UX/graphic design principles, including optimal line lengths, breadcrumbs, section titles, typographic hierarchy, and visual reinforcements like iconography</w:t>
      </w:r>
    </w:p>
    <w:p w:rsidR="00D324F7" w:rsidRPr="005A2452" w:rsidP="00D324F7" w14:paraId="1AD31104" w14:textId="3875A430">
      <w:pPr>
        <w:pStyle w:val="ListParagraph"/>
        <w:numPr>
          <w:ilvl w:val="0"/>
          <w:numId w:val="3"/>
        </w:numPr>
        <w:rPr>
          <w:rFonts w:ascii="Arial" w:eastAsia="Times New Roman" w:hAnsi="Arial" w:cs="Arial"/>
        </w:rPr>
      </w:pPr>
      <w:r w:rsidRPr="005A2452">
        <w:rPr>
          <w:rFonts w:ascii="Arial" w:eastAsia="Times New Roman" w:hAnsi="Arial" w:cs="Arial"/>
        </w:rPr>
        <w:t>Adhere to</w:t>
      </w:r>
      <w:r w:rsidRPr="005A2452" w:rsidR="00690D2D">
        <w:rPr>
          <w:rFonts w:ascii="Arial" w:eastAsia="Times New Roman" w:hAnsi="Arial" w:cs="Arial"/>
        </w:rPr>
        <w:t xml:space="preserve"> 508 compliance</w:t>
      </w:r>
    </w:p>
    <w:p w:rsidR="00B051DD" w:rsidRPr="005A2452" w:rsidP="00D324F7" w14:paraId="7D8FC8DE" w14:textId="65CE5440">
      <w:pPr>
        <w:pStyle w:val="ListParagraph"/>
        <w:numPr>
          <w:ilvl w:val="0"/>
          <w:numId w:val="3"/>
        </w:numPr>
        <w:rPr>
          <w:rFonts w:ascii="Arial" w:eastAsia="Times New Roman" w:hAnsi="Arial" w:cs="Arial"/>
        </w:rPr>
      </w:pPr>
      <w:r w:rsidRPr="005A2452">
        <w:rPr>
          <w:rFonts w:ascii="Arial" w:eastAsia="Times New Roman" w:hAnsi="Arial" w:cs="Arial"/>
        </w:rPr>
        <w:t>Standardi</w:t>
      </w:r>
      <w:r w:rsidRPr="005A2452" w:rsidR="006E3515">
        <w:rPr>
          <w:rFonts w:ascii="Arial" w:eastAsia="Times New Roman" w:hAnsi="Arial" w:cs="Arial"/>
        </w:rPr>
        <w:t>ze</w:t>
      </w:r>
      <w:r w:rsidRPr="005A2452">
        <w:rPr>
          <w:rFonts w:ascii="Arial" w:eastAsia="Times New Roman" w:hAnsi="Arial" w:cs="Arial"/>
        </w:rPr>
        <w:t xml:space="preserve"> boilerplate language across NOFOs</w:t>
      </w:r>
    </w:p>
    <w:p w:rsidR="00D324F7" w:rsidRPr="005A2452" w:rsidP="00690D2D" w14:paraId="2E409847" w14:textId="77777777">
      <w:pPr>
        <w:rPr>
          <w:rFonts w:ascii="Arial" w:eastAsia="Times New Roman" w:hAnsi="Arial" w:cs="Arial"/>
        </w:rPr>
      </w:pPr>
    </w:p>
    <w:p w:rsidR="00D324F7" w:rsidRPr="005A2452" w:rsidP="00D324F7" w14:paraId="7F1E9CC1" w14:textId="0150ED8C">
      <w:pPr>
        <w:pStyle w:val="ListParagraph"/>
        <w:numPr>
          <w:ilvl w:val="0"/>
          <w:numId w:val="2"/>
        </w:numPr>
        <w:rPr>
          <w:rFonts w:ascii="Arial" w:eastAsia="Times New Roman" w:hAnsi="Arial" w:cs="Arial"/>
          <w:b/>
          <w:bCs/>
        </w:rPr>
      </w:pPr>
      <w:r w:rsidRPr="005A2452">
        <w:rPr>
          <w:rFonts w:ascii="Arial" w:eastAsia="Times New Roman" w:hAnsi="Arial" w:cs="Arial"/>
          <w:b/>
          <w:bCs/>
        </w:rPr>
        <w:t xml:space="preserve">Evaluation </w:t>
      </w:r>
      <w:r w:rsidRPr="005A2452">
        <w:rPr>
          <w:rFonts w:ascii="Arial" w:eastAsia="Times New Roman" w:hAnsi="Arial" w:cs="Arial"/>
        </w:rPr>
        <w:t>(methods paired with metrics from above)</w:t>
      </w:r>
    </w:p>
    <w:p w:rsidR="00556441" w:rsidRPr="005A2452" w:rsidP="00556441" w14:paraId="18B5C517" w14:textId="77777777">
      <w:pPr>
        <w:pStyle w:val="ListParagraph"/>
        <w:rPr>
          <w:rFonts w:ascii="Arial" w:eastAsia="Times New Roman" w:hAnsi="Arial" w:cs="Arial"/>
          <w:b/>
          <w:bCs/>
        </w:rPr>
      </w:pPr>
    </w:p>
    <w:p w:rsidR="00D324F7" w:rsidRPr="005A2452" w:rsidP="00D324F7" w14:paraId="54708475" w14:textId="78659994">
      <w:pPr>
        <w:pStyle w:val="ListParagraph"/>
        <w:numPr>
          <w:ilvl w:val="1"/>
          <w:numId w:val="2"/>
        </w:numPr>
        <w:rPr>
          <w:rFonts w:ascii="Arial" w:eastAsia="Times New Roman" w:hAnsi="Arial" w:cs="Arial"/>
          <w:b/>
          <w:bCs/>
        </w:rPr>
      </w:pPr>
      <w:r w:rsidRPr="005A2452">
        <w:rPr>
          <w:rFonts w:ascii="Arial" w:eastAsia="Times New Roman" w:hAnsi="Arial" w:cs="Arial"/>
          <w:b/>
          <w:bCs/>
          <w:u w:val="single"/>
        </w:rPr>
        <w:t>Applicant surveys post-submission</w:t>
      </w:r>
    </w:p>
    <w:p w:rsidR="004B1B30" w:rsidRPr="005A2452" w:rsidP="004B1B30" w14:paraId="5E36AEE0" w14:textId="16813C32">
      <w:pPr>
        <w:pStyle w:val="ListParagraph"/>
        <w:ind w:firstLine="720"/>
        <w:rPr>
          <w:rFonts w:ascii="Arial" w:eastAsia="Times New Roman" w:hAnsi="Arial" w:cs="Arial"/>
        </w:rPr>
      </w:pPr>
      <w:r w:rsidRPr="005A2452">
        <w:rPr>
          <w:rFonts w:ascii="Arial" w:eastAsia="Times New Roman" w:hAnsi="Arial" w:cs="Arial"/>
        </w:rPr>
        <w:t xml:space="preserve">Evaluating </w:t>
      </w:r>
      <w:r w:rsidR="00796ABC">
        <w:rPr>
          <w:rFonts w:ascii="Arial" w:eastAsia="Times New Roman" w:hAnsi="Arial" w:cs="Arial"/>
        </w:rPr>
        <w:t>NOFO prototypes</w:t>
      </w:r>
    </w:p>
    <w:p w:rsidR="004B1B30" w:rsidRPr="005A2452" w:rsidP="004B1B30" w14:paraId="08B706F7" w14:textId="77777777">
      <w:pPr>
        <w:pStyle w:val="ListParagraph"/>
        <w:ind w:left="1440"/>
        <w:rPr>
          <w:rFonts w:ascii="Arial" w:eastAsia="Times New Roman" w:hAnsi="Arial" w:cs="Arial"/>
          <w:b/>
          <w:bCs/>
        </w:rPr>
      </w:pPr>
    </w:p>
    <w:p w:rsidR="00556441" w:rsidRPr="005A2452" w:rsidP="00556441" w14:paraId="43F0ABD6" w14:textId="7E9CF2CC">
      <w:pPr>
        <w:pStyle w:val="ListParagraph"/>
        <w:ind w:left="1440"/>
        <w:rPr>
          <w:rFonts w:ascii="Arial" w:eastAsia="Times New Roman" w:hAnsi="Arial" w:cs="Arial"/>
        </w:rPr>
      </w:pPr>
      <w:r w:rsidRPr="005A2452">
        <w:rPr>
          <w:rFonts w:ascii="Arial" w:eastAsia="Times New Roman" w:hAnsi="Arial" w:cs="Arial"/>
        </w:rPr>
        <w:t xml:space="preserve">All applicants will receive an </w:t>
      </w:r>
      <w:r w:rsidRPr="005A2452" w:rsidR="005A2452">
        <w:rPr>
          <w:rFonts w:ascii="Arial" w:eastAsia="Times New Roman" w:hAnsi="Arial" w:cs="Arial"/>
        </w:rPr>
        <w:t>o</w:t>
      </w:r>
      <w:r w:rsidRPr="005A2452">
        <w:rPr>
          <w:rFonts w:ascii="Arial" w:eastAsia="Times New Roman" w:hAnsi="Arial" w:cs="Arial"/>
        </w:rPr>
        <w:t xml:space="preserve">pt-in survey following the submission of their </w:t>
      </w:r>
      <w:r w:rsidR="003B28C1">
        <w:rPr>
          <w:rFonts w:ascii="Arial" w:eastAsia="Times New Roman" w:hAnsi="Arial" w:cs="Arial"/>
        </w:rPr>
        <w:t xml:space="preserve">funding opportunity </w:t>
      </w:r>
      <w:r w:rsidRPr="005A2452">
        <w:rPr>
          <w:rFonts w:ascii="Arial" w:eastAsia="Times New Roman" w:hAnsi="Arial" w:cs="Arial"/>
        </w:rPr>
        <w:t xml:space="preserve">application. By including </w:t>
      </w:r>
      <w:r w:rsidRPr="005A2452" w:rsidR="005A2452">
        <w:rPr>
          <w:rFonts w:ascii="Arial" w:eastAsia="Times New Roman" w:hAnsi="Arial" w:cs="Arial"/>
        </w:rPr>
        <w:t xml:space="preserve">all applicants, and not just those who replied to the prototype </w:t>
      </w:r>
      <w:r w:rsidRPr="005A2452">
        <w:rPr>
          <w:rFonts w:ascii="Arial" w:eastAsia="Times New Roman" w:hAnsi="Arial" w:cs="Arial"/>
        </w:rPr>
        <w:t xml:space="preserve">funding opportunities, we can </w:t>
      </w:r>
      <w:r w:rsidR="003B28C1">
        <w:rPr>
          <w:rFonts w:ascii="Arial" w:eastAsia="Times New Roman" w:hAnsi="Arial" w:cs="Arial"/>
        </w:rPr>
        <w:t>collect</w:t>
      </w:r>
      <w:r w:rsidRPr="005A2452">
        <w:rPr>
          <w:rFonts w:ascii="Arial" w:eastAsia="Times New Roman" w:hAnsi="Arial" w:cs="Arial"/>
        </w:rPr>
        <w:t xml:space="preserve"> baseline metrics.</w:t>
      </w:r>
    </w:p>
    <w:p w:rsidR="005A2452" w:rsidRPr="005A2452" w:rsidP="00556441" w14:paraId="393B94C7" w14:textId="3DC776F3">
      <w:pPr>
        <w:pStyle w:val="ListParagraph"/>
        <w:ind w:left="1440"/>
        <w:rPr>
          <w:rFonts w:ascii="Arial" w:eastAsia="Times New Roman" w:hAnsi="Arial" w:cs="Arial"/>
        </w:rPr>
      </w:pPr>
    </w:p>
    <w:p w:rsidR="005A2452" w:rsidRPr="005A2452" w:rsidP="005A2452" w14:paraId="1B9A559F" w14:textId="6AE70019">
      <w:pPr>
        <w:pStyle w:val="ListParagraph"/>
        <w:ind w:left="1440"/>
        <w:rPr>
          <w:rFonts w:ascii="Arial" w:eastAsia="Times New Roman" w:hAnsi="Arial" w:cs="Arial"/>
        </w:rPr>
      </w:pPr>
      <w:r w:rsidRPr="005A2452">
        <w:rPr>
          <w:rFonts w:ascii="Arial" w:eastAsia="Times New Roman" w:hAnsi="Arial" w:cs="Arial"/>
        </w:rPr>
        <w:t xml:space="preserve">N = </w:t>
      </w:r>
      <w:r w:rsidR="004A1D77">
        <w:rPr>
          <w:rFonts w:ascii="Arial" w:eastAsia="Times New Roman" w:hAnsi="Arial" w:cs="Arial"/>
        </w:rPr>
        <w:t>1000 (</w:t>
      </w:r>
      <w:r w:rsidR="003B28C1">
        <w:rPr>
          <w:rFonts w:ascii="Arial" w:eastAsia="Times New Roman" w:hAnsi="Arial" w:cs="Arial"/>
        </w:rPr>
        <w:t>70</w:t>
      </w:r>
      <w:r w:rsidRPr="005A2452">
        <w:rPr>
          <w:rFonts w:ascii="Arial" w:eastAsia="Times New Roman" w:hAnsi="Arial" w:cs="Arial"/>
        </w:rPr>
        <w:t xml:space="preserve">% of NOFO prototype applicants, </w:t>
      </w:r>
      <w:r w:rsidR="003B28C1">
        <w:rPr>
          <w:rFonts w:ascii="Arial" w:eastAsia="Times New Roman" w:hAnsi="Arial" w:cs="Arial"/>
        </w:rPr>
        <w:t xml:space="preserve">at least </w:t>
      </w:r>
      <w:r w:rsidR="00337A09">
        <w:rPr>
          <w:rFonts w:ascii="Arial" w:eastAsia="Times New Roman" w:hAnsi="Arial" w:cs="Arial"/>
        </w:rPr>
        <w:t>40</w:t>
      </w:r>
      <w:r w:rsidRPr="005A2452">
        <w:rPr>
          <w:rFonts w:ascii="Arial" w:eastAsia="Times New Roman" w:hAnsi="Arial" w:cs="Arial"/>
        </w:rPr>
        <w:t>% of general NOFO applicants; outreach through GrantSolutions (if possible)</w:t>
      </w:r>
      <w:r w:rsidR="004A1D77">
        <w:rPr>
          <w:rFonts w:ascii="Arial" w:eastAsia="Times New Roman" w:hAnsi="Arial" w:cs="Arial"/>
        </w:rPr>
        <w:t>)</w:t>
      </w:r>
    </w:p>
    <w:p w:rsidR="005A2452" w:rsidRPr="005A2452" w:rsidP="00556441" w14:paraId="282B2E42" w14:textId="0AD37EB8">
      <w:pPr>
        <w:pStyle w:val="ListParagraph"/>
        <w:ind w:left="1440"/>
        <w:rPr>
          <w:rFonts w:ascii="Arial" w:eastAsia="Times New Roman" w:hAnsi="Arial" w:cs="Arial"/>
        </w:rPr>
      </w:pPr>
    </w:p>
    <w:p w:rsidR="00556441" w:rsidRPr="00655ED7" w:rsidP="005A2452" w14:paraId="2B4E9904" w14:textId="21D3830B">
      <w:pPr>
        <w:pStyle w:val="ListParagraph"/>
        <w:ind w:left="1440"/>
        <w:rPr>
          <w:rFonts w:ascii="Arial" w:eastAsia="Times New Roman" w:hAnsi="Arial" w:cs="Arial"/>
          <w:b/>
          <w:bCs/>
        </w:rPr>
      </w:pPr>
      <w:r w:rsidRPr="00655ED7">
        <w:rPr>
          <w:rFonts w:ascii="Arial" w:eastAsia="Times New Roman" w:hAnsi="Arial" w:cs="Arial"/>
          <w:b/>
          <w:bCs/>
        </w:rPr>
        <w:t>Metrics:</w:t>
      </w:r>
    </w:p>
    <w:p w:rsidR="00D324F7" w:rsidRPr="005A2452" w:rsidP="00D324F7" w14:paraId="7B966F84" w14:textId="492AA663">
      <w:pPr>
        <w:pStyle w:val="ListParagraph"/>
        <w:numPr>
          <w:ilvl w:val="2"/>
          <w:numId w:val="2"/>
        </w:numPr>
        <w:rPr>
          <w:rFonts w:ascii="Arial" w:eastAsia="Times New Roman" w:hAnsi="Arial" w:cs="Arial"/>
        </w:rPr>
      </w:pPr>
      <w:r w:rsidRPr="005A2452">
        <w:rPr>
          <w:rFonts w:ascii="Arial" w:eastAsia="Times New Roman" w:hAnsi="Arial" w:cs="Arial"/>
        </w:rPr>
        <w:t>Amount of time spent on application</w:t>
      </w:r>
      <w:r w:rsidRPr="005A2452" w:rsidR="00B051DD">
        <w:rPr>
          <w:rFonts w:ascii="Arial" w:eastAsia="Times New Roman" w:hAnsi="Arial" w:cs="Arial"/>
        </w:rPr>
        <w:t xml:space="preserve"> </w:t>
      </w:r>
      <w:r w:rsidRPr="005A2452" w:rsidR="00B051DD">
        <w:rPr>
          <w:rFonts w:ascii="Arial" w:eastAsia="Times New Roman" w:hAnsi="Arial" w:cs="Arial"/>
          <w:i/>
          <w:iCs/>
        </w:rPr>
        <w:t>(need a longer conversation around what is baseline; potentially asking this question to all NOFO applicants, not just to those who applied for the prototype awards)</w:t>
      </w:r>
    </w:p>
    <w:p w:rsidR="00D324F7" w:rsidRPr="005A2452" w:rsidP="00D324F7" w14:paraId="55411430" w14:textId="70186B3C">
      <w:pPr>
        <w:pStyle w:val="ListParagraph"/>
        <w:numPr>
          <w:ilvl w:val="2"/>
          <w:numId w:val="2"/>
        </w:numPr>
        <w:rPr>
          <w:rFonts w:ascii="Arial" w:eastAsia="Times New Roman" w:hAnsi="Arial" w:cs="Arial"/>
        </w:rPr>
      </w:pPr>
      <w:r w:rsidRPr="005A2452">
        <w:rPr>
          <w:rFonts w:ascii="Arial" w:eastAsia="Times New Roman" w:hAnsi="Arial" w:cs="Arial"/>
        </w:rPr>
        <w:t>Rating of overall comprehension</w:t>
      </w:r>
    </w:p>
    <w:p w:rsidR="00D62B4B" w:rsidRPr="005A2452" w:rsidP="00D324F7" w14:paraId="73D6BE6D" w14:textId="360F85D1">
      <w:pPr>
        <w:pStyle w:val="ListParagraph"/>
        <w:numPr>
          <w:ilvl w:val="2"/>
          <w:numId w:val="2"/>
        </w:numPr>
        <w:rPr>
          <w:rFonts w:ascii="Arial" w:eastAsia="Times New Roman" w:hAnsi="Arial" w:cs="Arial"/>
        </w:rPr>
      </w:pPr>
      <w:r w:rsidRPr="005A2452">
        <w:rPr>
          <w:rFonts w:ascii="Arial" w:eastAsia="Times New Roman" w:hAnsi="Arial" w:cs="Arial"/>
        </w:rPr>
        <w:t>Rating of overall cognitive overload</w:t>
      </w:r>
    </w:p>
    <w:p w:rsidR="00D324F7" w:rsidRPr="005A2452" w:rsidP="00D324F7" w14:paraId="3CB04B61" w14:textId="0E697219">
      <w:pPr>
        <w:pStyle w:val="ListParagraph"/>
        <w:numPr>
          <w:ilvl w:val="2"/>
          <w:numId w:val="2"/>
        </w:numPr>
        <w:rPr>
          <w:rFonts w:ascii="Arial" w:eastAsia="Times New Roman" w:hAnsi="Arial" w:cs="Arial"/>
        </w:rPr>
      </w:pPr>
      <w:r w:rsidRPr="005A2452">
        <w:rPr>
          <w:rFonts w:ascii="Arial" w:eastAsia="Times New Roman" w:hAnsi="Arial" w:cs="Arial"/>
        </w:rPr>
        <w:t>R</w:t>
      </w:r>
      <w:r w:rsidRPr="005A2452" w:rsidR="00B051DD">
        <w:rPr>
          <w:rFonts w:ascii="Arial" w:eastAsia="Times New Roman" w:hAnsi="Arial" w:cs="Arial"/>
        </w:rPr>
        <w:t>ating</w:t>
      </w:r>
      <w:r w:rsidRPr="005A2452">
        <w:rPr>
          <w:rFonts w:ascii="Arial" w:eastAsia="Times New Roman" w:hAnsi="Arial" w:cs="Arial"/>
        </w:rPr>
        <w:t xml:space="preserve"> of </w:t>
      </w:r>
      <w:r w:rsidRPr="005A2452" w:rsidR="00B051DD">
        <w:rPr>
          <w:rFonts w:ascii="Arial" w:eastAsia="Times New Roman" w:hAnsi="Arial" w:cs="Arial"/>
        </w:rPr>
        <w:t>overall NOFO experience</w:t>
      </w:r>
      <w:r w:rsidRPr="005A2452">
        <w:rPr>
          <w:rFonts w:ascii="Arial" w:eastAsia="Times New Roman" w:hAnsi="Arial" w:cs="Arial"/>
        </w:rPr>
        <w:t>/satisfaction</w:t>
      </w:r>
    </w:p>
    <w:p w:rsidR="00D62B4B" w:rsidRPr="005A2452" w:rsidP="00D324F7" w14:paraId="1EE56D2D" w14:textId="400834C3">
      <w:pPr>
        <w:pStyle w:val="ListParagraph"/>
        <w:numPr>
          <w:ilvl w:val="2"/>
          <w:numId w:val="2"/>
        </w:numPr>
        <w:rPr>
          <w:rFonts w:ascii="Arial" w:eastAsia="Times New Roman" w:hAnsi="Arial" w:cs="Arial"/>
        </w:rPr>
      </w:pPr>
      <w:r w:rsidRPr="005A2452">
        <w:rPr>
          <w:rFonts w:ascii="Arial" w:eastAsia="Times New Roman" w:hAnsi="Arial" w:cs="Arial"/>
        </w:rPr>
        <w:t>Rating of ease of NOFO</w:t>
      </w:r>
    </w:p>
    <w:p w:rsidR="00B051DD" w:rsidRPr="005A2452" w:rsidP="00D324F7" w14:paraId="1D6146F8" w14:textId="64F3406C">
      <w:pPr>
        <w:pStyle w:val="ListParagraph"/>
        <w:numPr>
          <w:ilvl w:val="2"/>
          <w:numId w:val="2"/>
        </w:numPr>
        <w:rPr>
          <w:rFonts w:ascii="Arial" w:eastAsia="Times New Roman" w:hAnsi="Arial" w:cs="Arial"/>
        </w:rPr>
      </w:pPr>
      <w:r w:rsidRPr="005A2452">
        <w:rPr>
          <w:rFonts w:ascii="Arial" w:eastAsia="Times New Roman" w:hAnsi="Arial" w:cs="Arial"/>
        </w:rPr>
        <w:t>Write-in sections to learn why applicants had a positive or negative experience; why it did or did not take a long time to put together an application.</w:t>
      </w:r>
    </w:p>
    <w:p w:rsidR="00556441" w:rsidRPr="005A2452" w:rsidP="00556441" w14:paraId="62FB4DB8" w14:textId="77777777">
      <w:pPr>
        <w:pStyle w:val="ListParagraph"/>
        <w:ind w:left="2160"/>
        <w:rPr>
          <w:rFonts w:ascii="Arial" w:eastAsia="Times New Roman" w:hAnsi="Arial" w:cs="Arial"/>
        </w:rPr>
      </w:pPr>
    </w:p>
    <w:p w:rsidR="005D5B00" w:rsidRPr="005A2452" w:rsidP="005D5B00" w14:paraId="3DDEA4E6" w14:textId="67822A48">
      <w:pPr>
        <w:pStyle w:val="ListParagraph"/>
        <w:numPr>
          <w:ilvl w:val="1"/>
          <w:numId w:val="2"/>
        </w:numPr>
        <w:rPr>
          <w:rFonts w:ascii="Arial" w:eastAsia="Times New Roman" w:hAnsi="Arial" w:cs="Arial"/>
          <w:b/>
          <w:bCs/>
          <w:u w:val="single"/>
        </w:rPr>
      </w:pPr>
      <w:r w:rsidRPr="005A2452">
        <w:rPr>
          <w:rFonts w:ascii="Arial" w:eastAsia="Times New Roman" w:hAnsi="Arial" w:cs="Arial"/>
          <w:b/>
          <w:bCs/>
          <w:u w:val="single"/>
        </w:rPr>
        <w:t>Moderated applicant interviews</w:t>
      </w:r>
    </w:p>
    <w:p w:rsidR="004B1B30" w:rsidRPr="005A2452" w:rsidP="004B1B30" w14:paraId="079CF7FB" w14:textId="4A280A49">
      <w:pPr>
        <w:pStyle w:val="ListParagraph"/>
        <w:ind w:left="1440"/>
        <w:rPr>
          <w:rFonts w:ascii="Arial" w:eastAsia="Times New Roman" w:hAnsi="Arial" w:cs="Arial"/>
        </w:rPr>
      </w:pPr>
      <w:r w:rsidRPr="005A2452">
        <w:rPr>
          <w:rFonts w:ascii="Arial" w:eastAsia="Times New Roman" w:hAnsi="Arial" w:cs="Arial"/>
        </w:rPr>
        <w:t xml:space="preserve">Evaluating </w:t>
      </w:r>
      <w:r w:rsidR="00796ABC">
        <w:rPr>
          <w:rFonts w:ascii="Arial" w:eastAsia="Times New Roman" w:hAnsi="Arial" w:cs="Arial"/>
        </w:rPr>
        <w:t>NOFO prototypes</w:t>
      </w:r>
    </w:p>
    <w:p w:rsidR="004B1B30" w:rsidRPr="005A2452" w:rsidP="004B1B30" w14:paraId="61DE9263" w14:textId="77777777">
      <w:pPr>
        <w:pStyle w:val="ListParagraph"/>
        <w:ind w:left="1440"/>
        <w:rPr>
          <w:rFonts w:ascii="Arial" w:eastAsia="Times New Roman" w:hAnsi="Arial" w:cs="Arial"/>
        </w:rPr>
      </w:pPr>
    </w:p>
    <w:p w:rsidR="00556441" w:rsidRPr="005A2452" w:rsidP="00556441" w14:paraId="6BA2302D" w14:textId="0FC39426">
      <w:pPr>
        <w:pStyle w:val="ListParagraph"/>
        <w:ind w:left="1440"/>
        <w:rPr>
          <w:rFonts w:ascii="Arial" w:eastAsia="Times New Roman" w:hAnsi="Arial" w:cs="Arial"/>
        </w:rPr>
      </w:pPr>
      <w:r w:rsidRPr="005A2452">
        <w:rPr>
          <w:rFonts w:ascii="Arial" w:eastAsia="Times New Roman" w:hAnsi="Arial" w:cs="Arial"/>
        </w:rPr>
        <w:t xml:space="preserve">Applicants who interacted with </w:t>
      </w:r>
      <w:r w:rsidRPr="005A2452" w:rsidR="000D1AAE">
        <w:rPr>
          <w:rFonts w:ascii="Arial" w:eastAsia="Times New Roman" w:hAnsi="Arial" w:cs="Arial"/>
        </w:rPr>
        <w:t>one</w:t>
      </w:r>
      <w:r w:rsidRPr="005A2452">
        <w:rPr>
          <w:rFonts w:ascii="Arial" w:eastAsia="Times New Roman" w:hAnsi="Arial" w:cs="Arial"/>
        </w:rPr>
        <w:t xml:space="preserve"> o</w:t>
      </w:r>
      <w:r w:rsidRPr="005A2452" w:rsidR="000D1AAE">
        <w:rPr>
          <w:rFonts w:ascii="Arial" w:eastAsia="Times New Roman" w:hAnsi="Arial" w:cs="Arial"/>
        </w:rPr>
        <w:t>f the four</w:t>
      </w:r>
      <w:r w:rsidRPr="005A2452">
        <w:rPr>
          <w:rFonts w:ascii="Arial" w:eastAsia="Times New Roman" w:hAnsi="Arial" w:cs="Arial"/>
        </w:rPr>
        <w:t xml:space="preserve"> prototypes will be interviewed by evaluation team members about their experience using the NOFO and applying to the funding opportunity. The questions will be the same or </w:t>
      </w:r>
      <w:r w:rsidRPr="005A2452" w:rsidR="000D1AAE">
        <w:rPr>
          <w:rFonts w:ascii="Arial" w:eastAsia="Times New Roman" w:hAnsi="Arial" w:cs="Arial"/>
        </w:rPr>
        <w:t>like</w:t>
      </w:r>
      <w:r w:rsidRPr="005A2452">
        <w:rPr>
          <w:rFonts w:ascii="Arial" w:eastAsia="Times New Roman" w:hAnsi="Arial" w:cs="Arial"/>
        </w:rPr>
        <w:t xml:space="preserve"> the questions in the survey, but with follow up </w:t>
      </w:r>
      <w:r w:rsidR="003B28C1">
        <w:rPr>
          <w:rFonts w:ascii="Arial" w:eastAsia="Times New Roman" w:hAnsi="Arial" w:cs="Arial"/>
        </w:rPr>
        <w:t>threads</w:t>
      </w:r>
      <w:r w:rsidRPr="005A2452">
        <w:rPr>
          <w:rFonts w:ascii="Arial" w:eastAsia="Times New Roman" w:hAnsi="Arial" w:cs="Arial"/>
        </w:rPr>
        <w:t xml:space="preserve"> to capture deeper qualitative insights.</w:t>
      </w:r>
    </w:p>
    <w:p w:rsidR="005A2452" w:rsidRPr="005A2452" w:rsidP="00556441" w14:paraId="20132657" w14:textId="19B2A78E">
      <w:pPr>
        <w:pStyle w:val="ListParagraph"/>
        <w:ind w:left="1440"/>
        <w:rPr>
          <w:rFonts w:ascii="Arial" w:eastAsia="Times New Roman" w:hAnsi="Arial" w:cs="Arial"/>
        </w:rPr>
      </w:pPr>
    </w:p>
    <w:p w:rsidR="005A2452" w:rsidRPr="005A2452" w:rsidP="005A2452" w14:paraId="75D2C527" w14:textId="31461416">
      <w:pPr>
        <w:pStyle w:val="ListParagraph"/>
        <w:ind w:left="1440"/>
        <w:rPr>
          <w:rFonts w:ascii="Arial" w:eastAsia="Times New Roman" w:hAnsi="Arial" w:cs="Arial"/>
        </w:rPr>
      </w:pPr>
      <w:r w:rsidRPr="005A2452">
        <w:rPr>
          <w:rFonts w:ascii="Arial" w:eastAsia="Times New Roman" w:hAnsi="Arial" w:cs="Arial"/>
        </w:rPr>
        <w:t xml:space="preserve">N = </w:t>
      </w:r>
      <w:r w:rsidR="00B51C60">
        <w:rPr>
          <w:rFonts w:ascii="Arial" w:eastAsia="Times New Roman" w:hAnsi="Arial" w:cs="Arial"/>
        </w:rPr>
        <w:t>2</w:t>
      </w:r>
      <w:r w:rsidR="004A1D77">
        <w:rPr>
          <w:rFonts w:ascii="Arial" w:eastAsia="Times New Roman" w:hAnsi="Arial" w:cs="Arial"/>
        </w:rPr>
        <w:t>00</w:t>
      </w:r>
      <w:r w:rsidRPr="005A2452">
        <w:rPr>
          <w:rFonts w:ascii="Arial" w:eastAsia="Times New Roman" w:hAnsi="Arial" w:cs="Arial"/>
        </w:rPr>
        <w:t>; outreach through Program Leads and through opt-in question on survey.</w:t>
      </w:r>
    </w:p>
    <w:p w:rsidR="00556441" w:rsidRPr="005A2452" w:rsidP="00556441" w14:paraId="7E9FE7EE" w14:textId="3BCE8394">
      <w:pPr>
        <w:pStyle w:val="ListParagraph"/>
        <w:ind w:left="1440"/>
        <w:rPr>
          <w:rFonts w:ascii="Arial" w:eastAsia="Times New Roman" w:hAnsi="Arial" w:cs="Arial"/>
        </w:rPr>
      </w:pPr>
    </w:p>
    <w:p w:rsidR="000D1AAE" w:rsidRPr="00655ED7" w:rsidP="00556441" w14:paraId="7C9AA964" w14:textId="54690F1A">
      <w:pPr>
        <w:pStyle w:val="ListParagraph"/>
        <w:ind w:left="1440"/>
        <w:rPr>
          <w:rFonts w:ascii="Arial" w:eastAsia="Times New Roman" w:hAnsi="Arial" w:cs="Arial"/>
          <w:b/>
          <w:bCs/>
        </w:rPr>
      </w:pPr>
      <w:r w:rsidRPr="00655ED7">
        <w:rPr>
          <w:rFonts w:ascii="Arial" w:eastAsia="Times New Roman" w:hAnsi="Arial" w:cs="Arial"/>
          <w:b/>
          <w:bCs/>
        </w:rPr>
        <w:t>Metrics:</w:t>
      </w:r>
    </w:p>
    <w:p w:rsidR="005D5B00" w:rsidRPr="005A2452" w:rsidP="005D5B00" w14:paraId="2168D057" w14:textId="5520197E">
      <w:pPr>
        <w:pStyle w:val="ListParagraph"/>
        <w:numPr>
          <w:ilvl w:val="2"/>
          <w:numId w:val="2"/>
        </w:numPr>
        <w:rPr>
          <w:rFonts w:ascii="Arial" w:eastAsia="Times New Roman" w:hAnsi="Arial" w:cs="Arial"/>
        </w:rPr>
      </w:pPr>
      <w:r w:rsidRPr="005A2452">
        <w:rPr>
          <w:rFonts w:ascii="Arial" w:eastAsia="Times New Roman" w:hAnsi="Arial" w:cs="Arial"/>
        </w:rPr>
        <w:t xml:space="preserve">Amount of time spent on application </w:t>
      </w:r>
    </w:p>
    <w:p w:rsidR="005D5B00" w:rsidRPr="005A2452" w:rsidP="005D5B00" w14:paraId="4D0D69B4" w14:textId="77777777">
      <w:pPr>
        <w:pStyle w:val="ListParagraph"/>
        <w:numPr>
          <w:ilvl w:val="2"/>
          <w:numId w:val="2"/>
        </w:numPr>
        <w:rPr>
          <w:rFonts w:ascii="Arial" w:eastAsia="Times New Roman" w:hAnsi="Arial" w:cs="Arial"/>
        </w:rPr>
      </w:pPr>
      <w:r w:rsidRPr="005A2452">
        <w:rPr>
          <w:rFonts w:ascii="Arial" w:eastAsia="Times New Roman" w:hAnsi="Arial" w:cs="Arial"/>
        </w:rPr>
        <w:t>Rating of overall comprehension</w:t>
      </w:r>
    </w:p>
    <w:p w:rsidR="005D5B00" w:rsidRPr="005A2452" w:rsidP="005D5B00" w14:paraId="169CFEE7" w14:textId="77777777">
      <w:pPr>
        <w:pStyle w:val="ListParagraph"/>
        <w:numPr>
          <w:ilvl w:val="2"/>
          <w:numId w:val="2"/>
        </w:numPr>
        <w:rPr>
          <w:rFonts w:ascii="Arial" w:eastAsia="Times New Roman" w:hAnsi="Arial" w:cs="Arial"/>
        </w:rPr>
      </w:pPr>
      <w:r w:rsidRPr="005A2452">
        <w:rPr>
          <w:rFonts w:ascii="Arial" w:eastAsia="Times New Roman" w:hAnsi="Arial" w:cs="Arial"/>
        </w:rPr>
        <w:t>Rating of overall cognitive overload</w:t>
      </w:r>
    </w:p>
    <w:p w:rsidR="005D5B00" w:rsidRPr="005A2452" w:rsidP="005D5B00" w14:paraId="1FEB9599" w14:textId="77777777">
      <w:pPr>
        <w:pStyle w:val="ListParagraph"/>
        <w:numPr>
          <w:ilvl w:val="2"/>
          <w:numId w:val="2"/>
        </w:numPr>
        <w:rPr>
          <w:rFonts w:ascii="Arial" w:eastAsia="Times New Roman" w:hAnsi="Arial" w:cs="Arial"/>
        </w:rPr>
      </w:pPr>
      <w:r w:rsidRPr="005A2452">
        <w:rPr>
          <w:rFonts w:ascii="Arial" w:eastAsia="Times New Roman" w:hAnsi="Arial" w:cs="Arial"/>
        </w:rPr>
        <w:t>Rating of overall NOFO experience/satisfaction</w:t>
      </w:r>
    </w:p>
    <w:p w:rsidR="005D5B00" w:rsidRPr="005A2452" w:rsidP="005D5B00" w14:paraId="2BD6D278" w14:textId="77777777">
      <w:pPr>
        <w:pStyle w:val="ListParagraph"/>
        <w:numPr>
          <w:ilvl w:val="2"/>
          <w:numId w:val="2"/>
        </w:numPr>
        <w:rPr>
          <w:rFonts w:ascii="Arial" w:eastAsia="Times New Roman" w:hAnsi="Arial" w:cs="Arial"/>
        </w:rPr>
      </w:pPr>
      <w:r w:rsidRPr="005A2452">
        <w:rPr>
          <w:rFonts w:ascii="Arial" w:eastAsia="Times New Roman" w:hAnsi="Arial" w:cs="Arial"/>
        </w:rPr>
        <w:t>Rating of ease of NOFO</w:t>
      </w:r>
    </w:p>
    <w:p w:rsidR="005D5B00" w:rsidRPr="005A2452" w:rsidP="005D5B00" w14:paraId="655880E9" w14:textId="5C19FCF3">
      <w:pPr>
        <w:pStyle w:val="ListParagraph"/>
        <w:numPr>
          <w:ilvl w:val="2"/>
          <w:numId w:val="2"/>
        </w:numPr>
        <w:rPr>
          <w:rFonts w:ascii="Arial" w:eastAsia="Times New Roman" w:hAnsi="Arial" w:cs="Arial"/>
        </w:rPr>
      </w:pPr>
      <w:r w:rsidRPr="005A2452">
        <w:rPr>
          <w:rFonts w:ascii="Arial" w:eastAsia="Times New Roman" w:hAnsi="Arial" w:cs="Arial"/>
        </w:rPr>
        <w:t xml:space="preserve">Qualitative: </w:t>
      </w:r>
      <w:r w:rsidRPr="005A2452" w:rsidR="00556441">
        <w:rPr>
          <w:rFonts w:ascii="Arial" w:eastAsia="Times New Roman" w:hAnsi="Arial" w:cs="Arial"/>
        </w:rPr>
        <w:t>Why</w:t>
      </w:r>
      <w:r w:rsidRPr="005A2452">
        <w:rPr>
          <w:rFonts w:ascii="Arial" w:eastAsia="Times New Roman" w:hAnsi="Arial" w:cs="Arial"/>
        </w:rPr>
        <w:t xml:space="preserve"> applicants had a positive or negative experience; why it did or did not take a long time to put together an application.</w:t>
      </w:r>
    </w:p>
    <w:p w:rsidR="00556441" w:rsidRPr="005A2452" w:rsidP="00556441" w14:paraId="04BA8871" w14:textId="77777777">
      <w:pPr>
        <w:pStyle w:val="ListParagraph"/>
        <w:ind w:left="2160"/>
        <w:rPr>
          <w:rFonts w:ascii="Arial" w:eastAsia="Times New Roman" w:hAnsi="Arial" w:cs="Arial"/>
        </w:rPr>
      </w:pPr>
    </w:p>
    <w:p w:rsidR="009A1827" w:rsidRPr="005A2452" w:rsidP="00C61D0C" w14:paraId="6E9B072A" w14:textId="0ECB770C">
      <w:pPr>
        <w:pStyle w:val="ListParagraph"/>
        <w:numPr>
          <w:ilvl w:val="1"/>
          <w:numId w:val="2"/>
        </w:numPr>
        <w:rPr>
          <w:rFonts w:ascii="Arial" w:eastAsia="Times New Roman" w:hAnsi="Arial" w:cs="Arial"/>
        </w:rPr>
      </w:pPr>
      <w:r w:rsidRPr="005A2452">
        <w:rPr>
          <w:rFonts w:ascii="Arial" w:eastAsia="Times New Roman" w:hAnsi="Arial" w:cs="Arial"/>
          <w:b/>
          <w:bCs/>
          <w:u w:val="single"/>
        </w:rPr>
        <w:t>Moderated usability tests</w:t>
      </w:r>
      <w:r w:rsidRPr="005A2452">
        <w:rPr>
          <w:rFonts w:ascii="Arial" w:eastAsia="Times New Roman" w:hAnsi="Arial" w:cs="Arial"/>
          <w:b/>
          <w:bCs/>
          <w:u w:val="single"/>
        </w:rPr>
        <w:t xml:space="preserve"> with potential applicants</w:t>
      </w:r>
    </w:p>
    <w:p w:rsidR="00C70D10" w:rsidRPr="005A2452" w:rsidP="009A1827" w14:paraId="4F19F800" w14:textId="223C1C95">
      <w:pPr>
        <w:pStyle w:val="ListParagraph"/>
        <w:ind w:left="1440"/>
        <w:rPr>
          <w:rFonts w:ascii="Arial" w:eastAsia="Times New Roman" w:hAnsi="Arial" w:cs="Arial"/>
        </w:rPr>
      </w:pPr>
      <w:r w:rsidRPr="005A2452">
        <w:rPr>
          <w:rFonts w:ascii="Arial" w:eastAsia="Times New Roman" w:hAnsi="Arial" w:cs="Arial"/>
        </w:rPr>
        <w:t>Evaluating</w:t>
      </w:r>
      <w:r w:rsidR="00796ABC">
        <w:rPr>
          <w:rFonts w:ascii="Arial" w:eastAsia="Times New Roman" w:hAnsi="Arial" w:cs="Arial"/>
        </w:rPr>
        <w:t xml:space="preserve"> NOFO</w:t>
      </w:r>
      <w:r w:rsidRPr="005A2452">
        <w:rPr>
          <w:rFonts w:ascii="Arial" w:eastAsia="Times New Roman" w:hAnsi="Arial" w:cs="Arial"/>
        </w:rPr>
        <w:t xml:space="preserve"> </w:t>
      </w:r>
      <w:r w:rsidR="003B4C24">
        <w:rPr>
          <w:rFonts w:ascii="Arial" w:eastAsia="Times New Roman" w:hAnsi="Arial" w:cs="Arial"/>
        </w:rPr>
        <w:t>individual</w:t>
      </w:r>
      <w:r w:rsidRPr="005A2452">
        <w:rPr>
          <w:rFonts w:ascii="Arial" w:eastAsia="Times New Roman" w:hAnsi="Arial" w:cs="Arial"/>
        </w:rPr>
        <w:t xml:space="preserve"> components </w:t>
      </w:r>
    </w:p>
    <w:p w:rsidR="009A1827" w:rsidRPr="005A2452" w:rsidP="00C70D10" w14:paraId="6E832F02" w14:textId="77777777">
      <w:pPr>
        <w:pStyle w:val="ListParagraph"/>
        <w:ind w:left="1440"/>
        <w:rPr>
          <w:rFonts w:ascii="Arial" w:eastAsia="Times New Roman" w:hAnsi="Arial" w:cs="Arial"/>
        </w:rPr>
      </w:pPr>
    </w:p>
    <w:p w:rsidR="007E7AFD" w:rsidP="007E7AFD" w14:paraId="7E1072FB" w14:textId="11F6A4AA">
      <w:pPr>
        <w:pStyle w:val="ListParagraph"/>
        <w:ind w:left="1440"/>
        <w:rPr>
          <w:rFonts w:ascii="Arial" w:eastAsia="Times New Roman" w:hAnsi="Arial" w:cs="Arial"/>
        </w:rPr>
      </w:pPr>
      <w:r w:rsidRPr="005A2452">
        <w:rPr>
          <w:rFonts w:ascii="Arial" w:eastAsia="Times New Roman" w:hAnsi="Arial" w:cs="Arial"/>
        </w:rPr>
        <w:t xml:space="preserve">Moderated usability tests will be conducted by evaluation team members to assess the effectiveness of </w:t>
      </w:r>
      <w:r w:rsidR="003B4C24">
        <w:rPr>
          <w:rFonts w:ascii="Arial" w:eastAsia="Times New Roman" w:hAnsi="Arial" w:cs="Arial"/>
        </w:rPr>
        <w:t>individual</w:t>
      </w:r>
      <w:r w:rsidRPr="005A2452">
        <w:rPr>
          <w:rFonts w:ascii="Arial" w:eastAsia="Times New Roman" w:hAnsi="Arial" w:cs="Arial"/>
        </w:rPr>
        <w:t xml:space="preserve"> NOFO </w:t>
      </w:r>
      <w:r w:rsidRPr="005A2452" w:rsidR="003B28C1">
        <w:rPr>
          <w:rFonts w:ascii="Arial" w:eastAsia="Times New Roman" w:hAnsi="Arial" w:cs="Arial"/>
        </w:rPr>
        <w:t>components and</w:t>
      </w:r>
      <w:r w:rsidRPr="005A2452">
        <w:rPr>
          <w:rFonts w:ascii="Arial" w:eastAsia="Times New Roman" w:hAnsi="Arial" w:cs="Arial"/>
        </w:rPr>
        <w:t xml:space="preserve"> capture quantitative and qualitative insights from participants.</w:t>
      </w:r>
      <w:r w:rsidRPr="005A2452" w:rsidR="000D1AAE">
        <w:rPr>
          <w:rFonts w:ascii="Arial" w:eastAsia="Times New Roman" w:hAnsi="Arial" w:cs="Arial"/>
        </w:rPr>
        <w:t xml:space="preserve"> They will include </w:t>
      </w:r>
      <w:r w:rsidR="009033B9">
        <w:rPr>
          <w:rFonts w:ascii="Arial" w:eastAsia="Times New Roman" w:hAnsi="Arial" w:cs="Arial"/>
        </w:rPr>
        <w:t>cloze tests</w:t>
      </w:r>
      <w:r w:rsidRPr="005A2452" w:rsidR="000D1AAE">
        <w:rPr>
          <w:rFonts w:ascii="Arial" w:eastAsia="Times New Roman" w:hAnsi="Arial" w:cs="Arial"/>
        </w:rPr>
        <w:t xml:space="preserve"> to measure comprehension, and</w:t>
      </w:r>
      <w:r>
        <w:rPr>
          <w:rFonts w:ascii="Arial" w:eastAsia="Times New Roman" w:hAnsi="Arial" w:cs="Arial"/>
        </w:rPr>
        <w:t xml:space="preserve"> comparative usability tests to measure the effectiveness of various designs.</w:t>
      </w:r>
      <w:r w:rsidRPr="005A2452" w:rsidR="000D1AAE">
        <w:rPr>
          <w:rFonts w:ascii="Arial" w:eastAsia="Times New Roman" w:hAnsi="Arial" w:cs="Arial"/>
        </w:rPr>
        <w:t xml:space="preserve"> </w:t>
      </w:r>
    </w:p>
    <w:p w:rsidR="007E7AFD" w:rsidP="007E7AFD" w14:paraId="0D8F0C55" w14:textId="460077D5">
      <w:pPr>
        <w:pStyle w:val="ListParagraph"/>
        <w:numPr>
          <w:ilvl w:val="0"/>
          <w:numId w:val="11"/>
        </w:numPr>
        <w:rPr>
          <w:rFonts w:ascii="Arial" w:hAnsi="Arial" w:cs="Arial"/>
        </w:rPr>
      </w:pPr>
      <w:r>
        <w:rPr>
          <w:rFonts w:ascii="Arial" w:hAnsi="Arial" w:cs="Arial"/>
        </w:rPr>
        <w:t>Cloze tests</w:t>
      </w:r>
    </w:p>
    <w:p w:rsidR="007E7AFD" w:rsidP="007E7AFD" w14:paraId="0158D3FC" w14:textId="77777777">
      <w:pPr>
        <w:pStyle w:val="ListParagraph"/>
        <w:numPr>
          <w:ilvl w:val="1"/>
          <w:numId w:val="11"/>
        </w:numPr>
        <w:rPr>
          <w:rFonts w:ascii="Arial" w:hAnsi="Arial" w:cs="Arial"/>
        </w:rPr>
      </w:pPr>
      <w:r>
        <w:rPr>
          <w:rFonts w:ascii="Arial" w:hAnsi="Arial" w:cs="Arial"/>
        </w:rPr>
        <w:t>NOFO prototype program summary paragraphs</w:t>
      </w:r>
    </w:p>
    <w:p w:rsidR="007E7AFD" w:rsidP="007E7AFD" w14:paraId="47C9169B" w14:textId="77777777">
      <w:pPr>
        <w:pStyle w:val="ListParagraph"/>
        <w:numPr>
          <w:ilvl w:val="1"/>
          <w:numId w:val="11"/>
        </w:numPr>
        <w:rPr>
          <w:rFonts w:ascii="Arial" w:hAnsi="Arial" w:cs="Arial"/>
        </w:rPr>
      </w:pPr>
      <w:r>
        <w:rPr>
          <w:rFonts w:ascii="Arial" w:hAnsi="Arial" w:cs="Arial"/>
        </w:rPr>
        <w:t>NOFO prototype eligibility paragraphs</w:t>
      </w:r>
    </w:p>
    <w:p w:rsidR="007E7AFD" w:rsidP="007E7AFD" w14:paraId="08750AA9" w14:textId="77777777">
      <w:pPr>
        <w:pStyle w:val="ListParagraph"/>
        <w:numPr>
          <w:ilvl w:val="1"/>
          <w:numId w:val="11"/>
        </w:numPr>
        <w:rPr>
          <w:rFonts w:ascii="Arial" w:hAnsi="Arial" w:cs="Arial"/>
        </w:rPr>
      </w:pPr>
      <w:r>
        <w:rPr>
          <w:rFonts w:ascii="Arial" w:hAnsi="Arial" w:cs="Arial"/>
        </w:rPr>
        <w:t>NOFO prototype registration instructions</w:t>
      </w:r>
    </w:p>
    <w:p w:rsidR="007E7AFD" w:rsidP="007E7AFD" w14:paraId="0D26A5E0" w14:textId="77777777">
      <w:pPr>
        <w:pStyle w:val="ListParagraph"/>
        <w:numPr>
          <w:ilvl w:val="1"/>
          <w:numId w:val="11"/>
        </w:numPr>
        <w:rPr>
          <w:rFonts w:ascii="Arial" w:hAnsi="Arial" w:cs="Arial"/>
        </w:rPr>
      </w:pPr>
      <w:r>
        <w:rPr>
          <w:rFonts w:ascii="Arial" w:hAnsi="Arial" w:cs="Arial"/>
        </w:rPr>
        <w:t xml:space="preserve">NOFO prototype submission requirements </w:t>
      </w:r>
    </w:p>
    <w:p w:rsidR="007E7AFD" w:rsidP="007E7AFD" w14:paraId="1EB649DC" w14:textId="77777777">
      <w:pPr>
        <w:pStyle w:val="ListParagraph"/>
        <w:numPr>
          <w:ilvl w:val="1"/>
          <w:numId w:val="11"/>
        </w:numPr>
        <w:rPr>
          <w:rFonts w:ascii="Arial" w:hAnsi="Arial" w:cs="Arial"/>
        </w:rPr>
      </w:pPr>
      <w:r>
        <w:rPr>
          <w:rFonts w:ascii="Arial" w:hAnsi="Arial" w:cs="Arial"/>
        </w:rPr>
        <w:t>All of the above re-written in a more conversation or formal tone</w:t>
      </w:r>
    </w:p>
    <w:p w:rsidR="007E7AFD" w:rsidRPr="007E7AFD" w:rsidP="007E7AFD" w14:paraId="3E17C1AF" w14:textId="69216019">
      <w:pPr>
        <w:pStyle w:val="ListParagraph"/>
        <w:numPr>
          <w:ilvl w:val="0"/>
          <w:numId w:val="11"/>
        </w:numPr>
        <w:rPr>
          <w:rFonts w:ascii="Arial" w:hAnsi="Arial" w:cs="Arial"/>
        </w:rPr>
      </w:pPr>
      <w:r>
        <w:rPr>
          <w:rFonts w:ascii="Arial" w:hAnsi="Arial" w:cs="Arial"/>
        </w:rPr>
        <w:t>Comparative Usability Tests</w:t>
      </w:r>
    </w:p>
    <w:p w:rsidR="009033B9" w:rsidP="007E7AFD" w14:paraId="12AB4368" w14:textId="77777777">
      <w:pPr>
        <w:pStyle w:val="ListParagraph"/>
        <w:numPr>
          <w:ilvl w:val="1"/>
          <w:numId w:val="11"/>
        </w:numPr>
        <w:rPr>
          <w:rFonts w:ascii="Arial" w:hAnsi="Arial" w:cs="Arial"/>
        </w:rPr>
      </w:pPr>
      <w:r>
        <w:rPr>
          <w:rFonts w:ascii="Arial" w:hAnsi="Arial" w:cs="Arial"/>
        </w:rPr>
        <w:t xml:space="preserve">One-pagers </w:t>
      </w:r>
    </w:p>
    <w:p w:rsidR="009033B9" w:rsidP="007E7AFD" w14:paraId="4F45AE91" w14:textId="77777777">
      <w:pPr>
        <w:pStyle w:val="ListParagraph"/>
        <w:numPr>
          <w:ilvl w:val="1"/>
          <w:numId w:val="11"/>
        </w:numPr>
        <w:rPr>
          <w:rFonts w:ascii="Arial" w:hAnsi="Arial" w:cs="Arial"/>
        </w:rPr>
      </w:pPr>
      <w:r>
        <w:rPr>
          <w:rFonts w:ascii="Arial" w:hAnsi="Arial" w:cs="Arial"/>
        </w:rPr>
        <w:t xml:space="preserve">Submission instructions page </w:t>
      </w:r>
    </w:p>
    <w:p w:rsidR="009033B9" w:rsidRPr="00551376" w:rsidP="007E7AFD" w14:paraId="3F46DCF3" w14:textId="77777777">
      <w:pPr>
        <w:pStyle w:val="ListParagraph"/>
        <w:numPr>
          <w:ilvl w:val="1"/>
          <w:numId w:val="11"/>
        </w:numPr>
        <w:rPr>
          <w:rFonts w:ascii="Arial" w:hAnsi="Arial" w:cs="Arial"/>
        </w:rPr>
      </w:pPr>
      <w:r>
        <w:rPr>
          <w:rFonts w:ascii="Arial" w:hAnsi="Arial" w:cs="Arial"/>
        </w:rPr>
        <w:t xml:space="preserve">Breadcrumb tools </w:t>
      </w:r>
    </w:p>
    <w:p w:rsidR="009033B9" w:rsidP="007E7AFD" w14:paraId="1C971BD0" w14:textId="77777777">
      <w:pPr>
        <w:pStyle w:val="ListParagraph"/>
        <w:numPr>
          <w:ilvl w:val="1"/>
          <w:numId w:val="11"/>
        </w:numPr>
        <w:rPr>
          <w:rFonts w:ascii="Arial" w:hAnsi="Arial" w:cs="Arial"/>
        </w:rPr>
      </w:pPr>
      <w:r>
        <w:rPr>
          <w:rFonts w:ascii="Arial" w:hAnsi="Arial" w:cs="Arial"/>
        </w:rPr>
        <w:t xml:space="preserve">Divider pages </w:t>
      </w:r>
    </w:p>
    <w:p w:rsidR="009033B9" w:rsidP="007E7AFD" w14:paraId="6C12C39D" w14:textId="77777777">
      <w:pPr>
        <w:pStyle w:val="ListParagraph"/>
        <w:numPr>
          <w:ilvl w:val="1"/>
          <w:numId w:val="11"/>
        </w:numPr>
        <w:rPr>
          <w:rFonts w:ascii="Arial" w:hAnsi="Arial" w:cs="Arial"/>
        </w:rPr>
      </w:pPr>
      <w:r>
        <w:rPr>
          <w:rFonts w:ascii="Arial" w:hAnsi="Arial" w:cs="Arial"/>
        </w:rPr>
        <w:t xml:space="preserve">Matching requirement formulas </w:t>
      </w:r>
    </w:p>
    <w:p w:rsidR="009033B9" w:rsidP="007E7AFD" w14:paraId="26E76210" w14:textId="77777777">
      <w:pPr>
        <w:pStyle w:val="ListParagraph"/>
        <w:numPr>
          <w:ilvl w:val="1"/>
          <w:numId w:val="11"/>
        </w:numPr>
        <w:rPr>
          <w:rFonts w:ascii="Arial" w:hAnsi="Arial" w:cs="Arial"/>
        </w:rPr>
      </w:pPr>
      <w:r w:rsidRPr="00943772">
        <w:rPr>
          <w:rFonts w:ascii="Arial" w:hAnsi="Arial" w:cs="Arial"/>
        </w:rPr>
        <w:t xml:space="preserve">Table designs </w:t>
      </w:r>
    </w:p>
    <w:p w:rsidR="009033B9" w:rsidP="007E7AFD" w14:paraId="15A9B564" w14:textId="77777777">
      <w:pPr>
        <w:pStyle w:val="ListParagraph"/>
        <w:numPr>
          <w:ilvl w:val="1"/>
          <w:numId w:val="11"/>
        </w:numPr>
        <w:rPr>
          <w:rFonts w:ascii="Arial" w:hAnsi="Arial" w:cs="Arial"/>
        </w:rPr>
      </w:pPr>
      <w:r>
        <w:rPr>
          <w:rFonts w:ascii="Arial" w:hAnsi="Arial" w:cs="Arial"/>
        </w:rPr>
        <w:t>Page with iconography versus one without</w:t>
      </w:r>
    </w:p>
    <w:p w:rsidR="009033B9" w:rsidP="007E7AFD" w14:paraId="2AA06BEF" w14:textId="77777777">
      <w:pPr>
        <w:pStyle w:val="ListParagraph"/>
        <w:numPr>
          <w:ilvl w:val="1"/>
          <w:numId w:val="11"/>
        </w:numPr>
        <w:rPr>
          <w:rFonts w:ascii="Arial" w:hAnsi="Arial" w:cs="Arial"/>
        </w:rPr>
      </w:pPr>
      <w:r>
        <w:rPr>
          <w:rFonts w:ascii="Arial" w:hAnsi="Arial" w:cs="Arial"/>
        </w:rPr>
        <w:t>Formatting (landscape vs portrait)</w:t>
      </w:r>
    </w:p>
    <w:p w:rsidR="00FF03DE" w:rsidP="00FF03DE" w14:paraId="5FDAEF7F" w14:textId="77777777">
      <w:pPr>
        <w:pStyle w:val="ListParagraph"/>
        <w:rPr>
          <w:rFonts w:ascii="Arial" w:eastAsia="Times New Roman" w:hAnsi="Arial" w:cs="Arial"/>
        </w:rPr>
      </w:pPr>
    </w:p>
    <w:p w:rsidR="00FF03DE" w:rsidRPr="00FF03DE" w:rsidP="00FF03DE" w14:paraId="33A0DAFC" w14:textId="2E7A203E">
      <w:pPr>
        <w:pStyle w:val="ListParagraph"/>
        <w:ind w:left="1440"/>
        <w:rPr>
          <w:rFonts w:ascii="Arial" w:eastAsia="Times New Roman" w:hAnsi="Arial" w:cs="Arial"/>
        </w:rPr>
      </w:pPr>
      <w:r w:rsidRPr="005A2452">
        <w:rPr>
          <w:rFonts w:ascii="Arial" w:eastAsia="Times New Roman" w:hAnsi="Arial" w:cs="Arial"/>
        </w:rPr>
        <w:t xml:space="preserve">N = </w:t>
      </w:r>
      <w:r w:rsidR="00B51C60">
        <w:rPr>
          <w:rFonts w:ascii="Arial" w:eastAsia="Times New Roman" w:hAnsi="Arial" w:cs="Arial"/>
        </w:rPr>
        <w:t>3</w:t>
      </w:r>
      <w:r w:rsidR="004A1D77">
        <w:rPr>
          <w:rFonts w:ascii="Arial" w:eastAsia="Times New Roman" w:hAnsi="Arial" w:cs="Arial"/>
        </w:rPr>
        <w:t>00</w:t>
      </w:r>
      <w:r w:rsidRPr="005A2452">
        <w:rPr>
          <w:rFonts w:ascii="Arial" w:eastAsia="Times New Roman" w:hAnsi="Arial" w:cs="Arial"/>
        </w:rPr>
        <w:t xml:space="preserve"> potential applicants; outreach using Program Leads as credible messengers/connectors to individuals and trade </w:t>
      </w:r>
      <w:r w:rsidRPr="005A2452" w:rsidR="003114E4">
        <w:rPr>
          <w:rFonts w:ascii="Arial" w:eastAsia="Times New Roman" w:hAnsi="Arial" w:cs="Arial"/>
        </w:rPr>
        <w:t>associations and</w:t>
      </w:r>
      <w:r w:rsidRPr="005A2452">
        <w:rPr>
          <w:rFonts w:ascii="Arial" w:eastAsia="Times New Roman" w:hAnsi="Arial" w:cs="Arial"/>
        </w:rPr>
        <w:t xml:space="preserve"> </w:t>
      </w:r>
      <w:r w:rsidR="003B28C1">
        <w:rPr>
          <w:rFonts w:ascii="Arial" w:eastAsia="Times New Roman" w:hAnsi="Arial" w:cs="Arial"/>
        </w:rPr>
        <w:t xml:space="preserve">setting up pop-up testing sites at </w:t>
      </w:r>
      <w:r w:rsidRPr="005A2452">
        <w:rPr>
          <w:rFonts w:ascii="Arial" w:eastAsia="Times New Roman" w:hAnsi="Arial" w:cs="Arial"/>
        </w:rPr>
        <w:t>grant conferences</w:t>
      </w:r>
      <w:r w:rsidR="003B28C1">
        <w:rPr>
          <w:rFonts w:ascii="Arial" w:eastAsia="Times New Roman" w:hAnsi="Arial" w:cs="Arial"/>
        </w:rPr>
        <w:t>.</w:t>
      </w:r>
    </w:p>
    <w:p w:rsidR="000D1AAE" w:rsidRPr="005A2452" w:rsidP="00556441" w14:paraId="4CEB6381" w14:textId="77777777">
      <w:pPr>
        <w:pStyle w:val="ListParagraph"/>
        <w:ind w:left="1440"/>
        <w:rPr>
          <w:rFonts w:ascii="Arial" w:eastAsia="Times New Roman" w:hAnsi="Arial" w:cs="Arial"/>
        </w:rPr>
      </w:pPr>
    </w:p>
    <w:p w:rsidR="00556441" w:rsidRPr="00655ED7" w:rsidP="000D1AAE" w14:paraId="341649CB" w14:textId="121ACD96">
      <w:pPr>
        <w:pStyle w:val="ListParagraph"/>
        <w:ind w:left="1440"/>
        <w:rPr>
          <w:rFonts w:ascii="Arial" w:eastAsia="Times New Roman" w:hAnsi="Arial" w:cs="Arial"/>
          <w:b/>
          <w:bCs/>
        </w:rPr>
      </w:pPr>
      <w:r w:rsidRPr="00655ED7">
        <w:rPr>
          <w:rFonts w:ascii="Arial" w:eastAsia="Times New Roman" w:hAnsi="Arial" w:cs="Arial"/>
          <w:b/>
          <w:bCs/>
        </w:rPr>
        <w:t>Metrics:</w:t>
      </w:r>
    </w:p>
    <w:p w:rsidR="000D1AAE" w:rsidRPr="005A2452" w:rsidP="00D62B4B" w14:paraId="3F6FB70F" w14:textId="69EA299C">
      <w:pPr>
        <w:pStyle w:val="ListParagraph"/>
        <w:numPr>
          <w:ilvl w:val="2"/>
          <w:numId w:val="2"/>
        </w:numPr>
        <w:rPr>
          <w:rFonts w:ascii="Arial" w:eastAsia="Times New Roman" w:hAnsi="Arial" w:cs="Arial"/>
        </w:rPr>
      </w:pPr>
      <w:r>
        <w:rPr>
          <w:rFonts w:ascii="Arial" w:eastAsia="Times New Roman" w:hAnsi="Arial" w:cs="Arial"/>
        </w:rPr>
        <w:t>Cloze test scores</w:t>
      </w:r>
    </w:p>
    <w:p w:rsidR="000D1AAE" w:rsidRPr="005A2452" w:rsidP="00B051DD" w14:paraId="015C02B4" w14:textId="1C4D70A7">
      <w:pPr>
        <w:pStyle w:val="ListParagraph"/>
        <w:numPr>
          <w:ilvl w:val="2"/>
          <w:numId w:val="2"/>
        </w:numPr>
        <w:rPr>
          <w:rFonts w:ascii="Arial" w:eastAsia="Times New Roman" w:hAnsi="Arial" w:cs="Arial"/>
        </w:rPr>
      </w:pPr>
      <w:r w:rsidRPr="005A2452">
        <w:rPr>
          <w:rFonts w:ascii="Arial" w:eastAsia="Times New Roman" w:hAnsi="Arial" w:cs="Arial"/>
        </w:rPr>
        <w:t xml:space="preserve">Rating of NOFO </w:t>
      </w:r>
      <w:r w:rsidR="003B4C24">
        <w:rPr>
          <w:rFonts w:ascii="Arial" w:eastAsia="Times New Roman" w:hAnsi="Arial" w:cs="Arial"/>
        </w:rPr>
        <w:t>individual</w:t>
      </w:r>
      <w:r w:rsidRPr="005A2452">
        <w:rPr>
          <w:rFonts w:ascii="Arial" w:eastAsia="Times New Roman" w:hAnsi="Arial" w:cs="Arial"/>
        </w:rPr>
        <w:t xml:space="preserve"> components</w:t>
      </w:r>
    </w:p>
    <w:p w:rsidR="000D1AAE" w:rsidRPr="005A2452" w:rsidP="000D1AAE" w14:paraId="73F05257" w14:textId="09E9EB52">
      <w:pPr>
        <w:pStyle w:val="ListParagraph"/>
        <w:numPr>
          <w:ilvl w:val="2"/>
          <w:numId w:val="2"/>
        </w:numPr>
        <w:rPr>
          <w:rFonts w:ascii="Arial" w:eastAsia="Times New Roman" w:hAnsi="Arial" w:cs="Arial"/>
        </w:rPr>
      </w:pPr>
      <w:r w:rsidRPr="005A2452">
        <w:rPr>
          <w:rFonts w:ascii="Arial" w:eastAsia="Times New Roman" w:hAnsi="Arial" w:cs="Arial"/>
        </w:rPr>
        <w:t xml:space="preserve">Qualitative: Why users had a positive or negative experience with the </w:t>
      </w:r>
      <w:r w:rsidR="003B4C24">
        <w:rPr>
          <w:rFonts w:ascii="Arial" w:eastAsia="Times New Roman" w:hAnsi="Arial" w:cs="Arial"/>
        </w:rPr>
        <w:t xml:space="preserve">individual </w:t>
      </w:r>
      <w:r w:rsidRPr="005A2452">
        <w:rPr>
          <w:rFonts w:ascii="Arial" w:eastAsia="Times New Roman" w:hAnsi="Arial" w:cs="Arial"/>
        </w:rPr>
        <w:t>components.</w:t>
      </w:r>
    </w:p>
    <w:p w:rsidR="000D1AAE" w:rsidRPr="005A2452" w:rsidP="000D1AAE" w14:paraId="15EBFFD4" w14:textId="77777777">
      <w:pPr>
        <w:rPr>
          <w:rFonts w:ascii="Arial" w:eastAsia="Times New Roman" w:hAnsi="Arial" w:cs="Arial"/>
          <w:u w:val="single"/>
        </w:rPr>
      </w:pPr>
    </w:p>
    <w:p w:rsidR="00D324F7" w:rsidRPr="00DB1D9D" w:rsidP="00DB1D9D" w14:paraId="0E37BE15" w14:textId="7D5B73F4">
      <w:pPr>
        <w:rPr>
          <w:rFonts w:ascii="Arial" w:eastAsia="Times New Roman" w:hAnsi="Arial" w:cs="Arial"/>
          <w:b/>
          <w:bCs/>
          <w:u w:val="single"/>
        </w:rPr>
      </w:pPr>
      <w:r>
        <w:rPr>
          <w:rFonts w:ascii="Arial" w:eastAsia="Times New Roman" w:hAnsi="Arial" w:cs="Arial"/>
          <w:b/>
          <w:bCs/>
          <w:u w:val="single"/>
        </w:rPr>
        <w:t>Analyzing</w:t>
      </w:r>
      <w:r w:rsidRPr="00DB1D9D" w:rsidR="00B051DD">
        <w:rPr>
          <w:rFonts w:ascii="Arial" w:eastAsia="Times New Roman" w:hAnsi="Arial" w:cs="Arial"/>
          <w:b/>
          <w:bCs/>
          <w:u w:val="single"/>
        </w:rPr>
        <w:t xml:space="preserve"> descriptive measures of NOFO characteristics</w:t>
      </w:r>
      <w:r w:rsidRPr="00DB1D9D">
        <w:rPr>
          <w:rFonts w:ascii="Arial" w:eastAsia="Times New Roman" w:hAnsi="Arial" w:cs="Arial"/>
          <w:b/>
          <w:bCs/>
          <w:u w:val="single"/>
        </w:rPr>
        <w:t xml:space="preserve"> </w:t>
      </w:r>
    </w:p>
    <w:p w:rsidR="004B1B30" w:rsidRPr="005A2452" w:rsidP="004B1B30" w14:paraId="004B669C" w14:textId="7799688A">
      <w:pPr>
        <w:pStyle w:val="ListParagraph"/>
        <w:ind w:firstLine="720"/>
        <w:rPr>
          <w:rFonts w:ascii="Arial" w:eastAsia="Times New Roman" w:hAnsi="Arial" w:cs="Arial"/>
        </w:rPr>
      </w:pPr>
      <w:r w:rsidRPr="005A2452">
        <w:rPr>
          <w:rFonts w:ascii="Arial" w:eastAsia="Times New Roman" w:hAnsi="Arial" w:cs="Arial"/>
        </w:rPr>
        <w:t xml:space="preserve">Evaluating </w:t>
      </w:r>
      <w:r w:rsidR="00796ABC">
        <w:rPr>
          <w:rFonts w:ascii="Arial" w:eastAsia="Times New Roman" w:hAnsi="Arial" w:cs="Arial"/>
        </w:rPr>
        <w:t>NOFO prototypes</w:t>
      </w:r>
    </w:p>
    <w:p w:rsidR="004B1B30" w:rsidRPr="005A2452" w:rsidP="005F31ED" w14:paraId="50174F74" w14:textId="77777777">
      <w:pPr>
        <w:pStyle w:val="ListParagraph"/>
        <w:ind w:left="1440"/>
        <w:rPr>
          <w:rFonts w:ascii="Arial" w:eastAsia="Times New Roman" w:hAnsi="Arial" w:cs="Arial"/>
          <w:color w:val="000000" w:themeColor="text1"/>
        </w:rPr>
      </w:pPr>
    </w:p>
    <w:p w:rsidR="005F31ED" w:rsidRPr="005A2452" w:rsidP="005F31ED" w14:paraId="193B103F" w14:textId="67AC17BB">
      <w:pPr>
        <w:pStyle w:val="ListParagraph"/>
        <w:ind w:left="1440"/>
        <w:rPr>
          <w:rFonts w:ascii="Arial" w:eastAsia="Times New Roman" w:hAnsi="Arial" w:cs="Arial"/>
          <w:color w:val="000000" w:themeColor="text1"/>
        </w:rPr>
      </w:pPr>
      <w:r w:rsidRPr="005A2452">
        <w:rPr>
          <w:rFonts w:ascii="Arial" w:eastAsia="Times New Roman" w:hAnsi="Arial" w:cs="Arial"/>
          <w:color w:val="000000" w:themeColor="text1"/>
        </w:rPr>
        <w:t xml:space="preserve">Descriptive statistics of different features of NOFO prototypes using the metrics below. Compare against the previous year’s versions of these NOFOs (baseline) to measure how they have changed. </w:t>
      </w:r>
    </w:p>
    <w:p w:rsidR="005F31ED" w:rsidRPr="005A2452" w:rsidP="005F31ED" w14:paraId="77FAB6D9" w14:textId="77777777">
      <w:pPr>
        <w:pStyle w:val="ListParagraph"/>
        <w:ind w:left="1440"/>
        <w:rPr>
          <w:rFonts w:ascii="Arial" w:eastAsia="Times New Roman" w:hAnsi="Arial" w:cs="Arial"/>
          <w:color w:val="000000" w:themeColor="text1"/>
        </w:rPr>
      </w:pPr>
    </w:p>
    <w:p w:rsidR="005F31ED" w:rsidRPr="005A2452" w:rsidP="005F31ED" w14:paraId="09EB035A" w14:textId="7406B3D2">
      <w:pPr>
        <w:pStyle w:val="ListParagraph"/>
        <w:ind w:left="1440"/>
        <w:rPr>
          <w:rFonts w:ascii="Arial" w:eastAsia="Times New Roman" w:hAnsi="Arial" w:cs="Arial"/>
          <w:color w:val="000000" w:themeColor="text1"/>
        </w:rPr>
      </w:pPr>
      <w:r w:rsidRPr="005A2452">
        <w:rPr>
          <w:rFonts w:ascii="Arial" w:eastAsia="Times New Roman" w:hAnsi="Arial" w:cs="Arial"/>
          <w:color w:val="000000" w:themeColor="text1"/>
        </w:rPr>
        <w:t>E.g., (using example numbers) for NOFO prototypes, the average reading score is grade level 10. This is compared to grade level 13 in the previous year for these same programs, which is a 25% drop.</w:t>
      </w:r>
    </w:p>
    <w:p w:rsidR="005F31ED" w:rsidRPr="005A2452" w:rsidP="005F31ED" w14:paraId="5127F20D" w14:textId="047DC95F">
      <w:pPr>
        <w:pStyle w:val="ListParagraph"/>
        <w:ind w:left="1440"/>
        <w:rPr>
          <w:rFonts w:ascii="Arial" w:eastAsia="Times New Roman" w:hAnsi="Arial" w:cs="Arial"/>
          <w:color w:val="000000" w:themeColor="text1"/>
        </w:rPr>
      </w:pPr>
    </w:p>
    <w:p w:rsidR="005F31ED" w:rsidRPr="00655ED7" w:rsidP="005F31ED" w14:paraId="68A30385" w14:textId="722A2E68">
      <w:pPr>
        <w:pStyle w:val="ListParagraph"/>
        <w:ind w:left="1440"/>
        <w:rPr>
          <w:rFonts w:ascii="Arial" w:eastAsia="Times New Roman" w:hAnsi="Arial" w:cs="Arial"/>
          <w:b/>
          <w:bCs/>
          <w:color w:val="000000" w:themeColor="text1"/>
        </w:rPr>
      </w:pPr>
      <w:r w:rsidRPr="00655ED7">
        <w:rPr>
          <w:rFonts w:ascii="Arial" w:eastAsia="Times New Roman" w:hAnsi="Arial" w:cs="Arial"/>
          <w:b/>
          <w:bCs/>
          <w:color w:val="000000" w:themeColor="text1"/>
        </w:rPr>
        <w:t>Metrics:</w:t>
      </w:r>
    </w:p>
    <w:p w:rsidR="00B051DD" w:rsidRPr="005A2452" w:rsidP="00B051DD" w14:paraId="59BF69A6" w14:textId="77777777">
      <w:pPr>
        <w:pStyle w:val="ListParagraph"/>
        <w:numPr>
          <w:ilvl w:val="2"/>
          <w:numId w:val="2"/>
        </w:numPr>
        <w:rPr>
          <w:rFonts w:ascii="Arial" w:eastAsia="Times New Roman" w:hAnsi="Arial" w:cs="Arial"/>
        </w:rPr>
      </w:pPr>
      <w:r w:rsidRPr="005A2452">
        <w:rPr>
          <w:rFonts w:ascii="Arial" w:eastAsia="Times New Roman" w:hAnsi="Arial" w:cs="Arial"/>
        </w:rPr>
        <w:t>Grade level reading scores</w:t>
      </w:r>
    </w:p>
    <w:p w:rsidR="00B051DD" w:rsidRPr="005A2452" w:rsidP="00B051DD" w14:paraId="2E101305" w14:textId="77777777">
      <w:pPr>
        <w:pStyle w:val="ListParagraph"/>
        <w:numPr>
          <w:ilvl w:val="2"/>
          <w:numId w:val="2"/>
        </w:numPr>
        <w:rPr>
          <w:rFonts w:ascii="Arial" w:eastAsia="Times New Roman" w:hAnsi="Arial" w:cs="Arial"/>
        </w:rPr>
      </w:pPr>
      <w:r w:rsidRPr="005A2452">
        <w:rPr>
          <w:rFonts w:ascii="Arial" w:eastAsia="Times New Roman" w:hAnsi="Arial" w:cs="Arial"/>
        </w:rPr>
        <w:t>Word counts</w:t>
      </w:r>
    </w:p>
    <w:p w:rsidR="00D324F7" w:rsidP="00B051DD" w14:paraId="0B83ECBF" w14:textId="1B945832">
      <w:pPr>
        <w:pStyle w:val="ListParagraph"/>
        <w:numPr>
          <w:ilvl w:val="2"/>
          <w:numId w:val="2"/>
        </w:numPr>
        <w:rPr>
          <w:rFonts w:ascii="Arial" w:eastAsia="Times New Roman" w:hAnsi="Arial" w:cs="Arial"/>
        </w:rPr>
      </w:pPr>
      <w:r w:rsidRPr="005A2452">
        <w:rPr>
          <w:rFonts w:ascii="Arial" w:eastAsia="Times New Roman" w:hAnsi="Arial" w:cs="Arial"/>
        </w:rPr>
        <w:t>PDF accessibility reports</w:t>
      </w:r>
    </w:p>
    <w:p w:rsidR="003B28C1" w:rsidRPr="005A2452" w:rsidP="003B28C1" w14:paraId="25083568" w14:textId="77777777">
      <w:pPr>
        <w:pStyle w:val="ListParagraph"/>
        <w:ind w:left="2160"/>
        <w:rPr>
          <w:rFonts w:ascii="Arial" w:eastAsia="Times New Roman" w:hAnsi="Arial" w:cs="Arial"/>
        </w:rPr>
      </w:pPr>
    </w:p>
    <w:p w:rsidR="00CE182A" w:rsidRPr="005A2452" w:rsidP="00CE182A" w14:paraId="25956EBD" w14:textId="77777777">
      <w:pPr>
        <w:pStyle w:val="ListParagraph"/>
        <w:ind w:left="2160"/>
        <w:rPr>
          <w:rFonts w:ascii="Arial" w:eastAsia="Times New Roman" w:hAnsi="Arial" w:cs="Arial"/>
        </w:rPr>
      </w:pPr>
    </w:p>
    <w:p w:rsidR="00B051DD" w:rsidRPr="00DB1D9D" w:rsidP="00DB1D9D" w14:paraId="25818C19" w14:textId="405D351F">
      <w:pPr>
        <w:rPr>
          <w:rFonts w:ascii="Arial" w:eastAsia="Times New Roman" w:hAnsi="Arial" w:cs="Arial"/>
          <w:b/>
          <w:bCs/>
          <w:u w:val="single"/>
        </w:rPr>
      </w:pPr>
      <w:r>
        <w:rPr>
          <w:rFonts w:ascii="Arial" w:eastAsia="Times New Roman" w:hAnsi="Arial" w:cs="Arial"/>
          <w:b/>
          <w:bCs/>
          <w:u w:val="single"/>
        </w:rPr>
        <w:t xml:space="preserve">Analyzing </w:t>
      </w:r>
      <w:r w:rsidRPr="00DB1D9D">
        <w:rPr>
          <w:rFonts w:ascii="Arial" w:eastAsia="Times New Roman" w:hAnsi="Arial" w:cs="Arial"/>
          <w:b/>
          <w:bCs/>
          <w:u w:val="single"/>
        </w:rPr>
        <w:t>Quantitative measures of the outcomes of NOFO changes</w:t>
      </w:r>
    </w:p>
    <w:p w:rsidR="004B1B30" w:rsidRPr="005A2452" w:rsidP="004B1B30" w14:paraId="294FFA4C" w14:textId="51C7F825">
      <w:pPr>
        <w:pStyle w:val="ListParagraph"/>
        <w:ind w:firstLine="720"/>
        <w:rPr>
          <w:rFonts w:ascii="Arial" w:eastAsia="Times New Roman" w:hAnsi="Arial" w:cs="Arial"/>
        </w:rPr>
      </w:pPr>
      <w:r w:rsidRPr="005A2452">
        <w:rPr>
          <w:rFonts w:ascii="Arial" w:eastAsia="Times New Roman" w:hAnsi="Arial" w:cs="Arial"/>
        </w:rPr>
        <w:t>Evaluating NOFO</w:t>
      </w:r>
      <w:r w:rsidR="00796ABC">
        <w:rPr>
          <w:rFonts w:ascii="Arial" w:eastAsia="Times New Roman" w:hAnsi="Arial" w:cs="Arial"/>
        </w:rPr>
        <w:t xml:space="preserve"> prototypes</w:t>
      </w:r>
    </w:p>
    <w:p w:rsidR="004B1B30" w:rsidRPr="005A2452" w:rsidP="005F31ED" w14:paraId="08D3F471" w14:textId="77777777">
      <w:pPr>
        <w:pStyle w:val="ListParagraph"/>
        <w:ind w:left="1440"/>
        <w:rPr>
          <w:rFonts w:ascii="Arial" w:eastAsia="Times New Roman" w:hAnsi="Arial" w:cs="Arial"/>
          <w:color w:val="000000" w:themeColor="text1"/>
        </w:rPr>
      </w:pPr>
    </w:p>
    <w:p w:rsidR="005F31ED" w:rsidRPr="005A2452" w:rsidP="005F31ED" w14:paraId="215861B8" w14:textId="7C41F153">
      <w:pPr>
        <w:pStyle w:val="ListParagraph"/>
        <w:ind w:left="1440"/>
        <w:rPr>
          <w:rFonts w:ascii="Arial" w:eastAsia="Times New Roman" w:hAnsi="Arial" w:cs="Arial"/>
          <w:color w:val="000000" w:themeColor="text1"/>
        </w:rPr>
      </w:pPr>
      <w:r w:rsidRPr="005A2452">
        <w:rPr>
          <w:rFonts w:ascii="Arial" w:eastAsia="Times New Roman" w:hAnsi="Arial" w:cs="Arial"/>
          <w:color w:val="000000" w:themeColor="text1"/>
        </w:rPr>
        <w:t>Descriptive statistics of program outcomes for NOFO prototypes using the metrics below. Report absolute and comparative measures (using the previous year’s NOFOs as the baseline for comparative measures). Comparative measures should come with the caveat that many other factors, aside from NOFOs, affect program outcomes.</w:t>
      </w:r>
    </w:p>
    <w:p w:rsidR="005F31ED" w:rsidRPr="005A2452" w:rsidP="005F31ED" w14:paraId="77E302E0" w14:textId="77777777">
      <w:pPr>
        <w:pStyle w:val="ListParagraph"/>
        <w:ind w:left="1440"/>
        <w:rPr>
          <w:rFonts w:ascii="Arial" w:eastAsia="Times New Roman" w:hAnsi="Arial" w:cs="Arial"/>
          <w:color w:val="000000" w:themeColor="text1"/>
        </w:rPr>
      </w:pPr>
    </w:p>
    <w:p w:rsidR="005F31ED" w:rsidRPr="005A2452" w:rsidP="005F31ED" w14:paraId="56A98D6F" w14:textId="2341003E">
      <w:pPr>
        <w:pStyle w:val="ListParagraph"/>
        <w:ind w:left="1440"/>
        <w:rPr>
          <w:rFonts w:ascii="Arial" w:eastAsia="Times New Roman" w:hAnsi="Arial" w:cs="Arial"/>
          <w:color w:val="000000" w:themeColor="text1"/>
        </w:rPr>
      </w:pPr>
      <w:r w:rsidRPr="005A2452">
        <w:rPr>
          <w:rFonts w:ascii="Arial" w:eastAsia="Times New Roman" w:hAnsi="Arial" w:cs="Arial"/>
          <w:color w:val="000000" w:themeColor="text1"/>
        </w:rPr>
        <w:t>E.g., (using example numbers) for NOFO prototypes, 80% of applicants meet eligibility criteria. This is compared to 70% in the previous year for these same programs, which is a 14% increase.</w:t>
      </w:r>
    </w:p>
    <w:p w:rsidR="005F31ED" w:rsidRPr="005A2452" w:rsidP="005F31ED" w14:paraId="1AF42DD4" w14:textId="248EEF17">
      <w:pPr>
        <w:pStyle w:val="ListParagraph"/>
        <w:ind w:left="1440"/>
        <w:rPr>
          <w:rFonts w:ascii="Arial" w:eastAsia="Times New Roman" w:hAnsi="Arial" w:cs="Arial"/>
          <w:color w:val="000000" w:themeColor="text1"/>
        </w:rPr>
      </w:pPr>
    </w:p>
    <w:p w:rsidR="005F31ED" w:rsidRPr="00655ED7" w:rsidP="005F31ED" w14:paraId="1A770D5D" w14:textId="554ECEDB">
      <w:pPr>
        <w:pStyle w:val="ListParagraph"/>
        <w:ind w:left="1440"/>
        <w:rPr>
          <w:rFonts w:ascii="Arial" w:eastAsia="Times New Roman" w:hAnsi="Arial" w:cs="Arial"/>
          <w:b/>
          <w:bCs/>
          <w:color w:val="000000" w:themeColor="text1"/>
        </w:rPr>
      </w:pPr>
      <w:r w:rsidRPr="00655ED7">
        <w:rPr>
          <w:rFonts w:ascii="Arial" w:eastAsia="Times New Roman" w:hAnsi="Arial" w:cs="Arial"/>
          <w:b/>
          <w:bCs/>
          <w:color w:val="000000" w:themeColor="text1"/>
        </w:rPr>
        <w:t>Metrics:</w:t>
      </w:r>
    </w:p>
    <w:p w:rsidR="00D324F7" w:rsidRPr="005A2452" w:rsidP="00D324F7" w14:paraId="5656E5F9" w14:textId="77777777">
      <w:pPr>
        <w:pStyle w:val="ListParagraph"/>
        <w:numPr>
          <w:ilvl w:val="2"/>
          <w:numId w:val="2"/>
        </w:numPr>
        <w:rPr>
          <w:rFonts w:ascii="Arial" w:eastAsia="Times New Roman" w:hAnsi="Arial" w:cs="Arial"/>
        </w:rPr>
      </w:pPr>
      <w:r w:rsidRPr="005A2452">
        <w:rPr>
          <w:rFonts w:ascii="Arial" w:eastAsia="Times New Roman" w:hAnsi="Arial" w:cs="Arial"/>
        </w:rPr>
        <w:t>% of applicants that meet eligibility criteria</w:t>
      </w:r>
    </w:p>
    <w:p w:rsidR="00D324F7" w:rsidRPr="005A2452" w:rsidP="00D324F7" w14:paraId="5EC15DFE" w14:textId="0D667249">
      <w:pPr>
        <w:pStyle w:val="ListParagraph"/>
        <w:numPr>
          <w:ilvl w:val="2"/>
          <w:numId w:val="2"/>
        </w:numPr>
        <w:rPr>
          <w:rFonts w:ascii="Arial" w:eastAsia="Times New Roman" w:hAnsi="Arial" w:cs="Arial"/>
        </w:rPr>
      </w:pPr>
      <w:r w:rsidRPr="005A2452">
        <w:rPr>
          <w:rFonts w:ascii="Arial" w:eastAsia="Times New Roman" w:hAnsi="Arial" w:cs="Arial"/>
        </w:rPr>
        <w:t>% of applicants that represent underserved communities</w:t>
      </w:r>
    </w:p>
    <w:p w:rsidR="00B051DD" w:rsidRPr="005A2452" w:rsidP="00D324F7" w14:paraId="2E3B1E1B" w14:textId="4C382BB6">
      <w:pPr>
        <w:pStyle w:val="ListParagraph"/>
        <w:numPr>
          <w:ilvl w:val="2"/>
          <w:numId w:val="2"/>
        </w:numPr>
        <w:rPr>
          <w:rFonts w:ascii="Arial" w:eastAsia="Times New Roman" w:hAnsi="Arial" w:cs="Arial"/>
        </w:rPr>
      </w:pPr>
      <w:r w:rsidRPr="005A2452">
        <w:rPr>
          <w:rFonts w:ascii="Arial" w:eastAsia="Times New Roman" w:hAnsi="Arial" w:cs="Arial"/>
        </w:rPr>
        <w:t xml:space="preserve"># and types of questions received </w:t>
      </w:r>
      <w:r w:rsidRPr="005A2452">
        <w:rPr>
          <w:rFonts w:ascii="Arial" w:eastAsia="Times New Roman" w:hAnsi="Arial" w:cs="Arial"/>
          <w:i/>
          <w:iCs/>
        </w:rPr>
        <w:t>(need to develop a baseline that’s more than anecdotal)</w:t>
      </w:r>
    </w:p>
    <w:p w:rsidR="00D324F7" w:rsidP="00D324F7" w14:paraId="3B3FBFA0" w14:textId="58DA559A">
      <w:pPr>
        <w:pStyle w:val="ListParagraph"/>
        <w:numPr>
          <w:ilvl w:val="2"/>
          <w:numId w:val="2"/>
        </w:numPr>
        <w:rPr>
          <w:rFonts w:ascii="Arial" w:eastAsia="Times New Roman" w:hAnsi="Arial" w:cs="Arial"/>
        </w:rPr>
      </w:pPr>
      <w:r w:rsidRPr="005A2452">
        <w:rPr>
          <w:rFonts w:ascii="Arial" w:eastAsia="Times New Roman" w:hAnsi="Arial" w:cs="Arial"/>
        </w:rPr>
        <w:t>Average score of applications</w:t>
      </w:r>
    </w:p>
    <w:p w:rsidR="00337A09" w:rsidRPr="005A2452" w:rsidP="00D324F7" w14:paraId="4B12E543" w14:textId="1885886D">
      <w:pPr>
        <w:pStyle w:val="ListParagraph"/>
        <w:numPr>
          <w:ilvl w:val="2"/>
          <w:numId w:val="2"/>
        </w:numPr>
        <w:rPr>
          <w:rFonts w:ascii="Arial" w:eastAsia="Times New Roman" w:hAnsi="Arial" w:cs="Arial"/>
        </w:rPr>
      </w:pPr>
      <w:r>
        <w:rPr>
          <w:rFonts w:ascii="Arial" w:eastAsia="Times New Roman" w:hAnsi="Arial" w:cs="Arial"/>
        </w:rPr>
        <w:t xml:space="preserve">Abandonment rate </w:t>
      </w:r>
    </w:p>
    <w:p w:rsidR="00FC4214" w14:paraId="3ED0D66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E2F93"/>
    <w:multiLevelType w:val="hybridMultilevel"/>
    <w:tmpl w:val="B97EB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821506"/>
    <w:multiLevelType w:val="hybridMultilevel"/>
    <w:tmpl w:val="9D58E69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
    <w:nsid w:val="29A854B5"/>
    <w:multiLevelType w:val="hybridMultilevel"/>
    <w:tmpl w:val="E5FEE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BA7488"/>
    <w:multiLevelType w:val="hybridMultilevel"/>
    <w:tmpl w:val="6138354A"/>
    <w:lvl w:ilvl="0">
      <w:start w:val="9"/>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355705E8"/>
    <w:multiLevelType w:val="hybridMultilevel"/>
    <w:tmpl w:val="4EBE5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D010B4"/>
    <w:multiLevelType w:val="hybridMultilevel"/>
    <w:tmpl w:val="DE66783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4A991A42"/>
    <w:multiLevelType w:val="hybridMultilevel"/>
    <w:tmpl w:val="A20E61FE"/>
    <w:lvl w:ilvl="0">
      <w:start w:val="1"/>
      <w:numFmt w:val="decimal"/>
      <w:lvlText w:val="%1."/>
      <w:lvlJc w:val="left"/>
      <w:pPr>
        <w:ind w:left="720" w:hanging="360"/>
      </w:pPr>
      <w:rPr>
        <w:rFonts w:eastAsiaTheme="minorHAnsi"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457AB1"/>
    <w:multiLevelType w:val="hybridMultilevel"/>
    <w:tmpl w:val="6A907084"/>
    <w:lvl w:ilvl="0">
      <w:start w:val="50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FE66FB"/>
    <w:multiLevelType w:val="hybridMultilevel"/>
    <w:tmpl w:val="6254C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156E39"/>
    <w:multiLevelType w:val="hybridMultilevel"/>
    <w:tmpl w:val="2A601BB8"/>
    <w:lvl w:ilvl="0">
      <w:start w:val="508"/>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E06D9E"/>
    <w:multiLevelType w:val="hybridMultilevel"/>
    <w:tmpl w:val="75B8B9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BA23F36"/>
    <w:multiLevelType w:val="hybridMultilevel"/>
    <w:tmpl w:val="95CAC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F45E6C"/>
    <w:multiLevelType w:val="hybridMultilevel"/>
    <w:tmpl w:val="6C3233F8"/>
    <w:lvl w:ilvl="0">
      <w:start w:val="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9923293">
    <w:abstractNumId w:val="9"/>
  </w:num>
  <w:num w:numId="2" w16cid:durableId="1661809539">
    <w:abstractNumId w:val="6"/>
  </w:num>
  <w:num w:numId="3" w16cid:durableId="1649162314">
    <w:abstractNumId w:val="10"/>
  </w:num>
  <w:num w:numId="4" w16cid:durableId="773398288">
    <w:abstractNumId w:val="7"/>
  </w:num>
  <w:num w:numId="5" w16cid:durableId="567616186">
    <w:abstractNumId w:val="2"/>
  </w:num>
  <w:num w:numId="6" w16cid:durableId="1340959925">
    <w:abstractNumId w:val="11"/>
  </w:num>
  <w:num w:numId="7" w16cid:durableId="2136605576">
    <w:abstractNumId w:val="1"/>
  </w:num>
  <w:num w:numId="8" w16cid:durableId="415397158">
    <w:abstractNumId w:val="0"/>
  </w:num>
  <w:num w:numId="9" w16cid:durableId="974988617">
    <w:abstractNumId w:val="12"/>
  </w:num>
  <w:num w:numId="10" w16cid:durableId="702096794">
    <w:abstractNumId w:val="4"/>
  </w:num>
  <w:num w:numId="11" w16cid:durableId="508449739">
    <w:abstractNumId w:val="5"/>
  </w:num>
  <w:num w:numId="12" w16cid:durableId="160436396">
    <w:abstractNumId w:val="3"/>
  </w:num>
  <w:num w:numId="13" w16cid:durableId="1843546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F7"/>
    <w:rsid w:val="000174ED"/>
    <w:rsid w:val="000238E2"/>
    <w:rsid w:val="000B03D0"/>
    <w:rsid w:val="000B404C"/>
    <w:rsid w:val="000C17A5"/>
    <w:rsid w:val="000D1AAE"/>
    <w:rsid w:val="000D5D30"/>
    <w:rsid w:val="000F35E7"/>
    <w:rsid w:val="00117ED5"/>
    <w:rsid w:val="00132C37"/>
    <w:rsid w:val="001A199E"/>
    <w:rsid w:val="001B5E2D"/>
    <w:rsid w:val="001C390C"/>
    <w:rsid w:val="001D2B00"/>
    <w:rsid w:val="00261588"/>
    <w:rsid w:val="002640AB"/>
    <w:rsid w:val="002667D1"/>
    <w:rsid w:val="00294EC3"/>
    <w:rsid w:val="002E5395"/>
    <w:rsid w:val="003114E4"/>
    <w:rsid w:val="003205A3"/>
    <w:rsid w:val="00337A09"/>
    <w:rsid w:val="00344423"/>
    <w:rsid w:val="003B28C1"/>
    <w:rsid w:val="003B4C24"/>
    <w:rsid w:val="003C6F31"/>
    <w:rsid w:val="004277C6"/>
    <w:rsid w:val="00445AA9"/>
    <w:rsid w:val="00464A90"/>
    <w:rsid w:val="004660C6"/>
    <w:rsid w:val="0048435C"/>
    <w:rsid w:val="004960E3"/>
    <w:rsid w:val="004A110B"/>
    <w:rsid w:val="004A1D77"/>
    <w:rsid w:val="004B1B30"/>
    <w:rsid w:val="00507105"/>
    <w:rsid w:val="00551376"/>
    <w:rsid w:val="00556441"/>
    <w:rsid w:val="00590730"/>
    <w:rsid w:val="005A2452"/>
    <w:rsid w:val="005C7882"/>
    <w:rsid w:val="005D5B00"/>
    <w:rsid w:val="005F31ED"/>
    <w:rsid w:val="006027F2"/>
    <w:rsid w:val="00655ED7"/>
    <w:rsid w:val="00686B58"/>
    <w:rsid w:val="00690D2D"/>
    <w:rsid w:val="006E3515"/>
    <w:rsid w:val="006E637D"/>
    <w:rsid w:val="006E7E59"/>
    <w:rsid w:val="006F254F"/>
    <w:rsid w:val="00796ABC"/>
    <w:rsid w:val="007A6D63"/>
    <w:rsid w:val="007E7AFD"/>
    <w:rsid w:val="00823191"/>
    <w:rsid w:val="00826A35"/>
    <w:rsid w:val="008419B5"/>
    <w:rsid w:val="008571E4"/>
    <w:rsid w:val="00884F2C"/>
    <w:rsid w:val="008A425A"/>
    <w:rsid w:val="008C4F55"/>
    <w:rsid w:val="008E76BA"/>
    <w:rsid w:val="009003F8"/>
    <w:rsid w:val="009033B9"/>
    <w:rsid w:val="009265D6"/>
    <w:rsid w:val="00943772"/>
    <w:rsid w:val="00962385"/>
    <w:rsid w:val="0099545B"/>
    <w:rsid w:val="009A1827"/>
    <w:rsid w:val="009C09BE"/>
    <w:rsid w:val="009D125F"/>
    <w:rsid w:val="009D4CF2"/>
    <w:rsid w:val="00A546E8"/>
    <w:rsid w:val="00AC63B6"/>
    <w:rsid w:val="00B051DD"/>
    <w:rsid w:val="00B12BEC"/>
    <w:rsid w:val="00B17F57"/>
    <w:rsid w:val="00B27043"/>
    <w:rsid w:val="00B43CA3"/>
    <w:rsid w:val="00B51C60"/>
    <w:rsid w:val="00B91E4D"/>
    <w:rsid w:val="00C50048"/>
    <w:rsid w:val="00C61D0C"/>
    <w:rsid w:val="00C70D10"/>
    <w:rsid w:val="00CA0B23"/>
    <w:rsid w:val="00CB555A"/>
    <w:rsid w:val="00CD6025"/>
    <w:rsid w:val="00CE182A"/>
    <w:rsid w:val="00D12F9E"/>
    <w:rsid w:val="00D14F48"/>
    <w:rsid w:val="00D324F7"/>
    <w:rsid w:val="00D62B4B"/>
    <w:rsid w:val="00D6445A"/>
    <w:rsid w:val="00D6693D"/>
    <w:rsid w:val="00D66B23"/>
    <w:rsid w:val="00D969E5"/>
    <w:rsid w:val="00D97637"/>
    <w:rsid w:val="00DB1D9D"/>
    <w:rsid w:val="00DF52E7"/>
    <w:rsid w:val="00E76DC2"/>
    <w:rsid w:val="00E8193E"/>
    <w:rsid w:val="00F94ED2"/>
    <w:rsid w:val="00FC4214"/>
    <w:rsid w:val="00FF031D"/>
    <w:rsid w:val="00FF03DE"/>
    <w:rsid w:val="00FF2F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9ADB98"/>
  <w15:chartTrackingRefBased/>
  <w15:docId w15:val="{DFF3ACA1-620D-475E-9DF6-B607D9A2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4F7"/>
    <w:pPr>
      <w:ind w:left="720"/>
      <w:contextualSpacing/>
    </w:pPr>
  </w:style>
  <w:style w:type="table" w:styleId="TableGrid">
    <w:name w:val="Table Grid"/>
    <w:basedOn w:val="TableNormal"/>
    <w:uiPriority w:val="39"/>
    <w:rsid w:val="00D3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24F7"/>
    <w:rPr>
      <w:sz w:val="16"/>
      <w:szCs w:val="16"/>
    </w:rPr>
  </w:style>
  <w:style w:type="paragraph" w:styleId="CommentText">
    <w:name w:val="annotation text"/>
    <w:basedOn w:val="Normal"/>
    <w:link w:val="CommentTextChar"/>
    <w:uiPriority w:val="99"/>
    <w:unhideWhenUsed/>
    <w:rsid w:val="00D324F7"/>
    <w:pPr>
      <w:spacing w:line="240" w:lineRule="auto"/>
    </w:pPr>
    <w:rPr>
      <w:sz w:val="20"/>
      <w:szCs w:val="20"/>
    </w:rPr>
  </w:style>
  <w:style w:type="character" w:customStyle="1" w:styleId="CommentTextChar">
    <w:name w:val="Comment Text Char"/>
    <w:basedOn w:val="DefaultParagraphFont"/>
    <w:link w:val="CommentText"/>
    <w:uiPriority w:val="99"/>
    <w:rsid w:val="00D324F7"/>
    <w:rPr>
      <w:sz w:val="20"/>
      <w:szCs w:val="20"/>
    </w:rPr>
  </w:style>
  <w:style w:type="paragraph" w:styleId="CommentSubject">
    <w:name w:val="annotation subject"/>
    <w:basedOn w:val="CommentText"/>
    <w:next w:val="CommentText"/>
    <w:link w:val="CommentSubjectChar"/>
    <w:uiPriority w:val="99"/>
    <w:semiHidden/>
    <w:unhideWhenUsed/>
    <w:rsid w:val="00B12BEC"/>
    <w:rPr>
      <w:b/>
      <w:bCs/>
    </w:rPr>
  </w:style>
  <w:style w:type="character" w:customStyle="1" w:styleId="CommentSubjectChar">
    <w:name w:val="Comment Subject Char"/>
    <w:basedOn w:val="CommentTextChar"/>
    <w:link w:val="CommentSubject"/>
    <w:uiPriority w:val="99"/>
    <w:semiHidden/>
    <w:rsid w:val="00B12B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Ianacone, Emily (OS/ASFR)</dc:creator>
  <cp:lastModifiedBy>HHS/Office of Grants</cp:lastModifiedBy>
  <cp:revision>3</cp:revision>
  <dcterms:created xsi:type="dcterms:W3CDTF">2023-06-25T20:07:00Z</dcterms:created>
  <dcterms:modified xsi:type="dcterms:W3CDTF">2023-06-25T20:10:00Z</dcterms:modified>
</cp:coreProperties>
</file>