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00000" w:rsidP="00950AE6" w14:paraId="3C3FD4E6" w14:textId="77777777">
      <w:pPr>
        <w:pStyle w:val="Heading1"/>
        <w:ind w:left="720"/>
      </w:pPr>
      <w:r>
        <w:t>B.</w:t>
      </w:r>
      <w:r>
        <w:tab/>
        <w:t>Collection of Information Employing Statistical Methods</w:t>
      </w:r>
    </w:p>
    <w:p w:rsidR="00000000" w14:paraId="77D74EB9" w14:textId="77777777">
      <w:pPr>
        <w:pStyle w:val="Heading1"/>
        <w:ind w:left="720"/>
      </w:pPr>
    </w:p>
    <w:p w:rsidR="00000000" w:rsidP="00950AE6" w14:paraId="19F400E0" w14:textId="77777777">
      <w:pPr>
        <w:numPr>
          <w:ilvl w:val="0"/>
          <w:numId w:val="1"/>
        </w:numPr>
        <w:rPr>
          <w:b/>
          <w:bCs/>
          <w:sz w:val="24"/>
        </w:rPr>
      </w:pPr>
      <w:r>
        <w:rPr>
          <w:b/>
          <w:bCs/>
          <w:sz w:val="24"/>
        </w:rPr>
        <w:t>Respondent Universe and Sampling Methods</w:t>
      </w:r>
    </w:p>
    <w:p w:rsidR="00950AE6" w:rsidP="00950AE6" w14:paraId="40D259FB" w14:textId="77777777">
      <w:pPr>
        <w:rPr>
          <w:b/>
          <w:bCs/>
          <w:sz w:val="24"/>
        </w:rPr>
      </w:pPr>
    </w:p>
    <w:p w:rsidR="00950AE6" w14:paraId="60D2CC65" w14:textId="77777777">
      <w:pPr>
        <w:ind w:left="720"/>
        <w:rPr>
          <w:sz w:val="24"/>
        </w:rPr>
      </w:pPr>
      <w:r w:rsidRPr="00950AE6">
        <w:rPr>
          <w:sz w:val="24"/>
        </w:rPr>
        <w:t>The respondents will be comprised of future/potential applicants to federal funding mechanisms (grants and/or cooperative agreements). The collections are low-burden for respondents (based on considerations of total burden hours, total number of respondents, or burden-hours per respondent) and are low-cost for both the respondents and the Federal Government.</w:t>
      </w:r>
    </w:p>
    <w:p w:rsidR="00000000" w14:paraId="11F83335" w14:textId="77777777">
      <w:pPr>
        <w:ind w:left="720"/>
        <w:rPr>
          <w:sz w:val="24"/>
        </w:rPr>
      </w:pPr>
    </w:p>
    <w:p w:rsidR="00000000" w:rsidP="007E5359" w14:paraId="79D13D09" w14:textId="77777777">
      <w:pPr>
        <w:numPr>
          <w:ilvl w:val="0"/>
          <w:numId w:val="1"/>
        </w:numPr>
        <w:rPr>
          <w:b/>
          <w:bCs/>
          <w:sz w:val="24"/>
        </w:rPr>
      </w:pPr>
      <w:r>
        <w:rPr>
          <w:b/>
          <w:bCs/>
          <w:sz w:val="24"/>
        </w:rPr>
        <w:t>Procedures for the Collection of Information</w:t>
      </w:r>
    </w:p>
    <w:p w:rsidR="007E5359" w:rsidRPr="007E5359" w:rsidP="007E5359" w14:paraId="6B1F78BB" w14:textId="77777777">
      <w:pPr>
        <w:ind w:left="720"/>
        <w:rPr>
          <w:sz w:val="24"/>
        </w:rPr>
      </w:pPr>
      <w:r>
        <w:rPr>
          <w:sz w:val="24"/>
        </w:rPr>
        <w:t>Instruments/guides for data collection listed below will be attached with this statement. Additionally, an evaluation plan is also attached for your convenience.</w:t>
      </w:r>
    </w:p>
    <w:p w:rsidR="00ED19B1" w14:paraId="31677E84" w14:textId="77777777">
      <w:pPr>
        <w:ind w:left="720"/>
        <w:rPr>
          <w:sz w:val="24"/>
        </w:rPr>
      </w:pPr>
    </w:p>
    <w:p w:rsidR="00ED19B1" w14:paraId="6A6D6D09" w14:textId="77777777">
      <w:pPr>
        <w:ind w:left="720"/>
        <w:rPr>
          <w:b/>
          <w:bCs/>
          <w:sz w:val="24"/>
        </w:rPr>
      </w:pPr>
      <w:r w:rsidRPr="00ED19B1">
        <w:rPr>
          <w:b/>
          <w:bCs/>
          <w:sz w:val="24"/>
        </w:rPr>
        <w:t>Post-submission survey</w:t>
      </w:r>
    </w:p>
    <w:p w:rsidR="007E5359" w14:paraId="02FCDF5F" w14:textId="77777777">
      <w:pPr>
        <w:ind w:left="720"/>
        <w:rPr>
          <w:sz w:val="24"/>
        </w:rPr>
      </w:pPr>
      <w:r>
        <w:rPr>
          <w:sz w:val="24"/>
        </w:rPr>
        <w:t xml:space="preserve">Upon submission on Grants.Gov of an application package in response to a Notice of Funding Opportunity (NOFO), potential applicants will encounter a </w:t>
      </w:r>
      <w:r w:rsidRPr="007E5359">
        <w:rPr>
          <w:sz w:val="24"/>
        </w:rPr>
        <w:t>voluntary survey</w:t>
      </w:r>
      <w:r w:rsidR="00B44B7D">
        <w:rPr>
          <w:sz w:val="24"/>
        </w:rPr>
        <w:t xml:space="preserve"> (10-15 mins)</w:t>
      </w:r>
      <w:r w:rsidRPr="007E5359">
        <w:rPr>
          <w:sz w:val="24"/>
        </w:rPr>
        <w:t xml:space="preserve"> that pops up in after </w:t>
      </w:r>
      <w:r>
        <w:rPr>
          <w:sz w:val="24"/>
        </w:rPr>
        <w:t>they submit their response to an</w:t>
      </w:r>
      <w:r w:rsidRPr="007E5359">
        <w:rPr>
          <w:sz w:val="24"/>
        </w:rPr>
        <w:t xml:space="preserve"> ACL, ACF, CDC, or SAMHSA </w:t>
      </w:r>
      <w:r>
        <w:rPr>
          <w:sz w:val="24"/>
        </w:rPr>
        <w:t>NOFO. Given the nature of funding mechanisms, it is impossible to estimate how many applications will be received by each awarding agency as many factors including funding impact the number of applicants on an annual basis. However, a sample size of 1000 participants provides enough statistical power to make assumptions based on findings.</w:t>
      </w:r>
    </w:p>
    <w:p w:rsidR="007E5359" w:rsidRPr="007E5359" w14:paraId="3A11DE9C" w14:textId="77777777">
      <w:pPr>
        <w:ind w:left="720"/>
        <w:rPr>
          <w:sz w:val="24"/>
        </w:rPr>
      </w:pPr>
    </w:p>
    <w:p w:rsidR="00ED19B1" w:rsidRPr="00ED19B1" w14:paraId="5A95C8C2" w14:textId="77777777">
      <w:pPr>
        <w:ind w:left="720"/>
        <w:rPr>
          <w:b/>
          <w:bCs/>
          <w:sz w:val="24"/>
        </w:rPr>
      </w:pPr>
      <w:r w:rsidRPr="00ED19B1">
        <w:rPr>
          <w:b/>
          <w:bCs/>
          <w:sz w:val="24"/>
        </w:rPr>
        <w:t>Post-submission interview</w:t>
      </w:r>
    </w:p>
    <w:p w:rsidR="007E5359" w14:paraId="3F43B343" w14:textId="77777777">
      <w:pPr>
        <w:ind w:left="720"/>
        <w:rPr>
          <w:sz w:val="24"/>
        </w:rPr>
      </w:pPr>
      <w:r>
        <w:rPr>
          <w:sz w:val="24"/>
        </w:rPr>
        <w:t xml:space="preserve">Survey participants who were interested in sharing additional experiences and who applied for the </w:t>
      </w:r>
      <w:r w:rsidR="00B44B7D">
        <w:rPr>
          <w:sz w:val="24"/>
        </w:rPr>
        <w:t xml:space="preserve">awards that had NOFO prototypes will be scheduled for a </w:t>
      </w:r>
      <w:r w:rsidR="00B44B7D">
        <w:rPr>
          <w:sz w:val="24"/>
        </w:rPr>
        <w:t>60 minute</w:t>
      </w:r>
      <w:r w:rsidR="00B44B7D">
        <w:rPr>
          <w:sz w:val="24"/>
        </w:rPr>
        <w:t xml:space="preserve"> interview. The anonymous feedback gathered would be </w:t>
      </w:r>
      <w:r w:rsidRPr="00B44B7D" w:rsidR="00B44B7D">
        <w:rPr>
          <w:sz w:val="24"/>
        </w:rPr>
        <w:t>valuable in informing the redesign of the grant announcement and help ensure it is accessible for future applicants</w:t>
      </w:r>
      <w:r w:rsidR="00B44B7D">
        <w:rPr>
          <w:sz w:val="24"/>
        </w:rPr>
        <w:t>.</w:t>
      </w:r>
    </w:p>
    <w:p w:rsidR="00B44B7D" w:rsidRPr="007E5359" w14:paraId="2340E3B0" w14:textId="77777777">
      <w:pPr>
        <w:ind w:left="720"/>
        <w:rPr>
          <w:sz w:val="24"/>
        </w:rPr>
      </w:pPr>
    </w:p>
    <w:p w:rsidR="00ED19B1" w:rsidRPr="00ED19B1" w14:paraId="0B6BA252" w14:textId="77777777">
      <w:pPr>
        <w:ind w:left="720"/>
        <w:rPr>
          <w:b/>
          <w:bCs/>
          <w:sz w:val="24"/>
        </w:rPr>
      </w:pPr>
      <w:r w:rsidRPr="00ED19B1">
        <w:rPr>
          <w:b/>
          <w:bCs/>
          <w:sz w:val="24"/>
        </w:rPr>
        <w:t>Moderated usability test</w:t>
      </w:r>
    </w:p>
    <w:p w:rsidR="00B44B7D" w:rsidRPr="00B44B7D" w:rsidP="00B44B7D" w14:paraId="3B3ECCED" w14:textId="77777777">
      <w:pPr>
        <w:ind w:left="720"/>
        <w:rPr>
          <w:sz w:val="24"/>
        </w:rPr>
      </w:pPr>
      <w:r w:rsidRPr="00B44B7D">
        <w:rPr>
          <w:sz w:val="24"/>
        </w:rPr>
        <w:t>Moderated usability tests will be conducted with potential applicants and are comprised of two parts. Each part has a menu of NOFO components that the facilitator can choose from when hosting a session.</w:t>
      </w:r>
      <w:r>
        <w:rPr>
          <w:sz w:val="24"/>
        </w:rPr>
        <w:t xml:space="preserve"> </w:t>
      </w:r>
      <w:r w:rsidRPr="00B44B7D">
        <w:rPr>
          <w:sz w:val="24"/>
        </w:rPr>
        <w:t>The two parts are:</w:t>
      </w:r>
    </w:p>
    <w:p w:rsidR="00B44B7D" w:rsidRPr="00B44B7D" w:rsidP="00B44B7D" w14:paraId="73486F38" w14:textId="77777777">
      <w:pPr>
        <w:ind w:left="720"/>
        <w:rPr>
          <w:sz w:val="24"/>
        </w:rPr>
      </w:pPr>
      <w:r w:rsidRPr="00B44B7D">
        <w:rPr>
          <w:sz w:val="24"/>
        </w:rPr>
        <w:t>1.</w:t>
      </w:r>
      <w:r>
        <w:rPr>
          <w:sz w:val="24"/>
        </w:rPr>
        <w:t xml:space="preserve"> </w:t>
      </w:r>
      <w:r w:rsidRPr="00B44B7D">
        <w:rPr>
          <w:sz w:val="24"/>
        </w:rPr>
        <w:t>Cloze tests + content questions to measure comprehension</w:t>
      </w:r>
    </w:p>
    <w:p w:rsidR="00B44B7D" w:rsidRPr="00B44B7D" w:rsidP="00B44B7D" w14:paraId="3CDFB05A" w14:textId="77777777">
      <w:pPr>
        <w:ind w:left="720"/>
        <w:rPr>
          <w:sz w:val="24"/>
        </w:rPr>
      </w:pPr>
      <w:r w:rsidRPr="00B44B7D">
        <w:rPr>
          <w:sz w:val="24"/>
        </w:rPr>
        <w:t>2.</w:t>
      </w:r>
      <w:r>
        <w:rPr>
          <w:sz w:val="24"/>
        </w:rPr>
        <w:t xml:space="preserve"> </w:t>
      </w:r>
      <w:r w:rsidRPr="00B44B7D">
        <w:rPr>
          <w:sz w:val="24"/>
        </w:rPr>
        <w:t>Comparative usability tests to measure readability/ease of use</w:t>
      </w:r>
    </w:p>
    <w:p w:rsidR="00B44B7D" w:rsidRPr="00B44B7D" w:rsidP="00B44B7D" w14:paraId="6C7D5405" w14:textId="77777777">
      <w:pPr>
        <w:ind w:left="720"/>
        <w:rPr>
          <w:sz w:val="24"/>
        </w:rPr>
      </w:pPr>
      <w:r w:rsidRPr="00B44B7D">
        <w:rPr>
          <w:sz w:val="24"/>
        </w:rPr>
        <w:t>Estimated time to complete: 60 minutes</w:t>
      </w:r>
    </w:p>
    <w:p w:rsidR="00B44B7D" w14:paraId="1F0D302A" w14:textId="77777777">
      <w:pPr>
        <w:ind w:left="720"/>
        <w:rPr>
          <w:b/>
          <w:bCs/>
          <w:sz w:val="24"/>
        </w:rPr>
      </w:pPr>
    </w:p>
    <w:p w:rsidR="00ED19B1" w:rsidRPr="00ED19B1" w14:paraId="57FD87E9" w14:textId="77777777">
      <w:pPr>
        <w:ind w:left="720"/>
        <w:rPr>
          <w:b/>
          <w:bCs/>
          <w:sz w:val="24"/>
        </w:rPr>
      </w:pPr>
      <w:r w:rsidRPr="00ED19B1">
        <w:rPr>
          <w:b/>
          <w:bCs/>
          <w:sz w:val="24"/>
        </w:rPr>
        <w:t>Focus group</w:t>
      </w:r>
    </w:p>
    <w:p w:rsidR="00B44B7D" w14:paraId="3453C884" w14:textId="77777777">
      <w:pPr>
        <w:ind w:left="720"/>
        <w:rPr>
          <w:sz w:val="24"/>
        </w:rPr>
      </w:pPr>
      <w:r w:rsidRPr="00B44B7D">
        <w:rPr>
          <w:sz w:val="24"/>
        </w:rPr>
        <w:t>Focus groups will be comprised of grantees representing underserved communities. In the focus groups, we will collect feedback about the NOFO prototypes.</w:t>
      </w:r>
      <w:r>
        <w:rPr>
          <w:sz w:val="24"/>
        </w:rPr>
        <w:t xml:space="preserve"> HHS awarding agencies will provide ASFR with a list of eligible grantees to facilitate contact. </w:t>
      </w:r>
    </w:p>
    <w:p w:rsidR="00000000" w14:paraId="0D4045C0" w14:textId="77777777">
      <w:pPr>
        <w:rPr>
          <w:b/>
          <w:bCs/>
          <w:sz w:val="24"/>
        </w:rPr>
      </w:pPr>
    </w:p>
    <w:p w:rsidR="00000000" w:rsidP="004F4AD9" w14:paraId="75C08966" w14:textId="77777777">
      <w:pPr>
        <w:ind w:firstLine="720"/>
        <w:rPr>
          <w:b/>
          <w:bCs/>
          <w:sz w:val="24"/>
        </w:rPr>
      </w:pPr>
      <w:r>
        <w:rPr>
          <w:b/>
          <w:bCs/>
          <w:sz w:val="24"/>
        </w:rPr>
        <w:t>3. Methods to Maximize Response Rates and Deal with Nonresponse</w:t>
      </w:r>
    </w:p>
    <w:p w:rsidR="00000000" w14:paraId="76640629" w14:textId="77777777">
      <w:pPr>
        <w:ind w:left="720"/>
        <w:rPr>
          <w:sz w:val="24"/>
        </w:rPr>
      </w:pPr>
      <w:r>
        <w:rPr>
          <w:sz w:val="24"/>
        </w:rPr>
        <w:t>In our efforts to collect sufficient data to ensure we can make logical arguments based on numerical/statistical significance, we never lost sight of participant burden. Thus, our goals are to maximize response rate while minimizing burden. Efforts to deal with this include but are not limited to:</w:t>
      </w:r>
    </w:p>
    <w:p w:rsidR="00FE3EBF" w:rsidP="00FE3EBF" w14:paraId="764D59B0" w14:textId="77777777">
      <w:pPr>
        <w:numPr>
          <w:ilvl w:val="0"/>
          <w:numId w:val="2"/>
        </w:numPr>
        <w:rPr>
          <w:sz w:val="24"/>
        </w:rPr>
      </w:pPr>
      <w:r>
        <w:rPr>
          <w:sz w:val="24"/>
        </w:rPr>
        <w:t>Using an online/virtual platform for data collection</w:t>
      </w:r>
    </w:p>
    <w:p w:rsidR="00FE3EBF" w:rsidP="00FE3EBF" w14:paraId="1076AC74" w14:textId="77777777">
      <w:pPr>
        <w:numPr>
          <w:ilvl w:val="0"/>
          <w:numId w:val="2"/>
        </w:numPr>
        <w:rPr>
          <w:sz w:val="24"/>
        </w:rPr>
      </w:pPr>
      <w:r>
        <w:rPr>
          <w:sz w:val="24"/>
        </w:rPr>
        <w:t>Having clear instructions</w:t>
      </w:r>
    </w:p>
    <w:p w:rsidR="00FE3EBF" w:rsidP="00FE3EBF" w14:paraId="33C286D4" w14:textId="77777777">
      <w:pPr>
        <w:numPr>
          <w:ilvl w:val="0"/>
          <w:numId w:val="2"/>
        </w:numPr>
        <w:rPr>
          <w:sz w:val="24"/>
        </w:rPr>
      </w:pPr>
      <w:r>
        <w:rPr>
          <w:sz w:val="24"/>
        </w:rPr>
        <w:t>Keeping questions short and simple</w:t>
      </w:r>
    </w:p>
    <w:p w:rsidR="00FE3EBF" w:rsidP="00FE3EBF" w14:paraId="48BB3EB1" w14:textId="77777777">
      <w:pPr>
        <w:numPr>
          <w:ilvl w:val="0"/>
          <w:numId w:val="2"/>
        </w:numPr>
        <w:rPr>
          <w:sz w:val="24"/>
        </w:rPr>
      </w:pPr>
      <w:r>
        <w:rPr>
          <w:sz w:val="24"/>
        </w:rPr>
        <w:t>Considering question type and question flow</w:t>
      </w:r>
    </w:p>
    <w:p w:rsidR="00FE3EBF" w:rsidP="00FE3EBF" w14:paraId="5260F7AC" w14:textId="77777777">
      <w:pPr>
        <w:numPr>
          <w:ilvl w:val="0"/>
          <w:numId w:val="2"/>
        </w:numPr>
        <w:rPr>
          <w:sz w:val="24"/>
        </w:rPr>
      </w:pPr>
      <w:r>
        <w:rPr>
          <w:sz w:val="24"/>
        </w:rPr>
        <w:t>Safeguarding privacy information</w:t>
      </w:r>
    </w:p>
    <w:p w:rsidR="00ED19B1" w:rsidP="00ED19B1" w14:paraId="6D0A667C" w14:textId="77777777">
      <w:pPr>
        <w:numPr>
          <w:ilvl w:val="0"/>
          <w:numId w:val="2"/>
        </w:numPr>
        <w:rPr>
          <w:sz w:val="24"/>
        </w:rPr>
      </w:pPr>
      <w:r>
        <w:rPr>
          <w:sz w:val="24"/>
        </w:rPr>
        <w:t>Increasing visibility of the survey invitation</w:t>
      </w:r>
    </w:p>
    <w:p w:rsidR="00ED19B1" w:rsidP="00ED19B1" w14:paraId="430A9D8E" w14:textId="77777777">
      <w:pPr>
        <w:numPr>
          <w:ilvl w:val="0"/>
          <w:numId w:val="2"/>
        </w:numPr>
        <w:rPr>
          <w:sz w:val="24"/>
        </w:rPr>
      </w:pPr>
      <w:r>
        <w:rPr>
          <w:sz w:val="24"/>
        </w:rPr>
        <w:t>Approaching participants at the right time</w:t>
      </w:r>
    </w:p>
    <w:p w:rsidR="00ED19B1" w:rsidP="00ED19B1" w14:paraId="094B29D4" w14:textId="77777777">
      <w:pPr>
        <w:numPr>
          <w:ilvl w:val="0"/>
          <w:numId w:val="2"/>
        </w:numPr>
        <w:rPr>
          <w:sz w:val="24"/>
        </w:rPr>
      </w:pPr>
      <w:r>
        <w:rPr>
          <w:sz w:val="24"/>
        </w:rPr>
        <w:t>Providing compensation</w:t>
      </w:r>
    </w:p>
    <w:p w:rsidR="00000000" w14:paraId="23906A4E" w14:textId="77777777">
      <w:pPr>
        <w:rPr>
          <w:b/>
          <w:bCs/>
          <w:sz w:val="24"/>
        </w:rPr>
      </w:pPr>
    </w:p>
    <w:p w:rsidR="00000000" w:rsidP="004F4AD9" w14:paraId="764B0654" w14:textId="77777777">
      <w:pPr>
        <w:ind w:firstLine="720"/>
        <w:rPr>
          <w:b/>
          <w:bCs/>
          <w:sz w:val="24"/>
        </w:rPr>
      </w:pPr>
      <w:r>
        <w:rPr>
          <w:b/>
          <w:bCs/>
          <w:sz w:val="24"/>
        </w:rPr>
        <w:t>4. Tests of Procedures or Methods to be Undertaken</w:t>
      </w:r>
    </w:p>
    <w:p w:rsidR="00000000" w:rsidP="00B23BA5" w14:paraId="373EB61C" w14:textId="77777777">
      <w:pPr>
        <w:ind w:left="720"/>
        <w:rPr>
          <w:sz w:val="24"/>
        </w:rPr>
      </w:pPr>
      <w:r>
        <w:rPr>
          <w:sz w:val="24"/>
        </w:rPr>
        <w:t xml:space="preserve">Currently, four Notice of Funding Opportunities (NOFOs) have been developed in partnership with HHS Awarding Agencies (ACF, ACL, CDC, and SAMHSA respectively). The goal is to use these 4 as a pilot during the current fiscal year </w:t>
      </w:r>
      <w:r>
        <w:rPr>
          <w:sz w:val="24"/>
        </w:rPr>
        <w:t>as an effective means of refining questions to minimize burden and improve utility</w:t>
      </w:r>
      <w:r>
        <w:rPr>
          <w:sz w:val="24"/>
        </w:rPr>
        <w:t xml:space="preserve"> in subsequent years where an N = 100 NOFOs is the goal. At the time of this submission, a Fast Track Clearance request was under OMB review. That request was to allow </w:t>
      </w:r>
      <w:r>
        <w:rPr>
          <w:sz w:val="24"/>
        </w:rPr>
        <w:t>initial  user</w:t>
      </w:r>
      <w:r>
        <w:rPr>
          <w:sz w:val="24"/>
        </w:rPr>
        <w:t xml:space="preserve"> experience testing (for internal purposes only).</w:t>
      </w:r>
      <w:r w:rsidR="00FE49E0">
        <w:rPr>
          <w:sz w:val="24"/>
        </w:rPr>
        <w:t xml:space="preserve"> </w:t>
      </w:r>
      <w:r w:rsidR="00FE508B">
        <w:rPr>
          <w:sz w:val="24"/>
        </w:rPr>
        <w:t>At the time of this submission and to the best of our knowledge, n</w:t>
      </w:r>
      <w:r w:rsidR="00FE49E0">
        <w:rPr>
          <w:sz w:val="24"/>
        </w:rPr>
        <w:t>o</w:t>
      </w:r>
      <w:r w:rsidR="00FE508B">
        <w:rPr>
          <w:sz w:val="24"/>
        </w:rPr>
        <w:t xml:space="preserve">ne of the instruments hereto outlined have been previously used in data collection. For the moderated usability script (attached), the researchers employed a Cloze test which has been </w:t>
      </w:r>
      <w:r w:rsidR="00FE3EBF">
        <w:rPr>
          <w:sz w:val="24"/>
        </w:rPr>
        <w:t xml:space="preserve">an industry standard that is empirically supported. </w:t>
      </w:r>
    </w:p>
    <w:p w:rsidR="00000000" w14:paraId="7BDD11BB" w14:textId="77777777">
      <w:pPr>
        <w:rPr>
          <w:b/>
          <w:bCs/>
          <w:sz w:val="24"/>
        </w:rPr>
      </w:pPr>
    </w:p>
    <w:p w:rsidR="00000000" w:rsidP="004F4AD9" w14:paraId="6AFE30A9" w14:textId="77777777">
      <w:pPr>
        <w:ind w:left="720"/>
        <w:rPr>
          <w:b/>
          <w:bCs/>
          <w:sz w:val="24"/>
        </w:rPr>
      </w:pPr>
      <w:r>
        <w:rPr>
          <w:b/>
          <w:bCs/>
          <w:sz w:val="24"/>
        </w:rPr>
        <w:t>5. Individuals Consulted on Statistical Aspects and Individuals Collecting and/or</w:t>
      </w:r>
      <w:r w:rsidR="004F4AD9">
        <w:rPr>
          <w:b/>
          <w:bCs/>
          <w:sz w:val="24"/>
        </w:rPr>
        <w:t xml:space="preserve"> </w:t>
      </w:r>
      <w:r>
        <w:rPr>
          <w:b/>
          <w:bCs/>
          <w:sz w:val="24"/>
        </w:rPr>
        <w:t>Analyzing Data</w:t>
      </w:r>
    </w:p>
    <w:p w:rsidR="00000000" w:rsidP="00E579FE" w14:paraId="349DBBCE" w14:textId="77777777">
      <w:pPr>
        <w:numPr>
          <w:ilvl w:val="0"/>
          <w:numId w:val="3"/>
        </w:numPr>
        <w:rPr>
          <w:sz w:val="24"/>
        </w:rPr>
      </w:pPr>
      <w:r>
        <w:rPr>
          <w:sz w:val="24"/>
        </w:rPr>
        <w:t xml:space="preserve">designed the data </w:t>
      </w:r>
      <w:r>
        <w:rPr>
          <w:sz w:val="24"/>
        </w:rPr>
        <w:t>collection;</w:t>
      </w:r>
    </w:p>
    <w:p w:rsidR="004F4AD9" w:rsidP="004F4AD9" w14:paraId="223AA3C8" w14:textId="77777777">
      <w:pPr>
        <w:ind w:left="1080"/>
        <w:rPr>
          <w:sz w:val="24"/>
        </w:rPr>
      </w:pPr>
    </w:p>
    <w:p w:rsidR="00E579FE" w:rsidP="00E579FE" w14:paraId="3EA9F03F" w14:textId="77777777">
      <w:pPr>
        <w:rPr>
          <w:sz w:val="24"/>
        </w:rPr>
      </w:pPr>
      <w:r>
        <w:rPr>
          <w:sz w:val="24"/>
        </w:rPr>
        <w:t xml:space="preserve">Emily Ianacone, (771) 215-0285, </w:t>
      </w:r>
      <w:hyperlink r:id="rId4" w:history="1">
        <w:r w:rsidRPr="00113101">
          <w:rPr>
            <w:rStyle w:val="Hyperlink"/>
            <w:sz w:val="24"/>
          </w:rPr>
          <w:t>Emily.ianacone@hhs.gov</w:t>
        </w:r>
      </w:hyperlink>
    </w:p>
    <w:p w:rsidR="00E579FE" w:rsidP="00E579FE" w14:paraId="18726A65" w14:textId="77777777">
      <w:pPr>
        <w:rPr>
          <w:sz w:val="24"/>
        </w:rPr>
      </w:pPr>
      <w:r>
        <w:rPr>
          <w:sz w:val="24"/>
        </w:rPr>
        <w:t xml:space="preserve">Julie Wiegandt, (771) 215-0286, </w:t>
      </w:r>
      <w:hyperlink r:id="rId5" w:history="1">
        <w:r w:rsidRPr="00113101">
          <w:rPr>
            <w:rStyle w:val="Hyperlink"/>
            <w:sz w:val="24"/>
          </w:rPr>
          <w:t>Julie.wiegandt@hhs.gov</w:t>
        </w:r>
      </w:hyperlink>
    </w:p>
    <w:p w:rsidR="00E579FE" w:rsidRPr="004F4AD9" w:rsidP="00E579FE" w14:paraId="78685F6F" w14:textId="77777777">
      <w:pPr>
        <w:rPr>
          <w:sz w:val="24"/>
          <w:lang w:val="es-ES_tradnl"/>
        </w:rPr>
      </w:pPr>
      <w:r w:rsidRPr="004F4AD9">
        <w:rPr>
          <w:sz w:val="24"/>
          <w:lang w:val="es-ES_tradnl"/>
        </w:rPr>
        <w:t xml:space="preserve">Felix Lorenzo, (240) 453-6193, </w:t>
      </w:r>
      <w:hyperlink r:id="rId6" w:history="1">
        <w:r w:rsidRPr="004F4AD9">
          <w:rPr>
            <w:rStyle w:val="Hyperlink"/>
            <w:sz w:val="24"/>
            <w:lang w:val="es-ES_tradnl"/>
          </w:rPr>
          <w:t>felix.lorenzo@hhs.gov</w:t>
        </w:r>
      </w:hyperlink>
    </w:p>
    <w:p w:rsidR="00E579FE" w:rsidP="00E579FE" w14:paraId="57220EBF" w14:textId="77777777">
      <w:pPr>
        <w:rPr>
          <w:sz w:val="24"/>
        </w:rPr>
      </w:pPr>
      <w:r>
        <w:rPr>
          <w:sz w:val="24"/>
        </w:rPr>
        <w:t xml:space="preserve">Linda Greenberg, </w:t>
      </w:r>
      <w:hyperlink r:id="rId7" w:history="1">
        <w:r w:rsidRPr="00113101">
          <w:rPr>
            <w:rStyle w:val="Hyperlink"/>
            <w:sz w:val="24"/>
          </w:rPr>
          <w:t>linda.greenberg@hhs.gov</w:t>
        </w:r>
      </w:hyperlink>
    </w:p>
    <w:p w:rsidR="00E579FE" w:rsidP="00E579FE" w14:paraId="509CA51B" w14:textId="77777777">
      <w:pPr>
        <w:rPr>
          <w:sz w:val="24"/>
        </w:rPr>
      </w:pPr>
      <w:r>
        <w:rPr>
          <w:sz w:val="24"/>
        </w:rPr>
        <w:t xml:space="preserve">Arielle </w:t>
      </w:r>
      <w:r w:rsidRPr="00E579FE">
        <w:rPr>
          <w:sz w:val="24"/>
        </w:rPr>
        <w:t>McInnis-Simoncelli, Arielle</w:t>
      </w:r>
      <w:r>
        <w:rPr>
          <w:sz w:val="24"/>
        </w:rPr>
        <w:t xml:space="preserve">, </w:t>
      </w:r>
      <w:hyperlink r:id="rId8" w:history="1">
        <w:r w:rsidRPr="00113101">
          <w:rPr>
            <w:rStyle w:val="Hyperlink"/>
            <w:sz w:val="24"/>
          </w:rPr>
          <w:t>Arielle.McInnis-Simoncelli@opm.gov</w:t>
        </w:r>
      </w:hyperlink>
    </w:p>
    <w:p w:rsidR="00E579FE" w:rsidP="00E579FE" w14:paraId="2476CFFB" w14:textId="77777777">
      <w:pPr>
        <w:rPr>
          <w:sz w:val="24"/>
        </w:rPr>
      </w:pPr>
      <w:r>
        <w:rPr>
          <w:sz w:val="24"/>
        </w:rPr>
        <w:t xml:space="preserve">Erika </w:t>
      </w:r>
      <w:r w:rsidRPr="00E579FE">
        <w:rPr>
          <w:sz w:val="24"/>
        </w:rPr>
        <w:t>Lindsey</w:t>
      </w:r>
      <w:r>
        <w:rPr>
          <w:sz w:val="24"/>
        </w:rPr>
        <w:t xml:space="preserve">, </w:t>
      </w:r>
      <w:hyperlink r:id="rId9" w:history="1">
        <w:r w:rsidRPr="00113101">
          <w:rPr>
            <w:rStyle w:val="Hyperlink"/>
            <w:sz w:val="24"/>
          </w:rPr>
          <w:t>Erika.Lindsey@opm.gov</w:t>
        </w:r>
      </w:hyperlink>
    </w:p>
    <w:p w:rsidR="00E579FE" w:rsidP="00E579FE" w14:paraId="7D159B7C" w14:textId="77777777">
      <w:pPr>
        <w:rPr>
          <w:sz w:val="24"/>
        </w:rPr>
      </w:pPr>
      <w:r>
        <w:rPr>
          <w:sz w:val="24"/>
        </w:rPr>
        <w:t xml:space="preserve">Kelly Bryan, </w:t>
      </w:r>
      <w:hyperlink r:id="rId10" w:history="1">
        <w:r w:rsidRPr="00113101">
          <w:rPr>
            <w:rStyle w:val="Hyperlink"/>
            <w:sz w:val="24"/>
          </w:rPr>
          <w:t>Kelly.bryan@opm.gov</w:t>
        </w:r>
      </w:hyperlink>
    </w:p>
    <w:p w:rsidR="00E579FE" w:rsidP="00E579FE" w14:paraId="40FAD2F1" w14:textId="77777777">
      <w:pPr>
        <w:rPr>
          <w:sz w:val="24"/>
        </w:rPr>
      </w:pPr>
      <w:r>
        <w:rPr>
          <w:sz w:val="24"/>
        </w:rPr>
        <w:t xml:space="preserve">April Chen, </w:t>
      </w:r>
      <w:hyperlink r:id="rId11" w:history="1">
        <w:r w:rsidRPr="00113101">
          <w:rPr>
            <w:rStyle w:val="Hyperlink"/>
            <w:sz w:val="24"/>
          </w:rPr>
          <w:t>yan.p.chen@ostp.eop.gov</w:t>
        </w:r>
      </w:hyperlink>
    </w:p>
    <w:p w:rsidR="00E579FE" w:rsidP="00E579FE" w14:paraId="717B3ACB" w14:textId="77777777">
      <w:pPr>
        <w:rPr>
          <w:sz w:val="24"/>
        </w:rPr>
      </w:pPr>
      <w:r>
        <w:rPr>
          <w:sz w:val="24"/>
        </w:rPr>
        <w:t xml:space="preserve">Elizabeth Overstreet, </w:t>
      </w:r>
      <w:r w:rsidRPr="00E579FE">
        <w:rPr>
          <w:sz w:val="24"/>
        </w:rPr>
        <w:t>(202) 875-1382</w:t>
      </w:r>
      <w:r>
        <w:rPr>
          <w:sz w:val="24"/>
        </w:rPr>
        <w:t xml:space="preserve">, </w:t>
      </w:r>
      <w:hyperlink r:id="rId12" w:history="1">
        <w:r w:rsidRPr="00113101">
          <w:rPr>
            <w:rStyle w:val="Hyperlink"/>
            <w:sz w:val="24"/>
          </w:rPr>
          <w:t>Elizabeth.overstreet@hhs.gov</w:t>
        </w:r>
      </w:hyperlink>
    </w:p>
    <w:p w:rsidR="00E579FE" w:rsidP="00E579FE" w14:paraId="1F8B7662" w14:textId="77777777">
      <w:pPr>
        <w:rPr>
          <w:sz w:val="24"/>
        </w:rPr>
      </w:pPr>
    </w:p>
    <w:p w:rsidR="00000000" w:rsidP="00E579FE" w14:paraId="44495229" w14:textId="77777777">
      <w:pPr>
        <w:numPr>
          <w:ilvl w:val="0"/>
          <w:numId w:val="3"/>
        </w:numPr>
        <w:rPr>
          <w:sz w:val="24"/>
        </w:rPr>
      </w:pPr>
      <w:r>
        <w:rPr>
          <w:sz w:val="24"/>
        </w:rPr>
        <w:t xml:space="preserve">will collect the data, </w:t>
      </w:r>
      <w:r>
        <w:rPr>
          <w:sz w:val="24"/>
        </w:rPr>
        <w:t>and;</w:t>
      </w:r>
    </w:p>
    <w:p w:rsidR="00E579FE" w:rsidP="00E579FE" w14:paraId="4BE1D073" w14:textId="77777777">
      <w:pPr>
        <w:rPr>
          <w:sz w:val="24"/>
        </w:rPr>
      </w:pPr>
    </w:p>
    <w:p w:rsidR="00E579FE" w:rsidP="00E579FE" w14:paraId="3106B8A6" w14:textId="77777777">
      <w:pPr>
        <w:rPr>
          <w:sz w:val="24"/>
        </w:rPr>
      </w:pPr>
      <w:r>
        <w:rPr>
          <w:sz w:val="24"/>
        </w:rPr>
        <w:t xml:space="preserve">Emily Ianacone, (771) 215-0285, </w:t>
      </w:r>
      <w:hyperlink r:id="rId4" w:history="1">
        <w:r w:rsidRPr="00113101">
          <w:rPr>
            <w:rStyle w:val="Hyperlink"/>
            <w:sz w:val="24"/>
          </w:rPr>
          <w:t>Emily.ianacone@hhs.gov</w:t>
        </w:r>
      </w:hyperlink>
    </w:p>
    <w:p w:rsidR="00E579FE" w:rsidP="00E579FE" w14:paraId="69E68F38" w14:textId="77777777">
      <w:pPr>
        <w:rPr>
          <w:sz w:val="24"/>
        </w:rPr>
      </w:pPr>
      <w:r>
        <w:rPr>
          <w:sz w:val="24"/>
        </w:rPr>
        <w:t xml:space="preserve">Julie Wiegandt, (771) 215-0286, </w:t>
      </w:r>
      <w:hyperlink r:id="rId5" w:history="1">
        <w:r w:rsidRPr="00113101">
          <w:rPr>
            <w:rStyle w:val="Hyperlink"/>
            <w:sz w:val="24"/>
          </w:rPr>
          <w:t>Julie.wiegandt@hhs.gov</w:t>
        </w:r>
      </w:hyperlink>
    </w:p>
    <w:p w:rsidR="00E579FE" w:rsidRPr="004F4AD9" w:rsidP="00E579FE" w14:paraId="4D114C28" w14:textId="77777777">
      <w:pPr>
        <w:rPr>
          <w:sz w:val="24"/>
          <w:lang w:val="es-ES_tradnl"/>
        </w:rPr>
      </w:pPr>
      <w:r w:rsidRPr="004F4AD9">
        <w:rPr>
          <w:sz w:val="24"/>
          <w:lang w:val="es-ES_tradnl"/>
        </w:rPr>
        <w:t xml:space="preserve">Felix Lorenzo, (240) 453-6193, </w:t>
      </w:r>
      <w:hyperlink r:id="rId6" w:history="1">
        <w:r w:rsidRPr="004F4AD9">
          <w:rPr>
            <w:rStyle w:val="Hyperlink"/>
            <w:sz w:val="24"/>
            <w:lang w:val="es-ES_tradnl"/>
          </w:rPr>
          <w:t>felix.lorenzo@hhs.gov</w:t>
        </w:r>
      </w:hyperlink>
    </w:p>
    <w:p w:rsidR="00E579FE" w:rsidP="00E579FE" w14:paraId="2BA37B31" w14:textId="77777777">
      <w:pPr>
        <w:rPr>
          <w:sz w:val="24"/>
        </w:rPr>
      </w:pPr>
      <w:r>
        <w:rPr>
          <w:sz w:val="24"/>
        </w:rPr>
        <w:t xml:space="preserve">Linda Greenberg, </w:t>
      </w:r>
      <w:hyperlink r:id="rId7" w:history="1">
        <w:r w:rsidRPr="00113101">
          <w:rPr>
            <w:rStyle w:val="Hyperlink"/>
            <w:sz w:val="24"/>
          </w:rPr>
          <w:t>linda.greenberg@hhs.gov</w:t>
        </w:r>
      </w:hyperlink>
    </w:p>
    <w:p w:rsidR="00E579FE" w:rsidP="00E579FE" w14:paraId="39B9C66A" w14:textId="77777777">
      <w:pPr>
        <w:rPr>
          <w:sz w:val="24"/>
        </w:rPr>
      </w:pPr>
      <w:r>
        <w:rPr>
          <w:sz w:val="24"/>
        </w:rPr>
        <w:t xml:space="preserve">Arielle </w:t>
      </w:r>
      <w:r w:rsidRPr="00E579FE">
        <w:rPr>
          <w:sz w:val="24"/>
        </w:rPr>
        <w:t>McInnis-Simoncelli, Arielle</w:t>
      </w:r>
      <w:r>
        <w:rPr>
          <w:sz w:val="24"/>
        </w:rPr>
        <w:t xml:space="preserve">, </w:t>
      </w:r>
      <w:hyperlink r:id="rId8" w:history="1">
        <w:r w:rsidRPr="00113101">
          <w:rPr>
            <w:rStyle w:val="Hyperlink"/>
            <w:sz w:val="24"/>
          </w:rPr>
          <w:t>Arielle.McInnis-Simoncelli@opm.gov</w:t>
        </w:r>
      </w:hyperlink>
    </w:p>
    <w:p w:rsidR="00E579FE" w:rsidP="00E579FE" w14:paraId="26FDB284" w14:textId="77777777">
      <w:pPr>
        <w:rPr>
          <w:sz w:val="24"/>
        </w:rPr>
      </w:pPr>
      <w:r>
        <w:rPr>
          <w:sz w:val="24"/>
        </w:rPr>
        <w:t xml:space="preserve">Erika </w:t>
      </w:r>
      <w:r w:rsidRPr="00E579FE">
        <w:rPr>
          <w:sz w:val="24"/>
        </w:rPr>
        <w:t>Lindsey</w:t>
      </w:r>
      <w:r>
        <w:rPr>
          <w:sz w:val="24"/>
        </w:rPr>
        <w:t xml:space="preserve">, </w:t>
      </w:r>
      <w:hyperlink r:id="rId9" w:history="1">
        <w:r w:rsidRPr="00113101">
          <w:rPr>
            <w:rStyle w:val="Hyperlink"/>
            <w:sz w:val="24"/>
          </w:rPr>
          <w:t>Erika.Lindsey@opm.gov</w:t>
        </w:r>
      </w:hyperlink>
    </w:p>
    <w:p w:rsidR="00E579FE" w:rsidP="00E579FE" w14:paraId="6DB63BE8" w14:textId="77777777">
      <w:pPr>
        <w:rPr>
          <w:sz w:val="24"/>
        </w:rPr>
      </w:pPr>
      <w:r>
        <w:rPr>
          <w:sz w:val="24"/>
        </w:rPr>
        <w:t xml:space="preserve">Kelly Bryan, </w:t>
      </w:r>
      <w:hyperlink r:id="rId10" w:history="1">
        <w:r w:rsidRPr="00113101">
          <w:rPr>
            <w:rStyle w:val="Hyperlink"/>
            <w:sz w:val="24"/>
          </w:rPr>
          <w:t>Kelly.bryan@opm.gov</w:t>
        </w:r>
      </w:hyperlink>
    </w:p>
    <w:p w:rsidR="00E579FE" w:rsidP="00E579FE" w14:paraId="032517D7" w14:textId="77777777">
      <w:pPr>
        <w:rPr>
          <w:sz w:val="24"/>
        </w:rPr>
      </w:pPr>
    </w:p>
    <w:p w:rsidR="00000000" w:rsidP="00E579FE" w14:paraId="41103D97" w14:textId="77777777">
      <w:pPr>
        <w:numPr>
          <w:ilvl w:val="0"/>
          <w:numId w:val="3"/>
        </w:numPr>
        <w:rPr>
          <w:sz w:val="24"/>
        </w:rPr>
      </w:pPr>
      <w:r>
        <w:rPr>
          <w:sz w:val="24"/>
        </w:rPr>
        <w:t>will analyze the data.</w:t>
      </w:r>
    </w:p>
    <w:p w:rsidR="00E579FE" w:rsidP="00E579FE" w14:paraId="2717A353" w14:textId="77777777">
      <w:pPr>
        <w:rPr>
          <w:sz w:val="24"/>
        </w:rPr>
      </w:pPr>
    </w:p>
    <w:p w:rsidR="00E579FE" w:rsidP="00E579FE" w14:paraId="50E16CFC" w14:textId="77777777">
      <w:pPr>
        <w:rPr>
          <w:sz w:val="24"/>
        </w:rPr>
      </w:pPr>
      <w:r>
        <w:rPr>
          <w:sz w:val="24"/>
        </w:rPr>
        <w:t xml:space="preserve">Emily Ianacone, (771) 215-0285, </w:t>
      </w:r>
      <w:hyperlink r:id="rId4" w:history="1">
        <w:r w:rsidRPr="00113101">
          <w:rPr>
            <w:rStyle w:val="Hyperlink"/>
            <w:sz w:val="24"/>
          </w:rPr>
          <w:t>Emily.ianacone@hhs.gov</w:t>
        </w:r>
      </w:hyperlink>
    </w:p>
    <w:p w:rsidR="00E579FE" w:rsidP="00E579FE" w14:paraId="731EE479" w14:textId="77777777">
      <w:pPr>
        <w:rPr>
          <w:sz w:val="24"/>
        </w:rPr>
      </w:pPr>
      <w:r>
        <w:rPr>
          <w:sz w:val="24"/>
        </w:rPr>
        <w:t xml:space="preserve">Julie Wiegandt, (771) 215-0286, </w:t>
      </w:r>
      <w:hyperlink r:id="rId5" w:history="1">
        <w:r w:rsidRPr="00113101">
          <w:rPr>
            <w:rStyle w:val="Hyperlink"/>
            <w:sz w:val="24"/>
          </w:rPr>
          <w:t>Julie.wiegandt@hhs.gov</w:t>
        </w:r>
      </w:hyperlink>
    </w:p>
    <w:p w:rsidR="00E579FE" w:rsidRPr="004F4AD9" w:rsidP="00E579FE" w14:paraId="032FE980" w14:textId="77777777">
      <w:pPr>
        <w:rPr>
          <w:sz w:val="24"/>
          <w:lang w:val="es-ES_tradnl"/>
        </w:rPr>
      </w:pPr>
      <w:r w:rsidRPr="004F4AD9">
        <w:rPr>
          <w:sz w:val="24"/>
          <w:lang w:val="es-ES_tradnl"/>
        </w:rPr>
        <w:t xml:space="preserve">Felix Lorenzo, (240) 453-6193, </w:t>
      </w:r>
      <w:hyperlink r:id="rId6" w:history="1">
        <w:r w:rsidRPr="004F4AD9">
          <w:rPr>
            <w:rStyle w:val="Hyperlink"/>
            <w:sz w:val="24"/>
            <w:lang w:val="es-ES_tradnl"/>
          </w:rPr>
          <w:t>felix.lorenzo@hhs.gov</w:t>
        </w:r>
      </w:hyperlink>
    </w:p>
    <w:p w:rsidR="00E579FE" w:rsidP="00E579FE" w14:paraId="601D8A92" w14:textId="77777777">
      <w:pPr>
        <w:rPr>
          <w:sz w:val="24"/>
        </w:rPr>
      </w:pPr>
      <w:r>
        <w:rPr>
          <w:sz w:val="24"/>
        </w:rPr>
        <w:t xml:space="preserve">Linda Greenberg, </w:t>
      </w:r>
      <w:hyperlink r:id="rId7" w:history="1">
        <w:r w:rsidRPr="00113101">
          <w:rPr>
            <w:rStyle w:val="Hyperlink"/>
            <w:sz w:val="24"/>
          </w:rPr>
          <w:t>linda.greenberg@hhs.gov</w:t>
        </w:r>
      </w:hyperlink>
    </w:p>
    <w:p w:rsidR="00E579FE" w:rsidP="00E579FE" w14:paraId="6859F049" w14:textId="77777777">
      <w:pPr>
        <w:rPr>
          <w:sz w:val="24"/>
        </w:rPr>
      </w:pPr>
      <w:r>
        <w:rPr>
          <w:sz w:val="24"/>
        </w:rPr>
        <w:t xml:space="preserve">Arielle </w:t>
      </w:r>
      <w:r w:rsidRPr="00E579FE">
        <w:rPr>
          <w:sz w:val="24"/>
        </w:rPr>
        <w:t>McInnis-Simoncelli, Arielle</w:t>
      </w:r>
      <w:r>
        <w:rPr>
          <w:sz w:val="24"/>
        </w:rPr>
        <w:t xml:space="preserve">, </w:t>
      </w:r>
      <w:hyperlink r:id="rId8" w:history="1">
        <w:r w:rsidRPr="00113101">
          <w:rPr>
            <w:rStyle w:val="Hyperlink"/>
            <w:sz w:val="24"/>
          </w:rPr>
          <w:t>Arielle.McInnis-Simoncelli@opm.gov</w:t>
        </w:r>
      </w:hyperlink>
    </w:p>
    <w:p w:rsidR="00E579FE" w:rsidP="00E579FE" w14:paraId="5D640AEB" w14:textId="77777777">
      <w:pPr>
        <w:rPr>
          <w:sz w:val="24"/>
        </w:rPr>
      </w:pPr>
      <w:r>
        <w:rPr>
          <w:sz w:val="24"/>
        </w:rPr>
        <w:t xml:space="preserve">Erika </w:t>
      </w:r>
      <w:r w:rsidRPr="00E579FE">
        <w:rPr>
          <w:sz w:val="24"/>
        </w:rPr>
        <w:t>Lindsey</w:t>
      </w:r>
      <w:r>
        <w:rPr>
          <w:sz w:val="24"/>
        </w:rPr>
        <w:t xml:space="preserve">, </w:t>
      </w:r>
      <w:hyperlink r:id="rId9" w:history="1">
        <w:r w:rsidRPr="00113101">
          <w:rPr>
            <w:rStyle w:val="Hyperlink"/>
            <w:sz w:val="24"/>
          </w:rPr>
          <w:t>Erika.Lindsey@opm.gov</w:t>
        </w:r>
      </w:hyperlink>
    </w:p>
    <w:p w:rsidR="00E579FE" w:rsidP="00E579FE" w14:paraId="6203B083" w14:textId="77777777">
      <w:pPr>
        <w:rPr>
          <w:sz w:val="24"/>
        </w:rPr>
      </w:pPr>
      <w:r>
        <w:rPr>
          <w:sz w:val="24"/>
        </w:rPr>
        <w:t xml:space="preserve">Kelly Bryan, </w:t>
      </w:r>
      <w:hyperlink r:id="rId10" w:history="1">
        <w:r w:rsidRPr="00113101">
          <w:rPr>
            <w:rStyle w:val="Hyperlink"/>
            <w:sz w:val="24"/>
          </w:rPr>
          <w:t>Kelly.bryan@opm.gov</w:t>
        </w:r>
      </w:hyperlink>
    </w:p>
    <w:p w:rsidR="00E579FE" w:rsidP="00E579FE" w14:paraId="429774F2" w14:textId="77777777">
      <w:pPr>
        <w:rPr>
          <w:sz w:val="24"/>
        </w:rPr>
      </w:pPr>
    </w:p>
    <w:p w:rsidR="005D4EB4" w14:paraId="476E3C35" w14:textId="77777777"/>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94501C"/>
    <w:multiLevelType w:val="hybridMultilevel"/>
    <w:tmpl w:val="D14AAEB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56331CB0"/>
    <w:multiLevelType w:val="hybridMultilevel"/>
    <w:tmpl w:val="DB48FAF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57C15D46"/>
    <w:multiLevelType w:val="hybridMultilevel"/>
    <w:tmpl w:val="73C0FDB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887909528">
    <w:abstractNumId w:val="1"/>
  </w:num>
  <w:num w:numId="2" w16cid:durableId="830871339">
    <w:abstractNumId w:val="0"/>
  </w:num>
  <w:num w:numId="3" w16cid:durableId="2987285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AE6"/>
    <w:rsid w:val="00113101"/>
    <w:rsid w:val="004F4AD9"/>
    <w:rsid w:val="005D4EB4"/>
    <w:rsid w:val="00600CFB"/>
    <w:rsid w:val="007E5359"/>
    <w:rsid w:val="00950AE6"/>
    <w:rsid w:val="00B23BA5"/>
    <w:rsid w:val="00B44B7D"/>
    <w:rsid w:val="00E579FE"/>
    <w:rsid w:val="00ED19B1"/>
    <w:rsid w:val="00FE3EBF"/>
    <w:rsid w:val="00FE49E0"/>
    <w:rsid w:val="00FE508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5960E80"/>
  <w15:chartTrackingRefBased/>
  <w15:docId w15:val="{35005D60-DFB5-4E3F-8600-6C95BD532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outlineLvl w:val="0"/>
    </w:pPr>
    <w:rPr>
      <w:b/>
      <w:bCs/>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rsid w:val="00FE3EBF"/>
    <w:rPr>
      <w:sz w:val="16"/>
      <w:szCs w:val="16"/>
    </w:rPr>
  </w:style>
  <w:style w:type="paragraph" w:styleId="CommentText">
    <w:name w:val="annotation text"/>
    <w:basedOn w:val="Normal"/>
    <w:link w:val="CommentTextChar"/>
    <w:rsid w:val="00FE3EBF"/>
    <w:rPr>
      <w:szCs w:val="20"/>
    </w:rPr>
  </w:style>
  <w:style w:type="character" w:customStyle="1" w:styleId="CommentTextChar">
    <w:name w:val="Comment Text Char"/>
    <w:basedOn w:val="DefaultParagraphFont"/>
    <w:link w:val="CommentText"/>
    <w:rsid w:val="00FE3EBF"/>
  </w:style>
  <w:style w:type="paragraph" w:styleId="CommentSubject">
    <w:name w:val="annotation subject"/>
    <w:basedOn w:val="CommentText"/>
    <w:next w:val="CommentText"/>
    <w:link w:val="CommentSubjectChar"/>
    <w:rsid w:val="00FE3EBF"/>
    <w:rPr>
      <w:b/>
      <w:bCs/>
    </w:rPr>
  </w:style>
  <w:style w:type="character" w:customStyle="1" w:styleId="CommentSubjectChar">
    <w:name w:val="Comment Subject Char"/>
    <w:link w:val="CommentSubject"/>
    <w:rsid w:val="00FE3EBF"/>
    <w:rPr>
      <w:b/>
      <w:bCs/>
    </w:rPr>
  </w:style>
  <w:style w:type="character" w:styleId="Hyperlink">
    <w:name w:val="Hyperlink"/>
    <w:rsid w:val="00E579FE"/>
    <w:rPr>
      <w:color w:val="0563C1"/>
      <w:u w:val="single"/>
    </w:rPr>
  </w:style>
  <w:style w:type="character" w:styleId="UnresolvedMention">
    <w:name w:val="Unresolved Mention"/>
    <w:uiPriority w:val="99"/>
    <w:semiHidden/>
    <w:unhideWhenUsed/>
    <w:rsid w:val="00E579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Kelly.bryan@opm.gov" TargetMode="External" /><Relationship Id="rId11" Type="http://schemas.openxmlformats.org/officeDocument/2006/relationships/hyperlink" Target="mailto:yan.p.chen@ostp.eop.gov" TargetMode="External" /><Relationship Id="rId12" Type="http://schemas.openxmlformats.org/officeDocument/2006/relationships/hyperlink" Target="mailto:Elizabeth.overstreet@hhs.gov"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Emily.ianacone@hhs.gov" TargetMode="External" /><Relationship Id="rId5" Type="http://schemas.openxmlformats.org/officeDocument/2006/relationships/hyperlink" Target="mailto:Julie.wiegandt@hhs.gov" TargetMode="External" /><Relationship Id="rId6" Type="http://schemas.openxmlformats.org/officeDocument/2006/relationships/hyperlink" Target="mailto:felix.lorenzo@hhs.gov" TargetMode="External" /><Relationship Id="rId7" Type="http://schemas.openxmlformats.org/officeDocument/2006/relationships/hyperlink" Target="mailto:linda.greenberg@hhs.gov" TargetMode="External" /><Relationship Id="rId8" Type="http://schemas.openxmlformats.org/officeDocument/2006/relationships/hyperlink" Target="mailto:Arielle.McInnis-Simoncelli@opm.gov" TargetMode="External" /><Relationship Id="rId9" Type="http://schemas.openxmlformats.org/officeDocument/2006/relationships/hyperlink" Target="mailto:Erika.Lindsey@opm.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942</Words>
  <Characters>5372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B</vt:lpstr>
    </vt:vector>
  </TitlesOfParts>
  <Company>DHHS</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DHHS</dc:creator>
  <cp:lastModifiedBy>Musa, Sagal (HHS/ASFR)</cp:lastModifiedBy>
  <cp:revision>2</cp:revision>
  <dcterms:created xsi:type="dcterms:W3CDTF">2023-07-05T18:58:00Z</dcterms:created>
  <dcterms:modified xsi:type="dcterms:W3CDTF">2023-07-05T18:58:00Z</dcterms:modified>
</cp:coreProperties>
</file>