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RPr="007931D7" w:rsidP="00116CD5" w14:paraId="4C554728" w14:textId="77777777">
      <w:pPr>
        <w:widowControl/>
        <w:tabs>
          <w:tab w:val="left" w:pos="720"/>
        </w:tabs>
        <w:ind w:left="720" w:hanging="1440"/>
        <w:jc w:val="center"/>
        <w:rPr>
          <w:rFonts w:ascii="Times New Roman" w:hAnsi="Times New Roman"/>
          <w:b/>
          <w:bCs/>
        </w:rPr>
      </w:pPr>
    </w:p>
    <w:p w:rsidR="00690F56" w:rsidRPr="007931D7" w:rsidP="00E86973" w14:paraId="7E97B93F" w14:textId="77777777">
      <w:pPr>
        <w:widowControl/>
        <w:tabs>
          <w:tab w:val="left" w:pos="720"/>
        </w:tabs>
        <w:ind w:left="720" w:hanging="1440"/>
        <w:jc w:val="center"/>
        <w:rPr>
          <w:rFonts w:ascii="Times New Roman" w:hAnsi="Times New Roman"/>
          <w:b/>
          <w:bCs/>
        </w:rPr>
      </w:pPr>
      <w:r w:rsidRPr="007931D7">
        <w:rPr>
          <w:rFonts w:ascii="Times New Roman" w:hAnsi="Times New Roman"/>
          <w:b/>
          <w:bCs/>
        </w:rPr>
        <w:t>SUPPORTING STATEMENT FOR</w:t>
      </w:r>
    </w:p>
    <w:p w:rsidR="00E41BA5" w:rsidRPr="00E41BA5" w:rsidP="00E41BA5" w14:paraId="7249CC49" w14:textId="77777777">
      <w:pPr>
        <w:widowControl/>
        <w:jc w:val="center"/>
        <w:rPr>
          <w:rFonts w:ascii="Times New Roman" w:hAnsi="Times New Roman"/>
          <w:b/>
          <w:bCs/>
        </w:rPr>
      </w:pPr>
      <w:r w:rsidRPr="00E41BA5">
        <w:rPr>
          <w:rFonts w:ascii="Times New Roman" w:hAnsi="Times New Roman"/>
          <w:b/>
          <w:bCs/>
        </w:rPr>
        <w:t>Annual Progress Report for STOP Violence Against Women Formula Grant</w:t>
      </w:r>
    </w:p>
    <w:p w:rsidR="00E86973" w:rsidRPr="007931D7" w:rsidP="00E41BA5" w14:paraId="60089450" w14:textId="142EF07A">
      <w:pPr>
        <w:widowControl/>
        <w:jc w:val="center"/>
        <w:rPr>
          <w:rFonts w:ascii="Times New Roman" w:hAnsi="Times New Roman"/>
          <w:b/>
          <w:bCs/>
        </w:rPr>
      </w:pPr>
      <w:r w:rsidRPr="00E41BA5">
        <w:rPr>
          <w:rFonts w:ascii="Times New Roman" w:hAnsi="Times New Roman"/>
          <w:b/>
          <w:bCs/>
        </w:rPr>
        <w:t>Program</w:t>
      </w:r>
    </w:p>
    <w:p w:rsidR="000B6FB6" w:rsidRPr="007931D7" w:rsidP="00690F56" w14:paraId="1CF8A88F" w14:textId="77777777">
      <w:pPr>
        <w:widowControl/>
        <w:rPr>
          <w:rFonts w:ascii="Times New Roman" w:hAnsi="Times New Roman"/>
          <w:b/>
          <w:bCs/>
        </w:rPr>
      </w:pPr>
    </w:p>
    <w:p w:rsidR="00690F56" w:rsidRPr="007931D7" w:rsidP="00242CA0" w14:paraId="0A674873" w14:textId="77777777">
      <w:pPr>
        <w:widowControl/>
        <w:numPr>
          <w:ilvl w:val="0"/>
          <w:numId w:val="8"/>
        </w:numPr>
        <w:ind w:left="540" w:hanging="450"/>
        <w:rPr>
          <w:rFonts w:ascii="Times New Roman" w:hAnsi="Times New Roman"/>
          <w:b/>
          <w:bCs/>
        </w:rPr>
      </w:pPr>
      <w:r w:rsidRPr="007931D7">
        <w:rPr>
          <w:rFonts w:ascii="Times New Roman" w:hAnsi="Times New Roman"/>
          <w:b/>
          <w:bCs/>
        </w:rPr>
        <w:t>JUSTIFICATION</w:t>
      </w:r>
    </w:p>
    <w:p w:rsidR="00690F56" w:rsidRPr="007931D7" w:rsidP="00690F56" w14:paraId="375316BB" w14:textId="77777777">
      <w:pPr>
        <w:widowControl/>
        <w:rPr>
          <w:rFonts w:ascii="Times New Roman" w:hAnsi="Times New Roman"/>
          <w:b/>
          <w:bCs/>
        </w:rPr>
      </w:pPr>
    </w:p>
    <w:p w:rsidR="00690F56" w:rsidRPr="007931D7" w:rsidP="00690F56" w14:paraId="38CEE6AD" w14:textId="6D3624AE">
      <w:pPr>
        <w:widowControl/>
        <w:rPr>
          <w:rFonts w:ascii="Times New Roman" w:hAnsi="Times New Roman"/>
        </w:rPr>
      </w:pPr>
      <w:r w:rsidRPr="007931D7">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5043F" w:rsidRPr="007931D7" w:rsidP="00C96C3E" w14:paraId="386CE7D5" w14:textId="71D5B6D4">
      <w:pPr>
        <w:pStyle w:val="paragraph"/>
        <w:textAlignment w:val="baseline"/>
        <w:rPr>
          <w:color w:val="000000"/>
        </w:rPr>
      </w:pPr>
      <w:r w:rsidRPr="007931D7">
        <w:rPr>
          <w:color w:val="000000"/>
        </w:rPr>
        <w:t>The primary goal of the STOP (Services*Training*Officers*Prosecutors) Violence</w:t>
      </w:r>
      <w:r w:rsidRPr="007931D7" w:rsidR="007D0B09">
        <w:rPr>
          <w:color w:val="000000"/>
        </w:rPr>
        <w:t xml:space="preserve"> </w:t>
      </w:r>
      <w:r w:rsidRPr="007931D7">
        <w:rPr>
          <w:color w:val="000000"/>
        </w:rPr>
        <w:t>Against Women Formula Grant Program (STOP Formula Grant Program) is to develop and</w:t>
      </w:r>
      <w:r w:rsidRPr="007931D7" w:rsidR="007D0B09">
        <w:rPr>
          <w:color w:val="000000"/>
        </w:rPr>
        <w:t xml:space="preserve"> </w:t>
      </w:r>
      <w:r w:rsidRPr="007931D7">
        <w:rPr>
          <w:color w:val="000000"/>
        </w:rPr>
        <w:t>strengthen the criminal justice system's response to violence against women and to support and</w:t>
      </w:r>
      <w:r w:rsidRPr="007931D7" w:rsidR="007D0B09">
        <w:rPr>
          <w:color w:val="000000"/>
        </w:rPr>
        <w:t xml:space="preserve"> </w:t>
      </w:r>
      <w:r w:rsidRPr="007931D7">
        <w:rPr>
          <w:color w:val="000000"/>
        </w:rPr>
        <w:t>enhance services for victims. The STOP Formula Grant Program was authorized through the</w:t>
      </w:r>
      <w:r w:rsidRPr="007931D7" w:rsidR="007D0B09">
        <w:rPr>
          <w:color w:val="000000"/>
        </w:rPr>
        <w:t xml:space="preserve"> </w:t>
      </w:r>
      <w:r w:rsidRPr="007931D7">
        <w:rPr>
          <w:color w:val="000000"/>
        </w:rPr>
        <w:t>Violence Against Women Act (VAWA) of 1994 and reauthorized and amended by the VAWA</w:t>
      </w:r>
      <w:r w:rsidRPr="007931D7" w:rsidR="007D0B09">
        <w:rPr>
          <w:color w:val="000000"/>
        </w:rPr>
        <w:t xml:space="preserve"> </w:t>
      </w:r>
      <w:r w:rsidRPr="007931D7">
        <w:rPr>
          <w:color w:val="000000"/>
        </w:rPr>
        <w:t>of 2000, by the VAWA of 2005 and by the VAWA of 2013. Grant awards are made to state</w:t>
      </w:r>
      <w:r w:rsidRPr="007931D7" w:rsidR="007D0B09">
        <w:rPr>
          <w:color w:val="000000"/>
        </w:rPr>
        <w:t xml:space="preserve"> </w:t>
      </w:r>
      <w:r w:rsidRPr="007931D7">
        <w:rPr>
          <w:color w:val="000000"/>
        </w:rPr>
        <w:t>governments and administered through a STOP State Administrator. Each state and territory</w:t>
      </w:r>
      <w:r w:rsidRPr="007931D7" w:rsidR="007D0B09">
        <w:rPr>
          <w:color w:val="000000"/>
        </w:rPr>
        <w:t xml:space="preserve"> </w:t>
      </w:r>
      <w:r w:rsidRPr="007931D7">
        <w:rPr>
          <w:color w:val="000000"/>
        </w:rPr>
        <w:t>must allocate OVW grant funds to law enforcement, prosecution, courts, and victim services within the statutory parameters. Eligible applicants for the STOP Formula Grant Program include any state within the United States, the District of Columbia, the Commonwealth of Puerto Rico, the Virgin Islands, American Samoa, Guam, and the Commonwealth of the Northern Mariana</w:t>
      </w:r>
      <w:r w:rsidRPr="007931D7" w:rsidR="007D0B09">
        <w:rPr>
          <w:color w:val="000000"/>
        </w:rPr>
        <w:t xml:space="preserve"> Islands. Currently</w:t>
      </w:r>
      <w:r w:rsidRPr="007931D7">
        <w:rPr>
          <w:color w:val="000000"/>
        </w:rPr>
        <w:t>, there are different statutory and regulatory reporting requirements that affect</w:t>
      </w:r>
      <w:r w:rsidRPr="007931D7" w:rsidR="007D0B09">
        <w:rPr>
          <w:color w:val="000000"/>
        </w:rPr>
        <w:t xml:space="preserve"> </w:t>
      </w:r>
      <w:r w:rsidRPr="007931D7">
        <w:rPr>
          <w:color w:val="000000"/>
        </w:rPr>
        <w:t>STOP Formula Grant Program grantees. VAWA 2000 required all VAWA grantees, including</w:t>
      </w:r>
      <w:r w:rsidRPr="007931D7" w:rsidR="007D0B09">
        <w:rPr>
          <w:color w:val="000000"/>
        </w:rPr>
        <w:t xml:space="preserve"> </w:t>
      </w:r>
      <w:r w:rsidRPr="007931D7">
        <w:rPr>
          <w:color w:val="000000"/>
        </w:rPr>
        <w:t>STOP Formula Grant Program grantees, to report on the effectiveness of their programs to the</w:t>
      </w:r>
      <w:r w:rsidRPr="007931D7" w:rsidR="007D0B09">
        <w:rPr>
          <w:color w:val="000000"/>
        </w:rPr>
        <w:t xml:space="preserve"> </w:t>
      </w:r>
      <w:r w:rsidRPr="007931D7">
        <w:rPr>
          <w:color w:val="000000"/>
        </w:rPr>
        <w:t>Attorney General who, in turn, must report to Congress every two years. Section 1003 of</w:t>
      </w:r>
      <w:r w:rsidRPr="007931D7" w:rsidR="007D0B09">
        <w:rPr>
          <w:color w:val="000000"/>
        </w:rPr>
        <w:t xml:space="preserve"> </w:t>
      </w:r>
      <w:r w:rsidRPr="007931D7">
        <w:rPr>
          <w:color w:val="000000"/>
        </w:rPr>
        <w:t>VAWA 2000 states that</w:t>
      </w:r>
      <w:r w:rsidRPr="007931D7" w:rsidR="007D0B09">
        <w:rPr>
          <w:color w:val="000000"/>
        </w:rPr>
        <w:t xml:space="preserve"> </w:t>
      </w:r>
      <w:r w:rsidRPr="007931D7">
        <w:rPr>
          <w:color w:val="000000"/>
        </w:rPr>
        <w:t>(a) REPORT BY GRANT RECIPIENTS</w:t>
      </w:r>
      <w:r w:rsidRPr="007931D7" w:rsidR="007D0B09">
        <w:rPr>
          <w:color w:val="000000"/>
        </w:rPr>
        <w:t xml:space="preserve">. </w:t>
      </w:r>
      <w:r w:rsidRPr="007931D7">
        <w:rPr>
          <w:color w:val="000000"/>
        </w:rPr>
        <w:t>The Attorney General or Secretary of</w:t>
      </w:r>
      <w:r w:rsidRPr="007931D7" w:rsidR="007D0B09">
        <w:rPr>
          <w:color w:val="000000"/>
        </w:rPr>
        <w:t xml:space="preserve"> </w:t>
      </w:r>
      <w:r w:rsidRPr="007931D7">
        <w:rPr>
          <w:color w:val="000000"/>
        </w:rPr>
        <w:t>Health and Human Services, as applicable, shall require grantees under any</w:t>
      </w:r>
      <w:r w:rsidRPr="007931D7" w:rsidR="007D0B09">
        <w:rPr>
          <w:color w:val="000000"/>
        </w:rPr>
        <w:t xml:space="preserve"> </w:t>
      </w:r>
      <w:r w:rsidRPr="007931D7">
        <w:rPr>
          <w:color w:val="000000"/>
        </w:rPr>
        <w:t>program authorized or reauthorized by this division or an amendment made by</w:t>
      </w:r>
      <w:r w:rsidRPr="007931D7" w:rsidR="007D0B09">
        <w:rPr>
          <w:color w:val="000000"/>
        </w:rPr>
        <w:t xml:space="preserve"> </w:t>
      </w:r>
      <w:r w:rsidRPr="007931D7">
        <w:rPr>
          <w:color w:val="000000"/>
        </w:rPr>
        <w:t>this division to report on the effectiveness of the activities carried out with</w:t>
      </w:r>
      <w:r w:rsidRPr="007931D7" w:rsidR="007D0B09">
        <w:rPr>
          <w:color w:val="000000"/>
        </w:rPr>
        <w:t xml:space="preserve"> </w:t>
      </w:r>
      <w:r w:rsidRPr="007931D7">
        <w:rPr>
          <w:color w:val="000000"/>
        </w:rPr>
        <w:t>amounts made available to carry out that program, including number of persons</w:t>
      </w:r>
      <w:r w:rsidRPr="007931D7" w:rsidR="007D0B09">
        <w:rPr>
          <w:color w:val="000000"/>
        </w:rPr>
        <w:t xml:space="preserve"> </w:t>
      </w:r>
      <w:r w:rsidRPr="007931D7">
        <w:rPr>
          <w:color w:val="000000"/>
        </w:rPr>
        <w:t>served, if applicable, numbers of persons seeking services who could not be</w:t>
      </w:r>
      <w:r w:rsidRPr="007931D7" w:rsidR="007D0B09">
        <w:rPr>
          <w:color w:val="000000"/>
        </w:rPr>
        <w:t xml:space="preserve"> </w:t>
      </w:r>
      <w:r w:rsidRPr="007931D7">
        <w:rPr>
          <w:color w:val="000000"/>
        </w:rPr>
        <w:t>served and such other information as the Attorney General or Secretary may</w:t>
      </w:r>
      <w:r w:rsidRPr="007931D7" w:rsidR="007D0B09">
        <w:rPr>
          <w:color w:val="000000"/>
        </w:rPr>
        <w:t xml:space="preserve"> </w:t>
      </w:r>
      <w:r w:rsidRPr="007931D7">
        <w:rPr>
          <w:color w:val="000000"/>
        </w:rPr>
        <w:t>prescribe.</w:t>
      </w:r>
      <w:r w:rsidRPr="007931D7" w:rsidR="007D0B09">
        <w:rPr>
          <w:color w:val="000000"/>
        </w:rPr>
        <w:t xml:space="preserve"> </w:t>
      </w:r>
      <w:r w:rsidRPr="007931D7">
        <w:rPr>
          <w:color w:val="000000"/>
        </w:rPr>
        <w:t>(b) REPORT TO CONGRESS.</w:t>
      </w:r>
      <w:r w:rsidRPr="007931D7" w:rsidR="007D0B09">
        <w:rPr>
          <w:color w:val="000000"/>
        </w:rPr>
        <w:t xml:space="preserve"> </w:t>
      </w:r>
      <w:r w:rsidRPr="007931D7">
        <w:rPr>
          <w:color w:val="000000"/>
        </w:rPr>
        <w:t>The Attorney General or Secretary of</w:t>
      </w:r>
      <w:r w:rsidRPr="007931D7" w:rsidR="007D0B09">
        <w:rPr>
          <w:color w:val="000000"/>
        </w:rPr>
        <w:t xml:space="preserve"> </w:t>
      </w:r>
      <w:r w:rsidRPr="007931D7">
        <w:rPr>
          <w:color w:val="000000"/>
        </w:rPr>
        <w:t>Health and Human Services, as applicable, shall report biennially to the</w:t>
      </w:r>
      <w:r w:rsidRPr="007931D7" w:rsidR="007D0B09">
        <w:rPr>
          <w:color w:val="000000"/>
        </w:rPr>
        <w:t xml:space="preserve"> </w:t>
      </w:r>
      <w:r w:rsidRPr="007931D7">
        <w:rPr>
          <w:color w:val="000000"/>
        </w:rPr>
        <w:t>Committees on the Judiciary of the House of Representatives and the</w:t>
      </w:r>
      <w:r w:rsidRPr="007931D7" w:rsidR="007D0B09">
        <w:rPr>
          <w:color w:val="000000"/>
        </w:rPr>
        <w:t xml:space="preserve"> </w:t>
      </w:r>
      <w:r w:rsidRPr="007931D7">
        <w:rPr>
          <w:color w:val="000000"/>
        </w:rPr>
        <w:t>Senate on the grant programs described in subsection (a), including the</w:t>
      </w:r>
      <w:r w:rsidRPr="007931D7" w:rsidR="007D0B09">
        <w:rPr>
          <w:color w:val="000000"/>
        </w:rPr>
        <w:t xml:space="preserve"> </w:t>
      </w:r>
      <w:r w:rsidRPr="007931D7">
        <w:rPr>
          <w:color w:val="000000"/>
        </w:rPr>
        <w:t>information contained in any report under that subsection.</w:t>
      </w:r>
      <w:r w:rsidRPr="007931D7" w:rsidR="007D0B09">
        <w:rPr>
          <w:color w:val="000000"/>
        </w:rPr>
        <w:t xml:space="preserve"> </w:t>
      </w:r>
      <w:r w:rsidRPr="007931D7">
        <w:rPr>
          <w:color w:val="000000"/>
        </w:rPr>
        <w:t>34 U.S.C. 10238.2</w:t>
      </w:r>
      <w:r w:rsidRPr="007931D7" w:rsidR="007D0B09">
        <w:rPr>
          <w:color w:val="000000"/>
        </w:rPr>
        <w:t xml:space="preserve"> </w:t>
      </w:r>
      <w:r w:rsidRPr="007931D7">
        <w:rPr>
          <w:color w:val="000000"/>
        </w:rPr>
        <w:t>The Department of Justice regulations provide that states and local and Indian tribal</w:t>
      </w:r>
      <w:r w:rsidRPr="007931D7" w:rsidR="007D0B09">
        <w:rPr>
          <w:color w:val="000000"/>
        </w:rPr>
        <w:t xml:space="preserve"> </w:t>
      </w:r>
      <w:r w:rsidRPr="007931D7">
        <w:rPr>
          <w:color w:val="000000"/>
        </w:rPr>
        <w:t>governments receiving federal grants must submit periodic performance reports that include a</w:t>
      </w:r>
      <w:r w:rsidRPr="007931D7" w:rsidR="00D54CDF">
        <w:rPr>
          <w:color w:val="000000"/>
        </w:rPr>
        <w:t xml:space="preserve"> </w:t>
      </w:r>
      <w:r w:rsidRPr="007931D7">
        <w:rPr>
          <w:color w:val="000000"/>
        </w:rPr>
        <w:t>comparison of actual accomplishments to the objectives established and the reasons for slippage</w:t>
      </w:r>
      <w:r w:rsidRPr="007931D7" w:rsidR="00D54CDF">
        <w:rPr>
          <w:color w:val="000000"/>
        </w:rPr>
        <w:t xml:space="preserve"> </w:t>
      </w:r>
      <w:r w:rsidRPr="007931D7">
        <w:rPr>
          <w:color w:val="000000"/>
        </w:rPr>
        <w:t>if the objectives were not met. 28 CFR 66.401</w:t>
      </w:r>
      <w:r w:rsidRPr="007931D7" w:rsidR="00D54CDF">
        <w:rPr>
          <w:color w:val="000000"/>
        </w:rPr>
        <w:t xml:space="preserve"> </w:t>
      </w:r>
      <w:r w:rsidRPr="007931D7">
        <w:rPr>
          <w:color w:val="000000"/>
        </w:rPr>
        <w:t>OVW must also comply with the Government Performance and Results Act of 1993</w:t>
      </w:r>
      <w:r w:rsidRPr="007931D7" w:rsidR="00D54CDF">
        <w:rPr>
          <w:color w:val="000000"/>
        </w:rPr>
        <w:t xml:space="preserve"> </w:t>
      </w:r>
      <w:r w:rsidRPr="007931D7">
        <w:rPr>
          <w:color w:val="000000"/>
        </w:rPr>
        <w:t>(GPRA) (Pub. L. 103-62) which was enacted to increase Congressional and Administrative focus</w:t>
      </w:r>
      <w:r w:rsidRPr="007931D7" w:rsidR="00D54CDF">
        <w:rPr>
          <w:color w:val="000000"/>
        </w:rPr>
        <w:t xml:space="preserve"> </w:t>
      </w:r>
      <w:r w:rsidRPr="007931D7">
        <w:rPr>
          <w:color w:val="000000"/>
        </w:rPr>
        <w:t>on the results from government programs and activities. To meet its GPRA reporting obligations</w:t>
      </w:r>
      <w:r w:rsidRPr="007931D7" w:rsidR="00D54CDF">
        <w:rPr>
          <w:color w:val="000000"/>
        </w:rPr>
        <w:t xml:space="preserve"> </w:t>
      </w:r>
      <w:r w:rsidRPr="007931D7">
        <w:rPr>
          <w:color w:val="000000"/>
        </w:rPr>
        <w:t>and elicit more meaningful information about grantee performance, OVW has recently developed</w:t>
      </w:r>
      <w:r w:rsidRPr="007931D7" w:rsidR="00D54CDF">
        <w:rPr>
          <w:color w:val="000000"/>
        </w:rPr>
        <w:t xml:space="preserve"> </w:t>
      </w:r>
      <w:r w:rsidRPr="007931D7">
        <w:rPr>
          <w:color w:val="000000"/>
        </w:rPr>
        <w:t>performance measures, including output measures, regarding which the STOP Formula Grant</w:t>
      </w:r>
      <w:r w:rsidRPr="007931D7" w:rsidR="00D54CDF">
        <w:rPr>
          <w:color w:val="000000"/>
        </w:rPr>
        <w:t xml:space="preserve"> </w:t>
      </w:r>
      <w:r w:rsidRPr="007931D7">
        <w:rPr>
          <w:color w:val="000000"/>
        </w:rPr>
        <w:t>Program grantees must report on an annual basis.</w:t>
      </w:r>
    </w:p>
    <w:p w:rsidR="00690F56" w:rsidRPr="007931D7" w:rsidP="00690F56" w14:paraId="2BBF8E2F" w14:textId="12DDB880">
      <w:pPr>
        <w:widowControl/>
        <w:rPr>
          <w:rFonts w:ascii="Times New Roman" w:hAnsi="Times New Roman"/>
          <w:b/>
          <w:bCs/>
        </w:rPr>
      </w:pPr>
      <w:r w:rsidRPr="007931D7">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RPr="007931D7" w:rsidP="00690F56" w14:paraId="5EFBC942" w14:textId="77777777">
      <w:pPr>
        <w:widowControl/>
        <w:rPr>
          <w:rFonts w:ascii="Times New Roman" w:hAnsi="Times New Roman"/>
          <w:b/>
          <w:bCs/>
        </w:rPr>
      </w:pPr>
    </w:p>
    <w:p w:rsidR="00522CC5" w:rsidRPr="007931D7" w:rsidP="00522CC5" w14:paraId="36369382" w14:textId="77777777">
      <w:pPr>
        <w:widowControl/>
        <w:rPr>
          <w:rFonts w:ascii="Times New Roman" w:hAnsi="Times New Roman"/>
        </w:rPr>
      </w:pPr>
      <w:r w:rsidRPr="007931D7">
        <w:rPr>
          <w:rFonts w:ascii="Times New Roman" w:hAnsi="Times New Roman"/>
        </w:rPr>
        <w:t xml:space="preserve">OVW uses data from the information collection2 in different ways. OVW will review </w:t>
      </w:r>
      <w:r w:rsidRPr="007931D7">
        <w:rPr>
          <w:rFonts w:ascii="Times New Roman" w:hAnsi="Times New Roman"/>
        </w:rPr>
        <w:t>each</w:t>
      </w:r>
    </w:p>
    <w:p w:rsidR="00522CC5" w:rsidRPr="007931D7" w:rsidP="00522CC5" w14:paraId="66C5AE80" w14:textId="77777777">
      <w:pPr>
        <w:widowControl/>
        <w:rPr>
          <w:rFonts w:ascii="Times New Roman" w:hAnsi="Times New Roman"/>
        </w:rPr>
      </w:pPr>
      <w:r w:rsidRPr="007931D7">
        <w:rPr>
          <w:rFonts w:ascii="Times New Roman" w:hAnsi="Times New Roman"/>
        </w:rPr>
        <w:t xml:space="preserve">annual progress report to ensure statutory compliance and to ensure that the goals and </w:t>
      </w:r>
      <w:r w:rsidRPr="007931D7">
        <w:rPr>
          <w:rFonts w:ascii="Times New Roman" w:hAnsi="Times New Roman"/>
        </w:rPr>
        <w:t>objectives</w:t>
      </w:r>
    </w:p>
    <w:p w:rsidR="008C154F" w:rsidRPr="007931D7" w:rsidP="00522CC5" w14:paraId="6C27F9CC" w14:textId="206603CA">
      <w:pPr>
        <w:widowControl/>
        <w:rPr>
          <w:rFonts w:ascii="Times New Roman" w:hAnsi="Times New Roman"/>
        </w:rPr>
      </w:pPr>
      <w:r w:rsidRPr="007931D7">
        <w:rPr>
          <w:rFonts w:ascii="Times New Roman" w:hAnsi="Times New Roman"/>
        </w:rPr>
        <w:t>set forth in applications for funding and award documents are met. The STOP Formula Grant Program subgrantees collect information that addresses the following grant-funded activities (different sections on the reporting form): staff, statutory purpose areas, informational materials, and victim services. Narrative questions at the end of these different sections enable subgrantees to give more detailed qualitative information about their grant-funded activities. In addition, subgrantees must answer narrative questions on the</w:t>
      </w:r>
      <w:r w:rsidRPr="007931D7" w:rsidR="00861555">
        <w:rPr>
          <w:rFonts w:ascii="Times New Roman" w:hAnsi="Times New Roman"/>
        </w:rPr>
        <w:t xml:space="preserve"> </w:t>
      </w:r>
      <w:r w:rsidRPr="007931D7">
        <w:rPr>
          <w:rFonts w:ascii="Times New Roman" w:hAnsi="Times New Roman"/>
        </w:rPr>
        <w:t>most significant areas of remaining need with regard to improving services to victims/survivors</w:t>
      </w:r>
      <w:r w:rsidRPr="007931D7" w:rsidR="00861555">
        <w:rPr>
          <w:rFonts w:ascii="Times New Roman" w:hAnsi="Times New Roman"/>
        </w:rPr>
        <w:t xml:space="preserve"> </w:t>
      </w:r>
      <w:r w:rsidRPr="007931D7">
        <w:rPr>
          <w:rFonts w:ascii="Times New Roman" w:hAnsi="Times New Roman"/>
        </w:rPr>
        <w:t>of sexual assault, increasing victims/survivors safety, and enhancing community response</w:t>
      </w:r>
      <w:r w:rsidRPr="007931D7" w:rsidR="00861555">
        <w:rPr>
          <w:rFonts w:ascii="Times New Roman" w:hAnsi="Times New Roman"/>
        </w:rPr>
        <w:t xml:space="preserve"> </w:t>
      </w:r>
      <w:r w:rsidRPr="007931D7">
        <w:rPr>
          <w:rFonts w:ascii="Times New Roman" w:hAnsi="Times New Roman"/>
        </w:rPr>
        <w:t>(including offender accountability or sex offenders), what has federal funding allowed the</w:t>
      </w:r>
      <w:r w:rsidRPr="007931D7" w:rsidR="00861555">
        <w:rPr>
          <w:rFonts w:ascii="Times New Roman" w:hAnsi="Times New Roman"/>
        </w:rPr>
        <w:t xml:space="preserve"> </w:t>
      </w:r>
      <w:r w:rsidRPr="007931D7">
        <w:rPr>
          <w:rFonts w:ascii="Times New Roman" w:hAnsi="Times New Roman"/>
        </w:rPr>
        <w:t>grantee to do that grantee could not do prior to receiving funding, additional information about</w:t>
      </w:r>
      <w:r w:rsidRPr="007931D7" w:rsidR="00861555">
        <w:rPr>
          <w:rFonts w:ascii="Times New Roman" w:hAnsi="Times New Roman"/>
        </w:rPr>
        <w:t xml:space="preserve"> </w:t>
      </w:r>
      <w:r w:rsidRPr="007931D7">
        <w:rPr>
          <w:rFonts w:ascii="Times New Roman" w:hAnsi="Times New Roman"/>
        </w:rPr>
        <w:t>the STOP Formula Grant program</w:t>
      </w:r>
      <w:r w:rsidRPr="007931D7" w:rsidR="00861555">
        <w:rPr>
          <w:rFonts w:ascii="Times New Roman" w:hAnsi="Times New Roman"/>
        </w:rPr>
        <w:t xml:space="preserve"> </w:t>
      </w:r>
      <w:r w:rsidRPr="007931D7">
        <w:rPr>
          <w:rFonts w:ascii="Times New Roman" w:hAnsi="Times New Roman"/>
        </w:rPr>
        <w:t>subgrant and/or the effectiveness of the subgrant and any</w:t>
      </w:r>
      <w:r w:rsidRPr="007931D7" w:rsidR="00861555">
        <w:rPr>
          <w:rFonts w:ascii="Times New Roman" w:hAnsi="Times New Roman"/>
        </w:rPr>
        <w:t xml:space="preserve"> </w:t>
      </w:r>
      <w:r w:rsidRPr="007931D7">
        <w:rPr>
          <w:rFonts w:ascii="Times New Roman" w:hAnsi="Times New Roman"/>
        </w:rPr>
        <w:t>additional information about the data submitted.</w:t>
      </w:r>
      <w:r w:rsidRPr="007931D7" w:rsidR="00861555">
        <w:rPr>
          <w:rFonts w:ascii="Times New Roman" w:hAnsi="Times New Roman"/>
        </w:rPr>
        <w:t xml:space="preserve"> </w:t>
      </w:r>
      <w:r w:rsidRPr="007931D7">
        <w:rPr>
          <w:rFonts w:ascii="Times New Roman" w:hAnsi="Times New Roman"/>
        </w:rPr>
        <w:t xml:space="preserve">In addition to the proposed information collection, OVW will continue to use </w:t>
      </w:r>
      <w:r w:rsidRPr="007931D7">
        <w:rPr>
          <w:rFonts w:ascii="Times New Roman" w:hAnsi="Times New Roman"/>
        </w:rPr>
        <w:t>a number of</w:t>
      </w:r>
      <w:r w:rsidRPr="007931D7" w:rsidR="00861555">
        <w:rPr>
          <w:rFonts w:ascii="Times New Roman" w:hAnsi="Times New Roman"/>
        </w:rPr>
        <w:t xml:space="preserve"> </w:t>
      </w:r>
      <w:r w:rsidRPr="007931D7">
        <w:rPr>
          <w:rFonts w:ascii="Times New Roman" w:hAnsi="Times New Roman"/>
        </w:rPr>
        <w:t>other techniques to review the activities of the STOP state administrators and of subgrantees.</w:t>
      </w:r>
      <w:r>
        <w:rPr>
          <w:rStyle w:val="FootnoteReference"/>
          <w:rFonts w:ascii="Times New Roman" w:hAnsi="Times New Roman"/>
        </w:rPr>
        <w:footnoteReference w:id="2"/>
      </w:r>
      <w:r w:rsidRPr="007931D7">
        <w:rPr>
          <w:rFonts w:ascii="Times New Roman" w:hAnsi="Times New Roman"/>
        </w:rPr>
        <w:t xml:space="preserve"> These may include OVW staff attendance at site visits, grant-funded training and technical assistance events, and ongoing consultation with OVW staff. OVW will aggregate data from all subgrantees progress reports to assess the performance of the STOP Formula Grant Program as a whole and to respond to Congressional, Department of Justice, and other inquiries about how these funds are being used. In addition, information collected from grantees will support the following OVW GPRA measures: Number of victims receiving requested services; Number of advocates funded: Number of protection orders issued; Number of policies developed/revised; Number of victims requesting services who received them; Number of grant funded multi-disciplinary training events that have occurred; and Number of professionals trained to respond to domestic violence, dating violence, sexual assault, and stalking. Information collected from STOP state administrators and subgrantees will enable OVW to respond to statutory requirements to report on the effectiveness of grant-funded activities. OVW has submitted the 2016 Biennial Report to Congress on the STOP Grant program, which includes information about how funds were expended and an assessment of the effectiveness of funded programs. This report is based on data submitted by grantees reflecting STOP awards made and STOP-funded activities during the calendar year 2013 and 2014. The data that OVW collects on the annual progress reporting forms is currently not used in connection with an evaluation of the STOP Formula Grant Program. OVW is currently exploring the development of a multi-layered evaluation agenda for its grant programs. The data that OVW collects on the annual progress </w:t>
      </w:r>
      <w:r w:rsidRPr="007931D7">
        <w:rPr>
          <w:rFonts w:ascii="Times New Roman" w:hAnsi="Times New Roman"/>
        </w:rPr>
        <w:t>reporting forms is currently not used in connection with an evaluation of the STOP Formula Grant Program. OVW is currently exploring the development of a multi-layered evaluation agenda for its grant programs.</w:t>
      </w:r>
    </w:p>
    <w:p w:rsidR="00522CC5" w:rsidRPr="007931D7" w:rsidP="00522CC5" w14:paraId="34EEB309" w14:textId="77777777">
      <w:pPr>
        <w:widowControl/>
        <w:rPr>
          <w:rFonts w:ascii="Times New Roman" w:hAnsi="Times New Roman"/>
          <w:u w:val="single"/>
        </w:rPr>
      </w:pPr>
    </w:p>
    <w:p w:rsidR="00690F56" w:rsidRPr="007931D7"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931D7">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7931D7" w:rsidR="00237691">
        <w:rPr>
          <w:rFonts w:ascii="Times New Roman" w:hAnsi="Times New Roman"/>
          <w:b/>
          <w:bCs/>
        </w:rPr>
        <w:t>,</w:t>
      </w:r>
      <w:r w:rsidRPr="007931D7">
        <w:rPr>
          <w:rFonts w:ascii="Times New Roman" w:hAnsi="Times New Roman"/>
          <w:b/>
          <w:bCs/>
        </w:rPr>
        <w:t xml:space="preserve"> describe any consideration of using information technology to reduce burden.</w:t>
      </w:r>
    </w:p>
    <w:p w:rsidR="00690F56" w:rsidRPr="007931D7"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7931D7" w:rsidP="00690F56" w14:paraId="711B75A7" w14:textId="1DC3680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931D7">
        <w:rPr>
          <w:rFonts w:ascii="Times New Roman" w:hAnsi="Times New Roman"/>
        </w:rPr>
        <w:t xml:space="preserve">The collection of information will involve the use of automated, electronic, </w:t>
      </w:r>
      <w:r w:rsidRPr="007931D7">
        <w:rPr>
          <w:rFonts w:ascii="Times New Roman" w:hAnsi="Times New Roman"/>
        </w:rPr>
        <w:t>mechanical</w:t>
      </w:r>
      <w:r w:rsidRPr="007931D7">
        <w:rPr>
          <w:rFonts w:ascii="Times New Roman" w:hAnsi="Times New Roman"/>
        </w:rPr>
        <w:t xml:space="preserve"> or other technological collection techniques or other forms of information technology. STOP administrators are required to submit annual progress reports through the Grants Management System (GMS).</w:t>
      </w:r>
    </w:p>
    <w:p w:rsidR="00690F56" w:rsidRPr="007931D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7931D7"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931D7">
        <w:rPr>
          <w:rFonts w:ascii="Times New Roman" w:hAnsi="Times New Roman"/>
          <w:b/>
          <w:bCs/>
        </w:rPr>
        <w:t xml:space="preserve"> 4.  Describe efforts to identify duplication.  Show specifically why any similar information already available cannot be used or modified for use for the purposes described in Item </w:t>
      </w:r>
      <w:r w:rsidRPr="007931D7" w:rsidR="00237691">
        <w:rPr>
          <w:rFonts w:ascii="Times New Roman" w:hAnsi="Times New Roman"/>
          <w:b/>
          <w:bCs/>
        </w:rPr>
        <w:t>A.</w:t>
      </w:r>
      <w:r w:rsidRPr="007931D7">
        <w:rPr>
          <w:rFonts w:ascii="Times New Roman" w:hAnsi="Times New Roman"/>
          <w:b/>
          <w:bCs/>
        </w:rPr>
        <w:t>2 above.</w:t>
      </w:r>
    </w:p>
    <w:p w:rsidR="004F6B35" w:rsidRPr="007931D7" w:rsidP="00690F56" w14:paraId="4EC98CE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7931D7" w:rsidP="00690F56" w14:paraId="2693B8DC" w14:textId="365E380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931D7">
        <w:rPr>
          <w:rFonts w:ascii="Times New Roman" w:hAnsi="Times New Roman"/>
        </w:rPr>
        <w:t>There is no other mechanism by which OVW collects information about grant funded activities including number of victims served, victims seeking services who could not be served, 4 or persons trained.</w:t>
      </w:r>
    </w:p>
    <w:p w:rsidR="00C25E66" w:rsidRPr="007931D7"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7931D7"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931D7">
        <w:rPr>
          <w:rFonts w:ascii="Times New Roman" w:hAnsi="Times New Roman"/>
          <w:b/>
          <w:bCs/>
        </w:rPr>
        <w:t xml:space="preserve"> 5.</w:t>
      </w:r>
      <w:r w:rsidRPr="007931D7">
        <w:rPr>
          <w:rFonts w:ascii="Times New Roman" w:hAnsi="Times New Roman"/>
        </w:rPr>
        <w:t xml:space="preserve">  </w:t>
      </w:r>
      <w:r w:rsidRPr="007931D7">
        <w:rPr>
          <w:rFonts w:ascii="Times New Roman" w:hAnsi="Times New Roman"/>
          <w:b/>
          <w:bCs/>
        </w:rPr>
        <w:t>If the collection of information impacts small businesses or other small entities</w:t>
      </w:r>
      <w:r w:rsidRPr="007931D7" w:rsidR="00237691">
        <w:rPr>
          <w:rFonts w:ascii="Times New Roman" w:hAnsi="Times New Roman"/>
          <w:b/>
          <w:bCs/>
        </w:rPr>
        <w:t>,</w:t>
      </w:r>
      <w:r w:rsidRPr="007931D7">
        <w:rPr>
          <w:rFonts w:ascii="Times New Roman" w:hAnsi="Times New Roman"/>
          <w:b/>
          <w:bCs/>
        </w:rPr>
        <w:t xml:space="preserve"> describe any methods used to minimize burden.</w:t>
      </w:r>
    </w:p>
    <w:p w:rsidR="00690F56" w:rsidRPr="007931D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RPr="007931D7"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931D7">
        <w:rPr>
          <w:rFonts w:ascii="Times New Roman" w:hAnsi="Times New Roman"/>
        </w:rPr>
        <w:t>There is no significant impact on small business or other private entities.</w:t>
      </w:r>
    </w:p>
    <w:p w:rsidR="005622FE" w:rsidRPr="007931D7"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7931D7"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931D7">
        <w:rPr>
          <w:rFonts w:ascii="Times New Roman" w:hAnsi="Times New Roman"/>
          <w:b/>
          <w:bCs/>
        </w:rPr>
        <w:t xml:space="preserve"> 6</w:t>
      </w:r>
      <w:r w:rsidRPr="007931D7" w:rsidR="00237691">
        <w:rPr>
          <w:rFonts w:ascii="Times New Roman" w:hAnsi="Times New Roman"/>
          <w:b/>
          <w:bCs/>
        </w:rPr>
        <w:t>.  Describe the consequence to f</w:t>
      </w:r>
      <w:r w:rsidRPr="007931D7">
        <w:rPr>
          <w:rFonts w:ascii="Times New Roman" w:hAnsi="Times New Roman"/>
          <w:b/>
          <w:bCs/>
        </w:rPr>
        <w:t>ederal program or policy activities if the collection is not conducted or is conducted less frequently, as well as any technical or legal obstacles to reducing burden.</w:t>
      </w:r>
    </w:p>
    <w:p w:rsidR="00B417B3" w:rsidRPr="007931D7"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B1E76" w:rsidRPr="007931D7" w:rsidP="00690F56" w14:paraId="70EDFA97" w14:textId="2BCA592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931D7">
        <w:rPr>
          <w:rFonts w:ascii="Times New Roman" w:hAnsi="Times New Roman"/>
        </w:rPr>
        <w:t xml:space="preserve">Through the VAWA, Congress has mandated that STOP administrators and subgrantees report to the Attorney General on the effectiveness of their activities funded under VAWA. If OVW was not able to collect the information necessary to complete these reports on behalf of the Attorney General, not only would it be failing to meet statutorily required reporting mandates, but also the existence of this important and necessary formula grant program could be jeopardized. The STOP Formula Grant Program supports important programs that provide critical training to address violence against women, provide victims services, and support coordinated community responses to such crimes. The STOP Formula Grant Program promotes a coordinated, multi-disciplinary approach to improving the criminal justice system’s response to violence against women and supports partnerships among law enforcement, prosecution, courts, and victim advocacy organizations to enhance victim safety and to increase offender </w:t>
      </w:r>
      <w:r w:rsidRPr="007931D7" w:rsidR="00E41BA5">
        <w:rPr>
          <w:rFonts w:ascii="Times New Roman" w:hAnsi="Times New Roman"/>
        </w:rPr>
        <w:t>accountability.</w:t>
      </w:r>
    </w:p>
    <w:p w:rsidR="00690F56" w:rsidRPr="007931D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7931D7"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931D7">
        <w:rPr>
          <w:rFonts w:ascii="Times New Roman" w:hAnsi="Times New Roman"/>
          <w:b/>
          <w:bCs/>
        </w:rPr>
        <w:t>7.  Explain any special circumstances that would cause an information collection to be conducted in a manner:</w:t>
      </w:r>
    </w:p>
    <w:p w:rsidR="00690F56" w:rsidRPr="007931D7"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7931D7"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931D7">
        <w:rPr>
          <w:b/>
          <w:bCs/>
        </w:rPr>
        <w:t>r</w:t>
      </w:r>
      <w:r w:rsidRPr="007931D7">
        <w:rPr>
          <w:b/>
          <w:bCs/>
        </w:rPr>
        <w:t xml:space="preserve">equiring respondents to report information to the agency more often than </w:t>
      </w:r>
      <w:r w:rsidRPr="007931D7">
        <w:rPr>
          <w:b/>
          <w:bCs/>
        </w:rPr>
        <w:t>quarterly;</w:t>
      </w:r>
    </w:p>
    <w:p w:rsidR="00690F56" w:rsidRPr="007931D7"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7931D7"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931D7">
        <w:rPr>
          <w:b/>
          <w:bCs/>
        </w:rPr>
        <w:t>r</w:t>
      </w:r>
      <w:r w:rsidRPr="007931D7">
        <w:rPr>
          <w:b/>
          <w:bCs/>
        </w:rPr>
        <w:t xml:space="preserve">equiring respondents to prepare a written response to a collection of information in fewer than 30 days after receipt of </w:t>
      </w:r>
      <w:r w:rsidRPr="007931D7">
        <w:rPr>
          <w:b/>
          <w:bCs/>
        </w:rPr>
        <w:t>it;</w:t>
      </w:r>
    </w:p>
    <w:p w:rsidR="00690F56" w:rsidRPr="007931D7"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7931D7"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931D7">
        <w:rPr>
          <w:b/>
          <w:bCs/>
        </w:rPr>
        <w:t>r</w:t>
      </w:r>
      <w:r w:rsidRPr="007931D7">
        <w:rPr>
          <w:b/>
          <w:bCs/>
        </w:rPr>
        <w:t xml:space="preserve">equiring respondents to submit more than an original and two copies of any </w:t>
      </w:r>
      <w:r w:rsidRPr="007931D7">
        <w:rPr>
          <w:b/>
          <w:bCs/>
        </w:rPr>
        <w:t>document;</w:t>
      </w:r>
    </w:p>
    <w:p w:rsidR="00690F56" w:rsidRPr="007931D7"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7931D7"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931D7">
        <w:rPr>
          <w:b/>
          <w:bCs/>
        </w:rPr>
        <w:t>r</w:t>
      </w:r>
      <w:r w:rsidRPr="007931D7">
        <w:rPr>
          <w:b/>
          <w:bCs/>
        </w:rPr>
        <w:t xml:space="preserve">equiring respondents to retain records, other than health, medical, government contract, grant-in-aid, or tax records for more than three </w:t>
      </w:r>
      <w:r w:rsidRPr="007931D7">
        <w:rPr>
          <w:b/>
          <w:bCs/>
        </w:rPr>
        <w:t>years;</w:t>
      </w:r>
    </w:p>
    <w:p w:rsidR="00690F56" w:rsidRPr="007931D7"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7931D7"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931D7">
        <w:rPr>
          <w:b/>
          <w:bCs/>
        </w:rPr>
        <w:t>i</w:t>
      </w:r>
      <w:r w:rsidRPr="007931D7">
        <w:rPr>
          <w:b/>
          <w:bCs/>
        </w:rPr>
        <w:t>n connection with a statistical survey</w:t>
      </w:r>
      <w:r w:rsidRPr="007931D7">
        <w:rPr>
          <w:b/>
          <w:bCs/>
        </w:rPr>
        <w:t>,</w:t>
      </w:r>
      <w:r w:rsidRPr="007931D7">
        <w:rPr>
          <w:b/>
          <w:bCs/>
        </w:rPr>
        <w:t xml:space="preserve"> that is not designed to produce valid and reliable results that can be generalized to the universe of </w:t>
      </w:r>
      <w:r w:rsidRPr="007931D7">
        <w:rPr>
          <w:b/>
          <w:bCs/>
        </w:rPr>
        <w:t>study;</w:t>
      </w:r>
    </w:p>
    <w:p w:rsidR="00690F56" w:rsidRPr="007931D7"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7931D7"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931D7">
        <w:rPr>
          <w:b/>
          <w:bCs/>
        </w:rPr>
        <w:t>r</w:t>
      </w:r>
      <w:r w:rsidRPr="007931D7">
        <w:rPr>
          <w:b/>
          <w:bCs/>
        </w:rPr>
        <w:t xml:space="preserve">equiring the use of statistical data classification that has not been reviewed and approved by </w:t>
      </w:r>
      <w:r w:rsidRPr="007931D7">
        <w:rPr>
          <w:b/>
          <w:bCs/>
        </w:rPr>
        <w:t>OMB;</w:t>
      </w:r>
    </w:p>
    <w:p w:rsidR="00690F56" w:rsidRPr="007931D7"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7931D7"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931D7">
        <w:rPr>
          <w:b/>
          <w:bCs/>
        </w:rPr>
        <w:t>t</w:t>
      </w:r>
      <w:r w:rsidRPr="007931D7">
        <w:rPr>
          <w:b/>
          <w:bCs/>
        </w:rPr>
        <w:t>hat includes a pledge of confidentially that is not supported by authority established in statu</w:t>
      </w:r>
      <w:r w:rsidRPr="007931D7" w:rsidR="00CD215D">
        <w:rPr>
          <w:b/>
          <w:bCs/>
        </w:rPr>
        <w:t>t</w:t>
      </w:r>
      <w:r w:rsidRPr="007931D7">
        <w:rPr>
          <w:b/>
          <w:bCs/>
        </w:rPr>
        <w:t>e or regulation</w:t>
      </w:r>
      <w:r w:rsidRPr="007931D7">
        <w:rPr>
          <w:b/>
          <w:bCs/>
        </w:rPr>
        <w:t>,</w:t>
      </w:r>
      <w:r w:rsidRPr="007931D7">
        <w:rPr>
          <w:b/>
          <w:bCs/>
        </w:rPr>
        <w:t xml:space="preserve"> that is not supported by disclosure and data security policies that are consistent with the pledge, or which unnecessarily impedes sharing of data with other agencies for compatible confidential use; or</w:t>
      </w:r>
    </w:p>
    <w:p w:rsidR="00690F56" w:rsidRPr="007931D7"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7931D7"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31D7">
        <w:rPr>
          <w:b/>
          <w:bCs/>
        </w:rPr>
        <w:t>r</w:t>
      </w:r>
      <w:r w:rsidRPr="007931D7">
        <w:rPr>
          <w:b/>
          <w:bCs/>
        </w:rPr>
        <w:t xml:space="preserve">equiring respondents to submit proprietary trade secret, or other confidential information unless the agency can </w:t>
      </w:r>
      <w:r w:rsidRPr="007931D7">
        <w:rPr>
          <w:b/>
          <w:bCs/>
        </w:rPr>
        <w:t>demonstrate</w:t>
      </w:r>
      <w:r w:rsidRPr="007931D7">
        <w:rPr>
          <w:b/>
          <w:bCs/>
        </w:rPr>
        <w:t xml:space="preserve"> that it has instituted procedures to protect the information's confidentially to the extent permitted by law.</w:t>
      </w:r>
    </w:p>
    <w:p w:rsidR="00642220" w:rsidRPr="007931D7"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7931D7"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931D7">
        <w:rPr>
          <w:rFonts w:ascii="Times New Roman" w:hAnsi="Times New Roman"/>
        </w:rPr>
        <w:t>There are no special circumstances</w:t>
      </w:r>
      <w:r w:rsidRPr="007931D7" w:rsidR="003E15A0">
        <w:rPr>
          <w:rFonts w:ascii="Times New Roman" w:hAnsi="Times New Roman"/>
        </w:rPr>
        <w:t>.</w:t>
      </w:r>
    </w:p>
    <w:p w:rsidR="00690F56" w:rsidRPr="007931D7"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7931D7"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931D7">
        <w:rPr>
          <w:rFonts w:ascii="Times New Roman" w:hAnsi="Times New Roman"/>
          <w:b/>
          <w:bCs/>
        </w:rPr>
        <w:t xml:space="preserve"> 8.  If applicable, provide a copy and identify the date and page number of </w:t>
      </w:r>
      <w:r w:rsidRPr="007931D7">
        <w:rPr>
          <w:rFonts w:ascii="Times New Roman" w:hAnsi="Times New Roman"/>
          <w:b/>
          <w:bCs/>
        </w:rPr>
        <w:t>publication</w:t>
      </w:r>
      <w:r w:rsidRPr="007931D7">
        <w:rPr>
          <w:rFonts w:ascii="Times New Roman" w:hAnsi="Times New Roman"/>
          <w:b/>
          <w:bCs/>
        </w:rPr>
        <w:t xml:space="preserve"> in the </w:t>
      </w:r>
      <w:r w:rsidRPr="007931D7">
        <w:rPr>
          <w:rStyle w:val="Heading2Char"/>
          <w:rFonts w:ascii="Times New Roman" w:hAnsi="Times New Roman" w:cs="Times New Roman"/>
          <w:bCs w:val="0"/>
          <w:sz w:val="24"/>
          <w:szCs w:val="24"/>
        </w:rPr>
        <w:t>Federal Register</w:t>
      </w:r>
      <w:r w:rsidRPr="007931D7">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7931D7" w:rsidR="00E46EE5">
        <w:rPr>
          <w:rFonts w:ascii="Times New Roman" w:hAnsi="Times New Roman"/>
          <w:b/>
          <w:bCs/>
        </w:rPr>
        <w:t xml:space="preserve"> </w:t>
      </w:r>
      <w:r w:rsidRPr="007931D7">
        <w:rPr>
          <w:rFonts w:ascii="Times New Roman" w:hAnsi="Times New Roman"/>
          <w:b/>
          <w:bCs/>
        </w:rPr>
        <w:t>Specifically address comments received on cost and hour burden.</w:t>
      </w:r>
    </w:p>
    <w:p w:rsidR="00690F56" w:rsidRPr="007931D7"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7931D7"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931D7">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7931D7"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7931D7"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931D7">
        <w:rPr>
          <w:rFonts w:ascii="Times New Roman" w:hAnsi="Times New Roman"/>
          <w:b/>
          <w:bCs/>
        </w:rPr>
        <w:t>Consultation with representatives of those from whom information is to be obtained or those who must compile records should occur at least once every 3 years</w:t>
      </w:r>
      <w:r w:rsidRPr="007931D7" w:rsidR="00901EF6">
        <w:rPr>
          <w:rFonts w:ascii="Times New Roman" w:hAnsi="Times New Roman"/>
          <w:b/>
          <w:bCs/>
        </w:rPr>
        <w:t xml:space="preserve"> --</w:t>
      </w:r>
      <w:r w:rsidRPr="007931D7">
        <w:rPr>
          <w:rFonts w:ascii="Times New Roman" w:hAnsi="Times New Roman"/>
          <w:b/>
          <w:bCs/>
        </w:rPr>
        <w:t xml:space="preserve"> even if the collection-of-information activity is the same as in prior periods.  There may be </w:t>
      </w:r>
      <w:r w:rsidRPr="007931D7">
        <w:rPr>
          <w:rFonts w:ascii="Times New Roman" w:hAnsi="Times New Roman"/>
          <w:b/>
          <w:bCs/>
        </w:rPr>
        <w:t>circumstances that may preclude consultation in a specific situation.  These circumstances should be explained.</w:t>
      </w:r>
    </w:p>
    <w:p w:rsidR="00690F56" w:rsidRPr="007931D7"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RPr="007931D7" w:rsidP="0060114B" w14:paraId="425C0DB9" w14:textId="629F97A6">
      <w:pPr>
        <w:widowControl/>
        <w:autoSpaceDE/>
        <w:autoSpaceDN/>
        <w:adjustRightInd/>
        <w:rPr>
          <w:rFonts w:ascii="Times New Roman" w:hAnsi="Times New Roman"/>
        </w:rPr>
      </w:pPr>
      <w:r w:rsidRPr="007931D7">
        <w:rPr>
          <w:rFonts w:ascii="Times New Roman" w:hAnsi="Times New Roman"/>
        </w:rPr>
        <w:t xml:space="preserve">The 60-Day Notice was published in the Federal Register on </w:t>
      </w:r>
      <w:r w:rsidRPr="007931D7" w:rsidR="00FE3B94">
        <w:rPr>
          <w:rFonts w:ascii="Times New Roman" w:hAnsi="Times New Roman"/>
        </w:rPr>
        <w:t>June 30, 2023</w:t>
      </w:r>
      <w:r w:rsidRPr="007931D7">
        <w:rPr>
          <w:rFonts w:ascii="Times New Roman" w:hAnsi="Times New Roman"/>
        </w:rPr>
        <w:t xml:space="preserve"> (</w:t>
      </w:r>
      <w:r w:rsidRPr="007931D7" w:rsidR="00FE3B94">
        <w:rPr>
          <w:rFonts w:ascii="Times New Roman" w:hAnsi="Times New Roman"/>
        </w:rPr>
        <w:t>88 FR 42390</w:t>
      </w:r>
      <w:r w:rsidRPr="007931D7">
        <w:rPr>
          <w:rFonts w:ascii="Times New Roman" w:hAnsi="Times New Roman"/>
        </w:rPr>
        <w:t>). The comment period ended on</w:t>
      </w:r>
      <w:r w:rsidRPr="007931D7" w:rsidR="002517E4">
        <w:rPr>
          <w:rFonts w:ascii="Times New Roman" w:hAnsi="Times New Roman"/>
        </w:rPr>
        <w:t xml:space="preserve"> </w:t>
      </w:r>
      <w:r w:rsidRPr="007931D7" w:rsidR="00FE3B94">
        <w:rPr>
          <w:rFonts w:ascii="Times New Roman" w:hAnsi="Times New Roman"/>
        </w:rPr>
        <w:t>August 29, 2023</w:t>
      </w:r>
      <w:r w:rsidRPr="007931D7" w:rsidR="002517E4">
        <w:rPr>
          <w:rFonts w:ascii="Times New Roman" w:hAnsi="Times New Roman"/>
        </w:rPr>
        <w:t>.</w:t>
      </w:r>
      <w:r w:rsidRPr="007931D7">
        <w:rPr>
          <w:rFonts w:ascii="Times New Roman" w:hAnsi="Times New Roman"/>
        </w:rPr>
        <w:t xml:space="preserve"> No comments were received.</w:t>
      </w:r>
    </w:p>
    <w:p w:rsidR="00DA7DC9" w:rsidRPr="007931D7" w:rsidP="0060114B" w14:paraId="0C933CDF" w14:textId="77777777">
      <w:pPr>
        <w:widowControl/>
        <w:autoSpaceDE/>
        <w:autoSpaceDN/>
        <w:adjustRightInd/>
        <w:rPr>
          <w:rFonts w:ascii="Times New Roman" w:eastAsia="Calibri" w:hAnsi="Times New Roman"/>
        </w:rPr>
      </w:pPr>
    </w:p>
    <w:p w:rsidR="00690F56" w:rsidRPr="007931D7"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931D7">
        <w:rPr>
          <w:rFonts w:ascii="Times New Roman" w:hAnsi="Times New Roman"/>
          <w:b/>
          <w:bCs/>
        </w:rPr>
        <w:t>9.  Explain any decision to provide any payments or gift</w:t>
      </w:r>
      <w:r w:rsidRPr="007931D7" w:rsidR="009441E2">
        <w:rPr>
          <w:rFonts w:ascii="Times New Roman" w:hAnsi="Times New Roman"/>
          <w:b/>
          <w:bCs/>
        </w:rPr>
        <w:t>s</w:t>
      </w:r>
      <w:r w:rsidRPr="007931D7">
        <w:rPr>
          <w:rFonts w:ascii="Times New Roman" w:hAnsi="Times New Roman"/>
          <w:b/>
          <w:bCs/>
        </w:rPr>
        <w:t xml:space="preserve"> to respondents, other than </w:t>
      </w:r>
      <w:r w:rsidRPr="007931D7" w:rsidR="006E1A08">
        <w:rPr>
          <w:rFonts w:ascii="Times New Roman" w:hAnsi="Times New Roman"/>
          <w:b/>
          <w:bCs/>
        </w:rPr>
        <w:t>remuneration</w:t>
      </w:r>
      <w:r w:rsidRPr="007931D7">
        <w:rPr>
          <w:rFonts w:ascii="Times New Roman" w:hAnsi="Times New Roman"/>
          <w:b/>
          <w:bCs/>
        </w:rPr>
        <w:t xml:space="preserve"> of contractors or grantees.</w:t>
      </w:r>
    </w:p>
    <w:p w:rsidR="00690F56" w:rsidRPr="007931D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RPr="007931D7"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931D7">
        <w:rPr>
          <w:rFonts w:ascii="Times New Roman" w:hAnsi="Times New Roman"/>
        </w:rPr>
        <w:t>No government funds will be used as payment or for gifts to respondents</w:t>
      </w:r>
      <w:r w:rsidRPr="007931D7">
        <w:rPr>
          <w:rFonts w:ascii="Times New Roman" w:hAnsi="Times New Roman"/>
        </w:rPr>
        <w:t>.</w:t>
      </w:r>
    </w:p>
    <w:p w:rsidR="00B64496" w:rsidRPr="007931D7"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7931D7"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931D7">
        <w:rPr>
          <w:rFonts w:ascii="Times New Roman" w:hAnsi="Times New Roman"/>
          <w:b/>
          <w:bCs/>
        </w:rPr>
        <w:t xml:space="preserve">10.  </w:t>
      </w:r>
      <w:r w:rsidRPr="007931D7">
        <w:rPr>
          <w:rFonts w:ascii="Times New Roman" w:hAnsi="Times New Roman"/>
          <w:b/>
          <w:bCs/>
        </w:rPr>
        <w:t>Describe any assurance of confidentiality provided to respondents and the basis for the assurance in statute, regulation, or agency policy.</w:t>
      </w:r>
    </w:p>
    <w:p w:rsidR="00690F56" w:rsidRPr="007931D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RPr="007931D7"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931D7">
        <w:rPr>
          <w:rFonts w:ascii="Times New Roman" w:hAnsi="Times New Roman"/>
        </w:rPr>
        <w:t>Confidentiality is not required in the processing of this information collection.</w:t>
      </w:r>
    </w:p>
    <w:p w:rsidR="004328D9" w:rsidRPr="007931D7"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7931D7"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931D7">
        <w:rPr>
          <w:rFonts w:ascii="Times New Roman" w:hAnsi="Times New Roman"/>
          <w:b/>
          <w:bCs/>
        </w:rPr>
        <w:t xml:space="preserve">11. </w:t>
      </w:r>
      <w:r w:rsidRPr="007931D7">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7931D7" w:rsidR="00C667F3">
        <w:rPr>
          <w:rFonts w:ascii="Times New Roman" w:hAnsi="Times New Roman"/>
          <w:b/>
          <w:bCs/>
        </w:rPr>
        <w:t>a</w:t>
      </w:r>
      <w:r w:rsidRPr="007931D7">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7931D7"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7931D7" w:rsidP="00690F56" w14:paraId="27A67CE6" w14:textId="3F7BB68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931D7">
        <w:rPr>
          <w:rFonts w:ascii="Times New Roman" w:hAnsi="Times New Roman"/>
        </w:rPr>
        <w:t>The annual progress report will not contain any questions of a personal, sensitive nature such as sexual behavior and attitudes, religious beliefs, and other matters that are commonly considered private.</w:t>
      </w:r>
    </w:p>
    <w:p w:rsidR="000C4B52" w:rsidRPr="007931D7" w:rsidP="00690F56" w14:paraId="073E1D2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7931D7"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931D7">
        <w:rPr>
          <w:rFonts w:ascii="Times New Roman" w:hAnsi="Times New Roman"/>
          <w:b/>
          <w:bCs/>
        </w:rPr>
        <w:t>12.  Provide estimates of the hour burden of the collection of information.  The statement should:</w:t>
      </w:r>
    </w:p>
    <w:p w:rsidR="00690F56" w:rsidRPr="007931D7"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7931D7"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931D7">
        <w:rPr>
          <w:rFonts w:ascii="Times New Roman" w:hAnsi="Times New Roman"/>
          <w:b/>
          <w:bCs/>
        </w:rPr>
        <w:t xml:space="preserve">Indicate </w:t>
      </w:r>
      <w:r w:rsidRPr="007931D7">
        <w:rPr>
          <w:rFonts w:ascii="Times New Roman" w:hAnsi="Times New Roman"/>
          <w:b/>
          <w:bCs/>
        </w:rPr>
        <w:t>the number of respondents, frequency of response, annual hour burden, and an explanation o</w:t>
      </w:r>
      <w:r w:rsidRPr="007931D7" w:rsidR="00D2331B">
        <w:rPr>
          <w:rFonts w:ascii="Times New Roman" w:hAnsi="Times New Roman"/>
          <w:b/>
          <w:bCs/>
        </w:rPr>
        <w:t xml:space="preserve">f </w:t>
      </w:r>
      <w:r w:rsidRPr="007931D7">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7931D7">
        <w:rPr>
          <w:rFonts w:ascii="Times New Roman" w:hAnsi="Times New Roman"/>
          <w:b/>
          <w:bCs/>
        </w:rPr>
        <w:t>,</w:t>
      </w:r>
      <w:r w:rsidRPr="007931D7">
        <w:rPr>
          <w:rFonts w:ascii="Times New Roman" w:hAnsi="Times New Roman"/>
          <w:b/>
          <w:bCs/>
        </w:rPr>
        <w:t xml:space="preserve"> estimates should not include burden hours</w:t>
      </w:r>
      <w:r w:rsidRPr="007931D7" w:rsidR="00CD215D">
        <w:rPr>
          <w:rFonts w:ascii="Times New Roman" w:hAnsi="Times New Roman"/>
          <w:b/>
          <w:bCs/>
        </w:rPr>
        <w:t xml:space="preserve"> </w:t>
      </w:r>
      <w:r w:rsidRPr="007931D7">
        <w:rPr>
          <w:rFonts w:ascii="Times New Roman" w:hAnsi="Times New Roman"/>
          <w:b/>
          <w:bCs/>
        </w:rPr>
        <w:t>for customary and usual business practices.</w:t>
      </w:r>
    </w:p>
    <w:p w:rsidR="00690F56" w:rsidRPr="007931D7"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7931D7"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931D7">
        <w:rPr>
          <w:b/>
        </w:rPr>
        <w:t xml:space="preserve">If this </w:t>
      </w:r>
      <w:r w:rsidRPr="007931D7">
        <w:rPr>
          <w:b/>
          <w:bCs/>
        </w:rPr>
        <w:t>request for approval covers more than one form, provide separate hour burden estimates for each form.</w:t>
      </w:r>
    </w:p>
    <w:p w:rsidR="00882B1D" w:rsidRPr="007931D7"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7931D7"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931D7">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w:t>
      </w:r>
      <w:r w:rsidRPr="007931D7">
        <w:rPr>
          <w:rFonts w:ascii="Times New Roman" w:hAnsi="Times New Roman"/>
          <w:b/>
          <w:bCs/>
        </w:rPr>
        <w:t xml:space="preserve">collection activities should not be included here.  Instead, </w:t>
      </w:r>
      <w:r w:rsidRPr="007931D7" w:rsidR="00312124">
        <w:rPr>
          <w:rFonts w:ascii="Times New Roman" w:hAnsi="Times New Roman"/>
          <w:b/>
          <w:bCs/>
        </w:rPr>
        <w:t>this cost</w:t>
      </w:r>
      <w:r w:rsidRPr="007931D7" w:rsidR="00C667F3">
        <w:rPr>
          <w:rFonts w:ascii="Times New Roman" w:hAnsi="Times New Roman"/>
          <w:b/>
          <w:bCs/>
        </w:rPr>
        <w:t xml:space="preserve"> should be included in Item 14</w:t>
      </w:r>
      <w:r w:rsidRPr="007931D7">
        <w:rPr>
          <w:rFonts w:ascii="Times New Roman" w:hAnsi="Times New Roman"/>
          <w:b/>
          <w:bCs/>
        </w:rPr>
        <w:t>.</w:t>
      </w:r>
    </w:p>
    <w:p w:rsidR="00690F56" w:rsidRPr="007931D7"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7931D7" w:rsidP="006626FF" w14:paraId="49938EA8" w14:textId="77777777">
      <w:pPr>
        <w:ind w:left="720"/>
        <w:rPr>
          <w:rFonts w:ascii="Times New Roman" w:hAnsi="Times New Roman"/>
          <w:i/>
        </w:rPr>
      </w:pPr>
    </w:p>
    <w:p w:rsidR="006626FF" w:rsidRPr="007931D7" w:rsidP="006626FF" w14:paraId="3CD4954E" w14:textId="77777777">
      <w:pPr>
        <w:ind w:left="720"/>
        <w:jc w:val="center"/>
        <w:rPr>
          <w:rFonts w:ascii="Times New Roman" w:hAnsi="Times New Roman"/>
          <w:i/>
        </w:rPr>
      </w:pPr>
      <w:r w:rsidRPr="007931D7">
        <w:rPr>
          <w:rFonts w:ascii="Times New Roman" w:hAnsi="Times New Roman"/>
          <w:b/>
        </w:rPr>
        <w:t>Estimated Annualized Respondent Cost and Hour Burden</w:t>
      </w:r>
    </w:p>
    <w:tbl>
      <w:tblPr>
        <w:tblStyle w:val="TableGrid"/>
        <w:tblW w:w="7693" w:type="dxa"/>
        <w:jc w:val="center"/>
        <w:tblLook w:val="04A0"/>
      </w:tblPr>
      <w:tblGrid>
        <w:gridCol w:w="1550"/>
        <w:gridCol w:w="1523"/>
        <w:gridCol w:w="1310"/>
        <w:gridCol w:w="1270"/>
        <w:gridCol w:w="1177"/>
        <w:gridCol w:w="1016"/>
      </w:tblGrid>
      <w:tr w14:paraId="4AA59B92" w14:textId="77777777" w:rsidTr="005E6BEF">
        <w:tblPrEx>
          <w:tblW w:w="7693" w:type="dxa"/>
          <w:jc w:val="center"/>
          <w:tblLook w:val="04A0"/>
        </w:tblPrEx>
        <w:trPr>
          <w:jc w:val="center"/>
        </w:trPr>
        <w:tc>
          <w:tcPr>
            <w:tcW w:w="1830" w:type="dxa"/>
            <w:shd w:val="clear" w:color="auto" w:fill="ADB9CA" w:themeFill="text2" w:themeFillTint="66"/>
          </w:tcPr>
          <w:p w:rsidR="005E6BEF" w:rsidRPr="007931D7" w:rsidP="008C6A87" w14:paraId="7BEB472C" w14:textId="77777777">
            <w:pPr>
              <w:rPr>
                <w:rFonts w:ascii="Times New Roman" w:hAnsi="Times New Roman" w:cs="Times New Roman"/>
                <w:b/>
              </w:rPr>
            </w:pPr>
            <w:r w:rsidRPr="007931D7">
              <w:rPr>
                <w:rFonts w:ascii="Times New Roman" w:hAnsi="Times New Roman" w:cs="Times New Roman"/>
                <w:b/>
              </w:rPr>
              <w:t>Activity</w:t>
            </w:r>
          </w:p>
        </w:tc>
        <w:tc>
          <w:tcPr>
            <w:tcW w:w="1415" w:type="dxa"/>
            <w:shd w:val="clear" w:color="auto" w:fill="ADB9CA" w:themeFill="text2" w:themeFillTint="66"/>
          </w:tcPr>
          <w:p w:rsidR="005E6BEF" w:rsidRPr="007931D7" w:rsidP="008C6A87" w14:paraId="0C165867" w14:textId="77777777">
            <w:pPr>
              <w:rPr>
                <w:rFonts w:ascii="Times New Roman" w:hAnsi="Times New Roman" w:cs="Times New Roman"/>
                <w:b/>
              </w:rPr>
            </w:pPr>
            <w:r w:rsidRPr="007931D7">
              <w:rPr>
                <w:rFonts w:ascii="Times New Roman" w:hAnsi="Times New Roman" w:cs="Times New Roman"/>
                <w:b/>
              </w:rPr>
              <w:t>Number of Respondents</w:t>
            </w:r>
          </w:p>
        </w:tc>
        <w:tc>
          <w:tcPr>
            <w:tcW w:w="1219" w:type="dxa"/>
            <w:shd w:val="clear" w:color="auto" w:fill="ADB9CA" w:themeFill="text2" w:themeFillTint="66"/>
          </w:tcPr>
          <w:p w:rsidR="005E6BEF" w:rsidRPr="007931D7" w:rsidP="008C6A87" w14:paraId="504A0CCE" w14:textId="77777777">
            <w:pPr>
              <w:rPr>
                <w:rFonts w:ascii="Times New Roman" w:hAnsi="Times New Roman" w:cs="Times New Roman"/>
                <w:b/>
              </w:rPr>
            </w:pPr>
            <w:r w:rsidRPr="007931D7">
              <w:rPr>
                <w:rFonts w:ascii="Times New Roman" w:hAnsi="Times New Roman" w:cs="Times New Roman"/>
                <w:b/>
              </w:rPr>
              <w:t>Frequency</w:t>
            </w:r>
          </w:p>
        </w:tc>
        <w:tc>
          <w:tcPr>
            <w:tcW w:w="1182" w:type="dxa"/>
            <w:shd w:val="clear" w:color="auto" w:fill="ADB9CA" w:themeFill="text2" w:themeFillTint="66"/>
          </w:tcPr>
          <w:p w:rsidR="005E6BEF" w:rsidRPr="007931D7" w:rsidP="008C6A87" w14:paraId="43DA2D2D" w14:textId="77777777">
            <w:pPr>
              <w:rPr>
                <w:rFonts w:ascii="Times New Roman" w:hAnsi="Times New Roman" w:cs="Times New Roman"/>
                <w:b/>
              </w:rPr>
            </w:pPr>
            <w:r w:rsidRPr="007931D7">
              <w:rPr>
                <w:rFonts w:ascii="Times New Roman" w:hAnsi="Times New Roman" w:cs="Times New Roman"/>
                <w:b/>
              </w:rPr>
              <w:t>Total Annual Responses</w:t>
            </w:r>
          </w:p>
        </w:tc>
        <w:tc>
          <w:tcPr>
            <w:tcW w:w="1097" w:type="dxa"/>
            <w:shd w:val="clear" w:color="auto" w:fill="ADB9CA" w:themeFill="text2" w:themeFillTint="66"/>
          </w:tcPr>
          <w:p w:rsidR="005E6BEF" w:rsidRPr="007931D7" w:rsidP="008C6A87" w14:paraId="2403F83B" w14:textId="77777777">
            <w:pPr>
              <w:rPr>
                <w:rFonts w:ascii="Times New Roman" w:hAnsi="Times New Roman" w:cs="Times New Roman"/>
                <w:b/>
              </w:rPr>
            </w:pPr>
            <w:r w:rsidRPr="007931D7">
              <w:rPr>
                <w:rFonts w:ascii="Times New Roman" w:hAnsi="Times New Roman" w:cs="Times New Roman"/>
                <w:b/>
              </w:rPr>
              <w:t>Time Per Response</w:t>
            </w:r>
          </w:p>
        </w:tc>
        <w:tc>
          <w:tcPr>
            <w:tcW w:w="950" w:type="dxa"/>
            <w:shd w:val="clear" w:color="auto" w:fill="ADB9CA" w:themeFill="text2" w:themeFillTint="66"/>
          </w:tcPr>
          <w:p w:rsidR="005E6BEF" w:rsidRPr="007931D7" w:rsidP="008C6A87" w14:paraId="4756C3F4" w14:textId="77777777">
            <w:pPr>
              <w:rPr>
                <w:rFonts w:ascii="Times New Roman" w:hAnsi="Times New Roman" w:cs="Times New Roman"/>
                <w:b/>
              </w:rPr>
            </w:pPr>
            <w:r w:rsidRPr="007931D7">
              <w:rPr>
                <w:rFonts w:ascii="Times New Roman" w:hAnsi="Times New Roman" w:cs="Times New Roman"/>
                <w:b/>
              </w:rPr>
              <w:t>Total Annual Burden (Hours)</w:t>
            </w:r>
          </w:p>
        </w:tc>
      </w:tr>
      <w:tr w14:paraId="079EF15D" w14:textId="77777777" w:rsidTr="005E6BEF">
        <w:tblPrEx>
          <w:tblW w:w="7693" w:type="dxa"/>
          <w:jc w:val="center"/>
          <w:tblLook w:val="04A0"/>
        </w:tblPrEx>
        <w:trPr>
          <w:jc w:val="center"/>
        </w:trPr>
        <w:tc>
          <w:tcPr>
            <w:tcW w:w="1830" w:type="dxa"/>
            <w:vAlign w:val="bottom"/>
          </w:tcPr>
          <w:p w:rsidR="005E6BEF" w:rsidRPr="007931D7" w:rsidP="008C6A87" w14:paraId="4E4E0FA6" w14:textId="19C9801C">
            <w:pPr>
              <w:jc w:val="right"/>
              <w:rPr>
                <w:rFonts w:ascii="Times New Roman" w:hAnsi="Times New Roman" w:cs="Times New Roman"/>
              </w:rPr>
            </w:pPr>
            <w:r w:rsidRPr="007931D7">
              <w:rPr>
                <w:rFonts w:ascii="Times New Roman" w:hAnsi="Times New Roman" w:cs="Times New Roman"/>
              </w:rPr>
              <w:t>STOP Annual Progress Report</w:t>
            </w:r>
          </w:p>
        </w:tc>
        <w:tc>
          <w:tcPr>
            <w:tcW w:w="1415" w:type="dxa"/>
            <w:vAlign w:val="bottom"/>
          </w:tcPr>
          <w:p w:rsidR="005E6BEF" w:rsidRPr="007931D7" w:rsidP="008C6A87" w14:paraId="23BB2474" w14:textId="142091CE">
            <w:pPr>
              <w:jc w:val="right"/>
              <w:rPr>
                <w:rFonts w:ascii="Times New Roman" w:hAnsi="Times New Roman" w:cs="Times New Roman"/>
              </w:rPr>
            </w:pPr>
            <w:r w:rsidRPr="007931D7">
              <w:rPr>
                <w:rFonts w:ascii="Times New Roman" w:hAnsi="Times New Roman" w:cs="Times New Roman"/>
              </w:rPr>
              <w:t>2,556</w:t>
            </w:r>
          </w:p>
        </w:tc>
        <w:tc>
          <w:tcPr>
            <w:tcW w:w="1219" w:type="dxa"/>
            <w:vAlign w:val="bottom"/>
          </w:tcPr>
          <w:p w:rsidR="005E6BEF" w:rsidRPr="007931D7" w:rsidP="008C6A87" w14:paraId="5D72451D" w14:textId="2626FAFD">
            <w:pPr>
              <w:jc w:val="right"/>
              <w:rPr>
                <w:rFonts w:ascii="Times New Roman" w:hAnsi="Times New Roman" w:cs="Times New Roman"/>
              </w:rPr>
            </w:pPr>
            <w:r w:rsidRPr="007931D7">
              <w:rPr>
                <w:rFonts w:ascii="Times New Roman" w:hAnsi="Times New Roman" w:cs="Times New Roman"/>
              </w:rPr>
              <w:t>1</w:t>
            </w:r>
          </w:p>
        </w:tc>
        <w:tc>
          <w:tcPr>
            <w:tcW w:w="1182" w:type="dxa"/>
            <w:vAlign w:val="bottom"/>
          </w:tcPr>
          <w:p w:rsidR="005E6BEF" w:rsidRPr="007931D7" w:rsidP="008C6A87" w14:paraId="03D2549D" w14:textId="635D1DD7">
            <w:pPr>
              <w:jc w:val="right"/>
              <w:rPr>
                <w:rFonts w:ascii="Times New Roman" w:hAnsi="Times New Roman" w:cs="Times New Roman"/>
              </w:rPr>
            </w:pPr>
            <w:r w:rsidRPr="007931D7">
              <w:rPr>
                <w:rFonts w:ascii="Times New Roman" w:hAnsi="Times New Roman" w:cs="Times New Roman"/>
              </w:rPr>
              <w:t>2,556</w:t>
            </w:r>
          </w:p>
        </w:tc>
        <w:tc>
          <w:tcPr>
            <w:tcW w:w="1097" w:type="dxa"/>
            <w:vAlign w:val="bottom"/>
          </w:tcPr>
          <w:p w:rsidR="005E6BEF" w:rsidRPr="007931D7" w:rsidP="008C6A87" w14:paraId="3704ADCE" w14:textId="2EBB7E96">
            <w:pPr>
              <w:jc w:val="right"/>
              <w:rPr>
                <w:rFonts w:ascii="Times New Roman" w:hAnsi="Times New Roman" w:cs="Times New Roman"/>
              </w:rPr>
            </w:pPr>
            <w:r w:rsidRPr="007931D7">
              <w:rPr>
                <w:rFonts w:ascii="Times New Roman" w:hAnsi="Times New Roman" w:cs="Times New Roman"/>
              </w:rPr>
              <w:t>1 hr.</w:t>
            </w:r>
          </w:p>
        </w:tc>
        <w:tc>
          <w:tcPr>
            <w:tcW w:w="950" w:type="dxa"/>
            <w:vAlign w:val="bottom"/>
          </w:tcPr>
          <w:p w:rsidR="005E6BEF" w:rsidRPr="007931D7" w:rsidP="008C6A87" w14:paraId="498C761A" w14:textId="382A3156">
            <w:pPr>
              <w:jc w:val="right"/>
              <w:rPr>
                <w:rFonts w:ascii="Times New Roman" w:hAnsi="Times New Roman" w:cs="Times New Roman"/>
              </w:rPr>
            </w:pPr>
            <w:r w:rsidRPr="007931D7">
              <w:rPr>
                <w:rFonts w:ascii="Times New Roman" w:hAnsi="Times New Roman" w:cs="Times New Roman"/>
              </w:rPr>
              <w:t>2,556 hrs.</w:t>
            </w:r>
          </w:p>
        </w:tc>
      </w:tr>
      <w:tr w14:paraId="578B68EB" w14:textId="77777777" w:rsidTr="005E6BEF">
        <w:tblPrEx>
          <w:tblW w:w="7693" w:type="dxa"/>
          <w:jc w:val="center"/>
          <w:tblLook w:val="04A0"/>
        </w:tblPrEx>
        <w:trPr>
          <w:jc w:val="center"/>
        </w:trPr>
        <w:tc>
          <w:tcPr>
            <w:tcW w:w="1830" w:type="dxa"/>
          </w:tcPr>
          <w:p w:rsidR="005E6BEF" w:rsidRPr="007931D7" w:rsidP="00501A15" w14:paraId="3D459D2C" w14:textId="77777777">
            <w:pPr>
              <w:rPr>
                <w:rFonts w:ascii="Times New Roman" w:hAnsi="Times New Roman" w:cs="Times New Roman"/>
                <w:b/>
                <w:i/>
              </w:rPr>
            </w:pPr>
            <w:r w:rsidRPr="007931D7">
              <w:rPr>
                <w:rFonts w:ascii="Times New Roman" w:hAnsi="Times New Roman" w:cs="Times New Roman"/>
                <w:b/>
                <w:i/>
              </w:rPr>
              <w:t>Unduplicated Totals</w:t>
            </w:r>
          </w:p>
        </w:tc>
        <w:tc>
          <w:tcPr>
            <w:tcW w:w="1415" w:type="dxa"/>
            <w:vAlign w:val="bottom"/>
          </w:tcPr>
          <w:p w:rsidR="005E6BEF" w:rsidRPr="007931D7" w:rsidP="00501A15" w14:paraId="32AB6B8A" w14:textId="06837F53">
            <w:pPr>
              <w:jc w:val="right"/>
              <w:rPr>
                <w:rFonts w:ascii="Times New Roman" w:hAnsi="Times New Roman" w:cs="Times New Roman"/>
                <w:b/>
                <w:i/>
              </w:rPr>
            </w:pPr>
            <w:r w:rsidRPr="007931D7">
              <w:rPr>
                <w:rFonts w:ascii="Times New Roman" w:hAnsi="Times New Roman" w:cs="Times New Roman"/>
                <w:b/>
                <w:i/>
              </w:rPr>
              <w:t>2,556</w:t>
            </w:r>
          </w:p>
        </w:tc>
        <w:tc>
          <w:tcPr>
            <w:tcW w:w="1219" w:type="dxa"/>
            <w:vAlign w:val="bottom"/>
          </w:tcPr>
          <w:p w:rsidR="005E6BEF" w:rsidRPr="007931D7" w:rsidP="00627B1F" w14:paraId="75495CB4" w14:textId="7C6FC44B">
            <w:pPr>
              <w:jc w:val="center"/>
              <w:rPr>
                <w:rFonts w:ascii="Times New Roman" w:hAnsi="Times New Roman" w:cs="Times New Roman"/>
                <w:b/>
                <w:i/>
              </w:rPr>
            </w:pPr>
          </w:p>
        </w:tc>
        <w:tc>
          <w:tcPr>
            <w:tcW w:w="1182" w:type="dxa"/>
            <w:vAlign w:val="bottom"/>
          </w:tcPr>
          <w:p w:rsidR="005E6BEF" w:rsidRPr="007931D7" w:rsidP="00501A15" w14:paraId="1A7661D9" w14:textId="29936A8A">
            <w:pPr>
              <w:jc w:val="right"/>
              <w:rPr>
                <w:rFonts w:ascii="Times New Roman" w:hAnsi="Times New Roman" w:cs="Times New Roman"/>
                <w:b/>
                <w:i/>
              </w:rPr>
            </w:pPr>
            <w:r w:rsidRPr="007931D7">
              <w:rPr>
                <w:rFonts w:ascii="Times New Roman" w:hAnsi="Times New Roman" w:cs="Times New Roman"/>
                <w:b/>
                <w:i/>
              </w:rPr>
              <w:t>2,556</w:t>
            </w:r>
          </w:p>
        </w:tc>
        <w:tc>
          <w:tcPr>
            <w:tcW w:w="1097" w:type="dxa"/>
            <w:vAlign w:val="bottom"/>
          </w:tcPr>
          <w:p w:rsidR="005E6BEF" w:rsidRPr="007931D7" w:rsidP="00501A15" w14:paraId="4A94906E" w14:textId="66CA6502">
            <w:pPr>
              <w:jc w:val="right"/>
              <w:rPr>
                <w:rFonts w:ascii="Times New Roman" w:hAnsi="Times New Roman" w:cs="Times New Roman"/>
                <w:b/>
                <w:i/>
              </w:rPr>
            </w:pPr>
          </w:p>
        </w:tc>
        <w:tc>
          <w:tcPr>
            <w:tcW w:w="950" w:type="dxa"/>
            <w:vAlign w:val="bottom"/>
          </w:tcPr>
          <w:p w:rsidR="005E6BEF" w:rsidRPr="007931D7" w:rsidP="00501A15" w14:paraId="4075BA8E" w14:textId="77ACA43D">
            <w:pPr>
              <w:jc w:val="right"/>
              <w:rPr>
                <w:rFonts w:ascii="Times New Roman" w:hAnsi="Times New Roman" w:cs="Times New Roman"/>
                <w:b/>
                <w:i/>
              </w:rPr>
            </w:pPr>
            <w:r w:rsidRPr="007931D7">
              <w:rPr>
                <w:rFonts w:ascii="Times New Roman" w:hAnsi="Times New Roman" w:cs="Times New Roman"/>
                <w:b/>
                <w:i/>
              </w:rPr>
              <w:t>2,556 hrs.</w:t>
            </w:r>
          </w:p>
        </w:tc>
      </w:tr>
    </w:tbl>
    <w:p w:rsidR="00EE2223" w:rsidRPr="007931D7" w:rsidP="00E60FB0" w14:paraId="51C113BE" w14:textId="4F766CB0">
      <w:pPr>
        <w:widowControl/>
        <w:autoSpaceDE/>
        <w:autoSpaceDN/>
        <w:adjustRightInd/>
        <w:rPr>
          <w:rFonts w:ascii="Times New Roman" w:hAnsi="Times New Roman"/>
          <w:i/>
          <w:iCs/>
        </w:rPr>
      </w:pPr>
    </w:p>
    <w:p w:rsidR="00EE2223" w:rsidRPr="007931D7" w:rsidP="00E60FB0" w14:paraId="73540948" w14:textId="77777777">
      <w:pPr>
        <w:widowControl/>
        <w:autoSpaceDE/>
        <w:autoSpaceDN/>
        <w:adjustRightInd/>
        <w:rPr>
          <w:rFonts w:ascii="Times New Roman" w:hAnsi="Times New Roman"/>
          <w:i/>
          <w:iCs/>
          <w:highlight w:val="yellow"/>
        </w:rPr>
      </w:pPr>
    </w:p>
    <w:p w:rsidR="00CD215D" w:rsidRPr="007931D7"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7931D7">
        <w:rPr>
          <w:rFonts w:ascii="Times New Roman" w:hAnsi="Times New Roman"/>
          <w:b/>
        </w:rPr>
        <w:t xml:space="preserve">13.  Provide an estimate of </w:t>
      </w:r>
      <w:r w:rsidRPr="007931D7" w:rsidR="00C667F3">
        <w:rPr>
          <w:rFonts w:ascii="Times New Roman" w:hAnsi="Times New Roman"/>
          <w:b/>
        </w:rPr>
        <w:t>the tot</w:t>
      </w:r>
      <w:r w:rsidRPr="007931D7">
        <w:rPr>
          <w:rFonts w:ascii="Times New Roman" w:hAnsi="Times New Roman"/>
          <w:b/>
        </w:rPr>
        <w:t xml:space="preserve">al annual cost burden to respondents or recordkeepers resulting from the collection of information.  (Do not include the cost of any hour </w:t>
      </w:r>
      <w:r w:rsidRPr="007931D7" w:rsidR="00C667F3">
        <w:rPr>
          <w:rFonts w:ascii="Times New Roman" w:hAnsi="Times New Roman"/>
          <w:b/>
        </w:rPr>
        <w:t>burden shown in Items 12 and 14</w:t>
      </w:r>
      <w:r w:rsidRPr="007931D7">
        <w:rPr>
          <w:rFonts w:ascii="Times New Roman" w:hAnsi="Times New Roman"/>
          <w:b/>
        </w:rPr>
        <w:t>)</w:t>
      </w:r>
      <w:r w:rsidRPr="007931D7" w:rsidR="00C667F3">
        <w:rPr>
          <w:rFonts w:ascii="Times New Roman" w:hAnsi="Times New Roman"/>
          <w:b/>
        </w:rPr>
        <w:t>.</w:t>
      </w:r>
    </w:p>
    <w:p w:rsidR="00CD215D" w:rsidRPr="007931D7"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RPr="007931D7"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7931D7">
        <w:rPr>
          <w:rFonts w:ascii="Times New Roman" w:hAnsi="Times New Roman"/>
          <w:b/>
        </w:rPr>
        <w:t>T</w:t>
      </w:r>
      <w:r w:rsidRPr="007931D7" w:rsidR="00CD215D">
        <w:rPr>
          <w:rFonts w:ascii="Times New Roman" w:hAnsi="Times New Roman"/>
          <w:b/>
        </w:rPr>
        <w:t>he cost estimate should be split into two components</w:t>
      </w:r>
      <w:r w:rsidRPr="007931D7" w:rsidR="00CD215D">
        <w:rPr>
          <w:rFonts w:ascii="Times New Roman" w:hAnsi="Times New Roman"/>
          <w:b/>
        </w:rPr>
        <w:t>:</w:t>
      </w:r>
      <w:r w:rsidRPr="007931D7" w:rsidR="00AB4DC3">
        <w:rPr>
          <w:rFonts w:ascii="Times New Roman" w:hAnsi="Times New Roman"/>
          <w:b/>
        </w:rPr>
        <w:t xml:space="preserve">  (</w:t>
      </w:r>
      <w:r w:rsidRPr="007931D7" w:rsidR="00AB4DC3">
        <w:rPr>
          <w:rFonts w:ascii="Times New Roman" w:hAnsi="Times New Roman"/>
          <w:b/>
        </w:rPr>
        <w:t>a) a total capital</w:t>
      </w:r>
    </w:p>
    <w:p w:rsidR="006F6E13" w:rsidRPr="007931D7"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7931D7">
        <w:rPr>
          <w:rFonts w:ascii="Times New Roman" w:hAnsi="Times New Roman"/>
          <w:b/>
        </w:rPr>
        <w:t>a</w:t>
      </w:r>
      <w:r w:rsidRPr="007931D7" w:rsidR="00AB4DC3">
        <w:rPr>
          <w:rFonts w:ascii="Times New Roman" w:hAnsi="Times New Roman"/>
          <w:b/>
        </w:rPr>
        <w:t>nd</w:t>
      </w:r>
      <w:r w:rsidRPr="007931D7" w:rsidR="00584F8D">
        <w:rPr>
          <w:rFonts w:ascii="Times New Roman" w:hAnsi="Times New Roman"/>
          <w:b/>
        </w:rPr>
        <w:t xml:space="preserve"> </w:t>
      </w:r>
      <w:r w:rsidRPr="007931D7" w:rsidR="00AB4DC3">
        <w:rPr>
          <w:rFonts w:ascii="Times New Roman" w:hAnsi="Times New Roman"/>
          <w:b/>
        </w:rPr>
        <w:t xml:space="preserve">start </w:t>
      </w:r>
      <w:r w:rsidRPr="007931D7" w:rsidR="00CD215D">
        <w:rPr>
          <w:rFonts w:ascii="Times New Roman" w:hAnsi="Times New Roman"/>
          <w:b/>
        </w:rPr>
        <w:t>up</w:t>
      </w:r>
      <w:r w:rsidRPr="007931D7" w:rsidR="00CD215D">
        <w:rPr>
          <w:rFonts w:ascii="Times New Roman" w:hAnsi="Times New Roman"/>
          <w:b/>
        </w:rPr>
        <w:t xml:space="preserve"> cost component </w:t>
      </w:r>
      <w:r w:rsidRPr="007931D7" w:rsidR="00C667F3">
        <w:rPr>
          <w:rFonts w:ascii="Times New Roman" w:hAnsi="Times New Roman"/>
          <w:b/>
        </w:rPr>
        <w:t>(</w:t>
      </w:r>
      <w:r w:rsidRPr="007931D7" w:rsidR="00CD215D">
        <w:rPr>
          <w:rFonts w:ascii="Times New Roman" w:hAnsi="Times New Roman"/>
          <w:b/>
        </w:rPr>
        <w:t>annualized over its expected useful life)</w:t>
      </w:r>
      <w:r w:rsidRPr="007931D7" w:rsidR="00C667F3">
        <w:rPr>
          <w:rFonts w:ascii="Times New Roman" w:hAnsi="Times New Roman"/>
          <w:b/>
        </w:rPr>
        <w:t>;</w:t>
      </w:r>
      <w:r w:rsidRPr="007931D7" w:rsidR="00CD215D">
        <w:rPr>
          <w:rFonts w:ascii="Times New Roman" w:hAnsi="Times New Roman"/>
          <w:b/>
        </w:rPr>
        <w:t xml:space="preserve"> and (b) a</w:t>
      </w:r>
    </w:p>
    <w:p w:rsidR="00584F8D" w:rsidRPr="007931D7"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7931D7">
        <w:rPr>
          <w:rFonts w:ascii="Times New Roman" w:hAnsi="Times New Roman"/>
          <w:b/>
        </w:rPr>
        <w:t xml:space="preserve">total operation and </w:t>
      </w:r>
      <w:r w:rsidRPr="007931D7" w:rsidR="006F6E13">
        <w:rPr>
          <w:rFonts w:ascii="Times New Roman" w:hAnsi="Times New Roman"/>
          <w:b/>
        </w:rPr>
        <w:t>m</w:t>
      </w:r>
      <w:r w:rsidRPr="007931D7">
        <w:rPr>
          <w:rFonts w:ascii="Times New Roman" w:hAnsi="Times New Roman"/>
          <w:b/>
        </w:rPr>
        <w:t>aintenance and purchase of se</w:t>
      </w:r>
      <w:r w:rsidRPr="007931D7" w:rsidR="006F6E13">
        <w:rPr>
          <w:rFonts w:ascii="Times New Roman" w:hAnsi="Times New Roman"/>
          <w:b/>
        </w:rPr>
        <w:t xml:space="preserve">rvice component.  </w:t>
      </w:r>
    </w:p>
    <w:p w:rsidR="00584F8D" w:rsidRPr="007931D7"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7931D7">
        <w:rPr>
          <w:rFonts w:ascii="Times New Roman" w:hAnsi="Times New Roman"/>
          <w:b/>
        </w:rPr>
        <w:tab/>
      </w:r>
      <w:r w:rsidRPr="007931D7">
        <w:rPr>
          <w:rFonts w:ascii="Times New Roman" w:hAnsi="Times New Roman"/>
          <w:b/>
        </w:rPr>
        <w:tab/>
      </w:r>
      <w:r w:rsidRPr="007931D7" w:rsidR="006F6E13">
        <w:rPr>
          <w:rFonts w:ascii="Times New Roman" w:hAnsi="Times New Roman"/>
          <w:b/>
        </w:rPr>
        <w:t>The estimates</w:t>
      </w:r>
      <w:r w:rsidRPr="007931D7">
        <w:rPr>
          <w:rFonts w:ascii="Times New Roman" w:hAnsi="Times New Roman"/>
          <w:b/>
        </w:rPr>
        <w:t xml:space="preserve"> </w:t>
      </w:r>
      <w:r w:rsidRPr="007931D7" w:rsidR="00CD215D">
        <w:rPr>
          <w:rFonts w:ascii="Times New Roman" w:hAnsi="Times New Roman"/>
          <w:b/>
        </w:rPr>
        <w:t xml:space="preserve">should </w:t>
      </w:r>
      <w:r w:rsidRPr="007931D7" w:rsidR="00CD215D">
        <w:rPr>
          <w:rFonts w:ascii="Times New Roman" w:hAnsi="Times New Roman"/>
          <w:b/>
        </w:rPr>
        <w:t>take into account</w:t>
      </w:r>
      <w:r w:rsidRPr="007931D7" w:rsidR="00CD215D">
        <w:rPr>
          <w:rFonts w:ascii="Times New Roman" w:hAnsi="Times New Roman"/>
          <w:b/>
        </w:rPr>
        <w:t xml:space="preserve"> costs associated with generating, </w:t>
      </w:r>
    </w:p>
    <w:p w:rsidR="00584F8D" w:rsidRPr="007931D7"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7931D7">
        <w:rPr>
          <w:rFonts w:ascii="Times New Roman" w:hAnsi="Times New Roman"/>
          <w:b/>
        </w:rPr>
        <w:tab/>
      </w:r>
      <w:r w:rsidRPr="007931D7">
        <w:rPr>
          <w:rFonts w:ascii="Times New Roman" w:hAnsi="Times New Roman"/>
          <w:b/>
        </w:rPr>
        <w:tab/>
      </w:r>
      <w:r w:rsidRPr="007931D7" w:rsidR="00CD215D">
        <w:rPr>
          <w:rFonts w:ascii="Times New Roman" w:hAnsi="Times New Roman"/>
          <w:b/>
        </w:rPr>
        <w:t xml:space="preserve">maintaining, and disclosing or providing the information.  Include descriptions of </w:t>
      </w:r>
    </w:p>
    <w:p w:rsidR="00CD215D" w:rsidRPr="007931D7"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7931D7">
        <w:rPr>
          <w:rFonts w:ascii="Times New Roman" w:hAnsi="Times New Roman"/>
          <w:b/>
        </w:rPr>
        <w:t xml:space="preserve">methods used to estimate major cost factors including system and technology acquisition, expected useful life of capital equipment, the discount rate(s), and the </w:t>
      </w:r>
      <w:r w:rsidRPr="007931D7">
        <w:rPr>
          <w:rFonts w:ascii="Times New Roman" w:hAnsi="Times New Roman"/>
          <w:b/>
        </w:rPr>
        <w:t>time period</w:t>
      </w:r>
      <w:r w:rsidRPr="007931D7">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sidRPr="007931D7">
        <w:rPr>
          <w:rFonts w:ascii="Times New Roman" w:hAnsi="Times New Roman"/>
          <w:b/>
        </w:rPr>
        <w:t>drilling</w:t>
      </w:r>
      <w:r w:rsidRPr="007931D7">
        <w:rPr>
          <w:rFonts w:ascii="Times New Roman" w:hAnsi="Times New Roman"/>
          <w:b/>
        </w:rPr>
        <w:t xml:space="preserve"> and testing equipment; and record storage facilities.</w:t>
      </w:r>
    </w:p>
    <w:p w:rsidR="00CD215D" w:rsidRPr="007931D7"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7931D7"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7931D7">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7931D7">
        <w:rPr>
          <w:rFonts w:ascii="Times New Roman" w:hAnsi="Times New Roman"/>
          <w:b/>
        </w:rPr>
        <w:t>process</w:t>
      </w:r>
      <w:r w:rsidRPr="007931D7">
        <w:rPr>
          <w:rFonts w:ascii="Times New Roman" w:hAnsi="Times New Roman"/>
          <w:b/>
        </w:rPr>
        <w:t xml:space="preserve"> and use existing economic or regulatory impact analysis associated with the rulemaking containing the information collection, as appropriate.</w:t>
      </w:r>
    </w:p>
    <w:p w:rsidR="00CD215D" w:rsidRPr="007931D7"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7931D7"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7931D7">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w:t>
      </w:r>
      <w:r w:rsidRPr="007931D7">
        <w:rPr>
          <w:rFonts w:ascii="Times New Roman" w:hAnsi="Times New Roman"/>
          <w:b/>
        </w:rPr>
        <w:t>for reasons other than to provide information or keep records for the government, or (4) as part of customary and usual business or private practices.</w:t>
      </w:r>
    </w:p>
    <w:p w:rsidR="00690F56" w:rsidRPr="007931D7"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RPr="007931D7" w:rsidP="00690F56" w14:paraId="3BDD7FFB" w14:textId="58BB785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931D7">
        <w:rPr>
          <w:rFonts w:ascii="Times New Roman" w:hAnsi="Times New Roman"/>
        </w:rPr>
        <w:t>OVW does not believe that there is any annual cost burden on respondents or recordkeepers resulting from the collection of this information.</w:t>
      </w:r>
    </w:p>
    <w:p w:rsidR="00DA3F3C" w:rsidRPr="007931D7" w:rsidP="00690F56" w14:paraId="39CDB2F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7931D7"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931D7">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7931D7">
        <w:rPr>
          <w:rFonts w:ascii="Times New Roman" w:hAnsi="Times New Roman"/>
        </w:rPr>
        <w:t xml:space="preserve"> </w:t>
      </w:r>
      <w:r w:rsidRPr="007931D7">
        <w:rPr>
          <w:rFonts w:ascii="Times New Roman" w:hAnsi="Times New Roman"/>
          <w:b/>
          <w:bCs/>
        </w:rPr>
        <w:t>without this collection of information.  Agencies also may aggregate cost estimates from Items 12, 13, and 14 into a single table.</w:t>
      </w:r>
    </w:p>
    <w:p w:rsidR="00BB2AA1" w:rsidRPr="007931D7"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931D7">
        <w:rPr>
          <w:rFonts w:ascii="Times New Roman" w:hAnsi="Times New Roman"/>
        </w:rPr>
        <w:t xml:space="preserve"> </w:t>
      </w:r>
    </w:p>
    <w:p w:rsidR="00F96885" w:rsidRPr="007931D7" w:rsidP="00690F56" w14:paraId="1A15C4F0" w14:textId="3A16E5D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931D7">
        <w:rPr>
          <w:rFonts w:ascii="Times New Roman" w:hAnsi="Times New Roman"/>
        </w:rPr>
        <w:t>The annualized costs to the Federal Government resulting from the OVW staff review of the progress reports submitted by grantees are estimated to be $143,356.</w:t>
      </w:r>
    </w:p>
    <w:p w:rsidR="00FA4701" w:rsidRPr="007931D7" w:rsidP="00690F56" w14:paraId="0771367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7931D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7931D7">
        <w:rPr>
          <w:rFonts w:ascii="Times New Roman" w:hAnsi="Times New Roman"/>
          <w:b/>
          <w:bCs/>
        </w:rPr>
        <w:t>15.</w:t>
      </w:r>
      <w:r w:rsidRPr="007931D7">
        <w:rPr>
          <w:rFonts w:ascii="Times New Roman" w:hAnsi="Times New Roman"/>
          <w:b/>
          <w:bCs/>
        </w:rPr>
        <w:tab/>
        <w:t>Explain the reasons for any</w:t>
      </w:r>
      <w:r w:rsidRPr="007931D7" w:rsidR="00882AB5">
        <w:rPr>
          <w:rFonts w:ascii="Times New Roman" w:hAnsi="Times New Roman"/>
          <w:b/>
          <w:bCs/>
        </w:rPr>
        <w:t xml:space="preserve"> program changes or adjustments.</w:t>
      </w:r>
    </w:p>
    <w:p w:rsidR="00690F56" w:rsidRPr="007931D7"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RPr="007931D7" w:rsidP="00690F56" w14:paraId="33AED649" w14:textId="4086675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931D7">
        <w:rPr>
          <w:rFonts w:ascii="Times New Roman" w:hAnsi="Times New Roman"/>
        </w:rPr>
        <w:t xml:space="preserve">There are no program changes or adjustments for the estimates identified in Section 13 and in Section 14. This is </w:t>
      </w:r>
      <w:r w:rsidRPr="007931D7">
        <w:rPr>
          <w:rFonts w:ascii="Times New Roman" w:hAnsi="Times New Roman"/>
        </w:rPr>
        <w:t>a</w:t>
      </w:r>
      <w:r w:rsidRPr="007931D7">
        <w:rPr>
          <w:rFonts w:ascii="Times New Roman" w:hAnsi="Times New Roman"/>
        </w:rPr>
        <w:t xml:space="preserve"> information collection that is necessary for OVW and its STOP administrators and STOP Formula Grant Program subgrantees to comply with the statutory reporting requirements and the Government Performance and Results Act of 1993 (Pub. L. 103- 62).</w:t>
      </w:r>
    </w:p>
    <w:p w:rsidR="00FA4701" w:rsidRPr="007931D7" w:rsidP="00690F56" w14:paraId="15FC8B6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7931D7"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931D7">
        <w:rPr>
          <w:rFonts w:ascii="Times New Roman" w:hAnsi="Times New Roman"/>
          <w:b/>
          <w:bCs/>
        </w:rPr>
        <w:t>1</w:t>
      </w:r>
      <w:r w:rsidRPr="007931D7" w:rsidR="00882AB5">
        <w:rPr>
          <w:rFonts w:ascii="Times New Roman" w:hAnsi="Times New Roman"/>
          <w:b/>
          <w:bCs/>
        </w:rPr>
        <w:t xml:space="preserve">6. </w:t>
      </w:r>
      <w:r w:rsidRPr="007931D7">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7931D7">
        <w:rPr>
          <w:rFonts w:ascii="Times New Roman" w:hAnsi="Times New Roman"/>
        </w:rPr>
        <w:t>.</w:t>
      </w:r>
    </w:p>
    <w:p w:rsidR="008D7A05" w:rsidRPr="007931D7" w:rsidP="00690F56" w14:paraId="3136035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7931D7" w:rsidP="00690F56" w14:paraId="510180C3" w14:textId="29F82F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931D7">
        <w:rPr>
          <w:rFonts w:ascii="Times New Roman" w:hAnsi="Times New Roman"/>
        </w:rPr>
        <w:t>There will be no complex analytical techniques used in connection with the publication of information collected under the request. Information will be gathered once a year at the end of the reporting periods. OVW is statutorily required to submit a report on the effectiveness of all grant-funded activities on a biennial basis.</w:t>
      </w:r>
    </w:p>
    <w:p w:rsidR="00690F56" w:rsidRPr="007931D7"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7931D7"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931D7">
        <w:rPr>
          <w:rFonts w:ascii="Times New Roman" w:hAnsi="Times New Roman"/>
          <w:b/>
          <w:bCs/>
        </w:rPr>
        <w:t>17.  If seeking approval to not display the expiration date for OMB approval of the information collection, explain the reasons that display would be inappropriate.</w:t>
      </w:r>
    </w:p>
    <w:p w:rsidR="00690F56" w:rsidRPr="007931D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7931D7"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931D7">
        <w:rPr>
          <w:rFonts w:ascii="Times New Roman" w:hAnsi="Times New Roman"/>
        </w:rPr>
        <w:t xml:space="preserve">We are requesting no exemption. </w:t>
      </w:r>
    </w:p>
    <w:p w:rsidR="009B6955" w:rsidRPr="007931D7"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7931D7"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7931D7">
        <w:rPr>
          <w:rFonts w:ascii="Times New Roman" w:hAnsi="Times New Roman"/>
          <w:b/>
        </w:rPr>
        <w:t>18.  Explain each exception to the certification statement.</w:t>
      </w:r>
    </w:p>
    <w:p w:rsidR="000C3A92" w:rsidRPr="007931D7"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7931D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931D7">
        <w:rPr>
          <w:rFonts w:ascii="Times New Roman" w:hAnsi="Times New Roman"/>
        </w:rPr>
        <w:t>This collection of information does not include any exceptions to the certificate</w:t>
      </w:r>
      <w:r w:rsidRPr="007931D7" w:rsidR="003A4476">
        <w:rPr>
          <w:rFonts w:ascii="Times New Roman" w:hAnsi="Times New Roman"/>
        </w:rPr>
        <w:t xml:space="preserve"> </w:t>
      </w:r>
      <w:r w:rsidRPr="007931D7">
        <w:rPr>
          <w:rFonts w:ascii="Times New Roman" w:hAnsi="Times New Roman"/>
        </w:rPr>
        <w:t>statement.</w:t>
      </w:r>
    </w:p>
    <w:p w:rsidR="00690F56" w:rsidRPr="007931D7"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7931D7" w:rsidP="007A7F79" w14:paraId="077F6D32" w14:textId="77777777">
      <w:pPr>
        <w:widowControl/>
        <w:autoSpaceDE/>
        <w:autoSpaceDN/>
        <w:adjustRightInd/>
        <w:spacing w:after="200" w:line="276" w:lineRule="auto"/>
        <w:rPr>
          <w:rFonts w:ascii="Times New Roman" w:hAnsi="Times New Roman"/>
        </w:rPr>
      </w:pPr>
      <w:r w:rsidRPr="007931D7">
        <w:rPr>
          <w:rFonts w:ascii="Times New Roman" w:hAnsi="Times New Roman"/>
          <w:b/>
          <w:bCs/>
        </w:rPr>
        <w:t>B. COLLECTIONS OF INFORMATON EMPLOYING STATISTICAL METHODS.</w:t>
      </w:r>
    </w:p>
    <w:p w:rsidR="00332F98" w:rsidRPr="007931D7" w14:paraId="3E8CBCDA" w14:textId="09628189">
      <w:pPr>
        <w:rPr>
          <w:rFonts w:ascii="Times New Roman" w:hAnsi="Times New Roman"/>
        </w:rPr>
      </w:pPr>
      <w:r w:rsidRPr="007931D7">
        <w:rPr>
          <w:rFonts w:ascii="Times New Roman" w:hAnsi="Times New Roman"/>
        </w:rPr>
        <w:t>This collection</w:t>
      </w:r>
      <w:r w:rsidRPr="007931D7" w:rsidR="00CC1B60">
        <w:rPr>
          <w:rFonts w:ascii="Times New Roman" w:hAnsi="Times New Roman"/>
        </w:rPr>
        <w:t xml:space="preserve"> does/does not</w:t>
      </w:r>
      <w:r w:rsidRPr="007931D7">
        <w:rPr>
          <w:rFonts w:ascii="Times New Roman" w:hAnsi="Times New Roman"/>
        </w:rPr>
        <w:t xml:space="preserve"> contain statistical data.</w:t>
      </w:r>
    </w:p>
    <w:sectPr w:rsidSect="00C07F7F">
      <w:headerReference w:type="default" r:id="rId6"/>
      <w:footerReference w:type="even" r:id="rId7"/>
      <w:footerReference w:type="default" r:id="rId8"/>
      <w:headerReference w:type="first" r:id="rId9"/>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B5882" w14:paraId="456257DD" w14:textId="77777777">
      <w:r>
        <w:separator/>
      </w:r>
    </w:p>
  </w:footnote>
  <w:footnote w:type="continuationSeparator" w:id="1">
    <w:p w:rsidR="003B5882" w14:paraId="494B5836" w14:textId="77777777">
      <w:r>
        <w:continuationSeparator/>
      </w:r>
    </w:p>
  </w:footnote>
  <w:footnote w:id="2">
    <w:p w:rsidR="00F84905" w:rsidRPr="00E41BA5" w:rsidP="00F84905" w14:paraId="21A15B57" w14:textId="5FC42D7A">
      <w:pPr>
        <w:pStyle w:val="FootnoteText"/>
        <w:rPr>
          <w:rFonts w:ascii="Times New Roman" w:hAnsi="Times New Roman"/>
        </w:rPr>
      </w:pPr>
      <w:r>
        <w:rPr>
          <w:rStyle w:val="FootnoteReference"/>
        </w:rPr>
        <w:footnoteRef/>
      </w:r>
      <w:r>
        <w:t xml:space="preserve"> </w:t>
      </w:r>
      <w:r w:rsidRPr="00E41BA5">
        <w:rPr>
          <w:rFonts w:ascii="Times New Roman" w:hAnsi="Times New Roman"/>
        </w:rPr>
        <w:t>In addition, VAWA requires that “[U]pon completion of the grant period..., a State or Indian tribe shall file a performance report with the Attorney General explaining the activities carried out, which report shall include an assessment of the effectiveness of those activities in achieving the purposes of this part. 34 U.S.C. 10446(h). Under a cooperative agreement between OVW and the University of Southern Maine’s Muskie School of Public Service, data collected from OVW grantees on all of OVW’s progress report forms is transmitted to the Muskie School for analysis. For the analysis of the data,</w:t>
      </w:r>
    </w:p>
    <w:p w:rsidR="006311CE" w:rsidP="00F84905" w14:paraId="0930038D" w14:textId="050077EC">
      <w:pPr>
        <w:pStyle w:val="FootnoteText"/>
      </w:pPr>
      <w:r w:rsidRPr="00E41BA5">
        <w:rPr>
          <w:rFonts w:ascii="Times New Roman" w:hAnsi="Times New Roman"/>
        </w:rPr>
        <w:t>standard descriptive statistics (frequency, sum, percentage, mean, etc.) are used to describe the characteristics of the grantees and report basic findings. All analyses are conducted in SPSS 13.0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E41BA5" w14:paraId="4C516217" w14:textId="31DB5806">
    <w:pPr>
      <w:pStyle w:val="Header"/>
      <w:rPr>
        <w:rFonts w:ascii="Times New Roman" w:hAnsi="Times New Roman"/>
        <w:bCs/>
        <w:sz w:val="20"/>
        <w:szCs w:val="20"/>
      </w:rPr>
    </w:pPr>
    <w:r w:rsidRPr="00E41BA5">
      <w:rPr>
        <w:rFonts w:ascii="Times New Roman" w:hAnsi="Times New Roman"/>
        <w:bCs/>
        <w:sz w:val="20"/>
        <w:szCs w:val="20"/>
      </w:rPr>
      <w:t>Annual Progress Report for STOP Violence Against Women Formula Grant</w:t>
    </w:r>
    <w:r>
      <w:rPr>
        <w:rFonts w:ascii="Times New Roman" w:hAnsi="Times New Roman"/>
        <w:bCs/>
        <w:sz w:val="20"/>
        <w:szCs w:val="20"/>
      </w:rPr>
      <w:t xml:space="preserve"> </w:t>
    </w:r>
    <w:r w:rsidRPr="00E41BA5">
      <w:rPr>
        <w:rFonts w:ascii="Times New Roman" w:hAnsi="Times New Roman"/>
        <w:bCs/>
        <w:sz w:val="20"/>
        <w:szCs w:val="20"/>
      </w:rPr>
      <w:t>Program</w:t>
    </w:r>
  </w:p>
  <w:p w:rsidR="00EC0B43" w14:paraId="52F50703" w14:textId="1D3CA441">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E41BA5">
      <w:rPr>
        <w:rFonts w:ascii="Times New Roman" w:hAnsi="Times New Roman"/>
        <w:sz w:val="20"/>
        <w:szCs w:val="20"/>
      </w:rPr>
      <w:t>1122-0003</w:t>
    </w:r>
  </w:p>
  <w:p w:rsidR="00304132" w14:paraId="29EBD65C" w14:textId="0FDF8724">
    <w:pPr>
      <w:pStyle w:val="Header"/>
      <w:rPr>
        <w:rFonts w:ascii="Times New Roman" w:hAnsi="Times New Roman"/>
        <w:sz w:val="20"/>
        <w:szCs w:val="20"/>
      </w:rPr>
    </w:pPr>
    <w:r>
      <w:rPr>
        <w:rFonts w:ascii="Times New Roman" w:hAnsi="Times New Roman"/>
        <w:sz w:val="20"/>
        <w:szCs w:val="20"/>
      </w:rPr>
      <w:t xml:space="preserve">OMB Expiration Date: </w:t>
    </w:r>
    <w:r w:rsidR="00E41BA5">
      <w:rPr>
        <w:rFonts w:ascii="Times New Roman" w:hAnsi="Times New Roman"/>
        <w:sz w:val="20"/>
        <w:szCs w:val="20"/>
      </w:rPr>
      <w:t>09</w:t>
    </w:r>
    <w:r w:rsidR="00996A5D">
      <w:rPr>
        <w:rFonts w:ascii="Times New Roman" w:hAnsi="Times New Roman"/>
        <w:sz w:val="20"/>
        <w:szCs w:val="20"/>
      </w:rPr>
      <w:t>/</w:t>
    </w:r>
    <w:r w:rsidR="00E41BA5">
      <w:rPr>
        <w:rFonts w:ascii="Times New Roman" w:hAnsi="Times New Roman"/>
        <w:sz w:val="20"/>
        <w:szCs w:val="20"/>
      </w:rPr>
      <w:t>30</w:t>
    </w:r>
    <w:r w:rsidR="00996A5D">
      <w:rPr>
        <w:rFonts w:ascii="Times New Roman" w:hAnsi="Times New Roman"/>
        <w:sz w:val="20"/>
        <w:szCs w:val="20"/>
      </w:rPr>
      <w:t>/</w:t>
    </w:r>
    <w:r w:rsidR="00E41BA5">
      <w:rPr>
        <w:rFonts w:ascii="Times New Roman" w:hAnsi="Times New Roman"/>
        <w:sz w:val="20"/>
        <w:szCs w:val="20"/>
      </w:rPr>
      <w:t>2023</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94A5E"/>
    <w:rsid w:val="00095C30"/>
    <w:rsid w:val="00097C15"/>
    <w:rsid w:val="000A7853"/>
    <w:rsid w:val="000B0391"/>
    <w:rsid w:val="000B4875"/>
    <w:rsid w:val="000B6FB6"/>
    <w:rsid w:val="000C257C"/>
    <w:rsid w:val="000C3A92"/>
    <w:rsid w:val="000C4B52"/>
    <w:rsid w:val="000C74FB"/>
    <w:rsid w:val="000D7F95"/>
    <w:rsid w:val="000E1C64"/>
    <w:rsid w:val="000F6836"/>
    <w:rsid w:val="001040D4"/>
    <w:rsid w:val="001078BB"/>
    <w:rsid w:val="00116CD5"/>
    <w:rsid w:val="00117CA5"/>
    <w:rsid w:val="00133C47"/>
    <w:rsid w:val="00133E3D"/>
    <w:rsid w:val="001376D3"/>
    <w:rsid w:val="0014556E"/>
    <w:rsid w:val="0014601E"/>
    <w:rsid w:val="0015322B"/>
    <w:rsid w:val="0015365E"/>
    <w:rsid w:val="00157A90"/>
    <w:rsid w:val="00167AD4"/>
    <w:rsid w:val="00180E5A"/>
    <w:rsid w:val="00192711"/>
    <w:rsid w:val="001A47D9"/>
    <w:rsid w:val="001B4BB9"/>
    <w:rsid w:val="001C39F6"/>
    <w:rsid w:val="001D10ED"/>
    <w:rsid w:val="001D2D09"/>
    <w:rsid w:val="001D67BB"/>
    <w:rsid w:val="001E0E7F"/>
    <w:rsid w:val="001E2932"/>
    <w:rsid w:val="001E3596"/>
    <w:rsid w:val="001E5213"/>
    <w:rsid w:val="001F056F"/>
    <w:rsid w:val="001F2E8E"/>
    <w:rsid w:val="001F552E"/>
    <w:rsid w:val="002036A1"/>
    <w:rsid w:val="00210A61"/>
    <w:rsid w:val="002134B4"/>
    <w:rsid w:val="002203C9"/>
    <w:rsid w:val="00234341"/>
    <w:rsid w:val="00237691"/>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3962"/>
    <w:rsid w:val="002A5972"/>
    <w:rsid w:val="002A6FB5"/>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63CC2"/>
    <w:rsid w:val="00370C9A"/>
    <w:rsid w:val="00371EEC"/>
    <w:rsid w:val="003876F3"/>
    <w:rsid w:val="00390426"/>
    <w:rsid w:val="003908B9"/>
    <w:rsid w:val="00394AEB"/>
    <w:rsid w:val="003A4476"/>
    <w:rsid w:val="003A6353"/>
    <w:rsid w:val="003B2F28"/>
    <w:rsid w:val="003B5882"/>
    <w:rsid w:val="003C13C6"/>
    <w:rsid w:val="003C6DA9"/>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844D1"/>
    <w:rsid w:val="0048559D"/>
    <w:rsid w:val="0049001D"/>
    <w:rsid w:val="00494A93"/>
    <w:rsid w:val="00494D75"/>
    <w:rsid w:val="004A1763"/>
    <w:rsid w:val="004B1E76"/>
    <w:rsid w:val="004B1E83"/>
    <w:rsid w:val="004D1C78"/>
    <w:rsid w:val="004D441E"/>
    <w:rsid w:val="004D46D1"/>
    <w:rsid w:val="004E1D9E"/>
    <w:rsid w:val="004E5B39"/>
    <w:rsid w:val="004F6B35"/>
    <w:rsid w:val="00501A15"/>
    <w:rsid w:val="005164DC"/>
    <w:rsid w:val="005203D5"/>
    <w:rsid w:val="00522B8D"/>
    <w:rsid w:val="00522CC5"/>
    <w:rsid w:val="0052585C"/>
    <w:rsid w:val="00530EBD"/>
    <w:rsid w:val="005413BB"/>
    <w:rsid w:val="005622FE"/>
    <w:rsid w:val="00567912"/>
    <w:rsid w:val="00570098"/>
    <w:rsid w:val="005805E7"/>
    <w:rsid w:val="005825A4"/>
    <w:rsid w:val="00583F5D"/>
    <w:rsid w:val="0058424C"/>
    <w:rsid w:val="00584F8D"/>
    <w:rsid w:val="005A0350"/>
    <w:rsid w:val="005A23DC"/>
    <w:rsid w:val="005A2A7C"/>
    <w:rsid w:val="005A7D9E"/>
    <w:rsid w:val="005B2697"/>
    <w:rsid w:val="005B5990"/>
    <w:rsid w:val="005C6147"/>
    <w:rsid w:val="005D2A5E"/>
    <w:rsid w:val="005D5F8C"/>
    <w:rsid w:val="005E5148"/>
    <w:rsid w:val="005E6BEF"/>
    <w:rsid w:val="0060114B"/>
    <w:rsid w:val="00603D4A"/>
    <w:rsid w:val="00607AC5"/>
    <w:rsid w:val="00611DE2"/>
    <w:rsid w:val="00614A1C"/>
    <w:rsid w:val="00621881"/>
    <w:rsid w:val="006227B3"/>
    <w:rsid w:val="00627B1F"/>
    <w:rsid w:val="006311CE"/>
    <w:rsid w:val="00642220"/>
    <w:rsid w:val="0065148D"/>
    <w:rsid w:val="00652ED1"/>
    <w:rsid w:val="006626FF"/>
    <w:rsid w:val="006650A8"/>
    <w:rsid w:val="0067772C"/>
    <w:rsid w:val="00683A96"/>
    <w:rsid w:val="00685435"/>
    <w:rsid w:val="00687746"/>
    <w:rsid w:val="00690F56"/>
    <w:rsid w:val="006A4637"/>
    <w:rsid w:val="006C2FC8"/>
    <w:rsid w:val="006C39F8"/>
    <w:rsid w:val="006E1A08"/>
    <w:rsid w:val="006E4433"/>
    <w:rsid w:val="006E54FE"/>
    <w:rsid w:val="006E604F"/>
    <w:rsid w:val="006E63C6"/>
    <w:rsid w:val="006F2132"/>
    <w:rsid w:val="006F66F9"/>
    <w:rsid w:val="006F6E13"/>
    <w:rsid w:val="007010C5"/>
    <w:rsid w:val="007011F1"/>
    <w:rsid w:val="007127A1"/>
    <w:rsid w:val="00713ACE"/>
    <w:rsid w:val="00715F82"/>
    <w:rsid w:val="0071749C"/>
    <w:rsid w:val="00721E05"/>
    <w:rsid w:val="00740A99"/>
    <w:rsid w:val="007412B6"/>
    <w:rsid w:val="00741BF4"/>
    <w:rsid w:val="00753389"/>
    <w:rsid w:val="00755761"/>
    <w:rsid w:val="007636EC"/>
    <w:rsid w:val="00767D37"/>
    <w:rsid w:val="00774503"/>
    <w:rsid w:val="007754A0"/>
    <w:rsid w:val="00777CD2"/>
    <w:rsid w:val="00780272"/>
    <w:rsid w:val="0078038F"/>
    <w:rsid w:val="0078153B"/>
    <w:rsid w:val="00785FE9"/>
    <w:rsid w:val="00786E04"/>
    <w:rsid w:val="007931D7"/>
    <w:rsid w:val="007A7F79"/>
    <w:rsid w:val="007C124D"/>
    <w:rsid w:val="007D0B09"/>
    <w:rsid w:val="007D46C2"/>
    <w:rsid w:val="007E3065"/>
    <w:rsid w:val="007F3B38"/>
    <w:rsid w:val="007F3C02"/>
    <w:rsid w:val="007F783A"/>
    <w:rsid w:val="00802605"/>
    <w:rsid w:val="00802A30"/>
    <w:rsid w:val="008043E5"/>
    <w:rsid w:val="00804A1A"/>
    <w:rsid w:val="0081073D"/>
    <w:rsid w:val="00813CC0"/>
    <w:rsid w:val="00821B5E"/>
    <w:rsid w:val="008323ED"/>
    <w:rsid w:val="00832EBB"/>
    <w:rsid w:val="00835955"/>
    <w:rsid w:val="00846701"/>
    <w:rsid w:val="00861555"/>
    <w:rsid w:val="008624D5"/>
    <w:rsid w:val="00871CA6"/>
    <w:rsid w:val="00882AB5"/>
    <w:rsid w:val="00882B1D"/>
    <w:rsid w:val="0088672C"/>
    <w:rsid w:val="008A1F0C"/>
    <w:rsid w:val="008A40D1"/>
    <w:rsid w:val="008B123A"/>
    <w:rsid w:val="008B3128"/>
    <w:rsid w:val="008B541B"/>
    <w:rsid w:val="008C154F"/>
    <w:rsid w:val="008C656B"/>
    <w:rsid w:val="008C6A87"/>
    <w:rsid w:val="008D7A05"/>
    <w:rsid w:val="00901003"/>
    <w:rsid w:val="0090158E"/>
    <w:rsid w:val="00901EF6"/>
    <w:rsid w:val="0090413E"/>
    <w:rsid w:val="00923B37"/>
    <w:rsid w:val="009271B1"/>
    <w:rsid w:val="0093485F"/>
    <w:rsid w:val="009407FC"/>
    <w:rsid w:val="009441E2"/>
    <w:rsid w:val="00950ED2"/>
    <w:rsid w:val="00963680"/>
    <w:rsid w:val="00964D3F"/>
    <w:rsid w:val="009700D9"/>
    <w:rsid w:val="00983CA7"/>
    <w:rsid w:val="00985369"/>
    <w:rsid w:val="00985C15"/>
    <w:rsid w:val="00992365"/>
    <w:rsid w:val="00996A5D"/>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834BF"/>
    <w:rsid w:val="00A90769"/>
    <w:rsid w:val="00A973AA"/>
    <w:rsid w:val="00AA177A"/>
    <w:rsid w:val="00AA418C"/>
    <w:rsid w:val="00AB4DC3"/>
    <w:rsid w:val="00AC775D"/>
    <w:rsid w:val="00AD022F"/>
    <w:rsid w:val="00AD113F"/>
    <w:rsid w:val="00AD75AC"/>
    <w:rsid w:val="00AE0D00"/>
    <w:rsid w:val="00AF2C11"/>
    <w:rsid w:val="00AF3788"/>
    <w:rsid w:val="00AF5262"/>
    <w:rsid w:val="00AF7928"/>
    <w:rsid w:val="00B13844"/>
    <w:rsid w:val="00B26E3E"/>
    <w:rsid w:val="00B35DAD"/>
    <w:rsid w:val="00B417B3"/>
    <w:rsid w:val="00B47443"/>
    <w:rsid w:val="00B5043F"/>
    <w:rsid w:val="00B5377A"/>
    <w:rsid w:val="00B6181C"/>
    <w:rsid w:val="00B64496"/>
    <w:rsid w:val="00B66231"/>
    <w:rsid w:val="00B674DE"/>
    <w:rsid w:val="00B67A3F"/>
    <w:rsid w:val="00B9439C"/>
    <w:rsid w:val="00B96E43"/>
    <w:rsid w:val="00BA6A42"/>
    <w:rsid w:val="00BA6C9C"/>
    <w:rsid w:val="00BB2AA1"/>
    <w:rsid w:val="00BB3BEF"/>
    <w:rsid w:val="00BC5F22"/>
    <w:rsid w:val="00BD21CA"/>
    <w:rsid w:val="00BD34F2"/>
    <w:rsid w:val="00BF0E96"/>
    <w:rsid w:val="00C0069F"/>
    <w:rsid w:val="00C02E4A"/>
    <w:rsid w:val="00C04C0E"/>
    <w:rsid w:val="00C05B4B"/>
    <w:rsid w:val="00C05B88"/>
    <w:rsid w:val="00C05EBE"/>
    <w:rsid w:val="00C07F7F"/>
    <w:rsid w:val="00C12530"/>
    <w:rsid w:val="00C14429"/>
    <w:rsid w:val="00C16FA7"/>
    <w:rsid w:val="00C247D8"/>
    <w:rsid w:val="00C25486"/>
    <w:rsid w:val="00C25E66"/>
    <w:rsid w:val="00C34009"/>
    <w:rsid w:val="00C40415"/>
    <w:rsid w:val="00C4763A"/>
    <w:rsid w:val="00C63D1E"/>
    <w:rsid w:val="00C667F3"/>
    <w:rsid w:val="00C712D2"/>
    <w:rsid w:val="00C77B5C"/>
    <w:rsid w:val="00C824C6"/>
    <w:rsid w:val="00C8275F"/>
    <w:rsid w:val="00C87068"/>
    <w:rsid w:val="00C9162F"/>
    <w:rsid w:val="00C96C3E"/>
    <w:rsid w:val="00C97008"/>
    <w:rsid w:val="00CA2F0A"/>
    <w:rsid w:val="00CA652C"/>
    <w:rsid w:val="00CB1ECE"/>
    <w:rsid w:val="00CB3579"/>
    <w:rsid w:val="00CB5C31"/>
    <w:rsid w:val="00CC0731"/>
    <w:rsid w:val="00CC1B60"/>
    <w:rsid w:val="00CC770C"/>
    <w:rsid w:val="00CD215D"/>
    <w:rsid w:val="00CD4F92"/>
    <w:rsid w:val="00CD6628"/>
    <w:rsid w:val="00D00B48"/>
    <w:rsid w:val="00D2331B"/>
    <w:rsid w:val="00D36BB6"/>
    <w:rsid w:val="00D472BE"/>
    <w:rsid w:val="00D53DEB"/>
    <w:rsid w:val="00D54CDF"/>
    <w:rsid w:val="00D57DE8"/>
    <w:rsid w:val="00D735B0"/>
    <w:rsid w:val="00D73AAD"/>
    <w:rsid w:val="00D75842"/>
    <w:rsid w:val="00D802D6"/>
    <w:rsid w:val="00D86A15"/>
    <w:rsid w:val="00D86FF7"/>
    <w:rsid w:val="00DA3F3C"/>
    <w:rsid w:val="00DA7DC9"/>
    <w:rsid w:val="00DB7B7C"/>
    <w:rsid w:val="00DD6DF0"/>
    <w:rsid w:val="00E0031C"/>
    <w:rsid w:val="00E0138A"/>
    <w:rsid w:val="00E06430"/>
    <w:rsid w:val="00E13DE5"/>
    <w:rsid w:val="00E163CF"/>
    <w:rsid w:val="00E20D5B"/>
    <w:rsid w:val="00E22463"/>
    <w:rsid w:val="00E23871"/>
    <w:rsid w:val="00E322E9"/>
    <w:rsid w:val="00E400EA"/>
    <w:rsid w:val="00E41BA5"/>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E66"/>
    <w:rsid w:val="00EC0B43"/>
    <w:rsid w:val="00EC4383"/>
    <w:rsid w:val="00EC5D7E"/>
    <w:rsid w:val="00ED49C1"/>
    <w:rsid w:val="00EE2223"/>
    <w:rsid w:val="00EF2707"/>
    <w:rsid w:val="00EF70DB"/>
    <w:rsid w:val="00F11AA8"/>
    <w:rsid w:val="00F12F81"/>
    <w:rsid w:val="00F24787"/>
    <w:rsid w:val="00F27223"/>
    <w:rsid w:val="00F3623C"/>
    <w:rsid w:val="00F41116"/>
    <w:rsid w:val="00F4223D"/>
    <w:rsid w:val="00F44D20"/>
    <w:rsid w:val="00F4518C"/>
    <w:rsid w:val="00F4529D"/>
    <w:rsid w:val="00F53F09"/>
    <w:rsid w:val="00F56B20"/>
    <w:rsid w:val="00F6219B"/>
    <w:rsid w:val="00F64E0B"/>
    <w:rsid w:val="00F72D66"/>
    <w:rsid w:val="00F8164B"/>
    <w:rsid w:val="00F84905"/>
    <w:rsid w:val="00F935EE"/>
    <w:rsid w:val="00F96885"/>
    <w:rsid w:val="00FA3D8C"/>
    <w:rsid w:val="00FA4701"/>
    <w:rsid w:val="00FB026D"/>
    <w:rsid w:val="00FB587F"/>
    <w:rsid w:val="00FD35DD"/>
    <w:rsid w:val="00FD5326"/>
    <w:rsid w:val="00FE3B94"/>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2857</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2</cp:revision>
  <cp:lastPrinted>2020-02-19T15:46:00Z</cp:lastPrinted>
  <dcterms:created xsi:type="dcterms:W3CDTF">2023-09-27T20:10:00Z</dcterms:created>
  <dcterms:modified xsi:type="dcterms:W3CDTF">2023-09-27T20:10:00Z</dcterms:modified>
</cp:coreProperties>
</file>