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1525" w:rsidP="00981525" w14:paraId="532A2269" w14:textId="146DF22E">
      <w:pPr>
        <w:widowControl/>
        <w:jc w:val="center"/>
        <w:rPr>
          <w:b/>
          <w:bCs/>
        </w:rPr>
      </w:pPr>
      <w:r w:rsidRPr="00A85317">
        <w:rPr>
          <w:b/>
          <w:bCs/>
        </w:rPr>
        <w:t>SUPPORTING STATEMENT FOR</w:t>
      </w:r>
      <w:r w:rsidR="00DF0B40">
        <w:rPr>
          <w:b/>
          <w:bCs/>
        </w:rPr>
        <w:t xml:space="preserve"> THE</w:t>
      </w:r>
    </w:p>
    <w:p w:rsidR="00866A7D" w:rsidRPr="00A85317" w:rsidP="00866A7D" w14:paraId="1277069D" w14:textId="03987575">
      <w:pPr>
        <w:widowControl/>
        <w:jc w:val="center"/>
        <w:rPr>
          <w:b/>
          <w:bCs/>
        </w:rPr>
      </w:pPr>
      <w:r>
        <w:rPr>
          <w:b/>
          <w:bCs/>
        </w:rPr>
        <w:t>C</w:t>
      </w:r>
      <w:r w:rsidRPr="00A85317">
        <w:rPr>
          <w:b/>
          <w:bCs/>
        </w:rPr>
        <w:t xml:space="preserve">OLLECTION </w:t>
      </w:r>
      <w:r>
        <w:rPr>
          <w:b/>
          <w:bCs/>
        </w:rPr>
        <w:t xml:space="preserve">OF INFORMATION </w:t>
      </w:r>
      <w:r w:rsidRPr="00A85317">
        <w:rPr>
          <w:b/>
          <w:bCs/>
        </w:rPr>
        <w:t>REQUIREMENTS</w:t>
      </w:r>
      <w:r w:rsidR="00DF0B40">
        <w:rPr>
          <w:b/>
          <w:bCs/>
        </w:rPr>
        <w:t xml:space="preserve"> FOR</w:t>
      </w:r>
    </w:p>
    <w:p w:rsidR="005F588F" w:rsidP="00DF0B40" w14:paraId="3478F0B7" w14:textId="78EEF049">
      <w:pPr>
        <w:widowControl/>
        <w:jc w:val="center"/>
        <w:rPr>
          <w:b/>
          <w:bCs/>
        </w:rPr>
      </w:pPr>
      <w:r w:rsidRPr="00A85317">
        <w:rPr>
          <w:b/>
          <w:bCs/>
        </w:rPr>
        <w:t>THE WALKING</w:t>
      </w:r>
      <w:r w:rsidR="00B03763">
        <w:rPr>
          <w:b/>
          <w:bCs/>
        </w:rPr>
        <w:t>-</w:t>
      </w:r>
      <w:r w:rsidRPr="00A85317">
        <w:rPr>
          <w:b/>
          <w:bCs/>
        </w:rPr>
        <w:t>WORKING SURFACES</w:t>
      </w:r>
      <w:r w:rsidR="00981525">
        <w:rPr>
          <w:b/>
          <w:bCs/>
        </w:rPr>
        <w:t xml:space="preserve"> </w:t>
      </w:r>
      <w:r w:rsidR="00E847DF">
        <w:rPr>
          <w:b/>
          <w:bCs/>
        </w:rPr>
        <w:t xml:space="preserve">STANDARD </w:t>
      </w:r>
      <w:r w:rsidR="00DF0B40">
        <w:rPr>
          <w:b/>
          <w:bCs/>
        </w:rPr>
        <w:br/>
      </w:r>
      <w:r w:rsidRPr="00A85317">
        <w:rPr>
          <w:b/>
          <w:bCs/>
        </w:rPr>
        <w:t xml:space="preserve">(29 CFR </w:t>
      </w:r>
      <w:r w:rsidR="006210AD">
        <w:rPr>
          <w:b/>
          <w:bCs/>
        </w:rPr>
        <w:t xml:space="preserve">PART </w:t>
      </w:r>
      <w:r w:rsidRPr="00A85317">
        <w:rPr>
          <w:b/>
          <w:bCs/>
        </w:rPr>
        <w:t>1910,</w:t>
      </w:r>
      <w:r w:rsidR="00DF0B40">
        <w:rPr>
          <w:b/>
          <w:bCs/>
        </w:rPr>
        <w:t xml:space="preserve"> </w:t>
      </w:r>
      <w:r w:rsidRPr="00A85317">
        <w:rPr>
          <w:b/>
          <w:bCs/>
        </w:rPr>
        <w:t xml:space="preserve">SUBPART D) </w:t>
      </w:r>
    </w:p>
    <w:p w:rsidR="005F588F" w:rsidP="005F588F" w14:paraId="1EB768D6" w14:textId="77777777">
      <w:pPr>
        <w:pStyle w:val="Default0"/>
        <w:jc w:val="center"/>
        <w:rPr>
          <w:sz w:val="23"/>
          <w:szCs w:val="23"/>
        </w:rPr>
      </w:pPr>
      <w:r>
        <w:rPr>
          <w:b/>
          <w:bCs/>
          <w:sz w:val="23"/>
          <w:szCs w:val="23"/>
        </w:rPr>
        <w:t>OFFICE OF MANAGEMENT AND BUDGET (OMB)</w:t>
      </w:r>
    </w:p>
    <w:p w:rsidR="00981525" w:rsidP="007204D6" w14:paraId="3DE688F0" w14:textId="7E13EBFC">
      <w:pPr>
        <w:pStyle w:val="Default0"/>
        <w:jc w:val="center"/>
      </w:pPr>
      <w:r>
        <w:rPr>
          <w:b/>
          <w:bCs/>
          <w:sz w:val="23"/>
          <w:szCs w:val="23"/>
        </w:rPr>
        <w:t>CONTROL N</w:t>
      </w:r>
      <w:r w:rsidR="00C54F9D">
        <w:rPr>
          <w:b/>
          <w:bCs/>
          <w:sz w:val="23"/>
          <w:szCs w:val="23"/>
        </w:rPr>
        <w:t>O.</w:t>
      </w:r>
      <w:r>
        <w:rPr>
          <w:b/>
          <w:bCs/>
          <w:sz w:val="23"/>
          <w:szCs w:val="23"/>
        </w:rPr>
        <w:t xml:space="preserve"> 1218-0199</w:t>
      </w:r>
      <w:r w:rsidR="00C54F9D">
        <w:rPr>
          <w:b/>
          <w:bCs/>
          <w:sz w:val="23"/>
          <w:szCs w:val="23"/>
        </w:rPr>
        <w:t xml:space="preserve"> </w:t>
      </w:r>
      <w:r w:rsidRPr="007204D6">
        <w:rPr>
          <w:b/>
          <w:bCs/>
        </w:rPr>
        <w:t>(</w:t>
      </w:r>
      <w:r w:rsidR="00E0446C">
        <w:rPr>
          <w:b/>
          <w:bCs/>
        </w:rPr>
        <w:t xml:space="preserve">June </w:t>
      </w:r>
      <w:r w:rsidRPr="007204D6" w:rsidR="00DA67B8">
        <w:rPr>
          <w:b/>
          <w:bCs/>
        </w:rPr>
        <w:t>202</w:t>
      </w:r>
      <w:r w:rsidR="00C54F9D">
        <w:rPr>
          <w:b/>
          <w:bCs/>
        </w:rPr>
        <w:t>3</w:t>
      </w:r>
      <w:r w:rsidRPr="007204D6">
        <w:rPr>
          <w:b/>
          <w:bCs/>
        </w:rPr>
        <w:t>)</w:t>
      </w:r>
    </w:p>
    <w:p w:rsidR="00981525" w:rsidP="00981525" w14:paraId="502036C7" w14:textId="77777777">
      <w:pPr>
        <w:widowControl/>
        <w:rPr>
          <w:b/>
          <w:bCs/>
        </w:rPr>
      </w:pPr>
    </w:p>
    <w:p w:rsidR="004A7D50" w:rsidRPr="0090397B" w:rsidP="004A7D50" w14:paraId="4C3415A6" w14:textId="68780A8F">
      <w:pPr>
        <w:rPr>
          <w:bCs/>
        </w:rPr>
      </w:pPr>
      <w:r w:rsidRPr="0090397B">
        <w:rPr>
          <w:bCs/>
        </w:rPr>
        <w:t>This</w:t>
      </w:r>
      <w:r w:rsidR="008930D7">
        <w:rPr>
          <w:bCs/>
        </w:rPr>
        <w:t xml:space="preserve"> is an extension request for a currently approved data collection.</w:t>
      </w:r>
      <w:r w:rsidRPr="0090397B">
        <w:rPr>
          <w:bCs/>
        </w:rPr>
        <w:t xml:space="preserve"> </w:t>
      </w:r>
    </w:p>
    <w:p w:rsidR="00165F23" w:rsidRPr="0090397B" w:rsidP="00165F23" w14:paraId="052F6ABC" w14:textId="77777777">
      <w:pPr>
        <w:widowControl/>
        <w:rPr>
          <w:b/>
          <w:bCs/>
        </w:rPr>
      </w:pPr>
    </w:p>
    <w:p w:rsidR="00866A7D" w:rsidRPr="0090397B" w:rsidP="00165F23" w14:paraId="071E5138" w14:textId="38AF5FBB">
      <w:pPr>
        <w:widowControl/>
      </w:pPr>
      <w:r w:rsidRPr="0090397B">
        <w:rPr>
          <w:b/>
          <w:bCs/>
        </w:rPr>
        <w:t>A</w:t>
      </w:r>
      <w:r w:rsidR="008930D7">
        <w:rPr>
          <w:b/>
          <w:bCs/>
        </w:rPr>
        <w:t>.</w:t>
      </w:r>
      <w:r w:rsidRPr="0090397B">
        <w:rPr>
          <w:b/>
          <w:bCs/>
        </w:rPr>
        <w:t xml:space="preserve"> JUSTIFICATION</w:t>
      </w:r>
    </w:p>
    <w:p w:rsidR="00866A7D" w:rsidRPr="0090397B" w:rsidP="00866A7D" w14:paraId="311E772F" w14:textId="77777777">
      <w:pPr>
        <w:widowControl/>
      </w:pPr>
    </w:p>
    <w:p w:rsidR="00866A7D" w:rsidRPr="007204D6" w:rsidP="007204D6" w14:paraId="78CF157F" w14:textId="20CA09F2">
      <w:pPr>
        <w:pStyle w:val="ListParagraph"/>
        <w:widowControl/>
        <w:numPr>
          <w:ilvl w:val="0"/>
          <w:numId w:val="20"/>
        </w:numPr>
        <w:rPr>
          <w:b/>
          <w:bCs/>
        </w:rPr>
      </w:pPr>
      <w:r w:rsidRPr="007204D6">
        <w:rPr>
          <w:b/>
          <w:bCs/>
        </w:rPr>
        <w:t>Explain the circumstances that make the collection of information necessary. Identify any legal or administrative requirements that necessitate the collection.</w:t>
      </w:r>
      <w:r w:rsidR="00592C49">
        <w:rPr>
          <w:b/>
          <w:bCs/>
        </w:rPr>
        <w:t xml:space="preserve"> </w:t>
      </w:r>
      <w:r w:rsidRPr="007204D6">
        <w:rPr>
          <w:b/>
          <w:bCs/>
        </w:rPr>
        <w:t>Attach a copy of the appropriate section of each statute and regulation mandating or authorizing the collection of information.</w:t>
      </w:r>
    </w:p>
    <w:p w:rsidR="00866A7D" w:rsidRPr="0090397B" w:rsidP="00866A7D" w14:paraId="3B7897A8" w14:textId="77777777">
      <w:pPr>
        <w:widowControl/>
      </w:pPr>
    </w:p>
    <w:p w:rsidR="00866A7D" w:rsidRPr="0090397B" w:rsidP="00866A7D" w14:paraId="1C5EDEE0" w14:textId="1FDD3B93">
      <w:pPr>
        <w:widowControl/>
      </w:pPr>
      <w:r w:rsidRPr="0090397B">
        <w:t>The main objective of the Occupational Safety and Health Act of 1970 (</w:t>
      </w:r>
      <w:r w:rsidRPr="0090397B" w:rsidR="006C67F4">
        <w:t>OSH</w:t>
      </w:r>
      <w:r w:rsidRPr="0090397B">
        <w:t xml:space="preserve"> Act</w:t>
      </w:r>
      <w:r w:rsidR="008930D7">
        <w:t xml:space="preserve"> or Act</w:t>
      </w:r>
      <w:r w:rsidRPr="0090397B">
        <w:t>) is to “assure so far as possible every working man and woman in the Nation safe and healthful working conditions and to preserve our human resources” (29 U.S.C. 651)</w:t>
      </w:r>
      <w:r w:rsidRPr="0090397B" w:rsidR="00145433">
        <w:t>.</w:t>
      </w:r>
      <w:r w:rsidRPr="0090397B">
        <w:t xml:space="preserve"> To achieve this objective, the </w:t>
      </w:r>
      <w:r w:rsidRPr="0090397B" w:rsidR="006C67F4">
        <w:t xml:space="preserve">OSH </w:t>
      </w:r>
      <w:r w:rsidRPr="0090397B">
        <w:t xml:space="preserve">Act </w:t>
      </w:r>
      <w:r w:rsidR="008930D7">
        <w:t xml:space="preserve">specifically </w:t>
      </w:r>
      <w:r w:rsidRPr="0090397B">
        <w:t>authorizes</w:t>
      </w:r>
      <w:r w:rsidR="008930D7">
        <w:t xml:space="preserve"> “the development and promulgation of occupational safety and health standards” (29 U.S.C. 651). Specifically, the Act states that</w:t>
      </w:r>
      <w:r w:rsidRPr="0090397B">
        <w:t xml:space="preserve"> “</w:t>
      </w:r>
      <w:r w:rsidR="008930D7">
        <w:t>[</w:t>
      </w:r>
      <w:r w:rsidRPr="0090397B">
        <w:t>t</w:t>
      </w:r>
      <w:r w:rsidR="008930D7">
        <w:t>]</w:t>
      </w:r>
      <w:r w:rsidRPr="0090397B">
        <w:t xml:space="preserve">he </w:t>
      </w:r>
      <w:r w:rsidRPr="0090397B" w:rsidR="00022613">
        <w:t>Secretary</w:t>
      </w:r>
      <w:r w:rsidR="008930D7">
        <w:t xml:space="preserve"> shall set the standard which most adequately assures, to the extent feasible . . . that no worker will suffer material impairment of health or function capacity . . .” (29 U.S.C. 655).</w:t>
      </w:r>
      <w:r w:rsidR="00592C49">
        <w:t xml:space="preserve"> </w:t>
      </w:r>
    </w:p>
    <w:p w:rsidR="00866A7D" w:rsidRPr="0090397B" w:rsidP="00866A7D" w14:paraId="7E98FEDA" w14:textId="77777777">
      <w:pPr>
        <w:widowControl/>
      </w:pPr>
    </w:p>
    <w:p w:rsidR="00866A7D" w:rsidRPr="0090397B" w:rsidP="00866A7D" w14:paraId="4E75FC56" w14:textId="633889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cs="Shruti"/>
        </w:rPr>
        <w:t xml:space="preserve">The </w:t>
      </w:r>
      <w:r w:rsidRPr="0090397B" w:rsidR="006C67F4">
        <w:rPr>
          <w:rFonts w:cs="Shruti"/>
        </w:rPr>
        <w:t xml:space="preserve">OSH </w:t>
      </w:r>
      <w:r w:rsidRPr="0090397B">
        <w:rPr>
          <w:rFonts w:cs="Shruti"/>
        </w:rPr>
        <w:t xml:space="preserve">Act specifies that “[a]ny standard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w:t>
      </w:r>
      <w:r w:rsidRPr="0090397B" w:rsidR="00022613">
        <w:rPr>
          <w:rFonts w:cs="Shruti"/>
        </w:rPr>
        <w:t xml:space="preserve">(29 U.S.C. 655). </w:t>
      </w:r>
      <w:r w:rsidRPr="0090397B">
        <w:rPr>
          <w:rFonts w:cs="Shruti"/>
        </w:rPr>
        <w:t>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w:t>
      </w:r>
      <w:r w:rsidRPr="0090397B" w:rsidR="000A4FCB">
        <w:rPr>
          <w:rFonts w:cs="Shruti"/>
        </w:rPr>
        <w:t>.</w:t>
      </w:r>
    </w:p>
    <w:p w:rsidR="00866A7D" w:rsidRPr="0090397B" w:rsidP="00866A7D" w14:paraId="1F5E54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B2299" w:rsidRPr="0090397B" w:rsidP="00866A7D" w14:paraId="00ECA7DF" w14:textId="5AFF2C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0397B">
        <w:t>Regarding recordkeeping, the</w:t>
      </w:r>
      <w:r w:rsidRPr="0090397B" w:rsidR="006C67F4">
        <w:t xml:space="preserve"> OSH</w:t>
      </w:r>
      <w:r w:rsidRPr="0090397B">
        <w:t xml:space="preserve"> Act specifies that “[e]ach employer shall make, keep and preserve, and make available to the Secretary </w:t>
      </w:r>
      <w:r w:rsidRPr="0090397B" w:rsidR="0089039F">
        <w:t xml:space="preserve">. . . </w:t>
      </w:r>
      <w:r w:rsidRPr="0090397B">
        <w:t xml:space="preserve">such records </w:t>
      </w:r>
      <w:r w:rsidRPr="0090397B" w:rsidR="0089039F">
        <w:t>. . .</w:t>
      </w:r>
      <w:r w:rsidRPr="0090397B">
        <w:t xml:space="preserve"> as the Secretary </w:t>
      </w:r>
      <w:r w:rsidRPr="0090397B" w:rsidR="0089039F">
        <w:t xml:space="preserve">. . . </w:t>
      </w:r>
      <w:r w:rsidRPr="0090397B">
        <w:t>may prescribe by regulation as necessary</w:t>
      </w:r>
      <w:r w:rsidRPr="0090397B" w:rsidR="00A85317">
        <w:t xml:space="preserve"> or appropriate for the enforcement of this Act </w:t>
      </w:r>
      <w:r w:rsidRPr="0090397B" w:rsidR="0089039F">
        <w:t>. . .</w:t>
      </w:r>
      <w:r w:rsidRPr="0090397B" w:rsidR="00A85317">
        <w:t xml:space="preserve">” (29 U.S.C. 657). The Act states further that “[t]he Secretary </w:t>
      </w:r>
      <w:r w:rsidRPr="0090397B" w:rsidR="0089039F">
        <w:t xml:space="preserve">. . . </w:t>
      </w:r>
      <w:r w:rsidRPr="0090397B" w:rsidR="00A85317">
        <w:t>shall prescribe such rules and regulations as [</w:t>
      </w:r>
      <w:r w:rsidR="0007504D">
        <w:t>they</w:t>
      </w:r>
      <w:r w:rsidRPr="0090397B" w:rsidR="00A85317">
        <w:t>] may deem necessary to carry out [</w:t>
      </w:r>
      <w:r w:rsidR="0007504D">
        <w:t>their</w:t>
      </w:r>
      <w:r w:rsidRPr="0090397B" w:rsidR="00A85317">
        <w:t>]</w:t>
      </w:r>
      <w:r w:rsidRPr="0090397B" w:rsidR="00B03763">
        <w:t xml:space="preserve"> </w:t>
      </w:r>
      <w:r w:rsidRPr="0090397B" w:rsidR="00A85317">
        <w:t>responsibilities under this Act, including rules and regulations dealing with the inspection of an employer’s establishment” (29 U.S.C. 657).</w:t>
      </w:r>
    </w:p>
    <w:p w:rsidR="004B2299" w:rsidRPr="0090397B" w:rsidP="00866A7D" w14:paraId="11F0CA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7504D" w:rsidP="00866A7D" w14:paraId="238A6959" w14:textId="0EDF78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A67B8">
        <w:t xml:space="preserve">Under </w:t>
      </w:r>
      <w:r>
        <w:t>its statutory</w:t>
      </w:r>
      <w:r w:rsidRPr="00DA67B8">
        <w:t xml:space="preserve"> authority, the Occupational Safety and Health Administration (OSHA or </w:t>
      </w:r>
      <w:r w:rsidRPr="00DA67B8" w:rsidR="006C3297">
        <w:t>agency</w:t>
      </w:r>
      <w:r w:rsidRPr="00DA67B8" w:rsidR="00A85317">
        <w:t xml:space="preserve">) </w:t>
      </w:r>
      <w:r w:rsidRPr="00DA67B8" w:rsidR="004E5D92">
        <w:t>issued</w:t>
      </w:r>
      <w:r w:rsidRPr="00DA67B8" w:rsidR="00FA4CC6">
        <w:t xml:space="preserve"> the walking and working surfaces standard for general industry (29 CFR part </w:t>
      </w:r>
      <w:r w:rsidRPr="00DA67B8" w:rsidR="00FA4CC6">
        <w:t>1910, subpart D).</w:t>
      </w:r>
      <w:r w:rsidR="004573D2">
        <w:t xml:space="preserve"> </w:t>
      </w:r>
      <w:r w:rsidR="006139F3">
        <w:t>Subpart D</w:t>
      </w:r>
      <w:r w:rsidR="004573D2">
        <w:t xml:space="preserve"> applies to all walking and working surfaces </w:t>
      </w:r>
      <w:r w:rsidR="003C5631">
        <w:t xml:space="preserve">operations conducted by employers involved in procedures that prevent injury and death among </w:t>
      </w:r>
      <w:r w:rsidR="00763202">
        <w:t xml:space="preserve">workers who work with or near </w:t>
      </w:r>
      <w:r w:rsidR="004961BE">
        <w:t>ladders, rope descent systems, and unprotected siding and edging.</w:t>
      </w:r>
      <w:r w:rsidR="00592C49">
        <w:t xml:space="preserve"> </w:t>
      </w:r>
    </w:p>
    <w:p w:rsidR="0007504D" w:rsidP="00866A7D" w14:paraId="512F32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66A7D" w:rsidRPr="0090397B" w:rsidP="00866A7D" w14:paraId="5D85910C" w14:textId="085E18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A67B8">
        <w:t>Item</w:t>
      </w:r>
      <w:r w:rsidRPr="00DA67B8" w:rsidR="000A4FCB">
        <w:t>s</w:t>
      </w:r>
      <w:r w:rsidRPr="00DA67B8">
        <w:t xml:space="preserve"> 2 and 12 below describe the specific collection requirements</w:t>
      </w:r>
      <w:r w:rsidR="0007504D">
        <w:t xml:space="preserve"> of the standard.</w:t>
      </w:r>
      <w:r>
        <w:rPr>
          <w:rStyle w:val="FootnoteReference"/>
          <w:bCs/>
          <w:vertAlign w:val="superscript"/>
        </w:rPr>
        <w:footnoteReference w:id="3"/>
      </w:r>
    </w:p>
    <w:p w:rsidR="00866A7D" w:rsidRPr="0090397B" w:rsidP="00866A7D" w14:paraId="681A63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66A7D" w:rsidRPr="0090397B" w:rsidP="00064CD1" w14:paraId="576D90D9" w14:textId="3197BE86">
      <w:pPr>
        <w:pStyle w:val="ListParagraph"/>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64CD1">
        <w:rPr>
          <w:b/>
          <w:bCs/>
        </w:rPr>
        <w:t>Indicate how, by whom, and for what purpose the information is to be used.</w:t>
      </w:r>
      <w:r w:rsidR="00592C49">
        <w:rPr>
          <w:b/>
          <w:bCs/>
        </w:rPr>
        <w:t xml:space="preserve"> </w:t>
      </w:r>
      <w:r w:rsidRPr="00064CD1">
        <w:rPr>
          <w:b/>
          <w:bCs/>
        </w:rPr>
        <w:t xml:space="preserve">Except for a new collection, indicate the actual use the </w:t>
      </w:r>
      <w:r w:rsidRPr="00064CD1" w:rsidR="00951A75">
        <w:rPr>
          <w:b/>
          <w:bCs/>
        </w:rPr>
        <w:t>a</w:t>
      </w:r>
      <w:r w:rsidRPr="00064CD1">
        <w:rPr>
          <w:b/>
          <w:bCs/>
        </w:rPr>
        <w:t>gency has made of the information received from the current collection.</w:t>
      </w:r>
    </w:p>
    <w:p w:rsidR="000E4F6B" w:rsidRPr="0090397B" w:rsidP="00866A7D" w14:paraId="215AC1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000E4F6B" w:rsidRPr="0090397B" w:rsidP="000E4F6B" w14:paraId="31CBAD0D" w14:textId="274C66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following discussion details the collection of information requirements contained in the standard.</w:t>
      </w:r>
    </w:p>
    <w:p w:rsidR="00866A7D" w:rsidRPr="0090397B" w:rsidP="00866A7D" w14:paraId="6DBA91EE" w14:textId="77777777">
      <w:pPr>
        <w:rPr>
          <w:b/>
        </w:rPr>
      </w:pPr>
    </w:p>
    <w:p w:rsidR="00866A7D" w:rsidRPr="0090397B" w:rsidP="00866A7D" w14:paraId="297D38DF" w14:textId="3F0C1049">
      <w:pPr>
        <w:rPr>
          <w:b/>
        </w:rPr>
      </w:pPr>
      <w:r w:rsidRPr="0090397B">
        <w:rPr>
          <w:b/>
        </w:rPr>
        <w:t>L</w:t>
      </w:r>
      <w:r w:rsidRPr="0090397B" w:rsidR="004F62D0">
        <w:rPr>
          <w:b/>
        </w:rPr>
        <w:t>adders</w:t>
      </w:r>
      <w:r w:rsidR="00F952EE">
        <w:rPr>
          <w:b/>
        </w:rPr>
        <w:t xml:space="preserve">, </w:t>
      </w:r>
      <w:r w:rsidRPr="0090397B">
        <w:rPr>
          <w:b/>
        </w:rPr>
        <w:t>G</w:t>
      </w:r>
      <w:r w:rsidRPr="0090397B" w:rsidR="004F62D0">
        <w:rPr>
          <w:b/>
        </w:rPr>
        <w:t xml:space="preserve">eneral Requirements for </w:t>
      </w:r>
      <w:r w:rsidRPr="0090397B" w:rsidR="00B03763">
        <w:rPr>
          <w:b/>
        </w:rPr>
        <w:t>A</w:t>
      </w:r>
      <w:r w:rsidRPr="0090397B" w:rsidR="004F62D0">
        <w:rPr>
          <w:b/>
        </w:rPr>
        <w:t>ll Ladders</w:t>
      </w:r>
      <w:r w:rsidR="001B64B8">
        <w:rPr>
          <w:b/>
        </w:rPr>
        <w:t xml:space="preserve"> </w:t>
      </w:r>
      <w:r w:rsidR="00F952EE">
        <w:rPr>
          <w:b/>
        </w:rPr>
        <w:t>(</w:t>
      </w:r>
      <w:r w:rsidRPr="0090397B" w:rsidR="00F952EE">
        <w:rPr>
          <w:b/>
        </w:rPr>
        <w:t>§</w:t>
      </w:r>
      <w:r w:rsidR="00F952EE">
        <w:rPr>
          <w:b/>
        </w:rPr>
        <w:t xml:space="preserve"> </w:t>
      </w:r>
      <w:r w:rsidRPr="0090397B" w:rsidR="00F952EE">
        <w:rPr>
          <w:b/>
        </w:rPr>
        <w:t>1910.23(b)(10)</w:t>
      </w:r>
      <w:r w:rsidR="00F952EE">
        <w:rPr>
          <w:b/>
        </w:rPr>
        <w:t>)</w:t>
      </w:r>
    </w:p>
    <w:p w:rsidR="00866A7D" w:rsidRPr="0090397B" w:rsidP="00866A7D" w14:paraId="43FB7B95" w14:textId="58EA0253">
      <w:pPr>
        <w:rPr>
          <w:b/>
        </w:rPr>
      </w:pPr>
    </w:p>
    <w:p w:rsidR="002715A8" w:rsidP="004F62D0" w14:paraId="340F6FEB" w14:textId="19F6F434">
      <w:r>
        <w:t xml:space="preserve">Any ladder with structural or other defects is immediately tagged “Dangerous: Do Not Use” or with similar language in accordance with </w:t>
      </w:r>
      <w:r w:rsidRPr="0090397B" w:rsidR="0063746F">
        <w:t>§</w:t>
      </w:r>
      <w:r w:rsidR="0063746F">
        <w:t xml:space="preserve"> 1910.145 and removed from service until repaired in accordance with </w:t>
      </w:r>
      <w:r w:rsidRPr="0090397B" w:rsidR="0063746F">
        <w:t>§</w:t>
      </w:r>
      <w:r w:rsidR="0063746F">
        <w:t xml:space="preserve"> 1910.22(d), or replaced. </w:t>
      </w:r>
    </w:p>
    <w:p w:rsidR="0063746F" w:rsidP="004F62D0" w14:paraId="05824B4A" w14:textId="6A427BB0"/>
    <w:p w:rsidR="0063746F" w:rsidP="004F62D0" w14:paraId="13900255" w14:textId="55028289">
      <w:r>
        <w:t xml:space="preserve">Purpose: The information provided through this posting </w:t>
      </w:r>
      <w:r w:rsidR="003017F1">
        <w:t xml:space="preserve">will alert employers and workers that the ladder is not safe and must not be used. </w:t>
      </w:r>
    </w:p>
    <w:p w:rsidR="00600C47" w:rsidRPr="0090397B" w:rsidP="00866A7D" w14:paraId="7FB5FE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F3135" w:rsidRPr="0090397B" w:rsidP="00866A7D" w14:paraId="03F481D5" w14:textId="3A9B04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90397B">
        <w:rPr>
          <w:b/>
        </w:rPr>
        <w:t>Rope De</w:t>
      </w:r>
      <w:r w:rsidRPr="0090397B" w:rsidR="009068DB">
        <w:rPr>
          <w:b/>
        </w:rPr>
        <w:t>s</w:t>
      </w:r>
      <w:r w:rsidRPr="0090397B">
        <w:rPr>
          <w:b/>
        </w:rPr>
        <w:t>cent Systems</w:t>
      </w:r>
      <w:r w:rsidR="003017F1">
        <w:rPr>
          <w:b/>
        </w:rPr>
        <w:t xml:space="preserve">, </w:t>
      </w:r>
      <w:r w:rsidRPr="0090397B">
        <w:rPr>
          <w:b/>
        </w:rPr>
        <w:t>Anchorages</w:t>
      </w:r>
      <w:r w:rsidR="003017F1">
        <w:rPr>
          <w:b/>
        </w:rPr>
        <w:t xml:space="preserve"> (</w:t>
      </w:r>
      <w:r w:rsidRPr="0090397B" w:rsidR="003017F1">
        <w:rPr>
          <w:b/>
        </w:rPr>
        <w:t>§</w:t>
      </w:r>
      <w:r w:rsidR="003017F1">
        <w:rPr>
          <w:b/>
        </w:rPr>
        <w:t xml:space="preserve"> </w:t>
      </w:r>
      <w:r w:rsidRPr="0090397B" w:rsidR="003017F1">
        <w:rPr>
          <w:b/>
        </w:rPr>
        <w:t>1910.27(b)(1)</w:t>
      </w:r>
      <w:r w:rsidR="003017F1">
        <w:rPr>
          <w:b/>
        </w:rPr>
        <w:t>)</w:t>
      </w:r>
    </w:p>
    <w:p w:rsidR="007F3135" w:rsidP="00866A7D" w14:paraId="56258AD7" w14:textId="5BA3F1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9D53FD" w:rsidRPr="002577BE" w:rsidP="699E42F7" w14:paraId="3B6756D6" w14:textId="68CDF6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r w:rsidRPr="699E42F7">
        <w:rPr>
          <w:i/>
          <w:iCs/>
        </w:rPr>
        <w:t>§ 1910.27(b)(1)(i)</w:t>
      </w:r>
      <w:r w:rsidRPr="699E42F7" w:rsidR="002577BE">
        <w:rPr>
          <w:i/>
          <w:iCs/>
        </w:rPr>
        <w:t xml:space="preserve"> – </w:t>
      </w:r>
      <w:r>
        <w:t>Before any rope descent system is used, the building owner must inform the employer, in writing[,] that the buil</w:t>
      </w:r>
      <w:r w:rsidR="001703D2">
        <w:t>ding owner has identified, tested, certified, and maintained each anchorage so it is capable of supporting at least 5,000 pounds (2,268 kg), in any direction, for each employee attached. The information must be based on an annual inspection by a qualified person and certification of each anchorage by a qualified person, as necessary, and at least every 10 years.</w:t>
      </w:r>
    </w:p>
    <w:p w:rsidR="009D53FD" w:rsidRPr="0090397B" w:rsidP="00866A7D" w14:paraId="3515A1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866A7D" w:rsidRPr="0090397B" w:rsidP="00866A7D" w14:paraId="794C385D" w14:textId="49DE68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D7C21">
        <w:rPr>
          <w:u w:val="single"/>
        </w:rPr>
        <w:t>Purpose</w:t>
      </w:r>
      <w:r>
        <w:t xml:space="preserve">: </w:t>
      </w:r>
      <w:r w:rsidRPr="0090397B" w:rsidR="00135A4C">
        <w:t>Th</w:t>
      </w:r>
      <w:r w:rsidR="00DF60FB">
        <w:t>is</w:t>
      </w:r>
      <w:r w:rsidRPr="0090397B" w:rsidR="00135A4C">
        <w:t xml:space="preserve"> information will assure employers and workers that the building owner has inspected, tested</w:t>
      </w:r>
      <w:r w:rsidR="00DF60FB">
        <w:t>,</w:t>
      </w:r>
      <w:r w:rsidRPr="0090397B" w:rsidR="00135A4C">
        <w:t xml:space="preserve"> and certified the anchorage, which the employer may not own or have any control over, </w:t>
      </w:r>
      <w:r w:rsidR="00DF60FB">
        <w:t>and that the system is</w:t>
      </w:r>
      <w:r w:rsidRPr="0090397B" w:rsidR="00135A4C">
        <w:t xml:space="preserve"> safe to use. </w:t>
      </w:r>
    </w:p>
    <w:p w:rsidR="007F3135" w:rsidRPr="0090397B" w:rsidP="00DD2564" w14:paraId="284EAB3D" w14:textId="77777777">
      <w:pPr>
        <w:rPr>
          <w:b/>
        </w:rPr>
      </w:pPr>
    </w:p>
    <w:p w:rsidR="006E19C2" w:rsidP="00DD2564" w14:paraId="36C54513" w14:textId="05C713A5">
      <w:r w:rsidRPr="002577BE">
        <w:rPr>
          <w:i/>
          <w:iCs/>
        </w:rPr>
        <w:t>§ 1910.27(b)(1)(ii)</w:t>
      </w:r>
      <w:r>
        <w:t xml:space="preserve"> – The employer must ensure that no employee uses any anchorage before the employer has obtained written information from the building owner that each anchorage meets the requirements of paragraph (b)(1)(i) of this section. The employer must keep the information for the duration of the job. </w:t>
      </w:r>
    </w:p>
    <w:p w:rsidR="006E19C2" w:rsidP="00DD2564" w14:paraId="20B4DB48" w14:textId="77777777"/>
    <w:p w:rsidR="007E63F7" w:rsidP="00DD2564" w14:paraId="6D0C01CC" w14:textId="05FB841B">
      <w:r w:rsidRPr="002D7C21">
        <w:rPr>
          <w:u w:val="single"/>
        </w:rPr>
        <w:t>Purpose</w:t>
      </w:r>
      <w:r>
        <w:t xml:space="preserve">: </w:t>
      </w:r>
      <w:r w:rsidRPr="0090397B" w:rsidR="00135A4C">
        <w:t>Th</w:t>
      </w:r>
      <w:r>
        <w:t>is</w:t>
      </w:r>
      <w:r w:rsidRPr="0090397B" w:rsidR="00135A4C">
        <w:t xml:space="preserve"> information will assure employers and workers that the anchorage, which the employer may not own or have any control over, is safe to use.</w:t>
      </w:r>
    </w:p>
    <w:p w:rsidR="00BC7DC5" w:rsidRPr="0090397B" w:rsidP="00936AE5" w14:paraId="2AE82BA4" w14:textId="79FA4D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D7C21">
        <w:rPr>
          <w:b/>
          <w:bCs/>
        </w:rPr>
        <w:t xml:space="preserve">Protection from </w:t>
      </w:r>
      <w:r w:rsidR="00EF3A2A">
        <w:rPr>
          <w:b/>
          <w:bCs/>
        </w:rPr>
        <w:t>F</w:t>
      </w:r>
      <w:r w:rsidRPr="002D7C21">
        <w:rPr>
          <w:b/>
          <w:bCs/>
        </w:rPr>
        <w:t xml:space="preserve">all </w:t>
      </w:r>
      <w:r w:rsidR="00EF3A2A">
        <w:rPr>
          <w:b/>
          <w:bCs/>
        </w:rPr>
        <w:t>H</w:t>
      </w:r>
      <w:r w:rsidRPr="002D7C21">
        <w:rPr>
          <w:b/>
          <w:bCs/>
        </w:rPr>
        <w:t>azards</w:t>
      </w:r>
      <w:r w:rsidRPr="002D7C21" w:rsidR="006E19C2">
        <w:rPr>
          <w:b/>
          <w:bCs/>
        </w:rPr>
        <w:t xml:space="preserve">, </w:t>
      </w:r>
      <w:r w:rsidRPr="002D7C21">
        <w:rPr>
          <w:b/>
        </w:rPr>
        <w:t xml:space="preserve">Unprotected </w:t>
      </w:r>
      <w:r w:rsidR="00CF4002">
        <w:rPr>
          <w:b/>
        </w:rPr>
        <w:t>S</w:t>
      </w:r>
      <w:r w:rsidRPr="002D7C21">
        <w:rPr>
          <w:b/>
        </w:rPr>
        <w:t xml:space="preserve">ides and </w:t>
      </w:r>
      <w:r w:rsidR="00CF4002">
        <w:rPr>
          <w:b/>
        </w:rPr>
        <w:t>E</w:t>
      </w:r>
      <w:r w:rsidRPr="002D7C21">
        <w:rPr>
          <w:b/>
        </w:rPr>
        <w:t>dges</w:t>
      </w:r>
      <w:r w:rsidRPr="006E19C2" w:rsidR="006E19C2">
        <w:rPr>
          <w:b/>
        </w:rPr>
        <w:t xml:space="preserve"> (§ 1910.28(b)(1)(ii))</w:t>
      </w:r>
    </w:p>
    <w:p w:rsidR="00882957" w:rsidRPr="0090397B" w:rsidP="00374DE5" w14:paraId="27DEF2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C7DC5" w:rsidRPr="0090397B" w:rsidP="00936AE5" w14:paraId="2F180E25" w14:textId="4042E3BD">
      <w:r>
        <w:t>W</w:t>
      </w:r>
      <w:r w:rsidRPr="0090397B" w:rsidR="00CB0333">
        <w:t>hen</w:t>
      </w:r>
      <w:r w:rsidRPr="0090397B">
        <w:t xml:space="preserve"> the employer </w:t>
      </w:r>
      <w:r w:rsidRPr="0090397B" w:rsidR="00CB0333">
        <w:t>can</w:t>
      </w:r>
      <w:r w:rsidRPr="0090397B">
        <w:t xml:space="preserve"> demonstrate that it is not feasible or creates a greater hazard to use guardrail, safety net, or personal fall protection systems on residential roofs, the employer must develop and implement a fall protection plan that meets the requirements of 29 CFR 1926.502(k) and training that meets the requirements of 29 CFR 1926.503(a) and (c). </w:t>
      </w:r>
    </w:p>
    <w:p w:rsidR="00866A7D" w:rsidRPr="00374DE5" w:rsidP="00957E94" w14:paraId="48E37B51"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66A7D" w:rsidRPr="00374DE5" w:rsidP="00374DE5" w14:paraId="59FEBAC3" w14:textId="143D7613">
      <w:pPr>
        <w:pStyle w:val="ListParagraph"/>
        <w:widowControl/>
        <w:numPr>
          <w:ilvl w:val="0"/>
          <w:numId w:val="20"/>
        </w:num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74DE5">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592C49">
        <w:rPr>
          <w:b/>
          <w:bCs/>
        </w:rPr>
        <w:t xml:space="preserve"> </w:t>
      </w:r>
      <w:r w:rsidRPr="00374DE5">
        <w:rPr>
          <w:b/>
          <w:bCs/>
        </w:rPr>
        <w:t>Also describe any consideration of using information technology to reduce burden.</w:t>
      </w:r>
    </w:p>
    <w:p w:rsidR="00866A7D" w:rsidRPr="0090397B" w:rsidP="00866A7D" w14:paraId="1C4FB564"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7CB9" w:rsidRPr="0090397B" w:rsidP="699E42F7" w14:paraId="38EE7C0B" w14:textId="458A14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699E42F7">
        <w:rPr>
          <w:rFonts w:cs="Shruti"/>
        </w:rPr>
        <w:t>Except for</w:t>
      </w:r>
      <w:r w:rsidRPr="699E42F7" w:rsidR="008F3009">
        <w:rPr>
          <w:rFonts w:cs="Shruti"/>
        </w:rPr>
        <w:t xml:space="preserve"> §</w:t>
      </w:r>
      <w:r w:rsidRPr="699E42F7" w:rsidR="001D6A4B">
        <w:rPr>
          <w:rFonts w:cs="Shruti"/>
        </w:rPr>
        <w:t xml:space="preserve"> </w:t>
      </w:r>
      <w:r w:rsidRPr="699E42F7" w:rsidR="008F3009">
        <w:rPr>
          <w:rFonts w:cs="Shruti"/>
        </w:rPr>
        <w:t>1910.23(b)(10), e</w:t>
      </w:r>
      <w:r w:rsidRPr="699E42F7">
        <w:rPr>
          <w:rFonts w:cs="Shruti"/>
        </w:rPr>
        <w:t xml:space="preserve">mployers may use automated, electronic, mechanical, or other technological collection techniques, or other forms of information technology (e.g., electronic submission of responses), when establishing and maintaining the required records. </w:t>
      </w:r>
      <w:r w:rsidRPr="699E42F7" w:rsidR="008F3009">
        <w:rPr>
          <w:rFonts w:cs="Shruti"/>
        </w:rPr>
        <w:t>In general, t</w:t>
      </w:r>
      <w:r w:rsidRPr="699E42F7">
        <w:rPr>
          <w:rFonts w:cs="Shruti"/>
        </w:rPr>
        <w:t xml:space="preserve">he </w:t>
      </w:r>
      <w:r w:rsidRPr="699E42F7" w:rsidR="00951A75">
        <w:rPr>
          <w:rFonts w:cs="Shruti"/>
        </w:rPr>
        <w:t>a</w:t>
      </w:r>
      <w:r w:rsidRPr="699E42F7">
        <w:rPr>
          <w:rFonts w:cs="Shruti"/>
        </w:rPr>
        <w:t xml:space="preserve">gency wrote the paperwork requirements of the standards in performance-oriented language </w:t>
      </w:r>
      <w:r w:rsidRPr="699E42F7" w:rsidR="004B5C5C">
        <w:rPr>
          <w:rFonts w:cs="Shruti"/>
        </w:rPr>
        <w:t>(</w:t>
      </w:r>
      <w:r w:rsidRPr="699E42F7">
        <w:rPr>
          <w:rFonts w:cs="Shruti"/>
        </w:rPr>
        <w:t xml:space="preserve">i.e., in terms of </w:t>
      </w:r>
      <w:r w:rsidRPr="699E42F7">
        <w:rPr>
          <w:rFonts w:cs="Shruti"/>
          <w:u w:val="single"/>
        </w:rPr>
        <w:t>what</w:t>
      </w:r>
      <w:r w:rsidRPr="699E42F7">
        <w:rPr>
          <w:rFonts w:cs="Shruti"/>
        </w:rPr>
        <w:t xml:space="preserve"> data to collect, not </w:t>
      </w:r>
      <w:r w:rsidRPr="699E42F7">
        <w:rPr>
          <w:rFonts w:cs="Shruti"/>
          <w:u w:val="single"/>
        </w:rPr>
        <w:t>how</w:t>
      </w:r>
      <w:r w:rsidRPr="699E42F7">
        <w:rPr>
          <w:rFonts w:cs="Shruti"/>
        </w:rPr>
        <w:t xml:space="preserve"> to record the data</w:t>
      </w:r>
      <w:r w:rsidRPr="699E42F7" w:rsidR="004B5C5C">
        <w:rPr>
          <w:rFonts w:cs="Shruti"/>
        </w:rPr>
        <w:t>)</w:t>
      </w:r>
      <w:r>
        <w:t>.</w:t>
      </w:r>
    </w:p>
    <w:p w:rsidR="00DF0993" w:rsidRPr="0090397B" w:rsidP="00866A7D" w14:paraId="30198D1C"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66A7D" w:rsidRPr="0090397B" w:rsidP="00374DE5" w14:paraId="5F474037" w14:textId="2DE9CB2B">
      <w:pPr>
        <w:pStyle w:val="ListParagraph"/>
        <w:widowControl/>
        <w:numPr>
          <w:ilvl w:val="0"/>
          <w:numId w:val="20"/>
        </w:numPr>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74DE5">
        <w:rPr>
          <w:b/>
          <w:bCs/>
        </w:rPr>
        <w:t>Describe efforts to identify duplication.</w:t>
      </w:r>
      <w:r w:rsidR="00592C49">
        <w:rPr>
          <w:b/>
          <w:bCs/>
        </w:rPr>
        <w:t xml:space="preserve"> </w:t>
      </w:r>
      <w:r w:rsidRPr="00374DE5">
        <w:rPr>
          <w:b/>
          <w:bCs/>
        </w:rPr>
        <w:t xml:space="preserve">Show specifically why any similar information already available cannot be used or modified for use for the purpose(s) described in </w:t>
      </w:r>
      <w:r w:rsidRPr="00374DE5" w:rsidR="00D57D66">
        <w:rPr>
          <w:b/>
          <w:bCs/>
        </w:rPr>
        <w:t xml:space="preserve">Item </w:t>
      </w:r>
      <w:r w:rsidRPr="00374DE5">
        <w:rPr>
          <w:b/>
          <w:bCs/>
        </w:rPr>
        <w:t>2 above.</w:t>
      </w:r>
    </w:p>
    <w:p w:rsidR="00866A7D" w:rsidRPr="0090397B" w:rsidP="00866A7D" w14:paraId="4B775E0A"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17656" w:rsidRPr="0090397B" w:rsidP="00866A7D" w14:paraId="3DFA2700" w14:textId="6E37C7D8">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r>
        <w:t>The information collection requirement</w:t>
      </w:r>
      <w:r w:rsidR="0072794B">
        <w:t>s</w:t>
      </w:r>
      <w:r>
        <w:t xml:space="preserve"> </w:t>
      </w:r>
      <w:r w:rsidR="00205950">
        <w:t>contained</w:t>
      </w:r>
      <w:r w:rsidR="002E2E9D">
        <w:t xml:space="preserve"> in subpart D </w:t>
      </w:r>
      <w:r w:rsidR="00531836">
        <w:t>are</w:t>
      </w:r>
      <w:r>
        <w:t xml:space="preserve"> specific to each employer and worker involved, and no other source or agency duplicates th</w:t>
      </w:r>
      <w:r w:rsidR="0072794B">
        <w:t>ese</w:t>
      </w:r>
      <w:r>
        <w:t xml:space="preserve"> requirement</w:t>
      </w:r>
      <w:r w:rsidR="0072794B">
        <w:t>s</w:t>
      </w:r>
      <w:r w:rsidR="00781859">
        <w:t>.</w:t>
      </w:r>
      <w:r>
        <w:t xml:space="preserve"> </w:t>
      </w:r>
    </w:p>
    <w:p w:rsidR="00356039" w:rsidRPr="0090397B" w:rsidP="00866A7D" w14:paraId="12E0DFAF"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66A7D" w:rsidRPr="00374DE5" w:rsidP="00374DE5" w14:paraId="57F20388" w14:textId="4B289284">
      <w:pPr>
        <w:pStyle w:val="ListParagraph"/>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374DE5">
        <w:rPr>
          <w:b/>
          <w:bCs/>
        </w:rPr>
        <w:t xml:space="preserve">If the collection of information impacts small businesses or other small entities, describe </w:t>
      </w:r>
      <w:r w:rsidRPr="00374DE5" w:rsidR="00D57D66">
        <w:rPr>
          <w:b/>
          <w:bCs/>
        </w:rPr>
        <w:t>any</w:t>
      </w:r>
      <w:r w:rsidRPr="00374DE5">
        <w:rPr>
          <w:b/>
          <w:bCs/>
        </w:rPr>
        <w:t xml:space="preserve"> methods used to </w:t>
      </w:r>
      <w:r w:rsidRPr="00374DE5" w:rsidR="00D57D66">
        <w:rPr>
          <w:b/>
          <w:bCs/>
        </w:rPr>
        <w:t xml:space="preserve">minimize </w:t>
      </w:r>
      <w:r w:rsidRPr="00374DE5">
        <w:rPr>
          <w:b/>
          <w:bCs/>
        </w:rPr>
        <w:t>burden.</w:t>
      </w:r>
    </w:p>
    <w:p w:rsidR="00866A7D" w:rsidRPr="0090397B" w:rsidP="00866A7D" w14:paraId="7A7E52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cs="Shruti"/>
        </w:rPr>
      </w:pPr>
    </w:p>
    <w:p w:rsidR="00866A7D" w:rsidRPr="0090397B" w:rsidP="699E42F7" w14:paraId="5B3A2BA7" w14:textId="601D52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w:t>
      </w:r>
      <w:r w:rsidR="00C40A25">
        <w:t>collection of information</w:t>
      </w:r>
      <w:r w:rsidR="00BC2276">
        <w:t xml:space="preserve"> is</w:t>
      </w:r>
      <w:r>
        <w:t xml:space="preserve"> an equal obligation to all affected employers. The information collection requirements contained in this standard do not have a significant impact on a substantial number of small entities. </w:t>
      </w:r>
    </w:p>
    <w:p w:rsidR="00866A7D" w:rsidRPr="0090397B" w:rsidP="00866A7D" w14:paraId="61A988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cs="Shruti"/>
        </w:rPr>
      </w:pPr>
    </w:p>
    <w:p w:rsidR="00866A7D" w:rsidRPr="0090397B" w:rsidP="00210E7F" w14:paraId="3FEC201F" w14:textId="3F61FF9C">
      <w:pPr>
        <w:pStyle w:val="ListParagraph"/>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74DE5">
        <w:rPr>
          <w:b/>
          <w:bCs/>
        </w:rPr>
        <w:t xml:space="preserve">Describe the consequence to Federal program or policy activities if the collection is </w:t>
      </w:r>
      <w:r w:rsidRPr="00374DE5" w:rsidR="00D57D66">
        <w:rPr>
          <w:b/>
          <w:bCs/>
        </w:rPr>
        <w:t xml:space="preserve">not conducted </w:t>
      </w:r>
      <w:r w:rsidRPr="00374DE5">
        <w:rPr>
          <w:b/>
          <w:bCs/>
        </w:rPr>
        <w:t xml:space="preserve">or is conducted less frequently, </w:t>
      </w:r>
      <w:r w:rsidRPr="00374DE5" w:rsidR="004128BA">
        <w:rPr>
          <w:b/>
          <w:bCs/>
        </w:rPr>
        <w:t>as well as an</w:t>
      </w:r>
      <w:r w:rsidRPr="00374DE5">
        <w:rPr>
          <w:b/>
          <w:bCs/>
        </w:rPr>
        <w:t>y technical or legal obstacles to reducing burden.</w:t>
      </w:r>
    </w:p>
    <w:p w:rsidR="00866A7D" w:rsidRPr="0090397B" w:rsidP="00866A7D" w14:paraId="60991A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66A7D" w:rsidRPr="0090397B" w:rsidP="699E42F7" w14:paraId="6C9E81E0" w14:textId="2E53DDC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w:t>
      </w:r>
      <w:r w:rsidR="00951A75">
        <w:t>a</w:t>
      </w:r>
      <w:r>
        <w:t>gency believes that the information</w:t>
      </w:r>
      <w:r w:rsidR="00F801D9">
        <w:t xml:space="preserve"> </w:t>
      </w:r>
      <w:r>
        <w:t>collection frequ</w:t>
      </w:r>
      <w:r w:rsidR="007E4D48">
        <w:t xml:space="preserve">encies </w:t>
      </w:r>
      <w:r w:rsidR="00D8614E">
        <w:t>require</w:t>
      </w:r>
      <w:r w:rsidR="000A696D">
        <w:t xml:space="preserve">d by the standard </w:t>
      </w:r>
      <w:r w:rsidR="0036270A">
        <w:t>are</w:t>
      </w:r>
      <w:r>
        <w:t xml:space="preserve"> the minimum frequencies necessary to effectively </w:t>
      </w:r>
      <w:r w:rsidR="00B5752C">
        <w:t>prevent</w:t>
      </w:r>
      <w:r>
        <w:t xml:space="preserve"> employee exposure to </w:t>
      </w:r>
      <w:r w:rsidR="006818F3">
        <w:t>hazards</w:t>
      </w:r>
      <w:r>
        <w:t xml:space="preserve"> and</w:t>
      </w:r>
      <w:r w:rsidR="00B5752C">
        <w:t>,</w:t>
      </w:r>
      <w:r>
        <w:t xml:space="preserve"> thereby</w:t>
      </w:r>
      <w:r w:rsidR="00F801D9">
        <w:t>,</w:t>
      </w:r>
      <w:r>
        <w:t xml:space="preserve"> fulfill its mandate “to assure so far as possible every working man and woman in the Nation safe and healthful working conditions and to preserve our human resources” </w:t>
      </w:r>
      <w:r w:rsidR="00D8614E">
        <w:t>(</w:t>
      </w:r>
      <w:r w:rsidR="00220ED3">
        <w:t>29 U.S.C. 651</w:t>
      </w:r>
      <w:r w:rsidR="00D8614E">
        <w:t>)</w:t>
      </w:r>
      <w:r w:rsidR="00220ED3">
        <w:t>.</w:t>
      </w:r>
      <w:r w:rsidR="0036270A">
        <w:t xml:space="preserve"> Accordingly, if employers do not perform the required information collections, or delay in providing this information, workers may be at risk of serious injuries or death. </w:t>
      </w:r>
    </w:p>
    <w:p w:rsidR="00866A7D" w:rsidP="00866A7D" w14:paraId="17E958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078D8" w:rsidRPr="0090397B" w:rsidP="00866A7D" w14:paraId="0A21A8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66A7D" w:rsidRPr="0090397B" w:rsidP="00210E7F" w14:paraId="6E025B04" w14:textId="27098C25">
      <w:pPr>
        <w:pStyle w:val="ListParagraph"/>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10E7F">
        <w:rPr>
          <w:b/>
          <w:bCs/>
        </w:rPr>
        <w:t>Explain any special circumstances that would cause an information collection to be conducted in a manner:</w:t>
      </w:r>
    </w:p>
    <w:p w:rsidR="00866A7D" w:rsidRPr="0090397B" w:rsidP="00866A7D" w14:paraId="6B6A8E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66A7D" w:rsidRPr="0090397B" w:rsidP="00210E7F" w14:paraId="71EF9394" w14:textId="22684BD2">
      <w:pPr>
        <w:widowControl/>
        <w:numPr>
          <w:ilvl w:val="0"/>
          <w:numId w:val="1"/>
        </w:numPr>
        <w:tabs>
          <w:tab w:val="left" w:pos="-1080"/>
          <w:tab w:val="left" w:pos="-720"/>
          <w:tab w:val="left" w:pos="0"/>
          <w:tab w:val="clear" w:pos="720"/>
          <w:tab w:val="left" w:pos="990"/>
          <w:tab w:val="num" w:pos="1350"/>
          <w:tab w:val="left" w:pos="2160"/>
        </w:tabs>
        <w:ind w:left="1350"/>
        <w:rPr>
          <w:b/>
          <w:bCs/>
        </w:rPr>
      </w:pPr>
      <w:r>
        <w:rPr>
          <w:b/>
          <w:bCs/>
        </w:rPr>
        <w:t>R</w:t>
      </w:r>
      <w:r w:rsidRPr="0090397B">
        <w:rPr>
          <w:b/>
          <w:bCs/>
        </w:rPr>
        <w:t>equiring respondents to report information to the agency more often than quarterly;</w:t>
      </w:r>
    </w:p>
    <w:p w:rsidR="00866A7D" w:rsidRPr="0090397B" w:rsidP="00210E7F" w14:paraId="0EFD78CC" w14:textId="77777777">
      <w:pPr>
        <w:pStyle w:val="Level1"/>
        <w:widowControl/>
        <w:tabs>
          <w:tab w:val="left" w:pos="-1080"/>
          <w:tab w:val="left" w:pos="-720"/>
          <w:tab w:val="left" w:pos="0"/>
          <w:tab w:val="left" w:pos="720"/>
          <w:tab w:val="left" w:pos="990"/>
          <w:tab w:val="left" w:pos="2160"/>
        </w:tabs>
        <w:ind w:left="1350" w:firstLine="0"/>
        <w:rPr>
          <w:b/>
          <w:bCs/>
        </w:rPr>
      </w:pPr>
    </w:p>
    <w:p w:rsidR="00866A7D" w:rsidRPr="0090397B" w:rsidP="00210E7F" w14:paraId="2D0FF078" w14:textId="7F409085">
      <w:pPr>
        <w:pStyle w:val="Level1"/>
        <w:widowControl/>
        <w:numPr>
          <w:ilvl w:val="0"/>
          <w:numId w:val="1"/>
        </w:numPr>
        <w:tabs>
          <w:tab w:val="left" w:pos="-1080"/>
          <w:tab w:val="left" w:pos="-720"/>
          <w:tab w:val="left" w:pos="0"/>
          <w:tab w:val="clear" w:pos="720"/>
          <w:tab w:val="left" w:pos="990"/>
          <w:tab w:val="num" w:pos="1350"/>
          <w:tab w:val="left" w:pos="2160"/>
        </w:tabs>
        <w:ind w:left="1350"/>
        <w:rPr>
          <w:b/>
          <w:bCs/>
        </w:rPr>
      </w:pPr>
      <w:r>
        <w:rPr>
          <w:b/>
          <w:bCs/>
        </w:rPr>
        <w:t>R</w:t>
      </w:r>
      <w:r w:rsidRPr="0090397B">
        <w:rPr>
          <w:b/>
          <w:bCs/>
        </w:rPr>
        <w:t>equiring respondents to prepare a written response to a collection of information in fewer than 30 days after receipt of it;</w:t>
      </w:r>
    </w:p>
    <w:p w:rsidR="00866A7D" w:rsidRPr="0090397B" w:rsidP="00210E7F" w14:paraId="5788F493" w14:textId="77777777">
      <w:pPr>
        <w:widowControl/>
        <w:tabs>
          <w:tab w:val="left" w:pos="-1080"/>
          <w:tab w:val="left" w:pos="-720"/>
          <w:tab w:val="left" w:pos="0"/>
          <w:tab w:val="left" w:pos="720"/>
          <w:tab w:val="left" w:pos="990"/>
          <w:tab w:val="left" w:pos="2160"/>
        </w:tabs>
        <w:ind w:left="630"/>
        <w:rPr>
          <w:b/>
          <w:bCs/>
        </w:rPr>
      </w:pPr>
    </w:p>
    <w:p w:rsidR="00866A7D" w:rsidRPr="0090397B" w:rsidP="00210E7F" w14:paraId="3C1B8218" w14:textId="0B186626">
      <w:pPr>
        <w:pStyle w:val="Level1"/>
        <w:widowControl/>
        <w:numPr>
          <w:ilvl w:val="0"/>
          <w:numId w:val="1"/>
        </w:numPr>
        <w:tabs>
          <w:tab w:val="left" w:pos="-1080"/>
          <w:tab w:val="left" w:pos="-720"/>
          <w:tab w:val="left" w:pos="0"/>
          <w:tab w:val="clear" w:pos="720"/>
          <w:tab w:val="left" w:pos="990"/>
          <w:tab w:val="num" w:pos="1350"/>
          <w:tab w:val="left" w:pos="2160"/>
        </w:tabs>
        <w:ind w:left="1350"/>
        <w:rPr>
          <w:b/>
          <w:bCs/>
        </w:rPr>
      </w:pPr>
      <w:r>
        <w:rPr>
          <w:b/>
          <w:bCs/>
        </w:rPr>
        <w:t>R</w:t>
      </w:r>
      <w:r w:rsidRPr="0090397B">
        <w:rPr>
          <w:b/>
          <w:bCs/>
        </w:rPr>
        <w:t>equiring respondents to submit more than an original and two copies of any document;</w:t>
      </w:r>
    </w:p>
    <w:p w:rsidR="00866A7D" w:rsidRPr="0090397B" w:rsidP="00210E7F" w14:paraId="065AB2A1" w14:textId="77777777">
      <w:pPr>
        <w:widowControl/>
        <w:tabs>
          <w:tab w:val="left" w:pos="-1080"/>
          <w:tab w:val="left" w:pos="-720"/>
          <w:tab w:val="left" w:pos="0"/>
          <w:tab w:val="left" w:pos="720"/>
          <w:tab w:val="left" w:pos="990"/>
          <w:tab w:val="left" w:pos="2160"/>
        </w:tabs>
        <w:ind w:left="630"/>
        <w:rPr>
          <w:b/>
          <w:bCs/>
        </w:rPr>
      </w:pPr>
    </w:p>
    <w:p w:rsidR="00866A7D" w:rsidRPr="0090397B" w:rsidP="00210E7F" w14:paraId="60839125" w14:textId="53CB629A">
      <w:pPr>
        <w:pStyle w:val="Level1"/>
        <w:widowControl/>
        <w:numPr>
          <w:ilvl w:val="0"/>
          <w:numId w:val="1"/>
        </w:numPr>
        <w:tabs>
          <w:tab w:val="left" w:pos="-1080"/>
          <w:tab w:val="left" w:pos="-720"/>
          <w:tab w:val="left" w:pos="0"/>
          <w:tab w:val="clear" w:pos="720"/>
          <w:tab w:val="left" w:pos="990"/>
          <w:tab w:val="num" w:pos="1350"/>
          <w:tab w:val="left" w:pos="2160"/>
        </w:tabs>
        <w:ind w:left="1350"/>
        <w:rPr>
          <w:b/>
          <w:bCs/>
        </w:rPr>
      </w:pPr>
      <w:r>
        <w:rPr>
          <w:b/>
          <w:bCs/>
        </w:rPr>
        <w:t>R</w:t>
      </w:r>
      <w:r w:rsidRPr="0090397B">
        <w:rPr>
          <w:b/>
          <w:bCs/>
        </w:rPr>
        <w:t>equiring respondents to retain records, other than health, medical, government contract, grant-in-aid, or tax records</w:t>
      </w:r>
      <w:r w:rsidRPr="0090397B" w:rsidR="001340A3">
        <w:rPr>
          <w:b/>
          <w:bCs/>
        </w:rPr>
        <w:t>,</w:t>
      </w:r>
      <w:r w:rsidRPr="0090397B">
        <w:rPr>
          <w:b/>
          <w:bCs/>
        </w:rPr>
        <w:t xml:space="preserve"> for more than three years;</w:t>
      </w:r>
    </w:p>
    <w:p w:rsidR="00866A7D" w:rsidRPr="0090397B" w:rsidP="00210E7F" w14:paraId="32641D4C" w14:textId="77777777">
      <w:pPr>
        <w:widowControl/>
        <w:tabs>
          <w:tab w:val="left" w:pos="-1080"/>
          <w:tab w:val="left" w:pos="-720"/>
          <w:tab w:val="left" w:pos="0"/>
          <w:tab w:val="left" w:pos="720"/>
          <w:tab w:val="left" w:pos="990"/>
          <w:tab w:val="left" w:pos="2160"/>
        </w:tabs>
        <w:ind w:left="630"/>
        <w:rPr>
          <w:b/>
          <w:bCs/>
        </w:rPr>
      </w:pPr>
    </w:p>
    <w:p w:rsidR="00866A7D" w:rsidRPr="0090397B" w:rsidP="00210E7F" w14:paraId="45C4B2D1" w14:textId="2E5A24C7">
      <w:pPr>
        <w:pStyle w:val="Level1"/>
        <w:widowControl/>
        <w:numPr>
          <w:ilvl w:val="0"/>
          <w:numId w:val="1"/>
        </w:numPr>
        <w:tabs>
          <w:tab w:val="left" w:pos="-1080"/>
          <w:tab w:val="left" w:pos="-720"/>
          <w:tab w:val="left" w:pos="0"/>
          <w:tab w:val="clear" w:pos="720"/>
          <w:tab w:val="left" w:pos="990"/>
          <w:tab w:val="num" w:pos="1350"/>
          <w:tab w:val="left" w:pos="2160"/>
        </w:tabs>
        <w:ind w:left="1350"/>
        <w:rPr>
          <w:b/>
          <w:bCs/>
        </w:rPr>
      </w:pPr>
      <w:r>
        <w:rPr>
          <w:b/>
          <w:bCs/>
        </w:rPr>
        <w:t>I</w:t>
      </w:r>
      <w:r w:rsidRPr="0090397B">
        <w:rPr>
          <w:b/>
          <w:bCs/>
        </w:rPr>
        <w:t>n connection with a statistical survey</w:t>
      </w:r>
      <w:r w:rsidRPr="0090397B" w:rsidR="001340A3">
        <w:rPr>
          <w:b/>
          <w:bCs/>
        </w:rPr>
        <w:t>,</w:t>
      </w:r>
      <w:r w:rsidRPr="0090397B">
        <w:rPr>
          <w:b/>
          <w:bCs/>
        </w:rPr>
        <w:t xml:space="preserve"> that is not designed to produce valid and reliable results that can be generalized to the universe of study;</w:t>
      </w:r>
    </w:p>
    <w:p w:rsidR="00866A7D" w:rsidRPr="0090397B" w:rsidP="00210E7F" w14:paraId="260CDD56" w14:textId="77777777">
      <w:pPr>
        <w:widowControl/>
        <w:tabs>
          <w:tab w:val="left" w:pos="-1080"/>
          <w:tab w:val="left" w:pos="-720"/>
          <w:tab w:val="left" w:pos="0"/>
          <w:tab w:val="left" w:pos="720"/>
          <w:tab w:val="left" w:pos="990"/>
          <w:tab w:val="left" w:pos="2160"/>
        </w:tabs>
        <w:ind w:left="630"/>
        <w:rPr>
          <w:b/>
          <w:bCs/>
        </w:rPr>
      </w:pPr>
    </w:p>
    <w:p w:rsidR="00866A7D" w:rsidRPr="0090397B" w:rsidP="00210E7F" w14:paraId="5693E4D0" w14:textId="0F0CC97B">
      <w:pPr>
        <w:pStyle w:val="Level1"/>
        <w:widowControl/>
        <w:numPr>
          <w:ilvl w:val="0"/>
          <w:numId w:val="1"/>
        </w:numPr>
        <w:tabs>
          <w:tab w:val="left" w:pos="-1080"/>
          <w:tab w:val="left" w:pos="-720"/>
          <w:tab w:val="left" w:pos="0"/>
          <w:tab w:val="clear" w:pos="720"/>
          <w:tab w:val="left" w:pos="990"/>
          <w:tab w:val="num" w:pos="1350"/>
          <w:tab w:val="left" w:pos="2160"/>
        </w:tabs>
        <w:ind w:left="1350"/>
        <w:rPr>
          <w:b/>
          <w:bCs/>
        </w:rPr>
      </w:pPr>
      <w:r>
        <w:rPr>
          <w:b/>
          <w:bCs/>
        </w:rPr>
        <w:t>R</w:t>
      </w:r>
      <w:r w:rsidRPr="0090397B">
        <w:rPr>
          <w:b/>
          <w:bCs/>
        </w:rPr>
        <w:t xml:space="preserve">equiring the use of </w:t>
      </w:r>
      <w:r w:rsidRPr="0090397B" w:rsidR="001340A3">
        <w:rPr>
          <w:b/>
          <w:bCs/>
        </w:rPr>
        <w:t xml:space="preserve">a </w:t>
      </w:r>
      <w:r w:rsidRPr="0090397B">
        <w:rPr>
          <w:b/>
          <w:bCs/>
        </w:rPr>
        <w:t>statistical data classification that has not been reviewed and approved by OMB;</w:t>
      </w:r>
    </w:p>
    <w:p w:rsidR="00866A7D" w:rsidRPr="0090397B" w:rsidP="00210E7F" w14:paraId="02BDDEBA" w14:textId="77777777">
      <w:pPr>
        <w:widowControl/>
        <w:tabs>
          <w:tab w:val="left" w:pos="-1080"/>
          <w:tab w:val="left" w:pos="-720"/>
          <w:tab w:val="left" w:pos="0"/>
          <w:tab w:val="left" w:pos="720"/>
          <w:tab w:val="left" w:pos="990"/>
          <w:tab w:val="left" w:pos="2160"/>
        </w:tabs>
        <w:ind w:left="630"/>
        <w:rPr>
          <w:b/>
          <w:bCs/>
        </w:rPr>
      </w:pPr>
    </w:p>
    <w:p w:rsidR="00866A7D" w:rsidRPr="0090397B" w:rsidP="00210E7F" w14:paraId="49162CE8" w14:textId="62DCD976">
      <w:pPr>
        <w:pStyle w:val="Level1"/>
        <w:widowControl/>
        <w:numPr>
          <w:ilvl w:val="0"/>
          <w:numId w:val="1"/>
        </w:numPr>
        <w:tabs>
          <w:tab w:val="left" w:pos="-1080"/>
          <w:tab w:val="left" w:pos="-720"/>
          <w:tab w:val="left" w:pos="0"/>
          <w:tab w:val="clear" w:pos="720"/>
          <w:tab w:val="left" w:pos="990"/>
          <w:tab w:val="num" w:pos="1350"/>
          <w:tab w:val="left" w:pos="2160"/>
        </w:tabs>
        <w:ind w:left="1350"/>
        <w:rPr>
          <w:b/>
          <w:bCs/>
        </w:rPr>
      </w:pPr>
      <w:r>
        <w:rPr>
          <w:b/>
          <w:bCs/>
        </w:rPr>
        <w:t>T</w:t>
      </w:r>
      <w:r w:rsidRPr="0090397B">
        <w:rPr>
          <w:b/>
          <w:bCs/>
        </w:rPr>
        <w:t>hat includes a pledge of confidentially that is not supported by authority established in statue or regulation</w:t>
      </w:r>
      <w:r w:rsidRPr="0090397B" w:rsidR="001340A3">
        <w:rPr>
          <w:b/>
          <w:bCs/>
        </w:rPr>
        <w:t>,</w:t>
      </w:r>
      <w:r w:rsidRPr="0090397B">
        <w:rPr>
          <w:b/>
          <w:bCs/>
        </w:rPr>
        <w:t xml:space="preserve"> that is not supported by disclosure and data security policies that are consistent with the pledge, or which unnecessarily impedes sharing of data with other agencies for compatible confidential use; or</w:t>
      </w:r>
    </w:p>
    <w:p w:rsidR="00866A7D" w:rsidRPr="0090397B" w:rsidP="00210E7F" w14:paraId="72C5A7FB" w14:textId="77777777">
      <w:pPr>
        <w:widowControl/>
        <w:tabs>
          <w:tab w:val="left" w:pos="-1080"/>
          <w:tab w:val="left" w:pos="-720"/>
          <w:tab w:val="left" w:pos="0"/>
          <w:tab w:val="left" w:pos="720"/>
          <w:tab w:val="left" w:pos="990"/>
          <w:tab w:val="left" w:pos="2160"/>
        </w:tabs>
        <w:ind w:left="630"/>
        <w:rPr>
          <w:b/>
          <w:bCs/>
        </w:rPr>
      </w:pPr>
    </w:p>
    <w:p w:rsidR="00866A7D" w:rsidRPr="0090397B" w:rsidP="00210E7F" w14:paraId="23CA4803" w14:textId="7ECC20CF">
      <w:pPr>
        <w:pStyle w:val="Level1"/>
        <w:widowControl/>
        <w:numPr>
          <w:ilvl w:val="0"/>
          <w:numId w:val="1"/>
        </w:numPr>
        <w:tabs>
          <w:tab w:val="left" w:pos="-1080"/>
          <w:tab w:val="left" w:pos="-720"/>
          <w:tab w:val="left" w:pos="0"/>
          <w:tab w:val="clear" w:pos="720"/>
          <w:tab w:val="left" w:pos="990"/>
          <w:tab w:val="num" w:pos="1350"/>
          <w:tab w:val="left" w:pos="2160"/>
        </w:tabs>
        <w:ind w:left="1350"/>
      </w:pPr>
      <w:r>
        <w:rPr>
          <w:b/>
          <w:bCs/>
        </w:rPr>
        <w:t>R</w:t>
      </w:r>
      <w:r w:rsidRPr="0090397B">
        <w:rPr>
          <w:b/>
          <w:bCs/>
        </w:rPr>
        <w:t>equiring respondents to submit proprietary trade secret</w:t>
      </w:r>
      <w:r w:rsidRPr="0090397B" w:rsidR="001340A3">
        <w:rPr>
          <w:b/>
          <w:bCs/>
        </w:rPr>
        <w:t>s</w:t>
      </w:r>
      <w:r w:rsidRPr="0090397B">
        <w:rPr>
          <w:b/>
          <w:bCs/>
        </w:rPr>
        <w:t>, or other confidential information unless the agency can</w:t>
      </w:r>
      <w:r w:rsidRPr="0090397B" w:rsidR="001340A3">
        <w:rPr>
          <w:b/>
          <w:bCs/>
        </w:rPr>
        <w:t xml:space="preserve"> demonstrate </w:t>
      </w:r>
      <w:r w:rsidRPr="0090397B">
        <w:rPr>
          <w:b/>
          <w:bCs/>
        </w:rPr>
        <w:t>that it has instituted procedures to protect the information's confidentially to the extent permitted by law.</w:t>
      </w:r>
    </w:p>
    <w:p w:rsidR="00866A7D" w:rsidRPr="0090397B" w:rsidP="00866A7D" w14:paraId="2239706F" w14:textId="77777777">
      <w:pPr>
        <w:widowControl/>
        <w:tabs>
          <w:tab w:val="left" w:pos="-1080"/>
          <w:tab w:val="left" w:pos="-720"/>
          <w:tab w:val="left" w:pos="0"/>
          <w:tab w:val="left" w:pos="720"/>
          <w:tab w:val="left" w:pos="990"/>
          <w:tab w:val="left" w:pos="2160"/>
        </w:tabs>
      </w:pPr>
    </w:p>
    <w:p w:rsidR="00866A7D" w:rsidRPr="0090397B" w:rsidP="00866A7D" w14:paraId="109B27E5" w14:textId="44373CD3">
      <w:pPr>
        <w:widowControl/>
        <w:tabs>
          <w:tab w:val="left" w:pos="-1080"/>
          <w:tab w:val="left" w:pos="-720"/>
          <w:tab w:val="left" w:pos="0"/>
          <w:tab w:val="left" w:pos="720"/>
          <w:tab w:val="left" w:pos="990"/>
          <w:tab w:val="left" w:pos="2160"/>
        </w:tabs>
      </w:pPr>
      <w:r w:rsidRPr="0090397B">
        <w:t xml:space="preserve">No special circumstances require employers to collect information using the procedures specified by this item. The requirements </w:t>
      </w:r>
      <w:r w:rsidRPr="0090397B" w:rsidR="0065448F">
        <w:t xml:space="preserve">in subpart D </w:t>
      </w:r>
      <w:r w:rsidRPr="0090397B">
        <w:t>are within the guidelines set forth in 5 CFR 1320.5.</w:t>
      </w:r>
    </w:p>
    <w:p w:rsidR="00866A7D" w:rsidRPr="0090397B" w:rsidP="00866A7D" w14:paraId="2B56404E" w14:textId="77777777">
      <w:pPr>
        <w:widowControl/>
        <w:tabs>
          <w:tab w:val="left" w:pos="-1080"/>
          <w:tab w:val="left" w:pos="-720"/>
          <w:tab w:val="left" w:pos="0"/>
          <w:tab w:val="left" w:pos="720"/>
          <w:tab w:val="left" w:pos="990"/>
          <w:tab w:val="left" w:pos="2160"/>
        </w:tabs>
      </w:pPr>
    </w:p>
    <w:p w:rsidR="00866A7D" w:rsidRPr="00210E7F" w:rsidP="00210E7F" w14:paraId="26EDA816" w14:textId="1725FB75">
      <w:pPr>
        <w:pStyle w:val="ListParagraph"/>
        <w:widowControl/>
        <w:numPr>
          <w:ilvl w:val="0"/>
          <w:numId w:val="20"/>
        </w:numPr>
        <w:tabs>
          <w:tab w:val="left" w:pos="-1080"/>
          <w:tab w:val="left" w:pos="-720"/>
          <w:tab w:val="left" w:pos="0"/>
          <w:tab w:val="left" w:pos="720"/>
          <w:tab w:val="left" w:pos="990"/>
          <w:tab w:val="left" w:pos="2160"/>
        </w:tabs>
        <w:rPr>
          <w:b/>
          <w:bCs/>
        </w:rPr>
      </w:pPr>
      <w:r w:rsidRPr="00210E7F">
        <w:rPr>
          <w:b/>
          <w:bCs/>
        </w:rPr>
        <w:t xml:space="preserve">If applicable, provide a copy and identify the date and page number of publication in the Federal Register of the agency's notice, required by 5 CFR 1320.8(d), soliciting comments on the information collection </w:t>
      </w:r>
      <w:r w:rsidRPr="00210E7F" w:rsidR="001340A3">
        <w:rPr>
          <w:b/>
          <w:bCs/>
        </w:rPr>
        <w:t xml:space="preserve">prior to </w:t>
      </w:r>
      <w:r w:rsidRPr="00210E7F">
        <w:rPr>
          <w:b/>
          <w:bCs/>
        </w:rPr>
        <w:t>submission to OMB.</w:t>
      </w:r>
      <w:r w:rsidR="00592C49">
        <w:rPr>
          <w:b/>
          <w:bCs/>
        </w:rPr>
        <w:t xml:space="preserve"> </w:t>
      </w:r>
      <w:r w:rsidRPr="00210E7F">
        <w:rPr>
          <w:b/>
          <w:bCs/>
        </w:rPr>
        <w:t>Summarize public comments received in response to that notice and describe actions taken by the agency in response to those comments</w:t>
      </w:r>
      <w:r w:rsidRPr="00210E7F" w:rsidR="001340A3">
        <w:rPr>
          <w:b/>
          <w:bCs/>
        </w:rPr>
        <w:t>.</w:t>
      </w:r>
      <w:r w:rsidR="00592C49">
        <w:rPr>
          <w:b/>
          <w:bCs/>
        </w:rPr>
        <w:t xml:space="preserve"> </w:t>
      </w:r>
      <w:r w:rsidRPr="00210E7F" w:rsidR="001340A3">
        <w:rPr>
          <w:b/>
          <w:bCs/>
        </w:rPr>
        <w:t>S</w:t>
      </w:r>
      <w:r w:rsidRPr="00210E7F">
        <w:rPr>
          <w:b/>
          <w:bCs/>
        </w:rPr>
        <w:t>pecifically address comments received on cost and hour burdens.</w:t>
      </w:r>
    </w:p>
    <w:p w:rsidR="00866A7D" w:rsidRPr="0090397B" w:rsidP="00866A7D" w14:paraId="06560CDE" w14:textId="77777777">
      <w:pPr>
        <w:widowControl/>
        <w:tabs>
          <w:tab w:val="left" w:pos="-1080"/>
          <w:tab w:val="left" w:pos="-720"/>
          <w:tab w:val="left" w:pos="0"/>
          <w:tab w:val="left" w:pos="720"/>
          <w:tab w:val="left" w:pos="990"/>
          <w:tab w:val="left" w:pos="2160"/>
        </w:tabs>
        <w:ind w:left="720"/>
        <w:rPr>
          <w:b/>
          <w:bCs/>
        </w:rPr>
      </w:pPr>
    </w:p>
    <w:p w:rsidR="00866A7D" w:rsidRPr="0090397B" w:rsidP="00210E7F" w14:paraId="2E384EF5" w14:textId="3C4AA5A4">
      <w:pPr>
        <w:widowControl/>
        <w:tabs>
          <w:tab w:val="left" w:pos="-1080"/>
          <w:tab w:val="left" w:pos="-720"/>
          <w:tab w:val="left" w:pos="0"/>
          <w:tab w:val="left" w:pos="720"/>
          <w:tab w:val="left" w:pos="990"/>
          <w:tab w:val="left" w:pos="2160"/>
        </w:tabs>
        <w:ind w:left="720"/>
        <w:rPr>
          <w:b/>
          <w:bCs/>
        </w:rPr>
      </w:pPr>
      <w:r w:rsidRPr="0090397B">
        <w:rPr>
          <w:b/>
          <w:bCs/>
        </w:rPr>
        <w:t xml:space="preserve">Describe efforts to consult with persons outside the agency to obtain their views on the availability of data, frequency of collection, the clarity of instructions and </w:t>
      </w:r>
      <w:r w:rsidRPr="0090397B">
        <w:rPr>
          <w:b/>
          <w:bCs/>
        </w:rPr>
        <w:t xml:space="preserve">recordkeeping, disclosure, or reporting format (if any), and on the data elements to be recorded, </w:t>
      </w:r>
      <w:r w:rsidRPr="0090397B" w:rsidR="001340A3">
        <w:rPr>
          <w:b/>
          <w:bCs/>
        </w:rPr>
        <w:t>disclosed</w:t>
      </w:r>
      <w:r w:rsidRPr="0090397B">
        <w:rPr>
          <w:b/>
          <w:bCs/>
        </w:rPr>
        <w:t>, or reported.</w:t>
      </w:r>
    </w:p>
    <w:p w:rsidR="00866A7D" w:rsidRPr="0090397B" w:rsidP="00866A7D" w14:paraId="4139CA38" w14:textId="77777777">
      <w:pPr>
        <w:widowControl/>
        <w:tabs>
          <w:tab w:val="left" w:pos="-1080"/>
          <w:tab w:val="left" w:pos="-720"/>
          <w:tab w:val="left" w:pos="0"/>
          <w:tab w:val="left" w:pos="720"/>
          <w:tab w:val="left" w:pos="990"/>
          <w:tab w:val="left" w:pos="2160"/>
        </w:tabs>
        <w:rPr>
          <w:b/>
          <w:bCs/>
        </w:rPr>
      </w:pPr>
    </w:p>
    <w:p w:rsidR="00866A7D" w:rsidRPr="0090397B" w:rsidP="00210E7F" w14:paraId="610FAF8B" w14:textId="0BDA247C">
      <w:pPr>
        <w:widowControl/>
        <w:tabs>
          <w:tab w:val="left" w:pos="-1080"/>
          <w:tab w:val="left" w:pos="-720"/>
          <w:tab w:val="left" w:pos="0"/>
          <w:tab w:val="left" w:pos="720"/>
          <w:tab w:val="left" w:pos="990"/>
          <w:tab w:val="left" w:pos="2160"/>
        </w:tabs>
        <w:ind w:left="720"/>
        <w:rPr>
          <w:b/>
          <w:bCs/>
        </w:rPr>
      </w:pPr>
      <w:r w:rsidRPr="0090397B">
        <w:rPr>
          <w:b/>
          <w:bCs/>
        </w:rPr>
        <w:t xml:space="preserve">Consultation with representatives of those from whom information is to be obtained or those who must compile records should occur at least once every </w:t>
      </w:r>
      <w:r w:rsidRPr="0090397B" w:rsidR="001340A3">
        <w:rPr>
          <w:b/>
          <w:bCs/>
        </w:rPr>
        <w:t>3</w:t>
      </w:r>
      <w:r w:rsidRPr="0090397B">
        <w:rPr>
          <w:b/>
          <w:bCs/>
        </w:rPr>
        <w:t xml:space="preserve"> years - even if the collection of information activity is the same as in prior periods.</w:t>
      </w:r>
      <w:r w:rsidR="00592C49">
        <w:rPr>
          <w:b/>
          <w:bCs/>
        </w:rPr>
        <w:t xml:space="preserve"> </w:t>
      </w:r>
      <w:r w:rsidRPr="0090397B">
        <w:rPr>
          <w:b/>
          <w:bCs/>
        </w:rPr>
        <w:t xml:space="preserve">There may be circumstances that </w:t>
      </w:r>
      <w:r w:rsidRPr="0090397B" w:rsidR="001340A3">
        <w:rPr>
          <w:b/>
          <w:bCs/>
        </w:rPr>
        <w:t>preclude</w:t>
      </w:r>
      <w:r w:rsidRPr="0090397B">
        <w:rPr>
          <w:b/>
          <w:bCs/>
        </w:rPr>
        <w:t xml:space="preserve"> consultation in a specific situation.</w:t>
      </w:r>
      <w:r w:rsidR="00592C49">
        <w:rPr>
          <w:b/>
          <w:bCs/>
        </w:rPr>
        <w:t xml:space="preserve"> </w:t>
      </w:r>
      <w:r w:rsidRPr="0090397B">
        <w:rPr>
          <w:b/>
          <w:bCs/>
        </w:rPr>
        <w:t>These circumstances should be explained.</w:t>
      </w:r>
    </w:p>
    <w:p w:rsidR="00866A7D" w:rsidRPr="0090397B" w:rsidP="00866A7D" w14:paraId="31CE423C" w14:textId="77777777">
      <w:pPr>
        <w:widowControl/>
        <w:tabs>
          <w:tab w:val="left" w:pos="-1080"/>
          <w:tab w:val="left" w:pos="-720"/>
          <w:tab w:val="left" w:pos="0"/>
          <w:tab w:val="left" w:pos="720"/>
          <w:tab w:val="left" w:pos="990"/>
          <w:tab w:val="left" w:pos="2160"/>
        </w:tabs>
      </w:pPr>
    </w:p>
    <w:p w:rsidR="00F20827" w:rsidRPr="0090397B" w:rsidP="00F20827" w14:paraId="50CFD05D" w14:textId="3AAB1125">
      <w:pPr>
        <w:pStyle w:val="Default0"/>
        <w:rPr>
          <w:color w:val="auto"/>
        </w:rPr>
      </w:pPr>
      <w:r w:rsidRPr="0047104D">
        <w:rPr>
          <w:color w:val="auto"/>
        </w:rPr>
        <w:t>As required by the Paperwork Reduction Act of 1995</w:t>
      </w:r>
      <w:r w:rsidRPr="0090397B">
        <w:rPr>
          <w:color w:val="auto"/>
        </w:rPr>
        <w:t xml:space="preserve"> (</w:t>
      </w:r>
      <w:r>
        <w:rPr>
          <w:color w:val="auto"/>
        </w:rPr>
        <w:t xml:space="preserve">PRA, </w:t>
      </w:r>
      <w:r w:rsidRPr="0090397B">
        <w:rPr>
          <w:color w:val="auto"/>
        </w:rPr>
        <w:t xml:space="preserve">44 U.S.C. 3506(c)(2)(A)), OSHA published a notice in the </w:t>
      </w:r>
      <w:r w:rsidRPr="0090397B">
        <w:rPr>
          <w:i/>
          <w:iCs/>
          <w:color w:val="auto"/>
        </w:rPr>
        <w:t xml:space="preserve">Federal Register </w:t>
      </w:r>
      <w:r w:rsidRPr="0090397B" w:rsidR="00E57A29">
        <w:rPr>
          <w:iCs/>
          <w:color w:val="auto"/>
        </w:rPr>
        <w:t xml:space="preserve">on </w:t>
      </w:r>
      <w:r w:rsidR="002A5B83">
        <w:rPr>
          <w:iCs/>
          <w:color w:val="auto"/>
        </w:rPr>
        <w:t>April 3, 2023</w:t>
      </w:r>
      <w:r w:rsidRPr="004B746E" w:rsidR="00752102">
        <w:rPr>
          <w:iCs/>
          <w:color w:val="auto"/>
        </w:rPr>
        <w:t xml:space="preserve"> (</w:t>
      </w:r>
      <w:r w:rsidR="002A5B83">
        <w:rPr>
          <w:iCs/>
          <w:color w:val="auto"/>
        </w:rPr>
        <w:t>88 FR 19681</w:t>
      </w:r>
      <w:r w:rsidR="00A453C4">
        <w:rPr>
          <w:iCs/>
          <w:color w:val="auto"/>
        </w:rPr>
        <w:t>)</w:t>
      </w:r>
      <w:r w:rsidR="009447D3">
        <w:rPr>
          <w:iCs/>
          <w:color w:val="auto"/>
        </w:rPr>
        <w:t xml:space="preserve"> </w:t>
      </w:r>
      <w:r w:rsidRPr="0090397B">
        <w:rPr>
          <w:color w:val="auto"/>
        </w:rPr>
        <w:t xml:space="preserve">soliciting comments </w:t>
      </w:r>
      <w:r w:rsidR="004029A6">
        <w:rPr>
          <w:color w:val="auto"/>
        </w:rPr>
        <w:t xml:space="preserve">from the public and other interested parties </w:t>
      </w:r>
      <w:r w:rsidRPr="0090397B">
        <w:rPr>
          <w:color w:val="auto"/>
        </w:rPr>
        <w:t xml:space="preserve">on its proposal to extend the Office of Management and Budget’s approval of the information collection requirements specified by the </w:t>
      </w:r>
      <w:r w:rsidR="0047104D">
        <w:rPr>
          <w:color w:val="auto"/>
        </w:rPr>
        <w:t>s</w:t>
      </w:r>
      <w:r w:rsidRPr="0090397B">
        <w:rPr>
          <w:color w:val="auto"/>
        </w:rPr>
        <w:t xml:space="preserve">tandard on Walking-Working Surfaces (29 CFR part 1910, </w:t>
      </w:r>
      <w:r w:rsidRPr="008073F3">
        <w:rPr>
          <w:color w:val="auto"/>
        </w:rPr>
        <w:t xml:space="preserve">subpart D) under docket number OSHA-2013-0002. This notice was part of a preclearance consultation program </w:t>
      </w:r>
      <w:r w:rsidRPr="008073F3" w:rsidR="00D1406C">
        <w:rPr>
          <w:color w:val="auto"/>
        </w:rPr>
        <w:t>intended to</w:t>
      </w:r>
      <w:r w:rsidRPr="008073F3">
        <w:rPr>
          <w:color w:val="auto"/>
        </w:rPr>
        <w:t xml:space="preserve"> </w:t>
      </w:r>
      <w:r w:rsidR="00A60C29">
        <w:rPr>
          <w:color w:val="auto"/>
        </w:rPr>
        <w:t>allow</w:t>
      </w:r>
      <w:r w:rsidRPr="008073F3" w:rsidR="00A60C29">
        <w:rPr>
          <w:color w:val="auto"/>
        </w:rPr>
        <w:t xml:space="preserve"> </w:t>
      </w:r>
      <w:r w:rsidRPr="008073F3" w:rsidR="00D1406C">
        <w:rPr>
          <w:color w:val="auto"/>
        </w:rPr>
        <w:t xml:space="preserve">interested parties </w:t>
      </w:r>
      <w:r w:rsidRPr="008073F3">
        <w:rPr>
          <w:color w:val="auto"/>
        </w:rPr>
        <w:t xml:space="preserve">with an opportunity to comment. The </w:t>
      </w:r>
      <w:r w:rsidRPr="008073F3" w:rsidR="00951A75">
        <w:rPr>
          <w:color w:val="auto"/>
        </w:rPr>
        <w:t>a</w:t>
      </w:r>
      <w:r w:rsidRPr="008073F3">
        <w:rPr>
          <w:color w:val="auto"/>
        </w:rPr>
        <w:t xml:space="preserve">gency </w:t>
      </w:r>
      <w:r w:rsidR="00E0446C">
        <w:rPr>
          <w:color w:val="auto"/>
        </w:rPr>
        <w:t>did not receive</w:t>
      </w:r>
      <w:r w:rsidRPr="008073F3" w:rsidR="00340DD8">
        <w:rPr>
          <w:color w:val="auto"/>
        </w:rPr>
        <w:t xml:space="preserve"> </w:t>
      </w:r>
      <w:r w:rsidRPr="008073F3">
        <w:rPr>
          <w:color w:val="auto"/>
        </w:rPr>
        <w:t>any</w:t>
      </w:r>
      <w:r w:rsidRPr="008073F3" w:rsidR="0090397B">
        <w:rPr>
          <w:color w:val="auto"/>
        </w:rPr>
        <w:t xml:space="preserve"> </w:t>
      </w:r>
      <w:r w:rsidRPr="008073F3">
        <w:rPr>
          <w:color w:val="auto"/>
        </w:rPr>
        <w:t>comments</w:t>
      </w:r>
      <w:r w:rsidRPr="008073F3" w:rsidR="00236D49">
        <w:rPr>
          <w:color w:val="auto"/>
        </w:rPr>
        <w:t xml:space="preserve"> </w:t>
      </w:r>
      <w:r w:rsidRPr="008073F3">
        <w:rPr>
          <w:color w:val="auto"/>
        </w:rPr>
        <w:t>in response to this notice.</w:t>
      </w:r>
      <w:r w:rsidRPr="0090397B" w:rsidR="0076035D">
        <w:rPr>
          <w:color w:val="auto"/>
        </w:rPr>
        <w:t xml:space="preserve"> </w:t>
      </w:r>
    </w:p>
    <w:p w:rsidR="00A23765" w:rsidRPr="0090397B" w:rsidP="00C114C4" w14:paraId="4F794E16" w14:textId="77777777">
      <w:pPr>
        <w:pStyle w:val="Default0"/>
        <w:rPr>
          <w:b/>
        </w:rPr>
      </w:pPr>
    </w:p>
    <w:p w:rsidR="00866A7D" w:rsidRPr="0090397B" w:rsidP="00210E7F" w14:paraId="7BB574B6" w14:textId="14A793A2">
      <w:pPr>
        <w:pStyle w:val="ListParagraph"/>
        <w:widowControl/>
        <w:numPr>
          <w:ilvl w:val="0"/>
          <w:numId w:val="20"/>
        </w:numPr>
        <w:tabs>
          <w:tab w:val="left" w:pos="-1080"/>
          <w:tab w:val="left" w:pos="-720"/>
          <w:tab w:val="left" w:pos="0"/>
          <w:tab w:val="left" w:pos="720"/>
          <w:tab w:val="left" w:pos="990"/>
          <w:tab w:val="left" w:pos="2160"/>
        </w:tabs>
      </w:pPr>
      <w:r w:rsidRPr="00210E7F">
        <w:rPr>
          <w:b/>
          <w:bCs/>
        </w:rPr>
        <w:t xml:space="preserve">Explain any decision to provide any payments or gift to respondents, other than </w:t>
      </w:r>
      <w:r w:rsidRPr="00210E7F" w:rsidR="008F2F05">
        <w:rPr>
          <w:b/>
          <w:bCs/>
        </w:rPr>
        <w:t>remuneration</w:t>
      </w:r>
      <w:r w:rsidRPr="00210E7F">
        <w:rPr>
          <w:b/>
          <w:bCs/>
        </w:rPr>
        <w:t xml:space="preserve"> of contractors or grantees.</w:t>
      </w:r>
    </w:p>
    <w:p w:rsidR="00866A7D" w:rsidRPr="0090397B" w:rsidP="00866A7D" w14:paraId="7B4B5855" w14:textId="77777777">
      <w:pPr>
        <w:widowControl/>
        <w:tabs>
          <w:tab w:val="left" w:pos="-1080"/>
          <w:tab w:val="left" w:pos="-720"/>
          <w:tab w:val="left" w:pos="0"/>
          <w:tab w:val="left" w:pos="720"/>
          <w:tab w:val="left" w:pos="990"/>
          <w:tab w:val="left" w:pos="2160"/>
        </w:tabs>
      </w:pPr>
    </w:p>
    <w:p w:rsidR="00866A7D" w:rsidRPr="0090397B" w:rsidP="00866A7D" w14:paraId="1488BC94" w14:textId="77777777">
      <w:pPr>
        <w:widowControl/>
        <w:tabs>
          <w:tab w:val="left" w:pos="-1080"/>
          <w:tab w:val="left" w:pos="-720"/>
          <w:tab w:val="left" w:pos="0"/>
          <w:tab w:val="left" w:pos="720"/>
          <w:tab w:val="left" w:pos="990"/>
          <w:tab w:val="left" w:pos="2160"/>
        </w:tabs>
      </w:pPr>
      <w:r w:rsidRPr="0090397B">
        <w:t xml:space="preserve">The </w:t>
      </w:r>
      <w:r w:rsidRPr="0090397B" w:rsidR="00951A75">
        <w:t>a</w:t>
      </w:r>
      <w:r w:rsidRPr="0090397B">
        <w:t xml:space="preserve">gency will </w:t>
      </w:r>
      <w:r w:rsidRPr="0090397B">
        <w:rPr>
          <w:u w:val="single"/>
        </w:rPr>
        <w:t>not</w:t>
      </w:r>
      <w:r w:rsidRPr="0090397B">
        <w:t xml:space="preserve"> provide payments or gifts to the respondents.</w:t>
      </w:r>
    </w:p>
    <w:p w:rsidR="00866A7D" w:rsidRPr="0090397B" w:rsidP="00866A7D" w14:paraId="5CB72B71" w14:textId="77777777">
      <w:pPr>
        <w:widowControl/>
        <w:tabs>
          <w:tab w:val="left" w:pos="-1080"/>
          <w:tab w:val="left" w:pos="-720"/>
          <w:tab w:val="left" w:pos="0"/>
          <w:tab w:val="left" w:pos="720"/>
          <w:tab w:val="left" w:pos="990"/>
          <w:tab w:val="left" w:pos="2160"/>
        </w:tabs>
      </w:pPr>
    </w:p>
    <w:p w:rsidR="00866A7D" w:rsidRPr="0090397B" w:rsidP="00210E7F" w14:paraId="7A0A784C" w14:textId="54DC0687">
      <w:pPr>
        <w:pStyle w:val="ListParagraph"/>
        <w:widowControl/>
        <w:numPr>
          <w:ilvl w:val="0"/>
          <w:numId w:val="20"/>
        </w:numPr>
        <w:tabs>
          <w:tab w:val="left" w:pos="-1080"/>
          <w:tab w:val="left" w:pos="-720"/>
          <w:tab w:val="left" w:pos="0"/>
          <w:tab w:val="left" w:pos="720"/>
          <w:tab w:val="left" w:pos="990"/>
          <w:tab w:val="left" w:pos="2160"/>
        </w:tabs>
      </w:pPr>
      <w:r w:rsidRPr="00210E7F">
        <w:rPr>
          <w:b/>
          <w:bCs/>
        </w:rPr>
        <w:t>Describe any assurance of confidentiality provided to respondents and the basis for the assurance in statute, regulation, or agency policy.</w:t>
      </w:r>
    </w:p>
    <w:p w:rsidR="00866A7D" w:rsidRPr="0090397B" w:rsidP="00866A7D" w14:paraId="7EB5EB2D" w14:textId="77777777">
      <w:pPr>
        <w:widowControl/>
        <w:tabs>
          <w:tab w:val="left" w:pos="-1080"/>
          <w:tab w:val="left" w:pos="-720"/>
          <w:tab w:val="left" w:pos="0"/>
          <w:tab w:val="left" w:pos="720"/>
          <w:tab w:val="left" w:pos="990"/>
          <w:tab w:val="left" w:pos="2160"/>
        </w:tabs>
      </w:pPr>
    </w:p>
    <w:p w:rsidR="00866A7D" w:rsidRPr="0090397B" w:rsidP="699E42F7" w14:paraId="240C0906" w14:textId="0F5D50A4">
      <w:pPr>
        <w:widowControl/>
        <w:tabs>
          <w:tab w:val="left" w:pos="720"/>
          <w:tab w:val="left" w:pos="990"/>
          <w:tab w:val="left" w:pos="2160"/>
        </w:tabs>
      </w:pPr>
      <w:r>
        <w:t xml:space="preserve">The paperwork requirements specified </w:t>
      </w:r>
      <w:r w:rsidR="00C22556">
        <w:t xml:space="preserve">in </w:t>
      </w:r>
      <w:r w:rsidR="00E14A0B">
        <w:t>subpart D</w:t>
      </w:r>
      <w:r w:rsidR="00C22556">
        <w:t xml:space="preserve"> </w:t>
      </w:r>
      <w:r>
        <w:t>do not involve</w:t>
      </w:r>
      <w:r w:rsidR="00C22556">
        <w:t xml:space="preserve"> the collection of</w:t>
      </w:r>
      <w:r>
        <w:t xml:space="preserve"> confidential information.</w:t>
      </w:r>
    </w:p>
    <w:p w:rsidR="00866A7D" w:rsidRPr="0090397B" w:rsidP="00866A7D" w14:paraId="7CC2DF67" w14:textId="77777777">
      <w:pPr>
        <w:widowControl/>
        <w:tabs>
          <w:tab w:val="left" w:pos="-1080"/>
          <w:tab w:val="left" w:pos="-720"/>
          <w:tab w:val="left" w:pos="0"/>
          <w:tab w:val="left" w:pos="720"/>
          <w:tab w:val="left" w:pos="990"/>
          <w:tab w:val="left" w:pos="2160"/>
        </w:tabs>
      </w:pPr>
    </w:p>
    <w:p w:rsidR="00866A7D" w:rsidRPr="0090397B" w:rsidP="00210E7F" w14:paraId="5B016369" w14:textId="631C3C11">
      <w:pPr>
        <w:pStyle w:val="ListParagraph"/>
        <w:widowControl/>
        <w:numPr>
          <w:ilvl w:val="0"/>
          <w:numId w:val="20"/>
        </w:numPr>
        <w:tabs>
          <w:tab w:val="left" w:pos="-1080"/>
          <w:tab w:val="left" w:pos="-720"/>
          <w:tab w:val="left" w:pos="0"/>
          <w:tab w:val="left" w:pos="720"/>
          <w:tab w:val="left" w:pos="990"/>
          <w:tab w:val="left" w:pos="2160"/>
        </w:tabs>
      </w:pPr>
      <w:r w:rsidRPr="00210E7F">
        <w:rPr>
          <w:b/>
          <w:bCs/>
        </w:rPr>
        <w:t>Provide additional justification for any questions of a sensitive nature, such as sexual behavior and attitudes, religious beliefs, and other matters that are commonly considered private.</w:t>
      </w:r>
      <w:r w:rsidR="00592C49">
        <w:rPr>
          <w:b/>
          <w:bCs/>
        </w:rPr>
        <w:t xml:space="preserve"> </w:t>
      </w:r>
      <w:r w:rsidRPr="00210E7F">
        <w:rPr>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66A7D" w:rsidRPr="0090397B" w:rsidP="00866A7D" w14:paraId="5F4F89AF" w14:textId="77777777">
      <w:pPr>
        <w:widowControl/>
        <w:tabs>
          <w:tab w:val="left" w:pos="-1080"/>
          <w:tab w:val="left" w:pos="-720"/>
          <w:tab w:val="left" w:pos="0"/>
          <w:tab w:val="left" w:pos="720"/>
          <w:tab w:val="left" w:pos="990"/>
          <w:tab w:val="left" w:pos="2160"/>
        </w:tabs>
      </w:pPr>
    </w:p>
    <w:p w:rsidR="00866A7D" w:rsidRPr="0090397B" w:rsidP="699E42F7" w14:paraId="0961F6EA" w14:textId="77A8F7ED">
      <w:pPr>
        <w:widowControl/>
        <w:tabs>
          <w:tab w:val="left" w:pos="720"/>
          <w:tab w:val="left" w:pos="990"/>
          <w:tab w:val="left" w:pos="2160"/>
        </w:tabs>
      </w:pPr>
      <w:r>
        <w:t>None of</w:t>
      </w:r>
      <w:r w:rsidR="00DE6C68">
        <w:t xml:space="preserve"> the </w:t>
      </w:r>
      <w:r w:rsidR="00E14A0B">
        <w:t>collection of information requirements</w:t>
      </w:r>
      <w:r w:rsidR="00DE6C68">
        <w:t xml:space="preserve"> in </w:t>
      </w:r>
      <w:r w:rsidR="00B5752C">
        <w:t xml:space="preserve">subpart D </w:t>
      </w:r>
      <w:r w:rsidR="00BC04C2">
        <w:t>contain</w:t>
      </w:r>
      <w:r>
        <w:t xml:space="preserve"> sensitive information.</w:t>
      </w:r>
    </w:p>
    <w:p w:rsidR="00866A7D" w:rsidRPr="0090397B" w:rsidP="00866A7D" w14:paraId="0E4A178C" w14:textId="77777777">
      <w:pPr>
        <w:widowControl/>
        <w:tabs>
          <w:tab w:val="left" w:pos="-1080"/>
          <w:tab w:val="left" w:pos="-720"/>
          <w:tab w:val="left" w:pos="0"/>
          <w:tab w:val="left" w:pos="720"/>
          <w:tab w:val="left" w:pos="990"/>
          <w:tab w:val="left" w:pos="2160"/>
        </w:tabs>
      </w:pPr>
      <w:r w:rsidRPr="0090397B">
        <w:t xml:space="preserve"> </w:t>
      </w:r>
    </w:p>
    <w:p w:rsidR="00866A7D" w:rsidRPr="00210E7F" w:rsidP="00210E7F" w14:paraId="4B76139A" w14:textId="2290B64D">
      <w:pPr>
        <w:pStyle w:val="ListParagraph"/>
        <w:widowControl/>
        <w:numPr>
          <w:ilvl w:val="0"/>
          <w:numId w:val="20"/>
        </w:numPr>
        <w:tabs>
          <w:tab w:val="left" w:pos="-1080"/>
          <w:tab w:val="left" w:pos="-720"/>
          <w:tab w:val="left" w:pos="0"/>
          <w:tab w:val="left" w:pos="720"/>
          <w:tab w:val="left" w:pos="990"/>
          <w:tab w:val="left" w:pos="2160"/>
        </w:tabs>
        <w:rPr>
          <w:b/>
          <w:bCs/>
        </w:rPr>
      </w:pPr>
      <w:r w:rsidRPr="00210E7F">
        <w:rPr>
          <w:b/>
          <w:bCs/>
        </w:rPr>
        <w:t>Provide estimates of the hour burden of the collection of information.</w:t>
      </w:r>
      <w:r w:rsidR="00592C49">
        <w:rPr>
          <w:b/>
          <w:bCs/>
        </w:rPr>
        <w:t xml:space="preserve"> </w:t>
      </w:r>
      <w:r w:rsidRPr="00210E7F">
        <w:rPr>
          <w:b/>
          <w:bCs/>
        </w:rPr>
        <w:t xml:space="preserve">The statement should: </w:t>
      </w:r>
    </w:p>
    <w:p w:rsidR="00866A7D" w:rsidRPr="0090397B" w:rsidP="00866A7D" w14:paraId="0BDAC833" w14:textId="77777777">
      <w:pPr>
        <w:widowControl/>
        <w:tabs>
          <w:tab w:val="left" w:pos="-1080"/>
          <w:tab w:val="left" w:pos="-720"/>
          <w:tab w:val="left" w:pos="0"/>
          <w:tab w:val="left" w:pos="720"/>
          <w:tab w:val="left" w:pos="990"/>
          <w:tab w:val="left" w:pos="2160"/>
        </w:tabs>
        <w:rPr>
          <w:b/>
          <w:bCs/>
        </w:rPr>
      </w:pPr>
    </w:p>
    <w:p w:rsidR="00866A7D" w:rsidRPr="0090397B" w:rsidP="00210E7F" w14:paraId="633F0A6B" w14:textId="70E2DED7">
      <w:pPr>
        <w:pStyle w:val="Level1"/>
        <w:widowControl/>
        <w:numPr>
          <w:ilvl w:val="0"/>
          <w:numId w:val="2"/>
        </w:numPr>
        <w:tabs>
          <w:tab w:val="left" w:pos="-1080"/>
          <w:tab w:val="left" w:pos="-720"/>
          <w:tab w:val="left" w:pos="0"/>
          <w:tab w:val="clear" w:pos="720"/>
          <w:tab w:val="left" w:pos="990"/>
          <w:tab w:val="num" w:pos="1350"/>
          <w:tab w:val="left" w:pos="2160"/>
        </w:tabs>
        <w:ind w:left="1350"/>
        <w:rPr>
          <w:b/>
          <w:bCs/>
        </w:rPr>
      </w:pPr>
      <w:r w:rsidRPr="0090397B">
        <w:rPr>
          <w:b/>
          <w:bCs/>
        </w:rPr>
        <w:t>Indicate the number of respondents, frequency of response, annual hour burden, and an explanation of how the burden was estimated.</w:t>
      </w:r>
      <w:r w:rsidR="00592C49">
        <w:rPr>
          <w:b/>
          <w:bCs/>
        </w:rPr>
        <w:t xml:space="preserve"> </w:t>
      </w:r>
      <w:r w:rsidRPr="0090397B">
        <w:rPr>
          <w:b/>
          <w:bCs/>
        </w:rPr>
        <w:t>Unless directed to do so, agencies should not conduct special surveys to obtain information on which to base hour burden estimates.</w:t>
      </w:r>
      <w:r w:rsidR="00592C49">
        <w:rPr>
          <w:b/>
          <w:bCs/>
        </w:rPr>
        <w:t xml:space="preserve"> </w:t>
      </w:r>
      <w:r w:rsidRPr="0090397B">
        <w:rPr>
          <w:b/>
          <w:bCs/>
        </w:rPr>
        <w:t xml:space="preserve">Consultation with a sample (fewer than </w:t>
      </w:r>
      <w:r w:rsidRPr="0090397B">
        <w:rPr>
          <w:b/>
          <w:bCs/>
        </w:rPr>
        <w:t>10) of potential respondents is desirable.</w:t>
      </w:r>
      <w:r w:rsidR="00592C49">
        <w:rPr>
          <w:b/>
          <w:bCs/>
        </w:rPr>
        <w:t xml:space="preserve"> </w:t>
      </w:r>
      <w:r w:rsidRPr="0090397B">
        <w:rPr>
          <w:b/>
          <w:bCs/>
        </w:rPr>
        <w:t>If the hour burden on respondents is expected to vary widely because of differences in activity, size, or complexity, show the range of estimated hour burden, and explain the reasons for the variance.</w:t>
      </w:r>
      <w:r w:rsidR="00592C49">
        <w:rPr>
          <w:b/>
          <w:bCs/>
        </w:rPr>
        <w:t xml:space="preserve"> </w:t>
      </w:r>
      <w:r w:rsidRPr="0090397B">
        <w:rPr>
          <w:b/>
          <w:bCs/>
        </w:rPr>
        <w:t>Generally, estimates should not include burden hours for customary and usual business practices.</w:t>
      </w:r>
    </w:p>
    <w:p w:rsidR="00866A7D" w:rsidRPr="0090397B" w:rsidP="00210E7F" w14:paraId="047F8610" w14:textId="77777777">
      <w:pPr>
        <w:widowControl/>
        <w:tabs>
          <w:tab w:val="left" w:pos="-1080"/>
          <w:tab w:val="left" w:pos="-720"/>
          <w:tab w:val="left" w:pos="0"/>
          <w:tab w:val="left" w:pos="720"/>
          <w:tab w:val="left" w:pos="990"/>
          <w:tab w:val="left" w:pos="2160"/>
        </w:tabs>
        <w:ind w:left="630"/>
        <w:rPr>
          <w:b/>
          <w:bCs/>
        </w:rPr>
      </w:pPr>
    </w:p>
    <w:p w:rsidR="00866A7D" w:rsidRPr="00F93127" w:rsidP="00210E7F" w14:paraId="2B46C976" w14:textId="3A1B2B7F">
      <w:pPr>
        <w:pStyle w:val="Level1"/>
        <w:widowControl/>
        <w:numPr>
          <w:ilvl w:val="0"/>
          <w:numId w:val="2"/>
        </w:numPr>
        <w:tabs>
          <w:tab w:val="left" w:pos="-1080"/>
          <w:tab w:val="left" w:pos="-720"/>
          <w:tab w:val="left" w:pos="0"/>
          <w:tab w:val="clear" w:pos="720"/>
          <w:tab w:val="left" w:pos="990"/>
          <w:tab w:val="num" w:pos="1350"/>
          <w:tab w:val="left" w:pos="2160"/>
        </w:tabs>
        <w:ind w:left="1350"/>
        <w:rPr>
          <w:b/>
          <w:bCs/>
        </w:rPr>
      </w:pPr>
      <w:r w:rsidRPr="00F93127">
        <w:rPr>
          <w:b/>
          <w:bCs/>
        </w:rPr>
        <w:t>If this request for approval covers more than one form, provide separate hour burden estimates for</w:t>
      </w:r>
      <w:r w:rsidRPr="00F93127" w:rsidR="00F93127">
        <w:rPr>
          <w:b/>
          <w:bCs/>
        </w:rPr>
        <w:t xml:space="preserve"> </w:t>
      </w:r>
      <w:r w:rsidRPr="00F93127">
        <w:rPr>
          <w:b/>
          <w:bCs/>
        </w:rPr>
        <w:t>each form</w:t>
      </w:r>
      <w:r w:rsidR="008F45BE">
        <w:rPr>
          <w:b/>
          <w:bCs/>
        </w:rPr>
        <w:t>.</w:t>
      </w:r>
    </w:p>
    <w:p w:rsidR="00866A7D" w:rsidRPr="0090397B" w:rsidP="00210E7F" w14:paraId="55AB8FCE" w14:textId="77777777">
      <w:pPr>
        <w:widowControl/>
        <w:tabs>
          <w:tab w:val="left" w:pos="-1080"/>
          <w:tab w:val="left" w:pos="-720"/>
          <w:tab w:val="left" w:pos="0"/>
          <w:tab w:val="left" w:pos="720"/>
          <w:tab w:val="left" w:pos="990"/>
          <w:tab w:val="left" w:pos="2160"/>
        </w:tabs>
        <w:ind w:left="630"/>
        <w:rPr>
          <w:b/>
          <w:bCs/>
        </w:rPr>
      </w:pPr>
    </w:p>
    <w:p w:rsidR="009561CE" w:rsidRPr="0090397B" w:rsidP="00AD15B1" w14:paraId="1A9FE6F5" w14:textId="33EA7E0F">
      <w:pPr>
        <w:pStyle w:val="Level1"/>
        <w:widowControl/>
        <w:numPr>
          <w:ilvl w:val="0"/>
          <w:numId w:val="2"/>
        </w:numPr>
        <w:tabs>
          <w:tab w:val="left" w:pos="-1080"/>
          <w:tab w:val="left" w:pos="-720"/>
          <w:tab w:val="left" w:pos="0"/>
          <w:tab w:val="clear" w:pos="720"/>
          <w:tab w:val="left" w:pos="990"/>
          <w:tab w:val="num" w:pos="1350"/>
          <w:tab w:val="left" w:pos="2160"/>
        </w:tabs>
        <w:ind w:left="1350"/>
        <w:rPr>
          <w:b/>
          <w:bCs/>
        </w:rPr>
      </w:pPr>
      <w:r w:rsidRPr="0090397B">
        <w:rPr>
          <w:b/>
          <w:bCs/>
        </w:rPr>
        <w:t>Provide estimates of annualized cost to respondents for the hour burdens for collections of information, identifying and using appropriate wage</w:t>
      </w:r>
      <w:r w:rsidRPr="0090397B" w:rsidR="00F847F5">
        <w:rPr>
          <w:b/>
          <w:bCs/>
        </w:rPr>
        <w:t xml:space="preserve"> </w:t>
      </w:r>
      <w:r w:rsidRPr="0090397B">
        <w:rPr>
          <w:b/>
          <w:bCs/>
        </w:rPr>
        <w:t>rate categories.</w:t>
      </w:r>
      <w:r w:rsidR="00592C49">
        <w:rPr>
          <w:b/>
          <w:bCs/>
        </w:rPr>
        <w:t xml:space="preserve"> </w:t>
      </w:r>
      <w:r w:rsidRPr="0090397B" w:rsidR="00F847F5">
        <w:rPr>
          <w:b/>
          <w:bCs/>
        </w:rPr>
        <w:t>The cost of contracting out or paying outside parties for information collection activities should not be included here.</w:t>
      </w:r>
      <w:r w:rsidR="00592C49">
        <w:rPr>
          <w:b/>
          <w:bCs/>
        </w:rPr>
        <w:t xml:space="preserve"> </w:t>
      </w:r>
      <w:r w:rsidRPr="0090397B" w:rsidR="00F847F5">
        <w:rPr>
          <w:b/>
          <w:bCs/>
        </w:rPr>
        <w:t>Instead, this cost should be included in Item 13.</w:t>
      </w:r>
    </w:p>
    <w:p w:rsidR="00866A7D" w:rsidRPr="00210E7F" w:rsidP="00210E7F" w14:paraId="13E405EE" w14:textId="77777777">
      <w:pPr>
        <w:pStyle w:val="Level1"/>
        <w:widowControl/>
        <w:tabs>
          <w:tab w:val="left" w:pos="-1080"/>
          <w:tab w:val="left" w:pos="-720"/>
          <w:tab w:val="left" w:pos="0"/>
          <w:tab w:val="left" w:pos="990"/>
          <w:tab w:val="left" w:pos="2160"/>
        </w:tabs>
        <w:ind w:left="1350" w:firstLine="0"/>
      </w:pPr>
    </w:p>
    <w:p w:rsidR="00401FF2" w:rsidRPr="00A92545" w:rsidP="001302D1" w14:paraId="2DC42DD0" w14:textId="0F420367">
      <w:pPr>
        <w:widowControl/>
        <w:tabs>
          <w:tab w:val="left" w:pos="-1080"/>
          <w:tab w:val="left" w:pos="-720"/>
          <w:tab w:val="left" w:pos="0"/>
          <w:tab w:val="left" w:pos="720"/>
          <w:tab w:val="left" w:pos="990"/>
          <w:tab w:val="left" w:pos="2160"/>
        </w:tabs>
      </w:pPr>
      <w:r w:rsidRPr="00210E7F">
        <w:rPr>
          <w:rFonts w:ascii="Times New Roman Bold" w:hAnsi="Times New Roman Bold"/>
          <w:b/>
          <w:bCs/>
        </w:rPr>
        <w:t xml:space="preserve">Respondent Burden-Hour and Cost </w:t>
      </w:r>
      <w:r w:rsidR="00F72D1D">
        <w:rPr>
          <w:rFonts w:ascii="Times New Roman Bold" w:hAnsi="Times New Roman Bold"/>
          <w:b/>
          <w:bCs/>
        </w:rPr>
        <w:t>B</w:t>
      </w:r>
      <w:r w:rsidRPr="00210E7F" w:rsidR="00F72D1D">
        <w:rPr>
          <w:rFonts w:ascii="Times New Roman Bold" w:hAnsi="Times New Roman Bold"/>
          <w:b/>
          <w:bCs/>
        </w:rPr>
        <w:t xml:space="preserve">urden </w:t>
      </w:r>
      <w:r w:rsidRPr="00210E7F">
        <w:rPr>
          <w:rFonts w:ascii="Times New Roman Bold" w:hAnsi="Times New Roman Bold"/>
          <w:b/>
          <w:bCs/>
        </w:rPr>
        <w:t>Determinations</w:t>
      </w:r>
      <w:r w:rsidRPr="00A92545">
        <w:t xml:space="preserve"> </w:t>
      </w:r>
    </w:p>
    <w:p w:rsidR="00401FF2" w:rsidRPr="0090397B" w:rsidP="001302D1" w14:paraId="5A1E60CC" w14:textId="77777777">
      <w:pPr>
        <w:widowControl/>
        <w:tabs>
          <w:tab w:val="left" w:pos="-1080"/>
          <w:tab w:val="left" w:pos="-720"/>
          <w:tab w:val="left" w:pos="0"/>
          <w:tab w:val="left" w:pos="720"/>
          <w:tab w:val="left" w:pos="990"/>
          <w:tab w:val="left" w:pos="2160"/>
        </w:tabs>
      </w:pPr>
    </w:p>
    <w:p w:rsidR="001302D1" w:rsidP="699E42F7" w14:paraId="5A7462F3" w14:textId="2CD42CC1">
      <w:pPr>
        <w:widowControl/>
        <w:tabs>
          <w:tab w:val="left" w:pos="720"/>
          <w:tab w:val="left" w:pos="990"/>
          <w:tab w:val="left" w:pos="2160"/>
        </w:tabs>
      </w:pPr>
      <w:r w:rsidRPr="00CB21F8">
        <w:t xml:space="preserve">The following sections summarize the burden hour and cost determinations for the information collection requirements specified </w:t>
      </w:r>
      <w:r w:rsidRPr="00CB21F8" w:rsidR="001E355E">
        <w:t>in</w:t>
      </w:r>
      <w:r w:rsidRPr="00CB21F8">
        <w:t xml:space="preserve"> </w:t>
      </w:r>
      <w:r w:rsidRPr="00CB21F8" w:rsidR="007D44DB">
        <w:t>the standard</w:t>
      </w:r>
      <w:r w:rsidRPr="00CB21F8">
        <w:t xml:space="preserve">. The data </w:t>
      </w:r>
      <w:r w:rsidRPr="00CB21F8" w:rsidR="007D44DB">
        <w:t xml:space="preserve">used </w:t>
      </w:r>
      <w:r w:rsidRPr="00CB21F8">
        <w:t xml:space="preserve">for these determinations </w:t>
      </w:r>
      <w:r w:rsidRPr="00CB21F8" w:rsidR="003105F2">
        <w:t>are</w:t>
      </w:r>
      <w:r w:rsidRPr="00CB21F8">
        <w:t xml:space="preserve"> based upon the </w:t>
      </w:r>
      <w:r w:rsidR="00EC520F">
        <w:t xml:space="preserve">final </w:t>
      </w:r>
      <w:r w:rsidRPr="00CB21F8">
        <w:t>economic analysis (FEA) for final subpart D</w:t>
      </w:r>
      <w:r w:rsidR="00DD3182">
        <w:t>,</w:t>
      </w:r>
      <w:r w:rsidRPr="00CB21F8" w:rsidR="006E3094">
        <w:t xml:space="preserve"> published November 18, 2016</w:t>
      </w:r>
      <w:r w:rsidRPr="00CB21F8">
        <w:t xml:space="preserve">, and OSHA's estimate of the time it would take a worker to perform the </w:t>
      </w:r>
      <w:r w:rsidRPr="00CB21F8" w:rsidR="00C7402F">
        <w:t>required information collection</w:t>
      </w:r>
      <w:r w:rsidRPr="00CB21F8">
        <w:t xml:space="preserve"> procedures.</w:t>
      </w:r>
      <w:r>
        <w:rPr>
          <w:rStyle w:val="FootnoteReference"/>
          <w:vertAlign w:val="superscript"/>
        </w:rPr>
        <w:footnoteReference w:id="4"/>
      </w:r>
    </w:p>
    <w:p w:rsidR="00BA28A4" w:rsidP="001302D1" w14:paraId="63F1A834" w14:textId="4E02F505">
      <w:pPr>
        <w:widowControl/>
        <w:tabs>
          <w:tab w:val="left" w:pos="-1080"/>
          <w:tab w:val="left" w:pos="-720"/>
          <w:tab w:val="left" w:pos="0"/>
          <w:tab w:val="left" w:pos="720"/>
          <w:tab w:val="left" w:pos="990"/>
          <w:tab w:val="left" w:pos="2160"/>
        </w:tabs>
      </w:pPr>
    </w:p>
    <w:p w:rsidR="00CB21F8" w:rsidRPr="00A92545" w:rsidP="00CB21F8" w14:paraId="5409773A" w14:textId="1862716D">
      <w:pPr>
        <w:widowControl/>
        <w:tabs>
          <w:tab w:val="left" w:pos="-1080"/>
          <w:tab w:val="left" w:pos="-720"/>
          <w:tab w:val="left" w:pos="0"/>
          <w:tab w:val="left" w:pos="720"/>
          <w:tab w:val="left" w:pos="990"/>
          <w:tab w:val="left" w:pos="2160"/>
        </w:tabs>
      </w:pPr>
      <w:r>
        <w:rPr>
          <w:rFonts w:ascii="Times New Roman Bold" w:hAnsi="Times New Roman Bold"/>
          <w:b/>
          <w:bCs/>
        </w:rPr>
        <w:t>Wage Rate</w:t>
      </w:r>
      <w:r w:rsidRPr="0047185B">
        <w:rPr>
          <w:rFonts w:ascii="Times New Roman Bold" w:hAnsi="Times New Roman Bold"/>
          <w:b/>
          <w:bCs/>
        </w:rPr>
        <w:t>s</w:t>
      </w:r>
      <w:r w:rsidRPr="00A92545">
        <w:t xml:space="preserve"> </w:t>
      </w:r>
    </w:p>
    <w:p w:rsidR="00CB21F8" w:rsidP="00BA28A4" w14:paraId="2A26CEAC" w14:textId="77777777">
      <w:pPr>
        <w:pStyle w:val="paragraph"/>
        <w:spacing w:before="0" w:beforeAutospacing="0" w:after="0" w:afterAutospacing="0"/>
        <w:textAlignment w:val="baseline"/>
        <w:rPr>
          <w:rStyle w:val="normaltextrun"/>
        </w:rPr>
      </w:pPr>
    </w:p>
    <w:p w:rsidR="00BA28A4" w:rsidP="00BA28A4" w14:paraId="66CF0CED" w14:textId="1B35B734">
      <w:pPr>
        <w:pStyle w:val="paragraph"/>
        <w:spacing w:before="0" w:beforeAutospacing="0" w:after="0" w:afterAutospacing="0"/>
        <w:textAlignment w:val="baseline"/>
        <w:rPr>
          <w:rFonts w:ascii="Segoe UI" w:hAnsi="Segoe UI" w:cs="Segoe UI"/>
          <w:sz w:val="18"/>
          <w:szCs w:val="18"/>
        </w:rPr>
      </w:pPr>
      <w:r>
        <w:rPr>
          <w:rStyle w:val="normaltextrun"/>
        </w:rPr>
        <w:t>The agency determined the wage rate from mean hourly wage earnings to represent the cost of employee</w:t>
      </w:r>
      <w:r w:rsidR="002C5E37">
        <w:rPr>
          <w:rStyle w:val="normaltextrun"/>
        </w:rPr>
        <w:t>’s</w:t>
      </w:r>
      <w:r>
        <w:rPr>
          <w:rStyle w:val="normaltextrun"/>
        </w:rPr>
        <w:t xml:space="preserve"> time. For the relevant standard occupational classification category, the agency used the wage rates reported in the Bureau of Labor Statistics (BLS), U.S. Department of Labor, Occupational Employment and Wage Estimates (OEWS), May 2021 [date accessed: </w:t>
      </w:r>
      <w:r w:rsidR="00EC7F6E">
        <w:rPr>
          <w:rStyle w:val="normaltextrun"/>
        </w:rPr>
        <w:t>January 26, 2023</w:t>
      </w:r>
      <w:r>
        <w:rPr>
          <w:rStyle w:val="normaltextrun"/>
        </w:rPr>
        <w:t xml:space="preserve">]. (OEWS data is available at </w:t>
      </w:r>
      <w:hyperlink r:id="rId9" w:tgtFrame="_blank" w:history="1">
        <w:r>
          <w:rPr>
            <w:rStyle w:val="normaltextrun"/>
            <w:color w:val="003399"/>
            <w:u w:val="single"/>
          </w:rPr>
          <w:t>https://www.bls.gov/oes/tables.htm</w:t>
        </w:r>
      </w:hyperlink>
      <w:r>
        <w:rPr>
          <w:rStyle w:val="normaltextrun"/>
        </w:rPr>
        <w:t>. To access a wage rate, select the year, “Occupation Profiles,” and the Standard Occupational Classification (SOC) code.)</w:t>
      </w:r>
      <w:r>
        <w:rPr>
          <w:rStyle w:val="eop"/>
        </w:rPr>
        <w:t> </w:t>
      </w:r>
    </w:p>
    <w:p w:rsidR="00BA28A4" w:rsidP="00BA28A4" w14:paraId="302FC2DB"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A28A4" w:rsidP="699E42F7" w14:paraId="335319EF" w14:textId="270AB047">
      <w:pPr>
        <w:pStyle w:val="paragraph"/>
        <w:spacing w:before="0" w:beforeAutospacing="0" w:after="0" w:afterAutospacing="0"/>
        <w:textAlignment w:val="baseline"/>
        <w:rPr>
          <w:rFonts w:ascii="Segoe UI" w:hAnsi="Segoe UI" w:cs="Segoe UI"/>
          <w:sz w:val="18"/>
          <w:szCs w:val="18"/>
        </w:rPr>
      </w:pPr>
      <w:r w:rsidRPr="699E42F7">
        <w:rPr>
          <w:rStyle w:val="normaltextrun"/>
        </w:rPr>
        <w:t xml:space="preserve">To derive the loaded hourly wage presented in the table below, the agency used data from the Bureau of Labor Statistics’ OEWS report, as described in the paragraph above, and applied to the wage rates a fringe benefit markup from the following BLS release: </w:t>
      </w:r>
      <w:r w:rsidRPr="699E42F7">
        <w:rPr>
          <w:rStyle w:val="normaltextrun"/>
          <w:i/>
          <w:iCs/>
        </w:rPr>
        <w:t>Employer Costs for Employee Compensation News Release</w:t>
      </w:r>
      <w:r w:rsidRPr="699E42F7">
        <w:rPr>
          <w:rStyle w:val="normaltextrun"/>
        </w:rPr>
        <w:t xml:space="preserve"> text, released 10:00 AM (EDT), </w:t>
      </w:r>
      <w:r w:rsidRPr="699E42F7" w:rsidR="009F73B5">
        <w:rPr>
          <w:rStyle w:val="normaltextrun"/>
        </w:rPr>
        <w:t>December</w:t>
      </w:r>
      <w:r w:rsidRPr="699E42F7">
        <w:rPr>
          <w:rStyle w:val="normaltextrun"/>
        </w:rPr>
        <w:t xml:space="preserve"> 1</w:t>
      </w:r>
      <w:r w:rsidRPr="699E42F7" w:rsidR="009F73B5">
        <w:rPr>
          <w:rStyle w:val="normaltextrun"/>
        </w:rPr>
        <w:t>5</w:t>
      </w:r>
      <w:r w:rsidRPr="699E42F7">
        <w:rPr>
          <w:rStyle w:val="normaltextrun"/>
        </w:rPr>
        <w:t>, 2022, (</w:t>
      </w:r>
      <w:hyperlink r:id="rId10">
        <w:r w:rsidRPr="699E42F7" w:rsidR="009F73B5">
          <w:rPr>
            <w:rStyle w:val="Hyperlink"/>
          </w:rPr>
          <w:t>https://www.bls.gov/news.release/archives/ecec_12152022.htm</w:t>
        </w:r>
      </w:hyperlink>
      <w:r w:rsidRPr="699E42F7">
        <w:rPr>
          <w:rStyle w:val="normaltextrun"/>
        </w:rPr>
        <w:t>). BLS reported that fringe benefits accounted for 31.0 percent of total compensation</w:t>
      </w:r>
      <w:r w:rsidR="00F6312D">
        <w:rPr>
          <w:rStyle w:val="normaltextrun"/>
        </w:rPr>
        <w:t xml:space="preserve"> for civilian workers</w:t>
      </w:r>
      <w:r w:rsidRPr="699E42F7">
        <w:rPr>
          <w:rStyle w:val="normaltextrun"/>
        </w:rPr>
        <w:t>, and wage rates accounted for 69.0 percent.</w:t>
      </w:r>
      <w:r w:rsidR="00806CA8">
        <w:rPr>
          <w:rStyle w:val="normaltextrun"/>
        </w:rPr>
        <w:t xml:space="preserve"> T</w:t>
      </w:r>
      <w:r w:rsidRPr="699E42F7">
        <w:rPr>
          <w:rStyle w:val="normaltextrun"/>
        </w:rPr>
        <w:t>he agency divided the mean hourly wage by one (1) minus the fringe benefits</w:t>
      </w:r>
      <w:r w:rsidR="00806CA8">
        <w:rPr>
          <w:rStyle w:val="normaltextrun"/>
        </w:rPr>
        <w:t xml:space="preserve"> t</w:t>
      </w:r>
      <w:r w:rsidRPr="699E42F7" w:rsidR="00806CA8">
        <w:rPr>
          <w:rStyle w:val="normaltextrun"/>
        </w:rPr>
        <w:t>o calculate the loaded hourly wage</w:t>
      </w:r>
      <w:r w:rsidRPr="699E42F7">
        <w:rPr>
          <w:rStyle w:val="normaltextrun"/>
        </w:rPr>
        <w:t>.</w:t>
      </w:r>
      <w:r w:rsidRPr="699E42F7" w:rsidR="00592C49">
        <w:rPr>
          <w:rStyle w:val="normaltextrun"/>
        </w:rPr>
        <w:t xml:space="preserve"> </w:t>
      </w:r>
    </w:p>
    <w:p w:rsidR="00BA28A4" w:rsidP="00BA28A4" w14:paraId="1616BF84"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A28A4" w:rsidP="699E42F7" w14:paraId="01BDEEB1" w14:textId="3C0672C0">
      <w:pPr>
        <w:pStyle w:val="paragraph"/>
        <w:spacing w:before="0" w:beforeAutospacing="0" w:after="0" w:afterAutospacing="0"/>
        <w:textAlignment w:val="baseline"/>
        <w:rPr>
          <w:rStyle w:val="eop"/>
        </w:rPr>
      </w:pPr>
      <w:r w:rsidRPr="699E42F7">
        <w:rPr>
          <w:rStyle w:val="normaltextrun"/>
        </w:rPr>
        <w:t>Table 1, below, summarizes how the wage rate estimate was derived for the information collection requirements specified in the standard.</w:t>
      </w:r>
      <w:r w:rsidRPr="699E42F7">
        <w:rPr>
          <w:rStyle w:val="eop"/>
        </w:rPr>
        <w:t> </w:t>
      </w:r>
    </w:p>
    <w:p w:rsidR="00305E13" w:rsidP="699E42F7" w14:paraId="5E6D1547" w14:textId="77777777">
      <w:pPr>
        <w:pStyle w:val="paragraph"/>
        <w:spacing w:before="0" w:beforeAutospacing="0" w:after="0" w:afterAutospacing="0"/>
        <w:textAlignment w:val="baseline"/>
        <w:rPr>
          <w:rStyle w:val="eop"/>
        </w:rPr>
      </w:pPr>
    </w:p>
    <w:tbl>
      <w:tblPr>
        <w:tblW w:w="8085"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0"/>
        <w:gridCol w:w="1440"/>
        <w:gridCol w:w="1620"/>
        <w:gridCol w:w="1140"/>
        <w:gridCol w:w="2145"/>
      </w:tblGrid>
      <w:tr w14:paraId="30EAAEE9" w14:textId="77777777" w:rsidTr="699E42F7">
        <w:tblPrEx>
          <w:tblW w:w="8085"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085" w:type="dxa"/>
            <w:gridSpan w:val="5"/>
            <w:shd w:val="clear" w:color="auto" w:fill="B4C6E7" w:themeFill="accent5" w:themeFillTint="66"/>
          </w:tcPr>
          <w:p w:rsidR="004F2E0A" w:rsidRPr="0090397B" w:rsidP="00E03395" w14:paraId="3E93387B" w14:textId="6244D6A0">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AB1D99">
              <w:rPr>
                <w:b/>
                <w:shd w:val="clear" w:color="auto" w:fill="B4C6E7" w:themeFill="accent5" w:themeFillTint="66"/>
              </w:rPr>
              <w:t xml:space="preserve">Table 1 – </w:t>
            </w:r>
            <w:r w:rsidRPr="00AB1D99" w:rsidR="004846FC">
              <w:rPr>
                <w:b/>
                <w:shd w:val="clear" w:color="auto" w:fill="B4C6E7" w:themeFill="accent5" w:themeFillTint="66"/>
              </w:rPr>
              <w:t>Estimated Wage Rates</w:t>
            </w:r>
          </w:p>
        </w:tc>
      </w:tr>
      <w:tr w14:paraId="1257B2FE" w14:textId="77777777" w:rsidTr="699E42F7">
        <w:tblPrEx>
          <w:tblW w:w="8085" w:type="dxa"/>
          <w:tblInd w:w="705" w:type="dxa"/>
          <w:tblLook w:val="04A0"/>
        </w:tblPrEx>
        <w:tc>
          <w:tcPr>
            <w:tcW w:w="1740" w:type="dxa"/>
            <w:shd w:val="clear" w:color="auto" w:fill="D9E2F3" w:themeFill="accent5" w:themeFillTint="33"/>
          </w:tcPr>
          <w:p w:rsidR="004F2E0A" w:rsidRPr="0090397B" w:rsidP="00AB1D99" w14:paraId="3644ED86" w14:textId="7C0BE9DC">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rPr>
            </w:pPr>
            <w:r w:rsidRPr="0090397B">
              <w:rPr>
                <w:b/>
              </w:rPr>
              <w:t>Occupation</w:t>
            </w:r>
            <w:r w:rsidR="004D08F2">
              <w:rPr>
                <w:b/>
              </w:rPr>
              <w:t>al Title</w:t>
            </w:r>
          </w:p>
        </w:tc>
        <w:tc>
          <w:tcPr>
            <w:tcW w:w="1440" w:type="dxa"/>
            <w:shd w:val="clear" w:color="auto" w:fill="D9E2F3" w:themeFill="accent5" w:themeFillTint="33"/>
          </w:tcPr>
          <w:p w:rsidR="004F2E0A" w:rsidRPr="0090397B" w:rsidP="00AB1D99" w14:paraId="0D58EF18" w14:textId="4CEEB53D">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rPr>
            </w:pPr>
            <w:r w:rsidRPr="0090397B">
              <w:rPr>
                <w:b/>
              </w:rPr>
              <w:t>S</w:t>
            </w:r>
            <w:r w:rsidR="00BA28A4">
              <w:rPr>
                <w:b/>
              </w:rPr>
              <w:t>tandard Occupation Code</w:t>
            </w:r>
          </w:p>
        </w:tc>
        <w:tc>
          <w:tcPr>
            <w:tcW w:w="1620" w:type="dxa"/>
            <w:shd w:val="clear" w:color="auto" w:fill="D9E2F3" w:themeFill="accent5" w:themeFillTint="33"/>
          </w:tcPr>
          <w:p w:rsidR="004F2E0A" w:rsidRPr="00541B9B" w:rsidP="699E42F7" w14:paraId="27D93526" w14:textId="153A6B21">
            <w:pPr>
              <w:pStyle w:val="BodyTextInden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bCs/>
              </w:rPr>
            </w:pPr>
            <w:r w:rsidRPr="699E42F7">
              <w:rPr>
                <w:b/>
                <w:bCs/>
              </w:rPr>
              <w:t xml:space="preserve">Mean </w:t>
            </w:r>
            <w:r w:rsidRPr="699E42F7" w:rsidR="00BA28A4">
              <w:rPr>
                <w:b/>
                <w:bCs/>
              </w:rPr>
              <w:t>H</w:t>
            </w:r>
            <w:r w:rsidRPr="699E42F7">
              <w:rPr>
                <w:b/>
                <w:bCs/>
              </w:rPr>
              <w:t xml:space="preserve">ourly </w:t>
            </w:r>
            <w:r w:rsidRPr="699E42F7" w:rsidR="00BA28A4">
              <w:rPr>
                <w:b/>
                <w:bCs/>
              </w:rPr>
              <w:t>W</w:t>
            </w:r>
            <w:r w:rsidRPr="699E42F7">
              <w:rPr>
                <w:b/>
                <w:bCs/>
              </w:rPr>
              <w:t>age</w:t>
            </w:r>
            <w:r w:rsidRPr="699E42F7" w:rsidR="00BA28A4">
              <w:rPr>
                <w:b/>
                <w:bCs/>
              </w:rPr>
              <w:t xml:space="preserve"> Rate </w:t>
            </w:r>
            <w:r w:rsidRPr="699E42F7" w:rsidR="00BA28A4">
              <w:rPr>
                <w:i/>
                <w:iCs/>
              </w:rPr>
              <w:t>(a)</w:t>
            </w:r>
          </w:p>
        </w:tc>
        <w:tc>
          <w:tcPr>
            <w:tcW w:w="1140" w:type="dxa"/>
            <w:shd w:val="clear" w:color="auto" w:fill="D9E2F3" w:themeFill="accent5" w:themeFillTint="33"/>
          </w:tcPr>
          <w:p w:rsidR="004F2E0A" w:rsidRPr="00541B9B" w:rsidP="00AB1D99" w14:paraId="348C691F" w14:textId="2B805EC4">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rPr>
            </w:pPr>
            <w:r w:rsidRPr="699E42F7">
              <w:rPr>
                <w:b/>
                <w:bCs/>
              </w:rPr>
              <w:t xml:space="preserve">Fringe </w:t>
            </w:r>
            <w:r w:rsidRPr="699E42F7" w:rsidR="00BA28A4">
              <w:rPr>
                <w:b/>
                <w:bCs/>
              </w:rPr>
              <w:t>B</w:t>
            </w:r>
            <w:r w:rsidRPr="699E42F7">
              <w:rPr>
                <w:b/>
                <w:bCs/>
              </w:rPr>
              <w:t>enefit</w:t>
            </w:r>
            <w:r w:rsidRPr="699E42F7" w:rsidR="00BA28A4">
              <w:rPr>
                <w:b/>
                <w:bCs/>
              </w:rPr>
              <w:t>s</w:t>
            </w:r>
          </w:p>
          <w:p w:rsidR="00BA28A4" w:rsidRPr="00541B9B" w:rsidP="699E42F7" w14:paraId="52D8CCF1" w14:textId="0933F939">
            <w:pPr>
              <w:pStyle w:val="BodyTextInden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i/>
                <w:iCs/>
              </w:rPr>
            </w:pPr>
            <w:r w:rsidRPr="699E42F7">
              <w:rPr>
                <w:i/>
                <w:iCs/>
              </w:rPr>
              <w:t>(b)</w:t>
            </w:r>
          </w:p>
        </w:tc>
        <w:tc>
          <w:tcPr>
            <w:tcW w:w="2145" w:type="dxa"/>
            <w:shd w:val="clear" w:color="auto" w:fill="D9E2F3" w:themeFill="accent5" w:themeFillTint="33"/>
          </w:tcPr>
          <w:p w:rsidR="004F2E0A" w:rsidRPr="00541B9B" w:rsidP="699E42F7" w14:paraId="623B2718" w14:textId="0A60118D">
            <w:pPr>
              <w:pStyle w:val="BodyTextInden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bCs/>
              </w:rPr>
            </w:pPr>
            <w:r w:rsidRPr="699E42F7">
              <w:rPr>
                <w:b/>
                <w:bCs/>
              </w:rPr>
              <w:t xml:space="preserve">Loaded </w:t>
            </w:r>
            <w:r w:rsidRPr="699E42F7" w:rsidR="56E0F57E">
              <w:rPr>
                <w:b/>
                <w:bCs/>
              </w:rPr>
              <w:t>Hourly W</w:t>
            </w:r>
            <w:r w:rsidRPr="699E42F7">
              <w:rPr>
                <w:b/>
                <w:bCs/>
              </w:rPr>
              <w:t>age</w:t>
            </w:r>
            <w:r w:rsidRPr="699E42F7" w:rsidR="56E0F57E">
              <w:rPr>
                <w:b/>
                <w:bCs/>
              </w:rPr>
              <w:t xml:space="preserve"> Rate</w:t>
            </w:r>
            <w:r w:rsidR="004D08F2">
              <w:br/>
            </w:r>
            <w:r w:rsidRPr="699E42F7" w:rsidR="56E0F57E">
              <w:rPr>
                <w:i/>
                <w:iCs/>
              </w:rPr>
              <w:t>(c) = (a)</w:t>
            </w:r>
            <w:r w:rsidRPr="699E42F7" w:rsidR="06A74CC9">
              <w:rPr>
                <w:i/>
                <w:iCs/>
              </w:rPr>
              <w:t>(</w:t>
            </w:r>
            <w:r w:rsidRPr="699E42F7" w:rsidR="56E0F57E">
              <w:rPr>
                <w:i/>
                <w:iCs/>
              </w:rPr>
              <w:t>1/(1-(b))</w:t>
            </w:r>
            <w:r w:rsidRPr="699E42F7" w:rsidR="06A74CC9">
              <w:rPr>
                <w:i/>
                <w:iCs/>
              </w:rPr>
              <w:t>)</w:t>
            </w:r>
          </w:p>
        </w:tc>
      </w:tr>
      <w:tr w14:paraId="536C1B2A" w14:textId="77777777" w:rsidTr="699E42F7">
        <w:tblPrEx>
          <w:tblW w:w="8085" w:type="dxa"/>
          <w:tblInd w:w="705" w:type="dxa"/>
          <w:tblLook w:val="04A0"/>
        </w:tblPrEx>
        <w:tc>
          <w:tcPr>
            <w:tcW w:w="1740" w:type="dxa"/>
            <w:shd w:val="clear" w:color="auto" w:fill="auto"/>
          </w:tcPr>
          <w:p w:rsidR="004F2E0A" w:rsidRPr="0090397B" w:rsidP="00E03395" w14:paraId="497A63A2"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rsidRPr="0090397B">
              <w:t>Industrial Production Manager</w:t>
            </w:r>
          </w:p>
        </w:tc>
        <w:tc>
          <w:tcPr>
            <w:tcW w:w="1440" w:type="dxa"/>
            <w:shd w:val="clear" w:color="auto" w:fill="auto"/>
          </w:tcPr>
          <w:p w:rsidR="004F2E0A" w:rsidRPr="0090397B" w:rsidP="00AB1D99" w14:paraId="774D21E1"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90397B">
              <w:t>11-3051</w:t>
            </w:r>
          </w:p>
        </w:tc>
        <w:tc>
          <w:tcPr>
            <w:tcW w:w="1620" w:type="dxa"/>
            <w:shd w:val="clear" w:color="auto" w:fill="auto"/>
          </w:tcPr>
          <w:p w:rsidR="004F2E0A" w:rsidRPr="0090397B" w:rsidP="00AB1D99" w14:paraId="6519A162" w14:textId="4429A991">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t>$56.62</w:t>
            </w:r>
          </w:p>
        </w:tc>
        <w:tc>
          <w:tcPr>
            <w:tcW w:w="1140" w:type="dxa"/>
            <w:shd w:val="clear" w:color="auto" w:fill="auto"/>
          </w:tcPr>
          <w:p w:rsidR="004F2E0A" w:rsidRPr="0090397B" w:rsidP="00AB1D99" w14:paraId="23511521" w14:textId="07B7E82C">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t>.31</w:t>
            </w:r>
          </w:p>
        </w:tc>
        <w:tc>
          <w:tcPr>
            <w:tcW w:w="2145" w:type="dxa"/>
            <w:shd w:val="clear" w:color="auto" w:fill="auto"/>
          </w:tcPr>
          <w:p w:rsidR="004F2E0A" w:rsidRPr="0090397B" w:rsidP="00AB1D99" w14:paraId="78A4555F" w14:textId="3CA8527D">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t>$82.06</w:t>
            </w:r>
          </w:p>
        </w:tc>
      </w:tr>
      <w:tr w14:paraId="5D441C83" w14:textId="77777777" w:rsidTr="699E42F7">
        <w:tblPrEx>
          <w:tblW w:w="8085" w:type="dxa"/>
          <w:tblInd w:w="705" w:type="dxa"/>
          <w:tblLook w:val="04A0"/>
        </w:tblPrEx>
        <w:tc>
          <w:tcPr>
            <w:tcW w:w="1740" w:type="dxa"/>
            <w:shd w:val="clear" w:color="auto" w:fill="auto"/>
          </w:tcPr>
          <w:p w:rsidR="004F64E4" w:rsidRPr="0090397B" w:rsidP="00E03395" w14:paraId="755B0B9F"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left"/>
            </w:pPr>
            <w:r w:rsidRPr="0090397B">
              <w:t>Office and Administrative Support</w:t>
            </w:r>
          </w:p>
        </w:tc>
        <w:tc>
          <w:tcPr>
            <w:tcW w:w="1440" w:type="dxa"/>
            <w:shd w:val="clear" w:color="auto" w:fill="auto"/>
          </w:tcPr>
          <w:p w:rsidR="004F64E4" w:rsidRPr="0090397B" w:rsidP="00AB1D99" w14:paraId="40D9CC25"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90397B">
              <w:t>43-9199</w:t>
            </w:r>
          </w:p>
        </w:tc>
        <w:tc>
          <w:tcPr>
            <w:tcW w:w="1620" w:type="dxa"/>
            <w:shd w:val="clear" w:color="auto" w:fill="auto"/>
          </w:tcPr>
          <w:p w:rsidR="004F64E4" w:rsidRPr="0090397B" w:rsidP="00AB1D99" w14:paraId="7E798B2B" w14:textId="62DD510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t>$20.47</w:t>
            </w:r>
          </w:p>
        </w:tc>
        <w:tc>
          <w:tcPr>
            <w:tcW w:w="1140" w:type="dxa"/>
            <w:shd w:val="clear" w:color="auto" w:fill="auto"/>
          </w:tcPr>
          <w:p w:rsidR="004F64E4" w:rsidRPr="0090397B" w:rsidP="00AB1D99" w14:paraId="17DCE7C3" w14:textId="75825CB0">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t>.31</w:t>
            </w:r>
          </w:p>
        </w:tc>
        <w:tc>
          <w:tcPr>
            <w:tcW w:w="2145" w:type="dxa"/>
            <w:shd w:val="clear" w:color="auto" w:fill="auto"/>
          </w:tcPr>
          <w:p w:rsidR="004F64E4" w:rsidRPr="0090397B" w:rsidP="00AB1D99" w14:paraId="10B3D020" w14:textId="6ED5FA2A">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t>$</w:t>
            </w:r>
            <w:r w:rsidR="005B27F7">
              <w:t>29.67</w:t>
            </w:r>
          </w:p>
        </w:tc>
      </w:tr>
    </w:tbl>
    <w:p w:rsidR="001302D1" w:rsidP="001302D1" w14:paraId="1906B2F8" w14:textId="5D8F4DD2"/>
    <w:p w:rsidR="00FB4DFD" w:rsidP="001302D1" w14:paraId="4C89CFD8" w14:textId="498378A5">
      <w:pPr>
        <w:rPr>
          <w:rFonts w:ascii="Times New Roman Bold" w:hAnsi="Times New Roman Bold"/>
          <w:b/>
          <w:bCs/>
        </w:rPr>
      </w:pPr>
      <w:r w:rsidRPr="00344C41">
        <w:rPr>
          <w:rFonts w:ascii="Times New Roman Bold" w:hAnsi="Times New Roman Bold"/>
          <w:b/>
          <w:bCs/>
        </w:rPr>
        <w:t>Burden-Hour and Cost Determinations</w:t>
      </w:r>
    </w:p>
    <w:p w:rsidR="00FB4DFD" w:rsidRPr="0090397B" w:rsidP="001302D1" w14:paraId="2359B0DB" w14:textId="77777777"/>
    <w:p w:rsidR="001302D1" w:rsidRPr="0090397B" w:rsidP="001302D1" w14:paraId="310CA4B8" w14:textId="2B4888A5">
      <w:r>
        <w:t>According</w:t>
      </w:r>
      <w:r w:rsidR="00B91838">
        <w:t xml:space="preserve"> to</w:t>
      </w:r>
      <w:r>
        <w:t xml:space="preserve"> </w:t>
      </w:r>
      <w:r w:rsidR="00CD0B90">
        <w:t>subpart D</w:t>
      </w:r>
      <w:r>
        <w:t xml:space="preserve">, </w:t>
      </w:r>
      <w:r w:rsidR="00C7402F">
        <w:t>the scope</w:t>
      </w:r>
      <w:r w:rsidR="00A90DC1">
        <w:t xml:space="preserve"> of the standard</w:t>
      </w:r>
      <w:r w:rsidR="00C7402F">
        <w:t xml:space="preserve"> covers </w:t>
      </w:r>
      <w:r>
        <w:t>6,855,903 establishments and 112 million workers.</w:t>
      </w:r>
    </w:p>
    <w:p w:rsidR="001302D1" w:rsidRPr="0090397B" w:rsidP="001302D1" w14:paraId="4D17EB67" w14:textId="77777777"/>
    <w:p w:rsidR="00FC560D" w:rsidRPr="0090397B" w:rsidP="00AA22C1" w14:paraId="74ED753D" w14:textId="6CFFC959">
      <w:r>
        <w:rPr>
          <w:b/>
        </w:rPr>
        <w:t xml:space="preserve">1. </w:t>
      </w:r>
      <w:r w:rsidR="007755B7">
        <w:rPr>
          <w:b/>
        </w:rPr>
        <w:t xml:space="preserve"> </w:t>
      </w:r>
      <w:r w:rsidRPr="00AB1D99" w:rsidR="005B27F7">
        <w:rPr>
          <w:b/>
        </w:rPr>
        <w:t>Ladders, General Requirements for All Ladders (§ 1910.23(b)(10))</w:t>
      </w:r>
    </w:p>
    <w:p w:rsidR="001302D1" w:rsidRPr="0090397B" w:rsidP="00925312" w14:paraId="2DA1D054" w14:textId="2C14BA41">
      <w:pPr>
        <w:rPr>
          <w:b/>
        </w:rPr>
      </w:pPr>
    </w:p>
    <w:p w:rsidR="001302D1" w:rsidRPr="0090397B" w:rsidP="00925312" w14:paraId="33C1FD6F" w14:textId="11B2D4F2">
      <w:pPr>
        <w:rPr>
          <w:b/>
        </w:rPr>
      </w:pPr>
      <w:r>
        <w:rPr>
          <w:color w:val="000000"/>
        </w:rPr>
        <w:t xml:space="preserve">Paragraph </w:t>
      </w:r>
      <w:r w:rsidRPr="0090397B">
        <w:rPr>
          <w:color w:val="000000"/>
        </w:rPr>
        <w:t>(</w:t>
      </w:r>
      <w:r w:rsidRPr="0090397B" w:rsidR="00257DF7">
        <w:rPr>
          <w:color w:val="000000"/>
        </w:rPr>
        <w:t>b</w:t>
      </w:r>
      <w:r w:rsidRPr="0090397B">
        <w:rPr>
          <w:color w:val="000000"/>
        </w:rPr>
        <w:t>)</w:t>
      </w:r>
      <w:r w:rsidRPr="0090397B" w:rsidR="00257DF7">
        <w:rPr>
          <w:color w:val="000000"/>
        </w:rPr>
        <w:t xml:space="preserve">(10) </w:t>
      </w:r>
      <w:r w:rsidRPr="0090397B" w:rsidR="00C7402F">
        <w:rPr>
          <w:color w:val="000000"/>
        </w:rPr>
        <w:t>r</w:t>
      </w:r>
      <w:r w:rsidRPr="0090397B" w:rsidR="00257DF7">
        <w:rPr>
          <w:color w:val="000000"/>
        </w:rPr>
        <w:t xml:space="preserve">equires that the employer ensure </w:t>
      </w:r>
      <w:r w:rsidRPr="0090397B" w:rsidR="00F93127">
        <w:rPr>
          <w:color w:val="000000"/>
        </w:rPr>
        <w:t>that “</w:t>
      </w:r>
      <w:r w:rsidRPr="0090397B" w:rsidR="00C7402F">
        <w:rPr>
          <w:color w:val="000000"/>
        </w:rPr>
        <w:t>[a</w:t>
      </w:r>
      <w:r w:rsidRPr="0090397B" w:rsidR="00C7402F">
        <w:t>]</w:t>
      </w:r>
      <w:r w:rsidRPr="0090397B" w:rsidR="00257DF7">
        <w:t>ny ladder with structural or other defects is immediately tagged “Dangerous: Do Not Use” or with similar language in accordance with §</w:t>
      </w:r>
      <w:r w:rsidR="00D53E1C">
        <w:t xml:space="preserve"> </w:t>
      </w:r>
      <w:r w:rsidRPr="0090397B" w:rsidR="00257DF7">
        <w:t xml:space="preserve">1910.145 and removed from service until </w:t>
      </w:r>
      <w:r w:rsidRPr="0090397B" w:rsidR="00F93127">
        <w:t>repaired or</w:t>
      </w:r>
      <w:r w:rsidRPr="0090397B" w:rsidR="00257DF7">
        <w:t xml:space="preserve"> replaced</w:t>
      </w:r>
      <w:r w:rsidRPr="0090397B" w:rsidR="00C7402F">
        <w:t>.</w:t>
      </w:r>
      <w:r w:rsidRPr="0090397B" w:rsidR="00257DF7">
        <w:t>”</w:t>
      </w:r>
    </w:p>
    <w:p w:rsidR="001302D1" w:rsidRPr="0090397B" w:rsidP="001302D1" w14:paraId="342459C6" w14:textId="77777777">
      <w:pPr>
        <w:rPr>
          <w:b/>
        </w:rPr>
      </w:pPr>
    </w:p>
    <w:p w:rsidR="003102BA" w:rsidP="001302D1" w14:paraId="2EEBBF17" w14:textId="60194F49">
      <w:r>
        <w:t xml:space="preserve">The </w:t>
      </w:r>
      <w:r w:rsidR="00951A75">
        <w:t>a</w:t>
      </w:r>
      <w:r>
        <w:t xml:space="preserve">gency assumes that, on average, each of the </w:t>
      </w:r>
      <w:r w:rsidR="00A76421">
        <w:t>covered</w:t>
      </w:r>
      <w:r>
        <w:t xml:space="preserve"> establishments ha</w:t>
      </w:r>
      <w:r w:rsidR="001E355E">
        <w:t>s</w:t>
      </w:r>
      <w:r>
        <w:t xml:space="preserve"> a</w:t>
      </w:r>
      <w:r w:rsidR="00A76421">
        <w:t>n average of</w:t>
      </w:r>
      <w:r>
        <w:t xml:space="preserve"> </w:t>
      </w:r>
      <w:r w:rsidR="00B547F8">
        <w:t xml:space="preserve">three </w:t>
      </w:r>
      <w:r>
        <w:t>ladder</w:t>
      </w:r>
      <w:r w:rsidR="00B547F8">
        <w:t xml:space="preserve">s </w:t>
      </w:r>
      <w:r w:rsidR="00B93A89">
        <w:t>(</w:t>
      </w:r>
      <w:r w:rsidR="00B547F8">
        <w:t>20,567,709</w:t>
      </w:r>
      <w:r w:rsidR="00B93A89">
        <w:t xml:space="preserve"> ladders</w:t>
      </w:r>
      <w:r w:rsidR="00B547F8">
        <w:t>)</w:t>
      </w:r>
      <w:r w:rsidR="008B5183">
        <w:t>, and that</w:t>
      </w:r>
      <w:r w:rsidR="001302D1">
        <w:t xml:space="preserve"> 20% of th</w:t>
      </w:r>
      <w:r w:rsidR="00B93A89">
        <w:t>e covered</w:t>
      </w:r>
      <w:r w:rsidR="001302D1">
        <w:t xml:space="preserve"> establishments (1,371,181</w:t>
      </w:r>
      <w:r w:rsidR="00B93A89">
        <w:t xml:space="preserve"> establishments</w:t>
      </w:r>
      <w:r w:rsidR="006D0382">
        <w:t>)</w:t>
      </w:r>
      <w:r w:rsidR="001302D1">
        <w:t xml:space="preserve"> will buy </w:t>
      </w:r>
      <w:r w:rsidR="00464ADB">
        <w:t xml:space="preserve">a </w:t>
      </w:r>
      <w:r w:rsidR="001302D1">
        <w:t>new ladder</w:t>
      </w:r>
      <w:r w:rsidR="001E355E">
        <w:t xml:space="preserve"> </w:t>
      </w:r>
      <w:r w:rsidR="006D0382">
        <w:t>(</w:t>
      </w:r>
      <w:r w:rsidR="00090555">
        <w:t>1,371,181</w:t>
      </w:r>
      <w:r w:rsidR="00B93A89">
        <w:t xml:space="preserve"> ladders</w:t>
      </w:r>
      <w:r w:rsidR="006D0382">
        <w:t>)</w:t>
      </w:r>
      <w:r w:rsidR="001302D1">
        <w:t xml:space="preserve"> every </w:t>
      </w:r>
      <w:r w:rsidR="008C7B72">
        <w:t xml:space="preserve">five </w:t>
      </w:r>
      <w:r w:rsidR="001302D1">
        <w:t>years</w:t>
      </w:r>
      <w:r w:rsidR="00DE0A34">
        <w:t xml:space="preserve">. These assumptions </w:t>
      </w:r>
      <w:r>
        <w:t>indicat</w:t>
      </w:r>
      <w:r w:rsidR="00DE0A34">
        <w:t>e</w:t>
      </w:r>
      <w:r w:rsidR="00C7402F">
        <w:t xml:space="preserve"> that </w:t>
      </w:r>
      <w:r w:rsidR="000D221E">
        <w:t xml:space="preserve">there </w:t>
      </w:r>
      <w:r w:rsidR="00C7402F">
        <w:t xml:space="preserve">will </w:t>
      </w:r>
      <w:r w:rsidR="000D221E">
        <w:t>be 19,196,528 (20,567,70</w:t>
      </w:r>
      <w:r w:rsidR="00DE0A34">
        <w:t>9 total ladders</w:t>
      </w:r>
      <w:r w:rsidR="000D221E">
        <w:t xml:space="preserve"> – 1,371,181</w:t>
      </w:r>
      <w:r w:rsidR="00DE0A34">
        <w:t xml:space="preserve"> new ladders</w:t>
      </w:r>
      <w:r w:rsidR="000D221E">
        <w:t xml:space="preserve">) </w:t>
      </w:r>
      <w:r w:rsidR="001302D1">
        <w:t xml:space="preserve">ladders </w:t>
      </w:r>
      <w:r w:rsidR="000D221E">
        <w:t xml:space="preserve">that will be </w:t>
      </w:r>
      <w:r w:rsidR="001302D1">
        <w:t>in use or need of servicing</w:t>
      </w:r>
      <w:r>
        <w:t xml:space="preserve"> (i.e., tagged ladders)</w:t>
      </w:r>
      <w:r w:rsidR="00464ADB">
        <w:t xml:space="preserve"> at any time</w:t>
      </w:r>
      <w:r w:rsidR="001302D1">
        <w:t xml:space="preserve">. </w:t>
      </w:r>
    </w:p>
    <w:p w:rsidR="003102BA" w:rsidP="001302D1" w14:paraId="6FCFBFA4" w14:textId="77777777"/>
    <w:p w:rsidR="00DA59DF" w:rsidP="001302D1" w14:paraId="25F78A69" w14:textId="1DBD92E0">
      <w:r w:rsidRPr="0090397B">
        <w:t xml:space="preserve">OSHA estimates that only three percent of the ladders in use </w:t>
      </w:r>
      <w:r w:rsidR="00C40274">
        <w:t xml:space="preserve">or in need of servicing </w:t>
      </w:r>
      <w:r w:rsidRPr="0090397B">
        <w:t>(</w:t>
      </w:r>
      <w:r w:rsidRPr="0090397B" w:rsidR="000D221E">
        <w:t>575,896</w:t>
      </w:r>
      <w:r w:rsidR="00C40274">
        <w:t xml:space="preserve"> ladders</w:t>
      </w:r>
      <w:r w:rsidRPr="0090397B">
        <w:t>) will become defective</w:t>
      </w:r>
      <w:r w:rsidRPr="0090397B" w:rsidR="00C509F5">
        <w:t xml:space="preserve"> during any given year</w:t>
      </w:r>
      <w:r w:rsidRPr="0090397B">
        <w:t xml:space="preserve"> </w:t>
      </w:r>
      <w:r w:rsidRPr="0090397B" w:rsidR="00257DF7">
        <w:t xml:space="preserve">and need to be </w:t>
      </w:r>
      <w:r w:rsidRPr="0090397B" w:rsidR="00F81712">
        <w:t>tagged</w:t>
      </w:r>
      <w:r w:rsidRPr="0090397B" w:rsidR="00464ADB">
        <w:t xml:space="preserve"> and removed from service</w:t>
      </w:r>
      <w:r w:rsidRPr="0090397B" w:rsidR="00F81712">
        <w:t>.</w:t>
      </w:r>
      <w:r w:rsidRPr="0090397B" w:rsidR="00C509F5">
        <w:t xml:space="preserve"> </w:t>
      </w:r>
      <w:r w:rsidR="00703EA3">
        <w:t>The</w:t>
      </w:r>
      <w:r w:rsidRPr="0090397B">
        <w:t xml:space="preserve"> </w:t>
      </w:r>
      <w:r w:rsidRPr="0090397B" w:rsidR="00951A75">
        <w:t>a</w:t>
      </w:r>
      <w:r w:rsidRPr="0090397B">
        <w:t xml:space="preserve">gency estimates that only </w:t>
      </w:r>
      <w:r w:rsidRPr="0090397B" w:rsidR="00AA019F">
        <w:t xml:space="preserve">10 </w:t>
      </w:r>
      <w:r w:rsidRPr="0090397B">
        <w:t xml:space="preserve">percent of the </w:t>
      </w:r>
      <w:r w:rsidRPr="0090397B" w:rsidR="00257DF7">
        <w:t>defective</w:t>
      </w:r>
      <w:r w:rsidRPr="0090397B">
        <w:t xml:space="preserve"> </w:t>
      </w:r>
      <w:r w:rsidRPr="0090397B" w:rsidR="003E772B">
        <w:t>ladders</w:t>
      </w:r>
      <w:r w:rsidR="003E772B">
        <w:t xml:space="preserve"> </w:t>
      </w:r>
      <w:r w:rsidRPr="0090397B" w:rsidR="003E772B">
        <w:t>(</w:t>
      </w:r>
      <w:r w:rsidRPr="0090397B">
        <w:t>57,590</w:t>
      </w:r>
      <w:r>
        <w:t xml:space="preserve"> ladders</w:t>
      </w:r>
      <w:r w:rsidRPr="0090397B">
        <w:t xml:space="preserve">) will be tagged with a sign </w:t>
      </w:r>
      <w:r w:rsidR="00641D8A">
        <w:t>containing</w:t>
      </w:r>
      <w:r w:rsidRPr="0090397B">
        <w:t xml:space="preserve"> language other than “Dangerous: Do Not Use</w:t>
      </w:r>
      <w:r>
        <w:t>.”</w:t>
      </w:r>
      <w:r>
        <w:rPr>
          <w:rStyle w:val="FootnoteReference"/>
          <w:vertAlign w:val="superscript"/>
        </w:rPr>
        <w:footnoteReference w:id="5"/>
      </w:r>
      <w:r w:rsidRPr="0090397B">
        <w:t xml:space="preserve"> </w:t>
      </w:r>
    </w:p>
    <w:p w:rsidR="00DA59DF" w:rsidP="001302D1" w14:paraId="0407FBAB" w14:textId="77777777"/>
    <w:p w:rsidR="001302D1" w:rsidRPr="0090397B" w:rsidP="001302D1" w14:paraId="7194E196" w14:textId="5DF7E859">
      <w:r>
        <w:t xml:space="preserve">The </w:t>
      </w:r>
      <w:r w:rsidR="00951A75">
        <w:t>a</w:t>
      </w:r>
      <w:r>
        <w:t xml:space="preserve">gency </w:t>
      </w:r>
      <w:r w:rsidR="00C83B97">
        <w:t xml:space="preserve">estimates </w:t>
      </w:r>
      <w:r>
        <w:t xml:space="preserve">that it will take 3 minutes </w:t>
      </w:r>
      <w:r w:rsidR="00325C91">
        <w:t>(3/60</w:t>
      </w:r>
      <w:r>
        <w:t xml:space="preserve"> hour</w:t>
      </w:r>
      <w:r w:rsidR="0043677C">
        <w:t>s</w:t>
      </w:r>
      <w:r>
        <w:t xml:space="preserve">) for a worker to construct a sign using </w:t>
      </w:r>
      <w:r w:rsidR="0003073C">
        <w:t>alternative</w:t>
      </w:r>
      <w:r>
        <w:t xml:space="preserve"> language, and to </w:t>
      </w:r>
      <w:r w:rsidR="00C509F5">
        <w:t>attach it to the</w:t>
      </w:r>
      <w:r>
        <w:t xml:space="preserve"> ladder.</w:t>
      </w:r>
    </w:p>
    <w:p w:rsidR="001302D1" w:rsidRPr="0090397B" w:rsidP="001302D1" w14:paraId="779F1D77" w14:textId="77777777"/>
    <w:p w:rsidR="001302D1" w:rsidRPr="0090397B" w:rsidP="001302D1" w14:paraId="2E3A66AD" w14:textId="323A537F">
      <w:r w:rsidRPr="0090397B">
        <w:tab/>
      </w:r>
      <w:r w:rsidRPr="0090397B">
        <w:rPr>
          <w:b/>
        </w:rPr>
        <w:t xml:space="preserve">Burden </w:t>
      </w:r>
      <w:r w:rsidR="006B5EE2">
        <w:rPr>
          <w:b/>
        </w:rPr>
        <w:t>H</w:t>
      </w:r>
      <w:r w:rsidRPr="0090397B">
        <w:rPr>
          <w:b/>
        </w:rPr>
        <w:t>ours</w:t>
      </w:r>
      <w:r w:rsidRPr="0090397B">
        <w:t>:</w:t>
      </w:r>
      <w:r w:rsidRPr="0090397B">
        <w:rPr>
          <w:b/>
        </w:rPr>
        <w:tab/>
      </w:r>
      <w:r w:rsidRPr="0090397B" w:rsidR="00193034">
        <w:t>57,590</w:t>
      </w:r>
      <w:r w:rsidRPr="0090397B">
        <w:t xml:space="preserve"> ladders x </w:t>
      </w:r>
      <w:r w:rsidR="00325C91">
        <w:t>3/60</w:t>
      </w:r>
      <w:r w:rsidRPr="0090397B">
        <w:t xml:space="preserve"> hour = </w:t>
      </w:r>
      <w:r w:rsidRPr="0090397B" w:rsidR="00AA019F">
        <w:t>2,</w:t>
      </w:r>
      <w:r w:rsidRPr="0090397B" w:rsidR="00E5366C">
        <w:t>880</w:t>
      </w:r>
      <w:r w:rsidRPr="0090397B" w:rsidR="00AA019F">
        <w:t xml:space="preserve"> </w:t>
      </w:r>
      <w:r w:rsidRPr="0090397B">
        <w:t>hours</w:t>
      </w:r>
      <w:r w:rsidR="007D1ABE">
        <w:t xml:space="preserve"> (rounded)</w:t>
      </w:r>
    </w:p>
    <w:p w:rsidR="001302D1" w:rsidRPr="0090397B" w:rsidP="001302D1" w14:paraId="1181CBD9" w14:textId="33DB4FFB">
      <w:r w:rsidRPr="0090397B">
        <w:tab/>
      </w:r>
      <w:r w:rsidR="00592C49">
        <w:t xml:space="preserve"> </w:t>
      </w:r>
      <w:r w:rsidRPr="0090397B">
        <w:t xml:space="preserve">            </w:t>
      </w:r>
      <w:r w:rsidR="00592C49">
        <w:t xml:space="preserve">   </w:t>
      </w:r>
      <w:r w:rsidRPr="0090397B">
        <w:t xml:space="preserve"> </w:t>
      </w:r>
      <w:r w:rsidRPr="0090397B">
        <w:rPr>
          <w:b/>
        </w:rPr>
        <w:t>Cost</w:t>
      </w:r>
      <w:r w:rsidRPr="0090397B">
        <w:t>:</w:t>
      </w:r>
      <w:r w:rsidRPr="0090397B">
        <w:rPr>
          <w:b/>
        </w:rPr>
        <w:tab/>
      </w:r>
      <w:r w:rsidRPr="0090397B" w:rsidR="00AA019F">
        <w:t>2,</w:t>
      </w:r>
      <w:r w:rsidRPr="0090397B" w:rsidR="0045574B">
        <w:t>880</w:t>
      </w:r>
      <w:r w:rsidRPr="0090397B" w:rsidR="00AA019F">
        <w:t xml:space="preserve"> </w:t>
      </w:r>
      <w:r w:rsidRPr="0090397B">
        <w:t>hours x $</w:t>
      </w:r>
      <w:r w:rsidRPr="0090397B" w:rsidR="004A7D50">
        <w:t>2</w:t>
      </w:r>
      <w:r w:rsidR="0003073C">
        <w:t>9.67</w:t>
      </w:r>
      <w:r w:rsidRPr="0090397B" w:rsidR="003A5352">
        <w:t xml:space="preserve"> </w:t>
      </w:r>
      <w:r w:rsidRPr="0090397B">
        <w:t>= $</w:t>
      </w:r>
      <w:r w:rsidR="007D1ABE">
        <w:t>85,</w:t>
      </w:r>
      <w:r w:rsidR="00355114">
        <w:t>449.60</w:t>
      </w:r>
    </w:p>
    <w:p w:rsidR="00DA59DF" w:rsidRPr="0090397B" w:rsidP="00AD15B1" w14:paraId="17D7A64A" w14:textId="3B80437C">
      <w:r>
        <w:rPr>
          <w:b/>
        </w:rPr>
        <w:t xml:space="preserve">2. </w:t>
      </w:r>
      <w:r w:rsidR="007755B7">
        <w:rPr>
          <w:b/>
        </w:rPr>
        <w:t xml:space="preserve"> </w:t>
      </w:r>
      <w:r w:rsidRPr="00AD15B1" w:rsidR="005B27F7">
        <w:rPr>
          <w:b/>
        </w:rPr>
        <w:t>Rope Descent Systems, Anchorages (§ 1910.27(b)(1))</w:t>
      </w:r>
    </w:p>
    <w:p w:rsidR="0089532D" w:rsidP="0089532D" w14:paraId="23C2EB1D" w14:textId="5BC92B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3C6BDD" w:rsidP="0089532D" w14:paraId="4F9CA6C5" w14:textId="78EF65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r w:rsidRPr="00AD15B1">
        <w:rPr>
          <w:i/>
          <w:iCs/>
        </w:rPr>
        <w:t>§ 1910.27(b)(1)(i)</w:t>
      </w:r>
    </w:p>
    <w:p w:rsidR="00AD15B1" w:rsidRPr="00AD15B1" w:rsidP="0089532D" w14:paraId="13196A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rPr>
      </w:pPr>
    </w:p>
    <w:p w:rsidR="005C2E33" w:rsidP="006451E5" w14:paraId="07C27CD9" w14:textId="50AAD055">
      <w:pPr>
        <w:widowControl/>
        <w:autoSpaceDE/>
        <w:autoSpaceDN/>
        <w:adjustRightInd/>
      </w:pPr>
      <w:r>
        <w:t>Paragraph (b)(1)(i</w:t>
      </w:r>
      <w:r w:rsidR="0070415F">
        <w:t>)</w:t>
      </w:r>
      <w:r>
        <w:t xml:space="preserve"> requires before any rope descent system is used, the building owner must inform the employer, in writing</w:t>
      </w:r>
      <w:r w:rsidR="00576F9C">
        <w:t>,</w:t>
      </w:r>
      <w:r>
        <w:t xml:space="preserve"> that the building owner has identified, tested, certified, and maintained each anchorage so it is capable of supporting at least 5,000 pounds (</w:t>
      </w:r>
      <w:r w:rsidR="00951A75">
        <w:t>2,</w:t>
      </w:r>
      <w:r>
        <w:t xml:space="preserve">268 kg), in any direction, for each employee attached.  The information must be based on an annual inspection </w:t>
      </w:r>
      <w:r w:rsidR="00C509F5">
        <w:t xml:space="preserve">of each anchorage </w:t>
      </w:r>
      <w:r>
        <w:t>and certification of each anchorage as necessary and at least every 10 years.</w:t>
      </w:r>
      <w:r w:rsidR="00C509F5">
        <w:t xml:space="preserve">  A qualified person must perform both the inspection and certification.</w:t>
      </w:r>
    </w:p>
    <w:p w:rsidR="003C6BDD" w:rsidRPr="0090397B" w:rsidP="0089532D" w14:paraId="305831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25370A" w:rsidP="006451E5" w14:paraId="45269330" w14:textId="7A5C903C">
      <w:pPr>
        <w:widowControl/>
        <w:autoSpaceDE/>
        <w:autoSpaceDN/>
        <w:adjustRightInd/>
        <w:rPr>
          <w:color w:val="000000"/>
        </w:rPr>
      </w:pPr>
      <w:r w:rsidRPr="699E42F7">
        <w:rPr>
          <w:color w:val="000000" w:themeColor="text1"/>
        </w:rPr>
        <w:t>The agency assumes t</w:t>
      </w:r>
      <w:r w:rsidRPr="699E42F7" w:rsidR="00AB17ED">
        <w:rPr>
          <w:color w:val="000000" w:themeColor="text1"/>
        </w:rPr>
        <w:t xml:space="preserve">here are approximately 750,000 buildings have windows cleaned annually. </w:t>
      </w:r>
      <w:r w:rsidRPr="699E42F7" w:rsidR="00A24474">
        <w:rPr>
          <w:color w:val="000000" w:themeColor="text1"/>
        </w:rPr>
        <w:t>Recognizing that anchor certification may not be as widespread or frequent</w:t>
      </w:r>
      <w:r w:rsidR="00D75134">
        <w:rPr>
          <w:color w:val="000000" w:themeColor="text1"/>
        </w:rPr>
        <w:t xml:space="preserve"> </w:t>
      </w:r>
      <w:r w:rsidRPr="699E42F7" w:rsidR="00D75134">
        <w:rPr>
          <w:color w:val="000000" w:themeColor="text1"/>
        </w:rPr>
        <w:t>in some smaller markets</w:t>
      </w:r>
      <w:r w:rsidRPr="699E42F7" w:rsidR="00AB17ED">
        <w:rPr>
          <w:color w:val="000000" w:themeColor="text1"/>
        </w:rPr>
        <w:t>,</w:t>
      </w:r>
      <w:r w:rsidRPr="699E42F7" w:rsidR="00A24474">
        <w:rPr>
          <w:color w:val="000000" w:themeColor="text1"/>
        </w:rPr>
        <w:t xml:space="preserve"> OSHA applied a baseline level of 35</w:t>
      </w:r>
      <w:r w:rsidRPr="699E42F7">
        <w:rPr>
          <w:color w:val="000000" w:themeColor="text1"/>
        </w:rPr>
        <w:t>%</w:t>
      </w:r>
      <w:r w:rsidRPr="699E42F7" w:rsidR="00A24474">
        <w:rPr>
          <w:color w:val="000000" w:themeColor="text1"/>
        </w:rPr>
        <w:t xml:space="preserve"> for anchor certification and inspection in estimating costs for this requirement</w:t>
      </w:r>
      <w:r w:rsidRPr="699E42F7" w:rsidR="00AB17ED">
        <w:rPr>
          <w:color w:val="000000" w:themeColor="text1"/>
        </w:rPr>
        <w:t>.</w:t>
      </w:r>
      <w:r w:rsidRPr="699E42F7" w:rsidR="00A24474">
        <w:rPr>
          <w:color w:val="000000" w:themeColor="text1"/>
        </w:rPr>
        <w:t xml:space="preserve"> </w:t>
      </w:r>
      <w:r w:rsidRPr="699E42F7" w:rsidR="00AB17ED">
        <w:rPr>
          <w:color w:val="000000" w:themeColor="text1"/>
        </w:rPr>
        <w:t>Therefore,</w:t>
      </w:r>
      <w:r w:rsidRPr="699E42F7" w:rsidR="00A24474">
        <w:rPr>
          <w:color w:val="000000" w:themeColor="text1"/>
        </w:rPr>
        <w:t xml:space="preserve"> 65</w:t>
      </w:r>
      <w:r w:rsidRPr="699E42F7" w:rsidR="00F77C8F">
        <w:rPr>
          <w:color w:val="000000" w:themeColor="text1"/>
        </w:rPr>
        <w:t>%</w:t>
      </w:r>
      <w:r w:rsidRPr="699E42F7" w:rsidR="00A24474">
        <w:rPr>
          <w:color w:val="000000" w:themeColor="text1"/>
        </w:rPr>
        <w:t xml:space="preserve"> of the approximately 750,000 buildings</w:t>
      </w:r>
      <w:r w:rsidRPr="699E42F7" w:rsidR="00F77C8F">
        <w:rPr>
          <w:color w:val="000000" w:themeColor="text1"/>
        </w:rPr>
        <w:t xml:space="preserve"> (487,500 buildings)</w:t>
      </w:r>
      <w:r w:rsidRPr="699E42F7" w:rsidR="00A24474">
        <w:rPr>
          <w:color w:val="000000" w:themeColor="text1"/>
        </w:rPr>
        <w:t xml:space="preserve"> that have windows cleaned </w:t>
      </w:r>
      <w:r w:rsidR="00D75134">
        <w:rPr>
          <w:color w:val="000000" w:themeColor="text1"/>
        </w:rPr>
        <w:t>yearly</w:t>
      </w:r>
      <w:r w:rsidRPr="699E42F7" w:rsidR="00A24474">
        <w:rPr>
          <w:color w:val="000000" w:themeColor="text1"/>
        </w:rPr>
        <w:t xml:space="preserve"> must now comply with the </w:t>
      </w:r>
      <w:r w:rsidRPr="699E42F7">
        <w:rPr>
          <w:color w:val="000000" w:themeColor="text1"/>
        </w:rPr>
        <w:t>annual</w:t>
      </w:r>
      <w:r w:rsidRPr="699E42F7" w:rsidR="00A24474">
        <w:rPr>
          <w:color w:val="000000" w:themeColor="text1"/>
        </w:rPr>
        <w:t xml:space="preserve"> inspection and </w:t>
      </w:r>
      <w:r w:rsidRPr="699E42F7" w:rsidR="00BE13A9">
        <w:rPr>
          <w:color w:val="000000" w:themeColor="text1"/>
        </w:rPr>
        <w:t xml:space="preserve">decennial </w:t>
      </w:r>
      <w:r w:rsidRPr="699E42F7" w:rsidR="00A24474">
        <w:rPr>
          <w:color w:val="000000" w:themeColor="text1"/>
        </w:rPr>
        <w:t>certification requirement</w:t>
      </w:r>
      <w:r w:rsidRPr="699E42F7" w:rsidR="00BE13A9">
        <w:rPr>
          <w:color w:val="000000" w:themeColor="text1"/>
        </w:rPr>
        <w:t>s</w:t>
      </w:r>
      <w:r w:rsidRPr="699E42F7" w:rsidR="007E7162">
        <w:rPr>
          <w:color w:val="000000" w:themeColor="text1"/>
        </w:rPr>
        <w:t>.</w:t>
      </w:r>
      <w:r w:rsidRPr="699E42F7" w:rsidR="00A24474">
        <w:rPr>
          <w:color w:val="000000" w:themeColor="text1"/>
        </w:rPr>
        <w:t xml:space="preserve"> </w:t>
      </w:r>
    </w:p>
    <w:p w:rsidR="0025370A" w:rsidP="006451E5" w14:paraId="5AF98236" w14:textId="77777777">
      <w:pPr>
        <w:widowControl/>
        <w:autoSpaceDE/>
        <w:autoSpaceDN/>
        <w:adjustRightInd/>
        <w:rPr>
          <w:color w:val="000000"/>
        </w:rPr>
      </w:pPr>
    </w:p>
    <w:p w:rsidR="006523FA" w:rsidRPr="0090397B" w:rsidP="006451E5" w14:paraId="622F3B35" w14:textId="4C1638CC">
      <w:pPr>
        <w:widowControl/>
        <w:autoSpaceDE/>
        <w:autoSpaceDN/>
        <w:adjustRightInd/>
        <w:rPr>
          <w:color w:val="000000"/>
        </w:rPr>
      </w:pPr>
      <w:r w:rsidRPr="0090397B">
        <w:rPr>
          <w:color w:val="000000"/>
        </w:rPr>
        <w:t xml:space="preserve">OSHA estimates that 487,500 buildings will require annual inspections and decennial certifications.  </w:t>
      </w:r>
      <w:r w:rsidRPr="0090397B" w:rsidR="00463D64">
        <w:rPr>
          <w:color w:val="000000"/>
        </w:rPr>
        <w:t xml:space="preserve">The </w:t>
      </w:r>
      <w:r w:rsidRPr="0090397B" w:rsidR="00951A75">
        <w:rPr>
          <w:color w:val="000000"/>
        </w:rPr>
        <w:t>a</w:t>
      </w:r>
      <w:r w:rsidRPr="0090397B" w:rsidR="00463D64">
        <w:rPr>
          <w:color w:val="000000"/>
        </w:rPr>
        <w:t xml:space="preserve">gency </w:t>
      </w:r>
      <w:r w:rsidRPr="0090397B">
        <w:rPr>
          <w:color w:val="000000"/>
        </w:rPr>
        <w:t>further assume</w:t>
      </w:r>
      <w:r w:rsidRPr="0090397B" w:rsidR="007E7162">
        <w:rPr>
          <w:color w:val="000000"/>
        </w:rPr>
        <w:t>s</w:t>
      </w:r>
      <w:r w:rsidRPr="0090397B">
        <w:rPr>
          <w:color w:val="000000"/>
        </w:rPr>
        <w:t xml:space="preserve"> that a production supervisor w</w:t>
      </w:r>
      <w:r w:rsidRPr="0090397B" w:rsidR="007E7162">
        <w:rPr>
          <w:color w:val="000000"/>
        </w:rPr>
        <w:t>ill</w:t>
      </w:r>
      <w:r w:rsidRPr="0090397B">
        <w:rPr>
          <w:color w:val="000000"/>
        </w:rPr>
        <w:t xml:space="preserve"> perform the annual inspections</w:t>
      </w:r>
      <w:r w:rsidR="00694CCC">
        <w:rPr>
          <w:color w:val="000000"/>
        </w:rPr>
        <w:t>,</w:t>
      </w:r>
      <w:r w:rsidRPr="0090397B">
        <w:rPr>
          <w:color w:val="000000"/>
        </w:rPr>
        <w:t xml:space="preserve"> and it w</w:t>
      </w:r>
      <w:r w:rsidRPr="0090397B" w:rsidR="007E7162">
        <w:rPr>
          <w:color w:val="000000"/>
        </w:rPr>
        <w:t>ill</w:t>
      </w:r>
      <w:r w:rsidRPr="0090397B">
        <w:rPr>
          <w:color w:val="000000"/>
        </w:rPr>
        <w:t xml:space="preserve"> take this supervisor one hour to perform the inspection.</w:t>
      </w:r>
    </w:p>
    <w:p w:rsidR="00CA5F0C" w:rsidRPr="0090397B" w:rsidP="003C2E00" w14:paraId="48FF3AEB" w14:textId="77777777">
      <w:pPr>
        <w:widowControl/>
        <w:autoSpaceDE/>
        <w:autoSpaceDN/>
        <w:adjustRightInd/>
        <w:rPr>
          <w:b/>
        </w:rPr>
      </w:pPr>
      <w:r w:rsidRPr="0090397B">
        <w:rPr>
          <w:color w:val="000000"/>
        </w:rPr>
        <w:t xml:space="preserve">   </w:t>
      </w:r>
    </w:p>
    <w:p w:rsidR="00993694" w:rsidRPr="0090397B" w:rsidP="00993694" w14:paraId="02841AF9" w14:textId="07F61D44">
      <w:pPr>
        <w:ind w:firstLine="720"/>
      </w:pPr>
      <w:r w:rsidRPr="699E42F7">
        <w:rPr>
          <w:b/>
          <w:bCs/>
        </w:rPr>
        <w:t xml:space="preserve">Burden </w:t>
      </w:r>
      <w:r w:rsidRPr="699E42F7" w:rsidR="002E58DD">
        <w:rPr>
          <w:b/>
          <w:bCs/>
        </w:rPr>
        <w:t>H</w:t>
      </w:r>
      <w:r w:rsidRPr="699E42F7">
        <w:rPr>
          <w:b/>
          <w:bCs/>
        </w:rPr>
        <w:t>ours</w:t>
      </w:r>
      <w:r>
        <w:t>:</w:t>
      </w:r>
      <w:r>
        <w:tab/>
      </w:r>
      <w:r w:rsidR="00000537">
        <w:t>487,500 inspections</w:t>
      </w:r>
      <w:r>
        <w:t xml:space="preserve"> x </w:t>
      </w:r>
      <w:r w:rsidR="00000537">
        <w:t>1</w:t>
      </w:r>
      <w:r>
        <w:t xml:space="preserve"> hour = </w:t>
      </w:r>
      <w:r w:rsidR="00000537">
        <w:t xml:space="preserve">487,500 </w:t>
      </w:r>
      <w:r w:rsidR="00EF3656">
        <w:t>ho</w:t>
      </w:r>
      <w:r>
        <w:t>urs</w:t>
      </w:r>
    </w:p>
    <w:p w:rsidR="002B5232" w:rsidRPr="0090397B" w:rsidP="00993694" w14:paraId="210B6E84" w14:textId="1DAD159C">
      <w:r w:rsidRPr="0090397B">
        <w:tab/>
        <w:t xml:space="preserve">              </w:t>
      </w:r>
      <w:r w:rsidRPr="0090397B" w:rsidR="00220ED3">
        <w:t xml:space="preserve"> </w:t>
      </w:r>
      <w:r w:rsidRPr="0090397B">
        <w:t xml:space="preserve"> </w:t>
      </w:r>
      <w:r w:rsidRPr="0090397B">
        <w:rPr>
          <w:b/>
        </w:rPr>
        <w:t>Cost</w:t>
      </w:r>
      <w:r w:rsidRPr="0090397B">
        <w:t>:</w:t>
      </w:r>
      <w:r w:rsidRPr="0090397B" w:rsidR="00100178">
        <w:rPr>
          <w:b/>
        </w:rPr>
        <w:tab/>
      </w:r>
      <w:r w:rsidRPr="0090397B" w:rsidR="00000537">
        <w:t xml:space="preserve">487,500 </w:t>
      </w:r>
      <w:r w:rsidRPr="0090397B">
        <w:t>hours x $</w:t>
      </w:r>
      <w:r w:rsidR="00BE13A9">
        <w:t>82.06</w:t>
      </w:r>
      <w:r w:rsidRPr="0090397B">
        <w:t xml:space="preserve"> = $</w:t>
      </w:r>
      <w:r w:rsidR="003A254B">
        <w:t>40,004,250.00</w:t>
      </w:r>
    </w:p>
    <w:p w:rsidR="0013300D" w:rsidRPr="0090397B" w:rsidP="00993694" w14:paraId="4E9B904D" w14:textId="77777777"/>
    <w:p w:rsidR="00830FFB" w:rsidP="0013300D" w14:paraId="3FA17389" w14:textId="77777777">
      <w:pPr>
        <w:rPr>
          <w:i/>
          <w:iCs/>
        </w:rPr>
      </w:pPr>
      <w:r w:rsidRPr="00AD15B1">
        <w:rPr>
          <w:i/>
          <w:iCs/>
        </w:rPr>
        <w:t>§</w:t>
      </w:r>
      <w:r w:rsidRPr="00AD15B1" w:rsidR="005B27F7">
        <w:rPr>
          <w:i/>
          <w:iCs/>
        </w:rPr>
        <w:t xml:space="preserve"> </w:t>
      </w:r>
      <w:r w:rsidRPr="00AD15B1">
        <w:rPr>
          <w:i/>
          <w:iCs/>
        </w:rPr>
        <w:t>1910.27(b)(1)(ii)</w:t>
      </w:r>
    </w:p>
    <w:p w:rsidR="00830FFB" w:rsidP="0013300D" w14:paraId="567710E4" w14:textId="77777777">
      <w:pPr>
        <w:rPr>
          <w:i/>
          <w:iCs/>
        </w:rPr>
      </w:pPr>
    </w:p>
    <w:p w:rsidR="003C6BDD" w:rsidRPr="00830FFB" w:rsidP="0013300D" w14:paraId="68ED40DE" w14:textId="52D4F1B5">
      <w:r w:rsidRPr="00AD15B1">
        <w:t>Paragraph (b)(1)(ii)</w:t>
      </w:r>
      <w:r w:rsidRPr="00830FFB" w:rsidR="0013300D">
        <w:t xml:space="preserve"> requires </w:t>
      </w:r>
      <w:r w:rsidRPr="00830FFB" w:rsidR="00C717DC">
        <w:t xml:space="preserve">that </w:t>
      </w:r>
      <w:r w:rsidRPr="00830FFB" w:rsidR="0013300D">
        <w:t xml:space="preserve">the employer keep the written information </w:t>
      </w:r>
      <w:r w:rsidRPr="00830FFB" w:rsidR="00695FFA">
        <w:t xml:space="preserve">from the building owner </w:t>
      </w:r>
      <w:r w:rsidRPr="00830FFB" w:rsidR="0013300D">
        <w:t>for the duration of the job</w:t>
      </w:r>
      <w:r w:rsidRPr="00830FFB" w:rsidR="00695FFA">
        <w:t xml:space="preserve">. </w:t>
      </w:r>
    </w:p>
    <w:p w:rsidR="003C6BDD" w:rsidP="0013300D" w14:paraId="16387A01" w14:textId="77777777"/>
    <w:p w:rsidR="00502B43" w:rsidRPr="0090397B" w:rsidP="0013300D" w14:paraId="40FBBC5B" w14:textId="588C13FC">
      <w:r>
        <w:t xml:space="preserve">OSHA estimates it will take </w:t>
      </w:r>
      <w:r w:rsidR="00432437">
        <w:t>one</w:t>
      </w:r>
      <w:r>
        <w:t xml:space="preserve"> minute (</w:t>
      </w:r>
      <w:r w:rsidR="00325C91">
        <w:t>1/60</w:t>
      </w:r>
      <w:r>
        <w:t xml:space="preserve"> hour) for an office and administrative support worker to file and </w:t>
      </w:r>
      <w:r w:rsidR="004138F0">
        <w:t xml:space="preserve">to </w:t>
      </w:r>
      <w:r>
        <w:t>maintain the</w:t>
      </w:r>
      <w:r w:rsidR="0070415F">
        <w:t xml:space="preserve"> written information</w:t>
      </w:r>
      <w:r w:rsidR="00320859">
        <w:t xml:space="preserve"> for the duration of the job</w:t>
      </w:r>
      <w:r w:rsidR="0070415F">
        <w:t>.</w:t>
      </w:r>
      <w:r>
        <w:t xml:space="preserve"> </w:t>
      </w:r>
    </w:p>
    <w:p w:rsidR="00502B43" w:rsidRPr="0090397B" w:rsidP="0013300D" w14:paraId="1475B57F" w14:textId="77777777"/>
    <w:p w:rsidR="00502B43" w:rsidRPr="0090397B" w:rsidP="00502B43" w14:paraId="02C072BA" w14:textId="468FEA9A">
      <w:pPr>
        <w:ind w:firstLine="720"/>
      </w:pPr>
      <w:r w:rsidRPr="699E42F7">
        <w:rPr>
          <w:b/>
          <w:bCs/>
        </w:rPr>
        <w:t xml:space="preserve">Burden </w:t>
      </w:r>
      <w:r w:rsidRPr="699E42F7" w:rsidR="006B5EE2">
        <w:rPr>
          <w:b/>
          <w:bCs/>
        </w:rPr>
        <w:t>H</w:t>
      </w:r>
      <w:r w:rsidRPr="699E42F7">
        <w:rPr>
          <w:b/>
          <w:bCs/>
        </w:rPr>
        <w:t>ours</w:t>
      </w:r>
      <w:r>
        <w:t>:</w:t>
      </w:r>
      <w:r>
        <w:tab/>
        <w:t xml:space="preserve">487,500 </w:t>
      </w:r>
      <w:r w:rsidR="005B7F6D">
        <w:t xml:space="preserve">inspections </w:t>
      </w:r>
      <w:r>
        <w:t xml:space="preserve">x </w:t>
      </w:r>
      <w:r w:rsidR="00325C91">
        <w:t>1/60</w:t>
      </w:r>
      <w:r>
        <w:t xml:space="preserve"> hour = 8</w:t>
      </w:r>
      <w:r w:rsidR="00521C94">
        <w:t>,</w:t>
      </w:r>
      <w:r w:rsidR="007D29FC">
        <w:t>125</w:t>
      </w:r>
      <w:r>
        <w:t xml:space="preserve"> hours</w:t>
      </w:r>
    </w:p>
    <w:p w:rsidR="00502B43" w:rsidRPr="0090397B" w:rsidP="00502B43" w14:paraId="2BFDF5C8" w14:textId="69D08CB3">
      <w:r w:rsidRPr="0090397B">
        <w:tab/>
        <w:t xml:space="preserve">                </w:t>
      </w:r>
      <w:r w:rsidRPr="0090397B">
        <w:rPr>
          <w:b/>
        </w:rPr>
        <w:t>Cost</w:t>
      </w:r>
      <w:r w:rsidRPr="0090397B">
        <w:t>:</w:t>
      </w:r>
      <w:r w:rsidRPr="0090397B">
        <w:rPr>
          <w:b/>
        </w:rPr>
        <w:tab/>
      </w:r>
      <w:r w:rsidRPr="0090397B">
        <w:t>8</w:t>
      </w:r>
      <w:r w:rsidRPr="0090397B" w:rsidR="00521C94">
        <w:t>,</w:t>
      </w:r>
      <w:r w:rsidR="007D29FC">
        <w:t>125</w:t>
      </w:r>
      <w:r w:rsidRPr="0090397B">
        <w:rPr>
          <w:b/>
        </w:rPr>
        <w:t xml:space="preserve"> </w:t>
      </w:r>
      <w:r w:rsidRPr="0090397B">
        <w:t>hours x $</w:t>
      </w:r>
      <w:r w:rsidRPr="0090397B" w:rsidR="004A7D50">
        <w:t>2</w:t>
      </w:r>
      <w:r w:rsidR="00D050F6">
        <w:t>9.67</w:t>
      </w:r>
      <w:r w:rsidRPr="0090397B" w:rsidR="003A5352">
        <w:t xml:space="preserve"> </w:t>
      </w:r>
      <w:r w:rsidRPr="0090397B">
        <w:t>= $</w:t>
      </w:r>
      <w:r w:rsidRPr="0090397B" w:rsidR="00964209">
        <w:t>2</w:t>
      </w:r>
      <w:r w:rsidR="00CF4002">
        <w:t>41,068.75</w:t>
      </w:r>
    </w:p>
    <w:p w:rsidR="00670841" w:rsidRPr="0090397B" w:rsidP="00502B43" w14:paraId="48CAB394" w14:textId="77777777"/>
    <w:p w:rsidR="00165494" w:rsidRPr="00AD15B1" w:rsidP="007755B7" w14:paraId="23580EE8" w14:textId="2305CB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bCs/>
        </w:rPr>
        <w:t xml:space="preserve">3. </w:t>
      </w:r>
      <w:r w:rsidRPr="00AD15B1" w:rsidR="005B27F7">
        <w:rPr>
          <w:b/>
          <w:bCs/>
        </w:rPr>
        <w:t xml:space="preserve">Protection from </w:t>
      </w:r>
      <w:r w:rsidRPr="00AD15B1" w:rsidR="00EF3A2A">
        <w:rPr>
          <w:b/>
          <w:bCs/>
        </w:rPr>
        <w:t>F</w:t>
      </w:r>
      <w:r w:rsidRPr="00AD15B1" w:rsidR="005B27F7">
        <w:rPr>
          <w:b/>
          <w:bCs/>
        </w:rPr>
        <w:t xml:space="preserve">all </w:t>
      </w:r>
      <w:r w:rsidRPr="00AD15B1" w:rsidR="00EF3A2A">
        <w:rPr>
          <w:b/>
          <w:bCs/>
        </w:rPr>
        <w:t>H</w:t>
      </w:r>
      <w:r w:rsidRPr="00AD15B1" w:rsidR="005B27F7">
        <w:rPr>
          <w:b/>
          <w:bCs/>
        </w:rPr>
        <w:t xml:space="preserve">azards, </w:t>
      </w:r>
      <w:r w:rsidRPr="00AD15B1" w:rsidR="005B27F7">
        <w:rPr>
          <w:b/>
        </w:rPr>
        <w:t xml:space="preserve">Unprotected </w:t>
      </w:r>
      <w:r w:rsidRPr="00AD15B1" w:rsidR="00CF4002">
        <w:rPr>
          <w:b/>
        </w:rPr>
        <w:t>S</w:t>
      </w:r>
      <w:r w:rsidRPr="00AD15B1" w:rsidR="005B27F7">
        <w:rPr>
          <w:b/>
        </w:rPr>
        <w:t xml:space="preserve">ides and </w:t>
      </w:r>
      <w:r w:rsidRPr="00AD15B1" w:rsidR="00CF4002">
        <w:rPr>
          <w:b/>
        </w:rPr>
        <w:t>E</w:t>
      </w:r>
      <w:r w:rsidRPr="00AD15B1" w:rsidR="005B27F7">
        <w:rPr>
          <w:b/>
        </w:rPr>
        <w:t>dges (§ 1910.28(b)(1)(ii))</w:t>
      </w:r>
    </w:p>
    <w:p w:rsidR="00165494" w:rsidRPr="0090397B" w:rsidP="00165494" w14:paraId="0440A178" w14:textId="77777777">
      <w:pPr>
        <w:ind w:firstLine="720"/>
      </w:pPr>
    </w:p>
    <w:p w:rsidR="009B3A43" w:rsidP="00936AE5" w14:paraId="1BE0E0EE" w14:textId="191BD9DE">
      <w:r>
        <w:t xml:space="preserve">The agency assumes </w:t>
      </w:r>
      <w:r w:rsidR="00DC6770">
        <w:t>there are 6,000 establishments affected by this rule</w:t>
      </w:r>
      <w:r w:rsidR="006523FA">
        <w:t>.</w:t>
      </w:r>
      <w:r w:rsidR="00DC6770">
        <w:t xml:space="preserve"> </w:t>
      </w:r>
      <w:r w:rsidR="006523FA">
        <w:t>OSHA estimates that at the baseline</w:t>
      </w:r>
      <w:r w:rsidR="00652C8D">
        <w:t>,</w:t>
      </w:r>
      <w:r w:rsidR="006523FA">
        <w:t xml:space="preserve"> </w:t>
      </w:r>
      <w:r w:rsidR="00DC6770">
        <w:t>10 percent</w:t>
      </w:r>
      <w:r w:rsidR="006523FA">
        <w:t xml:space="preserve"> </w:t>
      </w:r>
      <w:r w:rsidR="00DC6770">
        <w:t>(600</w:t>
      </w:r>
      <w:r w:rsidR="006523FA">
        <w:t xml:space="preserve"> establishment</w:t>
      </w:r>
      <w:r w:rsidR="00652C8D">
        <w:t>s</w:t>
      </w:r>
      <w:r w:rsidR="00DC6770">
        <w:t>)</w:t>
      </w:r>
      <w:r w:rsidR="006523FA">
        <w:t xml:space="preserve"> </w:t>
      </w:r>
      <w:r>
        <w:t>remain</w:t>
      </w:r>
      <w:r w:rsidR="006523FA">
        <w:t xml:space="preserve"> in compliance through</w:t>
      </w:r>
      <w:r w:rsidR="00DC6770">
        <w:t xml:space="preserve"> engineering controls</w:t>
      </w:r>
      <w:r w:rsidR="006523FA">
        <w:t>, work</w:t>
      </w:r>
      <w:r>
        <w:t>place</w:t>
      </w:r>
      <w:r w:rsidR="006523FA">
        <w:t xml:space="preserve"> practices, </w:t>
      </w:r>
      <w:r w:rsidR="009621E3">
        <w:t>personal protective equipment</w:t>
      </w:r>
      <w:r w:rsidR="006523FA">
        <w:t>, and administrative controls</w:t>
      </w:r>
      <w:r>
        <w:t>,</w:t>
      </w:r>
      <w:r w:rsidR="006523FA">
        <w:t xml:space="preserve"> including </w:t>
      </w:r>
      <w:r w:rsidR="00651133">
        <w:t xml:space="preserve">the use of </w:t>
      </w:r>
      <w:r w:rsidR="006523FA">
        <w:t>training and a fall protection plan</w:t>
      </w:r>
      <w:r>
        <w:t>. The agency further assumes t</w:t>
      </w:r>
      <w:r w:rsidR="00DC6770">
        <w:t xml:space="preserve">he </w:t>
      </w:r>
      <w:r w:rsidR="006523FA">
        <w:t>remaining</w:t>
      </w:r>
      <w:r w:rsidR="00DC6770">
        <w:t xml:space="preserve"> 5</w:t>
      </w:r>
      <w:r w:rsidR="006523FA">
        <w:t>,</w:t>
      </w:r>
      <w:r w:rsidR="00DC6770">
        <w:t>400</w:t>
      </w:r>
      <w:r w:rsidR="006523FA">
        <w:t xml:space="preserve"> establishments</w:t>
      </w:r>
      <w:r>
        <w:t xml:space="preserve"> (90% of the 6,000 affected</w:t>
      </w:r>
      <w:r w:rsidR="00CD5524">
        <w:t xml:space="preserve"> establishments)</w:t>
      </w:r>
      <w:r w:rsidR="00DC6770">
        <w:t xml:space="preserve"> </w:t>
      </w:r>
      <w:r w:rsidR="006523FA">
        <w:t>are currently not in compliance and will need to implement a combination of the controls listed above to achieve compliance</w:t>
      </w:r>
      <w:r w:rsidR="00DC6770">
        <w:t>.</w:t>
      </w:r>
      <w:r w:rsidR="006523FA">
        <w:t xml:space="preserve"> </w:t>
      </w:r>
    </w:p>
    <w:p w:rsidR="009B3A43" w:rsidP="00936AE5" w14:paraId="7CA3D1F6" w14:textId="77777777"/>
    <w:p w:rsidR="00FF2191" w:rsidRPr="0090397B" w:rsidP="00936AE5" w14:paraId="2C7BF5B8" w14:textId="7E4D73EE">
      <w:r>
        <w:t xml:space="preserve">OSHA estimates </w:t>
      </w:r>
      <w:r w:rsidR="00651133">
        <w:t xml:space="preserve">on an annual basis, </w:t>
      </w:r>
      <w:r w:rsidR="00DC6770">
        <w:t>5</w:t>
      </w:r>
      <w:r w:rsidR="00CD5524">
        <w:t>%</w:t>
      </w:r>
      <w:r w:rsidR="0012540E">
        <w:t xml:space="preserve"> of the 5,400 establishments</w:t>
      </w:r>
      <w:r>
        <w:t xml:space="preserve"> </w:t>
      </w:r>
      <w:r w:rsidR="00DC6770">
        <w:t>(270</w:t>
      </w:r>
      <w:r w:rsidR="008039B5">
        <w:t xml:space="preserve"> </w:t>
      </w:r>
      <w:r w:rsidR="00651133">
        <w:t>establishments</w:t>
      </w:r>
      <w:r w:rsidR="00DC6770">
        <w:t xml:space="preserve">) will </w:t>
      </w:r>
      <w:r w:rsidR="009621E3">
        <w:t xml:space="preserve">at any </w:t>
      </w:r>
      <w:r w:rsidR="00F80024">
        <w:t>one-time</w:t>
      </w:r>
      <w:r w:rsidR="009621E3">
        <w:t xml:space="preserve"> encounter work conditions</w:t>
      </w:r>
      <w:r w:rsidR="007D4BAA">
        <w:t xml:space="preserve"> on a residential roof</w:t>
      </w:r>
      <w:r w:rsidR="009621E3">
        <w:t xml:space="preserve"> where the use of conventional fall protection is infeasible or creates a greater hazard</w:t>
      </w:r>
      <w:r w:rsidR="00CD5524">
        <w:t>,</w:t>
      </w:r>
      <w:r w:rsidR="009621E3">
        <w:t xml:space="preserve"> and </w:t>
      </w:r>
      <w:r w:rsidR="77ED5D99">
        <w:t>consequently,</w:t>
      </w:r>
      <w:r w:rsidR="009621E3">
        <w:t xml:space="preserve"> will </w:t>
      </w:r>
      <w:r w:rsidR="00DC6770">
        <w:t xml:space="preserve">develop a fall protection plan </w:t>
      </w:r>
      <w:r w:rsidR="009621E3">
        <w:t>addressing the unique c</w:t>
      </w:r>
      <w:r w:rsidR="007D4BAA">
        <w:t>onditions for</w:t>
      </w:r>
      <w:r w:rsidR="009621E3">
        <w:t xml:space="preserve"> </w:t>
      </w:r>
      <w:r w:rsidR="007D4BAA">
        <w:t xml:space="preserve">that type of roofing </w:t>
      </w:r>
      <w:r w:rsidR="009621E3">
        <w:t>work.</w:t>
      </w:r>
      <w:r w:rsidR="00DC6770">
        <w:t xml:space="preserve"> OSHA estimates it will take </w:t>
      </w:r>
      <w:r w:rsidR="001B75A7">
        <w:t xml:space="preserve">a supervisor </w:t>
      </w:r>
      <w:r w:rsidR="00DC6770">
        <w:t>30 minutes</w:t>
      </w:r>
      <w:r w:rsidR="009621E3">
        <w:t xml:space="preserve"> </w:t>
      </w:r>
      <w:r w:rsidR="001C0183">
        <w:t>(</w:t>
      </w:r>
      <w:r w:rsidR="00325C91">
        <w:t>30/60</w:t>
      </w:r>
      <w:r w:rsidR="001C0183">
        <w:t xml:space="preserve"> hour</w:t>
      </w:r>
      <w:r w:rsidR="009914EC">
        <w:t>s</w:t>
      </w:r>
      <w:r w:rsidR="001C0183">
        <w:t>)</w:t>
      </w:r>
      <w:r w:rsidR="00DC6770">
        <w:t xml:space="preserve"> </w:t>
      </w:r>
      <w:r w:rsidR="009621E3">
        <w:t xml:space="preserve">to </w:t>
      </w:r>
      <w:r w:rsidR="00DC6770">
        <w:t>write a plan.</w:t>
      </w:r>
    </w:p>
    <w:p w:rsidR="00DC6770" w:rsidRPr="0090397B" w:rsidP="00936AE5" w14:paraId="2A8E5A21" w14:textId="77777777"/>
    <w:p w:rsidR="00FF2191" w:rsidRPr="0090397B" w:rsidP="00FF2191" w14:paraId="32246600" w14:textId="51BDE9F1">
      <w:pPr>
        <w:ind w:firstLine="720"/>
      </w:pPr>
      <w:r w:rsidRPr="699E42F7">
        <w:rPr>
          <w:b/>
          <w:bCs/>
        </w:rPr>
        <w:t xml:space="preserve">Burden </w:t>
      </w:r>
      <w:r w:rsidRPr="699E42F7" w:rsidR="006B5EE2">
        <w:rPr>
          <w:b/>
          <w:bCs/>
        </w:rPr>
        <w:t>H</w:t>
      </w:r>
      <w:r w:rsidRPr="699E42F7">
        <w:rPr>
          <w:b/>
          <w:bCs/>
        </w:rPr>
        <w:t>ours</w:t>
      </w:r>
      <w:r>
        <w:t>:</w:t>
      </w:r>
      <w:r>
        <w:tab/>
      </w:r>
      <w:r w:rsidR="001C0183">
        <w:t>270 fall protection plans</w:t>
      </w:r>
      <w:r>
        <w:t xml:space="preserve"> x </w:t>
      </w:r>
      <w:r w:rsidR="00325C91">
        <w:t>30/60</w:t>
      </w:r>
      <w:r>
        <w:t xml:space="preserve"> hour = </w:t>
      </w:r>
      <w:r w:rsidR="001C0183">
        <w:t>135</w:t>
      </w:r>
      <w:r>
        <w:t xml:space="preserve"> hours</w:t>
      </w:r>
    </w:p>
    <w:p w:rsidR="00205410" w:rsidP="00FF2191" w14:paraId="1A09389F" w14:textId="4B1B7F68">
      <w:r w:rsidRPr="0090397B">
        <w:tab/>
        <w:t xml:space="preserve">                </w:t>
      </w:r>
      <w:r w:rsidRPr="0090397B">
        <w:rPr>
          <w:b/>
        </w:rPr>
        <w:t>Cost</w:t>
      </w:r>
      <w:r w:rsidRPr="0090397B">
        <w:t>:</w:t>
      </w:r>
      <w:r w:rsidRPr="0090397B">
        <w:rPr>
          <w:b/>
        </w:rPr>
        <w:tab/>
      </w:r>
      <w:r w:rsidRPr="0090397B" w:rsidR="001C0183">
        <w:t>135</w:t>
      </w:r>
      <w:r w:rsidRPr="0090397B">
        <w:rPr>
          <w:b/>
        </w:rPr>
        <w:t xml:space="preserve"> </w:t>
      </w:r>
      <w:r w:rsidRPr="0090397B">
        <w:t>hours x $</w:t>
      </w:r>
      <w:r w:rsidR="001B75A7">
        <w:t>82.06</w:t>
      </w:r>
      <w:r w:rsidRPr="0090397B">
        <w:t xml:space="preserve"> = $</w:t>
      </w:r>
      <w:r w:rsidRPr="0090397B" w:rsidR="00B577C6">
        <w:t>1</w:t>
      </w:r>
      <w:r w:rsidR="00B54700">
        <w:t>1,078.10</w:t>
      </w:r>
    </w:p>
    <w:p w:rsidR="00205410" w:rsidP="00FF2191" w14:paraId="336A83D1" w14:textId="77777777"/>
    <w:tbl>
      <w:tblPr>
        <w:tblW w:w="11386" w:type="dxa"/>
        <w:jc w:val="center"/>
        <w:tblLayout w:type="fixed"/>
        <w:tblLook w:val="04A0"/>
      </w:tblPr>
      <w:tblGrid>
        <w:gridCol w:w="2240"/>
        <w:gridCol w:w="1170"/>
        <w:gridCol w:w="1530"/>
        <w:gridCol w:w="1350"/>
        <w:gridCol w:w="1350"/>
        <w:gridCol w:w="1170"/>
        <w:gridCol w:w="1080"/>
        <w:gridCol w:w="1496"/>
      </w:tblGrid>
      <w:tr w14:paraId="6C98FCE8" w14:textId="77777777" w:rsidTr="00BE3874">
        <w:tblPrEx>
          <w:tblW w:w="11386" w:type="dxa"/>
          <w:jc w:val="center"/>
          <w:tblLayout w:type="fixed"/>
          <w:tblLook w:val="04A0"/>
        </w:tblPrEx>
        <w:trPr>
          <w:trHeight w:val="330"/>
          <w:tblHeader/>
          <w:jc w:val="center"/>
        </w:trPr>
        <w:tc>
          <w:tcPr>
            <w:tcW w:w="11386" w:type="dxa"/>
            <w:gridSpan w:val="8"/>
            <w:tcBorders>
              <w:top w:val="single" w:sz="8" w:space="0" w:color="auto"/>
              <w:left w:val="single" w:sz="8" w:space="0" w:color="auto"/>
              <w:bottom w:val="single" w:sz="8" w:space="0" w:color="auto"/>
              <w:right w:val="single" w:sz="8" w:space="0" w:color="000000" w:themeColor="text1"/>
            </w:tcBorders>
            <w:shd w:val="clear" w:color="auto" w:fill="9BC2E6"/>
            <w:noWrap/>
            <w:vAlign w:val="center"/>
            <w:hideMark/>
          </w:tcPr>
          <w:p w:rsidR="003548A8" w:rsidRPr="003548A8" w:rsidP="003548A8" w14:paraId="3F34EDF1" w14:textId="77777777">
            <w:pPr>
              <w:widowControl/>
              <w:autoSpaceDE/>
              <w:autoSpaceDN/>
              <w:adjustRightInd/>
              <w:jc w:val="center"/>
              <w:rPr>
                <w:b/>
                <w:bCs/>
                <w:color w:val="000000"/>
              </w:rPr>
            </w:pPr>
            <w:r w:rsidRPr="003548A8">
              <w:rPr>
                <w:b/>
                <w:bCs/>
                <w:color w:val="000000"/>
              </w:rPr>
              <w:t>Table 2 – Summary of Estimated Burden Hours and Cost per Response</w:t>
            </w:r>
          </w:p>
        </w:tc>
      </w:tr>
      <w:tr w14:paraId="01A66F70" w14:textId="77777777" w:rsidTr="00F544AB">
        <w:tblPrEx>
          <w:tblW w:w="11386" w:type="dxa"/>
          <w:jc w:val="center"/>
          <w:tblLayout w:type="fixed"/>
          <w:tblLook w:val="04A0"/>
        </w:tblPrEx>
        <w:trPr>
          <w:trHeight w:val="960"/>
          <w:tblHeader/>
          <w:jc w:val="center"/>
        </w:trPr>
        <w:tc>
          <w:tcPr>
            <w:tcW w:w="2240" w:type="dxa"/>
            <w:tcBorders>
              <w:top w:val="nil"/>
              <w:left w:val="single" w:sz="8" w:space="0" w:color="auto"/>
              <w:bottom w:val="single" w:sz="8" w:space="0" w:color="auto"/>
              <w:right w:val="single" w:sz="8" w:space="0" w:color="auto"/>
            </w:tcBorders>
            <w:shd w:val="clear" w:color="auto" w:fill="BDD7EE"/>
            <w:vAlign w:val="center"/>
            <w:hideMark/>
          </w:tcPr>
          <w:p w:rsidR="003548A8" w:rsidRPr="003548A8" w:rsidP="003548A8" w14:paraId="442B3FA0" w14:textId="77777777">
            <w:pPr>
              <w:widowControl/>
              <w:autoSpaceDE/>
              <w:autoSpaceDN/>
              <w:adjustRightInd/>
              <w:jc w:val="center"/>
              <w:rPr>
                <w:b/>
                <w:bCs/>
                <w:color w:val="000000"/>
              </w:rPr>
            </w:pPr>
            <w:r w:rsidRPr="003548A8">
              <w:rPr>
                <w:b/>
                <w:bCs/>
                <w:color w:val="000000"/>
              </w:rPr>
              <w:t>Information Collection Requirement</w:t>
            </w:r>
          </w:p>
        </w:tc>
        <w:tc>
          <w:tcPr>
            <w:tcW w:w="1170" w:type="dxa"/>
            <w:tcBorders>
              <w:top w:val="nil"/>
              <w:left w:val="nil"/>
              <w:bottom w:val="single" w:sz="8" w:space="0" w:color="auto"/>
              <w:right w:val="single" w:sz="8" w:space="0" w:color="auto"/>
            </w:tcBorders>
            <w:shd w:val="clear" w:color="auto" w:fill="BDD7EE"/>
            <w:vAlign w:val="center"/>
            <w:hideMark/>
          </w:tcPr>
          <w:p w:rsidR="003548A8" w:rsidRPr="00C95E29" w:rsidP="003548A8" w14:paraId="4A34B3F7" w14:textId="6024792A">
            <w:pPr>
              <w:widowControl/>
              <w:autoSpaceDE/>
              <w:autoSpaceDN/>
              <w:adjustRightInd/>
              <w:jc w:val="center"/>
              <w:rPr>
                <w:b/>
                <w:bCs/>
                <w:color w:val="000000"/>
                <w:sz w:val="22"/>
                <w:szCs w:val="22"/>
              </w:rPr>
            </w:pPr>
            <w:r w:rsidRPr="00C95E29">
              <w:rPr>
                <w:b/>
                <w:bCs/>
                <w:color w:val="000000"/>
                <w:sz w:val="22"/>
                <w:szCs w:val="22"/>
              </w:rPr>
              <w:t>Respond</w:t>
            </w:r>
            <w:r w:rsidR="00F544AB">
              <w:rPr>
                <w:b/>
                <w:bCs/>
                <w:color w:val="000000"/>
                <w:sz w:val="22"/>
                <w:szCs w:val="22"/>
              </w:rPr>
              <w:t>-</w:t>
            </w:r>
            <w:r w:rsidRPr="00C95E29">
              <w:rPr>
                <w:b/>
                <w:bCs/>
                <w:color w:val="000000"/>
                <w:sz w:val="22"/>
                <w:szCs w:val="22"/>
              </w:rPr>
              <w:t>ent</w:t>
            </w:r>
            <w:r w:rsidRPr="00C95E29" w:rsidR="00A52781">
              <w:rPr>
                <w:b/>
                <w:bCs/>
                <w:color w:val="000000"/>
                <w:sz w:val="22"/>
                <w:szCs w:val="22"/>
              </w:rPr>
              <w:t>s</w:t>
            </w:r>
          </w:p>
        </w:tc>
        <w:tc>
          <w:tcPr>
            <w:tcW w:w="1530" w:type="dxa"/>
            <w:tcBorders>
              <w:top w:val="nil"/>
              <w:left w:val="nil"/>
              <w:bottom w:val="single" w:sz="8" w:space="0" w:color="auto"/>
              <w:right w:val="single" w:sz="8" w:space="0" w:color="auto"/>
            </w:tcBorders>
            <w:shd w:val="clear" w:color="auto" w:fill="BDD7EE"/>
            <w:vAlign w:val="center"/>
            <w:hideMark/>
          </w:tcPr>
          <w:p w:rsidR="003548A8" w:rsidRPr="003548A8" w:rsidP="003548A8" w14:paraId="62E8F893" w14:textId="729065B0">
            <w:pPr>
              <w:widowControl/>
              <w:autoSpaceDE/>
              <w:autoSpaceDN/>
              <w:adjustRightInd/>
              <w:jc w:val="center"/>
              <w:rPr>
                <w:b/>
                <w:bCs/>
                <w:color w:val="000000"/>
              </w:rPr>
            </w:pPr>
            <w:r>
              <w:rPr>
                <w:b/>
                <w:bCs/>
                <w:color w:val="000000" w:themeColor="text1"/>
              </w:rPr>
              <w:t>No. of Responses per Responden</w:t>
            </w:r>
            <w:r w:rsidR="00A62FE1">
              <w:rPr>
                <w:b/>
                <w:bCs/>
                <w:color w:val="000000" w:themeColor="text1"/>
              </w:rPr>
              <w:t>t</w:t>
            </w:r>
            <w:r>
              <w:rPr>
                <w:b/>
                <w:bCs/>
                <w:color w:val="000000" w:themeColor="text1"/>
              </w:rPr>
              <w:t xml:space="preserve">s </w:t>
            </w:r>
          </w:p>
        </w:tc>
        <w:tc>
          <w:tcPr>
            <w:tcW w:w="1350" w:type="dxa"/>
            <w:tcBorders>
              <w:top w:val="nil"/>
              <w:left w:val="nil"/>
              <w:bottom w:val="single" w:sz="8" w:space="0" w:color="auto"/>
              <w:right w:val="single" w:sz="8" w:space="0" w:color="auto"/>
            </w:tcBorders>
            <w:shd w:val="clear" w:color="auto" w:fill="BDD7EE"/>
            <w:vAlign w:val="center"/>
            <w:hideMark/>
          </w:tcPr>
          <w:p w:rsidR="003548A8" w:rsidRPr="003548A8" w:rsidP="003548A8" w14:paraId="1E95042F" w14:textId="6B831887">
            <w:pPr>
              <w:widowControl/>
              <w:autoSpaceDE/>
              <w:autoSpaceDN/>
              <w:adjustRightInd/>
              <w:jc w:val="center"/>
              <w:rPr>
                <w:b/>
                <w:bCs/>
                <w:color w:val="000000"/>
              </w:rPr>
            </w:pPr>
            <w:r>
              <w:rPr>
                <w:b/>
                <w:bCs/>
                <w:color w:val="000000"/>
              </w:rPr>
              <w:t xml:space="preserve">Total </w:t>
            </w:r>
            <w:r w:rsidR="00AF5D92">
              <w:rPr>
                <w:b/>
                <w:bCs/>
                <w:color w:val="000000"/>
              </w:rPr>
              <w:t xml:space="preserve">No. of </w:t>
            </w:r>
            <w:r w:rsidRPr="003548A8">
              <w:rPr>
                <w:b/>
                <w:bCs/>
                <w:color w:val="000000"/>
              </w:rPr>
              <w:t>Responses</w:t>
            </w:r>
          </w:p>
        </w:tc>
        <w:tc>
          <w:tcPr>
            <w:tcW w:w="1350" w:type="dxa"/>
            <w:tcBorders>
              <w:top w:val="nil"/>
              <w:left w:val="nil"/>
              <w:bottom w:val="single" w:sz="8" w:space="0" w:color="auto"/>
              <w:right w:val="single" w:sz="8" w:space="0" w:color="auto"/>
            </w:tcBorders>
            <w:shd w:val="clear" w:color="auto" w:fill="BDD7EE"/>
            <w:vAlign w:val="center"/>
            <w:hideMark/>
          </w:tcPr>
          <w:p w:rsidR="003548A8" w:rsidRPr="003548A8" w:rsidP="003548A8" w14:paraId="55CE3E50" w14:textId="001E3329">
            <w:pPr>
              <w:widowControl/>
              <w:autoSpaceDE/>
              <w:autoSpaceDN/>
              <w:adjustRightInd/>
              <w:jc w:val="center"/>
              <w:rPr>
                <w:b/>
                <w:bCs/>
                <w:color w:val="000000"/>
              </w:rPr>
            </w:pPr>
            <w:r>
              <w:rPr>
                <w:b/>
                <w:bCs/>
                <w:color w:val="000000" w:themeColor="text1"/>
              </w:rPr>
              <w:t>Burden</w:t>
            </w:r>
            <w:r w:rsidR="00785D9E">
              <w:rPr>
                <w:b/>
                <w:bCs/>
                <w:color w:val="000000" w:themeColor="text1"/>
              </w:rPr>
              <w:t xml:space="preserve"> per Ressponse </w:t>
            </w:r>
            <w:r w:rsidRPr="699E42F7" w:rsidR="59FD362D">
              <w:rPr>
                <w:b/>
                <w:bCs/>
                <w:color w:val="000000" w:themeColor="text1"/>
              </w:rPr>
              <w:t xml:space="preserve"> </w:t>
            </w:r>
            <w:r w:rsidRPr="699E42F7" w:rsidR="59FD362D">
              <w:rPr>
                <w:i/>
                <w:iCs/>
                <w:color w:val="000000" w:themeColor="text1"/>
              </w:rPr>
              <w:t>(</w:t>
            </w:r>
            <w:r w:rsidR="00785D9E">
              <w:rPr>
                <w:i/>
                <w:iCs/>
                <w:color w:val="000000" w:themeColor="text1"/>
              </w:rPr>
              <w:t xml:space="preserve">In </w:t>
            </w:r>
            <w:r w:rsidRPr="699E42F7" w:rsidR="057F9E91">
              <w:rPr>
                <w:i/>
                <w:iCs/>
                <w:color w:val="000000" w:themeColor="text1"/>
              </w:rPr>
              <w:t>h</w:t>
            </w:r>
            <w:r w:rsidR="00CD4AF2">
              <w:rPr>
                <w:i/>
                <w:iCs/>
                <w:color w:val="000000" w:themeColor="text1"/>
              </w:rPr>
              <w:t>ou</w:t>
            </w:r>
            <w:r w:rsidRPr="699E42F7" w:rsidR="39CC2879">
              <w:rPr>
                <w:i/>
                <w:iCs/>
                <w:color w:val="000000" w:themeColor="text1"/>
              </w:rPr>
              <w:t>rs</w:t>
            </w:r>
            <w:r w:rsidRPr="699E42F7" w:rsidR="59FD362D">
              <w:rPr>
                <w:i/>
                <w:iCs/>
                <w:color w:val="000000" w:themeColor="text1"/>
              </w:rPr>
              <w:t>)</w:t>
            </w:r>
          </w:p>
        </w:tc>
        <w:tc>
          <w:tcPr>
            <w:tcW w:w="1170" w:type="dxa"/>
            <w:tcBorders>
              <w:top w:val="nil"/>
              <w:left w:val="nil"/>
              <w:bottom w:val="single" w:sz="8" w:space="0" w:color="auto"/>
              <w:right w:val="single" w:sz="8" w:space="0" w:color="auto"/>
            </w:tcBorders>
            <w:shd w:val="clear" w:color="auto" w:fill="BDD7EE"/>
            <w:vAlign w:val="center"/>
            <w:hideMark/>
          </w:tcPr>
          <w:p w:rsidR="0048501E" w:rsidP="699E42F7" w14:paraId="4CD218CD" w14:textId="5C997A18">
            <w:pPr>
              <w:widowControl/>
              <w:autoSpaceDE/>
              <w:autoSpaceDN/>
              <w:adjustRightInd/>
              <w:jc w:val="center"/>
              <w:rPr>
                <w:b/>
                <w:bCs/>
                <w:color w:val="000000" w:themeColor="text1"/>
              </w:rPr>
            </w:pPr>
            <w:r>
              <w:rPr>
                <w:b/>
                <w:bCs/>
                <w:color w:val="000000" w:themeColor="text1"/>
              </w:rPr>
              <w:t xml:space="preserve">Total </w:t>
            </w:r>
            <w:r w:rsidRPr="699E42F7" w:rsidR="59FD362D">
              <w:rPr>
                <w:b/>
                <w:bCs/>
                <w:color w:val="000000" w:themeColor="text1"/>
              </w:rPr>
              <w:t>Burden</w:t>
            </w:r>
          </w:p>
          <w:p w:rsidR="0048501E" w:rsidP="699E42F7" w14:paraId="52643146" w14:textId="77777777">
            <w:pPr>
              <w:widowControl/>
              <w:autoSpaceDE/>
              <w:autoSpaceDN/>
              <w:adjustRightInd/>
              <w:jc w:val="center"/>
              <w:rPr>
                <w:b/>
                <w:bCs/>
                <w:color w:val="000000" w:themeColor="text1"/>
              </w:rPr>
            </w:pPr>
            <w:r>
              <w:rPr>
                <w:b/>
                <w:bCs/>
                <w:color w:val="000000" w:themeColor="text1"/>
              </w:rPr>
              <w:t>Hours</w:t>
            </w:r>
            <w:r w:rsidRPr="699E42F7" w:rsidR="59FD362D">
              <w:rPr>
                <w:b/>
                <w:bCs/>
                <w:color w:val="000000" w:themeColor="text1"/>
              </w:rPr>
              <w:t xml:space="preserve"> </w:t>
            </w:r>
          </w:p>
          <w:p w:rsidR="003548A8" w:rsidRPr="00AD15B1" w:rsidP="699E42F7" w14:paraId="64396897" w14:textId="328D4DF3">
            <w:pPr>
              <w:widowControl/>
              <w:autoSpaceDE/>
              <w:autoSpaceDN/>
              <w:adjustRightInd/>
              <w:jc w:val="center"/>
              <w:rPr>
                <w:i/>
                <w:iCs/>
                <w:color w:val="000000"/>
              </w:rPr>
            </w:pPr>
          </w:p>
        </w:tc>
        <w:tc>
          <w:tcPr>
            <w:tcW w:w="1080" w:type="dxa"/>
            <w:tcBorders>
              <w:top w:val="nil"/>
              <w:left w:val="nil"/>
              <w:bottom w:val="single" w:sz="8" w:space="0" w:color="auto"/>
              <w:right w:val="single" w:sz="8" w:space="0" w:color="auto"/>
            </w:tcBorders>
            <w:shd w:val="clear" w:color="auto" w:fill="BDD7EE"/>
            <w:vAlign w:val="center"/>
            <w:hideMark/>
          </w:tcPr>
          <w:p w:rsidR="0048501E" w:rsidP="003548A8" w14:paraId="0760CD24" w14:textId="7E3716D3">
            <w:pPr>
              <w:widowControl/>
              <w:autoSpaceDE/>
              <w:autoSpaceDN/>
              <w:adjustRightInd/>
              <w:jc w:val="center"/>
              <w:rPr>
                <w:b/>
                <w:bCs/>
                <w:color w:val="000000"/>
              </w:rPr>
            </w:pPr>
            <w:r>
              <w:rPr>
                <w:b/>
                <w:bCs/>
                <w:color w:val="000000"/>
              </w:rPr>
              <w:t>Loaded</w:t>
            </w:r>
          </w:p>
          <w:p w:rsidR="003548A8" w:rsidRPr="003548A8" w:rsidP="003548A8" w14:paraId="096E476B" w14:textId="7AA78330">
            <w:pPr>
              <w:widowControl/>
              <w:autoSpaceDE/>
              <w:autoSpaceDN/>
              <w:adjustRightInd/>
              <w:jc w:val="center"/>
              <w:rPr>
                <w:b/>
                <w:bCs/>
                <w:color w:val="000000"/>
              </w:rPr>
            </w:pPr>
            <w:r w:rsidRPr="003548A8">
              <w:rPr>
                <w:b/>
                <w:bCs/>
                <w:color w:val="000000"/>
              </w:rPr>
              <w:t>Hourly Wage Rate</w:t>
            </w:r>
          </w:p>
        </w:tc>
        <w:tc>
          <w:tcPr>
            <w:tcW w:w="1496" w:type="dxa"/>
            <w:tcBorders>
              <w:top w:val="nil"/>
              <w:left w:val="nil"/>
              <w:bottom w:val="single" w:sz="8" w:space="0" w:color="auto"/>
              <w:right w:val="single" w:sz="8" w:space="0" w:color="auto"/>
            </w:tcBorders>
            <w:shd w:val="clear" w:color="auto" w:fill="BDD7EE"/>
            <w:vAlign w:val="center"/>
            <w:hideMark/>
          </w:tcPr>
          <w:p w:rsidR="003548A8" w:rsidRPr="003548A8" w:rsidP="003548A8" w14:paraId="66B69030" w14:textId="76E0F74F">
            <w:pPr>
              <w:widowControl/>
              <w:autoSpaceDE/>
              <w:autoSpaceDN/>
              <w:adjustRightInd/>
              <w:jc w:val="center"/>
              <w:rPr>
                <w:b/>
                <w:bCs/>
                <w:color w:val="000000"/>
              </w:rPr>
            </w:pPr>
            <w:r>
              <w:rPr>
                <w:b/>
                <w:bCs/>
                <w:color w:val="000000"/>
              </w:rPr>
              <w:t xml:space="preserve">Total Burden </w:t>
            </w:r>
            <w:r w:rsidRPr="003548A8">
              <w:rPr>
                <w:b/>
                <w:bCs/>
                <w:color w:val="000000"/>
              </w:rPr>
              <w:t>Cost</w:t>
            </w:r>
            <w:r>
              <w:rPr>
                <w:b/>
                <w:bCs/>
                <w:color w:val="000000"/>
              </w:rPr>
              <w:t>s</w:t>
            </w:r>
          </w:p>
        </w:tc>
      </w:tr>
      <w:tr w14:paraId="6E6F4DFC" w14:textId="77777777" w:rsidTr="00F544AB">
        <w:tblPrEx>
          <w:tblW w:w="11386" w:type="dxa"/>
          <w:jc w:val="center"/>
          <w:tblLayout w:type="fixed"/>
          <w:tblLook w:val="04A0"/>
        </w:tblPrEx>
        <w:trPr>
          <w:trHeight w:val="645"/>
          <w:jc w:val="center"/>
        </w:trPr>
        <w:tc>
          <w:tcPr>
            <w:tcW w:w="2240" w:type="dxa"/>
            <w:tcBorders>
              <w:top w:val="nil"/>
              <w:left w:val="single" w:sz="8" w:space="0" w:color="auto"/>
              <w:bottom w:val="single" w:sz="8" w:space="0" w:color="auto"/>
              <w:right w:val="single" w:sz="8" w:space="0" w:color="auto"/>
            </w:tcBorders>
            <w:shd w:val="clear" w:color="auto" w:fill="auto"/>
            <w:vAlign w:val="center"/>
            <w:hideMark/>
          </w:tcPr>
          <w:p w:rsidR="003548A8" w:rsidRPr="00AD15B1" w:rsidP="00AD15B1" w14:paraId="49ED55DA" w14:textId="3A6FEBF4">
            <w:pPr>
              <w:widowControl/>
              <w:autoSpaceDE/>
              <w:autoSpaceDN/>
              <w:adjustRightInd/>
              <w:rPr>
                <w:color w:val="000000"/>
              </w:rPr>
            </w:pPr>
            <w:r>
              <w:rPr>
                <w:color w:val="000000"/>
              </w:rPr>
              <w:t xml:space="preserve">1. </w:t>
            </w:r>
            <w:r w:rsidRPr="00AD15B1">
              <w:rPr>
                <w:color w:val="000000"/>
              </w:rPr>
              <w:t xml:space="preserve">Ladders, General Requirements for All Ladders </w:t>
            </w:r>
            <w:r w:rsidRPr="00AD15B1" w:rsidR="00A52781">
              <w:rPr>
                <w:color w:val="000000"/>
              </w:rPr>
              <w:br/>
            </w:r>
            <w:r w:rsidRPr="00AD15B1">
              <w:rPr>
                <w:i/>
                <w:iCs/>
                <w:color w:val="000000"/>
              </w:rPr>
              <w:t>(§ 1910.23(b)(10))</w:t>
            </w:r>
          </w:p>
        </w:tc>
        <w:tc>
          <w:tcPr>
            <w:tcW w:w="1170" w:type="dxa"/>
            <w:tcBorders>
              <w:top w:val="nil"/>
              <w:left w:val="nil"/>
              <w:bottom w:val="single" w:sz="8" w:space="0" w:color="auto"/>
              <w:right w:val="single" w:sz="8" w:space="0" w:color="auto"/>
            </w:tcBorders>
            <w:shd w:val="clear" w:color="auto" w:fill="FFFFFF" w:themeFill="background1"/>
            <w:vAlign w:val="center"/>
            <w:hideMark/>
          </w:tcPr>
          <w:p w:rsidR="003548A8" w:rsidRPr="003548A8" w:rsidP="003548A8" w14:paraId="31036044" w14:textId="77777777">
            <w:pPr>
              <w:widowControl/>
              <w:autoSpaceDE/>
              <w:autoSpaceDN/>
              <w:adjustRightInd/>
              <w:jc w:val="center"/>
              <w:rPr>
                <w:color w:val="000000"/>
              </w:rPr>
            </w:pPr>
            <w:r w:rsidRPr="003548A8">
              <w:rPr>
                <w:color w:val="000000"/>
              </w:rPr>
              <w:t>57,590</w:t>
            </w:r>
          </w:p>
        </w:tc>
        <w:tc>
          <w:tcPr>
            <w:tcW w:w="1530" w:type="dxa"/>
            <w:tcBorders>
              <w:top w:val="nil"/>
              <w:left w:val="nil"/>
              <w:bottom w:val="single" w:sz="8" w:space="0" w:color="auto"/>
              <w:right w:val="single" w:sz="8" w:space="0" w:color="auto"/>
            </w:tcBorders>
            <w:shd w:val="clear" w:color="auto" w:fill="FFFFFF" w:themeFill="background1"/>
            <w:vAlign w:val="center"/>
            <w:hideMark/>
          </w:tcPr>
          <w:p w:rsidR="003548A8" w:rsidRPr="003548A8" w:rsidP="003548A8" w14:paraId="6990E2E6" w14:textId="77777777">
            <w:pPr>
              <w:widowControl/>
              <w:autoSpaceDE/>
              <w:autoSpaceDN/>
              <w:adjustRightInd/>
              <w:jc w:val="center"/>
              <w:rPr>
                <w:color w:val="000000"/>
              </w:rPr>
            </w:pPr>
            <w:r w:rsidRPr="003548A8">
              <w:rPr>
                <w:color w:val="000000"/>
              </w:rPr>
              <w:t>1</w:t>
            </w:r>
          </w:p>
        </w:tc>
        <w:tc>
          <w:tcPr>
            <w:tcW w:w="1350" w:type="dxa"/>
            <w:tcBorders>
              <w:top w:val="nil"/>
              <w:left w:val="nil"/>
              <w:bottom w:val="single" w:sz="8" w:space="0" w:color="auto"/>
              <w:right w:val="single" w:sz="8" w:space="0" w:color="auto"/>
            </w:tcBorders>
            <w:shd w:val="clear" w:color="auto" w:fill="BDD7EE"/>
            <w:vAlign w:val="center"/>
            <w:hideMark/>
          </w:tcPr>
          <w:p w:rsidR="003548A8" w:rsidRPr="003548A8" w:rsidP="003548A8" w14:paraId="765D755B" w14:textId="77777777">
            <w:pPr>
              <w:widowControl/>
              <w:autoSpaceDE/>
              <w:autoSpaceDN/>
              <w:adjustRightInd/>
              <w:jc w:val="center"/>
              <w:rPr>
                <w:color w:val="000000"/>
              </w:rPr>
            </w:pPr>
            <w:r w:rsidRPr="003548A8">
              <w:rPr>
                <w:color w:val="000000"/>
              </w:rPr>
              <w:t>57,590</w:t>
            </w:r>
          </w:p>
        </w:tc>
        <w:tc>
          <w:tcPr>
            <w:tcW w:w="1350" w:type="dxa"/>
            <w:tcBorders>
              <w:top w:val="nil"/>
              <w:left w:val="nil"/>
              <w:bottom w:val="single" w:sz="8" w:space="0" w:color="auto"/>
              <w:right w:val="single" w:sz="8" w:space="0" w:color="auto"/>
            </w:tcBorders>
            <w:shd w:val="clear" w:color="auto" w:fill="FFFFFF" w:themeFill="background1"/>
            <w:vAlign w:val="center"/>
            <w:hideMark/>
          </w:tcPr>
          <w:p w:rsidR="003548A8" w:rsidRPr="003548A8" w:rsidP="003548A8" w14:paraId="7A6C2229" w14:textId="43B5DD6D">
            <w:pPr>
              <w:widowControl/>
              <w:autoSpaceDE/>
              <w:autoSpaceDN/>
              <w:adjustRightInd/>
              <w:jc w:val="center"/>
              <w:rPr>
                <w:color w:val="000000"/>
              </w:rPr>
            </w:pPr>
            <w:r>
              <w:rPr>
                <w:color w:val="000000"/>
              </w:rPr>
              <w:t>3/60</w:t>
            </w:r>
          </w:p>
        </w:tc>
        <w:tc>
          <w:tcPr>
            <w:tcW w:w="1170" w:type="dxa"/>
            <w:tcBorders>
              <w:top w:val="nil"/>
              <w:left w:val="nil"/>
              <w:bottom w:val="single" w:sz="8" w:space="0" w:color="auto"/>
              <w:right w:val="single" w:sz="8" w:space="0" w:color="auto"/>
            </w:tcBorders>
            <w:shd w:val="clear" w:color="auto" w:fill="BDD7EE"/>
            <w:vAlign w:val="center"/>
            <w:hideMark/>
          </w:tcPr>
          <w:p w:rsidR="003548A8" w:rsidRPr="003548A8" w:rsidP="003548A8" w14:paraId="216773B6" w14:textId="77777777">
            <w:pPr>
              <w:widowControl/>
              <w:autoSpaceDE/>
              <w:autoSpaceDN/>
              <w:adjustRightInd/>
              <w:jc w:val="center"/>
              <w:rPr>
                <w:color w:val="000000"/>
              </w:rPr>
            </w:pPr>
            <w:r w:rsidRPr="003548A8">
              <w:rPr>
                <w:color w:val="000000"/>
              </w:rPr>
              <w:t>2,880</w:t>
            </w:r>
          </w:p>
        </w:tc>
        <w:tc>
          <w:tcPr>
            <w:tcW w:w="1080" w:type="dxa"/>
            <w:tcBorders>
              <w:top w:val="nil"/>
              <w:left w:val="nil"/>
              <w:bottom w:val="single" w:sz="8" w:space="0" w:color="auto"/>
              <w:right w:val="single" w:sz="8" w:space="0" w:color="auto"/>
            </w:tcBorders>
            <w:shd w:val="clear" w:color="auto" w:fill="auto"/>
            <w:vAlign w:val="center"/>
            <w:hideMark/>
          </w:tcPr>
          <w:p w:rsidR="003548A8" w:rsidRPr="003548A8" w:rsidP="003548A8" w14:paraId="18CEC77D" w14:textId="77777777">
            <w:pPr>
              <w:widowControl/>
              <w:autoSpaceDE/>
              <w:autoSpaceDN/>
              <w:adjustRightInd/>
              <w:jc w:val="center"/>
              <w:rPr>
                <w:color w:val="000000"/>
              </w:rPr>
            </w:pPr>
            <w:r w:rsidRPr="003548A8">
              <w:rPr>
                <w:color w:val="000000"/>
              </w:rPr>
              <w:t xml:space="preserve">$29.67 </w:t>
            </w:r>
          </w:p>
        </w:tc>
        <w:tc>
          <w:tcPr>
            <w:tcW w:w="1496" w:type="dxa"/>
            <w:tcBorders>
              <w:top w:val="nil"/>
              <w:left w:val="nil"/>
              <w:bottom w:val="single" w:sz="8" w:space="0" w:color="auto"/>
              <w:right w:val="single" w:sz="8" w:space="0" w:color="auto"/>
            </w:tcBorders>
            <w:shd w:val="clear" w:color="auto" w:fill="BDD7EE"/>
            <w:vAlign w:val="center"/>
            <w:hideMark/>
          </w:tcPr>
          <w:p w:rsidR="003548A8" w:rsidRPr="003548A8" w:rsidP="003548A8" w14:paraId="4FC7CCFE" w14:textId="1FAE4657">
            <w:pPr>
              <w:widowControl/>
              <w:autoSpaceDE/>
              <w:autoSpaceDN/>
              <w:adjustRightInd/>
              <w:jc w:val="center"/>
              <w:rPr>
                <w:color w:val="000000"/>
              </w:rPr>
            </w:pPr>
            <w:r>
              <w:rPr>
                <w:color w:val="000000"/>
              </w:rPr>
              <w:t>$</w:t>
            </w:r>
            <w:r w:rsidRPr="003548A8">
              <w:rPr>
                <w:color w:val="000000"/>
              </w:rPr>
              <w:t>85,449.60</w:t>
            </w:r>
          </w:p>
        </w:tc>
      </w:tr>
      <w:tr w14:paraId="7823A001" w14:textId="77777777" w:rsidTr="00F544AB">
        <w:tblPrEx>
          <w:tblW w:w="11386" w:type="dxa"/>
          <w:jc w:val="center"/>
          <w:tblLayout w:type="fixed"/>
          <w:tblLook w:val="04A0"/>
        </w:tblPrEx>
        <w:trPr>
          <w:trHeight w:val="645"/>
          <w:jc w:val="center"/>
        </w:trPr>
        <w:tc>
          <w:tcPr>
            <w:tcW w:w="2240" w:type="dxa"/>
            <w:tcBorders>
              <w:top w:val="nil"/>
              <w:left w:val="single" w:sz="8" w:space="0" w:color="auto"/>
              <w:bottom w:val="single" w:sz="8" w:space="0" w:color="auto"/>
              <w:right w:val="single" w:sz="8" w:space="0" w:color="auto"/>
            </w:tcBorders>
            <w:shd w:val="clear" w:color="auto" w:fill="auto"/>
            <w:vAlign w:val="center"/>
            <w:hideMark/>
          </w:tcPr>
          <w:p w:rsidR="003548A8" w:rsidRPr="003548A8" w:rsidP="00AD15B1" w14:paraId="65629139" w14:textId="41C6E2CD">
            <w:pPr>
              <w:widowControl/>
              <w:autoSpaceDE/>
              <w:autoSpaceDN/>
              <w:adjustRightInd/>
              <w:rPr>
                <w:color w:val="000000"/>
              </w:rPr>
            </w:pPr>
            <w:r>
              <w:rPr>
                <w:color w:val="000000"/>
              </w:rPr>
              <w:t xml:space="preserve">2. </w:t>
            </w:r>
            <w:r w:rsidRPr="003548A8">
              <w:rPr>
                <w:color w:val="000000"/>
              </w:rPr>
              <w:t xml:space="preserve">Rope Descent System, Anchorages </w:t>
            </w:r>
            <w:r w:rsidR="00A52781">
              <w:rPr>
                <w:color w:val="000000"/>
              </w:rPr>
              <w:br/>
            </w:r>
            <w:r w:rsidRPr="00AD15B1">
              <w:rPr>
                <w:i/>
                <w:iCs/>
                <w:color w:val="000000"/>
              </w:rPr>
              <w:t>(§ 1910.27(b)(1)(i))</w:t>
            </w:r>
          </w:p>
        </w:tc>
        <w:tc>
          <w:tcPr>
            <w:tcW w:w="1170" w:type="dxa"/>
            <w:tcBorders>
              <w:top w:val="nil"/>
              <w:left w:val="nil"/>
              <w:bottom w:val="single" w:sz="8" w:space="0" w:color="auto"/>
              <w:right w:val="single" w:sz="8" w:space="0" w:color="auto"/>
            </w:tcBorders>
            <w:shd w:val="clear" w:color="auto" w:fill="FFFFFF" w:themeFill="background1"/>
            <w:vAlign w:val="center"/>
            <w:hideMark/>
          </w:tcPr>
          <w:p w:rsidR="003548A8" w:rsidRPr="003548A8" w:rsidP="003548A8" w14:paraId="116A18BE" w14:textId="77777777">
            <w:pPr>
              <w:widowControl/>
              <w:autoSpaceDE/>
              <w:autoSpaceDN/>
              <w:adjustRightInd/>
              <w:jc w:val="center"/>
              <w:rPr>
                <w:color w:val="000000"/>
              </w:rPr>
            </w:pPr>
            <w:r w:rsidRPr="003548A8">
              <w:rPr>
                <w:color w:val="000000"/>
              </w:rPr>
              <w:t>487,500</w:t>
            </w:r>
          </w:p>
        </w:tc>
        <w:tc>
          <w:tcPr>
            <w:tcW w:w="1530" w:type="dxa"/>
            <w:tcBorders>
              <w:top w:val="nil"/>
              <w:left w:val="nil"/>
              <w:bottom w:val="single" w:sz="8" w:space="0" w:color="auto"/>
              <w:right w:val="single" w:sz="8" w:space="0" w:color="auto"/>
            </w:tcBorders>
            <w:shd w:val="clear" w:color="auto" w:fill="FFFFFF" w:themeFill="background1"/>
            <w:vAlign w:val="center"/>
            <w:hideMark/>
          </w:tcPr>
          <w:p w:rsidR="003548A8" w:rsidRPr="003548A8" w:rsidP="003548A8" w14:paraId="2E43ED1E" w14:textId="77777777">
            <w:pPr>
              <w:widowControl/>
              <w:autoSpaceDE/>
              <w:autoSpaceDN/>
              <w:adjustRightInd/>
              <w:jc w:val="center"/>
              <w:rPr>
                <w:color w:val="000000"/>
              </w:rPr>
            </w:pPr>
            <w:r w:rsidRPr="003548A8">
              <w:rPr>
                <w:color w:val="000000"/>
              </w:rPr>
              <w:t>1</w:t>
            </w:r>
          </w:p>
        </w:tc>
        <w:tc>
          <w:tcPr>
            <w:tcW w:w="1350" w:type="dxa"/>
            <w:tcBorders>
              <w:top w:val="nil"/>
              <w:left w:val="nil"/>
              <w:bottom w:val="single" w:sz="8" w:space="0" w:color="auto"/>
              <w:right w:val="single" w:sz="8" w:space="0" w:color="auto"/>
            </w:tcBorders>
            <w:shd w:val="clear" w:color="auto" w:fill="BDD7EE"/>
            <w:vAlign w:val="center"/>
            <w:hideMark/>
          </w:tcPr>
          <w:p w:rsidR="003548A8" w:rsidRPr="003548A8" w:rsidP="003548A8" w14:paraId="7EEC654C" w14:textId="77777777">
            <w:pPr>
              <w:widowControl/>
              <w:autoSpaceDE/>
              <w:autoSpaceDN/>
              <w:adjustRightInd/>
              <w:jc w:val="center"/>
              <w:rPr>
                <w:color w:val="000000"/>
              </w:rPr>
            </w:pPr>
            <w:r w:rsidRPr="003548A8">
              <w:rPr>
                <w:color w:val="000000"/>
              </w:rPr>
              <w:t>487,500</w:t>
            </w:r>
          </w:p>
        </w:tc>
        <w:tc>
          <w:tcPr>
            <w:tcW w:w="1350" w:type="dxa"/>
            <w:tcBorders>
              <w:top w:val="nil"/>
              <w:left w:val="nil"/>
              <w:bottom w:val="single" w:sz="8" w:space="0" w:color="auto"/>
              <w:right w:val="single" w:sz="8" w:space="0" w:color="auto"/>
            </w:tcBorders>
            <w:shd w:val="clear" w:color="auto" w:fill="FFFFFF" w:themeFill="background1"/>
            <w:vAlign w:val="center"/>
            <w:hideMark/>
          </w:tcPr>
          <w:p w:rsidR="003548A8" w:rsidRPr="003548A8" w:rsidP="003548A8" w14:paraId="4DF706CD" w14:textId="2568D35A">
            <w:pPr>
              <w:widowControl/>
              <w:autoSpaceDE/>
              <w:autoSpaceDN/>
              <w:adjustRightInd/>
              <w:jc w:val="center"/>
              <w:rPr>
                <w:color w:val="000000"/>
              </w:rPr>
            </w:pPr>
            <w:r>
              <w:rPr>
                <w:color w:val="000000"/>
              </w:rPr>
              <w:t>1</w:t>
            </w:r>
          </w:p>
        </w:tc>
        <w:tc>
          <w:tcPr>
            <w:tcW w:w="1170" w:type="dxa"/>
            <w:tcBorders>
              <w:top w:val="nil"/>
              <w:left w:val="nil"/>
              <w:bottom w:val="single" w:sz="8" w:space="0" w:color="auto"/>
              <w:right w:val="single" w:sz="8" w:space="0" w:color="auto"/>
            </w:tcBorders>
            <w:shd w:val="clear" w:color="auto" w:fill="BDD7EE"/>
            <w:vAlign w:val="center"/>
            <w:hideMark/>
          </w:tcPr>
          <w:p w:rsidR="003548A8" w:rsidRPr="003548A8" w:rsidP="003548A8" w14:paraId="18CCB96C" w14:textId="77777777">
            <w:pPr>
              <w:widowControl/>
              <w:autoSpaceDE/>
              <w:autoSpaceDN/>
              <w:adjustRightInd/>
              <w:jc w:val="center"/>
              <w:rPr>
                <w:color w:val="000000"/>
              </w:rPr>
            </w:pPr>
            <w:r w:rsidRPr="003548A8">
              <w:rPr>
                <w:color w:val="000000"/>
              </w:rPr>
              <w:t>487,500</w:t>
            </w:r>
          </w:p>
        </w:tc>
        <w:tc>
          <w:tcPr>
            <w:tcW w:w="1080" w:type="dxa"/>
            <w:tcBorders>
              <w:top w:val="nil"/>
              <w:left w:val="nil"/>
              <w:bottom w:val="single" w:sz="8" w:space="0" w:color="auto"/>
              <w:right w:val="single" w:sz="8" w:space="0" w:color="auto"/>
            </w:tcBorders>
            <w:shd w:val="clear" w:color="auto" w:fill="auto"/>
            <w:vAlign w:val="center"/>
            <w:hideMark/>
          </w:tcPr>
          <w:p w:rsidR="003548A8" w:rsidRPr="003548A8" w:rsidP="003548A8" w14:paraId="00F21AA3" w14:textId="77777777">
            <w:pPr>
              <w:widowControl/>
              <w:autoSpaceDE/>
              <w:autoSpaceDN/>
              <w:adjustRightInd/>
              <w:jc w:val="center"/>
              <w:rPr>
                <w:color w:val="000000"/>
              </w:rPr>
            </w:pPr>
            <w:r w:rsidRPr="003548A8">
              <w:rPr>
                <w:color w:val="000000"/>
              </w:rPr>
              <w:t xml:space="preserve">$82.06 </w:t>
            </w:r>
          </w:p>
        </w:tc>
        <w:tc>
          <w:tcPr>
            <w:tcW w:w="1496" w:type="dxa"/>
            <w:tcBorders>
              <w:top w:val="nil"/>
              <w:left w:val="nil"/>
              <w:bottom w:val="single" w:sz="8" w:space="0" w:color="auto"/>
              <w:right w:val="single" w:sz="8" w:space="0" w:color="auto"/>
            </w:tcBorders>
            <w:shd w:val="clear" w:color="auto" w:fill="BDD7EE"/>
            <w:vAlign w:val="center"/>
            <w:hideMark/>
          </w:tcPr>
          <w:p w:rsidR="003548A8" w:rsidRPr="003548A8" w:rsidP="003548A8" w14:paraId="62F48DBE" w14:textId="1AA15FA0">
            <w:pPr>
              <w:widowControl/>
              <w:autoSpaceDE/>
              <w:autoSpaceDN/>
              <w:adjustRightInd/>
              <w:jc w:val="center"/>
              <w:rPr>
                <w:color w:val="000000"/>
              </w:rPr>
            </w:pPr>
            <w:r>
              <w:rPr>
                <w:color w:val="000000"/>
              </w:rPr>
              <w:t>$</w:t>
            </w:r>
            <w:r w:rsidRPr="003548A8">
              <w:rPr>
                <w:color w:val="000000"/>
              </w:rPr>
              <w:t>40,004,250</w:t>
            </w:r>
          </w:p>
        </w:tc>
      </w:tr>
      <w:tr w14:paraId="01043867" w14:textId="77777777" w:rsidTr="00F544AB">
        <w:tblPrEx>
          <w:tblW w:w="11386" w:type="dxa"/>
          <w:jc w:val="center"/>
          <w:tblLayout w:type="fixed"/>
          <w:tblLook w:val="04A0"/>
        </w:tblPrEx>
        <w:trPr>
          <w:trHeight w:val="645"/>
          <w:jc w:val="center"/>
        </w:trPr>
        <w:tc>
          <w:tcPr>
            <w:tcW w:w="2240" w:type="dxa"/>
            <w:tcBorders>
              <w:top w:val="nil"/>
              <w:left w:val="single" w:sz="8" w:space="0" w:color="auto"/>
              <w:bottom w:val="single" w:sz="8" w:space="0" w:color="auto"/>
              <w:right w:val="single" w:sz="8" w:space="0" w:color="auto"/>
            </w:tcBorders>
            <w:shd w:val="clear" w:color="auto" w:fill="auto"/>
            <w:vAlign w:val="center"/>
            <w:hideMark/>
          </w:tcPr>
          <w:p w:rsidR="003548A8" w:rsidRPr="003548A8" w:rsidP="00BE3CBA" w14:paraId="11102588" w14:textId="77777777">
            <w:pPr>
              <w:widowControl/>
              <w:autoSpaceDE/>
              <w:autoSpaceDN/>
              <w:adjustRightInd/>
              <w:ind w:firstLine="240" w:firstLineChars="100"/>
              <w:rPr>
                <w:color w:val="000000"/>
              </w:rPr>
            </w:pPr>
            <w:r w:rsidRPr="003548A8">
              <w:rPr>
                <w:color w:val="000000"/>
              </w:rPr>
              <w:t xml:space="preserve">Rope Descent System Anchorages </w:t>
            </w:r>
            <w:r w:rsidRPr="00AD15B1">
              <w:rPr>
                <w:i/>
                <w:iCs/>
                <w:color w:val="000000"/>
              </w:rPr>
              <w:t>(§ 1910.27(b)(1)(ii))</w:t>
            </w:r>
          </w:p>
        </w:tc>
        <w:tc>
          <w:tcPr>
            <w:tcW w:w="1170" w:type="dxa"/>
            <w:tcBorders>
              <w:top w:val="nil"/>
              <w:left w:val="nil"/>
              <w:bottom w:val="single" w:sz="8" w:space="0" w:color="auto"/>
              <w:right w:val="single" w:sz="8" w:space="0" w:color="auto"/>
            </w:tcBorders>
            <w:shd w:val="clear" w:color="auto" w:fill="FFFFFF" w:themeFill="background1"/>
            <w:vAlign w:val="center"/>
            <w:hideMark/>
          </w:tcPr>
          <w:p w:rsidR="003548A8" w:rsidRPr="003548A8" w:rsidP="003548A8" w14:paraId="337C7FE4" w14:textId="77777777">
            <w:pPr>
              <w:widowControl/>
              <w:autoSpaceDE/>
              <w:autoSpaceDN/>
              <w:adjustRightInd/>
              <w:jc w:val="center"/>
              <w:rPr>
                <w:color w:val="000000"/>
              </w:rPr>
            </w:pPr>
            <w:r w:rsidRPr="003548A8">
              <w:rPr>
                <w:color w:val="000000"/>
              </w:rPr>
              <w:t>487,500</w:t>
            </w:r>
          </w:p>
        </w:tc>
        <w:tc>
          <w:tcPr>
            <w:tcW w:w="1530" w:type="dxa"/>
            <w:tcBorders>
              <w:top w:val="nil"/>
              <w:left w:val="nil"/>
              <w:bottom w:val="single" w:sz="8" w:space="0" w:color="auto"/>
              <w:right w:val="single" w:sz="8" w:space="0" w:color="auto"/>
            </w:tcBorders>
            <w:shd w:val="clear" w:color="auto" w:fill="FFFFFF" w:themeFill="background1"/>
            <w:vAlign w:val="center"/>
            <w:hideMark/>
          </w:tcPr>
          <w:p w:rsidR="003548A8" w:rsidRPr="003548A8" w:rsidP="003548A8" w14:paraId="4A430B1F" w14:textId="77777777">
            <w:pPr>
              <w:widowControl/>
              <w:autoSpaceDE/>
              <w:autoSpaceDN/>
              <w:adjustRightInd/>
              <w:jc w:val="center"/>
              <w:rPr>
                <w:color w:val="000000"/>
              </w:rPr>
            </w:pPr>
            <w:r w:rsidRPr="003548A8">
              <w:rPr>
                <w:color w:val="000000"/>
              </w:rPr>
              <w:t>1</w:t>
            </w:r>
          </w:p>
        </w:tc>
        <w:tc>
          <w:tcPr>
            <w:tcW w:w="1350" w:type="dxa"/>
            <w:tcBorders>
              <w:top w:val="nil"/>
              <w:left w:val="nil"/>
              <w:bottom w:val="single" w:sz="8" w:space="0" w:color="auto"/>
              <w:right w:val="single" w:sz="8" w:space="0" w:color="auto"/>
            </w:tcBorders>
            <w:shd w:val="clear" w:color="auto" w:fill="BDD7EE"/>
            <w:vAlign w:val="center"/>
            <w:hideMark/>
          </w:tcPr>
          <w:p w:rsidR="003548A8" w:rsidRPr="003548A8" w:rsidP="003548A8" w14:paraId="090E6E12" w14:textId="77777777">
            <w:pPr>
              <w:widowControl/>
              <w:autoSpaceDE/>
              <w:autoSpaceDN/>
              <w:adjustRightInd/>
              <w:jc w:val="center"/>
              <w:rPr>
                <w:color w:val="000000"/>
              </w:rPr>
            </w:pPr>
            <w:r w:rsidRPr="003548A8">
              <w:rPr>
                <w:color w:val="000000"/>
              </w:rPr>
              <w:t>487,500</w:t>
            </w:r>
          </w:p>
        </w:tc>
        <w:tc>
          <w:tcPr>
            <w:tcW w:w="1350" w:type="dxa"/>
            <w:tcBorders>
              <w:top w:val="nil"/>
              <w:left w:val="nil"/>
              <w:bottom w:val="single" w:sz="8" w:space="0" w:color="auto"/>
              <w:right w:val="single" w:sz="8" w:space="0" w:color="auto"/>
            </w:tcBorders>
            <w:shd w:val="clear" w:color="auto" w:fill="FFFFFF" w:themeFill="background1"/>
            <w:vAlign w:val="center"/>
            <w:hideMark/>
          </w:tcPr>
          <w:p w:rsidR="003548A8" w:rsidRPr="003548A8" w:rsidP="003548A8" w14:paraId="09A158CC" w14:textId="3318D435">
            <w:pPr>
              <w:widowControl/>
              <w:autoSpaceDE/>
              <w:autoSpaceDN/>
              <w:adjustRightInd/>
              <w:jc w:val="center"/>
              <w:rPr>
                <w:color w:val="000000"/>
              </w:rPr>
            </w:pPr>
            <w:r>
              <w:rPr>
                <w:color w:val="000000"/>
              </w:rPr>
              <w:t>1/60</w:t>
            </w:r>
          </w:p>
        </w:tc>
        <w:tc>
          <w:tcPr>
            <w:tcW w:w="1170" w:type="dxa"/>
            <w:tcBorders>
              <w:top w:val="nil"/>
              <w:left w:val="nil"/>
              <w:bottom w:val="single" w:sz="8" w:space="0" w:color="auto"/>
              <w:right w:val="single" w:sz="8" w:space="0" w:color="auto"/>
            </w:tcBorders>
            <w:shd w:val="clear" w:color="auto" w:fill="BDD7EE"/>
            <w:vAlign w:val="center"/>
            <w:hideMark/>
          </w:tcPr>
          <w:p w:rsidR="003548A8" w:rsidRPr="003548A8" w:rsidP="003548A8" w14:paraId="0DD83CB0" w14:textId="77777777">
            <w:pPr>
              <w:widowControl/>
              <w:autoSpaceDE/>
              <w:autoSpaceDN/>
              <w:adjustRightInd/>
              <w:jc w:val="center"/>
              <w:rPr>
                <w:color w:val="000000"/>
              </w:rPr>
            </w:pPr>
            <w:r w:rsidRPr="003548A8">
              <w:rPr>
                <w:color w:val="000000"/>
              </w:rPr>
              <w:t>8,125</w:t>
            </w:r>
          </w:p>
        </w:tc>
        <w:tc>
          <w:tcPr>
            <w:tcW w:w="1080" w:type="dxa"/>
            <w:tcBorders>
              <w:top w:val="nil"/>
              <w:left w:val="nil"/>
              <w:bottom w:val="single" w:sz="8" w:space="0" w:color="auto"/>
              <w:right w:val="single" w:sz="8" w:space="0" w:color="auto"/>
            </w:tcBorders>
            <w:shd w:val="clear" w:color="auto" w:fill="auto"/>
            <w:vAlign w:val="center"/>
            <w:hideMark/>
          </w:tcPr>
          <w:p w:rsidR="003548A8" w:rsidRPr="003548A8" w:rsidP="003548A8" w14:paraId="3B9CF6B7" w14:textId="77777777">
            <w:pPr>
              <w:widowControl/>
              <w:autoSpaceDE/>
              <w:autoSpaceDN/>
              <w:adjustRightInd/>
              <w:jc w:val="center"/>
              <w:rPr>
                <w:color w:val="000000"/>
              </w:rPr>
            </w:pPr>
            <w:r w:rsidRPr="003548A8">
              <w:rPr>
                <w:color w:val="000000"/>
              </w:rPr>
              <w:t xml:space="preserve">$29.67 </w:t>
            </w:r>
          </w:p>
        </w:tc>
        <w:tc>
          <w:tcPr>
            <w:tcW w:w="1496" w:type="dxa"/>
            <w:tcBorders>
              <w:top w:val="nil"/>
              <w:left w:val="nil"/>
              <w:bottom w:val="single" w:sz="8" w:space="0" w:color="auto"/>
              <w:right w:val="single" w:sz="8" w:space="0" w:color="auto"/>
            </w:tcBorders>
            <w:shd w:val="clear" w:color="auto" w:fill="BDD7EE"/>
            <w:vAlign w:val="center"/>
            <w:hideMark/>
          </w:tcPr>
          <w:p w:rsidR="003548A8" w:rsidRPr="003548A8" w:rsidP="003548A8" w14:paraId="0FB1AEF6" w14:textId="43B1F6DD">
            <w:pPr>
              <w:widowControl/>
              <w:autoSpaceDE/>
              <w:autoSpaceDN/>
              <w:adjustRightInd/>
              <w:jc w:val="center"/>
              <w:rPr>
                <w:color w:val="000000"/>
              </w:rPr>
            </w:pPr>
            <w:r>
              <w:rPr>
                <w:color w:val="000000"/>
              </w:rPr>
              <w:t>$</w:t>
            </w:r>
            <w:r w:rsidRPr="003548A8">
              <w:rPr>
                <w:color w:val="000000"/>
              </w:rPr>
              <w:t>241,068.75</w:t>
            </w:r>
          </w:p>
        </w:tc>
      </w:tr>
      <w:tr w14:paraId="0931B31F" w14:textId="77777777" w:rsidTr="00F544AB">
        <w:tblPrEx>
          <w:tblW w:w="11386" w:type="dxa"/>
          <w:jc w:val="center"/>
          <w:tblLayout w:type="fixed"/>
          <w:tblLook w:val="04A0"/>
        </w:tblPrEx>
        <w:trPr>
          <w:trHeight w:val="960"/>
          <w:jc w:val="center"/>
        </w:trPr>
        <w:tc>
          <w:tcPr>
            <w:tcW w:w="2240" w:type="dxa"/>
            <w:tcBorders>
              <w:top w:val="nil"/>
              <w:left w:val="single" w:sz="8" w:space="0" w:color="auto"/>
              <w:bottom w:val="single" w:sz="8" w:space="0" w:color="auto"/>
              <w:right w:val="single" w:sz="8" w:space="0" w:color="auto"/>
            </w:tcBorders>
            <w:shd w:val="clear" w:color="auto" w:fill="auto"/>
            <w:vAlign w:val="center"/>
            <w:hideMark/>
          </w:tcPr>
          <w:p w:rsidR="003548A8" w:rsidRPr="003548A8" w:rsidP="00AD15B1" w14:paraId="2CDBD7BB" w14:textId="5811A3C5">
            <w:pPr>
              <w:widowControl/>
              <w:autoSpaceDE/>
              <w:autoSpaceDN/>
              <w:adjustRightInd/>
              <w:rPr>
                <w:color w:val="000000"/>
              </w:rPr>
            </w:pPr>
            <w:r>
              <w:rPr>
                <w:color w:val="000000"/>
              </w:rPr>
              <w:t xml:space="preserve">3. </w:t>
            </w:r>
            <w:r w:rsidRPr="003548A8">
              <w:rPr>
                <w:color w:val="000000"/>
              </w:rPr>
              <w:t xml:space="preserve">Protection from Fall Hazards, Unprotected Sides and Edges </w:t>
            </w:r>
            <w:r w:rsidR="00A52781">
              <w:rPr>
                <w:color w:val="000000"/>
              </w:rPr>
              <w:br/>
            </w:r>
            <w:r w:rsidRPr="00AD15B1">
              <w:rPr>
                <w:i/>
                <w:iCs/>
                <w:color w:val="000000"/>
              </w:rPr>
              <w:t>(§ 1910.28(b)(1)(ii))</w:t>
            </w:r>
          </w:p>
        </w:tc>
        <w:tc>
          <w:tcPr>
            <w:tcW w:w="1170" w:type="dxa"/>
            <w:tcBorders>
              <w:top w:val="nil"/>
              <w:left w:val="nil"/>
              <w:bottom w:val="single" w:sz="8" w:space="0" w:color="auto"/>
              <w:right w:val="single" w:sz="8" w:space="0" w:color="auto"/>
            </w:tcBorders>
            <w:shd w:val="clear" w:color="auto" w:fill="FFFFFF" w:themeFill="background1"/>
            <w:vAlign w:val="center"/>
            <w:hideMark/>
          </w:tcPr>
          <w:p w:rsidR="003548A8" w:rsidRPr="003548A8" w:rsidP="003548A8" w14:paraId="08EFFE00" w14:textId="77777777">
            <w:pPr>
              <w:widowControl/>
              <w:autoSpaceDE/>
              <w:autoSpaceDN/>
              <w:adjustRightInd/>
              <w:jc w:val="center"/>
              <w:rPr>
                <w:color w:val="000000"/>
              </w:rPr>
            </w:pPr>
            <w:r w:rsidRPr="003548A8">
              <w:rPr>
                <w:color w:val="000000"/>
              </w:rPr>
              <w:t>270</w:t>
            </w:r>
          </w:p>
        </w:tc>
        <w:tc>
          <w:tcPr>
            <w:tcW w:w="1530" w:type="dxa"/>
            <w:tcBorders>
              <w:top w:val="nil"/>
              <w:left w:val="nil"/>
              <w:bottom w:val="single" w:sz="8" w:space="0" w:color="auto"/>
              <w:right w:val="single" w:sz="8" w:space="0" w:color="auto"/>
            </w:tcBorders>
            <w:shd w:val="clear" w:color="auto" w:fill="FFFFFF" w:themeFill="background1"/>
            <w:vAlign w:val="center"/>
            <w:hideMark/>
          </w:tcPr>
          <w:p w:rsidR="003548A8" w:rsidRPr="003548A8" w:rsidP="003548A8" w14:paraId="79EFEA0A" w14:textId="77777777">
            <w:pPr>
              <w:widowControl/>
              <w:autoSpaceDE/>
              <w:autoSpaceDN/>
              <w:adjustRightInd/>
              <w:jc w:val="center"/>
              <w:rPr>
                <w:color w:val="000000"/>
              </w:rPr>
            </w:pPr>
            <w:r w:rsidRPr="003548A8">
              <w:rPr>
                <w:color w:val="000000"/>
              </w:rPr>
              <w:t>1</w:t>
            </w:r>
          </w:p>
        </w:tc>
        <w:tc>
          <w:tcPr>
            <w:tcW w:w="1350" w:type="dxa"/>
            <w:tcBorders>
              <w:top w:val="nil"/>
              <w:left w:val="nil"/>
              <w:bottom w:val="single" w:sz="8" w:space="0" w:color="auto"/>
              <w:right w:val="single" w:sz="8" w:space="0" w:color="auto"/>
            </w:tcBorders>
            <w:shd w:val="clear" w:color="auto" w:fill="BDD7EE"/>
            <w:vAlign w:val="center"/>
            <w:hideMark/>
          </w:tcPr>
          <w:p w:rsidR="003548A8" w:rsidRPr="003548A8" w:rsidP="003548A8" w14:paraId="03F269A3" w14:textId="77777777">
            <w:pPr>
              <w:widowControl/>
              <w:autoSpaceDE/>
              <w:autoSpaceDN/>
              <w:adjustRightInd/>
              <w:jc w:val="center"/>
              <w:rPr>
                <w:color w:val="000000"/>
              </w:rPr>
            </w:pPr>
            <w:r w:rsidRPr="003548A8">
              <w:rPr>
                <w:color w:val="000000"/>
              </w:rPr>
              <w:t>270</w:t>
            </w:r>
          </w:p>
        </w:tc>
        <w:tc>
          <w:tcPr>
            <w:tcW w:w="1350" w:type="dxa"/>
            <w:tcBorders>
              <w:top w:val="nil"/>
              <w:left w:val="nil"/>
              <w:bottom w:val="single" w:sz="8" w:space="0" w:color="auto"/>
              <w:right w:val="single" w:sz="8" w:space="0" w:color="auto"/>
            </w:tcBorders>
            <w:shd w:val="clear" w:color="auto" w:fill="auto"/>
            <w:vAlign w:val="center"/>
            <w:hideMark/>
          </w:tcPr>
          <w:p w:rsidR="003548A8" w:rsidRPr="003548A8" w:rsidP="003548A8" w14:paraId="05CB4A31" w14:textId="39B58741">
            <w:pPr>
              <w:widowControl/>
              <w:autoSpaceDE/>
              <w:autoSpaceDN/>
              <w:adjustRightInd/>
              <w:jc w:val="center"/>
              <w:rPr>
                <w:color w:val="000000"/>
              </w:rPr>
            </w:pPr>
            <w:r>
              <w:rPr>
                <w:color w:val="000000"/>
              </w:rPr>
              <w:t>30/60</w:t>
            </w:r>
          </w:p>
        </w:tc>
        <w:tc>
          <w:tcPr>
            <w:tcW w:w="1170" w:type="dxa"/>
            <w:tcBorders>
              <w:top w:val="nil"/>
              <w:left w:val="nil"/>
              <w:bottom w:val="single" w:sz="8" w:space="0" w:color="auto"/>
              <w:right w:val="single" w:sz="8" w:space="0" w:color="auto"/>
            </w:tcBorders>
            <w:shd w:val="clear" w:color="auto" w:fill="BDD7EE"/>
            <w:vAlign w:val="center"/>
            <w:hideMark/>
          </w:tcPr>
          <w:p w:rsidR="003548A8" w:rsidRPr="003548A8" w:rsidP="003548A8" w14:paraId="62E9E136" w14:textId="77777777">
            <w:pPr>
              <w:widowControl/>
              <w:autoSpaceDE/>
              <w:autoSpaceDN/>
              <w:adjustRightInd/>
              <w:jc w:val="center"/>
              <w:rPr>
                <w:color w:val="000000"/>
              </w:rPr>
            </w:pPr>
            <w:r w:rsidRPr="003548A8">
              <w:rPr>
                <w:color w:val="000000"/>
              </w:rPr>
              <w:t>135</w:t>
            </w:r>
          </w:p>
        </w:tc>
        <w:tc>
          <w:tcPr>
            <w:tcW w:w="1080" w:type="dxa"/>
            <w:tcBorders>
              <w:top w:val="nil"/>
              <w:left w:val="nil"/>
              <w:bottom w:val="single" w:sz="8" w:space="0" w:color="auto"/>
              <w:right w:val="single" w:sz="8" w:space="0" w:color="auto"/>
            </w:tcBorders>
            <w:shd w:val="clear" w:color="auto" w:fill="auto"/>
            <w:vAlign w:val="center"/>
            <w:hideMark/>
          </w:tcPr>
          <w:p w:rsidR="003548A8" w:rsidRPr="003548A8" w:rsidP="003548A8" w14:paraId="4171C349" w14:textId="77777777">
            <w:pPr>
              <w:widowControl/>
              <w:autoSpaceDE/>
              <w:autoSpaceDN/>
              <w:adjustRightInd/>
              <w:jc w:val="center"/>
              <w:rPr>
                <w:color w:val="000000"/>
              </w:rPr>
            </w:pPr>
            <w:r w:rsidRPr="003548A8">
              <w:rPr>
                <w:color w:val="000000"/>
              </w:rPr>
              <w:t xml:space="preserve">$82.06 </w:t>
            </w:r>
          </w:p>
        </w:tc>
        <w:tc>
          <w:tcPr>
            <w:tcW w:w="1496" w:type="dxa"/>
            <w:tcBorders>
              <w:top w:val="nil"/>
              <w:left w:val="nil"/>
              <w:bottom w:val="single" w:sz="8" w:space="0" w:color="auto"/>
              <w:right w:val="single" w:sz="8" w:space="0" w:color="auto"/>
            </w:tcBorders>
            <w:shd w:val="clear" w:color="auto" w:fill="BDD7EE"/>
            <w:vAlign w:val="center"/>
            <w:hideMark/>
          </w:tcPr>
          <w:p w:rsidR="003548A8" w:rsidRPr="003548A8" w:rsidP="003548A8" w14:paraId="445DAC39" w14:textId="16130FD7">
            <w:pPr>
              <w:widowControl/>
              <w:autoSpaceDE/>
              <w:autoSpaceDN/>
              <w:adjustRightInd/>
              <w:jc w:val="center"/>
              <w:rPr>
                <w:color w:val="000000"/>
              </w:rPr>
            </w:pPr>
            <w:r>
              <w:rPr>
                <w:color w:val="000000"/>
              </w:rPr>
              <w:t>$</w:t>
            </w:r>
            <w:r w:rsidRPr="003548A8">
              <w:rPr>
                <w:color w:val="000000"/>
              </w:rPr>
              <w:t>11,078.10</w:t>
            </w:r>
          </w:p>
        </w:tc>
      </w:tr>
      <w:tr w14:paraId="2C6184FA" w14:textId="77777777" w:rsidTr="00F544AB">
        <w:tblPrEx>
          <w:tblW w:w="11386" w:type="dxa"/>
          <w:jc w:val="center"/>
          <w:tblLayout w:type="fixed"/>
          <w:tblLook w:val="04A0"/>
        </w:tblPrEx>
        <w:trPr>
          <w:trHeight w:val="120"/>
          <w:jc w:val="center"/>
        </w:trPr>
        <w:tc>
          <w:tcPr>
            <w:tcW w:w="2240" w:type="dxa"/>
            <w:tcBorders>
              <w:top w:val="nil"/>
              <w:left w:val="single" w:sz="8" w:space="0" w:color="auto"/>
              <w:bottom w:val="single" w:sz="8" w:space="0" w:color="auto"/>
              <w:right w:val="single" w:sz="8" w:space="0" w:color="auto"/>
            </w:tcBorders>
            <w:shd w:val="clear" w:color="auto" w:fill="A6A6A6" w:themeFill="background1" w:themeFillShade="A6"/>
            <w:vAlign w:val="center"/>
            <w:hideMark/>
          </w:tcPr>
          <w:p w:rsidR="003548A8" w:rsidRPr="003548A8" w:rsidP="003548A8" w14:paraId="48FF2441" w14:textId="77777777">
            <w:pPr>
              <w:widowControl/>
              <w:autoSpaceDE/>
              <w:autoSpaceDN/>
              <w:adjustRightInd/>
              <w:ind w:firstLine="480" w:firstLineChars="200"/>
              <w:rPr>
                <w:i/>
                <w:iCs/>
                <w:color w:val="000000"/>
              </w:rPr>
            </w:pPr>
            <w:r w:rsidRPr="003548A8">
              <w:rPr>
                <w:i/>
                <w:iCs/>
                <w:color w:val="000000"/>
              </w:rPr>
              <w:t> </w:t>
            </w:r>
          </w:p>
        </w:tc>
        <w:tc>
          <w:tcPr>
            <w:tcW w:w="1170" w:type="dxa"/>
            <w:tcBorders>
              <w:top w:val="nil"/>
              <w:left w:val="nil"/>
              <w:bottom w:val="single" w:sz="8" w:space="0" w:color="auto"/>
              <w:right w:val="single" w:sz="8" w:space="0" w:color="auto"/>
            </w:tcBorders>
            <w:shd w:val="clear" w:color="auto" w:fill="A6A6A6" w:themeFill="background1" w:themeFillShade="A6"/>
            <w:vAlign w:val="center"/>
            <w:hideMark/>
          </w:tcPr>
          <w:p w:rsidR="003548A8" w:rsidRPr="003548A8" w:rsidP="003548A8" w14:paraId="7F1EAFCB" w14:textId="77777777">
            <w:pPr>
              <w:widowControl/>
              <w:autoSpaceDE/>
              <w:autoSpaceDN/>
              <w:adjustRightInd/>
              <w:jc w:val="center"/>
              <w:rPr>
                <w:color w:val="000000"/>
              </w:rPr>
            </w:pPr>
            <w:r w:rsidRPr="003548A8">
              <w:rPr>
                <w:color w:val="000000"/>
              </w:rPr>
              <w:t> </w:t>
            </w:r>
          </w:p>
        </w:tc>
        <w:tc>
          <w:tcPr>
            <w:tcW w:w="1530" w:type="dxa"/>
            <w:tcBorders>
              <w:top w:val="nil"/>
              <w:left w:val="nil"/>
              <w:bottom w:val="single" w:sz="8" w:space="0" w:color="auto"/>
              <w:right w:val="single" w:sz="8" w:space="0" w:color="auto"/>
            </w:tcBorders>
            <w:shd w:val="clear" w:color="auto" w:fill="A6A6A6" w:themeFill="background1" w:themeFillShade="A6"/>
            <w:vAlign w:val="center"/>
            <w:hideMark/>
          </w:tcPr>
          <w:p w:rsidR="003548A8" w:rsidRPr="003548A8" w:rsidP="003548A8" w14:paraId="574B0B4F" w14:textId="77777777">
            <w:pPr>
              <w:widowControl/>
              <w:autoSpaceDE/>
              <w:autoSpaceDN/>
              <w:adjustRightInd/>
              <w:jc w:val="center"/>
              <w:rPr>
                <w:color w:val="000000"/>
              </w:rPr>
            </w:pPr>
            <w:r w:rsidRPr="003548A8">
              <w:rPr>
                <w:color w:val="000000"/>
              </w:rPr>
              <w:t> </w:t>
            </w:r>
          </w:p>
        </w:tc>
        <w:tc>
          <w:tcPr>
            <w:tcW w:w="1350" w:type="dxa"/>
            <w:tcBorders>
              <w:top w:val="nil"/>
              <w:left w:val="nil"/>
              <w:bottom w:val="single" w:sz="8" w:space="0" w:color="auto"/>
              <w:right w:val="single" w:sz="8" w:space="0" w:color="auto"/>
            </w:tcBorders>
            <w:shd w:val="clear" w:color="auto" w:fill="A6A6A6" w:themeFill="background1" w:themeFillShade="A6"/>
            <w:vAlign w:val="center"/>
            <w:hideMark/>
          </w:tcPr>
          <w:p w:rsidR="003548A8" w:rsidRPr="003548A8" w:rsidP="003548A8" w14:paraId="74FDCC9C" w14:textId="77777777">
            <w:pPr>
              <w:widowControl/>
              <w:autoSpaceDE/>
              <w:autoSpaceDN/>
              <w:adjustRightInd/>
              <w:jc w:val="center"/>
              <w:rPr>
                <w:color w:val="000000"/>
              </w:rPr>
            </w:pPr>
            <w:r w:rsidRPr="003548A8">
              <w:rPr>
                <w:color w:val="000000"/>
              </w:rPr>
              <w:t> </w:t>
            </w:r>
          </w:p>
        </w:tc>
        <w:tc>
          <w:tcPr>
            <w:tcW w:w="1350" w:type="dxa"/>
            <w:tcBorders>
              <w:top w:val="nil"/>
              <w:left w:val="nil"/>
              <w:bottom w:val="single" w:sz="8" w:space="0" w:color="auto"/>
              <w:right w:val="single" w:sz="8" w:space="0" w:color="auto"/>
            </w:tcBorders>
            <w:shd w:val="clear" w:color="auto" w:fill="A6A6A6" w:themeFill="background1" w:themeFillShade="A6"/>
            <w:vAlign w:val="center"/>
            <w:hideMark/>
          </w:tcPr>
          <w:p w:rsidR="003548A8" w:rsidRPr="003548A8" w:rsidP="003548A8" w14:paraId="479F60A0" w14:textId="77777777">
            <w:pPr>
              <w:widowControl/>
              <w:autoSpaceDE/>
              <w:autoSpaceDN/>
              <w:adjustRightInd/>
              <w:jc w:val="center"/>
              <w:rPr>
                <w:color w:val="000000"/>
              </w:rPr>
            </w:pPr>
            <w:r w:rsidRPr="003548A8">
              <w:rPr>
                <w:color w:val="000000"/>
              </w:rPr>
              <w:t> </w:t>
            </w:r>
          </w:p>
        </w:tc>
        <w:tc>
          <w:tcPr>
            <w:tcW w:w="1170" w:type="dxa"/>
            <w:tcBorders>
              <w:top w:val="nil"/>
              <w:left w:val="nil"/>
              <w:bottom w:val="single" w:sz="8" w:space="0" w:color="auto"/>
              <w:right w:val="single" w:sz="8" w:space="0" w:color="auto"/>
            </w:tcBorders>
            <w:shd w:val="clear" w:color="auto" w:fill="A6A6A6" w:themeFill="background1" w:themeFillShade="A6"/>
            <w:vAlign w:val="center"/>
            <w:hideMark/>
          </w:tcPr>
          <w:p w:rsidR="003548A8" w:rsidRPr="003548A8" w:rsidP="003548A8" w14:paraId="484ABFF4" w14:textId="77777777">
            <w:pPr>
              <w:widowControl/>
              <w:autoSpaceDE/>
              <w:autoSpaceDN/>
              <w:adjustRightInd/>
              <w:jc w:val="center"/>
              <w:rPr>
                <w:color w:val="000000"/>
              </w:rPr>
            </w:pPr>
            <w:r w:rsidRPr="003548A8">
              <w:rPr>
                <w:color w:val="000000"/>
              </w:rPr>
              <w:t> </w:t>
            </w:r>
          </w:p>
        </w:tc>
        <w:tc>
          <w:tcPr>
            <w:tcW w:w="1080" w:type="dxa"/>
            <w:tcBorders>
              <w:top w:val="nil"/>
              <w:left w:val="nil"/>
              <w:bottom w:val="single" w:sz="8" w:space="0" w:color="auto"/>
              <w:right w:val="single" w:sz="8" w:space="0" w:color="auto"/>
            </w:tcBorders>
            <w:shd w:val="clear" w:color="auto" w:fill="A6A6A6" w:themeFill="background1" w:themeFillShade="A6"/>
            <w:vAlign w:val="center"/>
            <w:hideMark/>
          </w:tcPr>
          <w:p w:rsidR="003548A8" w:rsidRPr="003548A8" w:rsidP="003548A8" w14:paraId="76B2C7B5" w14:textId="77777777">
            <w:pPr>
              <w:widowControl/>
              <w:autoSpaceDE/>
              <w:autoSpaceDN/>
              <w:adjustRightInd/>
              <w:jc w:val="center"/>
              <w:rPr>
                <w:color w:val="000000"/>
              </w:rPr>
            </w:pPr>
            <w:r w:rsidRPr="003548A8">
              <w:rPr>
                <w:color w:val="000000"/>
              </w:rPr>
              <w:t> </w:t>
            </w:r>
          </w:p>
        </w:tc>
        <w:tc>
          <w:tcPr>
            <w:tcW w:w="1496" w:type="dxa"/>
            <w:tcBorders>
              <w:top w:val="nil"/>
              <w:left w:val="nil"/>
              <w:bottom w:val="single" w:sz="8" w:space="0" w:color="auto"/>
              <w:right w:val="single" w:sz="8" w:space="0" w:color="auto"/>
            </w:tcBorders>
            <w:shd w:val="clear" w:color="auto" w:fill="A6A6A6" w:themeFill="background1" w:themeFillShade="A6"/>
            <w:vAlign w:val="center"/>
            <w:hideMark/>
          </w:tcPr>
          <w:p w:rsidR="003548A8" w:rsidRPr="003548A8" w:rsidP="003548A8" w14:paraId="43A46350" w14:textId="77777777">
            <w:pPr>
              <w:widowControl/>
              <w:autoSpaceDE/>
              <w:autoSpaceDN/>
              <w:adjustRightInd/>
              <w:jc w:val="center"/>
              <w:rPr>
                <w:color w:val="000000"/>
              </w:rPr>
            </w:pPr>
            <w:r w:rsidRPr="003548A8">
              <w:rPr>
                <w:color w:val="000000"/>
              </w:rPr>
              <w:t> </w:t>
            </w:r>
          </w:p>
        </w:tc>
      </w:tr>
      <w:tr w14:paraId="428EEEA4" w14:textId="77777777" w:rsidTr="00F544AB">
        <w:tblPrEx>
          <w:tblW w:w="11386" w:type="dxa"/>
          <w:jc w:val="center"/>
          <w:tblLayout w:type="fixed"/>
          <w:tblLook w:val="04A0"/>
        </w:tblPrEx>
        <w:trPr>
          <w:trHeight w:val="330"/>
          <w:jc w:val="center"/>
        </w:trPr>
        <w:tc>
          <w:tcPr>
            <w:tcW w:w="2240" w:type="dxa"/>
            <w:tcBorders>
              <w:top w:val="nil"/>
              <w:left w:val="single" w:sz="8" w:space="0" w:color="auto"/>
              <w:bottom w:val="single" w:sz="8" w:space="0" w:color="auto"/>
              <w:right w:val="single" w:sz="8" w:space="0" w:color="auto"/>
            </w:tcBorders>
            <w:shd w:val="clear" w:color="auto" w:fill="BDD7EE"/>
            <w:vAlign w:val="center"/>
            <w:hideMark/>
          </w:tcPr>
          <w:p w:rsidR="003548A8" w:rsidRPr="003548A8" w:rsidP="003548A8" w14:paraId="7AA31742" w14:textId="77777777">
            <w:pPr>
              <w:widowControl/>
              <w:autoSpaceDE/>
              <w:autoSpaceDN/>
              <w:adjustRightInd/>
              <w:ind w:firstLine="240" w:firstLineChars="100"/>
              <w:rPr>
                <w:b/>
                <w:bCs/>
                <w:color w:val="000000"/>
              </w:rPr>
            </w:pPr>
            <w:r w:rsidRPr="003548A8">
              <w:rPr>
                <w:b/>
                <w:bCs/>
                <w:color w:val="000000"/>
              </w:rPr>
              <w:t>Total</w:t>
            </w:r>
          </w:p>
        </w:tc>
        <w:tc>
          <w:tcPr>
            <w:tcW w:w="1170" w:type="dxa"/>
            <w:tcBorders>
              <w:top w:val="nil"/>
              <w:left w:val="nil"/>
              <w:bottom w:val="single" w:sz="8" w:space="0" w:color="auto"/>
              <w:right w:val="single" w:sz="8" w:space="0" w:color="auto"/>
            </w:tcBorders>
            <w:shd w:val="clear" w:color="auto" w:fill="BDD7EE"/>
            <w:vAlign w:val="center"/>
            <w:hideMark/>
          </w:tcPr>
          <w:p w:rsidR="003548A8" w:rsidRPr="003548A8" w:rsidP="003548A8" w14:paraId="5DC02F98" w14:textId="77777777">
            <w:pPr>
              <w:widowControl/>
              <w:autoSpaceDE/>
              <w:autoSpaceDN/>
              <w:adjustRightInd/>
              <w:jc w:val="center"/>
              <w:rPr>
                <w:color w:val="000000"/>
              </w:rPr>
            </w:pPr>
            <w:r w:rsidRPr="003548A8">
              <w:rPr>
                <w:color w:val="000000"/>
              </w:rPr>
              <w:t xml:space="preserve"> --- </w:t>
            </w:r>
          </w:p>
        </w:tc>
        <w:tc>
          <w:tcPr>
            <w:tcW w:w="1530" w:type="dxa"/>
            <w:tcBorders>
              <w:top w:val="nil"/>
              <w:left w:val="nil"/>
              <w:bottom w:val="single" w:sz="8" w:space="0" w:color="auto"/>
              <w:right w:val="single" w:sz="8" w:space="0" w:color="auto"/>
            </w:tcBorders>
            <w:shd w:val="clear" w:color="auto" w:fill="BDD7EE"/>
            <w:vAlign w:val="center"/>
            <w:hideMark/>
          </w:tcPr>
          <w:p w:rsidR="003548A8" w:rsidRPr="003548A8" w:rsidP="003548A8" w14:paraId="30EEB45C" w14:textId="77777777">
            <w:pPr>
              <w:widowControl/>
              <w:autoSpaceDE/>
              <w:autoSpaceDN/>
              <w:adjustRightInd/>
              <w:jc w:val="center"/>
              <w:rPr>
                <w:color w:val="000000"/>
              </w:rPr>
            </w:pPr>
            <w:r w:rsidRPr="003548A8">
              <w:rPr>
                <w:color w:val="000000"/>
              </w:rPr>
              <w:t xml:space="preserve"> --- </w:t>
            </w:r>
          </w:p>
        </w:tc>
        <w:tc>
          <w:tcPr>
            <w:tcW w:w="1350" w:type="dxa"/>
            <w:tcBorders>
              <w:top w:val="nil"/>
              <w:left w:val="nil"/>
              <w:bottom w:val="single" w:sz="8" w:space="0" w:color="auto"/>
              <w:right w:val="single" w:sz="8" w:space="0" w:color="auto"/>
            </w:tcBorders>
            <w:shd w:val="clear" w:color="auto" w:fill="BDD7EE"/>
            <w:vAlign w:val="center"/>
            <w:hideMark/>
          </w:tcPr>
          <w:p w:rsidR="003548A8" w:rsidRPr="003548A8" w:rsidP="003548A8" w14:paraId="5089F49A" w14:textId="77777777">
            <w:pPr>
              <w:widowControl/>
              <w:autoSpaceDE/>
              <w:autoSpaceDN/>
              <w:adjustRightInd/>
              <w:jc w:val="center"/>
              <w:rPr>
                <w:b/>
                <w:bCs/>
                <w:color w:val="000000"/>
              </w:rPr>
            </w:pPr>
            <w:r w:rsidRPr="003548A8">
              <w:rPr>
                <w:b/>
                <w:bCs/>
                <w:color w:val="000000"/>
              </w:rPr>
              <w:t>1,032,860</w:t>
            </w:r>
          </w:p>
        </w:tc>
        <w:tc>
          <w:tcPr>
            <w:tcW w:w="1350" w:type="dxa"/>
            <w:tcBorders>
              <w:top w:val="nil"/>
              <w:left w:val="nil"/>
              <w:bottom w:val="single" w:sz="8" w:space="0" w:color="auto"/>
              <w:right w:val="single" w:sz="8" w:space="0" w:color="auto"/>
            </w:tcBorders>
            <w:shd w:val="clear" w:color="auto" w:fill="BDD7EE"/>
            <w:vAlign w:val="center"/>
            <w:hideMark/>
          </w:tcPr>
          <w:p w:rsidR="003548A8" w:rsidRPr="003548A8" w:rsidP="003548A8" w14:paraId="5779A736" w14:textId="77777777">
            <w:pPr>
              <w:widowControl/>
              <w:autoSpaceDE/>
              <w:autoSpaceDN/>
              <w:adjustRightInd/>
              <w:jc w:val="center"/>
              <w:rPr>
                <w:color w:val="000000"/>
              </w:rPr>
            </w:pPr>
            <w:r w:rsidRPr="003548A8">
              <w:rPr>
                <w:color w:val="000000"/>
              </w:rPr>
              <w:t xml:space="preserve"> --- </w:t>
            </w:r>
          </w:p>
        </w:tc>
        <w:tc>
          <w:tcPr>
            <w:tcW w:w="1170" w:type="dxa"/>
            <w:tcBorders>
              <w:top w:val="nil"/>
              <w:left w:val="nil"/>
              <w:bottom w:val="single" w:sz="8" w:space="0" w:color="auto"/>
              <w:right w:val="single" w:sz="8" w:space="0" w:color="auto"/>
            </w:tcBorders>
            <w:shd w:val="clear" w:color="auto" w:fill="BDD7EE"/>
            <w:vAlign w:val="center"/>
            <w:hideMark/>
          </w:tcPr>
          <w:p w:rsidR="003548A8" w:rsidRPr="003548A8" w:rsidP="003548A8" w14:paraId="7110B8B4" w14:textId="77777777">
            <w:pPr>
              <w:widowControl/>
              <w:autoSpaceDE/>
              <w:autoSpaceDN/>
              <w:adjustRightInd/>
              <w:jc w:val="center"/>
              <w:rPr>
                <w:b/>
                <w:bCs/>
                <w:color w:val="000000"/>
              </w:rPr>
            </w:pPr>
            <w:r w:rsidRPr="003548A8">
              <w:rPr>
                <w:b/>
                <w:bCs/>
                <w:color w:val="000000"/>
              </w:rPr>
              <w:t>498,640</w:t>
            </w:r>
          </w:p>
        </w:tc>
        <w:tc>
          <w:tcPr>
            <w:tcW w:w="1080" w:type="dxa"/>
            <w:tcBorders>
              <w:top w:val="nil"/>
              <w:left w:val="nil"/>
              <w:bottom w:val="single" w:sz="8" w:space="0" w:color="auto"/>
              <w:right w:val="single" w:sz="8" w:space="0" w:color="auto"/>
            </w:tcBorders>
            <w:shd w:val="clear" w:color="auto" w:fill="BDD7EE"/>
            <w:vAlign w:val="center"/>
            <w:hideMark/>
          </w:tcPr>
          <w:p w:rsidR="003548A8" w:rsidRPr="003548A8" w:rsidP="003548A8" w14:paraId="298AB56C" w14:textId="77777777">
            <w:pPr>
              <w:widowControl/>
              <w:autoSpaceDE/>
              <w:autoSpaceDN/>
              <w:adjustRightInd/>
              <w:jc w:val="center"/>
              <w:rPr>
                <w:color w:val="000000"/>
              </w:rPr>
            </w:pPr>
            <w:r w:rsidRPr="003548A8">
              <w:rPr>
                <w:color w:val="000000"/>
              </w:rPr>
              <w:t xml:space="preserve"> --- </w:t>
            </w:r>
          </w:p>
        </w:tc>
        <w:tc>
          <w:tcPr>
            <w:tcW w:w="1496" w:type="dxa"/>
            <w:tcBorders>
              <w:top w:val="nil"/>
              <w:left w:val="nil"/>
              <w:bottom w:val="single" w:sz="8" w:space="0" w:color="auto"/>
              <w:right w:val="single" w:sz="8" w:space="0" w:color="auto"/>
            </w:tcBorders>
            <w:shd w:val="clear" w:color="auto" w:fill="BDD7EE"/>
            <w:vAlign w:val="center"/>
            <w:hideMark/>
          </w:tcPr>
          <w:p w:rsidR="003548A8" w:rsidRPr="003548A8" w:rsidP="003548A8" w14:paraId="495EB698" w14:textId="35A56E39">
            <w:pPr>
              <w:widowControl/>
              <w:autoSpaceDE/>
              <w:autoSpaceDN/>
              <w:adjustRightInd/>
              <w:jc w:val="center"/>
              <w:rPr>
                <w:b/>
                <w:bCs/>
                <w:color w:val="000000"/>
              </w:rPr>
            </w:pPr>
            <w:r>
              <w:rPr>
                <w:b/>
                <w:bCs/>
                <w:color w:val="000000"/>
              </w:rPr>
              <w:t>$</w:t>
            </w:r>
            <w:r w:rsidRPr="003548A8">
              <w:rPr>
                <w:b/>
                <w:bCs/>
                <w:color w:val="000000"/>
              </w:rPr>
              <w:t>40,341,846</w:t>
            </w:r>
            <w:r>
              <w:rPr>
                <w:b/>
                <w:bCs/>
                <w:color w:val="000000"/>
              </w:rPr>
              <w:br/>
              <w:t>(rounded)</w:t>
            </w:r>
          </w:p>
        </w:tc>
      </w:tr>
    </w:tbl>
    <w:p w:rsidR="00A92AE4" w:rsidP="00FF2191" w14:paraId="2F155319" w14:textId="77777777"/>
    <w:p w:rsidR="00866A7D" w:rsidRPr="00AD15B1" w:rsidP="00AD15B1" w14:paraId="0E2C6BFE" w14:textId="1BD826CA">
      <w:pPr>
        <w:pStyle w:val="ListParagraph"/>
        <w:numPr>
          <w:ilvl w:val="0"/>
          <w:numId w:val="20"/>
        </w:numPr>
        <w:rPr>
          <w:b/>
        </w:rPr>
      </w:pPr>
      <w:r w:rsidRPr="00AD15B1">
        <w:rPr>
          <w:b/>
        </w:rPr>
        <w:t xml:space="preserve">Provide an estimate </w:t>
      </w:r>
      <w:r w:rsidRPr="00AD15B1" w:rsidR="00E771DC">
        <w:rPr>
          <w:b/>
        </w:rPr>
        <w:t>for</w:t>
      </w:r>
      <w:r w:rsidRPr="00AD15B1">
        <w:rPr>
          <w:b/>
        </w:rPr>
        <w:t xml:space="preserve"> the total annual cost burden to respondents or recordkeepers resulting from the collection of information. (Do not include the cost of any hour burden shown in Items 12 and 14.)</w:t>
      </w:r>
    </w:p>
    <w:p w:rsidR="00944DC9" w:rsidRPr="0090397B" w:rsidP="00944DC9" w14:paraId="5937B7CE"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360"/>
        <w:rPr>
          <w:b/>
          <w:bCs/>
        </w:rPr>
      </w:pPr>
    </w:p>
    <w:p w:rsidR="00866A7D" w:rsidRPr="0090397B" w:rsidP="00AD15B1" w14:paraId="49932D15" w14:textId="3380E18E">
      <w:pPr>
        <w:pStyle w:val="Level2"/>
        <w:widowControl/>
        <w:numPr>
          <w:ilvl w:val="0"/>
          <w:numId w:val="3"/>
        </w:numPr>
        <w:tabs>
          <w:tab w:val="left" w:pos="-1080"/>
          <w:tab w:val="left" w:pos="-720"/>
          <w:tab w:val="left" w:pos="0"/>
          <w:tab w:val="clear" w:pos="720"/>
          <w:tab w:val="left" w:pos="990"/>
          <w:tab w:val="num" w:pos="1350"/>
          <w:tab w:val="left" w:pos="2250"/>
          <w:tab w:val="left" w:pos="2880"/>
          <w:tab w:val="left" w:pos="3600"/>
          <w:tab w:val="left" w:pos="4320"/>
          <w:tab w:val="left" w:pos="5040"/>
          <w:tab w:val="left" w:pos="5760"/>
          <w:tab w:val="left" w:pos="6480"/>
          <w:tab w:val="left" w:pos="7200"/>
          <w:tab w:val="left" w:pos="7920"/>
          <w:tab w:val="left" w:pos="8640"/>
          <w:tab w:val="left" w:pos="9360"/>
        </w:tabs>
        <w:ind w:left="1350"/>
        <w:rPr>
          <w:b/>
          <w:bCs/>
        </w:rPr>
      </w:pPr>
      <w:r w:rsidRPr="0090397B">
        <w:rPr>
          <w:b/>
          <w:bCs/>
        </w:rPr>
        <w:t>The cost estimate should be split into two components:</w:t>
      </w:r>
      <w:r w:rsidR="00592C49">
        <w:rPr>
          <w:b/>
          <w:bCs/>
        </w:rPr>
        <w:t xml:space="preserve"> </w:t>
      </w:r>
      <w:r w:rsidRPr="0090397B">
        <w:rPr>
          <w:b/>
          <w:bCs/>
        </w:rPr>
        <w:t xml:space="preserve">(a) a total capital and start-up cost component </w:t>
      </w:r>
      <w:r w:rsidRPr="0090397B" w:rsidR="00E771DC">
        <w:rPr>
          <w:b/>
          <w:bCs/>
        </w:rPr>
        <w:t>(</w:t>
      </w:r>
      <w:r w:rsidRPr="0090397B">
        <w:rPr>
          <w:b/>
          <w:bCs/>
        </w:rPr>
        <w:t>annualized over its expected useful life); and (b) a total operation and maintenance and purchase of service component.</w:t>
      </w:r>
      <w:r w:rsidR="00592C49">
        <w:rPr>
          <w:b/>
          <w:bCs/>
        </w:rPr>
        <w:t xml:space="preserve"> </w:t>
      </w:r>
      <w:r w:rsidRPr="0090397B">
        <w:rPr>
          <w:b/>
          <w:bCs/>
        </w:rPr>
        <w:t>The estimates should take into account costs associated with generating, maintaining, and disclosing or providing the information.</w:t>
      </w:r>
      <w:r w:rsidR="00592C49">
        <w:rPr>
          <w:b/>
          <w:bCs/>
        </w:rPr>
        <w:t xml:space="preserve"> </w:t>
      </w:r>
      <w:r w:rsidRPr="0090397B">
        <w:rPr>
          <w:b/>
          <w:bCs/>
        </w:rPr>
        <w:t xml:space="preserve">Include descriptions of methods used to estimate major cost factors including system </w:t>
      </w:r>
      <w:r w:rsidRPr="0090397B">
        <w:rPr>
          <w:b/>
          <w:bCs/>
        </w:rPr>
        <w:t>and technology acquisition, expected useful life of capital equipment, the discount rate(s), and the time period over which costs will be incurred.</w:t>
      </w:r>
      <w:r w:rsidR="00592C49">
        <w:rPr>
          <w:b/>
          <w:bCs/>
        </w:rPr>
        <w:t xml:space="preserve"> </w:t>
      </w:r>
      <w:r w:rsidRPr="0090397B">
        <w:rPr>
          <w:b/>
          <w:bCs/>
        </w:rPr>
        <w:t>Capital and start-up costs include, among other items, preparations for collecting information such as purchasing computers and software; monitoring, sampling, drilling and testing equipment; and record storage facilities.</w:t>
      </w:r>
    </w:p>
    <w:p w:rsidR="00866A7D" w:rsidRPr="0090397B" w:rsidP="00AD15B1" w14:paraId="2E3550E7"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630"/>
        <w:rPr>
          <w:b/>
          <w:bCs/>
        </w:rPr>
      </w:pPr>
    </w:p>
    <w:p w:rsidR="00866A7D" w:rsidRPr="0090397B" w:rsidP="00AD15B1" w14:paraId="4E6D7254" w14:textId="4D063A64">
      <w:pPr>
        <w:pStyle w:val="Level1"/>
        <w:widowControl/>
        <w:numPr>
          <w:ilvl w:val="0"/>
          <w:numId w:val="3"/>
        </w:numPr>
        <w:tabs>
          <w:tab w:val="left" w:pos="-1080"/>
          <w:tab w:val="left" w:pos="-720"/>
          <w:tab w:val="left" w:pos="0"/>
          <w:tab w:val="clear" w:pos="720"/>
          <w:tab w:val="left" w:pos="990"/>
          <w:tab w:val="num" w:pos="1350"/>
          <w:tab w:val="left" w:pos="2250"/>
          <w:tab w:val="left" w:pos="2880"/>
          <w:tab w:val="left" w:pos="3600"/>
          <w:tab w:val="left" w:pos="4320"/>
          <w:tab w:val="left" w:pos="5040"/>
          <w:tab w:val="left" w:pos="5760"/>
          <w:tab w:val="left" w:pos="6480"/>
          <w:tab w:val="left" w:pos="7200"/>
          <w:tab w:val="left" w:pos="7920"/>
          <w:tab w:val="left" w:pos="8640"/>
          <w:tab w:val="left" w:pos="9360"/>
        </w:tabs>
        <w:ind w:left="1350"/>
      </w:pPr>
      <w:r w:rsidRPr="0090397B">
        <w:rPr>
          <w:b/>
          <w:bCs/>
        </w:rPr>
        <w:t>If cost estimates are expected to vary widely, agencies should present ranges of cost burdens and explain the reasons for the variance.</w:t>
      </w:r>
      <w:r w:rsidR="00592C49">
        <w:rPr>
          <w:b/>
          <w:bCs/>
        </w:rPr>
        <w:t xml:space="preserve"> </w:t>
      </w:r>
      <w:r w:rsidRPr="0090397B">
        <w:rPr>
          <w:b/>
          <w:bCs/>
        </w:rPr>
        <w:t>The cost of purchasing or contracting out information collection</w:t>
      </w:r>
      <w:r w:rsidRPr="0090397B" w:rsidR="00E771DC">
        <w:rPr>
          <w:b/>
          <w:bCs/>
        </w:rPr>
        <w:t>s</w:t>
      </w:r>
      <w:r w:rsidRPr="0090397B">
        <w:rPr>
          <w:b/>
          <w:bCs/>
        </w:rPr>
        <w:t xml:space="preserve"> services should be a part of this cost burden estimate.</w:t>
      </w:r>
      <w:r w:rsidR="00592C49">
        <w:rPr>
          <w:b/>
          <w:bCs/>
        </w:rPr>
        <w:t xml:space="preserve"> </w:t>
      </w:r>
      <w:r w:rsidRPr="0090397B">
        <w:rPr>
          <w:b/>
          <w:bCs/>
        </w:rPr>
        <w:t>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90397B">
        <w:t>.</w:t>
      </w:r>
    </w:p>
    <w:p w:rsidR="00866A7D" w:rsidRPr="0090397B" w:rsidP="00AD15B1" w14:paraId="57C7D422"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630"/>
      </w:pPr>
    </w:p>
    <w:p w:rsidR="00866A7D" w:rsidRPr="0090397B" w:rsidP="00AD15B1" w14:paraId="28221177" w14:textId="49B1F5FC">
      <w:pPr>
        <w:pStyle w:val="Level1"/>
        <w:widowControl/>
        <w:numPr>
          <w:ilvl w:val="0"/>
          <w:numId w:val="3"/>
        </w:numPr>
        <w:tabs>
          <w:tab w:val="left" w:pos="-1080"/>
          <w:tab w:val="left" w:pos="-720"/>
          <w:tab w:val="left" w:pos="0"/>
          <w:tab w:val="clear" w:pos="720"/>
          <w:tab w:val="left" w:pos="990"/>
          <w:tab w:val="num" w:pos="1350"/>
          <w:tab w:val="left" w:pos="2250"/>
          <w:tab w:val="left" w:pos="2880"/>
          <w:tab w:val="left" w:pos="3600"/>
          <w:tab w:val="left" w:pos="4320"/>
          <w:tab w:val="left" w:pos="5040"/>
          <w:tab w:val="left" w:pos="5760"/>
          <w:tab w:val="left" w:pos="6480"/>
          <w:tab w:val="left" w:pos="7200"/>
          <w:tab w:val="left" w:pos="7920"/>
          <w:tab w:val="left" w:pos="8640"/>
          <w:tab w:val="left" w:pos="9360"/>
        </w:tabs>
        <w:ind w:left="1350"/>
        <w:rPr>
          <w:b/>
          <w:bCs/>
        </w:rPr>
      </w:pPr>
      <w:r w:rsidRPr="0090397B">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66A7D" w:rsidRPr="0090397B" w:rsidP="00866A7D" w14:paraId="3E04D866"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rPr>
      </w:pPr>
    </w:p>
    <w:p w:rsidR="00CD4910" w:rsidRPr="00AD15B1" w:rsidP="00866A7D" w14:paraId="71FFC79A" w14:textId="5AAE922C">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Cs/>
        </w:rPr>
      </w:pPr>
      <w:r w:rsidRPr="00AD15B1">
        <w:rPr>
          <w:bCs/>
        </w:rPr>
        <w:t xml:space="preserve">The agency estimates a total annual cost burden of $54,697,500, as explained below: </w:t>
      </w:r>
    </w:p>
    <w:p w:rsidR="00CD4910" w:rsidRPr="00AD15B1" w:rsidP="00866A7D" w14:paraId="4F8502C8"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rPr>
      </w:pPr>
    </w:p>
    <w:p w:rsidR="000C1322" w:rsidRPr="0090397B" w:rsidP="00866A7D" w14:paraId="5AEE968C" w14:textId="2D84FE5E">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rPr>
      </w:pPr>
      <w:r w:rsidRPr="00CD4910">
        <w:rPr>
          <w:b/>
        </w:rPr>
        <w:t xml:space="preserve">Cost of </w:t>
      </w:r>
      <w:r w:rsidR="00852C91">
        <w:rPr>
          <w:b/>
        </w:rPr>
        <w:t xml:space="preserve">Decennial </w:t>
      </w:r>
      <w:r w:rsidRPr="00CD4910">
        <w:rPr>
          <w:b/>
        </w:rPr>
        <w:t>Inspection and Certification</w:t>
      </w:r>
    </w:p>
    <w:p w:rsidR="000C1322" w:rsidRPr="0090397B" w:rsidP="00866A7D" w14:paraId="0E125C5E"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rPr>
      </w:pPr>
    </w:p>
    <w:p w:rsidR="003019FB" w:rsidP="699E42F7" w14:paraId="4CC54082" w14:textId="3F57D4DC">
      <w:pPr>
        <w:widowControl/>
        <w:tabs>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r>
        <w:t xml:space="preserve">OSHA estimates most </w:t>
      </w:r>
      <w:r w:rsidR="00EA06CD">
        <w:t xml:space="preserve">building owners </w:t>
      </w:r>
      <w:r w:rsidR="00676B03">
        <w:t>will</w:t>
      </w:r>
      <w:r w:rsidR="00D6374D">
        <w:t xml:space="preserve"> likely </w:t>
      </w:r>
      <w:r w:rsidR="00EA06CD">
        <w:t>hire a</w:t>
      </w:r>
      <w:r w:rsidR="0058672B">
        <w:t xml:space="preserve"> professional engineer</w:t>
      </w:r>
      <w:r w:rsidR="00D6374D">
        <w:t xml:space="preserve"> </w:t>
      </w:r>
      <w:r w:rsidR="00EA06CD">
        <w:t xml:space="preserve">to </w:t>
      </w:r>
      <w:r>
        <w:t xml:space="preserve">perform the decennial </w:t>
      </w:r>
      <w:r w:rsidR="00EA06CD">
        <w:t>certif</w:t>
      </w:r>
      <w:r>
        <w:t xml:space="preserve">ication </w:t>
      </w:r>
      <w:r w:rsidR="005B7F6D">
        <w:t xml:space="preserve">to ensure </w:t>
      </w:r>
      <w:r>
        <w:t xml:space="preserve">each anchorage </w:t>
      </w:r>
      <w:r w:rsidR="00676B03">
        <w:t>can support</w:t>
      </w:r>
      <w:r w:rsidR="00EA06CD">
        <w:t xml:space="preserve"> 5,000 pounds (2</w:t>
      </w:r>
      <w:r w:rsidR="00951A75">
        <w:t>,2</w:t>
      </w:r>
      <w:r w:rsidR="00EA06CD">
        <w:t xml:space="preserve">68 kg) in any direction. </w:t>
      </w:r>
      <w:r w:rsidR="004302D4">
        <w:t>Based on the FEA, t</w:t>
      </w:r>
      <w:r w:rsidR="00EA06CD">
        <w:t xml:space="preserve">he </w:t>
      </w:r>
      <w:r w:rsidR="004302D4">
        <w:t xml:space="preserve">agency assumes </w:t>
      </w:r>
      <w:r w:rsidR="00406EF6">
        <w:t xml:space="preserve">the </w:t>
      </w:r>
      <w:r w:rsidR="00EA06CD">
        <w:t xml:space="preserve">cost for an inspector </w:t>
      </w:r>
      <w:r w:rsidR="005B7F6D">
        <w:t xml:space="preserve">to </w:t>
      </w:r>
      <w:r w:rsidR="00EA06CD">
        <w:t xml:space="preserve">inspect and certify </w:t>
      </w:r>
      <w:r>
        <w:t>each anchorage</w:t>
      </w:r>
      <w:r w:rsidR="00EA06CD">
        <w:t xml:space="preserve"> is $1,122.00.</w:t>
      </w:r>
      <w:r w:rsidR="004302D4">
        <w:t xml:space="preserve"> </w:t>
      </w:r>
      <w:r w:rsidR="00722619">
        <w:t>The building owner must inspect the anchorage</w:t>
      </w:r>
      <w:r w:rsidR="00A04050">
        <w:t>s annually and certify the anchorages c</w:t>
      </w:r>
      <w:r w:rsidR="00B64842">
        <w:t>an support</w:t>
      </w:r>
      <w:r w:rsidR="00A8399D">
        <w:t xml:space="preserve"> 5,000 pounds as necessary at least</w:t>
      </w:r>
      <w:r w:rsidR="00E57E13">
        <w:t xml:space="preserve"> every 10 years.</w:t>
      </w:r>
    </w:p>
    <w:p w:rsidR="00866A7D" w:rsidRPr="0090397B" w:rsidP="00866A7D" w14:paraId="2D4DFE50"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rPr>
      </w:pPr>
    </w:p>
    <w:p w:rsidR="000856FD" w:rsidP="00866A7D" w14:paraId="24221B68" w14:textId="01378DDB">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r w:rsidRPr="0090397B">
        <w:tab/>
      </w:r>
      <w:r w:rsidRPr="0090397B" w:rsidR="00951A75">
        <w:t>(</w:t>
      </w:r>
      <w:r w:rsidRPr="0090397B">
        <w:t>487,500 certifications/10</w:t>
      </w:r>
      <w:r w:rsidRPr="0090397B" w:rsidR="00E275EF">
        <w:t xml:space="preserve"> </w:t>
      </w:r>
      <w:r w:rsidRPr="0090397B">
        <w:t>years</w:t>
      </w:r>
      <w:r w:rsidRPr="0090397B" w:rsidR="00951A75">
        <w:t>)</w:t>
      </w:r>
      <w:r w:rsidRPr="0090397B">
        <w:t xml:space="preserve"> x $1,122 = $</w:t>
      </w:r>
      <w:r w:rsidRPr="0090397B" w:rsidR="009E1CCF">
        <w:t>54,697,500</w:t>
      </w:r>
    </w:p>
    <w:p w:rsidR="00347D8B" w:rsidP="00866A7D" w14:paraId="24F1CA93" w14:textId="319194E2">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p>
    <w:p w:rsidR="00866A7D" w:rsidRPr="00FA42FF" w:rsidP="00CE7F70" w14:paraId="59CC836E" w14:textId="509292D7">
      <w:pPr>
        <w:pStyle w:val="ListParagraph"/>
        <w:widowControl/>
        <w:numPr>
          <w:ilvl w:val="0"/>
          <w:numId w:val="20"/>
        </w:numPr>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r w:rsidRPr="00CE7F70">
        <w:rPr>
          <w:b/>
          <w:bCs/>
        </w:rPr>
        <w:t xml:space="preserve">Provide estimates of the annualized cost to the Federal </w:t>
      </w:r>
      <w:r w:rsidRPr="00CE7F70" w:rsidR="00E771DC">
        <w:rPr>
          <w:b/>
          <w:bCs/>
        </w:rPr>
        <w:t>g</w:t>
      </w:r>
      <w:r w:rsidRPr="00CE7F70">
        <w:rPr>
          <w:b/>
          <w:bCs/>
        </w:rPr>
        <w:t>overnment.</w:t>
      </w:r>
      <w:r w:rsidR="00592C49">
        <w:rPr>
          <w:b/>
          <w:bCs/>
        </w:rPr>
        <w:t xml:space="preserve"> </w:t>
      </w:r>
      <w:r w:rsidRPr="00CE7F70">
        <w:rPr>
          <w:b/>
          <w:bCs/>
        </w:rPr>
        <w:t xml:space="preserve">Also, provide a description of the method used to estimate cost, which should include quantification of hours, operational expenses (such as equipment, overhead, printing, and support staff), </w:t>
      </w:r>
      <w:r w:rsidRPr="00CE7F70" w:rsidR="00E771DC">
        <w:rPr>
          <w:b/>
          <w:bCs/>
        </w:rPr>
        <w:t xml:space="preserve">and </w:t>
      </w:r>
      <w:r w:rsidRPr="00CE7F70">
        <w:rPr>
          <w:b/>
          <w:bCs/>
        </w:rPr>
        <w:t>any other expense that would not have been incurred without this collection of information.</w:t>
      </w:r>
      <w:r w:rsidR="00592C49">
        <w:rPr>
          <w:b/>
          <w:bCs/>
        </w:rPr>
        <w:t xml:space="preserve"> </w:t>
      </w:r>
      <w:r w:rsidRPr="00CE7F70">
        <w:rPr>
          <w:b/>
          <w:bCs/>
        </w:rPr>
        <w:t xml:space="preserve">Agencies </w:t>
      </w:r>
      <w:r w:rsidRPr="00CE7F70" w:rsidR="00E771DC">
        <w:rPr>
          <w:b/>
          <w:bCs/>
        </w:rPr>
        <w:t xml:space="preserve">may </w:t>
      </w:r>
      <w:r w:rsidRPr="00CE7F70">
        <w:rPr>
          <w:b/>
          <w:bCs/>
        </w:rPr>
        <w:t>also aggregate cost estimates from Items 12, 13, and 14 in a single table.</w:t>
      </w:r>
    </w:p>
    <w:p w:rsidR="00866A7D" w:rsidRPr="00CE7F70" w:rsidP="00866A7D" w14:paraId="15DB000F"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p>
    <w:p w:rsidR="00E729CA" w:rsidP="00E729CA" w14:paraId="06B7525C" w14:textId="421653D5">
      <w:pPr>
        <w:pStyle w:val="paragraph"/>
        <w:spacing w:before="0" w:beforeAutospacing="0" w:after="0" w:afterAutospacing="0"/>
        <w:textAlignment w:val="baseline"/>
        <w:rPr>
          <w:rFonts w:ascii="Segoe UI" w:hAnsi="Segoe UI" w:cs="Segoe UI"/>
          <w:sz w:val="18"/>
          <w:szCs w:val="18"/>
        </w:rPr>
      </w:pPr>
      <w:r>
        <w:rPr>
          <w:rStyle w:val="normaltextrun"/>
        </w:rPr>
        <w:t xml:space="preserve">There are no costs to the Federal government associated with this information collection request. The agency has no annualized costs associated with enforcing the standard. OSHA would only review records in the context of an investigation of a particular employer to determine </w:t>
      </w:r>
      <w:r>
        <w:rPr>
          <w:rStyle w:val="normaltextrun"/>
        </w:rPr>
        <w:t xml:space="preserve">compliance with the standard. These activities </w:t>
      </w:r>
      <w:r w:rsidR="004A73CA">
        <w:rPr>
          <w:rStyle w:val="normaltextrun"/>
        </w:rPr>
        <w:t>are</w:t>
      </w:r>
      <w:r>
        <w:rPr>
          <w:rStyle w:val="normaltextrun"/>
        </w:rPr>
        <w:t xml:space="preserve"> outside the scope of the PRA (</w:t>
      </w:r>
      <w:r>
        <w:rPr>
          <w:rStyle w:val="normaltextrun"/>
          <w:i/>
          <w:iCs/>
        </w:rPr>
        <w:t xml:space="preserve">See </w:t>
      </w:r>
      <w:r>
        <w:rPr>
          <w:rStyle w:val="normaltextrun"/>
        </w:rPr>
        <w:t>5 CFR 1320.4(a)(2)).</w:t>
      </w:r>
      <w:r>
        <w:rPr>
          <w:rStyle w:val="eop"/>
        </w:rPr>
        <w:t> </w:t>
      </w:r>
    </w:p>
    <w:p w:rsidR="00E729CA" w:rsidP="00E729CA" w14:paraId="41DF501D" w14:textId="77777777">
      <w:pPr>
        <w:pStyle w:val="paragraph"/>
        <w:spacing w:before="0" w:beforeAutospacing="0" w:after="0" w:afterAutospacing="0"/>
        <w:textAlignment w:val="baseline"/>
        <w:rPr>
          <w:rStyle w:val="eop"/>
          <w:sz w:val="20"/>
          <w:szCs w:val="20"/>
        </w:rPr>
      </w:pPr>
      <w:r>
        <w:rPr>
          <w:rStyle w:val="eop"/>
          <w:sz w:val="20"/>
          <w:szCs w:val="20"/>
        </w:rPr>
        <w:t> </w:t>
      </w:r>
    </w:p>
    <w:p w:rsidR="00C078D8" w:rsidP="00E729CA" w14:paraId="4A8CC311" w14:textId="77777777">
      <w:pPr>
        <w:pStyle w:val="paragraph"/>
        <w:spacing w:before="0" w:beforeAutospacing="0" w:after="0" w:afterAutospacing="0"/>
        <w:textAlignment w:val="baseline"/>
        <w:rPr>
          <w:rFonts w:ascii="Segoe UI" w:hAnsi="Segoe UI" w:cs="Segoe UI"/>
          <w:sz w:val="18"/>
          <w:szCs w:val="18"/>
        </w:rPr>
      </w:pPr>
    </w:p>
    <w:p w:rsidR="00866A7D" w:rsidRPr="00CE7F70" w:rsidP="00CE7F70" w14:paraId="650787B7" w14:textId="3BDE3805">
      <w:pPr>
        <w:pStyle w:val="ListParagraph"/>
        <w:widowControl/>
        <w:numPr>
          <w:ilvl w:val="0"/>
          <w:numId w:val="20"/>
        </w:numPr>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rPr>
      </w:pPr>
      <w:r w:rsidRPr="00CE7F70">
        <w:rPr>
          <w:b/>
          <w:bCs/>
        </w:rPr>
        <w:t>Explain the reasons for any program changes or adjustments</w:t>
      </w:r>
      <w:r w:rsidRPr="00CE7F70" w:rsidR="00220573">
        <w:rPr>
          <w:b/>
          <w:bCs/>
        </w:rPr>
        <w:t xml:space="preserve"> reported in Items 1</w:t>
      </w:r>
      <w:r w:rsidR="00FF34DF">
        <w:rPr>
          <w:b/>
          <w:bCs/>
        </w:rPr>
        <w:t>2</w:t>
      </w:r>
      <w:r w:rsidRPr="00CE7F70" w:rsidR="00B2752E">
        <w:rPr>
          <w:b/>
          <w:bCs/>
        </w:rPr>
        <w:t>.</w:t>
      </w:r>
      <w:r w:rsidRPr="00CE7F70" w:rsidR="00220573">
        <w:rPr>
          <w:b/>
          <w:bCs/>
        </w:rPr>
        <w:t xml:space="preserve"> </w:t>
      </w:r>
      <w:r w:rsidRPr="00CE7F70" w:rsidR="00B2752E">
        <w:rPr>
          <w:b/>
          <w:bCs/>
        </w:rPr>
        <w:tab/>
      </w:r>
      <w:r w:rsidRPr="00CE7F70" w:rsidR="00B2752E">
        <w:rPr>
          <w:b/>
          <w:bCs/>
        </w:rPr>
        <w:tab/>
      </w:r>
      <w:r w:rsidRPr="00CE7F70" w:rsidR="00B2752E">
        <w:rPr>
          <w:b/>
          <w:bCs/>
        </w:rPr>
        <w:tab/>
      </w:r>
      <w:r w:rsidRPr="00CE7F70" w:rsidR="00B2752E">
        <w:rPr>
          <w:b/>
          <w:bCs/>
        </w:rPr>
        <w:tab/>
      </w:r>
      <w:r w:rsidRPr="00CE7F70" w:rsidR="00B2752E">
        <w:rPr>
          <w:b/>
          <w:bCs/>
        </w:rPr>
        <w:tab/>
      </w:r>
      <w:r w:rsidRPr="00CE7F70" w:rsidR="00B2752E">
        <w:rPr>
          <w:b/>
          <w:bCs/>
        </w:rPr>
        <w:tab/>
      </w:r>
      <w:r w:rsidRPr="00CE7F70" w:rsidR="00B2752E">
        <w:rPr>
          <w:b/>
          <w:bCs/>
        </w:rPr>
        <w:tab/>
      </w:r>
      <w:r w:rsidRPr="00CE7F70" w:rsidR="00B2752E">
        <w:rPr>
          <w:b/>
          <w:bCs/>
        </w:rPr>
        <w:tab/>
      </w:r>
      <w:r w:rsidRPr="00CE7F70" w:rsidR="00B2752E">
        <w:rPr>
          <w:b/>
          <w:bCs/>
        </w:rPr>
        <w:tab/>
      </w:r>
      <w:r w:rsidRPr="00CE7F70" w:rsidR="00B2752E">
        <w:rPr>
          <w:b/>
          <w:bCs/>
        </w:rPr>
        <w:tab/>
      </w:r>
    </w:p>
    <w:p w:rsidR="00E73F12" w:rsidP="699E42F7" w14:paraId="4EA27E5F" w14:textId="4255E869">
      <w:pPr>
        <w:widowControl/>
        <w:tabs>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E067C4">
        <w:t xml:space="preserve">agency is requesting the </w:t>
      </w:r>
      <w:r>
        <w:t>burden hours</w:t>
      </w:r>
      <w:r w:rsidR="00BD28CB">
        <w:t xml:space="preserve"> and the cost under item 13</w:t>
      </w:r>
      <w:r>
        <w:t xml:space="preserve"> </w:t>
      </w:r>
      <w:r w:rsidR="00371804">
        <w:t>to remain the same</w:t>
      </w:r>
      <w:r>
        <w:t xml:space="preserve">. </w:t>
      </w:r>
    </w:p>
    <w:p w:rsidR="0010311E" w:rsidP="0010311E" w14:paraId="32120060"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p>
    <w:p w:rsidR="0010311E" w:rsidP="0010311E" w14:paraId="159ED21E"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p>
    <w:p w:rsidR="00866A7D" w:rsidRPr="0090397B" w:rsidP="00CE7F70" w14:paraId="7609D2DB" w14:textId="6D5A1B3F">
      <w:pPr>
        <w:pStyle w:val="ListParagraph"/>
        <w:widowControl/>
        <w:numPr>
          <w:ilvl w:val="0"/>
          <w:numId w:val="20"/>
        </w:numPr>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r w:rsidRPr="00CE7F70">
        <w:rPr>
          <w:b/>
          <w:bCs/>
        </w:rPr>
        <w:t>For collections of information whose results will be published, outline plans for tabulation, and publication.</w:t>
      </w:r>
      <w:r w:rsidR="00592C49">
        <w:rPr>
          <w:b/>
          <w:bCs/>
        </w:rPr>
        <w:t xml:space="preserve"> </w:t>
      </w:r>
      <w:r w:rsidRPr="00CE7F70">
        <w:rPr>
          <w:b/>
          <w:bCs/>
        </w:rPr>
        <w:t>Address any complex analytical techniques that will be used.</w:t>
      </w:r>
      <w:r w:rsidR="00592C49">
        <w:rPr>
          <w:b/>
          <w:bCs/>
        </w:rPr>
        <w:t xml:space="preserve"> </w:t>
      </w:r>
      <w:r w:rsidRPr="00CE7F70">
        <w:rPr>
          <w:b/>
          <w:bCs/>
        </w:rPr>
        <w:t xml:space="preserve">Provide the time schedule for the entire project, including beginning and ending dates of the collection </w:t>
      </w:r>
      <w:r w:rsidRPr="00CE7F70" w:rsidR="00220573">
        <w:rPr>
          <w:b/>
          <w:bCs/>
        </w:rPr>
        <w:t xml:space="preserve">of </w:t>
      </w:r>
      <w:r w:rsidRPr="00CE7F70">
        <w:rPr>
          <w:b/>
          <w:bCs/>
        </w:rPr>
        <w:t>information, completion of report, publication dates, and other actions.</w:t>
      </w:r>
    </w:p>
    <w:p w:rsidR="00866A7D" w:rsidRPr="0090397B" w:rsidP="00866A7D" w14:paraId="71EB0A3A"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p>
    <w:p w:rsidR="00C637E6" w:rsidRPr="0090397B" w:rsidP="00866A7D" w14:paraId="27C48C75" w14:textId="0980A3BC">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rPr>
      </w:pPr>
      <w:r>
        <w:rPr>
          <w:rStyle w:val="normaltextrun"/>
          <w:color w:val="000000"/>
          <w:shd w:val="clear" w:color="auto" w:fill="FFFFFF"/>
        </w:rPr>
        <w:t>The information to be collected under this standard will not have results that will be published for statistical use.</w:t>
      </w:r>
      <w:r w:rsidR="00592C49">
        <w:rPr>
          <w:rStyle w:val="eop"/>
          <w:color w:val="000000"/>
          <w:shd w:val="clear" w:color="auto" w:fill="FFFFFF"/>
        </w:rPr>
        <w:t xml:space="preserve"> </w:t>
      </w:r>
    </w:p>
    <w:p w:rsidR="00866A7D" w:rsidRPr="0090397B" w:rsidP="00866A7D" w14:paraId="140F6583"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rPr>
      </w:pPr>
    </w:p>
    <w:p w:rsidR="00866A7D" w:rsidRPr="00CE7F70" w:rsidP="00CE7F70" w14:paraId="2DB618B9" w14:textId="4AA904B1">
      <w:pPr>
        <w:pStyle w:val="ListParagraph"/>
        <w:widowControl/>
        <w:numPr>
          <w:ilvl w:val="0"/>
          <w:numId w:val="20"/>
        </w:numPr>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rPr>
      </w:pPr>
      <w:r w:rsidRPr="00CE7F70">
        <w:rPr>
          <w:b/>
          <w:bCs/>
        </w:rPr>
        <w:t xml:space="preserve">If seeking approval to not display the expiration date for OMB approval of the information collection, explain the reasons that display would be </w:t>
      </w:r>
      <w:r w:rsidRPr="00CE7F70" w:rsidR="00220573">
        <w:rPr>
          <w:b/>
          <w:bCs/>
        </w:rPr>
        <w:t>in</w:t>
      </w:r>
      <w:r w:rsidRPr="00CE7F70">
        <w:rPr>
          <w:b/>
          <w:bCs/>
        </w:rPr>
        <w:t>appropriate.</w:t>
      </w:r>
    </w:p>
    <w:p w:rsidR="00010DE3" w:rsidRPr="0090397B" w:rsidP="00866A7D" w14:paraId="3DDF4BA5"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rPr>
      </w:pPr>
    </w:p>
    <w:p w:rsidR="00010DE3" w:rsidRPr="0090397B" w:rsidP="699E42F7" w14:paraId="3A65DBFF" w14:textId="311BFB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 w:rsidRPr="063D76EA">
        <w:rPr>
          <w:rFonts w:eastAsia="Calibri"/>
        </w:rPr>
        <w:t>OSHA lists current valid control numbers in §§</w:t>
      </w:r>
      <w:r w:rsidRPr="063D76EA" w:rsidR="00C637E6">
        <w:rPr>
          <w:rFonts w:eastAsia="Calibri"/>
        </w:rPr>
        <w:t xml:space="preserve"> </w:t>
      </w:r>
      <w:r w:rsidRPr="063D76EA">
        <w:rPr>
          <w:rFonts w:eastAsia="Calibri"/>
        </w:rPr>
        <w:t xml:space="preserve">1910.8, 1915.8, 1917.4, 1918.4, and 1926.5 and publishes the expiration date in the </w:t>
      </w:r>
      <w:r w:rsidRPr="063D76EA">
        <w:rPr>
          <w:rFonts w:eastAsia="Calibri"/>
          <w:i/>
          <w:iCs/>
        </w:rPr>
        <w:t>Federal Register</w:t>
      </w:r>
      <w:r w:rsidRPr="063D76EA">
        <w:rPr>
          <w:rFonts w:eastAsia="Calibri"/>
        </w:rPr>
        <w:t xml:space="preserve"> notice announcing OMB approval of the information collection requirement (</w:t>
      </w:r>
      <w:r w:rsidRPr="063D76EA">
        <w:rPr>
          <w:rFonts w:eastAsia="Calibri"/>
          <w:i/>
          <w:iCs/>
        </w:rPr>
        <w:t>See</w:t>
      </w:r>
      <w:r w:rsidRPr="063D76EA">
        <w:rPr>
          <w:rFonts w:eastAsia="Calibri"/>
        </w:rPr>
        <w:t xml:space="preserve"> 5 CFR 1320.3(f)(3)). OSHA believes that this is the most appropriate and accurate mechanism to inform interested parties of these expiration dates.</w:t>
      </w:r>
    </w:p>
    <w:p w:rsidR="00866A7D" w:rsidRPr="0090397B" w:rsidP="00866A7D" w14:paraId="70B5A46B"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rPr>
      </w:pPr>
    </w:p>
    <w:p w:rsidR="00866A7D" w:rsidRPr="00CE7F70" w:rsidP="699E42F7" w14:paraId="03719476" w14:textId="05C5B5BE">
      <w:pPr>
        <w:widowControl/>
        <w:tabs>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strike/>
        </w:rPr>
      </w:pPr>
      <w:r w:rsidRPr="699E42F7">
        <w:rPr>
          <w:b/>
          <w:bCs/>
        </w:rPr>
        <w:t xml:space="preserve">      18. Explain each exception to the certification statement</w:t>
      </w:r>
      <w:r w:rsidRPr="699E42F7" w:rsidR="00CE7F70">
        <w:rPr>
          <w:b/>
          <w:bCs/>
        </w:rPr>
        <w:t>.</w:t>
      </w:r>
    </w:p>
    <w:p w:rsidR="00DA67B8" w:rsidRPr="0090397B" w:rsidP="00866A7D" w14:paraId="37592273"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p>
    <w:p w:rsidR="00CE7F70" w:rsidP="0010311E" w14:paraId="501AF7B7" w14:textId="3CEF379B">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r w:rsidRPr="0090397B">
        <w:t>OSHA is not seeking an exception to the certification statement.</w:t>
      </w:r>
    </w:p>
    <w:p w:rsidR="00CE7F70" w:rsidRPr="0090397B" w14:paraId="094F3C58" w14:textId="77777777"/>
    <w:p w:rsidR="00B52266" w:rsidRPr="0090397B" w:rsidP="00B52266" w14:paraId="1FE770DA" w14:textId="77777777">
      <w:pPr>
        <w:outlineLvl w:val="0"/>
        <w:rPr>
          <w:b/>
          <w:color w:val="000000"/>
        </w:rPr>
      </w:pPr>
      <w:r w:rsidRPr="0090397B">
        <w:rPr>
          <w:b/>
          <w:color w:val="000000"/>
        </w:rPr>
        <w:t>B. COLLECTION OF INFORMATION EMPLOYING STATISTICAL METHODS</w:t>
      </w:r>
    </w:p>
    <w:p w:rsidR="00B52266" w:rsidRPr="0090397B" w:rsidP="00B52266" w14:paraId="0CE1253A" w14:textId="77777777">
      <w:pPr>
        <w:rPr>
          <w:b/>
          <w:color w:val="000000"/>
        </w:rPr>
      </w:pPr>
    </w:p>
    <w:p w:rsidR="00B52266" w:rsidRPr="0090397B" w:rsidP="00B52266" w14:paraId="345DE73B" w14:textId="77777777">
      <w:pPr>
        <w:rPr>
          <w:color w:val="000000"/>
        </w:rPr>
      </w:pPr>
      <w:r w:rsidRPr="0090397B">
        <w:rPr>
          <w:color w:val="000000"/>
        </w:rPr>
        <w:t>The supporting statement does not contain any collection of information requirements that employ statistical methods.</w:t>
      </w:r>
    </w:p>
    <w:p w:rsidR="00B52266" w:rsidRPr="0090397B" w:rsidP="00B52266" w14:paraId="117C8F03"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color w:val="000000"/>
        </w:rPr>
      </w:pPr>
    </w:p>
    <w:sectPr w:rsidSect="00E73F12">
      <w:headerReference w:type="default" r:id="rId11"/>
      <w:footerReference w:type="defaul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altName w:val="Shruti"/>
    <w:panose1 w:val="02000500000000000000"/>
    <w:charset w:val="00"/>
    <w:family w:val="swiss"/>
    <w:pitch w:val="variable"/>
    <w:sig w:usb0="00040003" w:usb1="00000000" w:usb2="00000000" w:usb3="00000000" w:csb0="00000001" w:csb1="00000000"/>
  </w:font>
  <w:font w:name="WP TypographicSymbols">
    <w:charset w:val="01"/>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0F40" w:rsidP="00375135" w14:paraId="2937A44B" w14:textId="2BE7C280">
    <w:pPr>
      <w:jc w:val="center"/>
    </w:pPr>
    <w: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E70C4" w14:paraId="622BC3F6" w14:textId="77777777">
      <w:r>
        <w:separator/>
      </w:r>
    </w:p>
  </w:footnote>
  <w:footnote w:type="continuationSeparator" w:id="1">
    <w:p w:rsidR="001E70C4" w14:paraId="4110F15A" w14:textId="77777777">
      <w:r>
        <w:continuationSeparator/>
      </w:r>
    </w:p>
  </w:footnote>
  <w:footnote w:type="continuationNotice" w:id="2">
    <w:p w:rsidR="001E70C4" w14:paraId="445D48AF" w14:textId="77777777"/>
  </w:footnote>
  <w:footnote w:id="3">
    <w:p w:rsidR="000B0A04" w:rsidP="008D2424" w14:paraId="3AE5E303" w14:textId="6EDF3737">
      <w:pPr>
        <w:pStyle w:val="FootnoteText"/>
        <w:ind w:firstLine="720"/>
      </w:pPr>
      <w:r>
        <w:rPr>
          <w:rStyle w:val="FootnoteReference"/>
          <w:vertAlign w:val="superscript"/>
        </w:rPr>
        <w:t>1</w:t>
      </w:r>
      <w:r w:rsidR="00D1122C">
        <w:rPr>
          <w:vertAlign w:val="superscript"/>
        </w:rPr>
        <w:t xml:space="preserve"> </w:t>
      </w:r>
      <w:r>
        <w:t xml:space="preserve">The purpose of this </w:t>
      </w:r>
      <w:r w:rsidR="00D1122C">
        <w:t>s</w:t>
      </w:r>
      <w:r>
        <w:t xml:space="preserve">upporting </w:t>
      </w:r>
      <w:r w:rsidR="00D1122C">
        <w:t>s</w:t>
      </w:r>
      <w:r>
        <w:t>tatement is to analyze and describe the burden hours and costs associated with the</w:t>
      </w:r>
      <w:r w:rsidR="00D1122C">
        <w:t xml:space="preserve"> provisions of this standard</w:t>
      </w:r>
      <w:r w:rsidR="00E414CB">
        <w:t xml:space="preserve"> that contain paperwork requirements; it</w:t>
      </w:r>
      <w:r>
        <w:t xml:space="preserve"> does not provide information or guidance on how to comply with, or how to enforce, the standard.</w:t>
      </w:r>
    </w:p>
  </w:footnote>
  <w:footnote w:id="4">
    <w:p w:rsidR="00762F1C" w:rsidP="001302D1" w14:paraId="2042AB5B" w14:textId="2ED4C579">
      <w:pPr>
        <w:pStyle w:val="FootnoteText"/>
        <w:ind w:firstLine="720"/>
      </w:pPr>
      <w:r w:rsidRPr="00FC6DFF">
        <w:rPr>
          <w:rStyle w:val="FootnoteReference"/>
          <w:vertAlign w:val="superscript"/>
        </w:rPr>
        <w:footnoteRef/>
      </w:r>
      <w:r w:rsidR="699E42F7">
        <w:t xml:space="preserve"> These determinations are from the Final Rule for Subparts D and I that contain information collections (81 FR 82494).</w:t>
      </w:r>
    </w:p>
    <w:p w:rsidR="001302D1" w:rsidRPr="00FC6DFF" w:rsidP="001302D1" w14:paraId="38B47D8D" w14:textId="77777777">
      <w:pPr>
        <w:pStyle w:val="FootnoteText"/>
        <w:ind w:firstLine="720"/>
        <w:rPr>
          <w:vertAlign w:val="superscript"/>
        </w:rPr>
      </w:pPr>
      <w:r>
        <w:t xml:space="preserve"> </w:t>
      </w:r>
      <w:r w:rsidRPr="00FC6DFF">
        <w:rPr>
          <w:vertAlign w:val="superscript"/>
        </w:rPr>
        <w:t xml:space="preserve"> </w:t>
      </w:r>
    </w:p>
  </w:footnote>
  <w:footnote w:id="5">
    <w:p w:rsidR="002E4322" w14:paraId="19CC6708" w14:textId="155EC798">
      <w:pPr>
        <w:pStyle w:val="FootnoteText"/>
      </w:pPr>
      <w:r>
        <w:tab/>
      </w:r>
      <w:r w:rsidRPr="003C2E00">
        <w:rPr>
          <w:rStyle w:val="FootnoteReference"/>
          <w:vertAlign w:val="superscript"/>
        </w:rPr>
        <w:footnoteRef/>
      </w:r>
      <w:r w:rsidRPr="003C2E00">
        <w:rPr>
          <w:vertAlign w:val="superscript"/>
        </w:rPr>
        <w:t xml:space="preserve"> </w:t>
      </w:r>
      <w:r w:rsidRPr="002E4322">
        <w:t xml:space="preserve">When the government provides language </w:t>
      </w:r>
      <w:r w:rsidR="00240877">
        <w:t>to</w:t>
      </w:r>
      <w:r w:rsidRPr="002E4322">
        <w:t xml:space="preserve"> employers to use on signs or labels it is considered "public disclosure." A</w:t>
      </w:r>
      <w:r w:rsidR="00240877">
        <w:t>ccording to 5 CFR 1320.5 (c)(2).</w:t>
      </w:r>
      <w:r w:rsidR="0090777E">
        <w:t xml:space="preserve"> </w:t>
      </w:r>
      <w:r w:rsidRPr="002E4322">
        <w:t>The public disclosure of information originally supplied by the Federal government to the recipient for the purpose of disclosure to the public is not included within this definition</w:t>
      </w:r>
      <w:r w:rsidR="00240877">
        <w:t xml:space="preserve"> (collection of information)</w:t>
      </w:r>
      <w:r w:rsidRPr="002E432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0F40" w14:paraId="3CB79F10" w14:textId="3AC7289B">
    <w:r>
      <w:t>WALKING-WORKING SURFACES STANDARD (29 CFR 1910, SUBPART D)</w:t>
    </w:r>
  </w:p>
  <w:p w:rsidR="00AF67A2" w14:paraId="056D8EF7" w14:textId="6FEEC546">
    <w:r>
      <w:t>OMB Control No. 1218-0199</w:t>
    </w:r>
    <w:r>
      <w:br/>
      <w:t>OMB Expiration Date: July 31, 2023</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88324E86"/>
    <w:lvl w:ilvl="0">
      <w:start w:val="0"/>
      <w:numFmt w:val="bullet"/>
      <w:lvlText w:val="*"/>
      <w:lvlJc w:val="left"/>
    </w:lvl>
  </w:abstractNum>
  <w:abstractNum w:abstractNumId="1">
    <w:nsid w:val="04E15839"/>
    <w:multiLevelType w:val="hybridMultilevel"/>
    <w:tmpl w:val="5B4AACE8"/>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5D4A77"/>
    <w:multiLevelType w:val="hybridMultilevel"/>
    <w:tmpl w:val="D9FC38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C077E9C"/>
    <w:multiLevelType w:val="hybridMultilevel"/>
    <w:tmpl w:val="165E5FD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68A2791"/>
    <w:multiLevelType w:val="hybridMultilevel"/>
    <w:tmpl w:val="79F649AC"/>
    <w:lvl w:ilvl="0">
      <w:start w:val="13"/>
      <w:numFmt w:val="decimal"/>
      <w:lvlText w:val="%1."/>
      <w:lvlJc w:val="left"/>
      <w:pPr>
        <w:tabs>
          <w:tab w:val="num" w:pos="720"/>
        </w:tabs>
        <w:ind w:left="720" w:hanging="360"/>
      </w:pPr>
      <w:rPr>
        <w:rFonts w:ascii="Times New Roman" w:cs="Shruti"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7CB52D4"/>
    <w:multiLevelType w:val="hybridMultilevel"/>
    <w:tmpl w:val="7702EC1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8AB5417"/>
    <w:multiLevelType w:val="hybridMultilevel"/>
    <w:tmpl w:val="FFDC503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AD2036C"/>
    <w:multiLevelType w:val="hybridMultilevel"/>
    <w:tmpl w:val="07DAAE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FA61A2"/>
    <w:multiLevelType w:val="hybridMultilevel"/>
    <w:tmpl w:val="680C285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BE1E36"/>
    <w:multiLevelType w:val="hybridMultilevel"/>
    <w:tmpl w:val="7876AD7E"/>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00D2C94"/>
    <w:multiLevelType w:val="hybridMultilevel"/>
    <w:tmpl w:val="8690EB20"/>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E7E35A1"/>
    <w:multiLevelType w:val="hybridMultilevel"/>
    <w:tmpl w:val="C330AE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4715B95"/>
    <w:multiLevelType w:val="hybridMultilevel"/>
    <w:tmpl w:val="D572FC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8814EFB"/>
    <w:multiLevelType w:val="hybridMultilevel"/>
    <w:tmpl w:val="75FCE3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8CE3BC8"/>
    <w:multiLevelType w:val="hybridMultilevel"/>
    <w:tmpl w:val="E9EA57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9946B9F"/>
    <w:multiLevelType w:val="hybridMultilevel"/>
    <w:tmpl w:val="B53C2E2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2797A9E"/>
    <w:multiLevelType w:val="hybridMultilevel"/>
    <w:tmpl w:val="BE16E08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66CC6B65"/>
    <w:multiLevelType w:val="hybridMultilevel"/>
    <w:tmpl w:val="AD2AB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88A328E"/>
    <w:multiLevelType w:val="hybridMultilevel"/>
    <w:tmpl w:val="127440FC"/>
    <w:lvl w:ilvl="0">
      <w:start w:val="1"/>
      <w:numFmt w:val="upperLetter"/>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99C4663"/>
    <w:multiLevelType w:val="hybridMultilevel"/>
    <w:tmpl w:val="06DC73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A34F78"/>
    <w:multiLevelType w:val="hybridMultilevel"/>
    <w:tmpl w:val="E47885B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4F52D30"/>
    <w:multiLevelType w:val="hybridMultilevel"/>
    <w:tmpl w:val="BE7C38DC"/>
    <w:lvl w:ilvl="0">
      <w:start w:val="1"/>
      <w:numFmt w:val="decimal"/>
      <w:lvlText w:val="%1."/>
      <w:lvlJc w:val="left"/>
      <w:pPr>
        <w:ind w:left="720" w:hanging="360"/>
      </w:pPr>
      <w:rPr>
        <w:rFonts w:ascii="Times New Roman" w:hAnsi="Times New Roman" w:cs="Times New Roman" w:hint="default"/>
        <w:b/>
        <w:bCs/>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C7910D8"/>
    <w:multiLevelType w:val="hybridMultilevel"/>
    <w:tmpl w:val="B1548CE2"/>
    <w:lvl w:ilvl="0">
      <w:start w:val="1"/>
      <w:numFmt w:val="bullet"/>
      <w:lvlText w:val=""/>
      <w:lvlJc w:val="left"/>
      <w:pPr>
        <w:ind w:left="1496" w:hanging="360"/>
      </w:pPr>
      <w:rPr>
        <w:rFonts w:ascii="Symbol" w:hAnsi="Symbol" w:hint="default"/>
      </w:rPr>
    </w:lvl>
    <w:lvl w:ilvl="1" w:tentative="1">
      <w:start w:val="1"/>
      <w:numFmt w:val="bullet"/>
      <w:lvlText w:val="o"/>
      <w:lvlJc w:val="left"/>
      <w:pPr>
        <w:ind w:left="2216" w:hanging="360"/>
      </w:pPr>
      <w:rPr>
        <w:rFonts w:ascii="Courier New" w:hAnsi="Courier New" w:cs="Courier New" w:hint="default"/>
      </w:rPr>
    </w:lvl>
    <w:lvl w:ilvl="2" w:tentative="1">
      <w:start w:val="1"/>
      <w:numFmt w:val="bullet"/>
      <w:lvlText w:val=""/>
      <w:lvlJc w:val="left"/>
      <w:pPr>
        <w:ind w:left="2936" w:hanging="360"/>
      </w:pPr>
      <w:rPr>
        <w:rFonts w:ascii="Wingdings" w:hAnsi="Wingdings" w:hint="default"/>
      </w:rPr>
    </w:lvl>
    <w:lvl w:ilvl="3" w:tentative="1">
      <w:start w:val="1"/>
      <w:numFmt w:val="bullet"/>
      <w:lvlText w:val=""/>
      <w:lvlJc w:val="left"/>
      <w:pPr>
        <w:ind w:left="3656" w:hanging="360"/>
      </w:pPr>
      <w:rPr>
        <w:rFonts w:ascii="Symbol" w:hAnsi="Symbol" w:hint="default"/>
      </w:rPr>
    </w:lvl>
    <w:lvl w:ilvl="4" w:tentative="1">
      <w:start w:val="1"/>
      <w:numFmt w:val="bullet"/>
      <w:lvlText w:val="o"/>
      <w:lvlJc w:val="left"/>
      <w:pPr>
        <w:ind w:left="4376" w:hanging="360"/>
      </w:pPr>
      <w:rPr>
        <w:rFonts w:ascii="Courier New" w:hAnsi="Courier New" w:cs="Courier New" w:hint="default"/>
      </w:rPr>
    </w:lvl>
    <w:lvl w:ilvl="5" w:tentative="1">
      <w:start w:val="1"/>
      <w:numFmt w:val="bullet"/>
      <w:lvlText w:val=""/>
      <w:lvlJc w:val="left"/>
      <w:pPr>
        <w:ind w:left="5096" w:hanging="360"/>
      </w:pPr>
      <w:rPr>
        <w:rFonts w:ascii="Wingdings" w:hAnsi="Wingdings" w:hint="default"/>
      </w:rPr>
    </w:lvl>
    <w:lvl w:ilvl="6" w:tentative="1">
      <w:start w:val="1"/>
      <w:numFmt w:val="bullet"/>
      <w:lvlText w:val=""/>
      <w:lvlJc w:val="left"/>
      <w:pPr>
        <w:ind w:left="5816" w:hanging="360"/>
      </w:pPr>
      <w:rPr>
        <w:rFonts w:ascii="Symbol" w:hAnsi="Symbol" w:hint="default"/>
      </w:rPr>
    </w:lvl>
    <w:lvl w:ilvl="7" w:tentative="1">
      <w:start w:val="1"/>
      <w:numFmt w:val="bullet"/>
      <w:lvlText w:val="o"/>
      <w:lvlJc w:val="left"/>
      <w:pPr>
        <w:ind w:left="6536" w:hanging="360"/>
      </w:pPr>
      <w:rPr>
        <w:rFonts w:ascii="Courier New" w:hAnsi="Courier New" w:cs="Courier New" w:hint="default"/>
      </w:rPr>
    </w:lvl>
    <w:lvl w:ilvl="8" w:tentative="1">
      <w:start w:val="1"/>
      <w:numFmt w:val="bullet"/>
      <w:lvlText w:val=""/>
      <w:lvlJc w:val="left"/>
      <w:pPr>
        <w:ind w:left="7256" w:hanging="360"/>
      </w:pPr>
      <w:rPr>
        <w:rFonts w:ascii="Wingdings" w:hAnsi="Wingdings" w:hint="default"/>
      </w:rPr>
    </w:lvl>
  </w:abstractNum>
  <w:num w:numId="1" w16cid:durableId="363285358">
    <w:abstractNumId w:val="5"/>
  </w:num>
  <w:num w:numId="2" w16cid:durableId="1023745571">
    <w:abstractNumId w:val="17"/>
  </w:num>
  <w:num w:numId="3" w16cid:durableId="1079324288">
    <w:abstractNumId w:val="12"/>
  </w:num>
  <w:num w:numId="4" w16cid:durableId="334497233">
    <w:abstractNumId w:val="18"/>
  </w:num>
  <w:num w:numId="5" w16cid:durableId="65302199">
    <w:abstractNumId w:val="0"/>
    <w:lvlOverride w:ilvl="0">
      <w:lvl w:ilvl="0">
        <w:start w:val="0"/>
        <w:numFmt w:val="bullet"/>
        <w:lvlText w:val="$"/>
        <w:legacy w:legacy="1" w:legacySpace="0" w:legacyIndent="360"/>
        <w:lvlJc w:val="left"/>
        <w:pPr>
          <w:ind w:left="360" w:hanging="360"/>
        </w:pPr>
        <w:rPr>
          <w:rFonts w:ascii="WP TypographicSymbols" w:hAnsi="WP TypographicSymbols" w:hint="default"/>
        </w:rPr>
      </w:lvl>
    </w:lvlOverride>
  </w:num>
  <w:num w:numId="6" w16cid:durableId="221019165">
    <w:abstractNumId w:val="6"/>
  </w:num>
  <w:num w:numId="7" w16cid:durableId="1185752912">
    <w:abstractNumId w:val="4"/>
  </w:num>
  <w:num w:numId="8" w16cid:durableId="1200824082">
    <w:abstractNumId w:val="22"/>
  </w:num>
  <w:num w:numId="9" w16cid:durableId="302006152">
    <w:abstractNumId w:val="16"/>
  </w:num>
  <w:num w:numId="10" w16cid:durableId="706031385">
    <w:abstractNumId w:val="2"/>
  </w:num>
  <w:num w:numId="11" w16cid:durableId="1202550002">
    <w:abstractNumId w:val="15"/>
  </w:num>
  <w:num w:numId="12" w16cid:durableId="2081755710">
    <w:abstractNumId w:val="20"/>
  </w:num>
  <w:num w:numId="13" w16cid:durableId="560402849">
    <w:abstractNumId w:val="1"/>
  </w:num>
  <w:num w:numId="14" w16cid:durableId="466432135">
    <w:abstractNumId w:val="3"/>
  </w:num>
  <w:num w:numId="15" w16cid:durableId="1554081309">
    <w:abstractNumId w:val="10"/>
  </w:num>
  <w:num w:numId="16" w16cid:durableId="1519198154">
    <w:abstractNumId w:val="9"/>
  </w:num>
  <w:num w:numId="17" w16cid:durableId="829905899">
    <w:abstractNumId w:val="19"/>
  </w:num>
  <w:num w:numId="18" w16cid:durableId="259533099">
    <w:abstractNumId w:val="13"/>
  </w:num>
  <w:num w:numId="19" w16cid:durableId="2114661966">
    <w:abstractNumId w:val="7"/>
  </w:num>
  <w:num w:numId="20" w16cid:durableId="473063910">
    <w:abstractNumId w:val="21"/>
  </w:num>
  <w:num w:numId="21" w16cid:durableId="1954286177">
    <w:abstractNumId w:val="11"/>
  </w:num>
  <w:num w:numId="22" w16cid:durableId="1373454786">
    <w:abstractNumId w:val="14"/>
  </w:num>
  <w:num w:numId="23" w16cid:durableId="13928484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30"/>
  <w:proofState w:spelling="clean" w:grammar="clean"/>
  <w:formsDesig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A7D"/>
    <w:rsid w:val="00000537"/>
    <w:rsid w:val="00007406"/>
    <w:rsid w:val="00010DE3"/>
    <w:rsid w:val="0001295E"/>
    <w:rsid w:val="00020678"/>
    <w:rsid w:val="00021422"/>
    <w:rsid w:val="00022613"/>
    <w:rsid w:val="0003073C"/>
    <w:rsid w:val="00035B36"/>
    <w:rsid w:val="00036A3D"/>
    <w:rsid w:val="00043B3B"/>
    <w:rsid w:val="00047EDF"/>
    <w:rsid w:val="00052D60"/>
    <w:rsid w:val="00053C37"/>
    <w:rsid w:val="00056063"/>
    <w:rsid w:val="0005721C"/>
    <w:rsid w:val="00060891"/>
    <w:rsid w:val="00061021"/>
    <w:rsid w:val="000615D3"/>
    <w:rsid w:val="00064CD1"/>
    <w:rsid w:val="000655C7"/>
    <w:rsid w:val="00066D53"/>
    <w:rsid w:val="000677BA"/>
    <w:rsid w:val="00071744"/>
    <w:rsid w:val="00071F2D"/>
    <w:rsid w:val="00072177"/>
    <w:rsid w:val="00073A62"/>
    <w:rsid w:val="0007478B"/>
    <w:rsid w:val="000748C1"/>
    <w:rsid w:val="0007504D"/>
    <w:rsid w:val="00075337"/>
    <w:rsid w:val="0008314E"/>
    <w:rsid w:val="00083E3F"/>
    <w:rsid w:val="000849E2"/>
    <w:rsid w:val="000856FD"/>
    <w:rsid w:val="00090555"/>
    <w:rsid w:val="00090E63"/>
    <w:rsid w:val="0009595A"/>
    <w:rsid w:val="00095BCC"/>
    <w:rsid w:val="0009611C"/>
    <w:rsid w:val="000A2B91"/>
    <w:rsid w:val="000A3FEA"/>
    <w:rsid w:val="000A4FCB"/>
    <w:rsid w:val="000A696D"/>
    <w:rsid w:val="000A782D"/>
    <w:rsid w:val="000B069D"/>
    <w:rsid w:val="000B0A04"/>
    <w:rsid w:val="000B1BBB"/>
    <w:rsid w:val="000B2015"/>
    <w:rsid w:val="000B2127"/>
    <w:rsid w:val="000C1322"/>
    <w:rsid w:val="000C2553"/>
    <w:rsid w:val="000C41B6"/>
    <w:rsid w:val="000C5151"/>
    <w:rsid w:val="000D1BB4"/>
    <w:rsid w:val="000D221E"/>
    <w:rsid w:val="000E4A46"/>
    <w:rsid w:val="000E4F6B"/>
    <w:rsid w:val="000E5D95"/>
    <w:rsid w:val="000E6953"/>
    <w:rsid w:val="000E742D"/>
    <w:rsid w:val="000F1577"/>
    <w:rsid w:val="000F197F"/>
    <w:rsid w:val="000F2B57"/>
    <w:rsid w:val="00100178"/>
    <w:rsid w:val="00101D68"/>
    <w:rsid w:val="0010311E"/>
    <w:rsid w:val="001054BB"/>
    <w:rsid w:val="00106062"/>
    <w:rsid w:val="001066CC"/>
    <w:rsid w:val="001129DE"/>
    <w:rsid w:val="00113F44"/>
    <w:rsid w:val="00114D78"/>
    <w:rsid w:val="00117656"/>
    <w:rsid w:val="0012033E"/>
    <w:rsid w:val="00120AE9"/>
    <w:rsid w:val="00124F1C"/>
    <w:rsid w:val="0012540E"/>
    <w:rsid w:val="001302D1"/>
    <w:rsid w:val="00132975"/>
    <w:rsid w:val="0013300D"/>
    <w:rsid w:val="001340A3"/>
    <w:rsid w:val="00134D71"/>
    <w:rsid w:val="00135A4C"/>
    <w:rsid w:val="001424F8"/>
    <w:rsid w:val="00143DC2"/>
    <w:rsid w:val="00145433"/>
    <w:rsid w:val="00146E2B"/>
    <w:rsid w:val="00147B4A"/>
    <w:rsid w:val="0015069C"/>
    <w:rsid w:val="00151A77"/>
    <w:rsid w:val="00156A89"/>
    <w:rsid w:val="0016050F"/>
    <w:rsid w:val="0016273F"/>
    <w:rsid w:val="00163EC2"/>
    <w:rsid w:val="00165494"/>
    <w:rsid w:val="00165F23"/>
    <w:rsid w:val="001703D2"/>
    <w:rsid w:val="001721C2"/>
    <w:rsid w:val="001826F3"/>
    <w:rsid w:val="00183F0E"/>
    <w:rsid w:val="00187552"/>
    <w:rsid w:val="00193034"/>
    <w:rsid w:val="001946AB"/>
    <w:rsid w:val="00195CCE"/>
    <w:rsid w:val="001A4AA2"/>
    <w:rsid w:val="001A6AD9"/>
    <w:rsid w:val="001A6C70"/>
    <w:rsid w:val="001A7018"/>
    <w:rsid w:val="001B382A"/>
    <w:rsid w:val="001B64B8"/>
    <w:rsid w:val="001B75A7"/>
    <w:rsid w:val="001C0183"/>
    <w:rsid w:val="001C0FF5"/>
    <w:rsid w:val="001C1A4C"/>
    <w:rsid w:val="001C453F"/>
    <w:rsid w:val="001C475E"/>
    <w:rsid w:val="001C6405"/>
    <w:rsid w:val="001C7F64"/>
    <w:rsid w:val="001D1295"/>
    <w:rsid w:val="001D5089"/>
    <w:rsid w:val="001D6A4B"/>
    <w:rsid w:val="001E15E2"/>
    <w:rsid w:val="001E355E"/>
    <w:rsid w:val="001E70C4"/>
    <w:rsid w:val="001E7517"/>
    <w:rsid w:val="001E76CE"/>
    <w:rsid w:val="001F0340"/>
    <w:rsid w:val="001F072D"/>
    <w:rsid w:val="001F37CA"/>
    <w:rsid w:val="001F5D99"/>
    <w:rsid w:val="00200436"/>
    <w:rsid w:val="00205410"/>
    <w:rsid w:val="00205950"/>
    <w:rsid w:val="00206176"/>
    <w:rsid w:val="00210E7F"/>
    <w:rsid w:val="00211F61"/>
    <w:rsid w:val="0021211F"/>
    <w:rsid w:val="002121FE"/>
    <w:rsid w:val="00214F57"/>
    <w:rsid w:val="002151DF"/>
    <w:rsid w:val="002155FF"/>
    <w:rsid w:val="00220414"/>
    <w:rsid w:val="00220573"/>
    <w:rsid w:val="00220ED3"/>
    <w:rsid w:val="00220F04"/>
    <w:rsid w:val="00222514"/>
    <w:rsid w:val="00224E3C"/>
    <w:rsid w:val="00233F3F"/>
    <w:rsid w:val="00236D49"/>
    <w:rsid w:val="00237215"/>
    <w:rsid w:val="00240877"/>
    <w:rsid w:val="002464DB"/>
    <w:rsid w:val="002529AF"/>
    <w:rsid w:val="0025370A"/>
    <w:rsid w:val="00254F77"/>
    <w:rsid w:val="00256262"/>
    <w:rsid w:val="002577BE"/>
    <w:rsid w:val="00257DF7"/>
    <w:rsid w:val="0026439B"/>
    <w:rsid w:val="00264494"/>
    <w:rsid w:val="00265EFD"/>
    <w:rsid w:val="00266AEE"/>
    <w:rsid w:val="0026762E"/>
    <w:rsid w:val="002715A8"/>
    <w:rsid w:val="00272DC9"/>
    <w:rsid w:val="00272FDE"/>
    <w:rsid w:val="00273A20"/>
    <w:rsid w:val="00280594"/>
    <w:rsid w:val="00283F8A"/>
    <w:rsid w:val="00284AC7"/>
    <w:rsid w:val="0028519B"/>
    <w:rsid w:val="0028585E"/>
    <w:rsid w:val="00290F60"/>
    <w:rsid w:val="00292A3A"/>
    <w:rsid w:val="00293723"/>
    <w:rsid w:val="00293C0A"/>
    <w:rsid w:val="002955C1"/>
    <w:rsid w:val="002969CD"/>
    <w:rsid w:val="002A1AF8"/>
    <w:rsid w:val="002A3093"/>
    <w:rsid w:val="002A3D62"/>
    <w:rsid w:val="002A5B83"/>
    <w:rsid w:val="002A6AF0"/>
    <w:rsid w:val="002B4B97"/>
    <w:rsid w:val="002B5232"/>
    <w:rsid w:val="002B75AD"/>
    <w:rsid w:val="002C1060"/>
    <w:rsid w:val="002C1105"/>
    <w:rsid w:val="002C16F9"/>
    <w:rsid w:val="002C4994"/>
    <w:rsid w:val="002C4BDA"/>
    <w:rsid w:val="002C5E37"/>
    <w:rsid w:val="002C71A6"/>
    <w:rsid w:val="002D15F6"/>
    <w:rsid w:val="002D16C2"/>
    <w:rsid w:val="002D3989"/>
    <w:rsid w:val="002D5A34"/>
    <w:rsid w:val="002D7C21"/>
    <w:rsid w:val="002E0514"/>
    <w:rsid w:val="002E08EB"/>
    <w:rsid w:val="002E10B5"/>
    <w:rsid w:val="002E2266"/>
    <w:rsid w:val="002E2E9D"/>
    <w:rsid w:val="002E4322"/>
    <w:rsid w:val="002E546D"/>
    <w:rsid w:val="002E5505"/>
    <w:rsid w:val="002E574D"/>
    <w:rsid w:val="002E58DD"/>
    <w:rsid w:val="002E5930"/>
    <w:rsid w:val="002E5D76"/>
    <w:rsid w:val="002F05FE"/>
    <w:rsid w:val="002F0E1A"/>
    <w:rsid w:val="002F4B4F"/>
    <w:rsid w:val="002F6D9E"/>
    <w:rsid w:val="002F79F5"/>
    <w:rsid w:val="0030094F"/>
    <w:rsid w:val="003017F1"/>
    <w:rsid w:val="003019FB"/>
    <w:rsid w:val="00305E13"/>
    <w:rsid w:val="003102BA"/>
    <w:rsid w:val="003105F2"/>
    <w:rsid w:val="0031277C"/>
    <w:rsid w:val="003154D0"/>
    <w:rsid w:val="00320859"/>
    <w:rsid w:val="003251EF"/>
    <w:rsid w:val="00325C91"/>
    <w:rsid w:val="00325EA4"/>
    <w:rsid w:val="003301AE"/>
    <w:rsid w:val="00334514"/>
    <w:rsid w:val="0033720A"/>
    <w:rsid w:val="00340693"/>
    <w:rsid w:val="00340DD8"/>
    <w:rsid w:val="003411CC"/>
    <w:rsid w:val="00342F85"/>
    <w:rsid w:val="00344C41"/>
    <w:rsid w:val="00347D8B"/>
    <w:rsid w:val="003548A8"/>
    <w:rsid w:val="00355114"/>
    <w:rsid w:val="00355BBA"/>
    <w:rsid w:val="00356039"/>
    <w:rsid w:val="00356F39"/>
    <w:rsid w:val="0036270A"/>
    <w:rsid w:val="003642F6"/>
    <w:rsid w:val="00364E04"/>
    <w:rsid w:val="003650CF"/>
    <w:rsid w:val="00365AD0"/>
    <w:rsid w:val="00367C48"/>
    <w:rsid w:val="00371804"/>
    <w:rsid w:val="00372AA9"/>
    <w:rsid w:val="003743A6"/>
    <w:rsid w:val="00374DE5"/>
    <w:rsid w:val="00375135"/>
    <w:rsid w:val="00377884"/>
    <w:rsid w:val="00380A41"/>
    <w:rsid w:val="00381647"/>
    <w:rsid w:val="003819C4"/>
    <w:rsid w:val="00385786"/>
    <w:rsid w:val="00385BF6"/>
    <w:rsid w:val="00386836"/>
    <w:rsid w:val="00387CB9"/>
    <w:rsid w:val="00397AEB"/>
    <w:rsid w:val="003A254B"/>
    <w:rsid w:val="003A2917"/>
    <w:rsid w:val="003A5352"/>
    <w:rsid w:val="003B1278"/>
    <w:rsid w:val="003B1FF7"/>
    <w:rsid w:val="003C0E9F"/>
    <w:rsid w:val="003C120B"/>
    <w:rsid w:val="003C2E00"/>
    <w:rsid w:val="003C5631"/>
    <w:rsid w:val="003C6BDD"/>
    <w:rsid w:val="003C7545"/>
    <w:rsid w:val="003C763C"/>
    <w:rsid w:val="003C7956"/>
    <w:rsid w:val="003D2E31"/>
    <w:rsid w:val="003D46A5"/>
    <w:rsid w:val="003D4B7C"/>
    <w:rsid w:val="003D6F55"/>
    <w:rsid w:val="003E0606"/>
    <w:rsid w:val="003E234A"/>
    <w:rsid w:val="003E5411"/>
    <w:rsid w:val="003E753F"/>
    <w:rsid w:val="003E772B"/>
    <w:rsid w:val="003F10DF"/>
    <w:rsid w:val="003F2BA3"/>
    <w:rsid w:val="003F574E"/>
    <w:rsid w:val="003F6579"/>
    <w:rsid w:val="003F6607"/>
    <w:rsid w:val="003F6A11"/>
    <w:rsid w:val="003F6EB8"/>
    <w:rsid w:val="00401FF2"/>
    <w:rsid w:val="004029A6"/>
    <w:rsid w:val="004031BA"/>
    <w:rsid w:val="00406EF6"/>
    <w:rsid w:val="0041091A"/>
    <w:rsid w:val="004128BA"/>
    <w:rsid w:val="004138F0"/>
    <w:rsid w:val="00414AD6"/>
    <w:rsid w:val="00417331"/>
    <w:rsid w:val="004178A4"/>
    <w:rsid w:val="00417912"/>
    <w:rsid w:val="004302D4"/>
    <w:rsid w:val="00432437"/>
    <w:rsid w:val="00432AF6"/>
    <w:rsid w:val="00434F1D"/>
    <w:rsid w:val="0043591A"/>
    <w:rsid w:val="0043677C"/>
    <w:rsid w:val="00440A65"/>
    <w:rsid w:val="00441217"/>
    <w:rsid w:val="00443792"/>
    <w:rsid w:val="00446D4F"/>
    <w:rsid w:val="004510DF"/>
    <w:rsid w:val="0045574B"/>
    <w:rsid w:val="00456AA6"/>
    <w:rsid w:val="004573D2"/>
    <w:rsid w:val="0046093F"/>
    <w:rsid w:val="004609CA"/>
    <w:rsid w:val="00463D64"/>
    <w:rsid w:val="00464ADB"/>
    <w:rsid w:val="0047104D"/>
    <w:rsid w:val="00471626"/>
    <w:rsid w:val="0047185B"/>
    <w:rsid w:val="00476847"/>
    <w:rsid w:val="004844DC"/>
    <w:rsid w:val="004846FC"/>
    <w:rsid w:val="0048501E"/>
    <w:rsid w:val="004879F5"/>
    <w:rsid w:val="00491E0F"/>
    <w:rsid w:val="004954D8"/>
    <w:rsid w:val="004960FB"/>
    <w:rsid w:val="004961BE"/>
    <w:rsid w:val="004965B3"/>
    <w:rsid w:val="0049705E"/>
    <w:rsid w:val="00497BA2"/>
    <w:rsid w:val="004A334B"/>
    <w:rsid w:val="004A559A"/>
    <w:rsid w:val="004A73CA"/>
    <w:rsid w:val="004A7D50"/>
    <w:rsid w:val="004B0A0D"/>
    <w:rsid w:val="004B2299"/>
    <w:rsid w:val="004B5965"/>
    <w:rsid w:val="004B5C5C"/>
    <w:rsid w:val="004B746E"/>
    <w:rsid w:val="004B77A9"/>
    <w:rsid w:val="004C2335"/>
    <w:rsid w:val="004C55FC"/>
    <w:rsid w:val="004C6B96"/>
    <w:rsid w:val="004D08F2"/>
    <w:rsid w:val="004D26D9"/>
    <w:rsid w:val="004D7FC7"/>
    <w:rsid w:val="004E2D65"/>
    <w:rsid w:val="004E373E"/>
    <w:rsid w:val="004E41EB"/>
    <w:rsid w:val="004E4A62"/>
    <w:rsid w:val="004E5D92"/>
    <w:rsid w:val="004F2E0A"/>
    <w:rsid w:val="004F31BB"/>
    <w:rsid w:val="004F62D0"/>
    <w:rsid w:val="004F6406"/>
    <w:rsid w:val="004F64E4"/>
    <w:rsid w:val="004F69D6"/>
    <w:rsid w:val="004F6CB7"/>
    <w:rsid w:val="00502B43"/>
    <w:rsid w:val="0051642C"/>
    <w:rsid w:val="00516A80"/>
    <w:rsid w:val="00521C94"/>
    <w:rsid w:val="00521D56"/>
    <w:rsid w:val="005220EA"/>
    <w:rsid w:val="00523BCD"/>
    <w:rsid w:val="00526B45"/>
    <w:rsid w:val="005277C9"/>
    <w:rsid w:val="00531836"/>
    <w:rsid w:val="00531ACF"/>
    <w:rsid w:val="00533696"/>
    <w:rsid w:val="00541B9B"/>
    <w:rsid w:val="00547996"/>
    <w:rsid w:val="00551AC1"/>
    <w:rsid w:val="00553143"/>
    <w:rsid w:val="00554F43"/>
    <w:rsid w:val="00560D1F"/>
    <w:rsid w:val="00563D66"/>
    <w:rsid w:val="005656B4"/>
    <w:rsid w:val="0056580F"/>
    <w:rsid w:val="00570F38"/>
    <w:rsid w:val="00572A06"/>
    <w:rsid w:val="005749A7"/>
    <w:rsid w:val="00576F9C"/>
    <w:rsid w:val="00583BDD"/>
    <w:rsid w:val="00584AD5"/>
    <w:rsid w:val="0058672B"/>
    <w:rsid w:val="005870DB"/>
    <w:rsid w:val="0058758D"/>
    <w:rsid w:val="00592C49"/>
    <w:rsid w:val="005935C6"/>
    <w:rsid w:val="00594C07"/>
    <w:rsid w:val="00595224"/>
    <w:rsid w:val="00595482"/>
    <w:rsid w:val="005A3A87"/>
    <w:rsid w:val="005A6CDB"/>
    <w:rsid w:val="005B27F7"/>
    <w:rsid w:val="005B3CB0"/>
    <w:rsid w:val="005B4C17"/>
    <w:rsid w:val="005B7F6D"/>
    <w:rsid w:val="005C2C6F"/>
    <w:rsid w:val="005C2D45"/>
    <w:rsid w:val="005C2E33"/>
    <w:rsid w:val="005D01D4"/>
    <w:rsid w:val="005D128E"/>
    <w:rsid w:val="005D28EC"/>
    <w:rsid w:val="005D2FEE"/>
    <w:rsid w:val="005E32DD"/>
    <w:rsid w:val="005E647A"/>
    <w:rsid w:val="005F588F"/>
    <w:rsid w:val="005F7C0B"/>
    <w:rsid w:val="005F7D4C"/>
    <w:rsid w:val="006001B3"/>
    <w:rsid w:val="00600314"/>
    <w:rsid w:val="00600C47"/>
    <w:rsid w:val="0060658E"/>
    <w:rsid w:val="0061062D"/>
    <w:rsid w:val="0061139B"/>
    <w:rsid w:val="006139F3"/>
    <w:rsid w:val="0061709D"/>
    <w:rsid w:val="00617EE7"/>
    <w:rsid w:val="006210AD"/>
    <w:rsid w:val="00621B55"/>
    <w:rsid w:val="00626A97"/>
    <w:rsid w:val="00630EF0"/>
    <w:rsid w:val="00634946"/>
    <w:rsid w:val="0063746F"/>
    <w:rsid w:val="00640284"/>
    <w:rsid w:val="00641B9A"/>
    <w:rsid w:val="00641D8A"/>
    <w:rsid w:val="006451E5"/>
    <w:rsid w:val="00647E83"/>
    <w:rsid w:val="0065013D"/>
    <w:rsid w:val="00651133"/>
    <w:rsid w:val="006523FA"/>
    <w:rsid w:val="00652C8D"/>
    <w:rsid w:val="0065448F"/>
    <w:rsid w:val="00666BE3"/>
    <w:rsid w:val="00670841"/>
    <w:rsid w:val="00673622"/>
    <w:rsid w:val="00673D1A"/>
    <w:rsid w:val="006743D9"/>
    <w:rsid w:val="00676B03"/>
    <w:rsid w:val="00680A1B"/>
    <w:rsid w:val="006818F3"/>
    <w:rsid w:val="0068476F"/>
    <w:rsid w:val="00687299"/>
    <w:rsid w:val="00694CCC"/>
    <w:rsid w:val="00695EE9"/>
    <w:rsid w:val="00695FFA"/>
    <w:rsid w:val="006A398B"/>
    <w:rsid w:val="006B5EE2"/>
    <w:rsid w:val="006B6B03"/>
    <w:rsid w:val="006C3297"/>
    <w:rsid w:val="006C396E"/>
    <w:rsid w:val="006C67F4"/>
    <w:rsid w:val="006D0382"/>
    <w:rsid w:val="006D1C22"/>
    <w:rsid w:val="006E030D"/>
    <w:rsid w:val="006E19C2"/>
    <w:rsid w:val="006E1AEB"/>
    <w:rsid w:val="006E2323"/>
    <w:rsid w:val="006E3094"/>
    <w:rsid w:val="006E3225"/>
    <w:rsid w:val="006E554B"/>
    <w:rsid w:val="006E5744"/>
    <w:rsid w:val="006F01A7"/>
    <w:rsid w:val="006F35F0"/>
    <w:rsid w:val="006F7260"/>
    <w:rsid w:val="00700301"/>
    <w:rsid w:val="00701BD3"/>
    <w:rsid w:val="0070212D"/>
    <w:rsid w:val="00702B8A"/>
    <w:rsid w:val="00703EA3"/>
    <w:rsid w:val="0070415F"/>
    <w:rsid w:val="007065C0"/>
    <w:rsid w:val="00712F7A"/>
    <w:rsid w:val="00713A9A"/>
    <w:rsid w:val="00715AFF"/>
    <w:rsid w:val="007204D6"/>
    <w:rsid w:val="00722619"/>
    <w:rsid w:val="007277EC"/>
    <w:rsid w:val="0072794B"/>
    <w:rsid w:val="00731BA4"/>
    <w:rsid w:val="007328CB"/>
    <w:rsid w:val="00734CB9"/>
    <w:rsid w:val="007376D7"/>
    <w:rsid w:val="00737A44"/>
    <w:rsid w:val="00737E7F"/>
    <w:rsid w:val="0074004D"/>
    <w:rsid w:val="00742964"/>
    <w:rsid w:val="00743AF4"/>
    <w:rsid w:val="00743D25"/>
    <w:rsid w:val="00747A32"/>
    <w:rsid w:val="00752102"/>
    <w:rsid w:val="00752C5B"/>
    <w:rsid w:val="00754CDC"/>
    <w:rsid w:val="00755991"/>
    <w:rsid w:val="0076035D"/>
    <w:rsid w:val="0076117A"/>
    <w:rsid w:val="00762F1C"/>
    <w:rsid w:val="00763202"/>
    <w:rsid w:val="0077094E"/>
    <w:rsid w:val="00770F40"/>
    <w:rsid w:val="007726FE"/>
    <w:rsid w:val="00772AA5"/>
    <w:rsid w:val="007755B7"/>
    <w:rsid w:val="00781859"/>
    <w:rsid w:val="007833D1"/>
    <w:rsid w:val="00785D9E"/>
    <w:rsid w:val="00787535"/>
    <w:rsid w:val="00790235"/>
    <w:rsid w:val="00790BCA"/>
    <w:rsid w:val="00791922"/>
    <w:rsid w:val="0079252E"/>
    <w:rsid w:val="007927BB"/>
    <w:rsid w:val="007950CB"/>
    <w:rsid w:val="0079760F"/>
    <w:rsid w:val="007A3F8F"/>
    <w:rsid w:val="007A4B94"/>
    <w:rsid w:val="007A5A97"/>
    <w:rsid w:val="007B34A1"/>
    <w:rsid w:val="007B47AC"/>
    <w:rsid w:val="007B4EA1"/>
    <w:rsid w:val="007B7820"/>
    <w:rsid w:val="007C18C4"/>
    <w:rsid w:val="007C41E3"/>
    <w:rsid w:val="007C7204"/>
    <w:rsid w:val="007C7E13"/>
    <w:rsid w:val="007D1ABE"/>
    <w:rsid w:val="007D1CC7"/>
    <w:rsid w:val="007D29FC"/>
    <w:rsid w:val="007D3A42"/>
    <w:rsid w:val="007D44DB"/>
    <w:rsid w:val="007D4BAA"/>
    <w:rsid w:val="007D4C62"/>
    <w:rsid w:val="007D4CA2"/>
    <w:rsid w:val="007D5EBE"/>
    <w:rsid w:val="007D5EDB"/>
    <w:rsid w:val="007D75AE"/>
    <w:rsid w:val="007E0239"/>
    <w:rsid w:val="007E4760"/>
    <w:rsid w:val="007E4BEF"/>
    <w:rsid w:val="007E4D48"/>
    <w:rsid w:val="007E63F7"/>
    <w:rsid w:val="007E7162"/>
    <w:rsid w:val="007E71D0"/>
    <w:rsid w:val="007E7FE4"/>
    <w:rsid w:val="007F2771"/>
    <w:rsid w:val="007F3135"/>
    <w:rsid w:val="007F6F67"/>
    <w:rsid w:val="008039B5"/>
    <w:rsid w:val="00806CA8"/>
    <w:rsid w:val="008073F3"/>
    <w:rsid w:val="00813139"/>
    <w:rsid w:val="00820885"/>
    <w:rsid w:val="00821CEF"/>
    <w:rsid w:val="00823195"/>
    <w:rsid w:val="008235F9"/>
    <w:rsid w:val="00824EB3"/>
    <w:rsid w:val="00826C46"/>
    <w:rsid w:val="00827049"/>
    <w:rsid w:val="0082730C"/>
    <w:rsid w:val="00827676"/>
    <w:rsid w:val="00830FFB"/>
    <w:rsid w:val="0083387D"/>
    <w:rsid w:val="00835671"/>
    <w:rsid w:val="00837615"/>
    <w:rsid w:val="00845F08"/>
    <w:rsid w:val="008463B6"/>
    <w:rsid w:val="00852C91"/>
    <w:rsid w:val="0085516D"/>
    <w:rsid w:val="008574E6"/>
    <w:rsid w:val="00862DF4"/>
    <w:rsid w:val="008643BF"/>
    <w:rsid w:val="00866148"/>
    <w:rsid w:val="00866A7D"/>
    <w:rsid w:val="00872AE0"/>
    <w:rsid w:val="00874B5C"/>
    <w:rsid w:val="00876ADD"/>
    <w:rsid w:val="0088080B"/>
    <w:rsid w:val="00882501"/>
    <w:rsid w:val="00882957"/>
    <w:rsid w:val="00882E4B"/>
    <w:rsid w:val="00884360"/>
    <w:rsid w:val="0088632B"/>
    <w:rsid w:val="00886F42"/>
    <w:rsid w:val="0089039F"/>
    <w:rsid w:val="0089046D"/>
    <w:rsid w:val="00891FA2"/>
    <w:rsid w:val="008930D7"/>
    <w:rsid w:val="00894D4D"/>
    <w:rsid w:val="00894D8B"/>
    <w:rsid w:val="0089532D"/>
    <w:rsid w:val="00897EE4"/>
    <w:rsid w:val="008A2C16"/>
    <w:rsid w:val="008A67EC"/>
    <w:rsid w:val="008B18EE"/>
    <w:rsid w:val="008B5183"/>
    <w:rsid w:val="008B63D9"/>
    <w:rsid w:val="008C0514"/>
    <w:rsid w:val="008C05DD"/>
    <w:rsid w:val="008C403A"/>
    <w:rsid w:val="008C7B72"/>
    <w:rsid w:val="008D1F2B"/>
    <w:rsid w:val="008D2424"/>
    <w:rsid w:val="008D550A"/>
    <w:rsid w:val="008D5A6B"/>
    <w:rsid w:val="008D69AE"/>
    <w:rsid w:val="008E4507"/>
    <w:rsid w:val="008E5B9E"/>
    <w:rsid w:val="008F2E59"/>
    <w:rsid w:val="008F2F05"/>
    <w:rsid w:val="008F3009"/>
    <w:rsid w:val="008F3E81"/>
    <w:rsid w:val="008F45BE"/>
    <w:rsid w:val="00900D22"/>
    <w:rsid w:val="0090155B"/>
    <w:rsid w:val="009035FF"/>
    <w:rsid w:val="0090397B"/>
    <w:rsid w:val="009057E7"/>
    <w:rsid w:val="009068DB"/>
    <w:rsid w:val="0090777E"/>
    <w:rsid w:val="009120CB"/>
    <w:rsid w:val="009134C5"/>
    <w:rsid w:val="009152B1"/>
    <w:rsid w:val="009155A4"/>
    <w:rsid w:val="00915F21"/>
    <w:rsid w:val="00923E63"/>
    <w:rsid w:val="009240F2"/>
    <w:rsid w:val="00925312"/>
    <w:rsid w:val="0093429C"/>
    <w:rsid w:val="009369AF"/>
    <w:rsid w:val="00936AE5"/>
    <w:rsid w:val="00942166"/>
    <w:rsid w:val="00942C77"/>
    <w:rsid w:val="009447D3"/>
    <w:rsid w:val="00944DC9"/>
    <w:rsid w:val="00946D81"/>
    <w:rsid w:val="00951A75"/>
    <w:rsid w:val="00953063"/>
    <w:rsid w:val="009561CE"/>
    <w:rsid w:val="00957E94"/>
    <w:rsid w:val="009621E3"/>
    <w:rsid w:val="00963070"/>
    <w:rsid w:val="00964209"/>
    <w:rsid w:val="0096495A"/>
    <w:rsid w:val="009651F1"/>
    <w:rsid w:val="00965F01"/>
    <w:rsid w:val="00966843"/>
    <w:rsid w:val="009676CA"/>
    <w:rsid w:val="00967B2E"/>
    <w:rsid w:val="00971906"/>
    <w:rsid w:val="00972D16"/>
    <w:rsid w:val="00972FB3"/>
    <w:rsid w:val="00974324"/>
    <w:rsid w:val="00975915"/>
    <w:rsid w:val="00981525"/>
    <w:rsid w:val="00984185"/>
    <w:rsid w:val="009854C2"/>
    <w:rsid w:val="00990144"/>
    <w:rsid w:val="009914EC"/>
    <w:rsid w:val="00993694"/>
    <w:rsid w:val="00994486"/>
    <w:rsid w:val="0099538B"/>
    <w:rsid w:val="009A0003"/>
    <w:rsid w:val="009A62B9"/>
    <w:rsid w:val="009B345A"/>
    <w:rsid w:val="009B3A43"/>
    <w:rsid w:val="009B456A"/>
    <w:rsid w:val="009B6DAC"/>
    <w:rsid w:val="009C0422"/>
    <w:rsid w:val="009C06F1"/>
    <w:rsid w:val="009C0CF4"/>
    <w:rsid w:val="009C2126"/>
    <w:rsid w:val="009C42E0"/>
    <w:rsid w:val="009D2001"/>
    <w:rsid w:val="009D2D22"/>
    <w:rsid w:val="009D4CEA"/>
    <w:rsid w:val="009D53FD"/>
    <w:rsid w:val="009E11B3"/>
    <w:rsid w:val="009E1CCF"/>
    <w:rsid w:val="009E2708"/>
    <w:rsid w:val="009E415A"/>
    <w:rsid w:val="009E5997"/>
    <w:rsid w:val="009E794D"/>
    <w:rsid w:val="009F0F28"/>
    <w:rsid w:val="009F3880"/>
    <w:rsid w:val="009F5BAE"/>
    <w:rsid w:val="009F73B5"/>
    <w:rsid w:val="00A0154E"/>
    <w:rsid w:val="00A01783"/>
    <w:rsid w:val="00A04050"/>
    <w:rsid w:val="00A0675B"/>
    <w:rsid w:val="00A12298"/>
    <w:rsid w:val="00A13B7E"/>
    <w:rsid w:val="00A16F61"/>
    <w:rsid w:val="00A16F8F"/>
    <w:rsid w:val="00A23765"/>
    <w:rsid w:val="00A24474"/>
    <w:rsid w:val="00A2736F"/>
    <w:rsid w:val="00A27AAD"/>
    <w:rsid w:val="00A35656"/>
    <w:rsid w:val="00A4391F"/>
    <w:rsid w:val="00A44AA7"/>
    <w:rsid w:val="00A453C4"/>
    <w:rsid w:val="00A50AA6"/>
    <w:rsid w:val="00A51023"/>
    <w:rsid w:val="00A52781"/>
    <w:rsid w:val="00A60805"/>
    <w:rsid w:val="00A60C29"/>
    <w:rsid w:val="00A60D60"/>
    <w:rsid w:val="00A61875"/>
    <w:rsid w:val="00A62FE1"/>
    <w:rsid w:val="00A63136"/>
    <w:rsid w:val="00A63741"/>
    <w:rsid w:val="00A645EC"/>
    <w:rsid w:val="00A64D42"/>
    <w:rsid w:val="00A65098"/>
    <w:rsid w:val="00A659B8"/>
    <w:rsid w:val="00A75A53"/>
    <w:rsid w:val="00A76421"/>
    <w:rsid w:val="00A83125"/>
    <w:rsid w:val="00A8399D"/>
    <w:rsid w:val="00A85317"/>
    <w:rsid w:val="00A87D90"/>
    <w:rsid w:val="00A90DC1"/>
    <w:rsid w:val="00A92545"/>
    <w:rsid w:val="00A92AE4"/>
    <w:rsid w:val="00A9407D"/>
    <w:rsid w:val="00A94492"/>
    <w:rsid w:val="00A97B97"/>
    <w:rsid w:val="00AA019F"/>
    <w:rsid w:val="00AA0B17"/>
    <w:rsid w:val="00AA22C1"/>
    <w:rsid w:val="00AA2BFE"/>
    <w:rsid w:val="00AB14FF"/>
    <w:rsid w:val="00AB17ED"/>
    <w:rsid w:val="00AB197A"/>
    <w:rsid w:val="00AB1D99"/>
    <w:rsid w:val="00AC1E90"/>
    <w:rsid w:val="00AC4E90"/>
    <w:rsid w:val="00AC69D8"/>
    <w:rsid w:val="00AD15B1"/>
    <w:rsid w:val="00AD6118"/>
    <w:rsid w:val="00AD6C2F"/>
    <w:rsid w:val="00AD7F9C"/>
    <w:rsid w:val="00AE2E18"/>
    <w:rsid w:val="00AE3F55"/>
    <w:rsid w:val="00AE6E98"/>
    <w:rsid w:val="00AF5D92"/>
    <w:rsid w:val="00AF5F06"/>
    <w:rsid w:val="00AF67A2"/>
    <w:rsid w:val="00AF6EE7"/>
    <w:rsid w:val="00B02050"/>
    <w:rsid w:val="00B02C1C"/>
    <w:rsid w:val="00B03763"/>
    <w:rsid w:val="00B0776F"/>
    <w:rsid w:val="00B118CE"/>
    <w:rsid w:val="00B145FB"/>
    <w:rsid w:val="00B15E3F"/>
    <w:rsid w:val="00B2454B"/>
    <w:rsid w:val="00B25C33"/>
    <w:rsid w:val="00B268B4"/>
    <w:rsid w:val="00B2752E"/>
    <w:rsid w:val="00B2754A"/>
    <w:rsid w:val="00B31DCD"/>
    <w:rsid w:val="00B31E6A"/>
    <w:rsid w:val="00B33F0C"/>
    <w:rsid w:val="00B33F8B"/>
    <w:rsid w:val="00B4294F"/>
    <w:rsid w:val="00B4795E"/>
    <w:rsid w:val="00B50219"/>
    <w:rsid w:val="00B512AA"/>
    <w:rsid w:val="00B52266"/>
    <w:rsid w:val="00B54700"/>
    <w:rsid w:val="00B547F8"/>
    <w:rsid w:val="00B55198"/>
    <w:rsid w:val="00B5752C"/>
    <w:rsid w:val="00B577C6"/>
    <w:rsid w:val="00B60A34"/>
    <w:rsid w:val="00B638A3"/>
    <w:rsid w:val="00B641AB"/>
    <w:rsid w:val="00B64842"/>
    <w:rsid w:val="00B65714"/>
    <w:rsid w:val="00B70C18"/>
    <w:rsid w:val="00B70DA0"/>
    <w:rsid w:val="00B80A41"/>
    <w:rsid w:val="00B8492E"/>
    <w:rsid w:val="00B86F46"/>
    <w:rsid w:val="00B90E5B"/>
    <w:rsid w:val="00B91838"/>
    <w:rsid w:val="00B91D30"/>
    <w:rsid w:val="00B93588"/>
    <w:rsid w:val="00B93A89"/>
    <w:rsid w:val="00B96573"/>
    <w:rsid w:val="00BA0C01"/>
    <w:rsid w:val="00BA28A4"/>
    <w:rsid w:val="00BA2DBC"/>
    <w:rsid w:val="00BA3097"/>
    <w:rsid w:val="00BA3709"/>
    <w:rsid w:val="00BB2FFA"/>
    <w:rsid w:val="00BC04C2"/>
    <w:rsid w:val="00BC2276"/>
    <w:rsid w:val="00BC240B"/>
    <w:rsid w:val="00BC3029"/>
    <w:rsid w:val="00BC3B0F"/>
    <w:rsid w:val="00BC7DC5"/>
    <w:rsid w:val="00BD0348"/>
    <w:rsid w:val="00BD09C7"/>
    <w:rsid w:val="00BD28CB"/>
    <w:rsid w:val="00BD4411"/>
    <w:rsid w:val="00BD5F03"/>
    <w:rsid w:val="00BD64AC"/>
    <w:rsid w:val="00BD7EE6"/>
    <w:rsid w:val="00BE13A9"/>
    <w:rsid w:val="00BE3815"/>
    <w:rsid w:val="00BE3874"/>
    <w:rsid w:val="00BE3CBA"/>
    <w:rsid w:val="00BE5B77"/>
    <w:rsid w:val="00BF142E"/>
    <w:rsid w:val="00BF3AA7"/>
    <w:rsid w:val="00BF5477"/>
    <w:rsid w:val="00C03DCB"/>
    <w:rsid w:val="00C0648A"/>
    <w:rsid w:val="00C078D8"/>
    <w:rsid w:val="00C114C4"/>
    <w:rsid w:val="00C122B2"/>
    <w:rsid w:val="00C1403A"/>
    <w:rsid w:val="00C22404"/>
    <w:rsid w:val="00C22556"/>
    <w:rsid w:val="00C2264C"/>
    <w:rsid w:val="00C26051"/>
    <w:rsid w:val="00C30410"/>
    <w:rsid w:val="00C30A86"/>
    <w:rsid w:val="00C32265"/>
    <w:rsid w:val="00C35A13"/>
    <w:rsid w:val="00C40274"/>
    <w:rsid w:val="00C40A25"/>
    <w:rsid w:val="00C43C13"/>
    <w:rsid w:val="00C442FD"/>
    <w:rsid w:val="00C47A15"/>
    <w:rsid w:val="00C507D9"/>
    <w:rsid w:val="00C509F5"/>
    <w:rsid w:val="00C520E5"/>
    <w:rsid w:val="00C5216A"/>
    <w:rsid w:val="00C54F9D"/>
    <w:rsid w:val="00C60BA2"/>
    <w:rsid w:val="00C61289"/>
    <w:rsid w:val="00C63713"/>
    <w:rsid w:val="00C637E6"/>
    <w:rsid w:val="00C678F9"/>
    <w:rsid w:val="00C717DC"/>
    <w:rsid w:val="00C72D00"/>
    <w:rsid w:val="00C7402F"/>
    <w:rsid w:val="00C76467"/>
    <w:rsid w:val="00C77165"/>
    <w:rsid w:val="00C7767E"/>
    <w:rsid w:val="00C83B97"/>
    <w:rsid w:val="00C844E6"/>
    <w:rsid w:val="00C85B41"/>
    <w:rsid w:val="00C91DBF"/>
    <w:rsid w:val="00C95E1A"/>
    <w:rsid w:val="00C95E29"/>
    <w:rsid w:val="00CA0143"/>
    <w:rsid w:val="00CA1FEE"/>
    <w:rsid w:val="00CA5F0C"/>
    <w:rsid w:val="00CB0333"/>
    <w:rsid w:val="00CB05C8"/>
    <w:rsid w:val="00CB21F8"/>
    <w:rsid w:val="00CB4AAE"/>
    <w:rsid w:val="00CB7F29"/>
    <w:rsid w:val="00CC249B"/>
    <w:rsid w:val="00CC26B3"/>
    <w:rsid w:val="00CD0B90"/>
    <w:rsid w:val="00CD162C"/>
    <w:rsid w:val="00CD290F"/>
    <w:rsid w:val="00CD4910"/>
    <w:rsid w:val="00CD4AF2"/>
    <w:rsid w:val="00CD5524"/>
    <w:rsid w:val="00CD7280"/>
    <w:rsid w:val="00CE192A"/>
    <w:rsid w:val="00CE1A35"/>
    <w:rsid w:val="00CE5BFD"/>
    <w:rsid w:val="00CE5F15"/>
    <w:rsid w:val="00CE6D88"/>
    <w:rsid w:val="00CE72D9"/>
    <w:rsid w:val="00CE7F70"/>
    <w:rsid w:val="00CF20A3"/>
    <w:rsid w:val="00CF2BBC"/>
    <w:rsid w:val="00CF3582"/>
    <w:rsid w:val="00CF4002"/>
    <w:rsid w:val="00D000A0"/>
    <w:rsid w:val="00D009DB"/>
    <w:rsid w:val="00D03201"/>
    <w:rsid w:val="00D050F6"/>
    <w:rsid w:val="00D1122C"/>
    <w:rsid w:val="00D1406C"/>
    <w:rsid w:val="00D144B6"/>
    <w:rsid w:val="00D14E06"/>
    <w:rsid w:val="00D150C1"/>
    <w:rsid w:val="00D15732"/>
    <w:rsid w:val="00D17ED6"/>
    <w:rsid w:val="00D23AC5"/>
    <w:rsid w:val="00D26207"/>
    <w:rsid w:val="00D322BA"/>
    <w:rsid w:val="00D3445F"/>
    <w:rsid w:val="00D3503B"/>
    <w:rsid w:val="00D42DBE"/>
    <w:rsid w:val="00D43946"/>
    <w:rsid w:val="00D464EF"/>
    <w:rsid w:val="00D506D8"/>
    <w:rsid w:val="00D53E1C"/>
    <w:rsid w:val="00D56849"/>
    <w:rsid w:val="00D57D66"/>
    <w:rsid w:val="00D57FEB"/>
    <w:rsid w:val="00D6238E"/>
    <w:rsid w:val="00D62707"/>
    <w:rsid w:val="00D6374D"/>
    <w:rsid w:val="00D664A8"/>
    <w:rsid w:val="00D70121"/>
    <w:rsid w:val="00D7090F"/>
    <w:rsid w:val="00D75134"/>
    <w:rsid w:val="00D7533B"/>
    <w:rsid w:val="00D756D0"/>
    <w:rsid w:val="00D7591E"/>
    <w:rsid w:val="00D85B90"/>
    <w:rsid w:val="00D8614E"/>
    <w:rsid w:val="00D871EF"/>
    <w:rsid w:val="00D94162"/>
    <w:rsid w:val="00DA1774"/>
    <w:rsid w:val="00DA29A3"/>
    <w:rsid w:val="00DA2A01"/>
    <w:rsid w:val="00DA59DF"/>
    <w:rsid w:val="00DA67B8"/>
    <w:rsid w:val="00DA6C46"/>
    <w:rsid w:val="00DB1F14"/>
    <w:rsid w:val="00DC0431"/>
    <w:rsid w:val="00DC27F4"/>
    <w:rsid w:val="00DC33D6"/>
    <w:rsid w:val="00DC6770"/>
    <w:rsid w:val="00DD2564"/>
    <w:rsid w:val="00DD2F6B"/>
    <w:rsid w:val="00DD3182"/>
    <w:rsid w:val="00DD5A74"/>
    <w:rsid w:val="00DD727E"/>
    <w:rsid w:val="00DE0A34"/>
    <w:rsid w:val="00DE42B5"/>
    <w:rsid w:val="00DE6C68"/>
    <w:rsid w:val="00DE7856"/>
    <w:rsid w:val="00DF0993"/>
    <w:rsid w:val="00DF0B40"/>
    <w:rsid w:val="00DF1502"/>
    <w:rsid w:val="00DF375F"/>
    <w:rsid w:val="00DF4C28"/>
    <w:rsid w:val="00DF5EF2"/>
    <w:rsid w:val="00DF60FB"/>
    <w:rsid w:val="00DF6C13"/>
    <w:rsid w:val="00DF6D40"/>
    <w:rsid w:val="00E01A73"/>
    <w:rsid w:val="00E03395"/>
    <w:rsid w:val="00E03F05"/>
    <w:rsid w:val="00E0446C"/>
    <w:rsid w:val="00E0454F"/>
    <w:rsid w:val="00E053B1"/>
    <w:rsid w:val="00E067C4"/>
    <w:rsid w:val="00E13AB3"/>
    <w:rsid w:val="00E14A0B"/>
    <w:rsid w:val="00E16DE8"/>
    <w:rsid w:val="00E24CC5"/>
    <w:rsid w:val="00E275EF"/>
    <w:rsid w:val="00E311BE"/>
    <w:rsid w:val="00E35470"/>
    <w:rsid w:val="00E35A59"/>
    <w:rsid w:val="00E4016E"/>
    <w:rsid w:val="00E40BB5"/>
    <w:rsid w:val="00E414CB"/>
    <w:rsid w:val="00E41688"/>
    <w:rsid w:val="00E4374C"/>
    <w:rsid w:val="00E5292C"/>
    <w:rsid w:val="00E5366C"/>
    <w:rsid w:val="00E57A29"/>
    <w:rsid w:val="00E57E13"/>
    <w:rsid w:val="00E62317"/>
    <w:rsid w:val="00E62474"/>
    <w:rsid w:val="00E659A6"/>
    <w:rsid w:val="00E70F10"/>
    <w:rsid w:val="00E72296"/>
    <w:rsid w:val="00E729CA"/>
    <w:rsid w:val="00E73873"/>
    <w:rsid w:val="00E73F12"/>
    <w:rsid w:val="00E74A84"/>
    <w:rsid w:val="00E758E9"/>
    <w:rsid w:val="00E771DC"/>
    <w:rsid w:val="00E847DF"/>
    <w:rsid w:val="00E9087F"/>
    <w:rsid w:val="00E91EF3"/>
    <w:rsid w:val="00E953FE"/>
    <w:rsid w:val="00E95909"/>
    <w:rsid w:val="00E96C70"/>
    <w:rsid w:val="00EA06CD"/>
    <w:rsid w:val="00EA3BDB"/>
    <w:rsid w:val="00EA3CCC"/>
    <w:rsid w:val="00EA3E3A"/>
    <w:rsid w:val="00EB020C"/>
    <w:rsid w:val="00EB0A7A"/>
    <w:rsid w:val="00EB11A3"/>
    <w:rsid w:val="00EB3FD8"/>
    <w:rsid w:val="00EB46C4"/>
    <w:rsid w:val="00EB470A"/>
    <w:rsid w:val="00EB5F4D"/>
    <w:rsid w:val="00EC1A41"/>
    <w:rsid w:val="00EC520F"/>
    <w:rsid w:val="00EC7F6E"/>
    <w:rsid w:val="00ED0593"/>
    <w:rsid w:val="00ED1B69"/>
    <w:rsid w:val="00ED328D"/>
    <w:rsid w:val="00EE428C"/>
    <w:rsid w:val="00EE4426"/>
    <w:rsid w:val="00EE44F7"/>
    <w:rsid w:val="00EE4E18"/>
    <w:rsid w:val="00EE5163"/>
    <w:rsid w:val="00EF11DD"/>
    <w:rsid w:val="00EF1623"/>
    <w:rsid w:val="00EF3656"/>
    <w:rsid w:val="00EF392D"/>
    <w:rsid w:val="00EF3A2A"/>
    <w:rsid w:val="00F01EA0"/>
    <w:rsid w:val="00F03100"/>
    <w:rsid w:val="00F056F9"/>
    <w:rsid w:val="00F07D3B"/>
    <w:rsid w:val="00F115CC"/>
    <w:rsid w:val="00F133FE"/>
    <w:rsid w:val="00F20827"/>
    <w:rsid w:val="00F2128B"/>
    <w:rsid w:val="00F225BC"/>
    <w:rsid w:val="00F2307D"/>
    <w:rsid w:val="00F23337"/>
    <w:rsid w:val="00F235EB"/>
    <w:rsid w:val="00F2589C"/>
    <w:rsid w:val="00F25C2B"/>
    <w:rsid w:val="00F318AF"/>
    <w:rsid w:val="00F35ABF"/>
    <w:rsid w:val="00F360B9"/>
    <w:rsid w:val="00F41060"/>
    <w:rsid w:val="00F514A3"/>
    <w:rsid w:val="00F539E2"/>
    <w:rsid w:val="00F53FCE"/>
    <w:rsid w:val="00F544AB"/>
    <w:rsid w:val="00F5485B"/>
    <w:rsid w:val="00F61AAE"/>
    <w:rsid w:val="00F6312D"/>
    <w:rsid w:val="00F64DE0"/>
    <w:rsid w:val="00F72D1D"/>
    <w:rsid w:val="00F77C8F"/>
    <w:rsid w:val="00F80024"/>
    <w:rsid w:val="00F801D9"/>
    <w:rsid w:val="00F81712"/>
    <w:rsid w:val="00F83533"/>
    <w:rsid w:val="00F847F5"/>
    <w:rsid w:val="00F93127"/>
    <w:rsid w:val="00F952EE"/>
    <w:rsid w:val="00F967FC"/>
    <w:rsid w:val="00FA42FF"/>
    <w:rsid w:val="00FA4CC6"/>
    <w:rsid w:val="00FB4DFD"/>
    <w:rsid w:val="00FC2428"/>
    <w:rsid w:val="00FC2E83"/>
    <w:rsid w:val="00FC5054"/>
    <w:rsid w:val="00FC560D"/>
    <w:rsid w:val="00FC578D"/>
    <w:rsid w:val="00FC5C7E"/>
    <w:rsid w:val="00FC6808"/>
    <w:rsid w:val="00FC6DFF"/>
    <w:rsid w:val="00FD214D"/>
    <w:rsid w:val="00FD5D36"/>
    <w:rsid w:val="00FE2064"/>
    <w:rsid w:val="00FE2228"/>
    <w:rsid w:val="00FE38C6"/>
    <w:rsid w:val="00FE6C65"/>
    <w:rsid w:val="00FE70C9"/>
    <w:rsid w:val="00FE747A"/>
    <w:rsid w:val="00FF1BFB"/>
    <w:rsid w:val="00FF2191"/>
    <w:rsid w:val="00FF34DF"/>
    <w:rsid w:val="00FF4233"/>
    <w:rsid w:val="00FF5317"/>
    <w:rsid w:val="057F9E91"/>
    <w:rsid w:val="063D76EA"/>
    <w:rsid w:val="06A74CC9"/>
    <w:rsid w:val="06E58521"/>
    <w:rsid w:val="0B3794CD"/>
    <w:rsid w:val="0C40F583"/>
    <w:rsid w:val="0DDCC5E4"/>
    <w:rsid w:val="0F789645"/>
    <w:rsid w:val="1D31B3E3"/>
    <w:rsid w:val="1DBDCCD0"/>
    <w:rsid w:val="1E004D7F"/>
    <w:rsid w:val="344DEBC8"/>
    <w:rsid w:val="39CC2879"/>
    <w:rsid w:val="426B48E6"/>
    <w:rsid w:val="4607CD79"/>
    <w:rsid w:val="56E0F57E"/>
    <w:rsid w:val="59FD362D"/>
    <w:rsid w:val="67FB328A"/>
    <w:rsid w:val="699E42F7"/>
    <w:rsid w:val="6E71B41A"/>
    <w:rsid w:val="75B3A2AE"/>
    <w:rsid w:val="77ED5D99"/>
  </w:rsids>
  <w:docVars>
    <w:docVar w:name="__Grammarly_42___1" w:val="H4sIAAAAAAAEAKtWcslP9kxRslIyNDY2MjAxNjYxszA1szS0NDBS0lEKTi0uzszPAykwqgUANZ3zR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A399060"/>
  <w15:chartTrackingRefBased/>
  <w15:docId w15:val="{60ECD9CE-1EA1-4068-AD33-92BFFD3A3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5B9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66A7D"/>
  </w:style>
  <w:style w:type="paragraph" w:customStyle="1" w:styleId="Level1">
    <w:name w:val="Level 1"/>
    <w:basedOn w:val="Normal"/>
    <w:rsid w:val="00866A7D"/>
    <w:pPr>
      <w:ind w:left="990" w:hanging="270"/>
    </w:pPr>
  </w:style>
  <w:style w:type="paragraph" w:customStyle="1" w:styleId="Level2">
    <w:name w:val="Level 2"/>
    <w:basedOn w:val="Normal"/>
    <w:rsid w:val="00866A7D"/>
    <w:pPr>
      <w:ind w:left="990" w:hanging="270"/>
    </w:pPr>
  </w:style>
  <w:style w:type="paragraph" w:styleId="FootnoteText">
    <w:name w:val="footnote text"/>
    <w:basedOn w:val="Normal"/>
    <w:link w:val="FootnoteTextChar"/>
    <w:semiHidden/>
    <w:rsid w:val="00866A7D"/>
    <w:rPr>
      <w:sz w:val="20"/>
      <w:szCs w:val="20"/>
    </w:rPr>
  </w:style>
  <w:style w:type="character" w:styleId="PageNumber">
    <w:name w:val="page number"/>
    <w:basedOn w:val="DefaultParagraphFont"/>
    <w:rsid w:val="00866A7D"/>
  </w:style>
  <w:style w:type="paragraph" w:styleId="NormalWeb">
    <w:name w:val="Normal (Web)"/>
    <w:basedOn w:val="Normal"/>
    <w:rsid w:val="00290F60"/>
    <w:pPr>
      <w:widowControl/>
      <w:autoSpaceDE/>
      <w:autoSpaceDN/>
      <w:adjustRightInd/>
    </w:pPr>
  </w:style>
  <w:style w:type="character" w:customStyle="1" w:styleId="bodytext">
    <w:name w:val="bodytext"/>
    <w:basedOn w:val="DefaultParagraphFont"/>
    <w:rsid w:val="00290F60"/>
  </w:style>
  <w:style w:type="paragraph" w:styleId="Footer">
    <w:name w:val="footer"/>
    <w:basedOn w:val="Normal"/>
    <w:rsid w:val="00AA2BFE"/>
    <w:pPr>
      <w:tabs>
        <w:tab w:val="center" w:pos="4320"/>
        <w:tab w:val="right" w:pos="8640"/>
      </w:tabs>
    </w:pPr>
  </w:style>
  <w:style w:type="paragraph" w:customStyle="1" w:styleId="block1">
    <w:name w:val="block1"/>
    <w:basedOn w:val="Normal"/>
    <w:rsid w:val="00C520E5"/>
    <w:pPr>
      <w:widowControl/>
      <w:autoSpaceDE/>
      <w:autoSpaceDN/>
      <w:adjustRightInd/>
      <w:spacing w:before="100" w:beforeAutospacing="1" w:after="100" w:afterAutospacing="1"/>
    </w:pPr>
  </w:style>
  <w:style w:type="table" w:styleId="TableGrid">
    <w:name w:val="Table Grid"/>
    <w:basedOn w:val="TableNormal"/>
    <w:rsid w:val="00A0178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7C18C4"/>
    <w:pPr>
      <w:widowControl/>
      <w:autoSpaceDE/>
      <w:autoSpaceDN/>
      <w:adjustRightInd/>
      <w:spacing w:before="100" w:beforeAutospacing="1" w:after="100" w:afterAutospacing="1"/>
    </w:pPr>
  </w:style>
  <w:style w:type="paragraph" w:styleId="Header">
    <w:name w:val="header"/>
    <w:basedOn w:val="Normal"/>
    <w:link w:val="HeaderChar"/>
    <w:uiPriority w:val="99"/>
    <w:rsid w:val="0041091A"/>
    <w:pPr>
      <w:tabs>
        <w:tab w:val="center" w:pos="4320"/>
        <w:tab w:val="right" w:pos="8640"/>
      </w:tabs>
    </w:pPr>
  </w:style>
  <w:style w:type="paragraph" w:styleId="BalloonText">
    <w:name w:val="Balloon Text"/>
    <w:basedOn w:val="Normal"/>
    <w:semiHidden/>
    <w:rsid w:val="00B03763"/>
    <w:rPr>
      <w:rFonts w:ascii="Tahoma" w:hAnsi="Tahoma" w:cs="Tahoma"/>
      <w:sz w:val="16"/>
      <w:szCs w:val="16"/>
    </w:rPr>
  </w:style>
  <w:style w:type="character" w:styleId="CommentReference">
    <w:name w:val="annotation reference"/>
    <w:rsid w:val="00A659B8"/>
    <w:rPr>
      <w:sz w:val="16"/>
      <w:szCs w:val="16"/>
    </w:rPr>
  </w:style>
  <w:style w:type="paragraph" w:styleId="CommentText">
    <w:name w:val="annotation text"/>
    <w:basedOn w:val="Normal"/>
    <w:link w:val="CommentTextChar"/>
    <w:rsid w:val="00A659B8"/>
    <w:rPr>
      <w:sz w:val="20"/>
      <w:szCs w:val="20"/>
    </w:rPr>
  </w:style>
  <w:style w:type="paragraph" w:styleId="CommentSubject">
    <w:name w:val="annotation subject"/>
    <w:basedOn w:val="CommentText"/>
    <w:next w:val="CommentText"/>
    <w:semiHidden/>
    <w:rsid w:val="00A659B8"/>
    <w:rPr>
      <w:b/>
      <w:bCs/>
    </w:rPr>
  </w:style>
  <w:style w:type="character" w:customStyle="1" w:styleId="CommentTextChar">
    <w:name w:val="Comment Text Char"/>
    <w:link w:val="CommentText"/>
    <w:rsid w:val="001054BB"/>
  </w:style>
  <w:style w:type="character" w:customStyle="1" w:styleId="HeaderChar">
    <w:name w:val="Header Char"/>
    <w:link w:val="Header"/>
    <w:uiPriority w:val="99"/>
    <w:rsid w:val="00CE192A"/>
    <w:rPr>
      <w:sz w:val="24"/>
      <w:szCs w:val="24"/>
    </w:rPr>
  </w:style>
  <w:style w:type="paragraph" w:styleId="Revision">
    <w:name w:val="Revision"/>
    <w:hidden/>
    <w:uiPriority w:val="99"/>
    <w:semiHidden/>
    <w:rsid w:val="00CB7F29"/>
    <w:rPr>
      <w:sz w:val="24"/>
      <w:szCs w:val="24"/>
    </w:rPr>
  </w:style>
  <w:style w:type="paragraph" w:styleId="HTMLPreformatted">
    <w:name w:val="HTML Preformatted"/>
    <w:basedOn w:val="Normal"/>
    <w:link w:val="HTMLPreformattedChar"/>
    <w:rsid w:val="001F37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rsid w:val="001F37CA"/>
    <w:rPr>
      <w:rFonts w:ascii="Courier New" w:hAnsi="Courier New" w:cs="Courier New"/>
    </w:rPr>
  </w:style>
  <w:style w:type="paragraph" w:styleId="ListParagraph">
    <w:name w:val="List Paragraph"/>
    <w:basedOn w:val="Normal"/>
    <w:uiPriority w:val="34"/>
    <w:qFormat/>
    <w:rsid w:val="00256262"/>
    <w:pPr>
      <w:ind w:left="720"/>
    </w:pPr>
  </w:style>
  <w:style w:type="character" w:styleId="Hyperlink">
    <w:name w:val="Hyperlink"/>
    <w:rsid w:val="000D1BB4"/>
    <w:rPr>
      <w:color w:val="0000FF"/>
      <w:u w:val="single"/>
    </w:rPr>
  </w:style>
  <w:style w:type="paragraph" w:styleId="EndnoteText">
    <w:name w:val="endnote text"/>
    <w:basedOn w:val="Normal"/>
    <w:link w:val="EndnoteTextChar"/>
    <w:rsid w:val="002E08EB"/>
    <w:rPr>
      <w:sz w:val="20"/>
      <w:szCs w:val="20"/>
    </w:rPr>
  </w:style>
  <w:style w:type="character" w:customStyle="1" w:styleId="EndnoteTextChar">
    <w:name w:val="Endnote Text Char"/>
    <w:basedOn w:val="DefaultParagraphFont"/>
    <w:link w:val="EndnoteText"/>
    <w:rsid w:val="002E08EB"/>
  </w:style>
  <w:style w:type="character" w:styleId="EndnoteReference">
    <w:name w:val="endnote reference"/>
    <w:rsid w:val="002E08EB"/>
    <w:rPr>
      <w:vertAlign w:val="superscript"/>
    </w:rPr>
  </w:style>
  <w:style w:type="paragraph" w:customStyle="1" w:styleId="Default0">
    <w:name w:val="Default"/>
    <w:rsid w:val="005F588F"/>
    <w:pPr>
      <w:autoSpaceDE w:val="0"/>
      <w:autoSpaceDN w:val="0"/>
      <w:adjustRightInd w:val="0"/>
    </w:pPr>
    <w:rPr>
      <w:rFonts w:eastAsia="Calibri"/>
      <w:color w:val="000000"/>
      <w:sz w:val="24"/>
      <w:szCs w:val="24"/>
    </w:rPr>
  </w:style>
  <w:style w:type="character" w:styleId="FollowedHyperlink">
    <w:name w:val="FollowedHyperlink"/>
    <w:rsid w:val="006001B3"/>
    <w:rPr>
      <w:color w:val="954F72"/>
      <w:u w:val="single"/>
    </w:rPr>
  </w:style>
  <w:style w:type="paragraph" w:styleId="BodyTextIndent">
    <w:name w:val="Body Text Indent"/>
    <w:basedOn w:val="Normal"/>
    <w:link w:val="BodyTextIndentChar"/>
    <w:rsid w:val="004F2E0A"/>
    <w:pPr>
      <w:ind w:firstLine="360"/>
      <w:jc w:val="both"/>
    </w:pPr>
  </w:style>
  <w:style w:type="character" w:customStyle="1" w:styleId="BodyTextIndentChar">
    <w:name w:val="Body Text Indent Char"/>
    <w:link w:val="BodyTextIndent"/>
    <w:rsid w:val="004F2E0A"/>
    <w:rPr>
      <w:sz w:val="24"/>
      <w:szCs w:val="24"/>
    </w:rPr>
  </w:style>
  <w:style w:type="character" w:customStyle="1" w:styleId="FootnoteTextChar">
    <w:name w:val="Footnote Text Char"/>
    <w:link w:val="FootnoteText"/>
    <w:semiHidden/>
    <w:rsid w:val="004F64E4"/>
  </w:style>
  <w:style w:type="paragraph" w:customStyle="1" w:styleId="paragraph">
    <w:name w:val="paragraph"/>
    <w:basedOn w:val="Normal"/>
    <w:rsid w:val="00BA28A4"/>
    <w:pPr>
      <w:widowControl/>
      <w:autoSpaceDE/>
      <w:autoSpaceDN/>
      <w:adjustRightInd/>
      <w:spacing w:before="100" w:beforeAutospacing="1" w:after="100" w:afterAutospacing="1"/>
    </w:pPr>
  </w:style>
  <w:style w:type="character" w:customStyle="1" w:styleId="normaltextrun">
    <w:name w:val="normaltextrun"/>
    <w:basedOn w:val="DefaultParagraphFont"/>
    <w:rsid w:val="00BA28A4"/>
  </w:style>
  <w:style w:type="character" w:customStyle="1" w:styleId="eop">
    <w:name w:val="eop"/>
    <w:basedOn w:val="DefaultParagraphFont"/>
    <w:rsid w:val="00BA28A4"/>
  </w:style>
  <w:style w:type="character" w:styleId="UnresolvedMention">
    <w:name w:val="Unresolved Mention"/>
    <w:basedOn w:val="DefaultParagraphFont"/>
    <w:uiPriority w:val="99"/>
    <w:semiHidden/>
    <w:unhideWhenUsed/>
    <w:rsid w:val="009F7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archives/ecec_12152022.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tabl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2" ma:contentTypeDescription="Create a new document." ma:contentTypeScope="" ma:versionID="582ae71c7268799d97f63994503708ca">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92784078ed7cad646e48a44afbc7087c"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E83EBC-5E91-4D6C-9D06-2E8AA7D8BDB9}">
  <ds:schemaRefs>
    <ds:schemaRef ds:uri="http://schemas.openxmlformats.org/officeDocument/2006/bibliography"/>
  </ds:schemaRefs>
</ds:datastoreItem>
</file>

<file path=customXml/itemProps2.xml><?xml version="1.0" encoding="utf-8"?>
<ds:datastoreItem xmlns:ds="http://schemas.openxmlformats.org/officeDocument/2006/customXml" ds:itemID="{95884DBF-0088-4438-AAC6-60F8106D50CE}">
  <ds:schemaRefs>
    <ds:schemaRef ds:uri="http://schemas.microsoft.com/sharepoint/v3/contenttype/forms"/>
  </ds:schemaRefs>
</ds:datastoreItem>
</file>

<file path=customXml/itemProps3.xml><?xml version="1.0" encoding="utf-8"?>
<ds:datastoreItem xmlns:ds="http://schemas.openxmlformats.org/officeDocument/2006/customXml" ds:itemID="{19FFD0EE-03B5-4A2C-939A-6C75A6E41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DF7709-0135-44F0-BF07-15A93C25C247}">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3927</Words>
  <Characters>22384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OSHA</Company>
  <LinksUpToDate>false</LinksUpToDate>
  <CharactersWithSpaces>26259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Belinda K. Cannon</dc:creator>
  <cp:lastModifiedBy>Blevins, Andrew (Andy) - OSHA</cp:lastModifiedBy>
  <cp:revision>8</cp:revision>
  <cp:lastPrinted>2020-01-10T16:00:00Z</cp:lastPrinted>
  <dcterms:created xsi:type="dcterms:W3CDTF">2023-06-07T17:13:00Z</dcterms:created>
  <dcterms:modified xsi:type="dcterms:W3CDTF">2023-06-08T15:17:00Z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GrammarlyDocumentId">
    <vt:lpwstr>30f92b1855d17f4c1d2b7476c544835209eb097dbaa67cd23b2a50cf0cda2fbe</vt:lpwstr>
  </property>
  <property fmtid="{D5CDD505-2E9C-101B-9397-08002B2CF9AE}" pid="4" name="MediaServiceImageTags">
    <vt:lpwstr/>
  </property>
</Properties>
</file>