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B0" w:rsidP="00164DB0" w:rsidRDefault="005914FA" w14:paraId="117F620D" w14:textId="095FF5CA">
      <w:pPr>
        <w:pStyle w:val="Heading2"/>
        <w:tabs>
          <w:tab w:val="left" w:pos="4770"/>
        </w:tabs>
        <w:spacing w:before="0" w:after="240"/>
        <w:jc w:val="center"/>
        <w:rPr>
          <w:sz w:val="36"/>
        </w:rPr>
      </w:pPr>
      <w:bookmarkStart w:name="_GoBack" w:id="0"/>
      <w:bookmarkEnd w:id="0"/>
      <w:r>
        <w:rPr>
          <w:sz w:val="36"/>
        </w:rPr>
        <w:t xml:space="preserve">    </w:t>
      </w:r>
      <w:r w:rsidR="00164DB0">
        <w:rPr>
          <w:sz w:val="36"/>
        </w:rPr>
        <w:t xml:space="preserve">SUPPORTING STATEMENT </w:t>
      </w:r>
      <w:r w:rsidR="00164DB0">
        <w:rPr>
          <w:sz w:val="36"/>
        </w:rPr>
        <w:br/>
        <w:t>FOR PAPERWORK REDUCTION ACT SUBMISSION</w:t>
      </w:r>
    </w:p>
    <w:p w:rsidR="00164DB0" w:rsidP="00164DB0" w:rsidRDefault="00164DB0" w14:paraId="117F620E" w14:textId="77777777">
      <w:pPr>
        <w:pStyle w:val="Heading2"/>
        <w:tabs>
          <w:tab w:val="left" w:pos="4770"/>
        </w:tabs>
        <w:spacing w:before="0" w:after="240"/>
        <w:jc w:val="center"/>
        <w:rPr>
          <w:sz w:val="28"/>
        </w:rPr>
      </w:pPr>
      <w:r>
        <w:rPr>
          <w:sz w:val="28"/>
        </w:rPr>
        <w:t>APPLICATION FOR CONSULAR REPORT OF BIRTH ABROAD OF A CITIZEN OF THE UNITED STATES OF AMERICA</w:t>
      </w:r>
    </w:p>
    <w:p w:rsidR="00164DB0" w:rsidP="00164DB0" w:rsidRDefault="00164DB0" w14:paraId="117F620F" w14:textId="77777777">
      <w:pPr>
        <w:pStyle w:val="Heading2"/>
        <w:tabs>
          <w:tab w:val="left" w:pos="4770"/>
        </w:tabs>
        <w:spacing w:before="0" w:after="240"/>
        <w:jc w:val="center"/>
        <w:rPr>
          <w:sz w:val="28"/>
        </w:rPr>
      </w:pPr>
      <w:r>
        <w:rPr>
          <w:sz w:val="28"/>
        </w:rPr>
        <w:t>(OMB #1405-0011, Form DS-2029)</w:t>
      </w:r>
    </w:p>
    <w:p w:rsidR="00164DB0" w:rsidP="00164DB0" w:rsidRDefault="00164DB0" w14:paraId="117F6210" w14:textId="77777777">
      <w:pPr>
        <w:spacing w:after="240"/>
        <w:rPr>
          <w:b/>
        </w:rPr>
      </w:pPr>
      <w:r>
        <w:rPr>
          <w:b/>
        </w:rPr>
        <w:t>A.</w:t>
      </w:r>
      <w:r>
        <w:rPr>
          <w:b/>
        </w:rPr>
        <w:tab/>
        <w:t xml:space="preserve">JUSTIFICATION </w:t>
      </w:r>
    </w:p>
    <w:p w:rsidRPr="007922DB" w:rsidR="00FA290C" w:rsidP="00FA290C" w:rsidRDefault="00164DB0" w14:paraId="2814F1F7" w14:textId="0AD6B1FE">
      <w:pPr>
        <w:numPr>
          <w:ilvl w:val="0"/>
          <w:numId w:val="10"/>
        </w:numPr>
        <w:spacing w:after="120"/>
        <w:rPr>
          <w:i/>
          <w:color w:val="000000" w:themeColor="text1"/>
        </w:rPr>
      </w:pPr>
      <w:r w:rsidRPr="00974A07">
        <w:rPr>
          <w:i/>
        </w:rPr>
        <w:t xml:space="preserve">  </w:t>
      </w:r>
      <w:r w:rsidRPr="007922DB" w:rsidR="00FA290C">
        <w:rPr>
          <w:i/>
          <w:color w:val="000000" w:themeColor="text1"/>
        </w:rPr>
        <w:t>Why is this collection necessary and what are the legal statutes that allow this?</w:t>
      </w:r>
    </w:p>
    <w:p w:rsidR="00EF52B0" w:rsidP="00E539E0" w:rsidRDefault="00EF52B0" w14:paraId="2E037F5F" w14:textId="15B97F39">
      <w:pPr>
        <w:ind w:left="720"/>
      </w:pPr>
      <w:r w:rsidRPr="00974A07">
        <w:t>The Immigration and Nationality Act of 1952, as amended,</w:t>
      </w:r>
      <w:r>
        <w:t xml:space="preserve"> (INA)</w:t>
      </w:r>
      <w:r w:rsidRPr="00974A07">
        <w:t xml:space="preserve"> Section 104(a)(3), 8 U.S.C. § 1104 (a)(3), charges the Secretary of State with the determination of nationality of a person not in the United States.</w:t>
      </w:r>
      <w:r>
        <w:t xml:space="preserve">  </w:t>
      </w:r>
      <w:r w:rsidRPr="00CA12AB" w:rsidR="00CA12AB">
        <w:t>22 U.S.C. § 2705</w:t>
      </w:r>
      <w:r w:rsidR="00CA12AB">
        <w:t>(2)</w:t>
      </w:r>
      <w:r w:rsidRPr="00CA12AB" w:rsidR="00CA12AB">
        <w:t xml:space="preserve"> provides that a </w:t>
      </w:r>
      <w:r w:rsidR="00EE1CB8">
        <w:t xml:space="preserve">Consular </w:t>
      </w:r>
      <w:r w:rsidRPr="00CA12AB" w:rsidR="00CA12AB">
        <w:t xml:space="preserve">Report of Birth Abroad </w:t>
      </w:r>
      <w:r w:rsidR="00EE1CB8">
        <w:t xml:space="preserve">(CRBA) </w:t>
      </w:r>
      <w:r w:rsidRPr="00CA12AB" w:rsidR="00CA12AB">
        <w:t xml:space="preserve">of a Citizen of the United States issued by a consular officer to document a citizen born abroad </w:t>
      </w:r>
      <w:bookmarkStart w:name="_Hlk47089121" w:id="1"/>
      <w:r w:rsidRPr="00CA12AB" w:rsidR="00CA12AB">
        <w:t>shall have the same force and effect as proof of United States citizenship as certificates of naturalization or of citizenship issued by the Attorney General or by a court having naturalization jurisdiction.</w:t>
      </w:r>
      <w:bookmarkEnd w:id="1"/>
      <w:r w:rsidR="00CA12AB">
        <w:t xml:space="preserve"> The statute further provides, “</w:t>
      </w:r>
      <w:r w:rsidRPr="00CA12AB" w:rsidR="00CA12AB">
        <w:t>For purposes of</w:t>
      </w:r>
      <w:r w:rsidR="00EE1CB8">
        <w:t xml:space="preserve"> </w:t>
      </w:r>
      <w:r w:rsidRPr="00CA12AB" w:rsidR="00CA12AB">
        <w:t xml:space="preserve">this paragraph, the term </w:t>
      </w:r>
      <w:r w:rsidR="004F53FA">
        <w:t>‘</w:t>
      </w:r>
      <w:r w:rsidRPr="00CA12AB" w:rsidR="00CA12AB">
        <w:t>consular officer</w:t>
      </w:r>
      <w:r w:rsidR="004F53FA">
        <w:t>’</w:t>
      </w:r>
      <w:r w:rsidRPr="00CA12AB" w:rsidR="00CA12AB">
        <w:t xml:space="preserve"> includes</w:t>
      </w:r>
      <w:r w:rsidR="00CA12AB">
        <w:t xml:space="preserve"> </w:t>
      </w:r>
      <w:r w:rsidRPr="00CA12AB" w:rsidR="00CA12AB">
        <w:t>any United States citizen employee of</w:t>
      </w:r>
      <w:r w:rsidR="00CA12AB">
        <w:t xml:space="preserve"> </w:t>
      </w:r>
      <w:r w:rsidRPr="00CA12AB" w:rsidR="00CA12AB">
        <w:t>the Department of State who is designated by</w:t>
      </w:r>
      <w:r w:rsidR="00CA12AB">
        <w:t xml:space="preserve"> </w:t>
      </w:r>
      <w:r w:rsidRPr="00CA12AB" w:rsidR="00CA12AB">
        <w:t>the Secretary of State to adjudicate nationality</w:t>
      </w:r>
      <w:r w:rsidR="00CA12AB">
        <w:t xml:space="preserve"> </w:t>
      </w:r>
      <w:r w:rsidRPr="00CA12AB" w:rsidR="00CA12AB">
        <w:t>abroad pursuant to such regulations as the</w:t>
      </w:r>
      <w:r w:rsidR="00CA12AB">
        <w:t xml:space="preserve"> </w:t>
      </w:r>
      <w:r w:rsidRPr="00CA12AB" w:rsidR="00CA12AB">
        <w:t>Secretary may prescribe.</w:t>
      </w:r>
      <w:r w:rsidR="00CA12AB">
        <w:t>”</w:t>
      </w:r>
    </w:p>
    <w:p w:rsidR="00EF52B0" w:rsidP="00E539E0" w:rsidRDefault="00EF52B0" w14:paraId="2D841101" w14:textId="77777777">
      <w:pPr>
        <w:ind w:left="720"/>
      </w:pPr>
    </w:p>
    <w:p w:rsidR="00C243F2" w:rsidP="00E539E0" w:rsidRDefault="006F65C1" w14:paraId="1AACEDEF" w14:textId="6F81DC42">
      <w:pPr>
        <w:ind w:left="720"/>
      </w:pPr>
      <w:r>
        <w:t xml:space="preserve">A </w:t>
      </w:r>
      <w:r w:rsidRPr="00974A07" w:rsidR="00164DB0">
        <w:t xml:space="preserve">CRBA </w:t>
      </w:r>
      <w:r>
        <w:t>may be</w:t>
      </w:r>
      <w:r w:rsidRPr="00974A07">
        <w:t xml:space="preserve"> </w:t>
      </w:r>
      <w:r w:rsidRPr="00974A07" w:rsidR="00164DB0">
        <w:t>issued to persons</w:t>
      </w:r>
      <w:r w:rsidR="009775BF">
        <w:t xml:space="preserve"> born abroad</w:t>
      </w:r>
      <w:r w:rsidRPr="00974A07" w:rsidR="00164DB0">
        <w:t xml:space="preserve"> who acquired U.S. citizenship</w:t>
      </w:r>
      <w:r w:rsidR="00FA290C">
        <w:t xml:space="preserve"> or U.S. noncitizen nationality</w:t>
      </w:r>
      <w:r w:rsidRPr="00974A07" w:rsidR="00164DB0">
        <w:t xml:space="preserve"> </w:t>
      </w:r>
      <w:r w:rsidR="009775BF">
        <w:t>at</w:t>
      </w:r>
      <w:r w:rsidRPr="00974A07" w:rsidR="009775BF">
        <w:t xml:space="preserve"> </w:t>
      </w:r>
      <w:r w:rsidRPr="00974A07" w:rsidR="00164DB0">
        <w:t xml:space="preserve">birth </w:t>
      </w:r>
      <w:r w:rsidR="009775BF">
        <w:t>through</w:t>
      </w:r>
      <w:r w:rsidRPr="00974A07" w:rsidR="00164DB0">
        <w:t xml:space="preserve"> a U.S. citizen</w:t>
      </w:r>
      <w:r w:rsidR="00C243F2">
        <w:t xml:space="preserve"> or U.S. noncitizen national</w:t>
      </w:r>
      <w:r w:rsidRPr="00974A07" w:rsidR="00164DB0">
        <w:t xml:space="preserve"> parent or parents who have </w:t>
      </w:r>
      <w:r w:rsidR="00520EEC">
        <w:t>satisfied</w:t>
      </w:r>
      <w:r w:rsidRPr="00974A07" w:rsidR="00520EEC">
        <w:t xml:space="preserve"> </w:t>
      </w:r>
      <w:r w:rsidRPr="00974A07" w:rsidR="00164DB0">
        <w:t xml:space="preserve">the applicable statutory </w:t>
      </w:r>
      <w:r w:rsidR="009775BF">
        <w:t>requirements for transmission of U.S. citizenship</w:t>
      </w:r>
      <w:r w:rsidR="00FA290C">
        <w:t>/</w:t>
      </w:r>
      <w:r w:rsidR="00C243F2">
        <w:t xml:space="preserve">U.S. </w:t>
      </w:r>
      <w:r w:rsidR="00FA290C">
        <w:t>noncitizen nationality</w:t>
      </w:r>
      <w:r w:rsidRPr="00974A07" w:rsidR="00164DB0">
        <w:t xml:space="preserve">.  </w:t>
      </w:r>
      <w:r>
        <w:t>INA</w:t>
      </w:r>
      <w:r w:rsidR="000A1260">
        <w:t xml:space="preserve"> Sections 301, 308</w:t>
      </w:r>
      <w:r w:rsidR="00EE1CB8">
        <w:t>,</w:t>
      </w:r>
      <w:r w:rsidR="000A1260">
        <w:t xml:space="preserve"> and 309</w:t>
      </w:r>
      <w:r>
        <w:t xml:space="preserve">, </w:t>
      </w:r>
      <w:r w:rsidRPr="00974A07" w:rsidR="00164DB0">
        <w:t>8 U.S.C. §§ 1401</w:t>
      </w:r>
      <w:r w:rsidR="00C243F2">
        <w:t>, 1408,</w:t>
      </w:r>
      <w:r w:rsidRPr="00974A07" w:rsidR="00164DB0">
        <w:t xml:space="preserve"> and 1409</w:t>
      </w:r>
      <w:r w:rsidR="008931EB">
        <w:t xml:space="preserve"> respectively</w:t>
      </w:r>
      <w:r>
        <w:t>,</w:t>
      </w:r>
      <w:r w:rsidRPr="00974A07" w:rsidR="00164DB0">
        <w:t xml:space="preserve"> prescribe the</w:t>
      </w:r>
      <w:r w:rsidR="005A0E47">
        <w:t>se</w:t>
      </w:r>
      <w:r w:rsidRPr="00974A07" w:rsidR="00164DB0">
        <w:t xml:space="preserve"> legal requirements. </w:t>
      </w:r>
      <w:r>
        <w:t>(</w:t>
      </w:r>
      <w:r w:rsidR="00C243F2">
        <w:t xml:space="preserve">For purposes of this Supporting Statement, the terms “U.S. citizen” and “U.S. citizenship” will be used with the proviso that CRBAs may also be issued to persons born abroad who acquired </w:t>
      </w:r>
      <w:r w:rsidR="000A1260">
        <w:t>U.S. noncitizen nationality at birth through their parent(s).</w:t>
      </w:r>
      <w:r>
        <w:t>)</w:t>
      </w:r>
    </w:p>
    <w:p w:rsidR="000A1260" w:rsidP="00E539E0" w:rsidRDefault="000A1260" w14:paraId="31C44FF5" w14:textId="4F8BFD9E">
      <w:pPr>
        <w:ind w:left="720"/>
      </w:pPr>
    </w:p>
    <w:p w:rsidR="006F65C1" w:rsidP="00E539E0" w:rsidRDefault="000A1260" w14:paraId="5F35AE25" w14:textId="69B5A3D7">
      <w:pPr>
        <w:ind w:left="720"/>
      </w:pPr>
      <w:r>
        <w:t xml:space="preserve">Before </w:t>
      </w:r>
      <w:r w:rsidR="006F65C1">
        <w:t>issuing</w:t>
      </w:r>
      <w:r>
        <w:t xml:space="preserve"> a CRBA,</w:t>
      </w:r>
      <w:r w:rsidRPr="00851A96" w:rsidR="00C243F2">
        <w:t xml:space="preserve"> consular officers at U.S. embassies and consulates abroad must collect (on Form DS-2029 and supporting documents) and weigh the evidence in support of each statutory transmission requirement</w:t>
      </w:r>
      <w:r w:rsidR="006F65C1">
        <w:t xml:space="preserve"> to ensure that the applicant acquired U.S. citizenship at birth under the applicable statute</w:t>
      </w:r>
      <w:r w:rsidR="00C448F7">
        <w:t xml:space="preserve"> and therefore is eligible for a CRBA</w:t>
      </w:r>
      <w:r w:rsidRPr="00851A96" w:rsidR="00C243F2">
        <w:t xml:space="preserve">.  </w:t>
      </w:r>
      <w:r w:rsidRPr="00974A07" w:rsidR="00164DB0">
        <w:t xml:space="preserve">  </w:t>
      </w:r>
    </w:p>
    <w:p w:rsidR="004423B8" w:rsidP="00276F06" w:rsidRDefault="00851A96" w14:paraId="13F8FFEE" w14:textId="5B34A57D">
      <w:pPr>
        <w:spacing w:after="240"/>
        <w:ind w:left="720"/>
      </w:pPr>
      <w:r w:rsidRPr="00851A96">
        <w:t>Implementing regulations at 22 C</w:t>
      </w:r>
      <w:r w:rsidR="00EE1CB8">
        <w:t>.</w:t>
      </w:r>
      <w:r w:rsidRPr="00851A96">
        <w:t>F</w:t>
      </w:r>
      <w:r w:rsidR="00EE1CB8">
        <w:t>.</w:t>
      </w:r>
      <w:r w:rsidRPr="00851A96">
        <w:t>R</w:t>
      </w:r>
      <w:r w:rsidR="00EE1CB8">
        <w:t>.</w:t>
      </w:r>
      <w:r w:rsidRPr="00851A96">
        <w:t xml:space="preserve"> Part 50, Nationality Procedures, and 22 C</w:t>
      </w:r>
      <w:r w:rsidR="00EE1CB8">
        <w:t>.</w:t>
      </w:r>
      <w:r w:rsidRPr="00851A96">
        <w:t>F</w:t>
      </w:r>
      <w:r w:rsidR="00EE1CB8">
        <w:t>.</w:t>
      </w:r>
      <w:r w:rsidRPr="00851A96">
        <w:t>R</w:t>
      </w:r>
      <w:r w:rsidR="00EE1CB8">
        <w:t>.</w:t>
      </w:r>
      <w:r w:rsidRPr="00851A96">
        <w:t xml:space="preserve"> Part 51, Passports, fully support th</w:t>
      </w:r>
      <w:r w:rsidR="004423B8">
        <w:t>is information</w:t>
      </w:r>
      <w:r w:rsidRPr="00851A96">
        <w:t xml:space="preserve"> collection </w:t>
      </w:r>
      <w:r w:rsidR="004423B8">
        <w:t xml:space="preserve">as well as collection of </w:t>
      </w:r>
      <w:r w:rsidRPr="00851A96">
        <w:t>additional evidence, through interviews and other documentation, when adjudicating a claim to U.S. citizenship</w:t>
      </w:r>
      <w:r w:rsidR="004423B8">
        <w:t xml:space="preserve"> </w:t>
      </w:r>
      <w:r w:rsidR="00EE1CB8">
        <w:t xml:space="preserve">at birth </w:t>
      </w:r>
      <w:r w:rsidR="004423B8">
        <w:t>of a person born abroad</w:t>
      </w:r>
      <w:r w:rsidRPr="00851A96">
        <w:t xml:space="preserve">.  </w:t>
      </w:r>
    </w:p>
    <w:p w:rsidRPr="00851A96" w:rsidR="00851A96" w:rsidP="00276F06" w:rsidRDefault="00851A96" w14:paraId="1BFE4D0A" w14:textId="0C865104">
      <w:pPr>
        <w:spacing w:after="240"/>
        <w:ind w:left="720"/>
      </w:pPr>
      <w:r w:rsidRPr="00851A96">
        <w:lastRenderedPageBreak/>
        <w:t>Specifically, 22 C</w:t>
      </w:r>
      <w:r w:rsidR="00EE1CB8">
        <w:t>.</w:t>
      </w:r>
      <w:r w:rsidRPr="00851A96">
        <w:t>F</w:t>
      </w:r>
      <w:r w:rsidR="00EE1CB8">
        <w:t>.</w:t>
      </w:r>
      <w:r w:rsidRPr="00851A96">
        <w:t>R</w:t>
      </w:r>
      <w:r w:rsidR="00EE1CB8">
        <w:t>. §</w:t>
      </w:r>
      <w:r w:rsidRPr="00851A96">
        <w:t xml:space="preserve"> 50.5</w:t>
      </w:r>
      <w:r w:rsidR="00EE1CB8">
        <w:t>,</w:t>
      </w:r>
      <w:r w:rsidRPr="00851A96">
        <w:t xml:space="preserve"> Application for Registration of Birth Abroad, provides in part, “The applicant shall be required to </w:t>
      </w:r>
      <w:r w:rsidRPr="00851A96">
        <w:rPr>
          <w:b/>
        </w:rPr>
        <w:t>submit proof of the child's birth, identity and citizenship meeting the evidence requirements of subpart C of </w:t>
      </w:r>
      <w:r w:rsidR="00276F06">
        <w:rPr>
          <w:b/>
        </w:rPr>
        <w:t>part 51</w:t>
      </w:r>
      <w:r w:rsidRPr="00851A96">
        <w:rPr>
          <w:b/>
        </w:rPr>
        <w:t> of this subchapter</w:t>
      </w:r>
      <w:r w:rsidRPr="00851A96">
        <w:t xml:space="preserve"> [emphasis added]</w:t>
      </w:r>
      <w:r w:rsidR="00EE1CB8">
        <w:t xml:space="preserve"> </w:t>
      </w:r>
      <w:r w:rsidRPr="00851A96">
        <w:t>and shall include:</w:t>
      </w:r>
    </w:p>
    <w:p w:rsidRPr="00851A96" w:rsidR="00851A96" w:rsidP="00276F06" w:rsidRDefault="00851A96" w14:paraId="05DE4B5C" w14:textId="77777777">
      <w:pPr>
        <w:spacing w:after="240"/>
        <w:ind w:left="720"/>
      </w:pPr>
      <w:r w:rsidRPr="00851A96">
        <w:rPr>
          <w:b/>
          <w:bCs/>
        </w:rPr>
        <w:t>(a)</w:t>
      </w:r>
      <w:r w:rsidRPr="00851A96">
        <w:t> </w:t>
      </w:r>
      <w:r w:rsidRPr="00851A96">
        <w:rPr>
          <w:b/>
          <w:bCs/>
          <w:i/>
          <w:iCs/>
        </w:rPr>
        <w:t>Proof of child's birth.</w:t>
      </w:r>
      <w:r w:rsidRPr="00851A96">
        <w:t> Proof of child's birth usually consists of, but is not limited to, an authentic copy of the record of the birth filed with local authorities, a baptismal certificate, a military hospital certificate of birth, or an affidavit of the doctor or the person attending the birth. If no proof of birth is available, the person seeking to register the birth shall submit his affidavit explaining why such proof is not available and setting forth the facts relating to the birth.</w:t>
      </w:r>
    </w:p>
    <w:p w:rsidR="004F53FA" w:rsidP="00276F06" w:rsidRDefault="00851A96" w14:paraId="5136B4A0" w14:textId="0DBD80B5">
      <w:pPr>
        <w:spacing w:after="240"/>
        <w:ind w:left="720"/>
      </w:pPr>
      <w:r w:rsidRPr="00851A96">
        <w:rPr>
          <w:b/>
          <w:bCs/>
        </w:rPr>
        <w:t>(b)</w:t>
      </w:r>
      <w:r w:rsidRPr="00851A96">
        <w:t> </w:t>
      </w:r>
      <w:r w:rsidRPr="00851A96">
        <w:rPr>
          <w:b/>
          <w:bCs/>
          <w:i/>
          <w:iCs/>
        </w:rPr>
        <w:t>Proof of child's citizenship.</w:t>
      </w:r>
      <w:r w:rsidRPr="00851A96">
        <w:t> Evidence of parent's citizenship and, if pertinent, evidence of parent's physical presence in the </w:t>
      </w:r>
      <w:r w:rsidR="00276F06">
        <w:t xml:space="preserve">United States </w:t>
      </w:r>
      <w:r w:rsidRPr="00851A96">
        <w:t>as required for transmittal of claim of citizenship by the </w:t>
      </w:r>
      <w:r w:rsidR="00276F06">
        <w:t>Immigration and Nationality Act</w:t>
      </w:r>
      <w:r w:rsidRPr="00851A96">
        <w:t xml:space="preserve"> of 1952 shall be submitted.”  </w:t>
      </w:r>
    </w:p>
    <w:p w:rsidRPr="00851A96" w:rsidR="00851A96" w:rsidP="00276F06" w:rsidRDefault="00851A96" w14:paraId="3BFDA9EA" w14:textId="169467A5">
      <w:pPr>
        <w:spacing w:after="240"/>
        <w:ind w:left="720"/>
      </w:pPr>
      <w:r w:rsidRPr="00851A96">
        <w:t>22 C</w:t>
      </w:r>
      <w:r w:rsidR="00EE1CB8">
        <w:t>.</w:t>
      </w:r>
      <w:r w:rsidRPr="00851A96">
        <w:t>F</w:t>
      </w:r>
      <w:r w:rsidR="00EE1CB8">
        <w:t>.</w:t>
      </w:r>
      <w:r w:rsidRPr="00851A96">
        <w:t>R</w:t>
      </w:r>
      <w:r w:rsidR="00EE1CB8">
        <w:t>. §</w:t>
      </w:r>
      <w:r w:rsidRPr="00851A96">
        <w:t xml:space="preserve"> 51.45 provides that “</w:t>
      </w:r>
      <w:r w:rsidR="00AA513E">
        <w:t>[t]</w:t>
      </w:r>
      <w:r w:rsidRPr="00851A96">
        <w:t>he </w:t>
      </w:r>
      <w:r w:rsidR="00276F06">
        <w:t>Department</w:t>
      </w:r>
      <w:r w:rsidRPr="00851A96">
        <w:t> may require an applicant to provide any evidence that it deems necessary to establish that he or she is a U.S. citizen or non-citizen national, including evidence in addition to the evidence specified in </w:t>
      </w:r>
      <w:r w:rsidR="00276F06">
        <w:t>22 CFR 51.42</w:t>
      </w:r>
      <w:r w:rsidRPr="00851A96">
        <w:t xml:space="preserve"> through 51.44.”  In </w:t>
      </w:r>
      <w:r w:rsidRPr="00851A96">
        <w:rPr>
          <w:u w:val="single"/>
        </w:rPr>
        <w:t>Parham v. Clinton</w:t>
      </w:r>
      <w:r w:rsidRPr="00851A96">
        <w:t>, No. CIV.A. H-09-1105, 2009 WL 2870671, (S.D. Tex. Aug. 31, 2009), </w:t>
      </w:r>
      <w:r w:rsidRPr="00851A96">
        <w:rPr>
          <w:u w:val="single"/>
        </w:rPr>
        <w:t>aff'd,</w:t>
      </w:r>
      <w:r w:rsidRPr="00851A96">
        <w:t xml:space="preserve"> 374 F. App'x 503 (5th Cir. 2010) which </w:t>
      </w:r>
      <w:r w:rsidR="004F53FA">
        <w:t>involved</w:t>
      </w:r>
      <w:r w:rsidRPr="00851A96">
        <w:t xml:space="preserve"> a CRBA </w:t>
      </w:r>
      <w:r w:rsidR="004F53FA">
        <w:t>application at the U.S. Embassy in Manila,</w:t>
      </w:r>
      <w:r w:rsidRPr="00851A96">
        <w:t xml:space="preserve"> the Philippines, the Department </w:t>
      </w:r>
      <w:r w:rsidR="004F53FA">
        <w:t>was permitted to require</w:t>
      </w:r>
      <w:r w:rsidRPr="00851A96">
        <w:t xml:space="preserve"> DNA testing to establish relationship to a U.S. citizen parent</w:t>
      </w:r>
      <w:r w:rsidR="004F53FA">
        <w:t xml:space="preserve"> (denying the application when</w:t>
      </w:r>
      <w:r w:rsidR="004423B8">
        <w:t xml:space="preserve"> plaintiff did not comply)</w:t>
      </w:r>
      <w:r w:rsidRPr="00851A96">
        <w:t>.  In general, however, DNA testing is usually regarded as a last resort to be used when other means of proof are unavailable or unreliable.</w:t>
      </w:r>
    </w:p>
    <w:p w:rsidRPr="00974A07" w:rsidR="00164DB0" w:rsidP="00164DB0" w:rsidRDefault="00164DB0" w14:paraId="117F6211" w14:textId="2BE669AE">
      <w:pPr>
        <w:spacing w:after="240"/>
        <w:rPr>
          <w:bCs/>
        </w:rPr>
      </w:pPr>
    </w:p>
    <w:p w:rsidRPr="007922DB" w:rsidR="00FA290C" w:rsidP="00FA290C" w:rsidRDefault="00FA290C" w14:paraId="34D6BCEE" w14:textId="77777777">
      <w:pPr>
        <w:numPr>
          <w:ilvl w:val="0"/>
          <w:numId w:val="10"/>
        </w:numPr>
        <w:spacing w:after="120"/>
        <w:rPr>
          <w:i/>
          <w:color w:val="000000" w:themeColor="text1"/>
        </w:rPr>
      </w:pPr>
      <w:r w:rsidRPr="007922DB">
        <w:rPr>
          <w:i/>
          <w:color w:val="000000" w:themeColor="text1"/>
        </w:rPr>
        <w:t>What business purpose is the information gathered going to be used for?</w:t>
      </w:r>
    </w:p>
    <w:p w:rsidRPr="00E539E0" w:rsidR="00FA290C" w:rsidP="00164DB0" w:rsidRDefault="00164DB0" w14:paraId="085A6B57" w14:textId="5658E72D">
      <w:pPr>
        <w:spacing w:after="240"/>
        <w:rPr>
          <w:bCs/>
          <w:iCs/>
        </w:rPr>
      </w:pPr>
      <w:r w:rsidRPr="00974A07">
        <w:rPr>
          <w:bCs/>
          <w:i/>
          <w:iCs/>
        </w:rPr>
        <w:t xml:space="preserve">  </w:t>
      </w:r>
    </w:p>
    <w:p w:rsidRPr="00974A07" w:rsidR="00164DB0" w:rsidP="00E539E0" w:rsidRDefault="004423B8" w14:paraId="117F6213" w14:textId="3462AAE4">
      <w:pPr>
        <w:spacing w:after="240"/>
        <w:ind w:left="720"/>
      </w:pPr>
      <w:r>
        <w:t xml:space="preserve">The information gathered on the </w:t>
      </w:r>
      <w:r w:rsidR="00AA513E">
        <w:t>F</w:t>
      </w:r>
      <w:r>
        <w:t>orm DS- 2029 and in interviews and supporting documentation is to be used in adjudicating claims to U.S. citizenship under INA Sections 301, 308 and 309, 8 U.S.C. §§ 1401, 1408, and 1409 respectively</w:t>
      </w:r>
      <w:r w:rsidR="000C1627">
        <w:t>, in order to determine whether a person born abroad acquired U.S. citizenship at birth and therefore is eligible for a CRBA</w:t>
      </w:r>
      <w:r w:rsidR="00A56D2B">
        <w:t>.</w:t>
      </w:r>
      <w:r w:rsidR="00164DB0">
        <w:t xml:space="preserve">   </w:t>
      </w:r>
      <w:bookmarkStart w:name="_Hlk47089530" w:id="2"/>
      <w:bookmarkEnd w:id="2"/>
    </w:p>
    <w:p w:rsidR="00164DB0" w:rsidP="00E539E0" w:rsidRDefault="00164DB0" w14:paraId="117F6214" w14:textId="4403126E">
      <w:pPr>
        <w:pStyle w:val="HTMLPreformatted"/>
        <w:tabs>
          <w:tab w:val="clear" w:pos="916"/>
          <w:tab w:val="clear" w:pos="1832"/>
          <w:tab w:val="clear" w:pos="2748"/>
          <w:tab w:val="clear" w:pos="3664"/>
          <w:tab w:val="clear" w:pos="4580"/>
          <w:tab w:val="clear" w:pos="5496"/>
          <w:tab w:val="clear" w:pos="6412"/>
          <w:tab w:val="clear" w:pos="7328"/>
          <w:tab w:val="clear" w:pos="8244"/>
        </w:tabs>
        <w:ind w:left="720"/>
        <w:rPr>
          <w:rFonts w:ascii="Times New Roman" w:hAnsi="Times New Roman" w:cs="Times New Roman"/>
          <w:color w:val="000000"/>
          <w:sz w:val="24"/>
        </w:rPr>
      </w:pPr>
    </w:p>
    <w:p w:rsidR="00FE4376" w:rsidRDefault="00EA4E6C" w14:paraId="555BB6EC" w14:textId="78EBB37C">
      <w:pPr>
        <w:pStyle w:val="HTMLPreformatted"/>
        <w:tabs>
          <w:tab w:val="clear" w:pos="916"/>
          <w:tab w:val="clear" w:pos="1832"/>
          <w:tab w:val="clear" w:pos="2748"/>
          <w:tab w:val="clear" w:pos="3664"/>
          <w:tab w:val="clear" w:pos="4580"/>
          <w:tab w:val="clear" w:pos="5496"/>
          <w:tab w:val="clear" w:pos="6412"/>
          <w:tab w:val="clear" w:pos="7328"/>
          <w:tab w:val="clear" w:pos="8244"/>
        </w:tabs>
        <w:ind w:left="720"/>
        <w:rPr>
          <w:rFonts w:ascii="Times New Roman" w:hAnsi="Times New Roman" w:cs="Times New Roman"/>
          <w:color w:val="000000"/>
          <w:sz w:val="24"/>
        </w:rPr>
      </w:pPr>
      <w:r>
        <w:rPr>
          <w:rFonts w:ascii="Times New Roman" w:hAnsi="Times New Roman" w:cs="Times New Roman"/>
          <w:color w:val="000000"/>
          <w:sz w:val="24"/>
        </w:rPr>
        <w:t xml:space="preserve">The information gathered is tied to each transmission requirement, with additional information required only as necessary to determine the citizenship claim.  </w:t>
      </w:r>
    </w:p>
    <w:p w:rsidR="00EA4E6C" w:rsidP="00E539E0" w:rsidRDefault="00EA4E6C" w14:paraId="05518F5E" w14:textId="77777777">
      <w:pPr>
        <w:pStyle w:val="HTMLPreformatted"/>
        <w:tabs>
          <w:tab w:val="clear" w:pos="916"/>
          <w:tab w:val="clear" w:pos="1832"/>
          <w:tab w:val="clear" w:pos="2748"/>
          <w:tab w:val="clear" w:pos="3664"/>
          <w:tab w:val="clear" w:pos="4580"/>
          <w:tab w:val="clear" w:pos="5496"/>
          <w:tab w:val="clear" w:pos="6412"/>
          <w:tab w:val="clear" w:pos="7328"/>
          <w:tab w:val="clear" w:pos="8244"/>
        </w:tabs>
        <w:ind w:left="720"/>
        <w:rPr>
          <w:rFonts w:ascii="Times New Roman" w:hAnsi="Times New Roman" w:cs="Times New Roman"/>
          <w:color w:val="000000"/>
          <w:sz w:val="24"/>
        </w:rPr>
      </w:pPr>
    </w:p>
    <w:p w:rsidR="00FE4376" w:rsidP="00FE4376" w:rsidRDefault="00FE4376" w14:paraId="457C4709" w14:textId="60FBBE7E">
      <w:pPr>
        <w:pStyle w:val="HTMLPreformatted"/>
        <w:ind w:left="720"/>
        <w:rPr>
          <w:rFonts w:ascii="Times New Roman" w:hAnsi="Times New Roman" w:cs="Times New Roman"/>
          <w:sz w:val="24"/>
          <w:szCs w:val="24"/>
        </w:rPr>
      </w:pPr>
      <w:r>
        <w:rPr>
          <w:rFonts w:ascii="Times New Roman" w:hAnsi="Times New Roman" w:cs="Times New Roman"/>
          <w:sz w:val="24"/>
          <w:szCs w:val="24"/>
        </w:rPr>
        <w:t>As an example,</w:t>
      </w:r>
      <w:r w:rsidRPr="00FE4376">
        <w:t xml:space="preserve"> </w:t>
      </w:r>
      <w:r w:rsidRPr="00FE4376">
        <w:rPr>
          <w:rFonts w:ascii="Times New Roman" w:hAnsi="Times New Roman" w:cs="Times New Roman"/>
          <w:sz w:val="24"/>
          <w:szCs w:val="24"/>
        </w:rPr>
        <w:t>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w:t>
      </w:r>
      <w:r>
        <w:rPr>
          <w:rFonts w:ascii="Times New Roman" w:hAnsi="Times New Roman" w:cs="Times New Roman"/>
          <w:sz w:val="24"/>
          <w:szCs w:val="24"/>
        </w:rPr>
        <w:t xml:space="preserve"> (birth abroad out of wedlock to a U.S. citizen father through whom the citizenship claim is being made)</w:t>
      </w:r>
      <w:r w:rsidRPr="00FE4376">
        <w:rPr>
          <w:rFonts w:ascii="Times New Roman" w:hAnsi="Times New Roman" w:cs="Times New Roman"/>
          <w:sz w:val="24"/>
          <w:szCs w:val="24"/>
        </w:rPr>
        <w:t xml:space="preserve"> has four requirements that must be met, after which a physical presence or residence requirement must be established depending on the U.S. citizenship status of the biological mother of </w:t>
      </w:r>
      <w:r w:rsidRPr="00FE4376">
        <w:rPr>
          <w:rFonts w:ascii="Times New Roman" w:hAnsi="Times New Roman" w:cs="Times New Roman"/>
          <w:sz w:val="24"/>
          <w:szCs w:val="24"/>
        </w:rPr>
        <w:lastRenderedPageBreak/>
        <w:t xml:space="preserve">the child.  Specifically, </w:t>
      </w:r>
      <w:bookmarkStart w:name="_Hlk47094055" w:id="3"/>
      <w:r w:rsidRPr="00FE4376">
        <w:rPr>
          <w:rFonts w:ascii="Times New Roman" w:hAnsi="Times New Roman" w:cs="Times New Roman"/>
          <w:sz w:val="24"/>
          <w:szCs w:val="24"/>
        </w:rPr>
        <w:t>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1409(a)(1) </w:t>
      </w:r>
      <w:bookmarkEnd w:id="3"/>
      <w:r w:rsidRPr="00FE4376">
        <w:rPr>
          <w:rFonts w:ascii="Times New Roman" w:hAnsi="Times New Roman" w:cs="Times New Roman"/>
          <w:sz w:val="24"/>
          <w:szCs w:val="24"/>
        </w:rPr>
        <w:t>requires that “a blood relationship between the person and the father is established by clear and convincing evidence.”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1409(a)(2) requires </w:t>
      </w:r>
      <w:bookmarkStart w:name="_Hlk47094498" w:id="4"/>
      <w:r w:rsidRPr="00FE4376">
        <w:rPr>
          <w:rFonts w:ascii="Times New Roman" w:hAnsi="Times New Roman" w:cs="Times New Roman"/>
          <w:sz w:val="24"/>
          <w:szCs w:val="24"/>
        </w:rPr>
        <w:t>that “the father had the nationality of the United States at the time of the person’s birth.”</w:t>
      </w:r>
      <w:bookmarkEnd w:id="4"/>
      <w:r w:rsidRPr="00FE4376">
        <w:rPr>
          <w:rFonts w:ascii="Times New Roman" w:hAnsi="Times New Roman" w:cs="Times New Roman"/>
          <w:sz w:val="24"/>
          <w:szCs w:val="24"/>
        </w:rPr>
        <w:t xml:space="preserve">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1409(a)(3) requires that, “the father (unless deceased) has agreed in writing to provide financial support for the person until the person reaches the age of 18 years.”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1409(a)(4) requires that “while the person is under the age of 18 years – (A) the person is legitimated under the law of the person’s residence or domicile. (B) the father acknowledges paternity of the person in writing under oath, or (C) the paternity of the person is established by adjudication of a competent court.”</w:t>
      </w:r>
      <w:r w:rsidR="00523361">
        <w:rPr>
          <w:rFonts w:ascii="Times New Roman" w:hAnsi="Times New Roman" w:cs="Times New Roman"/>
          <w:sz w:val="24"/>
          <w:szCs w:val="24"/>
        </w:rPr>
        <w:t xml:space="preserve"> </w:t>
      </w:r>
      <w:r w:rsidRPr="00FE4376">
        <w:rPr>
          <w:rFonts w:ascii="Times New Roman" w:hAnsi="Times New Roman" w:cs="Times New Roman"/>
          <w:sz w:val="24"/>
          <w:szCs w:val="24"/>
        </w:rPr>
        <w:t xml:space="preserve"> </w:t>
      </w:r>
    </w:p>
    <w:p w:rsidR="00490381" w:rsidP="00FE4376" w:rsidRDefault="00490381" w14:paraId="335409F1" w14:textId="1C5379A2">
      <w:pPr>
        <w:pStyle w:val="HTMLPreformatted"/>
        <w:ind w:left="720"/>
        <w:rPr>
          <w:rFonts w:ascii="Times New Roman" w:hAnsi="Times New Roman" w:cs="Times New Roman"/>
          <w:sz w:val="24"/>
          <w:szCs w:val="24"/>
        </w:rPr>
      </w:pPr>
    </w:p>
    <w:p w:rsidR="00490381" w:rsidP="00490381" w:rsidRDefault="4778C857" w14:paraId="730163F7" w14:textId="5BF38E6B">
      <w:pPr>
        <w:spacing w:after="120"/>
        <w:ind w:left="720"/>
      </w:pPr>
      <w:r>
        <w:t>E</w:t>
      </w:r>
      <w:r w:rsidR="00490381">
        <w:t>stablish</w:t>
      </w:r>
      <w:r w:rsidR="7BD64CFA">
        <w:t>ing</w:t>
      </w:r>
      <w:r w:rsidR="00490381">
        <w:t xml:space="preserve"> the blood relationship by clear and convincing evidence as required by 8 U</w:t>
      </w:r>
      <w:r w:rsidR="00AA513E">
        <w:t>.</w:t>
      </w:r>
      <w:r w:rsidR="00490381">
        <w:t>S</w:t>
      </w:r>
      <w:r w:rsidR="00AA513E">
        <w:t>.</w:t>
      </w:r>
      <w:r w:rsidR="00490381">
        <w:t>C</w:t>
      </w:r>
      <w:r w:rsidR="00AA513E">
        <w:t>. §</w:t>
      </w:r>
      <w:r w:rsidR="00490381">
        <w:t xml:space="preserve"> 1409(a)(1), may </w:t>
      </w:r>
      <w:r w:rsidR="7CCD8981">
        <w:t xml:space="preserve">involve </w:t>
      </w:r>
      <w:r w:rsidR="00490381">
        <w:t>photo comparisons for family likeness, determination of access by comparing dates of physical presence in the United States or elsewhere, and DNA testing.  22 C</w:t>
      </w:r>
      <w:r w:rsidR="00AA513E">
        <w:t>.</w:t>
      </w:r>
      <w:r w:rsidR="00490381">
        <w:t>F</w:t>
      </w:r>
      <w:r w:rsidR="00AA513E">
        <w:t>.</w:t>
      </w:r>
      <w:r w:rsidR="00490381">
        <w:t>R</w:t>
      </w:r>
      <w:r w:rsidR="00AA513E">
        <w:t>. §</w:t>
      </w:r>
      <w:r w:rsidR="00490381">
        <w:t xml:space="preserve"> 51.45  provides that “The </w:t>
      </w:r>
      <w:r w:rsidR="00276F06">
        <w:t xml:space="preserve">Department </w:t>
      </w:r>
      <w:r w:rsidR="00490381">
        <w:t> may require an applicant to provide any evidence that it deems necessary to establish that he or she is a U.S. citizen or non-citizen national, including evidence in addition to the evidence specified in </w:t>
      </w:r>
      <w:r w:rsidR="001A719B">
        <w:t>22 CFR 51.42</w:t>
      </w:r>
      <w:r w:rsidR="00490381">
        <w:t xml:space="preserve"> through 51.44.”  (As noted in the response to Question 1 above, 22 CFR 51.45 is made applicable to citizenship determinations in connection with a CRBA application by 22 CFR 50.5.)  </w:t>
      </w:r>
    </w:p>
    <w:p w:rsidRPr="00FE4376" w:rsidR="00FE4376" w:rsidP="00FE4376" w:rsidRDefault="00490381" w14:paraId="4BBDEE26" w14:textId="6C3AA7C0">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  </w:t>
      </w:r>
    </w:p>
    <w:p w:rsidRPr="00FE4376" w:rsidR="00FE4376" w:rsidP="00FE4376" w:rsidRDefault="00FE4376" w14:paraId="50660564" w14:textId="0D178F9C">
      <w:pPr>
        <w:pStyle w:val="HTMLPreformatted"/>
        <w:ind w:left="720"/>
        <w:rPr>
          <w:rFonts w:ascii="Times New Roman" w:hAnsi="Times New Roman" w:cs="Times New Roman"/>
          <w:sz w:val="24"/>
          <w:szCs w:val="24"/>
        </w:rPr>
      </w:pPr>
      <w:r w:rsidRPr="00FE4376">
        <w:rPr>
          <w:rFonts w:ascii="Times New Roman" w:hAnsi="Times New Roman" w:cs="Times New Roman"/>
          <w:sz w:val="24"/>
          <w:szCs w:val="24"/>
        </w:rPr>
        <w:t xml:space="preserve">Question 18 (and 19) asks whether </w:t>
      </w:r>
      <w:r>
        <w:rPr>
          <w:rFonts w:ascii="Times New Roman" w:hAnsi="Times New Roman" w:cs="Times New Roman"/>
          <w:sz w:val="24"/>
          <w:szCs w:val="24"/>
        </w:rPr>
        <w:t xml:space="preserve">the transmitting parent was a U.S. citizen  when the child was born, </w:t>
      </w:r>
      <w:r w:rsidRPr="00FE4376">
        <w:rPr>
          <w:rFonts w:ascii="Times New Roman" w:hAnsi="Times New Roman" w:cs="Times New Roman"/>
          <w:sz w:val="24"/>
          <w:szCs w:val="24"/>
        </w:rPr>
        <w:t>correspond</w:t>
      </w:r>
      <w:r>
        <w:rPr>
          <w:rFonts w:ascii="Times New Roman" w:hAnsi="Times New Roman" w:cs="Times New Roman"/>
          <w:sz w:val="24"/>
          <w:szCs w:val="24"/>
        </w:rPr>
        <w:t>ing</w:t>
      </w:r>
      <w:r w:rsidRPr="00FE4376">
        <w:rPr>
          <w:rFonts w:ascii="Times New Roman" w:hAnsi="Times New Roman" w:cs="Times New Roman"/>
          <w:sz w:val="24"/>
          <w:szCs w:val="24"/>
        </w:rPr>
        <w:t xml:space="preserve"> to the requirement of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1409(a)(2)</w:t>
      </w:r>
      <w:r w:rsidR="000E3DB0">
        <w:rPr>
          <w:rFonts w:ascii="Times New Roman" w:hAnsi="Times New Roman" w:cs="Times New Roman"/>
          <w:sz w:val="24"/>
          <w:szCs w:val="24"/>
        </w:rPr>
        <w:t xml:space="preserve"> </w:t>
      </w:r>
      <w:r w:rsidRPr="00FE4376" w:rsidR="000E3DB0">
        <w:rPr>
          <w:rFonts w:ascii="Times New Roman" w:hAnsi="Times New Roman" w:cs="Times New Roman"/>
          <w:sz w:val="24"/>
          <w:szCs w:val="24"/>
        </w:rPr>
        <w:t>that “the father had the nationality of the United States at the time of the person’s birth.”</w:t>
      </w:r>
      <w:r w:rsidRPr="00FE4376">
        <w:rPr>
          <w:rFonts w:ascii="Times New Roman" w:hAnsi="Times New Roman" w:cs="Times New Roman"/>
          <w:sz w:val="24"/>
          <w:szCs w:val="24"/>
        </w:rPr>
        <w:t>.</w:t>
      </w:r>
    </w:p>
    <w:p w:rsidRPr="00FE4376" w:rsidR="00FE4376" w:rsidP="00FE4376" w:rsidRDefault="00FE4376" w14:paraId="74E9A225" w14:textId="77777777">
      <w:pPr>
        <w:pStyle w:val="HTMLPreformatted"/>
        <w:ind w:left="720"/>
        <w:rPr>
          <w:rFonts w:ascii="Times New Roman" w:hAnsi="Times New Roman" w:cs="Times New Roman"/>
          <w:sz w:val="24"/>
          <w:szCs w:val="24"/>
        </w:rPr>
      </w:pPr>
    </w:p>
    <w:p w:rsidRPr="00FE4376" w:rsidR="00FE4376" w:rsidP="00FE4376" w:rsidRDefault="00FE4376" w14:paraId="41FE56F5" w14:textId="4B4659A6">
      <w:pPr>
        <w:pStyle w:val="HTMLPreformatted"/>
        <w:ind w:left="720"/>
        <w:rPr>
          <w:rFonts w:ascii="Times New Roman" w:hAnsi="Times New Roman" w:cs="Times New Roman"/>
          <w:sz w:val="24"/>
          <w:szCs w:val="24"/>
        </w:rPr>
      </w:pPr>
      <w:r w:rsidRPr="00FE4376">
        <w:rPr>
          <w:rFonts w:ascii="Times New Roman" w:hAnsi="Times New Roman" w:cs="Times New Roman"/>
          <w:sz w:val="24"/>
          <w:szCs w:val="24"/>
        </w:rPr>
        <w:t xml:space="preserve">The </w:t>
      </w:r>
      <w:r>
        <w:rPr>
          <w:rFonts w:ascii="Times New Roman" w:hAnsi="Times New Roman" w:cs="Times New Roman"/>
          <w:sz w:val="24"/>
          <w:szCs w:val="24"/>
        </w:rPr>
        <w:t>first</w:t>
      </w:r>
      <w:r w:rsidRPr="00FE4376">
        <w:rPr>
          <w:rFonts w:ascii="Times New Roman" w:hAnsi="Times New Roman" w:cs="Times New Roman"/>
          <w:sz w:val="24"/>
          <w:szCs w:val="24"/>
        </w:rPr>
        <w:t xml:space="preserve"> statement in </w:t>
      </w:r>
      <w:r>
        <w:rPr>
          <w:rFonts w:ascii="Times New Roman" w:hAnsi="Times New Roman" w:cs="Times New Roman"/>
          <w:sz w:val="24"/>
          <w:szCs w:val="24"/>
        </w:rPr>
        <w:t>Question</w:t>
      </w:r>
      <w:r w:rsidRPr="00FE4376">
        <w:rPr>
          <w:rFonts w:ascii="Times New Roman" w:hAnsi="Times New Roman" w:cs="Times New Roman"/>
          <w:sz w:val="24"/>
          <w:szCs w:val="24"/>
        </w:rPr>
        <w:t xml:space="preserve"> 28, “I am the father of (Name of Child),</w:t>
      </w:r>
    </w:p>
    <w:p w:rsidRPr="00FE4376" w:rsidR="00FE4376" w:rsidP="00FE4376" w:rsidRDefault="00FE4376" w14:paraId="555AD609" w14:textId="18EA44DC">
      <w:pPr>
        <w:pStyle w:val="HTMLPreformatted"/>
        <w:ind w:left="720"/>
        <w:rPr>
          <w:rFonts w:ascii="Times New Roman" w:hAnsi="Times New Roman" w:cs="Times New Roman"/>
          <w:sz w:val="24"/>
          <w:szCs w:val="24"/>
        </w:rPr>
      </w:pPr>
      <w:r w:rsidRPr="00FE4376">
        <w:rPr>
          <w:rFonts w:ascii="Times New Roman" w:hAnsi="Times New Roman" w:cs="Times New Roman"/>
          <w:sz w:val="24"/>
          <w:szCs w:val="24"/>
        </w:rPr>
        <w:t>who was born on (Date of Birth) in (Place of Birth)” corresponds to the requirement of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w:t>
      </w:r>
      <w:r w:rsidRPr="00FE4376">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00AA513E">
        <w:rPr>
          <w:rFonts w:ascii="Times New Roman" w:hAnsi="Times New Roman" w:cs="Times New Roman"/>
          <w:sz w:val="24"/>
          <w:szCs w:val="24"/>
        </w:rPr>
        <w:t xml:space="preserve"> </w:t>
      </w:r>
      <w:r w:rsidRPr="00FE4376">
        <w:rPr>
          <w:rFonts w:ascii="Times New Roman" w:hAnsi="Times New Roman" w:cs="Times New Roman"/>
          <w:sz w:val="24"/>
          <w:szCs w:val="24"/>
        </w:rPr>
        <w:t>1409(a)(4)(B), acknowledgement of paternity in writing under oath.  However, if this box is not checked, the consular officer must still consider whether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1409(a)(4)(A) and/or (C) has been met.</w:t>
      </w:r>
    </w:p>
    <w:p w:rsidRPr="00FE4376" w:rsidR="00FE4376" w:rsidP="00FE4376" w:rsidRDefault="00FE4376" w14:paraId="18D1F9BA" w14:textId="77777777">
      <w:pPr>
        <w:pStyle w:val="HTMLPreformatted"/>
        <w:ind w:left="720"/>
        <w:rPr>
          <w:rFonts w:ascii="Times New Roman" w:hAnsi="Times New Roman" w:cs="Times New Roman"/>
          <w:sz w:val="24"/>
          <w:szCs w:val="24"/>
        </w:rPr>
      </w:pPr>
    </w:p>
    <w:p w:rsidRPr="00FE4376" w:rsidR="00FE4376" w:rsidP="00FE4376" w:rsidRDefault="00FE4376" w14:paraId="4A6621F9" w14:textId="1BE8F42F">
      <w:pPr>
        <w:pStyle w:val="HTMLPreformatted"/>
        <w:ind w:left="720"/>
        <w:rPr>
          <w:rFonts w:ascii="Times New Roman" w:hAnsi="Times New Roman" w:cs="Times New Roman"/>
          <w:sz w:val="24"/>
          <w:szCs w:val="24"/>
        </w:rPr>
      </w:pPr>
      <w:r w:rsidRPr="00FE4376">
        <w:rPr>
          <w:rFonts w:ascii="Times New Roman" w:hAnsi="Times New Roman" w:cs="Times New Roman"/>
          <w:sz w:val="24"/>
          <w:szCs w:val="24"/>
        </w:rPr>
        <w:t xml:space="preserve">The </w:t>
      </w:r>
      <w:r w:rsidR="002C5A1F">
        <w:rPr>
          <w:rFonts w:ascii="Times New Roman" w:hAnsi="Times New Roman" w:cs="Times New Roman"/>
          <w:sz w:val="24"/>
          <w:szCs w:val="24"/>
        </w:rPr>
        <w:t>second</w:t>
      </w:r>
      <w:r w:rsidRPr="00FE4376">
        <w:rPr>
          <w:rFonts w:ascii="Times New Roman" w:hAnsi="Times New Roman" w:cs="Times New Roman"/>
          <w:sz w:val="24"/>
          <w:szCs w:val="24"/>
        </w:rPr>
        <w:t xml:space="preserve"> statement in number 28, “My child was born out of wedlock, and I am the father through whom he/she is claiming U.S. citizenship,” provides the consular officer with information (which will need to be corroborated) that this is a citizenship claim under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  </w:t>
      </w:r>
    </w:p>
    <w:p w:rsidRPr="00FE4376" w:rsidR="00FE4376" w:rsidP="00FE4376" w:rsidRDefault="00FE4376" w14:paraId="4B321949" w14:textId="77777777">
      <w:pPr>
        <w:pStyle w:val="HTMLPreformatted"/>
        <w:ind w:left="720"/>
        <w:rPr>
          <w:rFonts w:ascii="Times New Roman" w:hAnsi="Times New Roman" w:cs="Times New Roman"/>
          <w:sz w:val="24"/>
          <w:szCs w:val="24"/>
        </w:rPr>
      </w:pPr>
    </w:p>
    <w:p w:rsidRPr="00E539E0" w:rsidR="00FE4376" w:rsidP="00E539E0" w:rsidRDefault="00FE4376" w14:paraId="2830BA13" w14:textId="56EDEF0B">
      <w:pPr>
        <w:pStyle w:val="HTMLPreformatted"/>
        <w:tabs>
          <w:tab w:val="clear" w:pos="916"/>
          <w:tab w:val="clear" w:pos="1832"/>
          <w:tab w:val="clear" w:pos="2748"/>
          <w:tab w:val="clear" w:pos="3664"/>
          <w:tab w:val="clear" w:pos="4580"/>
          <w:tab w:val="clear" w:pos="5496"/>
          <w:tab w:val="clear" w:pos="6412"/>
          <w:tab w:val="clear" w:pos="7328"/>
          <w:tab w:val="clear" w:pos="8244"/>
        </w:tabs>
        <w:ind w:left="720"/>
        <w:rPr>
          <w:rFonts w:ascii="Times New Roman" w:hAnsi="Times New Roman" w:cs="Times New Roman"/>
          <w:sz w:val="24"/>
          <w:szCs w:val="24"/>
        </w:rPr>
      </w:pPr>
      <w:r w:rsidRPr="00FE4376">
        <w:rPr>
          <w:rFonts w:ascii="Times New Roman" w:hAnsi="Times New Roman" w:cs="Times New Roman"/>
          <w:sz w:val="24"/>
          <w:szCs w:val="24"/>
        </w:rPr>
        <w:t xml:space="preserve">The </w:t>
      </w:r>
      <w:r w:rsidR="002C5A1F">
        <w:rPr>
          <w:rFonts w:ascii="Times New Roman" w:hAnsi="Times New Roman" w:cs="Times New Roman"/>
          <w:sz w:val="24"/>
          <w:szCs w:val="24"/>
        </w:rPr>
        <w:t>third</w:t>
      </w:r>
      <w:r w:rsidRPr="00FE4376">
        <w:rPr>
          <w:rFonts w:ascii="Times New Roman" w:hAnsi="Times New Roman" w:cs="Times New Roman"/>
          <w:sz w:val="24"/>
          <w:szCs w:val="24"/>
        </w:rPr>
        <w:t xml:space="preserve"> statement in number 28, “I agree to provide financial support for this child until he/she reaches the age of eighteen,” corresponds to the requirement of 8 U</w:t>
      </w:r>
      <w:r w:rsidR="00AA513E">
        <w:rPr>
          <w:rFonts w:ascii="Times New Roman" w:hAnsi="Times New Roman" w:cs="Times New Roman"/>
          <w:sz w:val="24"/>
          <w:szCs w:val="24"/>
        </w:rPr>
        <w:t>.</w:t>
      </w:r>
      <w:r w:rsidRPr="00FE4376">
        <w:rPr>
          <w:rFonts w:ascii="Times New Roman" w:hAnsi="Times New Roman" w:cs="Times New Roman"/>
          <w:sz w:val="24"/>
          <w:szCs w:val="24"/>
        </w:rPr>
        <w:t>S</w:t>
      </w:r>
      <w:r w:rsidR="00AA513E">
        <w:rPr>
          <w:rFonts w:ascii="Times New Roman" w:hAnsi="Times New Roman" w:cs="Times New Roman"/>
          <w:sz w:val="24"/>
          <w:szCs w:val="24"/>
        </w:rPr>
        <w:t>.</w:t>
      </w:r>
      <w:r w:rsidRPr="00FE4376">
        <w:rPr>
          <w:rFonts w:ascii="Times New Roman" w:hAnsi="Times New Roman" w:cs="Times New Roman"/>
          <w:sz w:val="24"/>
          <w:szCs w:val="24"/>
        </w:rPr>
        <w:t>C</w:t>
      </w:r>
      <w:r w:rsidR="00AA513E">
        <w:rPr>
          <w:rFonts w:ascii="Times New Roman" w:hAnsi="Times New Roman" w:cs="Times New Roman"/>
          <w:sz w:val="24"/>
          <w:szCs w:val="24"/>
        </w:rPr>
        <w:t xml:space="preserve">. </w:t>
      </w:r>
      <w:r w:rsidRPr="00AA513E" w:rsidR="00AA513E">
        <w:rPr>
          <w:rFonts w:ascii="Times New Roman" w:hAnsi="Times New Roman" w:cs="Times New Roman"/>
          <w:sz w:val="24"/>
          <w:szCs w:val="24"/>
        </w:rPr>
        <w:t>§</w:t>
      </w:r>
      <w:r w:rsidRPr="00FE4376">
        <w:rPr>
          <w:rFonts w:ascii="Times New Roman" w:hAnsi="Times New Roman" w:cs="Times New Roman"/>
          <w:sz w:val="24"/>
          <w:szCs w:val="24"/>
        </w:rPr>
        <w:t xml:space="preserve"> 1409(a)(3), that the father has agreed in writing to support the child until the child reaches the age of 18.  However, if this box is not checked, the consular officer must still consider whether other documentation suffices to establish this requirement in accordance with 8 Foreign Affairs Manual (FAM) 301.7-4(E)(3)   </w:t>
      </w:r>
      <w:r>
        <w:rPr>
          <w:rFonts w:ascii="Times New Roman" w:hAnsi="Times New Roman" w:cs="Times New Roman"/>
          <w:sz w:val="24"/>
          <w:szCs w:val="24"/>
        </w:rPr>
        <w:t xml:space="preserve">  </w:t>
      </w:r>
    </w:p>
    <w:p w:rsidRPr="00974A07" w:rsidR="00164DB0" w:rsidP="00164DB0" w:rsidRDefault="00164DB0" w14:paraId="117F6215" w14:textId="77777777">
      <w:pPr>
        <w:pStyle w:val="BodyTextIndent"/>
        <w:ind w:left="0"/>
      </w:pPr>
    </w:p>
    <w:p w:rsidRPr="007922DB" w:rsidR="00FA290C" w:rsidP="00FA290C" w:rsidRDefault="00FA290C" w14:paraId="4341A042" w14:textId="77777777">
      <w:pPr>
        <w:numPr>
          <w:ilvl w:val="0"/>
          <w:numId w:val="10"/>
        </w:numPr>
        <w:spacing w:after="120"/>
        <w:rPr>
          <w:i/>
          <w:color w:val="000000" w:themeColor="text1"/>
        </w:rPr>
      </w:pPr>
      <w:r w:rsidRPr="007922DB">
        <w:rPr>
          <w:i/>
          <w:color w:val="000000" w:themeColor="text1"/>
        </w:rPr>
        <w:lastRenderedPageBreak/>
        <w:t>Is this collection able to be completed electronically (e.g. through a website or application)?</w:t>
      </w:r>
    </w:p>
    <w:p w:rsidR="00FA290C" w:rsidP="00164DB0" w:rsidRDefault="00164DB0" w14:paraId="5DC00AA5" w14:textId="29AB8E24">
      <w:pPr>
        <w:pStyle w:val="ListParagraph"/>
        <w:ind w:left="0"/>
        <w:rPr>
          <w:rFonts w:ascii="Times New Roman" w:hAnsi="Times New Roman" w:cs="Times New Roman"/>
          <w:i/>
          <w:sz w:val="24"/>
          <w:szCs w:val="24"/>
        </w:rPr>
      </w:pPr>
      <w:r w:rsidRPr="00974A07">
        <w:rPr>
          <w:rFonts w:ascii="Times New Roman" w:hAnsi="Times New Roman" w:cs="Times New Roman"/>
          <w:i/>
          <w:sz w:val="24"/>
          <w:szCs w:val="24"/>
        </w:rPr>
        <w:t xml:space="preserve"> </w:t>
      </w:r>
    </w:p>
    <w:p w:rsidR="00FA290C" w:rsidP="00164DB0" w:rsidRDefault="00FA290C" w14:paraId="6930F8C2" w14:textId="77777777">
      <w:pPr>
        <w:pStyle w:val="ListParagraph"/>
        <w:ind w:left="0"/>
        <w:rPr>
          <w:rFonts w:ascii="Times New Roman" w:hAnsi="Times New Roman" w:cs="Times New Roman"/>
          <w:i/>
          <w:sz w:val="24"/>
          <w:szCs w:val="24"/>
        </w:rPr>
      </w:pPr>
    </w:p>
    <w:p w:rsidRPr="00974A07" w:rsidR="00164DB0" w:rsidP="00E539E0" w:rsidRDefault="00164DB0" w14:paraId="117F6216" w14:textId="1BC5A6C4">
      <w:pPr>
        <w:pStyle w:val="ListParagraph"/>
        <w:rPr>
          <w:rFonts w:ascii="Times New Roman" w:hAnsi="Times New Roman" w:cs="Times New Roman"/>
          <w:sz w:val="24"/>
          <w:szCs w:val="24"/>
        </w:rPr>
      </w:pPr>
      <w:r w:rsidRPr="34F3EAD0">
        <w:rPr>
          <w:rFonts w:ascii="Times New Roman" w:hAnsi="Times New Roman" w:cs="Times New Roman"/>
          <w:i/>
          <w:iCs/>
          <w:sz w:val="24"/>
          <w:szCs w:val="24"/>
        </w:rPr>
        <w:t xml:space="preserve"> </w:t>
      </w:r>
      <w:r w:rsidRPr="34F3EAD0">
        <w:rPr>
          <w:rFonts w:ascii="Times New Roman" w:hAnsi="Times New Roman" w:cs="Times New Roman"/>
          <w:sz w:val="24"/>
          <w:szCs w:val="24"/>
        </w:rPr>
        <w:t xml:space="preserve">The Department </w:t>
      </w:r>
      <w:r w:rsidRPr="34F3EAD0" w:rsidR="00851A96">
        <w:rPr>
          <w:rFonts w:ascii="Times New Roman" w:hAnsi="Times New Roman" w:cs="Times New Roman"/>
          <w:sz w:val="24"/>
          <w:szCs w:val="24"/>
        </w:rPr>
        <w:t>has</w:t>
      </w:r>
      <w:r w:rsidRPr="34F3EAD0">
        <w:rPr>
          <w:rFonts w:ascii="Times New Roman" w:hAnsi="Times New Roman" w:cs="Times New Roman"/>
          <w:sz w:val="24"/>
          <w:szCs w:val="24"/>
        </w:rPr>
        <w:t xml:space="preserve"> </w:t>
      </w:r>
      <w:r w:rsidRPr="34F3EAD0" w:rsidR="00851A96">
        <w:rPr>
          <w:rFonts w:ascii="Times New Roman" w:hAnsi="Times New Roman" w:cs="Times New Roman"/>
          <w:sz w:val="24"/>
          <w:szCs w:val="24"/>
        </w:rPr>
        <w:t xml:space="preserve">incorporated </w:t>
      </w:r>
      <w:r w:rsidRPr="34F3EAD0">
        <w:rPr>
          <w:rFonts w:ascii="Times New Roman" w:hAnsi="Times New Roman" w:cs="Times New Roman"/>
          <w:sz w:val="24"/>
          <w:szCs w:val="24"/>
        </w:rPr>
        <w:t>the substance of the</w:t>
      </w:r>
      <w:r w:rsidRPr="34F3EAD0" w:rsidR="00C8698A">
        <w:rPr>
          <w:rFonts w:ascii="Times New Roman" w:hAnsi="Times New Roman" w:cs="Times New Roman"/>
          <w:sz w:val="24"/>
          <w:szCs w:val="24"/>
        </w:rPr>
        <w:t xml:space="preserve"> Form</w:t>
      </w:r>
      <w:r w:rsidRPr="34F3EAD0">
        <w:rPr>
          <w:rFonts w:ascii="Times New Roman" w:hAnsi="Times New Roman" w:cs="Times New Roman"/>
          <w:sz w:val="24"/>
          <w:szCs w:val="24"/>
        </w:rPr>
        <w:t xml:space="preserve"> DS-2029 into an online format to provide applicants with the option to complete and submit the form via the internet. This </w:t>
      </w:r>
      <w:r w:rsidRPr="34F3EAD0" w:rsidR="00851A96">
        <w:rPr>
          <w:rFonts w:ascii="Times New Roman" w:hAnsi="Times New Roman" w:cs="Times New Roman"/>
          <w:sz w:val="24"/>
          <w:szCs w:val="24"/>
        </w:rPr>
        <w:t xml:space="preserve">online application, or eCRBA, </w:t>
      </w:r>
      <w:r w:rsidRPr="34F3EAD0">
        <w:rPr>
          <w:rFonts w:ascii="Times New Roman" w:hAnsi="Times New Roman" w:cs="Times New Roman"/>
          <w:sz w:val="24"/>
          <w:szCs w:val="24"/>
        </w:rPr>
        <w:t xml:space="preserve">is part of the Department’s ConsularOne modernization project.  </w:t>
      </w:r>
      <w:r w:rsidRPr="34F3EAD0" w:rsidR="006905A1">
        <w:rPr>
          <w:rFonts w:ascii="Times New Roman" w:hAnsi="Times New Roman" w:cs="Times New Roman"/>
          <w:sz w:val="24"/>
          <w:szCs w:val="24"/>
        </w:rPr>
        <w:t>T</w:t>
      </w:r>
      <w:r w:rsidRPr="34F3EAD0" w:rsidR="00A34CD1">
        <w:rPr>
          <w:rFonts w:ascii="Times New Roman" w:hAnsi="Times New Roman" w:cs="Times New Roman"/>
          <w:sz w:val="24"/>
          <w:szCs w:val="24"/>
        </w:rPr>
        <w:t xml:space="preserve">he online </w:t>
      </w:r>
      <w:r w:rsidRPr="34F3EAD0" w:rsidR="00C8698A">
        <w:rPr>
          <w:rFonts w:ascii="Times New Roman" w:hAnsi="Times New Roman" w:cs="Times New Roman"/>
          <w:sz w:val="24"/>
          <w:szCs w:val="24"/>
        </w:rPr>
        <w:t xml:space="preserve">Form </w:t>
      </w:r>
      <w:r w:rsidRPr="34F3EAD0" w:rsidR="00A34CD1">
        <w:rPr>
          <w:rFonts w:ascii="Times New Roman" w:hAnsi="Times New Roman" w:cs="Times New Roman"/>
          <w:sz w:val="24"/>
          <w:szCs w:val="24"/>
        </w:rPr>
        <w:t xml:space="preserve">DS-2029 </w:t>
      </w:r>
      <w:r w:rsidRPr="34F3EAD0" w:rsidR="00520EEC">
        <w:rPr>
          <w:rFonts w:ascii="Times New Roman" w:hAnsi="Times New Roman" w:cs="Times New Roman"/>
          <w:sz w:val="24"/>
          <w:szCs w:val="24"/>
        </w:rPr>
        <w:t xml:space="preserve">was </w:t>
      </w:r>
      <w:r w:rsidRPr="34F3EAD0" w:rsidR="00A34CD1">
        <w:rPr>
          <w:rFonts w:ascii="Times New Roman" w:hAnsi="Times New Roman" w:cs="Times New Roman"/>
          <w:sz w:val="24"/>
          <w:szCs w:val="24"/>
        </w:rPr>
        <w:t>piloted</w:t>
      </w:r>
      <w:r w:rsidRPr="34F3EAD0" w:rsidR="007E7E75">
        <w:rPr>
          <w:rFonts w:ascii="Times New Roman" w:hAnsi="Times New Roman" w:cs="Times New Roman"/>
          <w:sz w:val="24"/>
          <w:szCs w:val="24"/>
        </w:rPr>
        <w:t xml:space="preserve"> </w:t>
      </w:r>
      <w:r w:rsidRPr="34F3EAD0" w:rsidR="00B6239B">
        <w:rPr>
          <w:rFonts w:ascii="Times New Roman" w:hAnsi="Times New Roman" w:cs="Times New Roman"/>
          <w:sz w:val="24"/>
          <w:szCs w:val="24"/>
        </w:rPr>
        <w:t xml:space="preserve">in March </w:t>
      </w:r>
      <w:r w:rsidRPr="34F3EAD0" w:rsidR="007E7E75">
        <w:rPr>
          <w:rFonts w:ascii="Times New Roman" w:hAnsi="Times New Roman" w:cs="Times New Roman"/>
          <w:sz w:val="24"/>
          <w:szCs w:val="24"/>
        </w:rPr>
        <w:t>2019</w:t>
      </w:r>
      <w:r w:rsidRPr="34F3EAD0" w:rsidR="006905A1">
        <w:rPr>
          <w:rFonts w:ascii="Times New Roman" w:hAnsi="Times New Roman" w:cs="Times New Roman"/>
          <w:sz w:val="24"/>
          <w:szCs w:val="24"/>
        </w:rPr>
        <w:t xml:space="preserve">, </w:t>
      </w:r>
      <w:r w:rsidRPr="34F3EAD0" w:rsidR="00C448F7">
        <w:rPr>
          <w:rFonts w:ascii="Times New Roman" w:hAnsi="Times New Roman" w:cs="Times New Roman"/>
          <w:sz w:val="24"/>
          <w:szCs w:val="24"/>
        </w:rPr>
        <w:t>so</w:t>
      </w:r>
      <w:r w:rsidRPr="34F3EAD0" w:rsidR="006905A1">
        <w:rPr>
          <w:rFonts w:ascii="Times New Roman" w:hAnsi="Times New Roman" w:cs="Times New Roman"/>
          <w:sz w:val="24"/>
          <w:szCs w:val="24"/>
        </w:rPr>
        <w:t xml:space="preserve"> t</w:t>
      </w:r>
      <w:r w:rsidRPr="34F3EAD0">
        <w:rPr>
          <w:rFonts w:ascii="Times New Roman" w:hAnsi="Times New Roman" w:cs="Times New Roman"/>
          <w:sz w:val="24"/>
          <w:szCs w:val="24"/>
        </w:rPr>
        <w:t xml:space="preserve">he applicant </w:t>
      </w:r>
      <w:r w:rsidRPr="34F3EAD0" w:rsidR="006905A1">
        <w:rPr>
          <w:rFonts w:ascii="Times New Roman" w:hAnsi="Times New Roman" w:cs="Times New Roman"/>
          <w:sz w:val="24"/>
          <w:szCs w:val="24"/>
        </w:rPr>
        <w:t>can</w:t>
      </w:r>
      <w:r w:rsidRPr="34F3EAD0">
        <w:rPr>
          <w:rFonts w:ascii="Times New Roman" w:hAnsi="Times New Roman" w:cs="Times New Roman"/>
          <w:sz w:val="24"/>
          <w:szCs w:val="24"/>
        </w:rPr>
        <w:t xml:space="preserve"> complete </w:t>
      </w:r>
      <w:r w:rsidRPr="34F3EAD0" w:rsidR="006905A1">
        <w:rPr>
          <w:rFonts w:ascii="Times New Roman" w:hAnsi="Times New Roman" w:cs="Times New Roman"/>
          <w:sz w:val="24"/>
          <w:szCs w:val="24"/>
        </w:rPr>
        <w:t xml:space="preserve">and submit </w:t>
      </w:r>
      <w:r w:rsidRPr="34F3EAD0">
        <w:rPr>
          <w:rFonts w:ascii="Times New Roman" w:hAnsi="Times New Roman" w:cs="Times New Roman"/>
          <w:sz w:val="24"/>
          <w:szCs w:val="24"/>
        </w:rPr>
        <w:t>the form</w:t>
      </w:r>
      <w:r w:rsidRPr="34F3EAD0" w:rsidR="006905A1">
        <w:rPr>
          <w:rFonts w:ascii="Times New Roman" w:hAnsi="Times New Roman" w:cs="Times New Roman"/>
          <w:sz w:val="24"/>
          <w:szCs w:val="24"/>
        </w:rPr>
        <w:t xml:space="preserve"> online</w:t>
      </w:r>
      <w:r w:rsidRPr="34F3EAD0">
        <w:rPr>
          <w:rFonts w:ascii="Times New Roman" w:hAnsi="Times New Roman" w:cs="Times New Roman"/>
          <w:sz w:val="24"/>
          <w:szCs w:val="24"/>
        </w:rPr>
        <w:t xml:space="preserve"> and upload </w:t>
      </w:r>
      <w:r w:rsidRPr="34F3EAD0" w:rsidR="006905A1">
        <w:rPr>
          <w:rFonts w:ascii="Times New Roman" w:hAnsi="Times New Roman" w:cs="Times New Roman"/>
          <w:sz w:val="24"/>
          <w:szCs w:val="24"/>
        </w:rPr>
        <w:t xml:space="preserve">and submit </w:t>
      </w:r>
      <w:r w:rsidRPr="34F3EAD0">
        <w:rPr>
          <w:rFonts w:ascii="Times New Roman" w:hAnsi="Times New Roman" w:cs="Times New Roman"/>
          <w:sz w:val="24"/>
          <w:szCs w:val="24"/>
        </w:rPr>
        <w:t xml:space="preserve">supporting documentation in electronic format.  The applicant also </w:t>
      </w:r>
      <w:r w:rsidRPr="34F3EAD0" w:rsidR="006905A1">
        <w:rPr>
          <w:rFonts w:ascii="Times New Roman" w:hAnsi="Times New Roman" w:cs="Times New Roman"/>
          <w:sz w:val="24"/>
          <w:szCs w:val="24"/>
        </w:rPr>
        <w:t>can</w:t>
      </w:r>
      <w:r w:rsidRPr="34F3EAD0">
        <w:rPr>
          <w:rFonts w:ascii="Times New Roman" w:hAnsi="Times New Roman" w:cs="Times New Roman"/>
          <w:sz w:val="24"/>
          <w:szCs w:val="24"/>
        </w:rPr>
        <w:t xml:space="preserve"> pay the relevant fee and schedule an appointment to appear at the adjudicating post for an interview through this online application.</w:t>
      </w:r>
      <w:r w:rsidRPr="34F3EAD0" w:rsidR="006703D9">
        <w:rPr>
          <w:rFonts w:ascii="Times New Roman" w:hAnsi="Times New Roman" w:cs="Times New Roman"/>
          <w:sz w:val="24"/>
          <w:szCs w:val="24"/>
        </w:rPr>
        <w:t xml:space="preserve">  While the current pilot is </w:t>
      </w:r>
      <w:r w:rsidRPr="34F3EAD0" w:rsidR="006905A1">
        <w:rPr>
          <w:rFonts w:ascii="Times New Roman" w:hAnsi="Times New Roman" w:cs="Times New Roman"/>
          <w:sz w:val="24"/>
          <w:szCs w:val="24"/>
        </w:rPr>
        <w:t xml:space="preserve">not available </w:t>
      </w:r>
      <w:r w:rsidRPr="34F3EAD0" w:rsidR="006703D9">
        <w:rPr>
          <w:rFonts w:ascii="Times New Roman" w:hAnsi="Times New Roman" w:cs="Times New Roman"/>
          <w:sz w:val="24"/>
          <w:szCs w:val="24"/>
        </w:rPr>
        <w:t xml:space="preserve">for use </w:t>
      </w:r>
      <w:r w:rsidRPr="34F3EAD0" w:rsidR="006905A1">
        <w:rPr>
          <w:rFonts w:ascii="Times New Roman" w:hAnsi="Times New Roman" w:cs="Times New Roman"/>
          <w:sz w:val="24"/>
          <w:szCs w:val="24"/>
        </w:rPr>
        <w:t>in Assisted Reproductive Technology cases</w:t>
      </w:r>
      <w:r w:rsidRPr="34F3EAD0" w:rsidR="56288236">
        <w:rPr>
          <w:rFonts w:ascii="Times New Roman" w:hAnsi="Times New Roman" w:cs="Times New Roman"/>
          <w:sz w:val="24"/>
          <w:szCs w:val="24"/>
        </w:rPr>
        <w:t xml:space="preserve"> (including surrogacy)</w:t>
      </w:r>
      <w:r w:rsidRPr="34F3EAD0" w:rsidR="006703D9">
        <w:rPr>
          <w:rFonts w:ascii="Times New Roman" w:hAnsi="Times New Roman" w:cs="Times New Roman"/>
          <w:sz w:val="24"/>
          <w:szCs w:val="24"/>
        </w:rPr>
        <w:t xml:space="preserve">, </w:t>
      </w:r>
      <w:r w:rsidRPr="34F3EAD0" w:rsidR="006905A1">
        <w:rPr>
          <w:rFonts w:ascii="Times New Roman" w:hAnsi="Times New Roman" w:cs="Times New Roman"/>
          <w:sz w:val="24"/>
          <w:szCs w:val="24"/>
        </w:rPr>
        <w:t xml:space="preserve">this capability will be included in the </w:t>
      </w:r>
      <w:r w:rsidRPr="00E539E0" w:rsidR="006703D9">
        <w:rPr>
          <w:rFonts w:ascii="Times New Roman" w:hAnsi="Times New Roman" w:cs="Times New Roman"/>
          <w:sz w:val="24"/>
          <w:szCs w:val="24"/>
        </w:rPr>
        <w:t xml:space="preserve">full deployment of </w:t>
      </w:r>
      <w:r w:rsidRPr="00E539E0" w:rsidR="006905A1">
        <w:rPr>
          <w:rFonts w:ascii="Times New Roman" w:hAnsi="Times New Roman" w:cs="Times New Roman"/>
          <w:sz w:val="24"/>
          <w:szCs w:val="24"/>
        </w:rPr>
        <w:t xml:space="preserve">the </w:t>
      </w:r>
      <w:r w:rsidRPr="00E539E0" w:rsidR="006703D9">
        <w:rPr>
          <w:rFonts w:ascii="Times New Roman" w:hAnsi="Times New Roman" w:cs="Times New Roman"/>
          <w:sz w:val="24"/>
          <w:szCs w:val="24"/>
        </w:rPr>
        <w:t xml:space="preserve">eCRBA </w:t>
      </w:r>
      <w:r w:rsidRPr="00E539E0" w:rsidR="006905A1">
        <w:rPr>
          <w:rFonts w:ascii="Times New Roman" w:hAnsi="Times New Roman" w:cs="Times New Roman"/>
          <w:sz w:val="24"/>
          <w:szCs w:val="24"/>
        </w:rPr>
        <w:t>application</w:t>
      </w:r>
      <w:r w:rsidRPr="00E539E0" w:rsidR="000375A8">
        <w:rPr>
          <w:rFonts w:ascii="Times New Roman" w:hAnsi="Times New Roman" w:cs="Times New Roman"/>
          <w:sz w:val="24"/>
          <w:szCs w:val="24"/>
        </w:rPr>
        <w:t>.</w:t>
      </w:r>
      <w:r w:rsidRPr="34F3EAD0">
        <w:rPr>
          <w:rFonts w:ascii="Times New Roman" w:hAnsi="Times New Roman" w:cs="Times New Roman"/>
          <w:sz w:val="24"/>
          <w:szCs w:val="24"/>
        </w:rPr>
        <w:t xml:space="preserve"> The Department has polled its posts around the world</w:t>
      </w:r>
      <w:r w:rsidRPr="34F3EAD0" w:rsidR="00520EEC">
        <w:rPr>
          <w:rFonts w:ascii="Times New Roman" w:hAnsi="Times New Roman" w:cs="Times New Roman"/>
          <w:sz w:val="24"/>
          <w:szCs w:val="24"/>
        </w:rPr>
        <w:t>;</w:t>
      </w:r>
      <w:r w:rsidRPr="34F3EAD0">
        <w:rPr>
          <w:rFonts w:ascii="Times New Roman" w:hAnsi="Times New Roman" w:cs="Times New Roman"/>
          <w:sz w:val="24"/>
          <w:szCs w:val="24"/>
        </w:rPr>
        <w:t xml:space="preserve"> posts are highly supportive of this endeavor, and believe that a properly</w:t>
      </w:r>
      <w:r w:rsidRPr="34F3EAD0" w:rsidR="00520EEC">
        <w:rPr>
          <w:rFonts w:ascii="Times New Roman" w:hAnsi="Times New Roman" w:cs="Times New Roman"/>
          <w:sz w:val="24"/>
          <w:szCs w:val="24"/>
        </w:rPr>
        <w:t xml:space="preserve"> </w:t>
      </w:r>
      <w:r w:rsidRPr="34F3EAD0">
        <w:rPr>
          <w:rFonts w:ascii="Times New Roman" w:hAnsi="Times New Roman" w:cs="Times New Roman"/>
          <w:sz w:val="24"/>
          <w:szCs w:val="24"/>
        </w:rPr>
        <w:t>designed online application could save substantial time and effort.</w:t>
      </w:r>
    </w:p>
    <w:p w:rsidRPr="00974A07" w:rsidR="00164DB0" w:rsidP="00C448F7" w:rsidRDefault="00164DB0" w14:paraId="117F6217" w14:textId="77777777">
      <w:pPr>
        <w:pStyle w:val="ListParagraph"/>
        <w:rPr>
          <w:rFonts w:ascii="Times New Roman" w:hAnsi="Times New Roman" w:cs="Times New Roman"/>
          <w:sz w:val="24"/>
          <w:szCs w:val="24"/>
        </w:rPr>
      </w:pPr>
    </w:p>
    <w:p w:rsidRPr="00974A07" w:rsidR="00164DB0" w:rsidP="00E539E0" w:rsidRDefault="00164DB0" w14:paraId="117F6218" w14:textId="089B6E78">
      <w:pPr>
        <w:pStyle w:val="ListParagraph"/>
        <w:rPr>
          <w:rFonts w:ascii="Times New Roman" w:hAnsi="Times New Roman" w:cs="Times New Roman"/>
          <w:sz w:val="24"/>
          <w:szCs w:val="24"/>
        </w:rPr>
      </w:pPr>
      <w:r w:rsidRPr="00974A07">
        <w:rPr>
          <w:rFonts w:ascii="Times New Roman" w:hAnsi="Times New Roman" w:cs="Times New Roman"/>
          <w:sz w:val="24"/>
          <w:szCs w:val="24"/>
        </w:rPr>
        <w:t xml:space="preserve">An online </w:t>
      </w:r>
      <w:r w:rsidR="00C8698A">
        <w:rPr>
          <w:rFonts w:ascii="Times New Roman" w:hAnsi="Times New Roman" w:cs="Times New Roman"/>
          <w:sz w:val="24"/>
          <w:szCs w:val="24"/>
        </w:rPr>
        <w:t>Form DS-2029</w:t>
      </w:r>
      <w:r w:rsidRPr="00974A07">
        <w:rPr>
          <w:rFonts w:ascii="Times New Roman" w:hAnsi="Times New Roman" w:cs="Times New Roman"/>
          <w:sz w:val="24"/>
          <w:szCs w:val="24"/>
        </w:rPr>
        <w:t xml:space="preserve"> would not supplant the physical DS-2029.  In areas where internet access is unreliable, or where the applicant pool may not have technological </w:t>
      </w:r>
      <w:r w:rsidR="00D55255">
        <w:rPr>
          <w:rFonts w:ascii="Times New Roman" w:hAnsi="Times New Roman" w:cs="Times New Roman"/>
          <w:sz w:val="24"/>
          <w:szCs w:val="24"/>
        </w:rPr>
        <w:t>ability</w:t>
      </w:r>
      <w:r w:rsidRPr="00974A07" w:rsidR="00D55255">
        <w:rPr>
          <w:rFonts w:ascii="Times New Roman" w:hAnsi="Times New Roman" w:cs="Times New Roman"/>
          <w:sz w:val="24"/>
          <w:szCs w:val="24"/>
        </w:rPr>
        <w:t xml:space="preserve"> </w:t>
      </w:r>
      <w:r w:rsidRPr="00974A07">
        <w:rPr>
          <w:rFonts w:ascii="Times New Roman" w:hAnsi="Times New Roman" w:cs="Times New Roman"/>
          <w:sz w:val="24"/>
          <w:szCs w:val="24"/>
        </w:rPr>
        <w:t xml:space="preserve">to successfully submit an application online, the Department has a duty to provide U.S. citizens with the choice to use a paper </w:t>
      </w:r>
      <w:r>
        <w:rPr>
          <w:rFonts w:ascii="Times New Roman" w:hAnsi="Times New Roman" w:cs="Times New Roman"/>
          <w:sz w:val="24"/>
          <w:szCs w:val="24"/>
        </w:rPr>
        <w:t>form</w:t>
      </w:r>
      <w:r w:rsidRPr="00974A07">
        <w:rPr>
          <w:rFonts w:ascii="Times New Roman" w:hAnsi="Times New Roman" w:cs="Times New Roman"/>
          <w:sz w:val="24"/>
          <w:szCs w:val="24"/>
        </w:rPr>
        <w:t xml:space="preserve">.  </w:t>
      </w:r>
    </w:p>
    <w:p w:rsidRPr="00974A07" w:rsidR="00164DB0" w:rsidP="00164DB0" w:rsidRDefault="00164DB0" w14:paraId="117F6219" w14:textId="77777777">
      <w:pPr>
        <w:pStyle w:val="ListParagraph"/>
        <w:ind w:left="0"/>
        <w:rPr>
          <w:rFonts w:ascii="Times New Roman" w:hAnsi="Times New Roman" w:cs="Times New Roman"/>
          <w:sz w:val="24"/>
          <w:szCs w:val="24"/>
        </w:rPr>
      </w:pPr>
    </w:p>
    <w:p w:rsidRPr="007922DB" w:rsidR="004A345F" w:rsidP="004A345F" w:rsidRDefault="004A345F" w14:paraId="1DE8C86D" w14:textId="77777777">
      <w:pPr>
        <w:numPr>
          <w:ilvl w:val="0"/>
          <w:numId w:val="10"/>
        </w:numPr>
        <w:spacing w:after="120"/>
        <w:rPr>
          <w:i/>
          <w:color w:val="000000" w:themeColor="text1"/>
        </w:rPr>
      </w:pPr>
      <w:r w:rsidRPr="007922DB">
        <w:rPr>
          <w:i/>
          <w:color w:val="000000" w:themeColor="text1"/>
        </w:rPr>
        <w:t>Does this collection duplicate any other collection of information?</w:t>
      </w:r>
    </w:p>
    <w:p w:rsidR="004A345F" w:rsidP="007138DD" w:rsidRDefault="004A345F" w14:paraId="159D3158" w14:textId="77777777">
      <w:pPr>
        <w:rPr>
          <w:bCs/>
        </w:rPr>
      </w:pPr>
    </w:p>
    <w:p w:rsidR="0034476A" w:rsidP="00E539E0" w:rsidRDefault="007138DD" w14:paraId="77C86B4E" w14:textId="1ADCF5A9">
      <w:pPr>
        <w:ind w:left="720"/>
      </w:pPr>
      <w:r w:rsidRPr="007138DD">
        <w:rPr>
          <w:bCs/>
        </w:rPr>
        <w:t xml:space="preserve">Some information </w:t>
      </w:r>
      <w:r w:rsidRPr="007138DD">
        <w:t>requested</w:t>
      </w:r>
      <w:r w:rsidRPr="007138DD">
        <w:rPr>
          <w:bCs/>
        </w:rPr>
        <w:t xml:space="preserve"> on the </w:t>
      </w:r>
      <w:r w:rsidR="00C8698A">
        <w:rPr>
          <w:bCs/>
        </w:rPr>
        <w:t xml:space="preserve">Form </w:t>
      </w:r>
      <w:r w:rsidRPr="007138DD">
        <w:rPr>
          <w:bCs/>
        </w:rPr>
        <w:t xml:space="preserve">DS-2029 </w:t>
      </w:r>
      <w:r w:rsidRPr="007138DD">
        <w:t>is</w:t>
      </w:r>
      <w:r w:rsidRPr="007138DD">
        <w:rPr>
          <w:bCs/>
        </w:rPr>
        <w:t xml:space="preserve"> duplicative of information </w:t>
      </w:r>
      <w:r w:rsidRPr="007138DD">
        <w:t>requested</w:t>
      </w:r>
      <w:r w:rsidRPr="007138DD">
        <w:rPr>
          <w:bCs/>
        </w:rPr>
        <w:t xml:space="preserve"> on Form DS-5507, Affidavit of Physical Presence, Parentage, and Support. </w:t>
      </w:r>
      <w:r w:rsidRPr="007138DD">
        <w:t xml:space="preserve">The </w:t>
      </w:r>
      <w:r w:rsidR="00C8698A">
        <w:t xml:space="preserve">Form </w:t>
      </w:r>
      <w:r w:rsidRPr="007138DD">
        <w:t>DS-2029 is designed so that both parents of the child born abroad can provide their information on the same form, including, for the U.S. citizen transmitting parent, dates of physical presence or prior residence in the United States or other qualifying time as provided by the birth abroad statutes.</w:t>
      </w:r>
      <w:r w:rsidRPr="007138DD">
        <w:rPr>
          <w:bCs/>
        </w:rPr>
        <w:t xml:space="preserve"> </w:t>
      </w:r>
      <w:r w:rsidRPr="007138DD">
        <w:t xml:space="preserve">If a non U.S. citizen parent is submitting the </w:t>
      </w:r>
      <w:r w:rsidR="000B75B7">
        <w:t xml:space="preserve">Form </w:t>
      </w:r>
      <w:r w:rsidRPr="007138DD">
        <w:t xml:space="preserve">DS-2029 at a U.S. Embassy or Consulate and the transmitting U.S. citizen parent is not present for that appointment, the parents are permitted in many cases to submit a </w:t>
      </w:r>
      <w:r w:rsidR="000B75B7">
        <w:t xml:space="preserve">Form </w:t>
      </w:r>
      <w:r w:rsidRPr="007138DD">
        <w:t xml:space="preserve">DS-5507 completed before a U.S. notary (or other person authorized to take oaths or affirmations) along with the </w:t>
      </w:r>
      <w:r w:rsidR="000B75B7">
        <w:t xml:space="preserve">Form </w:t>
      </w:r>
      <w:r w:rsidRPr="007138DD">
        <w:t xml:space="preserve">DS-2029.  The </w:t>
      </w:r>
      <w:r w:rsidR="000B75B7">
        <w:t xml:space="preserve">Form </w:t>
      </w:r>
      <w:r w:rsidRPr="007138DD">
        <w:t xml:space="preserve">DS-5507 requests the same information regarding parentage and dates of physical presence or prior residence in the United States as the </w:t>
      </w:r>
      <w:r w:rsidR="000B75B7">
        <w:t xml:space="preserve">Form </w:t>
      </w:r>
      <w:r w:rsidRPr="007138DD">
        <w:t xml:space="preserve">DS-2029.  Additionally, for a citizenship claim by </w:t>
      </w:r>
      <w:r w:rsidR="000B75B7">
        <w:t xml:space="preserve">out of wedlock </w:t>
      </w:r>
      <w:r w:rsidRPr="007138DD">
        <w:t xml:space="preserve">birth abroad to a U.S. citizen father, both the </w:t>
      </w:r>
      <w:r w:rsidR="000B75B7">
        <w:t xml:space="preserve">Form </w:t>
      </w:r>
      <w:r w:rsidRPr="007138DD">
        <w:t>DS</w:t>
      </w:r>
      <w:r w:rsidR="000B75B7">
        <w:t>-</w:t>
      </w:r>
      <w:r w:rsidRPr="007138DD">
        <w:t xml:space="preserve">2029 and the </w:t>
      </w:r>
      <w:r w:rsidR="000B75B7">
        <w:t xml:space="preserve">Form </w:t>
      </w:r>
      <w:r w:rsidRPr="007138DD">
        <w:t>DS</w:t>
      </w:r>
      <w:r w:rsidR="000B75B7">
        <w:t>-</w:t>
      </w:r>
      <w:r w:rsidRPr="007138DD">
        <w:t xml:space="preserve">5507 request acknowledgement of paternity under oath and a statement agreeing to support the child financially until the age of 18.  </w:t>
      </w:r>
      <w:r w:rsidR="00827B05">
        <w:t xml:space="preserve"> </w:t>
      </w:r>
    </w:p>
    <w:p w:rsidR="0034476A" w:rsidP="00E539E0" w:rsidRDefault="0034476A" w14:paraId="719AE0A9" w14:textId="77777777">
      <w:pPr>
        <w:ind w:left="720"/>
      </w:pPr>
      <w:commentRangeStart w:id="5"/>
      <w:commentRangeEnd w:id="5"/>
    </w:p>
    <w:p w:rsidRPr="00E539E0" w:rsidR="007138DD" w:rsidP="00E539E0" w:rsidRDefault="007138DD" w14:paraId="4F2D5173" w14:textId="575B1555">
      <w:pPr>
        <w:ind w:left="720"/>
        <w:rPr>
          <w:color w:val="0070C0"/>
        </w:rPr>
      </w:pPr>
      <w:r w:rsidRPr="007138DD">
        <w:t xml:space="preserve">It is not expected that a transmitting U.S. citizen parent who completes the </w:t>
      </w:r>
      <w:r w:rsidR="000B75B7">
        <w:t xml:space="preserve">Form </w:t>
      </w:r>
      <w:r w:rsidRPr="007138DD">
        <w:t>DS</w:t>
      </w:r>
      <w:r w:rsidR="000B75B7">
        <w:t>-</w:t>
      </w:r>
      <w:r w:rsidRPr="007138DD">
        <w:t xml:space="preserve">2029 would also be required to complete the </w:t>
      </w:r>
      <w:r w:rsidR="000B75B7">
        <w:t xml:space="preserve">Form </w:t>
      </w:r>
      <w:r w:rsidRPr="007138DD">
        <w:t>DS</w:t>
      </w:r>
      <w:r w:rsidR="000B75B7">
        <w:t>-</w:t>
      </w:r>
      <w:r w:rsidRPr="007138DD">
        <w:t>5507 or vice versa.</w:t>
      </w:r>
      <w:r w:rsidR="00C448F7">
        <w:t xml:space="preserve">  It is also not expected that the applying parent complete the sections on the</w:t>
      </w:r>
      <w:r w:rsidR="000B75B7">
        <w:t xml:space="preserve"> Form</w:t>
      </w:r>
      <w:r w:rsidR="00C448F7">
        <w:t xml:space="preserve"> </w:t>
      </w:r>
      <w:r w:rsidR="00C448F7">
        <w:lastRenderedPageBreak/>
        <w:t>DS-2029</w:t>
      </w:r>
      <w:r w:rsidR="00BF359E">
        <w:rPr>
          <w:rFonts w:ascii="Century Gothic" w:hAnsi="Century Gothic"/>
          <w:b/>
          <w:bCs/>
          <w:strike/>
        </w:rPr>
        <w:t xml:space="preserve"> </w:t>
      </w:r>
      <w:r w:rsidRPr="00E539E0" w:rsidR="00BF359E">
        <w:rPr>
          <w:bCs/>
        </w:rPr>
        <w:t xml:space="preserve">pertaining to the other parent if that parent is completing the </w:t>
      </w:r>
      <w:r w:rsidR="000B75B7">
        <w:rPr>
          <w:bCs/>
        </w:rPr>
        <w:t xml:space="preserve">Form </w:t>
      </w:r>
      <w:r w:rsidRPr="00E539E0" w:rsidR="00BF359E">
        <w:rPr>
          <w:bCs/>
        </w:rPr>
        <w:t>DS</w:t>
      </w:r>
      <w:r w:rsidR="000B75B7">
        <w:rPr>
          <w:bCs/>
        </w:rPr>
        <w:t>-</w:t>
      </w:r>
      <w:r w:rsidRPr="00E539E0" w:rsidR="00BF359E">
        <w:rPr>
          <w:bCs/>
        </w:rPr>
        <w:t>5507.</w:t>
      </w:r>
    </w:p>
    <w:p w:rsidRPr="00974A07" w:rsidR="00164DB0" w:rsidP="00164DB0" w:rsidRDefault="00164DB0" w14:paraId="117F621A" w14:textId="638EC1A2">
      <w:pPr>
        <w:spacing w:after="240"/>
      </w:pPr>
    </w:p>
    <w:p w:rsidRPr="00AC01EA" w:rsidR="004A345F" w:rsidP="004A345F" w:rsidRDefault="004A345F" w14:paraId="01A35C32" w14:textId="77777777">
      <w:pPr>
        <w:numPr>
          <w:ilvl w:val="0"/>
          <w:numId w:val="10"/>
        </w:numPr>
        <w:spacing w:after="120"/>
        <w:rPr>
          <w:i/>
          <w:color w:val="000000" w:themeColor="text1"/>
        </w:rPr>
      </w:pPr>
      <w:r w:rsidRPr="00AC01EA">
        <w:rPr>
          <w:i/>
          <w:color w:val="000000" w:themeColor="text1"/>
        </w:rPr>
        <w:t>Describe any impacts on small business.</w:t>
      </w:r>
    </w:p>
    <w:p w:rsidRPr="00974A07" w:rsidR="00164DB0" w:rsidP="004A345F" w:rsidRDefault="00164DB0" w14:paraId="117F621B" w14:textId="424EA1E6">
      <w:pPr>
        <w:spacing w:after="240"/>
      </w:pPr>
      <w:r w:rsidRPr="00974A07">
        <w:t>The information collection does not involve small businesses or other small entities.</w:t>
      </w:r>
    </w:p>
    <w:p w:rsidRPr="00AC01EA" w:rsidR="004A345F" w:rsidP="004A345F" w:rsidRDefault="004A345F" w14:paraId="0EF85A1F" w14:textId="3F27D0A1">
      <w:pPr>
        <w:numPr>
          <w:ilvl w:val="0"/>
          <w:numId w:val="10"/>
        </w:numPr>
        <w:spacing w:after="120"/>
        <w:rPr>
          <w:i/>
          <w:color w:val="000000" w:themeColor="text1"/>
        </w:rPr>
      </w:pPr>
      <w:r w:rsidRPr="00AC01EA">
        <w:rPr>
          <w:i/>
          <w:color w:val="000000" w:themeColor="text1"/>
        </w:rPr>
        <w:t>What are consequences if this collection is not done?</w:t>
      </w:r>
    </w:p>
    <w:p w:rsidR="00153FDB" w:rsidP="00232929" w:rsidRDefault="00153FDB" w14:paraId="16B91394" w14:textId="61DF52A5">
      <w:pPr>
        <w:spacing w:after="240"/>
        <w:ind w:left="720"/>
      </w:pPr>
      <w:r>
        <w:t>22 U</w:t>
      </w:r>
      <w:r w:rsidR="001A719B">
        <w:t>.</w:t>
      </w:r>
      <w:r>
        <w:t>S.C. § 2705 provides that the following documents, both issued by the Department of State, shall have the same force and effect as proof of United States citizenship as certificates of naturalization or of citizenship issued by the Attorney General or by a court having naturalization jurisdiction.</w:t>
      </w:r>
    </w:p>
    <w:p w:rsidR="00232929" w:rsidP="00232929" w:rsidRDefault="00153FDB" w14:paraId="7A679BDC" w14:textId="77777777">
      <w:pPr>
        <w:spacing w:after="240"/>
        <w:ind w:left="720"/>
      </w:pPr>
      <w:r>
        <w:t xml:space="preserve">(1) A passport, during its period of validity (if such period is the maximum period authorized by law), issued by the Secretary of State to a citizen of the United States.  </w:t>
      </w:r>
    </w:p>
    <w:p w:rsidR="00232929" w:rsidP="00232929" w:rsidRDefault="00153FDB" w14:paraId="731AD35D" w14:textId="03A20A09">
      <w:pPr>
        <w:spacing w:after="240"/>
        <w:ind w:left="720"/>
      </w:pPr>
      <w:r>
        <w:t xml:space="preserve">(2) A CRBA. </w:t>
      </w:r>
    </w:p>
    <w:p w:rsidRPr="00994B41" w:rsidR="00232929" w:rsidP="00232929" w:rsidRDefault="00232929" w14:paraId="161D4A39" w14:textId="757B7B6A">
      <w:pPr>
        <w:spacing w:after="240"/>
        <w:ind w:left="720"/>
      </w:pPr>
      <w:r>
        <w:t xml:space="preserve">If the Department of State is not permitted to collect on the </w:t>
      </w:r>
      <w:r w:rsidR="000B75B7">
        <w:t xml:space="preserve">Form </w:t>
      </w:r>
      <w:r>
        <w:t>DS-2029 and in supporting documentation and interviews the information necessary to adjudicate claims to U.S. citizenship under</w:t>
      </w:r>
      <w:r w:rsidR="00B5141D">
        <w:t xml:space="preserve"> the relevant subsections of </w:t>
      </w:r>
      <w:r>
        <w:t xml:space="preserve"> INA Sections 301, 308 and 309, 8 U.S.C. §§ 1401, 1408, and 1409 respectively, in order to determine whether a person born abroad acquired U.S. citizenship at birth and therefore is eligible for a CRBA, there would be several adverse consequences, as follows:</w:t>
      </w:r>
      <w:bookmarkStart w:name="_Hlk47090548" w:id="6"/>
      <w:bookmarkStart w:name="_Hlk47091001" w:id="7"/>
      <w:bookmarkEnd w:id="6"/>
      <w:bookmarkEnd w:id="7"/>
    </w:p>
    <w:p w:rsidRPr="00E539E0" w:rsidR="00232929" w:rsidP="00232929" w:rsidRDefault="00B5141D" w14:paraId="7BC093F8" w14:textId="52C2CDF3">
      <w:pPr>
        <w:pStyle w:val="ListParagraph"/>
        <w:numPr>
          <w:ilvl w:val="0"/>
          <w:numId w:val="14"/>
        </w:numPr>
        <w:spacing w:after="240"/>
        <w:rPr>
          <w:rFonts w:ascii="Times New Roman" w:hAnsi="Times New Roman" w:cs="Times New Roman"/>
          <w:sz w:val="24"/>
          <w:szCs w:val="24"/>
        </w:rPr>
      </w:pPr>
      <w:r w:rsidRPr="00E539E0">
        <w:rPr>
          <w:rFonts w:ascii="Times New Roman" w:hAnsi="Times New Roman" w:cs="Times New Roman"/>
          <w:sz w:val="24"/>
          <w:szCs w:val="24"/>
        </w:rPr>
        <w:t>A CRBA is a formal document certifying the acquisition of U.S. citizenship at birth of a person born abroad.  It is not a birth certificate, such as is issued by a government-authorized bureau or office of vital statistics, because a consular commission does not empower consular officers to assume a foreign, local, or state vital statistics function.  However, for parents of children born overseas who have a foreign birth certificate only, the CRBA is essential to quickly establishing their child’s eligibility to attend U.S. schools and obtain other benefits and services attendant upon being a U.S. citizen.</w:t>
      </w:r>
    </w:p>
    <w:p w:rsidR="00615B4D" w:rsidP="00232929" w:rsidRDefault="00B5141D" w14:paraId="42DE3C84" w14:textId="7B5ABD01">
      <w:pPr>
        <w:pStyle w:val="ListParagraph"/>
        <w:numPr>
          <w:ilvl w:val="0"/>
          <w:numId w:val="14"/>
        </w:numPr>
        <w:spacing w:after="240"/>
        <w:rPr>
          <w:rFonts w:ascii="Times New Roman" w:hAnsi="Times New Roman" w:cs="Times New Roman"/>
          <w:sz w:val="24"/>
          <w:szCs w:val="24"/>
        </w:rPr>
      </w:pPr>
      <w:r w:rsidRPr="00E539E0">
        <w:rPr>
          <w:rFonts w:ascii="Times New Roman" w:hAnsi="Times New Roman" w:cs="Times New Roman"/>
          <w:sz w:val="24"/>
          <w:szCs w:val="24"/>
        </w:rPr>
        <w:t xml:space="preserve">Unlike the U.S. passport, the CRBA does not expire and may be used for a lifetime as proof of </w:t>
      </w:r>
      <w:r w:rsidRPr="34F3EAD0" w:rsidR="00994B41">
        <w:rPr>
          <w:rFonts w:ascii="Times New Roman" w:hAnsi="Times New Roman" w:cs="Times New Roman"/>
          <w:sz w:val="24"/>
          <w:szCs w:val="24"/>
        </w:rPr>
        <w:t xml:space="preserve">acquisition of </w:t>
      </w:r>
      <w:r w:rsidRPr="00E539E0">
        <w:rPr>
          <w:rFonts w:ascii="Times New Roman" w:hAnsi="Times New Roman" w:cs="Times New Roman"/>
          <w:sz w:val="24"/>
          <w:szCs w:val="24"/>
        </w:rPr>
        <w:t>U.S. citizenship</w:t>
      </w:r>
      <w:r w:rsidRPr="34F3EAD0" w:rsidR="00994B41">
        <w:rPr>
          <w:rFonts w:ascii="Times New Roman" w:hAnsi="Times New Roman" w:cs="Times New Roman"/>
          <w:sz w:val="24"/>
          <w:szCs w:val="24"/>
        </w:rPr>
        <w:t xml:space="preserve"> at birth</w:t>
      </w:r>
      <w:r w:rsidRPr="00E539E0">
        <w:rPr>
          <w:rFonts w:ascii="Times New Roman" w:hAnsi="Times New Roman" w:cs="Times New Roman"/>
          <w:sz w:val="24"/>
          <w:szCs w:val="24"/>
        </w:rPr>
        <w:t>.  If this information collection was not permitted, then the child would only be able to obtain a U.S. passport from the Department of State</w:t>
      </w:r>
      <w:r w:rsidRPr="34F3EAD0" w:rsidR="00994B41">
        <w:rPr>
          <w:rFonts w:ascii="Times New Roman" w:hAnsi="Times New Roman" w:cs="Times New Roman"/>
          <w:sz w:val="24"/>
          <w:szCs w:val="24"/>
        </w:rPr>
        <w:t>, which, as noted above, is proof of U.S. citizenship only during its period of validity</w:t>
      </w:r>
      <w:r w:rsidRPr="00E539E0">
        <w:rPr>
          <w:rFonts w:ascii="Times New Roman" w:hAnsi="Times New Roman" w:cs="Times New Roman"/>
          <w:sz w:val="24"/>
          <w:szCs w:val="24"/>
        </w:rPr>
        <w:t>.</w:t>
      </w:r>
      <w:r w:rsidRPr="34F3EAD0" w:rsidR="0E975639">
        <w:rPr>
          <w:rFonts w:ascii="Times New Roman" w:hAnsi="Times New Roman" w:cs="Times New Roman"/>
          <w:sz w:val="24"/>
          <w:szCs w:val="24"/>
        </w:rPr>
        <w:t xml:space="preserve"> </w:t>
      </w:r>
    </w:p>
    <w:p w:rsidRPr="00E539E0" w:rsidR="00B5141D" w:rsidP="00232929" w:rsidRDefault="00615B4D" w14:paraId="1663BE9E" w14:textId="3C5542B5">
      <w:pPr>
        <w:pStyle w:val="ListParagraph"/>
        <w:numPr>
          <w:ilvl w:val="0"/>
          <w:numId w:val="14"/>
        </w:numPr>
        <w:spacing w:after="240"/>
        <w:rPr>
          <w:rFonts w:ascii="Times New Roman" w:hAnsi="Times New Roman" w:cs="Times New Roman"/>
          <w:sz w:val="24"/>
          <w:szCs w:val="24"/>
        </w:rPr>
      </w:pPr>
      <w:r>
        <w:rPr>
          <w:rFonts w:ascii="Times New Roman" w:hAnsi="Times New Roman" w:cs="Times New Roman"/>
          <w:sz w:val="24"/>
          <w:szCs w:val="24"/>
        </w:rPr>
        <w:t>A</w:t>
      </w:r>
      <w:r w:rsidRPr="34F3EAD0" w:rsidR="0E975639">
        <w:rPr>
          <w:rFonts w:ascii="Times New Roman" w:hAnsi="Times New Roman" w:cs="Times New Roman"/>
          <w:sz w:val="24"/>
          <w:szCs w:val="24"/>
        </w:rPr>
        <w:t xml:space="preserve"> Certificate of Citizenship, issued by U.S. Citizenship and Immigration Services, </w:t>
      </w:r>
      <w:r>
        <w:rPr>
          <w:rFonts w:ascii="Times New Roman" w:hAnsi="Times New Roman" w:cs="Times New Roman"/>
          <w:sz w:val="24"/>
          <w:szCs w:val="24"/>
        </w:rPr>
        <w:t xml:space="preserve">also does not expire but </w:t>
      </w:r>
      <w:r w:rsidRPr="34F3EAD0" w:rsidR="0E975639">
        <w:rPr>
          <w:rFonts w:ascii="Times New Roman" w:hAnsi="Times New Roman" w:cs="Times New Roman"/>
          <w:sz w:val="24"/>
          <w:szCs w:val="24"/>
        </w:rPr>
        <w:t>would involve a separate application process and would not be available in all cases.</w:t>
      </w:r>
      <w:r w:rsidRPr="00615B4D">
        <w:rPr>
          <w:rFonts w:ascii="Times New Roman" w:hAnsi="Times New Roman" w:eastAsia="Times New Roman" w:cs="Times New Roman"/>
          <w:sz w:val="24"/>
          <w:szCs w:val="24"/>
        </w:rPr>
        <w:t xml:space="preserve"> </w:t>
      </w:r>
      <w:r w:rsidRPr="00615B4D">
        <w:rPr>
          <w:rFonts w:ascii="Times New Roman" w:hAnsi="Times New Roman" w:cs="Times New Roman"/>
          <w:sz w:val="24"/>
          <w:szCs w:val="24"/>
        </w:rPr>
        <w:t xml:space="preserve">Moreover, per the form’s instructions, the nonrefundable filing fee for an N-600, Application for a Certificate of Citizenship, is $1,170; by contrast, the current fee for a CRBA </w:t>
      </w:r>
      <w:r w:rsidRPr="00615B4D">
        <w:rPr>
          <w:rFonts w:ascii="Times New Roman" w:hAnsi="Times New Roman" w:cs="Times New Roman"/>
          <w:sz w:val="24"/>
          <w:szCs w:val="24"/>
        </w:rPr>
        <w:lastRenderedPageBreak/>
        <w:t>application is $100.00, 22 C.F.R. § 22.1, an important financial consideration for many parents.</w:t>
      </w:r>
    </w:p>
    <w:p w:rsidRPr="00523361" w:rsidR="00B5141D" w:rsidP="008655F6" w:rsidRDefault="00826975" w14:paraId="3751305F" w14:textId="645B328D">
      <w:pPr>
        <w:spacing w:after="240"/>
      </w:pPr>
      <w:bookmarkStart w:name="_Hlk47091553" w:id="8"/>
      <w:bookmarkStart w:name="_Hlk47090821" w:id="9"/>
      <w:bookmarkEnd w:id="8"/>
      <w:bookmarkEnd w:id="9"/>
      <w:r w:rsidRPr="34F3EAD0">
        <w:t xml:space="preserve"> </w:t>
      </w:r>
      <w:r w:rsidRPr="34F3EAD0" w:rsidR="004D3324">
        <w:t xml:space="preserve"> </w:t>
      </w:r>
    </w:p>
    <w:p w:rsidR="00232929" w:rsidP="00232929" w:rsidRDefault="00232929" w14:paraId="0E9CB60A" w14:textId="77777777">
      <w:pPr>
        <w:ind w:left="720"/>
      </w:pPr>
    </w:p>
    <w:p w:rsidR="00164DB0" w:rsidP="00E539E0" w:rsidRDefault="00164DB0" w14:paraId="117F621C" w14:textId="73498EEF">
      <w:pPr>
        <w:ind w:left="720"/>
      </w:pPr>
      <w:r w:rsidRPr="00974A07">
        <w:t>Since information is collected only once, with respect to an individual applicant, the frequency for collection has been minimized.</w:t>
      </w:r>
    </w:p>
    <w:p w:rsidRPr="00974A07" w:rsidR="000B75B7" w:rsidP="00E539E0" w:rsidRDefault="000B75B7" w14:paraId="093BE8FA" w14:textId="77777777">
      <w:pPr>
        <w:ind w:left="720"/>
      </w:pPr>
    </w:p>
    <w:p w:rsidRPr="00AC01EA" w:rsidR="008931EB" w:rsidP="008931EB" w:rsidRDefault="008931EB" w14:paraId="0EBB496D" w14:textId="77777777">
      <w:pPr>
        <w:numPr>
          <w:ilvl w:val="0"/>
          <w:numId w:val="10"/>
        </w:numPr>
        <w:spacing w:after="120"/>
        <w:rPr>
          <w:i/>
          <w:color w:val="000000" w:themeColor="text1"/>
        </w:rPr>
      </w:pPr>
      <w:r w:rsidRPr="00AC01EA">
        <w:rPr>
          <w:i/>
          <w:color w:val="000000" w:themeColor="text1"/>
        </w:rPr>
        <w:t>Are there any special collection circumstances?</w:t>
      </w:r>
    </w:p>
    <w:p w:rsidR="00BA273B" w:rsidP="00E539E0" w:rsidRDefault="00164DB0" w14:paraId="3D08E58D" w14:textId="68E3DCA8">
      <w:pPr>
        <w:spacing w:after="60"/>
        <w:ind w:left="720"/>
      </w:pPr>
      <w:r w:rsidRPr="00974A07">
        <w:t>No special circumstances exist.</w:t>
      </w:r>
    </w:p>
    <w:p w:rsidR="00BA273B" w:rsidP="00BA273B" w:rsidRDefault="00BA273B" w14:paraId="5B2EC28B" w14:textId="77777777">
      <w:pPr>
        <w:spacing w:after="60"/>
      </w:pPr>
    </w:p>
    <w:p w:rsidR="009A535C" w:rsidP="009A535C" w:rsidRDefault="009A535C" w14:paraId="30AB9924" w14:textId="77777777">
      <w:pPr>
        <w:numPr>
          <w:ilvl w:val="0"/>
          <w:numId w:val="10"/>
        </w:numPr>
        <w:spacing w:after="120"/>
        <w:rPr>
          <w:i/>
          <w:color w:val="000000" w:themeColor="text1"/>
        </w:rPr>
      </w:pPr>
      <w:r w:rsidRPr="00AC01EA">
        <w:rPr>
          <w:i/>
          <w:color w:val="000000" w:themeColor="text1"/>
        </w:rPr>
        <w:t>Document publication or intent to publish a request for public comments in the Federal Register</w:t>
      </w:r>
      <w:r>
        <w:rPr>
          <w:i/>
          <w:color w:val="000000" w:themeColor="text1"/>
        </w:rPr>
        <w:t>.</w:t>
      </w:r>
    </w:p>
    <w:p w:rsidR="009A535C" w:rsidP="00BA273B" w:rsidRDefault="009A535C" w14:paraId="0BF6DC94" w14:textId="77777777">
      <w:pPr>
        <w:spacing w:after="60"/>
      </w:pPr>
    </w:p>
    <w:p w:rsidRPr="007D4096" w:rsidR="00BA273B" w:rsidP="00E539E0" w:rsidRDefault="00BA273B" w14:paraId="35EAF107" w14:textId="5A9708BC">
      <w:pPr>
        <w:spacing w:after="60"/>
        <w:ind w:left="720"/>
      </w:pPr>
      <w:r w:rsidRPr="34F3EAD0">
        <w:rPr>
          <w:color w:val="000000" w:themeColor="text1"/>
        </w:rPr>
        <w:t>T</w:t>
      </w:r>
      <w:r>
        <w:t xml:space="preserve">he Department of State published a 60-day notice in the </w:t>
      </w:r>
      <w:r w:rsidRPr="34F3EAD0">
        <w:rPr>
          <w:i/>
          <w:iCs/>
        </w:rPr>
        <w:t>Federal Register</w:t>
      </w:r>
      <w:r>
        <w:t xml:space="preserve"> to solicit public comments on December 14, 2018 (83 FR 64424).  No comments were received.</w:t>
      </w:r>
    </w:p>
    <w:p w:rsidRPr="00974A07" w:rsidR="00164DB0" w:rsidP="00164DB0" w:rsidRDefault="00164DB0" w14:paraId="117F6221" w14:textId="77777777"/>
    <w:p w:rsidRPr="00AC01EA" w:rsidR="00911CB3" w:rsidP="00911CB3" w:rsidRDefault="00911CB3" w14:paraId="2B860C85" w14:textId="77777777">
      <w:pPr>
        <w:numPr>
          <w:ilvl w:val="0"/>
          <w:numId w:val="10"/>
        </w:numPr>
        <w:spacing w:after="120"/>
        <w:rPr>
          <w:i/>
          <w:color w:val="000000" w:themeColor="text1"/>
        </w:rPr>
      </w:pPr>
      <w:r w:rsidRPr="00AC01EA">
        <w:rPr>
          <w:i/>
          <w:color w:val="000000" w:themeColor="text1"/>
        </w:rPr>
        <w:t>Are payments or gifts given to the respondents?</w:t>
      </w:r>
    </w:p>
    <w:p w:rsidR="00911CB3" w:rsidP="00164DB0" w:rsidRDefault="00911CB3" w14:paraId="4E7AA037" w14:textId="77777777">
      <w:pPr>
        <w:pStyle w:val="HTMLPreformatted"/>
        <w:rPr>
          <w:rFonts w:ascii="Times New Roman" w:hAnsi="Times New Roman" w:cs="Times New Roman"/>
          <w:sz w:val="24"/>
          <w:szCs w:val="24"/>
        </w:rPr>
      </w:pPr>
    </w:p>
    <w:p w:rsidR="00164DB0" w:rsidP="00E539E0" w:rsidRDefault="00164DB0" w14:paraId="117F6222" w14:textId="6F370297">
      <w:pPr>
        <w:pStyle w:val="HTMLPreformatted"/>
        <w:ind w:left="720"/>
        <w:rPr>
          <w:rFonts w:ascii="Times New Roman" w:hAnsi="Times New Roman" w:cs="Times New Roman"/>
          <w:sz w:val="24"/>
          <w:szCs w:val="24"/>
        </w:rPr>
      </w:pPr>
      <w:r w:rsidRPr="00974A07">
        <w:rPr>
          <w:rFonts w:ascii="Times New Roman" w:hAnsi="Times New Roman" w:cs="Times New Roman"/>
          <w:sz w:val="24"/>
          <w:szCs w:val="24"/>
        </w:rPr>
        <w:t xml:space="preserve">No payment or gift is provided to respondents. </w:t>
      </w:r>
    </w:p>
    <w:p w:rsidRPr="00974A07" w:rsidR="00164DB0" w:rsidP="00164DB0" w:rsidRDefault="00164DB0" w14:paraId="117F6223" w14:textId="77777777">
      <w:pPr>
        <w:pStyle w:val="HTMLPreformatted"/>
        <w:tabs>
          <w:tab w:val="left" w:pos="0"/>
        </w:tabs>
        <w:rPr>
          <w:rFonts w:ascii="Times New Roman" w:hAnsi="Times New Roman" w:cs="Times New Roman"/>
          <w:sz w:val="24"/>
          <w:szCs w:val="24"/>
        </w:rPr>
      </w:pPr>
    </w:p>
    <w:p w:rsidRPr="00AC01EA" w:rsidR="00911CB3" w:rsidP="00911CB3" w:rsidRDefault="00911CB3" w14:paraId="406109E9" w14:textId="77777777">
      <w:pPr>
        <w:numPr>
          <w:ilvl w:val="0"/>
          <w:numId w:val="10"/>
        </w:numPr>
        <w:spacing w:after="120"/>
        <w:rPr>
          <w:i/>
          <w:color w:val="000000" w:themeColor="text1"/>
        </w:rPr>
      </w:pPr>
      <w:r w:rsidRPr="00AC01EA">
        <w:rPr>
          <w:i/>
          <w:color w:val="000000" w:themeColor="text1"/>
        </w:rPr>
        <w:t>Describe assurances of privacy/confidentiality</w:t>
      </w:r>
      <w:r>
        <w:rPr>
          <w:i/>
          <w:color w:val="000000" w:themeColor="text1"/>
        </w:rPr>
        <w:t>.</w:t>
      </w:r>
    </w:p>
    <w:p w:rsidR="00911CB3" w:rsidP="00164DB0" w:rsidRDefault="00911CB3" w14:paraId="3A97E0AA" w14:textId="77777777">
      <w:pPr>
        <w:pStyle w:val="HTMLPreformatted"/>
        <w:spacing w:after="120"/>
        <w:rPr>
          <w:rFonts w:ascii="Times New Roman" w:hAnsi="Times New Roman" w:cs="Times New Roman"/>
          <w:sz w:val="24"/>
          <w:szCs w:val="24"/>
        </w:rPr>
      </w:pPr>
    </w:p>
    <w:p w:rsidRPr="00974A07" w:rsidR="00164DB0" w:rsidP="00E539E0" w:rsidRDefault="00911CB3" w14:paraId="117F6224" w14:textId="23A8E3E7">
      <w:pPr>
        <w:pStyle w:val="HTMLPreformatted"/>
        <w:spacing w:after="120"/>
        <w:ind w:left="720"/>
        <w:rPr>
          <w:rFonts w:ascii="Times New Roman" w:hAnsi="Times New Roman" w:cs="Times New Roman"/>
          <w:sz w:val="24"/>
          <w:szCs w:val="24"/>
        </w:rPr>
      </w:pPr>
      <w:r w:rsidRPr="00911CB3">
        <w:rPr>
          <w:rFonts w:ascii="Times New Roman" w:hAnsi="Times New Roman" w:cs="Times New Roman"/>
          <w:sz w:val="24"/>
        </w:rPr>
        <w:t xml:space="preserve"> This form includes a Privacy Act statement explaining the routine uses of the information collected </w:t>
      </w:r>
      <w:r>
        <w:rPr>
          <w:rFonts w:ascii="Times New Roman" w:hAnsi="Times New Roman" w:cs="Times New Roman"/>
          <w:sz w:val="24"/>
        </w:rPr>
        <w:t>in accordance with 5 U</w:t>
      </w:r>
      <w:r w:rsidR="000B75B7">
        <w:rPr>
          <w:rFonts w:ascii="Times New Roman" w:hAnsi="Times New Roman" w:cs="Times New Roman"/>
          <w:sz w:val="24"/>
        </w:rPr>
        <w:t>.</w:t>
      </w:r>
      <w:r>
        <w:rPr>
          <w:rFonts w:ascii="Times New Roman" w:hAnsi="Times New Roman" w:cs="Times New Roman"/>
          <w:sz w:val="24"/>
        </w:rPr>
        <w:t>S</w:t>
      </w:r>
      <w:r w:rsidR="000B75B7">
        <w:rPr>
          <w:rFonts w:ascii="Times New Roman" w:hAnsi="Times New Roman" w:cs="Times New Roman"/>
          <w:sz w:val="24"/>
        </w:rPr>
        <w:t>.</w:t>
      </w:r>
      <w:r>
        <w:rPr>
          <w:rFonts w:ascii="Times New Roman" w:hAnsi="Times New Roman" w:cs="Times New Roman"/>
          <w:sz w:val="24"/>
        </w:rPr>
        <w:t>C</w:t>
      </w:r>
      <w:r w:rsidR="000B75B7">
        <w:rPr>
          <w:rFonts w:ascii="Times New Roman" w:hAnsi="Times New Roman" w:cs="Times New Roman"/>
          <w:sz w:val="24"/>
        </w:rPr>
        <w:t>. §</w:t>
      </w:r>
      <w:r>
        <w:rPr>
          <w:rFonts w:ascii="Times New Roman" w:hAnsi="Times New Roman" w:cs="Times New Roman"/>
          <w:sz w:val="24"/>
        </w:rPr>
        <w:t xml:space="preserve"> 552a(b)(3) and Department of State Systems of Records Notices</w:t>
      </w:r>
      <w:r w:rsidRPr="00911CB3">
        <w:rPr>
          <w:rFonts w:ascii="Times New Roman" w:hAnsi="Times New Roman" w:cs="Times New Roman"/>
          <w:sz w:val="24"/>
        </w:rPr>
        <w:t>. There are no assurances of confidentiality to the respondents other than those contained in federal statutes and regulations.</w:t>
      </w:r>
    </w:p>
    <w:p w:rsidRPr="00AC01EA" w:rsidR="00046397" w:rsidP="34F3EAD0" w:rsidRDefault="00046397" w14:paraId="2B93B063" w14:textId="630785BF">
      <w:pPr>
        <w:numPr>
          <w:ilvl w:val="0"/>
          <w:numId w:val="10"/>
        </w:numPr>
        <w:spacing w:after="120"/>
        <w:rPr>
          <w:i/>
          <w:iCs/>
          <w:color w:val="000000" w:themeColor="text1"/>
        </w:rPr>
      </w:pPr>
      <w:r w:rsidRPr="34F3EAD0">
        <w:rPr>
          <w:i/>
          <w:iCs/>
          <w:color w:val="000000" w:themeColor="text1"/>
        </w:rPr>
        <w:t>Are any questions of a sensitive nature asked?</w:t>
      </w:r>
      <w:r w:rsidRPr="00E539E0" w:rsidR="002E5412">
        <w:t xml:space="preserve"> </w:t>
      </w:r>
      <w:r w:rsidRPr="34F3EAD0" w:rsidR="002E5412">
        <w:rPr>
          <w:i/>
          <w:iCs/>
          <w:color w:val="000000" w:themeColor="text1"/>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w:t>
      </w:r>
      <w:r w:rsidRPr="34F3EAD0" w:rsidR="69027C89">
        <w:rPr>
          <w:i/>
          <w:iCs/>
          <w:color w:val="000000" w:themeColor="text1"/>
        </w:rPr>
        <w:t>t.</w:t>
      </w:r>
    </w:p>
    <w:p w:rsidR="00046397" w:rsidP="00164DB0" w:rsidRDefault="00046397" w14:paraId="3B4E1E05" w14:textId="77777777">
      <w:pPr>
        <w:spacing w:after="120"/>
        <w:rPr>
          <w:bCs/>
        </w:rPr>
      </w:pPr>
    </w:p>
    <w:p w:rsidR="002C56E2" w:rsidP="00E539E0" w:rsidRDefault="00164DB0" w14:paraId="50AE01E1" w14:textId="428B1E8D">
      <w:pPr>
        <w:spacing w:after="120"/>
        <w:ind w:left="720"/>
      </w:pPr>
      <w:r>
        <w:t xml:space="preserve">  </w:t>
      </w:r>
      <w:r w:rsidR="006703D9">
        <w:t>.</w:t>
      </w:r>
      <w:r w:rsidR="009E1143">
        <w:t xml:space="preserve">Questions </w:t>
      </w:r>
      <w:r w:rsidR="3D38F988">
        <w:t xml:space="preserve">that may be considered </w:t>
      </w:r>
      <w:r w:rsidR="009E1143">
        <w:t xml:space="preserve">of a sensitive nature are asked on the Form </w:t>
      </w:r>
      <w:r w:rsidR="76CAA1FD">
        <w:t>DS-</w:t>
      </w:r>
      <w:r w:rsidR="009E1143">
        <w:t xml:space="preserve">2029 and during the interview process as necessary </w:t>
      </w:r>
      <w:r w:rsidR="2FC1FEE2">
        <w:t xml:space="preserve">for adjudicators to be able </w:t>
      </w:r>
      <w:r w:rsidR="009E1143">
        <w:t>to establish that the requirements for transmission of U.S. citizenship under the applicable birth abroad statute</w:t>
      </w:r>
      <w:r w:rsidR="05D52658">
        <w:t xml:space="preserve">, including for a biological relationship between </w:t>
      </w:r>
      <w:r w:rsidR="00D0143C">
        <w:t xml:space="preserve">the transmitting U.S. citizen </w:t>
      </w:r>
      <w:r w:rsidR="05D52658">
        <w:t>parent(s) and the applicant child,</w:t>
      </w:r>
      <w:r w:rsidR="009E1143">
        <w:t xml:space="preserve"> have been met.</w:t>
      </w:r>
      <w:r w:rsidR="00827B05">
        <w:t xml:space="preserve"> </w:t>
      </w:r>
    </w:p>
    <w:p w:rsidR="00164DB0" w:rsidP="00E539E0" w:rsidRDefault="002C56E2" w14:paraId="117F6226" w14:textId="77FC227C">
      <w:pPr>
        <w:spacing w:after="120"/>
        <w:ind w:left="720"/>
      </w:pPr>
      <w:r w:rsidRPr="34F3EAD0">
        <w:rPr>
          <w:color w:val="0070C0"/>
        </w:rPr>
        <w:lastRenderedPageBreak/>
        <w:t xml:space="preserve"> </w:t>
      </w:r>
      <w:commentRangeStart w:id="10"/>
      <w:commentRangeStart w:id="11"/>
      <w:commentRangeEnd w:id="10"/>
      <w:commentRangeEnd w:id="11"/>
      <w:r w:rsidR="00772BF1">
        <w:fldChar w:fldCharType="begin"/>
      </w:r>
      <w:r w:rsidR="00772BF1">
        <w:instrText xml:space="preserve"> HYPERLINK "https://www.law.cornell.edu/definitions/index.php?width=840&amp;height=800&amp;iframe=true&amp;def_id=d89f8b9be227861e179ea0f5cd9f66cc&amp;term_occur=999&amp;term_src=Title:22:Chapter:I:Subchapter:F:Part:51:Subpart:C:51.45" </w:instrText>
      </w:r>
      <w:r w:rsidR="00772BF1">
        <w:fldChar w:fldCharType="separate"/>
      </w:r>
      <w:r w:rsidR="00772BF1">
        <w:fldChar w:fldCharType="end"/>
      </w:r>
      <w:hyperlink w:history="1" r:id="rId12"/>
      <w:r w:rsidR="00E3412E">
        <w:t xml:space="preserve"> </w:t>
      </w:r>
    </w:p>
    <w:p w:rsidRPr="00FE4376" w:rsidR="002C5A1F" w:rsidP="34F3EAD0" w:rsidRDefault="002C5A1F" w14:paraId="5D645442" w14:textId="6E1FE089">
      <w:pPr>
        <w:spacing w:after="120"/>
        <w:ind w:left="720"/>
        <w:rPr>
          <w:color w:val="0070C0"/>
        </w:rPr>
      </w:pPr>
      <w:r w:rsidRPr="34F3EAD0">
        <w:rPr>
          <w:color w:val="0070C0"/>
        </w:rPr>
        <w:t xml:space="preserve">Although providing information on the </w:t>
      </w:r>
      <w:r w:rsidRPr="34F3EAD0" w:rsidR="000B75B7">
        <w:rPr>
          <w:color w:val="0070C0"/>
        </w:rPr>
        <w:t xml:space="preserve">Form </w:t>
      </w:r>
      <w:r w:rsidRPr="34F3EAD0">
        <w:rPr>
          <w:color w:val="0070C0"/>
        </w:rPr>
        <w:t xml:space="preserve">DS 2029, supporting documentation and interview statements </w:t>
      </w:r>
      <w:r w:rsidRPr="34F3EAD0" w:rsidR="758AE0CB">
        <w:rPr>
          <w:color w:val="0070C0"/>
        </w:rPr>
        <w:t xml:space="preserve">is </w:t>
      </w:r>
      <w:r w:rsidRPr="34F3EAD0">
        <w:rPr>
          <w:color w:val="0070C0"/>
        </w:rPr>
        <w:t>all voluntary, the CRBA application may be denied if the requested information is not provided.</w:t>
      </w:r>
    </w:p>
    <w:p w:rsidRPr="00974A07" w:rsidR="00827B05" w:rsidP="00164DB0" w:rsidRDefault="00827B05" w14:paraId="182E4012" w14:textId="77777777">
      <w:pPr>
        <w:spacing w:after="120"/>
      </w:pPr>
    </w:p>
    <w:p w:rsidRPr="00464D81" w:rsidR="001A1EF5" w:rsidP="001A1EF5" w:rsidRDefault="001A1EF5" w14:paraId="6AC156B0" w14:textId="77777777">
      <w:pPr>
        <w:numPr>
          <w:ilvl w:val="0"/>
          <w:numId w:val="10"/>
        </w:numPr>
        <w:spacing w:after="120"/>
        <w:rPr>
          <w:i/>
          <w:color w:val="000000" w:themeColor="text1"/>
        </w:rPr>
      </w:pPr>
      <w:r w:rsidRPr="00AC01EA">
        <w:rPr>
          <w:i/>
          <w:color w:val="000000" w:themeColor="text1"/>
        </w:rPr>
        <w:t>Describe the hour time burden and the hour cost burden on the respondent needed to complete this collection.</w:t>
      </w:r>
    </w:p>
    <w:p w:rsidR="00994B41" w:rsidP="00E539E0" w:rsidRDefault="00994B41" w14:paraId="2ED07868" w14:textId="77777777">
      <w:pPr>
        <w:spacing w:after="240"/>
        <w:ind w:left="720"/>
        <w:rPr>
          <w:bCs/>
        </w:rPr>
      </w:pPr>
    </w:p>
    <w:p w:rsidRPr="00974A07" w:rsidR="00164DB0" w:rsidP="00E539E0" w:rsidRDefault="00164DB0" w14:paraId="117F6227" w14:textId="0BFA1C2B">
      <w:pPr>
        <w:spacing w:after="240"/>
        <w:ind w:left="720"/>
      </w:pPr>
      <w:r w:rsidRPr="00974A07">
        <w:t xml:space="preserve">The hour burden of </w:t>
      </w:r>
      <w:r w:rsidR="00EC49F5">
        <w:t>-73,647</w:t>
      </w:r>
      <w:r w:rsidRPr="00974A07">
        <w:t xml:space="preserve"> hours per year is based on the form being completed by an average of </w:t>
      </w:r>
      <w:r w:rsidR="009829F9">
        <w:t xml:space="preserve">70,473 </w:t>
      </w:r>
      <w:r w:rsidRPr="00974A07">
        <w:t xml:space="preserve">persons per fiscal year, and only one response is permitted per applicant per child.  The form takes each respondent an average of </w:t>
      </w:r>
      <w:r w:rsidR="00D56412">
        <w:t>60</w:t>
      </w:r>
      <w:r w:rsidRPr="00974A07" w:rsidR="00D56412">
        <w:t xml:space="preserve"> </w:t>
      </w:r>
      <w:r w:rsidRPr="00974A07">
        <w:t xml:space="preserve">minutes to complete.  The </w:t>
      </w:r>
      <w:r>
        <w:t xml:space="preserve">number of respondents constitutes the </w:t>
      </w:r>
      <w:r w:rsidRPr="00974A07">
        <w:t>three-year average of respondents to the form for fiscal years FY1</w:t>
      </w:r>
      <w:r w:rsidR="00D747D0">
        <w:t>5</w:t>
      </w:r>
      <w:r>
        <w:t>, FY1</w:t>
      </w:r>
      <w:r w:rsidR="00D747D0">
        <w:t>6</w:t>
      </w:r>
      <w:r>
        <w:t>, and FY1</w:t>
      </w:r>
      <w:r w:rsidR="00D747D0">
        <w:t>7</w:t>
      </w:r>
      <w:r w:rsidRPr="00974A07">
        <w:t xml:space="preserve"> (see data chart below).  The information is based on personal biographic data.  The information collected usually does not require any special research, although some complex claims to citizenship may require special research.  </w:t>
      </w:r>
    </w:p>
    <w:tbl>
      <w:tblPr>
        <w:tblpPr w:leftFromText="180" w:rightFromText="180" w:vertAnchor="text" w:horzAnchor="page" w:tblpX="2113" w:tblpY="311"/>
        <w:tblW w:w="6009" w:type="dxa"/>
        <w:tblLook w:val="04A0" w:firstRow="1" w:lastRow="0" w:firstColumn="1" w:lastColumn="0" w:noHBand="0" w:noVBand="1"/>
      </w:tblPr>
      <w:tblGrid>
        <w:gridCol w:w="1615"/>
        <w:gridCol w:w="4394"/>
      </w:tblGrid>
      <w:tr w:rsidRPr="00974A07" w:rsidR="00164DB0" w:rsidTr="00E539E0" w14:paraId="117F622A"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974A07" w:rsidR="00164DB0" w:rsidP="00E539E0" w:rsidRDefault="00164DB0" w14:paraId="117F6228" w14:textId="77777777">
            <w:pPr>
              <w:ind w:left="720"/>
              <w:jc w:val="center"/>
              <w:rPr>
                <w:bCs/>
                <w:color w:val="000000"/>
                <w:sz w:val="22"/>
                <w:szCs w:val="22"/>
              </w:rPr>
            </w:pPr>
            <w:r w:rsidRPr="00974A07">
              <w:rPr>
                <w:bCs/>
                <w:color w:val="000000"/>
                <w:sz w:val="22"/>
                <w:szCs w:val="22"/>
              </w:rPr>
              <w:t>Fiscal Year</w:t>
            </w:r>
          </w:p>
        </w:tc>
        <w:tc>
          <w:tcPr>
            <w:tcW w:w="4394" w:type="dxa"/>
            <w:tcBorders>
              <w:top w:val="single" w:color="auto" w:sz="4" w:space="0"/>
              <w:left w:val="nil"/>
              <w:bottom w:val="single" w:color="auto" w:sz="4" w:space="0"/>
              <w:right w:val="single" w:color="auto" w:sz="4" w:space="0"/>
            </w:tcBorders>
            <w:shd w:val="clear" w:color="000000" w:fill="D8D8D8"/>
            <w:noWrap/>
            <w:vAlign w:val="bottom"/>
            <w:hideMark/>
          </w:tcPr>
          <w:p w:rsidRPr="00974A07" w:rsidR="00164DB0" w:rsidP="00E539E0" w:rsidRDefault="00164DB0" w14:paraId="117F6229" w14:textId="77777777">
            <w:pPr>
              <w:ind w:left="720"/>
              <w:jc w:val="center"/>
              <w:rPr>
                <w:bCs/>
                <w:color w:val="000000"/>
                <w:sz w:val="22"/>
                <w:szCs w:val="22"/>
              </w:rPr>
            </w:pPr>
            <w:r w:rsidRPr="00974A07">
              <w:rPr>
                <w:bCs/>
                <w:color w:val="000000"/>
                <w:sz w:val="22"/>
                <w:szCs w:val="22"/>
              </w:rPr>
              <w:t xml:space="preserve">Total # of </w:t>
            </w:r>
            <w:r w:rsidR="00D37B6B">
              <w:rPr>
                <w:bCs/>
                <w:color w:val="000000"/>
                <w:sz w:val="22"/>
                <w:szCs w:val="22"/>
              </w:rPr>
              <w:t>post</w:t>
            </w:r>
            <w:r w:rsidRPr="00974A07">
              <w:rPr>
                <w:bCs/>
                <w:color w:val="000000"/>
                <w:sz w:val="22"/>
                <w:szCs w:val="22"/>
              </w:rPr>
              <w:t xml:space="preserve"> CRBA Application</w:t>
            </w:r>
            <w:r w:rsidR="0002351D">
              <w:rPr>
                <w:bCs/>
                <w:color w:val="000000"/>
                <w:sz w:val="22"/>
                <w:szCs w:val="22"/>
              </w:rPr>
              <w:t>s</w:t>
            </w:r>
            <w:r w:rsidR="00D37B6B">
              <w:rPr>
                <w:bCs/>
                <w:color w:val="000000"/>
                <w:sz w:val="22"/>
                <w:szCs w:val="22"/>
              </w:rPr>
              <w:t xml:space="preserve"> </w:t>
            </w:r>
          </w:p>
        </w:tc>
      </w:tr>
      <w:tr w:rsidRPr="00974A07" w:rsidR="00164DB0" w:rsidTr="00E539E0" w14:paraId="117F622D" w14:textId="77777777">
        <w:trPr>
          <w:trHeight w:val="300"/>
        </w:trPr>
        <w:tc>
          <w:tcPr>
            <w:tcW w:w="1615" w:type="dxa"/>
            <w:tcBorders>
              <w:top w:val="nil"/>
              <w:left w:val="single" w:color="auto" w:sz="4" w:space="0"/>
              <w:bottom w:val="single" w:color="auto" w:sz="4" w:space="0"/>
              <w:right w:val="single" w:color="auto" w:sz="4" w:space="0"/>
            </w:tcBorders>
            <w:shd w:val="clear" w:color="auto" w:fill="auto"/>
            <w:noWrap/>
            <w:vAlign w:val="bottom"/>
            <w:hideMark/>
          </w:tcPr>
          <w:p w:rsidRPr="00974A07" w:rsidR="00164DB0" w:rsidP="00E539E0" w:rsidRDefault="00164DB0" w14:paraId="117F622B" w14:textId="77777777">
            <w:pPr>
              <w:ind w:left="720"/>
              <w:jc w:val="center"/>
              <w:rPr>
                <w:bCs/>
                <w:color w:val="000000"/>
                <w:sz w:val="22"/>
                <w:szCs w:val="22"/>
              </w:rPr>
            </w:pPr>
            <w:r w:rsidRPr="00974A07">
              <w:rPr>
                <w:bCs/>
                <w:color w:val="000000"/>
                <w:sz w:val="22"/>
                <w:szCs w:val="22"/>
              </w:rPr>
              <w:t>FY1</w:t>
            </w:r>
            <w:r>
              <w:rPr>
                <w:bCs/>
                <w:color w:val="000000"/>
                <w:sz w:val="22"/>
                <w:szCs w:val="22"/>
              </w:rPr>
              <w:t>5</w:t>
            </w:r>
          </w:p>
        </w:tc>
        <w:tc>
          <w:tcPr>
            <w:tcW w:w="4394" w:type="dxa"/>
            <w:tcBorders>
              <w:top w:val="nil"/>
              <w:left w:val="nil"/>
              <w:bottom w:val="single" w:color="auto" w:sz="4" w:space="0"/>
              <w:right w:val="single" w:color="auto" w:sz="4" w:space="0"/>
            </w:tcBorders>
            <w:shd w:val="clear" w:color="auto" w:fill="auto"/>
            <w:noWrap/>
            <w:vAlign w:val="bottom"/>
          </w:tcPr>
          <w:p w:rsidRPr="00974A07" w:rsidR="00164DB0" w:rsidP="00E539E0" w:rsidRDefault="00845109" w14:paraId="117F622C" w14:textId="390DCF16">
            <w:pPr>
              <w:ind w:left="720"/>
              <w:jc w:val="center"/>
              <w:rPr>
                <w:bCs/>
                <w:color w:val="000000"/>
                <w:sz w:val="22"/>
                <w:szCs w:val="22"/>
              </w:rPr>
            </w:pPr>
            <w:r>
              <w:rPr>
                <w:bCs/>
                <w:color w:val="000000"/>
                <w:sz w:val="22"/>
                <w:szCs w:val="22"/>
              </w:rPr>
              <w:t>68,144</w:t>
            </w:r>
          </w:p>
        </w:tc>
      </w:tr>
      <w:tr w:rsidRPr="00974A07" w:rsidR="00164DB0" w:rsidTr="00E539E0" w14:paraId="117F6230"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74A07" w:rsidR="00164DB0" w:rsidP="00E539E0" w:rsidRDefault="00164DB0" w14:paraId="117F622E" w14:textId="77777777">
            <w:pPr>
              <w:ind w:left="720"/>
              <w:jc w:val="center"/>
              <w:rPr>
                <w:bCs/>
                <w:color w:val="000000"/>
                <w:sz w:val="22"/>
                <w:szCs w:val="22"/>
              </w:rPr>
            </w:pPr>
            <w:r w:rsidRPr="00974A07">
              <w:rPr>
                <w:bCs/>
                <w:color w:val="000000"/>
                <w:sz w:val="22"/>
                <w:szCs w:val="22"/>
              </w:rPr>
              <w:t>FY1</w:t>
            </w:r>
            <w:r>
              <w:rPr>
                <w:bCs/>
                <w:color w:val="000000"/>
                <w:sz w:val="22"/>
                <w:szCs w:val="22"/>
              </w:rPr>
              <w:t>6</w:t>
            </w:r>
          </w:p>
        </w:tc>
        <w:tc>
          <w:tcPr>
            <w:tcW w:w="4394" w:type="dxa"/>
            <w:tcBorders>
              <w:top w:val="single" w:color="auto" w:sz="4" w:space="0"/>
              <w:left w:val="nil"/>
              <w:bottom w:val="single" w:color="auto" w:sz="4" w:space="0"/>
              <w:right w:val="single" w:color="auto" w:sz="4" w:space="0"/>
            </w:tcBorders>
            <w:shd w:val="clear" w:color="auto" w:fill="auto"/>
            <w:noWrap/>
            <w:vAlign w:val="bottom"/>
          </w:tcPr>
          <w:p w:rsidRPr="00974A07" w:rsidR="00164DB0" w:rsidP="00E539E0" w:rsidRDefault="00845109" w14:paraId="117F622F" w14:textId="40A65DEB">
            <w:pPr>
              <w:ind w:left="720"/>
              <w:jc w:val="center"/>
              <w:rPr>
                <w:bCs/>
                <w:color w:val="000000"/>
                <w:sz w:val="22"/>
                <w:szCs w:val="22"/>
              </w:rPr>
            </w:pPr>
            <w:r>
              <w:rPr>
                <w:bCs/>
                <w:color w:val="000000"/>
                <w:sz w:val="22"/>
                <w:szCs w:val="22"/>
              </w:rPr>
              <w:t>73</w:t>
            </w:r>
            <w:r w:rsidR="00164DB0">
              <w:rPr>
                <w:bCs/>
                <w:color w:val="000000"/>
                <w:sz w:val="22"/>
                <w:szCs w:val="22"/>
              </w:rPr>
              <w:t>,</w:t>
            </w:r>
            <w:r>
              <w:rPr>
                <w:bCs/>
                <w:color w:val="000000"/>
                <w:sz w:val="22"/>
                <w:szCs w:val="22"/>
              </w:rPr>
              <w:t>424</w:t>
            </w:r>
          </w:p>
        </w:tc>
      </w:tr>
      <w:tr w:rsidRPr="00974A07" w:rsidR="00B873AA" w:rsidTr="00E539E0" w14:paraId="117F6233"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974A07" w:rsidR="00B873AA" w:rsidP="00E539E0" w:rsidRDefault="00D37B6B" w14:paraId="117F6231" w14:textId="77777777">
            <w:pPr>
              <w:ind w:left="720"/>
              <w:jc w:val="center"/>
              <w:rPr>
                <w:bCs/>
                <w:color w:val="000000"/>
                <w:sz w:val="22"/>
                <w:szCs w:val="22"/>
              </w:rPr>
            </w:pPr>
            <w:r>
              <w:rPr>
                <w:bCs/>
                <w:color w:val="000000"/>
                <w:sz w:val="22"/>
                <w:szCs w:val="22"/>
              </w:rPr>
              <w:t>FY 17</w:t>
            </w:r>
          </w:p>
        </w:tc>
        <w:tc>
          <w:tcPr>
            <w:tcW w:w="4394" w:type="dxa"/>
            <w:tcBorders>
              <w:top w:val="single" w:color="auto" w:sz="4" w:space="0"/>
              <w:left w:val="nil"/>
              <w:bottom w:val="single" w:color="auto" w:sz="4" w:space="0"/>
              <w:right w:val="single" w:color="auto" w:sz="4" w:space="0"/>
            </w:tcBorders>
            <w:shd w:val="clear" w:color="auto" w:fill="auto"/>
            <w:noWrap/>
            <w:vAlign w:val="bottom"/>
          </w:tcPr>
          <w:p w:rsidR="00B873AA" w:rsidP="00E539E0" w:rsidRDefault="00845109" w14:paraId="117F6232" w14:textId="15F75FB0">
            <w:pPr>
              <w:ind w:left="720"/>
              <w:jc w:val="center"/>
              <w:rPr>
                <w:bCs/>
                <w:color w:val="000000"/>
                <w:sz w:val="22"/>
                <w:szCs w:val="22"/>
              </w:rPr>
            </w:pPr>
            <w:r>
              <w:rPr>
                <w:bCs/>
                <w:color w:val="000000"/>
                <w:sz w:val="22"/>
                <w:szCs w:val="22"/>
              </w:rPr>
              <w:t>69,851</w:t>
            </w:r>
          </w:p>
        </w:tc>
      </w:tr>
    </w:tbl>
    <w:p w:rsidRPr="00974A07" w:rsidR="00164DB0" w:rsidP="00E539E0" w:rsidRDefault="00164DB0" w14:paraId="117F6234" w14:textId="77777777">
      <w:pPr>
        <w:spacing w:after="240"/>
        <w:ind w:left="720"/>
      </w:pPr>
      <w:r w:rsidRPr="00974A07">
        <w:t xml:space="preserve"> </w:t>
      </w:r>
    </w:p>
    <w:p w:rsidRPr="00974A07" w:rsidR="00164DB0" w:rsidP="00E539E0" w:rsidRDefault="00164DB0" w14:paraId="117F6235" w14:textId="77777777">
      <w:pPr>
        <w:spacing w:after="240"/>
        <w:ind w:left="720"/>
      </w:pPr>
    </w:p>
    <w:p w:rsidRPr="00974A07" w:rsidR="00164DB0" w:rsidP="00E539E0" w:rsidRDefault="00164DB0" w14:paraId="117F6236" w14:textId="77777777">
      <w:pPr>
        <w:spacing w:after="240"/>
        <w:ind w:left="720"/>
        <w:rPr>
          <w:bCs/>
        </w:rPr>
      </w:pPr>
    </w:p>
    <w:p w:rsidRPr="00974A07" w:rsidR="00164DB0" w:rsidP="00E539E0" w:rsidRDefault="00164DB0" w14:paraId="117F6237" w14:textId="77777777">
      <w:pPr>
        <w:spacing w:after="240"/>
        <w:ind w:left="720"/>
        <w:rPr>
          <w:bCs/>
        </w:rPr>
      </w:pPr>
    </w:p>
    <w:p w:rsidR="00164DB0" w:rsidP="00E539E0" w:rsidRDefault="00164DB0" w14:paraId="117F6238" w14:textId="77777777">
      <w:pPr>
        <w:ind w:left="720"/>
      </w:pPr>
    </w:p>
    <w:p w:rsidRPr="00974A07" w:rsidR="00D37B6B" w:rsidP="00E539E0" w:rsidRDefault="00D37B6B" w14:paraId="117F6239" w14:textId="77777777">
      <w:pPr>
        <w:ind w:left="720"/>
      </w:pPr>
    </w:p>
    <w:p w:rsidR="007078A0" w:rsidP="00E539E0" w:rsidRDefault="007078A0" w14:paraId="0459ACEE" w14:textId="17AF8681">
      <w:pPr>
        <w:ind w:left="720"/>
      </w:pPr>
      <w:r w:rsidRPr="00022DA3">
        <w:t>The estimated cost to respondents is based on the weighted civilian hourly wage rate from the Bureau of Labor Statistics website multiplied by the annual time burden (</w:t>
      </w:r>
      <w:r w:rsidR="005920E3">
        <w:t>73,647</w:t>
      </w:r>
      <w:r w:rsidRPr="00974A07">
        <w:t xml:space="preserve"> </w:t>
      </w:r>
      <w:r w:rsidRPr="00022DA3">
        <w:t>hours). The wage rate is estimated to be $</w:t>
      </w:r>
      <w:r>
        <w:t>36.32</w:t>
      </w:r>
      <w:r w:rsidRPr="00022DA3">
        <w:t xml:space="preserve"> per hour ($</w:t>
      </w:r>
      <w:r>
        <w:t>24.91</w:t>
      </w:r>
      <w:r w:rsidRPr="00022DA3">
        <w:t xml:space="preserve"> average wage </w:t>
      </w:r>
      <w:r>
        <w:t>+ 11.41 benefits</w:t>
      </w:r>
      <w:r w:rsidRPr="00022DA3">
        <w:t xml:space="preserve">).  </w:t>
      </w:r>
      <w:r>
        <w:t>The Department used the Employer Costs for Employee Compensation released by the Bureau of Labor Statistics in 2019.</w:t>
      </w:r>
      <w:r>
        <w:rPr>
          <w:rStyle w:val="EndnoteReference"/>
        </w:rPr>
        <w:endnoteReference w:id="2"/>
      </w:r>
    </w:p>
    <w:p w:rsidRPr="00974A07" w:rsidR="00164DB0" w:rsidP="001A1EF5" w:rsidRDefault="007078A0" w14:paraId="117F623A" w14:textId="3F3C05A6">
      <w:pPr>
        <w:ind w:left="720"/>
      </w:pPr>
      <w:r>
        <w:br/>
      </w:r>
      <w:r w:rsidRPr="00974A07" w:rsidR="00164DB0">
        <w:t>$</w:t>
      </w:r>
      <w:r>
        <w:t>36.32</w:t>
      </w:r>
      <w:r w:rsidRPr="00974A07" w:rsidR="00164DB0">
        <w:t>/h</w:t>
      </w:r>
      <w:r w:rsidR="00164DB0">
        <w:t xml:space="preserve">r. </w:t>
      </w:r>
      <w:r>
        <w:t>x</w:t>
      </w:r>
      <w:r w:rsidR="00164DB0">
        <w:t xml:space="preserve"> </w:t>
      </w:r>
      <w:r w:rsidR="00BA6CE1">
        <w:t>73,647</w:t>
      </w:r>
      <w:r w:rsidR="00C656C6">
        <w:t xml:space="preserve"> </w:t>
      </w:r>
      <w:r w:rsidRPr="00974A07" w:rsidR="00164DB0">
        <w:t>burden hours</w:t>
      </w:r>
      <w:r>
        <w:t xml:space="preserve"> = </w:t>
      </w:r>
      <w:r w:rsidRPr="00974A07" w:rsidR="00164DB0">
        <w:t>$</w:t>
      </w:r>
      <w:r w:rsidR="00C656C6">
        <w:t xml:space="preserve">$2,647,859.04 </w:t>
      </w:r>
      <w:r w:rsidR="00A725FC">
        <w:t xml:space="preserve">annual </w:t>
      </w:r>
      <w:r>
        <w:t>cost burden</w:t>
      </w:r>
      <w:r w:rsidRPr="00974A07" w:rsidR="00164DB0">
        <w:t>.</w:t>
      </w:r>
    </w:p>
    <w:p w:rsidRPr="00974A07" w:rsidR="00164DB0" w:rsidP="00164DB0" w:rsidRDefault="00164DB0" w14:paraId="117F623B" w14:textId="77777777"/>
    <w:p w:rsidR="001A1EF5" w:rsidP="00164DB0" w:rsidRDefault="001A1EF5" w14:paraId="6768098F" w14:textId="77777777">
      <w:pPr>
        <w:rPr>
          <w:bCs/>
        </w:rPr>
      </w:pPr>
    </w:p>
    <w:p w:rsidRPr="001A1EF5" w:rsidR="001A1EF5" w:rsidP="34F3EAD0" w:rsidRDefault="001A1EF5" w14:paraId="1984BCF5" w14:textId="77777777">
      <w:pPr>
        <w:numPr>
          <w:ilvl w:val="0"/>
          <w:numId w:val="10"/>
        </w:numPr>
        <w:rPr>
          <w:color w:val="000000"/>
        </w:rPr>
      </w:pPr>
      <w:r w:rsidRPr="34F3EAD0">
        <w:rPr>
          <w:i/>
          <w:iCs/>
          <w:color w:val="000000" w:themeColor="text1"/>
        </w:rPr>
        <w:t>Describe the monetary burden to respondents (out of pocket costs) needed to complete this collection</w:t>
      </w:r>
      <w:r w:rsidRPr="34F3EAD0">
        <w:rPr>
          <w:color w:val="000000" w:themeColor="text1"/>
        </w:rPr>
        <w:t>.</w:t>
      </w:r>
    </w:p>
    <w:p w:rsidR="00164DB0" w:rsidP="00164DB0" w:rsidRDefault="00164DB0" w14:paraId="117F623C" w14:textId="43AF4B0B">
      <w:r>
        <w:t xml:space="preserve">The cost associated with this application that respondents may incur is the mileage travel costs for submitting the form to the U.S. diplomatic mission in person.   </w:t>
      </w:r>
    </w:p>
    <w:p w:rsidR="006F60EE" w:rsidP="00164DB0" w:rsidRDefault="006F60EE" w14:paraId="27BB1BEC" w14:textId="77777777"/>
    <w:p w:rsidRPr="00F95AE1" w:rsidR="006F60EE" w:rsidP="006F60EE" w:rsidRDefault="006F60EE" w14:paraId="6D5D08C5" w14:textId="12DEAB66">
      <w:r w:rsidRPr="00F95AE1">
        <w:t xml:space="preserve">The number of people traveling by vehicle per </w:t>
      </w:r>
      <w:r>
        <w:t>number</w:t>
      </w:r>
      <w:r w:rsidRPr="00F95AE1">
        <w:t xml:space="preserve"> of miles shown in the table below was determined by dividing </w:t>
      </w:r>
      <w:r w:rsidR="00D93D8D">
        <w:t>70,473</w:t>
      </w:r>
      <w:r w:rsidRPr="00F95AE1">
        <w:t xml:space="preserve"> individuals </w:t>
      </w:r>
      <w:r w:rsidR="00A725FC">
        <w:t xml:space="preserve">(number of respondents) </w:t>
      </w:r>
      <w:r w:rsidRPr="00F95AE1">
        <w:t xml:space="preserve">by 3 which gives you </w:t>
      </w:r>
      <w:r w:rsidR="00D93D8D">
        <w:t>23,491</w:t>
      </w:r>
      <w:r w:rsidRPr="00F95AE1">
        <w:t xml:space="preserve"> individuals</w:t>
      </w:r>
      <w:r w:rsidR="00EE0F23">
        <w:t xml:space="preserve">, which assumes an even split between the three mileages detailed </w:t>
      </w:r>
      <w:r w:rsidR="00EE0F23">
        <w:lastRenderedPageBreak/>
        <w:t>below.</w:t>
      </w:r>
      <w:r w:rsidRPr="00F95AE1">
        <w:t xml:space="preserve">  The driving cost per mile of $0.5</w:t>
      </w:r>
      <w:r>
        <w:t>9</w:t>
      </w:r>
      <w:r w:rsidRPr="00F95AE1">
        <w:t xml:space="preserve"> was determined using the Bureau of Transportation Statistics (BTS) calculation from 201</w:t>
      </w:r>
      <w:r>
        <w:t>8</w:t>
      </w:r>
      <w:r w:rsidRPr="00F95AE1">
        <w:t>.</w:t>
      </w:r>
      <w:r>
        <w:rPr>
          <w:rStyle w:val="EndnoteReference"/>
        </w:rPr>
        <w:endnoteReference w:id="3"/>
      </w:r>
      <w:r w:rsidRPr="00F95AE1">
        <w:t xml:space="preserve">  </w:t>
      </w:r>
    </w:p>
    <w:p w:rsidR="006F60EE" w:rsidP="00164DB0" w:rsidRDefault="006F60EE" w14:paraId="502B035A" w14:textId="77777777"/>
    <w:p w:rsidRPr="00974A07" w:rsidR="00A725FC" w:rsidP="00164DB0" w:rsidRDefault="00A725FC" w14:paraId="4A970B1E" w14:textId="4175E587">
      <w:r w:rsidRPr="00974A07">
        <w:t xml:space="preserve">Mileage costs for traveling by various methods of transportation will vary based on how far the person has to travel.  If the </w:t>
      </w:r>
      <w:r>
        <w:t>driving distance is</w:t>
      </w:r>
      <w:r w:rsidRPr="00974A07">
        <w:t xml:space="preserve"> ten miles, the overall total cost based on </w:t>
      </w:r>
      <w:r w:rsidR="0068563F">
        <w:rPr>
          <w:color w:val="000000"/>
        </w:rPr>
        <w:t>23,491</w:t>
      </w:r>
      <w:r>
        <w:rPr>
          <w:color w:val="000000"/>
        </w:rPr>
        <w:t xml:space="preserve"> </w:t>
      </w:r>
      <w:r w:rsidRPr="00974A07">
        <w:t>respondents is $</w:t>
      </w:r>
      <w:r w:rsidR="00F610F5">
        <w:rPr>
          <w:color w:val="000000"/>
        </w:rPr>
        <w:t>138,596.90</w:t>
      </w:r>
      <w:r w:rsidRPr="00974A07">
        <w:t xml:space="preserve">.  If the </w:t>
      </w:r>
      <w:r>
        <w:t>distance</w:t>
      </w:r>
      <w:r w:rsidRPr="00974A07">
        <w:t xml:space="preserve"> is 25 miles, the overall total cost based on </w:t>
      </w:r>
      <w:r w:rsidR="00F610F5">
        <w:rPr>
          <w:color w:val="000000"/>
        </w:rPr>
        <w:t>23,491</w:t>
      </w:r>
      <w:r>
        <w:rPr>
          <w:color w:val="000000"/>
        </w:rPr>
        <w:t xml:space="preserve"> </w:t>
      </w:r>
      <w:r w:rsidRPr="00974A07">
        <w:t xml:space="preserve">respondents is </w:t>
      </w:r>
      <w:r>
        <w:rPr>
          <w:color w:val="000000"/>
        </w:rPr>
        <w:t>$</w:t>
      </w:r>
      <w:r w:rsidR="000F0831">
        <w:rPr>
          <w:color w:val="000000"/>
        </w:rPr>
        <w:t>346,492.25</w:t>
      </w:r>
      <w:r w:rsidRPr="00974A07">
        <w:t xml:space="preserve">.  If the </w:t>
      </w:r>
      <w:r>
        <w:t>distance</w:t>
      </w:r>
      <w:r w:rsidRPr="00974A07">
        <w:t xml:space="preserve"> is 50 miles, the overall total cost based on </w:t>
      </w:r>
      <w:r w:rsidR="00114862">
        <w:rPr>
          <w:color w:val="000000"/>
        </w:rPr>
        <w:t>23,491</w:t>
      </w:r>
      <w:r>
        <w:rPr>
          <w:color w:val="000000"/>
        </w:rPr>
        <w:t xml:space="preserve"> </w:t>
      </w:r>
      <w:r w:rsidRPr="00974A07">
        <w:t xml:space="preserve">respondents is </w:t>
      </w:r>
      <w:r>
        <w:rPr>
          <w:color w:val="000000"/>
        </w:rPr>
        <w:t>$</w:t>
      </w:r>
      <w:r w:rsidR="00114862">
        <w:rPr>
          <w:color w:val="000000"/>
        </w:rPr>
        <w:t>692,984.50</w:t>
      </w:r>
      <w:r w:rsidRPr="00974A07">
        <w:rPr>
          <w:color w:val="000000"/>
        </w:rPr>
        <w:t xml:space="preserve">.  </w:t>
      </w:r>
      <w:r w:rsidRPr="00974A07">
        <w:t xml:space="preserve">The total mileage cost of </w:t>
      </w:r>
      <w:r w:rsidRPr="005D6CFC">
        <w:rPr>
          <w:color w:val="000000"/>
        </w:rPr>
        <w:t>$</w:t>
      </w:r>
      <w:r w:rsidR="00995C67">
        <w:rPr>
          <w:color w:val="000000"/>
        </w:rPr>
        <w:t>1,178,073.65</w:t>
      </w:r>
      <w:r>
        <w:rPr>
          <w:b/>
          <w:color w:val="000000"/>
        </w:rPr>
        <w:t xml:space="preserve"> </w:t>
      </w:r>
      <w:r w:rsidRPr="00974A07">
        <w:rPr>
          <w:color w:val="000000"/>
        </w:rPr>
        <w:t xml:space="preserve">is </w:t>
      </w:r>
      <w:r>
        <w:t xml:space="preserve">based on </w:t>
      </w:r>
      <w:r w:rsidRPr="00974A07">
        <w:t>respondents that traveled by various methods of transportation.</w:t>
      </w:r>
    </w:p>
    <w:tbl>
      <w:tblPr>
        <w:tblW w:w="8547" w:type="dxa"/>
        <w:tblInd w:w="93" w:type="dxa"/>
        <w:tblLook w:val="04A0" w:firstRow="1" w:lastRow="0" w:firstColumn="1" w:lastColumn="0" w:noHBand="0" w:noVBand="1"/>
      </w:tblPr>
      <w:tblGrid>
        <w:gridCol w:w="1418"/>
        <w:gridCol w:w="1629"/>
        <w:gridCol w:w="1417"/>
        <w:gridCol w:w="1477"/>
        <w:gridCol w:w="2619"/>
      </w:tblGrid>
      <w:tr w:rsidRPr="002F0096" w:rsidR="00164DB0" w:rsidTr="00E539E0" w14:paraId="117F6252" w14:textId="77777777">
        <w:trPr>
          <w:gridAfter w:val="2"/>
          <w:wAfter w:w="4096" w:type="dxa"/>
          <w:trHeight w:val="855"/>
        </w:trPr>
        <w:tc>
          <w:tcPr>
            <w:tcW w:w="1418" w:type="dxa"/>
            <w:tcBorders>
              <w:top w:val="nil"/>
              <w:left w:val="nil"/>
              <w:bottom w:val="nil"/>
              <w:right w:val="nil"/>
            </w:tcBorders>
            <w:shd w:val="clear" w:color="auto" w:fill="auto"/>
            <w:noWrap/>
            <w:vAlign w:val="bottom"/>
            <w:hideMark/>
          </w:tcPr>
          <w:p w:rsidR="00164DB0" w:rsidP="00E33746" w:rsidRDefault="00164DB0" w14:paraId="117F6246" w14:textId="77777777">
            <w:pPr>
              <w:rPr>
                <w:color w:val="000000"/>
              </w:rPr>
            </w:pPr>
          </w:p>
          <w:p w:rsidR="00164DB0" w:rsidP="00E33746" w:rsidRDefault="00164DB0" w14:paraId="117F6247" w14:textId="77777777">
            <w:pPr>
              <w:rPr>
                <w:color w:val="000000"/>
              </w:rPr>
            </w:pPr>
          </w:p>
          <w:p w:rsidR="00164DB0" w:rsidP="00E33746" w:rsidRDefault="00164DB0" w14:paraId="117F6248" w14:textId="77777777">
            <w:pPr>
              <w:rPr>
                <w:color w:val="000000"/>
              </w:rPr>
            </w:pPr>
          </w:p>
          <w:p w:rsidR="00164DB0" w:rsidP="00E33746" w:rsidRDefault="00164DB0" w14:paraId="117F6249" w14:textId="77777777">
            <w:pPr>
              <w:rPr>
                <w:color w:val="000000"/>
              </w:rPr>
            </w:pPr>
          </w:p>
          <w:p w:rsidR="00164DB0" w:rsidP="00E33746" w:rsidRDefault="00164DB0" w14:paraId="117F624A" w14:textId="77777777">
            <w:pPr>
              <w:rPr>
                <w:color w:val="000000"/>
              </w:rPr>
            </w:pPr>
          </w:p>
          <w:p w:rsidR="00164DB0" w:rsidP="00E33746" w:rsidRDefault="00164DB0" w14:paraId="117F624B" w14:textId="77777777">
            <w:pPr>
              <w:rPr>
                <w:color w:val="000000"/>
              </w:rPr>
            </w:pPr>
          </w:p>
          <w:p w:rsidR="00164DB0" w:rsidP="00E33746" w:rsidRDefault="00164DB0" w14:paraId="117F624C" w14:textId="77777777">
            <w:pPr>
              <w:rPr>
                <w:color w:val="000000"/>
              </w:rPr>
            </w:pPr>
          </w:p>
          <w:p w:rsidR="00164DB0" w:rsidP="00E33746" w:rsidRDefault="00164DB0" w14:paraId="117F624D" w14:textId="77777777">
            <w:pPr>
              <w:rPr>
                <w:color w:val="000000"/>
              </w:rPr>
            </w:pPr>
          </w:p>
          <w:p w:rsidR="00164DB0" w:rsidP="00E33746" w:rsidRDefault="00164DB0" w14:paraId="117F624E" w14:textId="77777777">
            <w:pPr>
              <w:rPr>
                <w:color w:val="000000"/>
              </w:rPr>
            </w:pPr>
          </w:p>
          <w:p w:rsidRPr="002F0096" w:rsidR="00164DB0" w:rsidP="00E33746" w:rsidRDefault="00164DB0" w14:paraId="117F624F" w14:textId="77777777">
            <w:pPr>
              <w:rPr>
                <w:color w:val="000000"/>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F0096" w:rsidR="00164DB0" w:rsidP="005D6CFC" w:rsidRDefault="00164DB0" w14:paraId="117F6250" w14:textId="77777777">
            <w:pPr>
              <w:rPr>
                <w:color w:val="000000"/>
              </w:rPr>
            </w:pPr>
            <w:r w:rsidRPr="002F0096">
              <w:rPr>
                <w:color w:val="000000"/>
              </w:rPr>
              <w:t xml:space="preserve">Total # of Respondents </w:t>
            </w:r>
            <w:r>
              <w:rPr>
                <w:color w:val="000000"/>
              </w:rPr>
              <w:t>that Traveled by Various Methods  of Transportation</w:t>
            </w:r>
          </w:p>
        </w:tc>
        <w:tc>
          <w:tcPr>
            <w:tcW w:w="1417" w:type="dxa"/>
            <w:tcBorders>
              <w:top w:val="single" w:color="auto" w:sz="4" w:space="0"/>
              <w:left w:val="nil"/>
              <w:bottom w:val="single" w:color="auto" w:sz="4" w:space="0"/>
              <w:right w:val="single" w:color="auto" w:sz="4" w:space="0"/>
            </w:tcBorders>
            <w:shd w:val="clear" w:color="auto" w:fill="auto"/>
            <w:noWrap/>
            <w:vAlign w:val="bottom"/>
          </w:tcPr>
          <w:p w:rsidRPr="002F0096" w:rsidR="00164DB0" w:rsidP="00E33746" w:rsidRDefault="00E63BAF" w14:paraId="117F6251" w14:textId="2B9E774A">
            <w:pPr>
              <w:jc w:val="center"/>
              <w:rPr>
                <w:b/>
                <w:bCs/>
                <w:color w:val="000000"/>
              </w:rPr>
            </w:pPr>
            <w:r>
              <w:t>70,473</w:t>
            </w:r>
          </w:p>
        </w:tc>
      </w:tr>
      <w:tr w:rsidRPr="002F0096" w:rsidR="00164DB0" w:rsidTr="00E539E0" w14:paraId="117F6258" w14:textId="77777777">
        <w:trPr>
          <w:trHeight w:val="915"/>
        </w:trPr>
        <w:tc>
          <w:tcPr>
            <w:tcW w:w="141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F0096" w:rsidR="00164DB0" w:rsidP="00E33746" w:rsidRDefault="00164DB0" w14:paraId="117F6253" w14:textId="77777777">
            <w:pPr>
              <w:jc w:val="center"/>
              <w:rPr>
                <w:color w:val="000000"/>
              </w:rPr>
            </w:pPr>
            <w:r w:rsidRPr="002F0096">
              <w:rPr>
                <w:color w:val="000000"/>
              </w:rPr>
              <w:t># of People</w:t>
            </w:r>
          </w:p>
        </w:tc>
        <w:tc>
          <w:tcPr>
            <w:tcW w:w="1616" w:type="dxa"/>
            <w:tcBorders>
              <w:top w:val="single" w:color="auto" w:sz="4" w:space="0"/>
              <w:left w:val="nil"/>
              <w:bottom w:val="single" w:color="auto" w:sz="4" w:space="0"/>
              <w:right w:val="single" w:color="auto" w:sz="4" w:space="0"/>
            </w:tcBorders>
            <w:shd w:val="clear" w:color="auto" w:fill="auto"/>
            <w:noWrap/>
            <w:vAlign w:val="bottom"/>
            <w:hideMark/>
          </w:tcPr>
          <w:p w:rsidRPr="002F0096" w:rsidR="00164DB0" w:rsidP="00E33746" w:rsidRDefault="00164DB0" w14:paraId="117F6254" w14:textId="77777777">
            <w:pPr>
              <w:jc w:val="center"/>
              <w:rPr>
                <w:color w:val="000000"/>
              </w:rPr>
            </w:pPr>
            <w:r w:rsidRPr="002F0096">
              <w:rPr>
                <w:color w:val="000000"/>
              </w:rPr>
              <w:t># of Miles</w:t>
            </w:r>
          </w:p>
        </w:tc>
        <w:tc>
          <w:tcPr>
            <w:tcW w:w="1417" w:type="dxa"/>
            <w:tcBorders>
              <w:top w:val="single" w:color="auto" w:sz="4" w:space="0"/>
              <w:left w:val="nil"/>
              <w:bottom w:val="single" w:color="auto" w:sz="4" w:space="0"/>
              <w:right w:val="single" w:color="auto" w:sz="4" w:space="0"/>
            </w:tcBorders>
            <w:shd w:val="clear" w:color="auto" w:fill="auto"/>
            <w:vAlign w:val="bottom"/>
            <w:hideMark/>
          </w:tcPr>
          <w:p w:rsidRPr="002F0096" w:rsidR="00164DB0" w:rsidP="00E33746" w:rsidRDefault="00164DB0" w14:paraId="117F6255" w14:textId="77777777">
            <w:pPr>
              <w:jc w:val="center"/>
              <w:rPr>
                <w:color w:val="000000"/>
              </w:rPr>
            </w:pPr>
            <w:r>
              <w:rPr>
                <w:color w:val="000000"/>
              </w:rPr>
              <w:t xml:space="preserve">Cost </w:t>
            </w:r>
            <w:r w:rsidRPr="002F0096">
              <w:rPr>
                <w:color w:val="000000"/>
              </w:rPr>
              <w:t>Per Mile</w:t>
            </w:r>
          </w:p>
        </w:tc>
        <w:tc>
          <w:tcPr>
            <w:tcW w:w="1477" w:type="dxa"/>
            <w:tcBorders>
              <w:top w:val="single" w:color="auto" w:sz="4" w:space="0"/>
              <w:left w:val="nil"/>
              <w:bottom w:val="single" w:color="auto" w:sz="4" w:space="0"/>
              <w:right w:val="single" w:color="auto" w:sz="4" w:space="0"/>
            </w:tcBorders>
            <w:shd w:val="clear" w:color="auto" w:fill="auto"/>
            <w:vAlign w:val="bottom"/>
            <w:hideMark/>
          </w:tcPr>
          <w:p w:rsidRPr="002F0096" w:rsidR="00164DB0" w:rsidP="00E33746" w:rsidRDefault="00164DB0" w14:paraId="117F6256" w14:textId="77777777">
            <w:pPr>
              <w:jc w:val="center"/>
              <w:rPr>
                <w:color w:val="000000"/>
              </w:rPr>
            </w:pPr>
            <w:r w:rsidRPr="002F0096">
              <w:rPr>
                <w:color w:val="000000"/>
              </w:rPr>
              <w:t xml:space="preserve">Total </w:t>
            </w:r>
            <w:r>
              <w:rPr>
                <w:color w:val="000000"/>
              </w:rPr>
              <w:t>cost</w:t>
            </w:r>
            <w:r w:rsidRPr="002F0096">
              <w:rPr>
                <w:color w:val="000000"/>
              </w:rPr>
              <w:t xml:space="preserve"> for mileage listed for one person</w:t>
            </w:r>
          </w:p>
        </w:tc>
        <w:tc>
          <w:tcPr>
            <w:tcW w:w="2619" w:type="dxa"/>
            <w:tcBorders>
              <w:top w:val="single" w:color="auto" w:sz="4" w:space="0"/>
              <w:left w:val="nil"/>
              <w:bottom w:val="single" w:color="auto" w:sz="4" w:space="0"/>
              <w:right w:val="single" w:color="auto" w:sz="4" w:space="0"/>
            </w:tcBorders>
            <w:shd w:val="clear" w:color="auto" w:fill="auto"/>
            <w:vAlign w:val="bottom"/>
            <w:hideMark/>
          </w:tcPr>
          <w:p w:rsidRPr="002F0096" w:rsidR="00164DB0" w:rsidP="00E33746" w:rsidRDefault="00164DB0" w14:paraId="117F6257" w14:textId="77777777">
            <w:pPr>
              <w:jc w:val="center"/>
              <w:rPr>
                <w:color w:val="000000"/>
              </w:rPr>
            </w:pPr>
            <w:r w:rsidRPr="002F0096">
              <w:rPr>
                <w:color w:val="000000"/>
              </w:rPr>
              <w:t>Totals</w:t>
            </w:r>
          </w:p>
        </w:tc>
      </w:tr>
      <w:tr w:rsidRPr="002F0096" w:rsidR="00164DB0" w:rsidTr="00E539E0" w14:paraId="117F625E" w14:textId="77777777">
        <w:trPr>
          <w:trHeight w:val="300"/>
        </w:trPr>
        <w:tc>
          <w:tcPr>
            <w:tcW w:w="1418" w:type="dxa"/>
            <w:tcBorders>
              <w:top w:val="nil"/>
              <w:left w:val="single" w:color="auto" w:sz="4" w:space="0"/>
              <w:bottom w:val="single" w:color="auto" w:sz="4" w:space="0"/>
              <w:right w:val="single" w:color="auto" w:sz="4" w:space="0"/>
            </w:tcBorders>
            <w:shd w:val="clear" w:color="auto" w:fill="auto"/>
            <w:noWrap/>
            <w:vAlign w:val="bottom"/>
          </w:tcPr>
          <w:p w:rsidRPr="002F0096" w:rsidR="00164DB0" w:rsidP="00E33746" w:rsidRDefault="00C15EA5" w14:paraId="117F6259" w14:textId="032C3323">
            <w:pPr>
              <w:jc w:val="center"/>
              <w:rPr>
                <w:color w:val="000000"/>
              </w:rPr>
            </w:pPr>
            <w:r>
              <w:t>70,473</w:t>
            </w:r>
          </w:p>
        </w:tc>
        <w:tc>
          <w:tcPr>
            <w:tcW w:w="1616"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5A" w14:textId="77777777">
            <w:pPr>
              <w:jc w:val="center"/>
              <w:rPr>
                <w:color w:val="000000"/>
              </w:rPr>
            </w:pPr>
            <w:r w:rsidRPr="002F0096">
              <w:rPr>
                <w:color w:val="000000"/>
              </w:rPr>
              <w:t>10</w:t>
            </w:r>
          </w:p>
        </w:tc>
        <w:tc>
          <w:tcPr>
            <w:tcW w:w="1417"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5B" w14:textId="14B3D378">
            <w:pPr>
              <w:jc w:val="center"/>
              <w:rPr>
                <w:color w:val="000000"/>
              </w:rPr>
            </w:pPr>
            <w:r w:rsidRPr="002F0096">
              <w:rPr>
                <w:color w:val="000000"/>
              </w:rPr>
              <w:t>$0.5</w:t>
            </w:r>
            <w:r w:rsidR="006F60EE">
              <w:rPr>
                <w:color w:val="000000"/>
              </w:rPr>
              <w:t>9</w:t>
            </w:r>
          </w:p>
        </w:tc>
        <w:tc>
          <w:tcPr>
            <w:tcW w:w="1477" w:type="dxa"/>
            <w:tcBorders>
              <w:top w:val="nil"/>
              <w:left w:val="nil"/>
              <w:bottom w:val="single" w:color="auto" w:sz="4" w:space="0"/>
              <w:right w:val="single" w:color="auto" w:sz="4" w:space="0"/>
            </w:tcBorders>
            <w:shd w:val="clear" w:color="auto" w:fill="auto"/>
            <w:noWrap/>
            <w:vAlign w:val="bottom"/>
          </w:tcPr>
          <w:p w:rsidRPr="002F0096" w:rsidR="00164DB0" w:rsidP="00E33746" w:rsidRDefault="00164DB0" w14:paraId="117F625C" w14:textId="51C46BA6">
            <w:pPr>
              <w:jc w:val="center"/>
              <w:rPr>
                <w:color w:val="000000"/>
              </w:rPr>
            </w:pPr>
            <w:r>
              <w:rPr>
                <w:color w:val="000000"/>
              </w:rPr>
              <w:t>$5.</w:t>
            </w:r>
            <w:r w:rsidR="006F60EE">
              <w:rPr>
                <w:color w:val="000000"/>
              </w:rPr>
              <w:t>9</w:t>
            </w:r>
            <w:r>
              <w:rPr>
                <w:color w:val="000000"/>
              </w:rPr>
              <w:t>0</w:t>
            </w:r>
          </w:p>
        </w:tc>
        <w:tc>
          <w:tcPr>
            <w:tcW w:w="2619" w:type="dxa"/>
            <w:tcBorders>
              <w:top w:val="nil"/>
              <w:left w:val="nil"/>
              <w:bottom w:val="single" w:color="auto" w:sz="4" w:space="0"/>
              <w:right w:val="single" w:color="auto" w:sz="4" w:space="0"/>
            </w:tcBorders>
            <w:shd w:val="clear" w:color="auto" w:fill="auto"/>
            <w:vAlign w:val="bottom"/>
          </w:tcPr>
          <w:p w:rsidRPr="002F0096" w:rsidR="00164DB0" w:rsidP="00F95AE1" w:rsidRDefault="00164DB0" w14:paraId="117F625D" w14:textId="51B28315">
            <w:pPr>
              <w:jc w:val="center"/>
              <w:rPr>
                <w:color w:val="000000"/>
              </w:rPr>
            </w:pPr>
            <w:r>
              <w:rPr>
                <w:color w:val="000000"/>
              </w:rPr>
              <w:t>$</w:t>
            </w:r>
            <w:r w:rsidR="00475467">
              <w:rPr>
                <w:color w:val="000000"/>
              </w:rPr>
              <w:t>138,596.90</w:t>
            </w:r>
          </w:p>
        </w:tc>
      </w:tr>
      <w:tr w:rsidRPr="002F0096" w:rsidR="00164DB0" w:rsidTr="00E539E0" w14:paraId="117F6264" w14:textId="77777777">
        <w:trPr>
          <w:trHeight w:val="300"/>
        </w:trPr>
        <w:tc>
          <w:tcPr>
            <w:tcW w:w="1418" w:type="dxa"/>
            <w:tcBorders>
              <w:top w:val="nil"/>
              <w:left w:val="single" w:color="auto" w:sz="4" w:space="0"/>
              <w:bottom w:val="single" w:color="auto" w:sz="4" w:space="0"/>
              <w:right w:val="single" w:color="auto" w:sz="4" w:space="0"/>
            </w:tcBorders>
            <w:shd w:val="clear" w:color="auto" w:fill="auto"/>
            <w:noWrap/>
            <w:vAlign w:val="bottom"/>
          </w:tcPr>
          <w:p w:rsidRPr="002F0096" w:rsidR="00164DB0" w:rsidP="00E33746" w:rsidRDefault="00F42500" w14:paraId="117F625F" w14:textId="7B4C91EA">
            <w:pPr>
              <w:jc w:val="center"/>
              <w:rPr>
                <w:color w:val="000000"/>
              </w:rPr>
            </w:pPr>
            <w:r>
              <w:t>70,473</w:t>
            </w:r>
          </w:p>
        </w:tc>
        <w:tc>
          <w:tcPr>
            <w:tcW w:w="1616"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60" w14:textId="77777777">
            <w:pPr>
              <w:jc w:val="center"/>
              <w:rPr>
                <w:color w:val="000000"/>
              </w:rPr>
            </w:pPr>
            <w:r w:rsidRPr="002F0096">
              <w:rPr>
                <w:color w:val="000000"/>
              </w:rPr>
              <w:t>25</w:t>
            </w:r>
          </w:p>
        </w:tc>
        <w:tc>
          <w:tcPr>
            <w:tcW w:w="1417"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61" w14:textId="50F1346C">
            <w:pPr>
              <w:jc w:val="center"/>
              <w:rPr>
                <w:color w:val="000000"/>
              </w:rPr>
            </w:pPr>
            <w:r w:rsidRPr="002F0096">
              <w:rPr>
                <w:color w:val="000000"/>
              </w:rPr>
              <w:t>$0.5</w:t>
            </w:r>
            <w:r w:rsidR="006F60EE">
              <w:rPr>
                <w:color w:val="000000"/>
              </w:rPr>
              <w:t>9</w:t>
            </w:r>
          </w:p>
        </w:tc>
        <w:tc>
          <w:tcPr>
            <w:tcW w:w="1477" w:type="dxa"/>
            <w:tcBorders>
              <w:top w:val="nil"/>
              <w:left w:val="nil"/>
              <w:bottom w:val="single" w:color="auto" w:sz="4" w:space="0"/>
              <w:right w:val="single" w:color="auto" w:sz="4" w:space="0"/>
            </w:tcBorders>
            <w:shd w:val="clear" w:color="auto" w:fill="auto"/>
            <w:noWrap/>
            <w:vAlign w:val="bottom"/>
          </w:tcPr>
          <w:p w:rsidRPr="002F0096" w:rsidR="00164DB0" w:rsidP="00F95AE1" w:rsidRDefault="00164DB0" w14:paraId="117F6262" w14:textId="5074FB89">
            <w:pPr>
              <w:jc w:val="center"/>
              <w:rPr>
                <w:color w:val="000000"/>
              </w:rPr>
            </w:pPr>
            <w:r>
              <w:rPr>
                <w:color w:val="000000"/>
              </w:rPr>
              <w:t>$</w:t>
            </w:r>
            <w:r w:rsidR="006F60EE">
              <w:rPr>
                <w:color w:val="000000"/>
              </w:rPr>
              <w:t>14.75</w:t>
            </w:r>
          </w:p>
        </w:tc>
        <w:tc>
          <w:tcPr>
            <w:tcW w:w="2619" w:type="dxa"/>
            <w:tcBorders>
              <w:top w:val="nil"/>
              <w:left w:val="nil"/>
              <w:bottom w:val="single" w:color="auto" w:sz="4" w:space="0"/>
              <w:right w:val="single" w:color="auto" w:sz="4" w:space="0"/>
            </w:tcBorders>
            <w:shd w:val="clear" w:color="auto" w:fill="auto"/>
            <w:vAlign w:val="bottom"/>
          </w:tcPr>
          <w:p w:rsidRPr="002F0096" w:rsidR="00164DB0" w:rsidP="00F95AE1" w:rsidRDefault="00164DB0" w14:paraId="117F6263" w14:textId="4386B49F">
            <w:pPr>
              <w:jc w:val="center"/>
              <w:rPr>
                <w:color w:val="000000"/>
              </w:rPr>
            </w:pPr>
            <w:r>
              <w:rPr>
                <w:color w:val="000000"/>
              </w:rPr>
              <w:t>$</w:t>
            </w:r>
            <w:r w:rsidR="00475467">
              <w:rPr>
                <w:color w:val="000000"/>
              </w:rPr>
              <w:t>346,492.25</w:t>
            </w:r>
          </w:p>
        </w:tc>
      </w:tr>
      <w:tr w:rsidRPr="002F0096" w:rsidR="00164DB0" w:rsidTr="00E539E0" w14:paraId="117F626A" w14:textId="77777777">
        <w:trPr>
          <w:trHeight w:val="300"/>
        </w:trPr>
        <w:tc>
          <w:tcPr>
            <w:tcW w:w="1418" w:type="dxa"/>
            <w:tcBorders>
              <w:top w:val="nil"/>
              <w:left w:val="single" w:color="auto" w:sz="4" w:space="0"/>
              <w:bottom w:val="single" w:color="auto" w:sz="4" w:space="0"/>
              <w:right w:val="single" w:color="auto" w:sz="4" w:space="0"/>
            </w:tcBorders>
            <w:shd w:val="clear" w:color="auto" w:fill="auto"/>
            <w:noWrap/>
            <w:vAlign w:val="bottom"/>
          </w:tcPr>
          <w:p w:rsidRPr="002F0096" w:rsidR="00164DB0" w:rsidP="00E33746" w:rsidRDefault="00F42500" w14:paraId="117F6265" w14:textId="2A25B124">
            <w:pPr>
              <w:jc w:val="center"/>
              <w:rPr>
                <w:color w:val="000000"/>
              </w:rPr>
            </w:pPr>
            <w:r>
              <w:t>70,473</w:t>
            </w:r>
          </w:p>
        </w:tc>
        <w:tc>
          <w:tcPr>
            <w:tcW w:w="1616"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66" w14:textId="77777777">
            <w:pPr>
              <w:jc w:val="center"/>
              <w:rPr>
                <w:color w:val="000000"/>
              </w:rPr>
            </w:pPr>
            <w:r w:rsidRPr="002F0096">
              <w:rPr>
                <w:color w:val="000000"/>
              </w:rPr>
              <w:t>50</w:t>
            </w:r>
          </w:p>
        </w:tc>
        <w:tc>
          <w:tcPr>
            <w:tcW w:w="1417" w:type="dxa"/>
            <w:tcBorders>
              <w:top w:val="nil"/>
              <w:left w:val="nil"/>
              <w:bottom w:val="single" w:color="auto" w:sz="4" w:space="0"/>
              <w:right w:val="single" w:color="auto" w:sz="4" w:space="0"/>
            </w:tcBorders>
            <w:shd w:val="clear" w:color="auto" w:fill="auto"/>
            <w:noWrap/>
            <w:vAlign w:val="bottom"/>
            <w:hideMark/>
          </w:tcPr>
          <w:p w:rsidRPr="002F0096" w:rsidR="00164DB0" w:rsidP="00E33746" w:rsidRDefault="00164DB0" w14:paraId="117F6267" w14:textId="08DE2C1C">
            <w:pPr>
              <w:jc w:val="center"/>
              <w:rPr>
                <w:color w:val="000000"/>
              </w:rPr>
            </w:pPr>
            <w:r w:rsidRPr="002F0096">
              <w:rPr>
                <w:color w:val="000000"/>
              </w:rPr>
              <w:t>$0.5</w:t>
            </w:r>
            <w:r w:rsidR="006F60EE">
              <w:rPr>
                <w:color w:val="000000"/>
              </w:rPr>
              <w:t>9</w:t>
            </w:r>
          </w:p>
        </w:tc>
        <w:tc>
          <w:tcPr>
            <w:tcW w:w="1477" w:type="dxa"/>
            <w:tcBorders>
              <w:top w:val="nil"/>
              <w:left w:val="nil"/>
              <w:bottom w:val="single" w:color="auto" w:sz="4" w:space="0"/>
              <w:right w:val="single" w:color="auto" w:sz="4" w:space="0"/>
            </w:tcBorders>
            <w:shd w:val="clear" w:color="auto" w:fill="auto"/>
            <w:noWrap/>
            <w:vAlign w:val="bottom"/>
          </w:tcPr>
          <w:p w:rsidRPr="002F0096" w:rsidR="00164DB0" w:rsidP="00F95AE1" w:rsidRDefault="00164DB0" w14:paraId="117F6268" w14:textId="4E4EDE6D">
            <w:pPr>
              <w:jc w:val="center"/>
              <w:rPr>
                <w:color w:val="000000"/>
              </w:rPr>
            </w:pPr>
            <w:r>
              <w:rPr>
                <w:color w:val="000000"/>
              </w:rPr>
              <w:t>$</w:t>
            </w:r>
            <w:r w:rsidR="006F60EE">
              <w:rPr>
                <w:color w:val="000000"/>
              </w:rPr>
              <w:t>29.50</w:t>
            </w:r>
          </w:p>
        </w:tc>
        <w:tc>
          <w:tcPr>
            <w:tcW w:w="2619" w:type="dxa"/>
            <w:tcBorders>
              <w:top w:val="nil"/>
              <w:left w:val="nil"/>
              <w:bottom w:val="single" w:color="auto" w:sz="4" w:space="0"/>
              <w:right w:val="single" w:color="auto" w:sz="4" w:space="0"/>
            </w:tcBorders>
            <w:shd w:val="clear" w:color="auto" w:fill="auto"/>
            <w:vAlign w:val="bottom"/>
          </w:tcPr>
          <w:p w:rsidRPr="002F0096" w:rsidR="00164DB0" w:rsidP="00F95AE1" w:rsidRDefault="00164DB0" w14:paraId="117F6269" w14:textId="03097298">
            <w:pPr>
              <w:jc w:val="center"/>
              <w:rPr>
                <w:color w:val="000000"/>
              </w:rPr>
            </w:pPr>
            <w:r>
              <w:rPr>
                <w:color w:val="000000"/>
              </w:rPr>
              <w:t>$</w:t>
            </w:r>
            <w:r w:rsidR="00475467">
              <w:rPr>
                <w:color w:val="000000"/>
              </w:rPr>
              <w:t>692,984.50</w:t>
            </w:r>
          </w:p>
        </w:tc>
      </w:tr>
      <w:tr w:rsidRPr="002F0096" w:rsidR="00164DB0" w:rsidTr="00E539E0" w14:paraId="117F6270" w14:textId="77777777">
        <w:trPr>
          <w:trHeight w:val="300"/>
        </w:trPr>
        <w:tc>
          <w:tcPr>
            <w:tcW w:w="1418" w:type="dxa"/>
            <w:tcBorders>
              <w:top w:val="nil"/>
              <w:left w:val="nil"/>
              <w:bottom w:val="nil"/>
              <w:right w:val="nil"/>
            </w:tcBorders>
            <w:shd w:val="clear" w:color="auto" w:fill="auto"/>
            <w:noWrap/>
            <w:vAlign w:val="bottom"/>
            <w:hideMark/>
          </w:tcPr>
          <w:p w:rsidRPr="002F0096" w:rsidR="00164DB0" w:rsidP="00E33746" w:rsidRDefault="00164DB0" w14:paraId="117F626B" w14:textId="77777777">
            <w:pPr>
              <w:rPr>
                <w:color w:val="000000"/>
              </w:rPr>
            </w:pPr>
          </w:p>
        </w:tc>
        <w:tc>
          <w:tcPr>
            <w:tcW w:w="1616" w:type="dxa"/>
            <w:tcBorders>
              <w:top w:val="nil"/>
              <w:left w:val="nil"/>
              <w:bottom w:val="nil"/>
              <w:right w:val="nil"/>
            </w:tcBorders>
            <w:shd w:val="clear" w:color="auto" w:fill="auto"/>
            <w:noWrap/>
            <w:vAlign w:val="bottom"/>
            <w:hideMark/>
          </w:tcPr>
          <w:p w:rsidRPr="002F0096" w:rsidR="00164DB0" w:rsidP="00E33746" w:rsidRDefault="00164DB0" w14:paraId="117F626C" w14:textId="77777777">
            <w:pPr>
              <w:rPr>
                <w:color w:val="000000"/>
              </w:rPr>
            </w:pPr>
          </w:p>
        </w:tc>
        <w:tc>
          <w:tcPr>
            <w:tcW w:w="1417" w:type="dxa"/>
            <w:tcBorders>
              <w:top w:val="nil"/>
              <w:left w:val="nil"/>
              <w:bottom w:val="nil"/>
              <w:right w:val="nil"/>
            </w:tcBorders>
            <w:shd w:val="clear" w:color="auto" w:fill="auto"/>
            <w:noWrap/>
            <w:vAlign w:val="bottom"/>
            <w:hideMark/>
          </w:tcPr>
          <w:p w:rsidRPr="002F0096" w:rsidR="00164DB0" w:rsidP="00E33746" w:rsidRDefault="00164DB0" w14:paraId="117F626D" w14:textId="77777777">
            <w:pPr>
              <w:rPr>
                <w:color w:val="000000"/>
              </w:rPr>
            </w:pPr>
          </w:p>
        </w:tc>
        <w:tc>
          <w:tcPr>
            <w:tcW w:w="1477" w:type="dxa"/>
            <w:tcBorders>
              <w:top w:val="nil"/>
              <w:left w:val="nil"/>
              <w:bottom w:val="nil"/>
              <w:right w:val="nil"/>
            </w:tcBorders>
            <w:shd w:val="clear" w:color="auto" w:fill="auto"/>
            <w:noWrap/>
            <w:vAlign w:val="bottom"/>
            <w:hideMark/>
          </w:tcPr>
          <w:p w:rsidRPr="002F0096" w:rsidR="00164DB0" w:rsidP="00E33746" w:rsidRDefault="00164DB0" w14:paraId="117F626E" w14:textId="77777777">
            <w:pPr>
              <w:rPr>
                <w:color w:val="000000"/>
              </w:rPr>
            </w:pPr>
          </w:p>
        </w:tc>
        <w:tc>
          <w:tcPr>
            <w:tcW w:w="2619" w:type="dxa"/>
            <w:tcBorders>
              <w:top w:val="nil"/>
              <w:left w:val="single" w:color="auto" w:sz="4" w:space="0"/>
              <w:bottom w:val="single" w:color="auto" w:sz="4" w:space="0"/>
              <w:right w:val="single" w:color="auto" w:sz="4" w:space="0"/>
            </w:tcBorders>
            <w:shd w:val="clear" w:color="auto" w:fill="auto"/>
            <w:noWrap/>
            <w:vAlign w:val="bottom"/>
          </w:tcPr>
          <w:p w:rsidRPr="002F0096" w:rsidR="00164DB0" w:rsidP="00F95AE1" w:rsidRDefault="00164DB0" w14:paraId="117F626F" w14:textId="26FD1858">
            <w:pPr>
              <w:jc w:val="center"/>
              <w:rPr>
                <w:b/>
                <w:color w:val="000000"/>
              </w:rPr>
            </w:pPr>
            <w:r>
              <w:rPr>
                <w:b/>
                <w:color w:val="000000"/>
              </w:rPr>
              <w:t>$</w:t>
            </w:r>
            <w:r w:rsidR="00121551">
              <w:rPr>
                <w:color w:val="000000"/>
              </w:rPr>
              <w:t>1,178,073.65</w:t>
            </w:r>
          </w:p>
        </w:tc>
      </w:tr>
    </w:tbl>
    <w:p w:rsidR="00164DB0" w:rsidP="00164DB0" w:rsidRDefault="00164DB0" w14:paraId="117F6271" w14:textId="77777777">
      <w:pPr>
        <w:rPr>
          <w:bCs/>
          <w:iCs/>
        </w:rPr>
      </w:pPr>
    </w:p>
    <w:p w:rsidRPr="005F1F35" w:rsidR="001A1EF5" w:rsidP="001A1EF5" w:rsidRDefault="001A1EF5" w14:paraId="0CE8529E" w14:textId="77777777">
      <w:pPr>
        <w:pStyle w:val="ListParagraph"/>
        <w:numPr>
          <w:ilvl w:val="0"/>
          <w:numId w:val="10"/>
        </w:numPr>
        <w:spacing w:after="120"/>
        <w:rPr>
          <w:rFonts w:ascii="Times New Roman" w:hAnsi="Times New Roman"/>
          <w:color w:val="000000" w:themeColor="text1"/>
        </w:rPr>
      </w:pPr>
      <w:r w:rsidRPr="005F1F35">
        <w:rPr>
          <w:rFonts w:ascii="Times New Roman" w:hAnsi="Times New Roman"/>
          <w:i/>
          <w:color w:val="000000" w:themeColor="text1"/>
          <w:szCs w:val="24"/>
        </w:rPr>
        <w:t>Describe the cost incurred by the Federal Government to complete this collection.</w:t>
      </w:r>
    </w:p>
    <w:p w:rsidR="001A1EF5" w:rsidP="00173151" w:rsidRDefault="001A1EF5" w14:paraId="69D3835E" w14:textId="77777777">
      <w:pPr>
        <w:rPr>
          <w:bCs/>
        </w:rPr>
      </w:pPr>
    </w:p>
    <w:p w:rsidR="005533DF" w:rsidP="00E539E0" w:rsidRDefault="00164DB0" w14:paraId="42E29A88" w14:textId="47BC8A86">
      <w:pPr>
        <w:ind w:left="720"/>
      </w:pPr>
      <w:r w:rsidRPr="00974A07">
        <w:rPr>
          <w:iCs/>
        </w:rPr>
        <w:t>T</w:t>
      </w:r>
      <w:r w:rsidRPr="00974A07">
        <w:t xml:space="preserve">he </w:t>
      </w:r>
      <w:r>
        <w:t xml:space="preserve">annual </w:t>
      </w:r>
      <w:r w:rsidRPr="00974A07">
        <w:t xml:space="preserve">cost to the federal </w:t>
      </w:r>
      <w:r>
        <w:t xml:space="preserve">government is calculated </w:t>
      </w:r>
      <w:r w:rsidR="001C694E">
        <w:t xml:space="preserve">using the current consular time hourly rate published in the Schedule of Fees for Consular Service.  </w:t>
      </w:r>
      <w:r w:rsidR="00754041">
        <w:t>This total is $</w:t>
      </w:r>
      <w:r w:rsidR="001C694E">
        <w:t>135</w:t>
      </w:r>
      <w:r w:rsidR="00754041">
        <w:t xml:space="preserve"> per hour.  </w:t>
      </w:r>
      <w:r w:rsidRPr="00F95AE1" w:rsidR="006F60EE">
        <w:t>The dollar amount is not an hourly wage, but reflects the amount of resources attributed to Consular Officer time based on the activity-based costing model used at overseas posts.</w:t>
      </w:r>
      <w:r w:rsidR="006F60EE">
        <w:t xml:space="preserve">  </w:t>
      </w:r>
      <w:r w:rsidR="0047575A">
        <w:t>These forms are processed by overseas Foreign Service Officers at U.S. embassies and consulates overseas.</w:t>
      </w:r>
      <w:r w:rsidR="0047575A">
        <w:rPr>
          <w:b/>
          <w:bCs/>
        </w:rPr>
        <w:t xml:space="preserve">  </w:t>
      </w:r>
      <w:r>
        <w:t xml:space="preserve">Overseas Citizens Services believes it takes a Foreign Service Officer approximately 15 minutes to process the form.  The cost for 15 minutes </w:t>
      </w:r>
      <w:r w:rsidR="00166153">
        <w:t>is $</w:t>
      </w:r>
      <w:r w:rsidR="001C694E">
        <w:t>33</w:t>
      </w:r>
      <w:r>
        <w:t>.</w:t>
      </w:r>
      <w:r w:rsidR="001C694E">
        <w:t xml:space="preserve">75 </w:t>
      </w:r>
      <w:r w:rsidR="00A725FC">
        <w:t>(</w:t>
      </w:r>
      <w:r w:rsidR="001C694E">
        <w:t>135</w:t>
      </w:r>
      <w:r w:rsidR="00A725FC">
        <w:t xml:space="preserve"> x 0.25 </w:t>
      </w:r>
      <w:r w:rsidR="001C694E">
        <w:t xml:space="preserve">hour </w:t>
      </w:r>
      <w:r w:rsidR="00A725FC">
        <w:t>= $</w:t>
      </w:r>
      <w:r w:rsidR="001C694E">
        <w:t>33</w:t>
      </w:r>
      <w:r w:rsidR="00A725FC">
        <w:t>.</w:t>
      </w:r>
      <w:r w:rsidR="001C694E">
        <w:t>75</w:t>
      </w:r>
      <w:r w:rsidR="00A725FC">
        <w:t>)</w:t>
      </w:r>
      <w:r>
        <w:t xml:space="preserve">.  </w:t>
      </w:r>
    </w:p>
    <w:p w:rsidR="005533DF" w:rsidP="00E539E0" w:rsidRDefault="005533DF" w14:paraId="18D2AF38" w14:textId="77777777">
      <w:pPr>
        <w:ind w:left="720"/>
      </w:pPr>
    </w:p>
    <w:p w:rsidR="00173151" w:rsidP="00E539E0" w:rsidRDefault="00451B5E" w14:paraId="70E70719" w14:textId="35B7F14A">
      <w:pPr>
        <w:ind w:left="720"/>
      </w:pPr>
      <w:r>
        <w:t xml:space="preserve">70,473 </w:t>
      </w:r>
      <w:r w:rsidR="00164DB0">
        <w:t xml:space="preserve">applications per year </w:t>
      </w:r>
      <w:r w:rsidR="005533DF">
        <w:t xml:space="preserve">x </w:t>
      </w:r>
      <w:r w:rsidR="00164DB0">
        <w:t>$</w:t>
      </w:r>
      <w:r w:rsidR="001C694E">
        <w:t>33</w:t>
      </w:r>
      <w:r w:rsidR="00164DB0">
        <w:t>.</w:t>
      </w:r>
      <w:r w:rsidR="001C694E">
        <w:t>75</w:t>
      </w:r>
      <w:r w:rsidR="00164DB0">
        <w:t xml:space="preserve"> </w:t>
      </w:r>
      <w:r w:rsidR="005533DF">
        <w:t xml:space="preserve">= </w:t>
      </w:r>
      <w:r w:rsidR="00164DB0">
        <w:t>$</w:t>
      </w:r>
      <w:r w:rsidR="00A86BBE">
        <w:t>2,378,463</w:t>
      </w:r>
      <w:r w:rsidR="002411B3">
        <w:t xml:space="preserve">.75 </w:t>
      </w:r>
      <w:r w:rsidR="00164DB0">
        <w:t xml:space="preserve">annual cost to the federal government.  </w:t>
      </w:r>
    </w:p>
    <w:p w:rsidR="00173151" w:rsidP="001A1EF5" w:rsidRDefault="00173151" w14:paraId="58453B94" w14:textId="33711291">
      <w:pPr>
        <w:ind w:left="720"/>
      </w:pPr>
    </w:p>
    <w:p w:rsidR="00EA4E6C" w:rsidP="00E539E0" w:rsidRDefault="00EA4E6C" w14:paraId="13E21AD9" w14:textId="1D24E2E6">
      <w:pPr>
        <w:ind w:left="720"/>
      </w:pPr>
      <w:r>
        <w:t>While true that in</w:t>
      </w:r>
      <w:r w:rsidRPr="00EA4E6C">
        <w:t xml:space="preserve"> 2010</w:t>
      </w:r>
      <w:r>
        <w:t>,</w:t>
      </w:r>
      <w:r w:rsidRPr="00EA4E6C">
        <w:t xml:space="preserve"> CoSS identified the cost of this service at $197.28 . (</w:t>
      </w:r>
      <w:hyperlink w:history="1" r:id="rId13">
        <w:r w:rsidRPr="00EA4E6C">
          <w:rPr>
            <w:rStyle w:val="Hyperlink"/>
          </w:rPr>
          <w:t>https://www.federalregister.gov/d/2010-15622</w:t>
        </w:r>
      </w:hyperlink>
      <w:r>
        <w:t>), t</w:t>
      </w:r>
      <w:r w:rsidRPr="00EA4E6C">
        <w:t xml:space="preserve">he Department sets the fee for CRBAs below cost.  As noted in the cited rule, “The Department decided to </w:t>
      </w:r>
      <w:r w:rsidRPr="00EA4E6C">
        <w:lastRenderedPageBreak/>
        <w:t xml:space="preserve">charge less than cost precisely to prevent American citizens from being deterred from declaring the birth of a child while overseas which would be detrimental to national interests.”  Per 31 U.S.C </w:t>
      </w:r>
      <w:r w:rsidR="000B75B7">
        <w:t xml:space="preserve">§ </w:t>
      </w:r>
      <w:r w:rsidRPr="00EA4E6C">
        <w:t>9701(b)(2) an agency can set fees below cost for “public policy or interest served.”  More recently approved iterations of the Cost of Service Model have confirmed this policy, and costs continue to be higher than the fee.</w:t>
      </w:r>
    </w:p>
    <w:p w:rsidR="00C97DDF" w:rsidP="00164DB0" w:rsidRDefault="00C97DDF" w14:paraId="7ACF0DD3" w14:textId="77777777">
      <w:pPr>
        <w:rPr>
          <w:bCs/>
        </w:rPr>
      </w:pPr>
    </w:p>
    <w:p w:rsidRPr="005F1F35" w:rsidR="00C97DDF" w:rsidP="00E539E0" w:rsidRDefault="00C97DDF" w14:paraId="39757E16" w14:textId="1AAFA36D">
      <w:pPr>
        <w:pStyle w:val="ListParagraph"/>
        <w:numPr>
          <w:ilvl w:val="0"/>
          <w:numId w:val="11"/>
        </w:numPr>
        <w:spacing w:after="120"/>
        <w:contextualSpacing/>
        <w:rPr>
          <w:rFonts w:ascii="Times New Roman" w:hAnsi="Times New Roman"/>
          <w:color w:val="000000" w:themeColor="text1"/>
        </w:rPr>
      </w:pPr>
      <w:r w:rsidRPr="34F3EAD0">
        <w:rPr>
          <w:rFonts w:ascii="Times New Roman" w:hAnsi="Times New Roman"/>
          <w:i/>
          <w:iCs/>
          <w:color w:val="000000" w:themeColor="text1"/>
        </w:rPr>
        <w:t>Explain any changes/adjustments to this collection since the previous submission.</w:t>
      </w:r>
    </w:p>
    <w:p w:rsidR="00C97DDF" w:rsidP="00164DB0" w:rsidRDefault="00C97DDF" w14:paraId="166E7965" w14:textId="77777777">
      <w:pPr>
        <w:rPr>
          <w:bCs/>
        </w:rPr>
      </w:pPr>
    </w:p>
    <w:p w:rsidR="00C97DDF" w:rsidP="00E539E0" w:rsidRDefault="00164DB0" w14:paraId="5140F4C9" w14:textId="65D5C0C1">
      <w:pPr>
        <w:ind w:left="720"/>
      </w:pPr>
      <w:r w:rsidRPr="00974A07">
        <w:t xml:space="preserve">The average number of respondents has </w:t>
      </w:r>
      <w:r w:rsidR="0012758F">
        <w:t>de</w:t>
      </w:r>
      <w:r w:rsidRPr="00974A07">
        <w:t xml:space="preserve">creased from </w:t>
      </w:r>
      <w:r>
        <w:t>71,275</w:t>
      </w:r>
      <w:r w:rsidRPr="00974A07">
        <w:t xml:space="preserve"> to</w:t>
      </w:r>
      <w:r w:rsidR="0012758F">
        <w:t>70,473</w:t>
      </w:r>
      <w:r w:rsidRPr="00974A07">
        <w:t xml:space="preserve">.  </w:t>
      </w:r>
      <w:r w:rsidR="00B175CE">
        <w:t>T</w:t>
      </w:r>
      <w:r w:rsidRPr="00974A07">
        <w:t>he hour burden has increased from 2</w:t>
      </w:r>
      <w:r>
        <w:t xml:space="preserve">3,758 to </w:t>
      </w:r>
      <w:r w:rsidR="00B175CE">
        <w:t>73,647</w:t>
      </w:r>
      <w:r w:rsidR="00157A8F">
        <w:t xml:space="preserve"> because the estimated  time to complete this form was </w:t>
      </w:r>
      <w:r w:rsidR="0070560F">
        <w:t xml:space="preserve">increased from </w:t>
      </w:r>
      <w:r w:rsidR="00157A8F">
        <w:t xml:space="preserve">20 </w:t>
      </w:r>
      <w:r w:rsidR="0070560F">
        <w:t xml:space="preserve">to 60 </w:t>
      </w:r>
      <w:r w:rsidR="00157A8F">
        <w:t>minutes</w:t>
      </w:r>
      <w:r w:rsidR="009A3E8F">
        <w:t xml:space="preserve">, as </w:t>
      </w:r>
      <w:r w:rsidR="00431166">
        <w:t>recommended by the Office of Management and Budget.</w:t>
      </w:r>
      <w:r w:rsidR="006F1D9D">
        <w:t xml:space="preserve"> </w:t>
      </w:r>
      <w:r w:rsidR="00FD0519">
        <w:t xml:space="preserve"> The estimated time of 20 minutes </w:t>
      </w:r>
      <w:r w:rsidR="00917FAD">
        <w:t xml:space="preserve">had </w:t>
      </w:r>
      <w:r w:rsidR="00FD0519">
        <w:t xml:space="preserve">not changed since the number of </w:t>
      </w:r>
      <w:r w:rsidR="00773DF8">
        <w:t>pages to F</w:t>
      </w:r>
      <w:r w:rsidR="00FD0519">
        <w:t xml:space="preserve">orm </w:t>
      </w:r>
      <w:r w:rsidR="00773DF8">
        <w:t xml:space="preserve">DS-2029 </w:t>
      </w:r>
      <w:r w:rsidR="00FD0519">
        <w:t>increased from 3</w:t>
      </w:r>
      <w:r w:rsidR="00847B1C">
        <w:t xml:space="preserve"> to 9 pages. </w:t>
      </w:r>
      <w:r w:rsidR="00173151">
        <w:t xml:space="preserve">The number of respondents </w:t>
      </w:r>
      <w:r w:rsidR="006071DF">
        <w:t xml:space="preserve">decreased </w:t>
      </w:r>
      <w:r w:rsidR="00173151">
        <w:t>because t</w:t>
      </w:r>
      <w:r w:rsidRPr="00150455" w:rsidR="00173151">
        <w:t xml:space="preserve">he number of respondents </w:t>
      </w:r>
      <w:r w:rsidRPr="00150455" w:rsidR="00876F96">
        <w:t>var</w:t>
      </w:r>
      <w:r w:rsidR="00876F96">
        <w:t xml:space="preserve">ies </w:t>
      </w:r>
      <w:r w:rsidRPr="00150455" w:rsidR="00173151">
        <w:t>from year</w:t>
      </w:r>
      <w:r w:rsidR="00173151">
        <w:t xml:space="preserve"> to year</w:t>
      </w:r>
      <w:r w:rsidRPr="00E16356" w:rsidR="00173151">
        <w:t xml:space="preserve"> depending on the number of citizens in need. </w:t>
      </w:r>
    </w:p>
    <w:p w:rsidR="00C97DDF" w:rsidP="00E539E0" w:rsidRDefault="00C97DDF" w14:paraId="281C25D1" w14:textId="77777777">
      <w:pPr>
        <w:ind w:left="720"/>
      </w:pPr>
    </w:p>
    <w:p w:rsidRPr="00974A07" w:rsidR="00D9057C" w:rsidP="00E539E0" w:rsidRDefault="001A1EF5" w14:paraId="47FF363A" w14:textId="54084384">
      <w:pPr>
        <w:ind w:left="720"/>
      </w:pPr>
      <w:r>
        <w:t>Also, t</w:t>
      </w:r>
      <w:r w:rsidRPr="002D04AA" w:rsidR="00876F96">
        <w:t>here were non-substantive changes to verbiage</w:t>
      </w:r>
      <w:r w:rsidR="00C97DDF">
        <w:t xml:space="preserve"> on the form</w:t>
      </w:r>
      <w:r w:rsidRPr="002D04AA" w:rsidR="00876F96">
        <w:t xml:space="preserve"> that are designed to provide additional clarity.</w:t>
      </w:r>
      <w:r w:rsidRPr="00E16356" w:rsidR="00173151">
        <w:t xml:space="preserve"> </w:t>
      </w:r>
    </w:p>
    <w:p w:rsidRPr="00974A07" w:rsidR="00164DB0" w:rsidP="00164DB0" w:rsidRDefault="00164DB0" w14:paraId="117F6275" w14:textId="77777777"/>
    <w:p w:rsidR="001A1EF5" w:rsidP="00164DB0" w:rsidRDefault="001A1EF5" w14:paraId="0CEBC703" w14:textId="77777777">
      <w:pPr>
        <w:rPr>
          <w:bCs/>
        </w:rPr>
      </w:pPr>
    </w:p>
    <w:p w:rsidR="001A1EF5" w:rsidP="00164DB0" w:rsidRDefault="00164DB0" w14:paraId="7D9BC124" w14:textId="545089B3">
      <w:pPr>
        <w:rPr>
          <w:i/>
        </w:rPr>
      </w:pPr>
      <w:r w:rsidRPr="00974A07">
        <w:rPr>
          <w:i/>
        </w:rPr>
        <w:t xml:space="preserve"> </w:t>
      </w:r>
      <w:r w:rsidRPr="001A1EF5" w:rsidR="001A1EF5">
        <w:rPr>
          <w:i/>
        </w:rPr>
        <w:t>16.</w:t>
      </w:r>
      <w:r w:rsidRPr="001A1EF5" w:rsidR="001A1EF5">
        <w:rPr>
          <w:i/>
        </w:rPr>
        <w:tab/>
        <w:t>Specify if the data gathered by this collection will be published.</w:t>
      </w:r>
    </w:p>
    <w:p w:rsidR="001A1EF5" w:rsidP="00164DB0" w:rsidRDefault="001A1EF5" w14:paraId="48E1E697" w14:textId="77777777">
      <w:pPr>
        <w:rPr>
          <w:i/>
        </w:rPr>
      </w:pPr>
    </w:p>
    <w:p w:rsidRPr="00974A07" w:rsidR="00164DB0" w:rsidP="00E539E0" w:rsidRDefault="00164DB0" w14:paraId="117F6276" w14:textId="2B215F08">
      <w:pPr>
        <w:ind w:left="720"/>
      </w:pPr>
      <w:r w:rsidRPr="00974A07">
        <w:rPr>
          <w:i/>
        </w:rPr>
        <w:t xml:space="preserve"> </w:t>
      </w:r>
      <w:r w:rsidRPr="00974A07">
        <w:t>General tabulations of information regarding Applications for Consular Report of Birth Abroad of a Citizen of the United States of America are maintained in the “Consular Package,” the Consular Workload Statistical System (CWSS) system. This contains raw data broken down by the Foreign Service post issuing the report.  Permanent records of Consular Reports of Birth Abroad applications are maintained at the National Archives and Records Administration and filed in accession libraries.  Electronic copies of the Consular Report of Birth are maintained by the Department of State, Passport Services.</w:t>
      </w:r>
      <w:r w:rsidR="00166153">
        <w:t xml:space="preserve"> </w:t>
      </w:r>
    </w:p>
    <w:p w:rsidRPr="00974A07" w:rsidR="00164DB0" w:rsidP="00164DB0" w:rsidRDefault="00164DB0" w14:paraId="117F6277" w14:textId="77777777"/>
    <w:p w:rsidRPr="00E539E0" w:rsidR="00632CB5" w:rsidP="00164DB0" w:rsidRDefault="00632CB5" w14:paraId="297D1FD9" w14:textId="706FC4D0">
      <w:pPr>
        <w:spacing w:after="240"/>
        <w:rPr>
          <w:bCs/>
          <w:i/>
          <w:iCs/>
        </w:rPr>
      </w:pPr>
      <w:r w:rsidRPr="00632CB5">
        <w:rPr>
          <w:bCs/>
          <w:i/>
          <w:iCs/>
        </w:rPr>
        <w:t>17.</w:t>
      </w:r>
      <w:r w:rsidRPr="00632CB5">
        <w:rPr>
          <w:bCs/>
          <w:i/>
          <w:iCs/>
        </w:rPr>
        <w:tab/>
        <w:t>If applicable, explain the reason(s) for seeking approval to not display the OMB expiration date.</w:t>
      </w:r>
    </w:p>
    <w:p w:rsidRPr="00974A07" w:rsidR="00164DB0" w:rsidP="00164DB0" w:rsidRDefault="00164DB0" w14:paraId="117F6278" w14:textId="3ABF8BFC">
      <w:pPr>
        <w:spacing w:after="240"/>
      </w:pPr>
      <w:r w:rsidRPr="00974A07">
        <w:t>The OMB expiration date will be displayed.</w:t>
      </w:r>
    </w:p>
    <w:p w:rsidRPr="00E539E0" w:rsidR="00632CB5" w:rsidP="001C6CB2" w:rsidRDefault="00632CB5" w14:paraId="488E44A6" w14:textId="68C05584">
      <w:pPr>
        <w:spacing w:after="240"/>
        <w:rPr>
          <w:bCs/>
          <w:i/>
          <w:iCs/>
        </w:rPr>
      </w:pPr>
      <w:r w:rsidRPr="00632CB5">
        <w:rPr>
          <w:bCs/>
          <w:i/>
          <w:iCs/>
        </w:rPr>
        <w:t>18.</w:t>
      </w:r>
      <w:r w:rsidRPr="00632CB5">
        <w:rPr>
          <w:bCs/>
          <w:i/>
          <w:iCs/>
        </w:rPr>
        <w:tab/>
        <w:t>Explain any exceptions to the OMB certification statement below.</w:t>
      </w:r>
    </w:p>
    <w:p w:rsidR="00E33746" w:rsidP="001C6CB2" w:rsidRDefault="00164DB0" w14:paraId="117F627A" w14:textId="3FE0E75A">
      <w:pPr>
        <w:spacing w:after="240"/>
      </w:pPr>
      <w:r>
        <w:t>No exceptions are requested.</w:t>
      </w:r>
    </w:p>
    <w:p w:rsidRPr="006066AD" w:rsidR="00632CB5" w:rsidP="00632CB5" w:rsidRDefault="00632CB5" w14:paraId="3E5F4269" w14:textId="77777777">
      <w:pPr>
        <w:keepNext/>
        <w:spacing w:after="120"/>
        <w:outlineLvl w:val="0"/>
        <w:rPr>
          <w:b/>
        </w:rPr>
      </w:pPr>
      <w:r w:rsidRPr="006066AD">
        <w:rPr>
          <w:b/>
        </w:rPr>
        <w:t>B.</w:t>
      </w:r>
      <w:r w:rsidRPr="006066AD">
        <w:rPr>
          <w:b/>
        </w:rPr>
        <w:tab/>
        <w:t>COLLECTION OF INFORMATION EMPLOYING STATISTICAL METHODS</w:t>
      </w:r>
    </w:p>
    <w:p w:rsidRPr="006066AD" w:rsidR="00632CB5" w:rsidP="00632CB5" w:rsidRDefault="00632CB5" w14:paraId="67837C6D" w14:textId="77777777">
      <w:pPr>
        <w:spacing w:after="120"/>
        <w:ind w:firstLine="720"/>
        <w:rPr>
          <w:b/>
          <w:i/>
          <w:color w:val="0000FF"/>
        </w:rPr>
      </w:pPr>
      <w:r w:rsidRPr="006066AD">
        <w:t>This collection does not employ statistical methods.</w:t>
      </w:r>
    </w:p>
    <w:p w:rsidR="00632CB5" w:rsidP="001C6CB2" w:rsidRDefault="00632CB5" w14:paraId="5A8A01BD" w14:textId="77777777">
      <w:pPr>
        <w:spacing w:after="240"/>
      </w:pPr>
    </w:p>
    <w:sectPr w:rsidR="00632CB5">
      <w:pgSz w:w="12240" w:h="15840"/>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CE9E02" w16cex:dateUtc="2020-07-31T17:41:00Z"/>
  <w16cex:commentExtensible w16cex:durableId="22CE9DB3" w16cex:dateUtc="2020-07-31T17:40:00Z"/>
  <w16cex:commentExtensible w16cex:durableId="22CE9D68" w16cex:dateUtc="2020-07-31T17:38:00Z"/>
  <w16cex:commentExtensible w16cex:durableId="22CE9D0C" w16cex:dateUtc="2020-07-31T17:37:00Z"/>
  <w16cex:commentExtensible w16cex:durableId="22CE9704" w16cex:dateUtc="2020-07-31T17:11:00Z"/>
  <w16cex:commentExtensible w16cex:durableId="527F5612" w16cex:dateUtc="2020-08-12T15:10:15.758Z"/>
  <w16cex:commentExtensible w16cex:durableId="01DD316B" w16cex:dateUtc="2020-08-12T15:13:53.344Z"/>
  <w16cex:commentExtensible w16cex:durableId="1C23D6E9" w16cex:dateUtc="2020-08-12T15:18:46.882Z"/>
  <w16cex:commentExtensible w16cex:durableId="1D12FFA1" w16cex:dateUtc="2020-08-12T15:23:11.975Z"/>
  <w16cex:commentExtensible w16cex:durableId="6BF93026" w16cex:dateUtc="2020-08-12T15:24:06.762Z"/>
  <w16cex:commentExtensible w16cex:durableId="4F1300CF" w16cex:dateUtc="2020-08-12T15:50:31.545Z"/>
  <w16cex:commentExtensible w16cex:durableId="2E6BFC7E" w16cex:dateUtc="2020-08-12T15:53:01.09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ABA36" w16cid:durableId="2359413F"/>
  <w16cid:commentId w16cid:paraId="20DC0CE8" w16cid:durableId="218906B4"/>
  <w16cid:commentId w16cid:paraId="5D852127" w16cid:durableId="219B81F1"/>
  <w16cid:commentId w16cid:paraId="161D8AA7" w16cid:durableId="22CE844C"/>
  <w16cid:commentId w16cid:paraId="1A4474A5" w16cid:durableId="22CE844D"/>
  <w16cid:commentId w16cid:paraId="572584F6" w16cid:durableId="23593F6B"/>
  <w16cid:commentId w16cid:paraId="065B9FB1" w16cid:durableId="218906B5"/>
  <w16cid:commentId w16cid:paraId="0A5BB521" w16cid:durableId="219B81F3"/>
  <w16cid:commentId w16cid:paraId="5BB5EBC1" w16cid:durableId="22CE8450"/>
  <w16cid:commentId w16cid:paraId="235C5B20" w16cid:durableId="22CE9E02"/>
  <w16cid:commentId w16cid:paraId="7AD28A4A" w16cid:durableId="235940AD"/>
  <w16cid:commentId w16cid:paraId="36453A2A" w16cid:durableId="218906B6"/>
  <w16cid:commentId w16cid:paraId="6E6D63F2" w16cid:durableId="219B81F5"/>
  <w16cid:commentId w16cid:paraId="2365CD64" w16cid:durableId="22CE8453"/>
  <w16cid:commentId w16cid:paraId="70A5DC37" w16cid:durableId="218906B7"/>
  <w16cid:commentId w16cid:paraId="78B236FF" w16cid:durableId="219B81F7"/>
  <w16cid:commentId w16cid:paraId="5823B518" w16cid:durableId="218906B8"/>
  <w16cid:commentId w16cid:paraId="744664C4" w16cid:durableId="219B81F9"/>
  <w16cid:commentId w16cid:paraId="6550EE10" w16cid:durableId="22CE8458"/>
  <w16cid:commentId w16cid:paraId="0C2DA3BC" w16cid:durableId="219B81FA"/>
  <w16cid:commentId w16cid:paraId="078E6F27" w16cid:durableId="218906B9"/>
  <w16cid:commentId w16cid:paraId="2EFC9F03" w16cid:durableId="219B81FC"/>
  <w16cid:commentId w16cid:paraId="6EC94ED3" w16cid:durableId="22CE845D"/>
  <w16cid:commentId w16cid:paraId="627ED524" w16cid:durableId="22CE845E"/>
  <w16cid:commentId w16cid:paraId="725871D5" w16cid:durableId="22CE845F"/>
  <w16cid:commentId w16cid:paraId="03548A92" w16cid:durableId="22CE8460"/>
  <w16cid:commentId w16cid:paraId="11D02294" w16cid:durableId="235937A0"/>
  <w16cid:commentId w16cid:paraId="3BE42095" w16cid:durableId="218906BA"/>
  <w16cid:commentId w16cid:paraId="5A6DFB36" w16cid:durableId="22CE8462"/>
  <w16cid:commentId w16cid:paraId="50159713" w16cid:durableId="22CE9DB3"/>
  <w16cid:commentId w16cid:paraId="60455EEC" w16cid:durableId="219B81FE"/>
  <w16cid:commentId w16cid:paraId="588C798F" w16cid:durableId="22CE8464"/>
  <w16cid:commentId w16cid:paraId="7030C0B7" w16cid:durableId="22CE9D68"/>
  <w16cid:commentId w16cid:paraId="52F5838E" w16cid:durableId="235937A7"/>
  <w16cid:commentId w16cid:paraId="6B96D68A" w16cid:durableId="218906BB"/>
  <w16cid:commentId w16cid:paraId="1C5C388A" w16cid:durableId="235937AF"/>
  <w16cid:commentId w16cid:paraId="2A185D41" w16cid:durableId="219B8202"/>
  <w16cid:commentId w16cid:paraId="753EA8F0" w16cid:durableId="218906BC"/>
  <w16cid:commentId w16cid:paraId="6AE26D81" w16cid:durableId="21890B52"/>
  <w16cid:commentId w16cid:paraId="4DA4A2D4" w16cid:durableId="22CE9704"/>
  <w16cid:commentId w16cid:paraId="40133B18" w16cid:durableId="218906BD"/>
  <w16cid:commentId w16cid:paraId="218679AD" w16cid:durableId="22CE846F"/>
  <w16cid:commentId w16cid:paraId="428417EA" w16cid:durableId="22CE84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00354" w14:textId="77777777" w:rsidR="005154B8" w:rsidRDefault="005154B8">
      <w:r>
        <w:separator/>
      </w:r>
    </w:p>
  </w:endnote>
  <w:endnote w:type="continuationSeparator" w:id="0">
    <w:p w14:paraId="38CC512D" w14:textId="77777777" w:rsidR="005154B8" w:rsidRDefault="005154B8">
      <w:r>
        <w:continuationSeparator/>
      </w:r>
    </w:p>
  </w:endnote>
  <w:endnote w:type="continuationNotice" w:id="1">
    <w:p w14:paraId="3512811E" w14:textId="77777777" w:rsidR="005154B8" w:rsidRDefault="005154B8"/>
  </w:endnote>
  <w:endnote w:id="2">
    <w:p w14:paraId="7F4BCAF3" w14:textId="77777777" w:rsidR="000B75B7" w:rsidRDefault="000B75B7" w:rsidP="007078A0">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3">
    <w:p w14:paraId="5839C765" w14:textId="774793B6" w:rsidR="000B75B7" w:rsidRDefault="000B75B7">
      <w:pPr>
        <w:pStyle w:val="EndnoteText"/>
      </w:pPr>
      <w:r>
        <w:rPr>
          <w:rStyle w:val="EndnoteReference"/>
        </w:rPr>
        <w:endnoteRef/>
      </w:r>
      <w:r>
        <w:t xml:space="preserve"> Source: Bureau of Transportation Statistics, “Average Cost of Owning and Operating an Automobile,” </w:t>
      </w:r>
      <w:hyperlink r:id="rId2" w:history="1">
        <w:r w:rsidRPr="00063331">
          <w:rPr>
            <w:rStyle w:val="Hyperlink"/>
          </w:rPr>
          <w:t>https://www.bts.gov/content/average-cost-owning-and-operating-automobile</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D659" w14:textId="77777777" w:rsidR="005154B8" w:rsidRDefault="005154B8">
      <w:r>
        <w:separator/>
      </w:r>
    </w:p>
  </w:footnote>
  <w:footnote w:type="continuationSeparator" w:id="0">
    <w:p w14:paraId="2A8B8BBE" w14:textId="77777777" w:rsidR="005154B8" w:rsidRDefault="005154B8">
      <w:r>
        <w:continuationSeparator/>
      </w:r>
    </w:p>
  </w:footnote>
  <w:footnote w:type="continuationNotice" w:id="1">
    <w:p w14:paraId="3A5B81B0" w14:textId="77777777" w:rsidR="005154B8" w:rsidRDefault="005154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B92"/>
    <w:multiLevelType w:val="singleLevel"/>
    <w:tmpl w:val="86CA6D42"/>
    <w:lvl w:ilvl="0">
      <w:start w:val="1"/>
      <w:numFmt w:val="decimal"/>
      <w:lvlText w:val="%1."/>
      <w:lvlJc w:val="left"/>
      <w:pPr>
        <w:tabs>
          <w:tab w:val="num" w:pos="360"/>
        </w:tabs>
        <w:ind w:left="360" w:hanging="360"/>
      </w:pPr>
    </w:lvl>
  </w:abstractNum>
  <w:abstractNum w:abstractNumId="1" w15:restartNumberingAfterBreak="0">
    <w:nsid w:val="01C7606D"/>
    <w:multiLevelType w:val="hybridMultilevel"/>
    <w:tmpl w:val="FBB4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4ADA"/>
    <w:multiLevelType w:val="singleLevel"/>
    <w:tmpl w:val="7CF2ABBE"/>
    <w:lvl w:ilvl="0">
      <w:start w:val="1"/>
      <w:numFmt w:val="decimal"/>
      <w:lvlText w:val="%1."/>
      <w:lvlJc w:val="left"/>
      <w:pPr>
        <w:tabs>
          <w:tab w:val="num" w:pos="360"/>
        </w:tabs>
        <w:ind w:left="360" w:hanging="360"/>
      </w:pPr>
      <w:rPr>
        <w:i w:val="0"/>
      </w:rPr>
    </w:lvl>
  </w:abstractNum>
  <w:abstractNum w:abstractNumId="3" w15:restartNumberingAfterBreak="0">
    <w:nsid w:val="051765A5"/>
    <w:multiLevelType w:val="hybridMultilevel"/>
    <w:tmpl w:val="AF282964"/>
    <w:lvl w:ilvl="0" w:tplc="00B8CE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25A28"/>
    <w:multiLevelType w:val="hybridMultilevel"/>
    <w:tmpl w:val="E7AE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A56"/>
    <w:multiLevelType w:val="hybridMultilevel"/>
    <w:tmpl w:val="124A0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F1AEB"/>
    <w:multiLevelType w:val="hybridMultilevel"/>
    <w:tmpl w:val="5D26DB18"/>
    <w:lvl w:ilvl="0" w:tplc="9FAE87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F1C7FEF"/>
    <w:multiLevelType w:val="hybridMultilevel"/>
    <w:tmpl w:val="2E4C64E0"/>
    <w:lvl w:ilvl="0" w:tplc="9C1AF7C6">
      <w:start w:val="1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51236"/>
    <w:multiLevelType w:val="hybridMultilevel"/>
    <w:tmpl w:val="50EE09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1B318C"/>
    <w:multiLevelType w:val="hybridMultilevel"/>
    <w:tmpl w:val="9C5CE09A"/>
    <w:lvl w:ilvl="0" w:tplc="8BB421C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61BC28A7"/>
    <w:multiLevelType w:val="hybridMultilevel"/>
    <w:tmpl w:val="B59C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B62DD"/>
    <w:multiLevelType w:val="hybridMultilevel"/>
    <w:tmpl w:val="46827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81D2A"/>
    <w:multiLevelType w:val="hybridMultilevel"/>
    <w:tmpl w:val="FBB4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D4EBA"/>
    <w:multiLevelType w:val="hybridMultilevel"/>
    <w:tmpl w:val="B5EE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D4835"/>
    <w:multiLevelType w:val="hybridMultilevel"/>
    <w:tmpl w:val="B5EE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12"/>
  </w:num>
  <w:num w:numId="5">
    <w:abstractNumId w:val="4"/>
  </w:num>
  <w:num w:numId="6">
    <w:abstractNumId w:val="13"/>
  </w:num>
  <w:num w:numId="7">
    <w:abstractNumId w:val="10"/>
  </w:num>
  <w:num w:numId="8">
    <w:abstractNumId w:val="8"/>
  </w:num>
  <w:num w:numId="9">
    <w:abstractNumId w:val="1"/>
  </w:num>
  <w:num w:numId="10">
    <w:abstractNumId w:val="0"/>
  </w:num>
  <w:num w:numId="11">
    <w:abstractNumId w:val="7"/>
  </w:num>
  <w:num w:numId="12">
    <w:abstractNumId w:val="6"/>
  </w:num>
  <w:num w:numId="13">
    <w:abstractNumId w:val="9"/>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B0"/>
    <w:rsid w:val="0001190F"/>
    <w:rsid w:val="0002351D"/>
    <w:rsid w:val="000235F9"/>
    <w:rsid w:val="000254BE"/>
    <w:rsid w:val="00031EBC"/>
    <w:rsid w:val="00032B4F"/>
    <w:rsid w:val="000375A8"/>
    <w:rsid w:val="00046397"/>
    <w:rsid w:val="00053B95"/>
    <w:rsid w:val="00056FBD"/>
    <w:rsid w:val="0005749F"/>
    <w:rsid w:val="00060A25"/>
    <w:rsid w:val="00062272"/>
    <w:rsid w:val="0007288A"/>
    <w:rsid w:val="00072CDD"/>
    <w:rsid w:val="00095F67"/>
    <w:rsid w:val="000A1260"/>
    <w:rsid w:val="000B6F10"/>
    <w:rsid w:val="000B75B7"/>
    <w:rsid w:val="000C1627"/>
    <w:rsid w:val="000C7736"/>
    <w:rsid w:val="000E3DB0"/>
    <w:rsid w:val="000F0831"/>
    <w:rsid w:val="00114862"/>
    <w:rsid w:val="00121551"/>
    <w:rsid w:val="0012758F"/>
    <w:rsid w:val="00153FDB"/>
    <w:rsid w:val="00157A8F"/>
    <w:rsid w:val="00160DFA"/>
    <w:rsid w:val="00164DB0"/>
    <w:rsid w:val="00166153"/>
    <w:rsid w:val="00171A04"/>
    <w:rsid w:val="00173151"/>
    <w:rsid w:val="0018358F"/>
    <w:rsid w:val="001A1EF5"/>
    <w:rsid w:val="001A719B"/>
    <w:rsid w:val="001B212B"/>
    <w:rsid w:val="001C694E"/>
    <w:rsid w:val="001C6CB2"/>
    <w:rsid w:val="002020C1"/>
    <w:rsid w:val="0023148B"/>
    <w:rsid w:val="00232929"/>
    <w:rsid w:val="00233EAE"/>
    <w:rsid w:val="002411B3"/>
    <w:rsid w:val="00251574"/>
    <w:rsid w:val="00260338"/>
    <w:rsid w:val="0026098E"/>
    <w:rsid w:val="00276F06"/>
    <w:rsid w:val="002B6250"/>
    <w:rsid w:val="002C1112"/>
    <w:rsid w:val="002C56E2"/>
    <w:rsid w:val="002C5A1F"/>
    <w:rsid w:val="002D772D"/>
    <w:rsid w:val="002E5412"/>
    <w:rsid w:val="00314FF3"/>
    <w:rsid w:val="0034359E"/>
    <w:rsid w:val="0034476A"/>
    <w:rsid w:val="00364175"/>
    <w:rsid w:val="0037213F"/>
    <w:rsid w:val="00395BCF"/>
    <w:rsid w:val="003A4890"/>
    <w:rsid w:val="003B63A2"/>
    <w:rsid w:val="003C7BA9"/>
    <w:rsid w:val="003D4730"/>
    <w:rsid w:val="003F5D0C"/>
    <w:rsid w:val="00431166"/>
    <w:rsid w:val="004342C8"/>
    <w:rsid w:val="004412BD"/>
    <w:rsid w:val="004423B8"/>
    <w:rsid w:val="00451B5E"/>
    <w:rsid w:val="00475467"/>
    <w:rsid w:val="0047575A"/>
    <w:rsid w:val="00481635"/>
    <w:rsid w:val="00481B48"/>
    <w:rsid w:val="00490381"/>
    <w:rsid w:val="004921D1"/>
    <w:rsid w:val="00494F91"/>
    <w:rsid w:val="00497129"/>
    <w:rsid w:val="004A345F"/>
    <w:rsid w:val="004D3324"/>
    <w:rsid w:val="004D5A51"/>
    <w:rsid w:val="004E0A74"/>
    <w:rsid w:val="004E7836"/>
    <w:rsid w:val="004F4E54"/>
    <w:rsid w:val="004F5348"/>
    <w:rsid w:val="004F53FA"/>
    <w:rsid w:val="0051410B"/>
    <w:rsid w:val="005154B8"/>
    <w:rsid w:val="00520EEC"/>
    <w:rsid w:val="00523361"/>
    <w:rsid w:val="0053038A"/>
    <w:rsid w:val="005533DF"/>
    <w:rsid w:val="005914FA"/>
    <w:rsid w:val="00591908"/>
    <w:rsid w:val="005920E3"/>
    <w:rsid w:val="00597B45"/>
    <w:rsid w:val="005A0E47"/>
    <w:rsid w:val="005D0403"/>
    <w:rsid w:val="005D6005"/>
    <w:rsid w:val="005D6CFC"/>
    <w:rsid w:val="005E4BF4"/>
    <w:rsid w:val="005E76EE"/>
    <w:rsid w:val="005F6127"/>
    <w:rsid w:val="006071DF"/>
    <w:rsid w:val="00615B4D"/>
    <w:rsid w:val="00632CB5"/>
    <w:rsid w:val="00643E0D"/>
    <w:rsid w:val="006462FF"/>
    <w:rsid w:val="00651C29"/>
    <w:rsid w:val="0065684B"/>
    <w:rsid w:val="006703D9"/>
    <w:rsid w:val="00671556"/>
    <w:rsid w:val="0068563F"/>
    <w:rsid w:val="006905A1"/>
    <w:rsid w:val="00690D2D"/>
    <w:rsid w:val="006A21EE"/>
    <w:rsid w:val="006C50C4"/>
    <w:rsid w:val="006F1D9D"/>
    <w:rsid w:val="006F60EE"/>
    <w:rsid w:val="006F65C1"/>
    <w:rsid w:val="0070560F"/>
    <w:rsid w:val="007078A0"/>
    <w:rsid w:val="007138DD"/>
    <w:rsid w:val="00726125"/>
    <w:rsid w:val="0073061B"/>
    <w:rsid w:val="00746AAF"/>
    <w:rsid w:val="00754041"/>
    <w:rsid w:val="00772BF1"/>
    <w:rsid w:val="00773DF8"/>
    <w:rsid w:val="0078577A"/>
    <w:rsid w:val="007900E7"/>
    <w:rsid w:val="007B306A"/>
    <w:rsid w:val="007E7E75"/>
    <w:rsid w:val="00817254"/>
    <w:rsid w:val="00822353"/>
    <w:rsid w:val="00825196"/>
    <w:rsid w:val="00826975"/>
    <w:rsid w:val="00827B05"/>
    <w:rsid w:val="00832890"/>
    <w:rsid w:val="008401FC"/>
    <w:rsid w:val="00845109"/>
    <w:rsid w:val="00847B1C"/>
    <w:rsid w:val="00851A96"/>
    <w:rsid w:val="008655F6"/>
    <w:rsid w:val="008768C0"/>
    <w:rsid w:val="00876F96"/>
    <w:rsid w:val="008816FF"/>
    <w:rsid w:val="00884B65"/>
    <w:rsid w:val="008931C2"/>
    <w:rsid w:val="008931EB"/>
    <w:rsid w:val="0089731B"/>
    <w:rsid w:val="008A5C4F"/>
    <w:rsid w:val="008B0150"/>
    <w:rsid w:val="008B3C51"/>
    <w:rsid w:val="008B693D"/>
    <w:rsid w:val="008B7DDD"/>
    <w:rsid w:val="008F438B"/>
    <w:rsid w:val="00911CB3"/>
    <w:rsid w:val="00917FAD"/>
    <w:rsid w:val="00925A90"/>
    <w:rsid w:val="00937760"/>
    <w:rsid w:val="00942706"/>
    <w:rsid w:val="00961BDC"/>
    <w:rsid w:val="00965671"/>
    <w:rsid w:val="009775BF"/>
    <w:rsid w:val="00981CC9"/>
    <w:rsid w:val="009829F9"/>
    <w:rsid w:val="00994B41"/>
    <w:rsid w:val="009955AA"/>
    <w:rsid w:val="00995C67"/>
    <w:rsid w:val="009A23F1"/>
    <w:rsid w:val="009A3E8F"/>
    <w:rsid w:val="009A535C"/>
    <w:rsid w:val="009B4D09"/>
    <w:rsid w:val="009E1143"/>
    <w:rsid w:val="009F0AEA"/>
    <w:rsid w:val="009F3584"/>
    <w:rsid w:val="009F5BF2"/>
    <w:rsid w:val="009F696A"/>
    <w:rsid w:val="009F6EBE"/>
    <w:rsid w:val="00A13D71"/>
    <w:rsid w:val="00A31D24"/>
    <w:rsid w:val="00A34CD1"/>
    <w:rsid w:val="00A36F77"/>
    <w:rsid w:val="00A46EF0"/>
    <w:rsid w:val="00A51507"/>
    <w:rsid w:val="00A56D2B"/>
    <w:rsid w:val="00A66D94"/>
    <w:rsid w:val="00A725FC"/>
    <w:rsid w:val="00A74E5A"/>
    <w:rsid w:val="00A85730"/>
    <w:rsid w:val="00A86BBE"/>
    <w:rsid w:val="00A974EA"/>
    <w:rsid w:val="00AA308E"/>
    <w:rsid w:val="00AA34C2"/>
    <w:rsid w:val="00AA513E"/>
    <w:rsid w:val="00AA6FED"/>
    <w:rsid w:val="00AD3D4F"/>
    <w:rsid w:val="00AE4F0C"/>
    <w:rsid w:val="00AE5F02"/>
    <w:rsid w:val="00B175CE"/>
    <w:rsid w:val="00B23E06"/>
    <w:rsid w:val="00B24116"/>
    <w:rsid w:val="00B5141D"/>
    <w:rsid w:val="00B555B2"/>
    <w:rsid w:val="00B6239B"/>
    <w:rsid w:val="00B730A7"/>
    <w:rsid w:val="00B77EAD"/>
    <w:rsid w:val="00B873AA"/>
    <w:rsid w:val="00B9650A"/>
    <w:rsid w:val="00B97FBE"/>
    <w:rsid w:val="00BA273B"/>
    <w:rsid w:val="00BA66ED"/>
    <w:rsid w:val="00BA6CE1"/>
    <w:rsid w:val="00BC372E"/>
    <w:rsid w:val="00BD7D3B"/>
    <w:rsid w:val="00BE0A5C"/>
    <w:rsid w:val="00BF359E"/>
    <w:rsid w:val="00BF4481"/>
    <w:rsid w:val="00C062F6"/>
    <w:rsid w:val="00C105CF"/>
    <w:rsid w:val="00C15EA5"/>
    <w:rsid w:val="00C243F2"/>
    <w:rsid w:val="00C24C5C"/>
    <w:rsid w:val="00C2749A"/>
    <w:rsid w:val="00C448F7"/>
    <w:rsid w:val="00C656C6"/>
    <w:rsid w:val="00C74ADB"/>
    <w:rsid w:val="00C85DC8"/>
    <w:rsid w:val="00C8698A"/>
    <w:rsid w:val="00C97DDF"/>
    <w:rsid w:val="00CA12AB"/>
    <w:rsid w:val="00CB1555"/>
    <w:rsid w:val="00CB182B"/>
    <w:rsid w:val="00CC3FCF"/>
    <w:rsid w:val="00CC4789"/>
    <w:rsid w:val="00CD4E66"/>
    <w:rsid w:val="00D007D8"/>
    <w:rsid w:val="00D0143C"/>
    <w:rsid w:val="00D3421A"/>
    <w:rsid w:val="00D37B6B"/>
    <w:rsid w:val="00D5068A"/>
    <w:rsid w:val="00D51AF4"/>
    <w:rsid w:val="00D54C05"/>
    <w:rsid w:val="00D55255"/>
    <w:rsid w:val="00D56412"/>
    <w:rsid w:val="00D747D0"/>
    <w:rsid w:val="00D9057C"/>
    <w:rsid w:val="00D93D8D"/>
    <w:rsid w:val="00DA5AE2"/>
    <w:rsid w:val="00DB6C2E"/>
    <w:rsid w:val="00DB709B"/>
    <w:rsid w:val="00DF5804"/>
    <w:rsid w:val="00E33746"/>
    <w:rsid w:val="00E3412E"/>
    <w:rsid w:val="00E539E0"/>
    <w:rsid w:val="00E63BAF"/>
    <w:rsid w:val="00E647EF"/>
    <w:rsid w:val="00E8082B"/>
    <w:rsid w:val="00E83974"/>
    <w:rsid w:val="00EA4E6C"/>
    <w:rsid w:val="00EB13B6"/>
    <w:rsid w:val="00EC49F5"/>
    <w:rsid w:val="00ED3289"/>
    <w:rsid w:val="00EE0F23"/>
    <w:rsid w:val="00EE1CB8"/>
    <w:rsid w:val="00EF52B0"/>
    <w:rsid w:val="00F27D47"/>
    <w:rsid w:val="00F3550B"/>
    <w:rsid w:val="00F41F34"/>
    <w:rsid w:val="00F42500"/>
    <w:rsid w:val="00F427E8"/>
    <w:rsid w:val="00F57977"/>
    <w:rsid w:val="00F6074E"/>
    <w:rsid w:val="00F610F5"/>
    <w:rsid w:val="00F6366C"/>
    <w:rsid w:val="00F65C25"/>
    <w:rsid w:val="00F70BD5"/>
    <w:rsid w:val="00F95AE1"/>
    <w:rsid w:val="00F97FBB"/>
    <w:rsid w:val="00FA290C"/>
    <w:rsid w:val="00FA531B"/>
    <w:rsid w:val="00FB12B6"/>
    <w:rsid w:val="00FB1686"/>
    <w:rsid w:val="00FB63AC"/>
    <w:rsid w:val="00FB643A"/>
    <w:rsid w:val="00FD0519"/>
    <w:rsid w:val="00FE18F6"/>
    <w:rsid w:val="00FE4376"/>
    <w:rsid w:val="00FE7DCA"/>
    <w:rsid w:val="00FF6687"/>
    <w:rsid w:val="05D52658"/>
    <w:rsid w:val="0BC98067"/>
    <w:rsid w:val="0C46EEA3"/>
    <w:rsid w:val="0E975639"/>
    <w:rsid w:val="143C40CE"/>
    <w:rsid w:val="1A856843"/>
    <w:rsid w:val="1EB42E74"/>
    <w:rsid w:val="2699682F"/>
    <w:rsid w:val="2902DA44"/>
    <w:rsid w:val="29592EE8"/>
    <w:rsid w:val="2DE996C2"/>
    <w:rsid w:val="2FC1FEE2"/>
    <w:rsid w:val="30B2D146"/>
    <w:rsid w:val="32FD3977"/>
    <w:rsid w:val="34DBE4B0"/>
    <w:rsid w:val="34F3EAD0"/>
    <w:rsid w:val="36AEC5CD"/>
    <w:rsid w:val="3997DCC0"/>
    <w:rsid w:val="39CFCAC6"/>
    <w:rsid w:val="3D38F988"/>
    <w:rsid w:val="3E7406A5"/>
    <w:rsid w:val="45E4B721"/>
    <w:rsid w:val="4778C857"/>
    <w:rsid w:val="48F423DB"/>
    <w:rsid w:val="4AAB7561"/>
    <w:rsid w:val="56288236"/>
    <w:rsid w:val="56F63477"/>
    <w:rsid w:val="570F5CD4"/>
    <w:rsid w:val="5AF8BBDC"/>
    <w:rsid w:val="5C25D525"/>
    <w:rsid w:val="64BD73AF"/>
    <w:rsid w:val="657D0177"/>
    <w:rsid w:val="69027C89"/>
    <w:rsid w:val="69692B9C"/>
    <w:rsid w:val="6BF4A572"/>
    <w:rsid w:val="6E17A1F3"/>
    <w:rsid w:val="6FEB826F"/>
    <w:rsid w:val="74449DFC"/>
    <w:rsid w:val="758AE0CB"/>
    <w:rsid w:val="75AF60FF"/>
    <w:rsid w:val="76CAA1FD"/>
    <w:rsid w:val="7BD64CFA"/>
    <w:rsid w:val="7CCD8981"/>
    <w:rsid w:val="7F1A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F620D"/>
  <w15:docId w15:val="{5A2CE140-4F55-4A2B-8217-6DA131B9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D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04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4DB0"/>
    <w:pPr>
      <w:keepNext/>
      <w:snapToGrid w:val="0"/>
      <w:spacing w:before="100" w:after="100"/>
      <w:outlineLvl w:val="1"/>
    </w:pPr>
    <w:rPr>
      <w:rFonts w:eastAsia="Arial Unicode MS"/>
      <w:b/>
      <w:szCs w:val="20"/>
    </w:rPr>
  </w:style>
  <w:style w:type="paragraph" w:styleId="Heading3">
    <w:name w:val="heading 3"/>
    <w:basedOn w:val="Normal"/>
    <w:next w:val="Normal"/>
    <w:link w:val="Heading3Char"/>
    <w:uiPriority w:val="9"/>
    <w:semiHidden/>
    <w:unhideWhenUsed/>
    <w:qFormat/>
    <w:rsid w:val="005D040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DB0"/>
    <w:rPr>
      <w:rFonts w:ascii="Times New Roman" w:eastAsia="Arial Unicode MS" w:hAnsi="Times New Roman" w:cs="Times New Roman"/>
      <w:b/>
      <w:sz w:val="24"/>
      <w:szCs w:val="20"/>
    </w:rPr>
  </w:style>
  <w:style w:type="paragraph" w:customStyle="1" w:styleId="FAMBodyTextStyle">
    <w:name w:val="FAM Body Text Style"/>
    <w:basedOn w:val="Normal"/>
    <w:rsid w:val="00164DB0"/>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link w:val="BodyTextIndentChar"/>
    <w:rsid w:val="00164DB0"/>
    <w:pPr>
      <w:ind w:left="360"/>
    </w:pPr>
    <w:rPr>
      <w:rFonts w:ascii="Arial" w:hAnsi="Arial"/>
      <w:szCs w:val="20"/>
    </w:rPr>
  </w:style>
  <w:style w:type="character" w:customStyle="1" w:styleId="BodyTextIndentChar">
    <w:name w:val="Body Text Indent Char"/>
    <w:basedOn w:val="DefaultParagraphFont"/>
    <w:link w:val="BodyTextIndent"/>
    <w:rsid w:val="00164DB0"/>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1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4DB0"/>
    <w:rPr>
      <w:rFonts w:ascii="Courier New" w:eastAsia="Times New Roman" w:hAnsi="Courier New" w:cs="Courier New"/>
      <w:sz w:val="20"/>
      <w:szCs w:val="20"/>
    </w:rPr>
  </w:style>
  <w:style w:type="character" w:styleId="CommentReference">
    <w:name w:val="annotation reference"/>
    <w:uiPriority w:val="99"/>
    <w:rsid w:val="00164DB0"/>
    <w:rPr>
      <w:sz w:val="16"/>
      <w:szCs w:val="16"/>
    </w:rPr>
  </w:style>
  <w:style w:type="paragraph" w:styleId="CommentText">
    <w:name w:val="annotation text"/>
    <w:basedOn w:val="Normal"/>
    <w:link w:val="CommentTextChar"/>
    <w:uiPriority w:val="99"/>
    <w:rsid w:val="00164DB0"/>
    <w:rPr>
      <w:sz w:val="20"/>
      <w:szCs w:val="20"/>
    </w:rPr>
  </w:style>
  <w:style w:type="character" w:customStyle="1" w:styleId="CommentTextChar">
    <w:name w:val="Comment Text Char"/>
    <w:basedOn w:val="DefaultParagraphFont"/>
    <w:link w:val="CommentText"/>
    <w:uiPriority w:val="99"/>
    <w:rsid w:val="00164DB0"/>
    <w:rPr>
      <w:rFonts w:ascii="Times New Roman" w:eastAsia="Times New Roman" w:hAnsi="Times New Roman" w:cs="Times New Roman"/>
      <w:sz w:val="20"/>
      <w:szCs w:val="20"/>
    </w:rPr>
  </w:style>
  <w:style w:type="paragraph" w:styleId="ListParagraph">
    <w:name w:val="List Paragraph"/>
    <w:basedOn w:val="Normal"/>
    <w:uiPriority w:val="34"/>
    <w:qFormat/>
    <w:rsid w:val="00164DB0"/>
    <w:pPr>
      <w:ind w:left="720"/>
    </w:pPr>
    <w:rPr>
      <w:rFonts w:ascii="Calibri" w:eastAsia="Calibri" w:hAnsi="Calibri" w:cs="Calibri"/>
      <w:sz w:val="22"/>
      <w:szCs w:val="22"/>
    </w:rPr>
  </w:style>
  <w:style w:type="character" w:customStyle="1" w:styleId="ptext-3">
    <w:name w:val="ptext-3"/>
    <w:rsid w:val="00164DB0"/>
    <w:rPr>
      <w:b w:val="0"/>
      <w:bCs w:val="0"/>
    </w:rPr>
  </w:style>
  <w:style w:type="paragraph" w:styleId="Header">
    <w:name w:val="header"/>
    <w:basedOn w:val="Normal"/>
    <w:link w:val="HeaderChar"/>
    <w:rsid w:val="00164DB0"/>
    <w:pPr>
      <w:tabs>
        <w:tab w:val="center" w:pos="4680"/>
        <w:tab w:val="right" w:pos="9360"/>
      </w:tabs>
    </w:pPr>
  </w:style>
  <w:style w:type="character" w:customStyle="1" w:styleId="HeaderChar">
    <w:name w:val="Header Char"/>
    <w:basedOn w:val="DefaultParagraphFont"/>
    <w:link w:val="Header"/>
    <w:rsid w:val="00164DB0"/>
    <w:rPr>
      <w:rFonts w:ascii="Times New Roman" w:eastAsia="Times New Roman" w:hAnsi="Times New Roman" w:cs="Times New Roman"/>
      <w:sz w:val="24"/>
      <w:szCs w:val="24"/>
    </w:rPr>
  </w:style>
  <w:style w:type="paragraph" w:styleId="Footer">
    <w:name w:val="footer"/>
    <w:basedOn w:val="Normal"/>
    <w:link w:val="FooterChar"/>
    <w:rsid w:val="00164DB0"/>
    <w:pPr>
      <w:tabs>
        <w:tab w:val="center" w:pos="4680"/>
        <w:tab w:val="right" w:pos="9360"/>
      </w:tabs>
    </w:pPr>
  </w:style>
  <w:style w:type="character" w:customStyle="1" w:styleId="FooterChar">
    <w:name w:val="Footer Char"/>
    <w:basedOn w:val="DefaultParagraphFont"/>
    <w:link w:val="Footer"/>
    <w:rsid w:val="00164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DB0"/>
    <w:rPr>
      <w:rFonts w:ascii="Tahoma" w:hAnsi="Tahoma" w:cs="Tahoma"/>
      <w:sz w:val="16"/>
      <w:szCs w:val="16"/>
    </w:rPr>
  </w:style>
  <w:style w:type="character" w:customStyle="1" w:styleId="BalloonTextChar">
    <w:name w:val="Balloon Text Char"/>
    <w:basedOn w:val="DefaultParagraphFont"/>
    <w:link w:val="BalloonText"/>
    <w:uiPriority w:val="99"/>
    <w:semiHidden/>
    <w:rsid w:val="00164DB0"/>
    <w:rPr>
      <w:rFonts w:ascii="Tahoma" w:eastAsia="Times New Roman" w:hAnsi="Tahoma" w:cs="Tahoma"/>
      <w:sz w:val="16"/>
      <w:szCs w:val="16"/>
    </w:rPr>
  </w:style>
  <w:style w:type="paragraph" w:customStyle="1" w:styleId="FRNoticeHeading2">
    <w:name w:val="FR Notice Heading 2"/>
    <w:basedOn w:val="Normal"/>
    <w:rsid w:val="00173151"/>
    <w:pPr>
      <w:spacing w:line="360" w:lineRule="auto"/>
    </w:pPr>
    <w:rPr>
      <w:bCs/>
      <w:i/>
      <w:iCs/>
      <w:szCs w:val="20"/>
    </w:rPr>
  </w:style>
  <w:style w:type="paragraph" w:styleId="CommentSubject">
    <w:name w:val="annotation subject"/>
    <w:basedOn w:val="CommentText"/>
    <w:next w:val="CommentText"/>
    <w:link w:val="CommentSubjectChar"/>
    <w:uiPriority w:val="99"/>
    <w:semiHidden/>
    <w:unhideWhenUsed/>
    <w:rsid w:val="0007288A"/>
    <w:rPr>
      <w:b/>
      <w:bCs/>
    </w:rPr>
  </w:style>
  <w:style w:type="character" w:customStyle="1" w:styleId="CommentSubjectChar">
    <w:name w:val="Comment Subject Char"/>
    <w:basedOn w:val="CommentTextChar"/>
    <w:link w:val="CommentSubject"/>
    <w:uiPriority w:val="99"/>
    <w:semiHidden/>
    <w:rsid w:val="0007288A"/>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7078A0"/>
    <w:rPr>
      <w:sz w:val="20"/>
      <w:szCs w:val="20"/>
    </w:rPr>
  </w:style>
  <w:style w:type="character" w:customStyle="1" w:styleId="EndnoteTextChar">
    <w:name w:val="Endnote Text Char"/>
    <w:basedOn w:val="DefaultParagraphFont"/>
    <w:link w:val="EndnoteText"/>
    <w:semiHidden/>
    <w:rsid w:val="007078A0"/>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7078A0"/>
    <w:rPr>
      <w:vertAlign w:val="superscript"/>
    </w:rPr>
  </w:style>
  <w:style w:type="character" w:styleId="Hyperlink">
    <w:name w:val="Hyperlink"/>
    <w:basedOn w:val="DefaultParagraphFont"/>
    <w:unhideWhenUsed/>
    <w:rsid w:val="007078A0"/>
    <w:rPr>
      <w:color w:val="0000FF" w:themeColor="hyperlink"/>
      <w:u w:val="single"/>
    </w:rPr>
  </w:style>
  <w:style w:type="character" w:customStyle="1" w:styleId="Heading1Char">
    <w:name w:val="Heading 1 Char"/>
    <w:basedOn w:val="DefaultParagraphFont"/>
    <w:link w:val="Heading1"/>
    <w:uiPriority w:val="9"/>
    <w:rsid w:val="005D04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40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B3C51"/>
    <w:rPr>
      <w:color w:val="800080" w:themeColor="followedHyperlink"/>
      <w:u w:val="single"/>
    </w:rPr>
  </w:style>
  <w:style w:type="paragraph" w:styleId="Revision">
    <w:name w:val="Revision"/>
    <w:hidden/>
    <w:uiPriority w:val="99"/>
    <w:semiHidden/>
    <w:rsid w:val="00827B05"/>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A4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2873">
      <w:bodyDiv w:val="1"/>
      <w:marLeft w:val="0"/>
      <w:marRight w:val="0"/>
      <w:marTop w:val="0"/>
      <w:marBottom w:val="0"/>
      <w:divBdr>
        <w:top w:val="none" w:sz="0" w:space="0" w:color="auto"/>
        <w:left w:val="none" w:sz="0" w:space="0" w:color="auto"/>
        <w:bottom w:val="none" w:sz="0" w:space="0" w:color="auto"/>
        <w:right w:val="none" w:sz="0" w:space="0" w:color="auto"/>
      </w:divBdr>
    </w:div>
    <w:div w:id="1165896182">
      <w:bodyDiv w:val="1"/>
      <w:marLeft w:val="0"/>
      <w:marRight w:val="0"/>
      <w:marTop w:val="0"/>
      <w:marBottom w:val="0"/>
      <w:divBdr>
        <w:top w:val="none" w:sz="0" w:space="0" w:color="auto"/>
        <w:left w:val="none" w:sz="0" w:space="0" w:color="auto"/>
        <w:bottom w:val="none" w:sz="0" w:space="0" w:color="auto"/>
        <w:right w:val="none" w:sz="0" w:space="0" w:color="auto"/>
      </w:divBdr>
    </w:div>
    <w:div w:id="1255089344">
      <w:bodyDiv w:val="1"/>
      <w:marLeft w:val="0"/>
      <w:marRight w:val="0"/>
      <w:marTop w:val="0"/>
      <w:marBottom w:val="0"/>
      <w:divBdr>
        <w:top w:val="none" w:sz="0" w:space="0" w:color="auto"/>
        <w:left w:val="none" w:sz="0" w:space="0" w:color="auto"/>
        <w:bottom w:val="none" w:sz="0" w:space="0" w:color="auto"/>
        <w:right w:val="none" w:sz="0" w:space="0" w:color="auto"/>
      </w:divBdr>
    </w:div>
    <w:div w:id="1920555363">
      <w:bodyDiv w:val="1"/>
      <w:marLeft w:val="0"/>
      <w:marRight w:val="0"/>
      <w:marTop w:val="0"/>
      <w:marBottom w:val="0"/>
      <w:divBdr>
        <w:top w:val="none" w:sz="0" w:space="0" w:color="auto"/>
        <w:left w:val="none" w:sz="0" w:space="0" w:color="auto"/>
        <w:bottom w:val="none" w:sz="0" w:space="0" w:color="auto"/>
        <w:right w:val="none" w:sz="0" w:space="0" w:color="auto"/>
      </w:divBdr>
    </w:div>
    <w:div w:id="1923683091">
      <w:bodyDiv w:val="1"/>
      <w:marLeft w:val="0"/>
      <w:marRight w:val="0"/>
      <w:marTop w:val="0"/>
      <w:marBottom w:val="0"/>
      <w:divBdr>
        <w:top w:val="none" w:sz="0" w:space="0" w:color="auto"/>
        <w:left w:val="none" w:sz="0" w:space="0" w:color="auto"/>
        <w:bottom w:val="none" w:sz="0" w:space="0" w:color="auto"/>
        <w:right w:val="none" w:sz="0" w:space="0" w:color="auto"/>
      </w:divBdr>
    </w:div>
    <w:div w:id="1986157376">
      <w:bodyDiv w:val="1"/>
      <w:marLeft w:val="0"/>
      <w:marRight w:val="0"/>
      <w:marTop w:val="0"/>
      <w:marBottom w:val="0"/>
      <w:divBdr>
        <w:top w:val="none" w:sz="0" w:space="0" w:color="auto"/>
        <w:left w:val="none" w:sz="0" w:space="0" w:color="auto"/>
        <w:bottom w:val="none" w:sz="0" w:space="0" w:color="auto"/>
        <w:right w:val="none" w:sz="0" w:space="0" w:color="auto"/>
      </w:divBdr>
      <w:divsChild>
        <w:div w:id="1152410909">
          <w:marLeft w:val="0"/>
          <w:marRight w:val="0"/>
          <w:marTop w:val="0"/>
          <w:marBottom w:val="0"/>
          <w:divBdr>
            <w:top w:val="none" w:sz="0" w:space="0" w:color="auto"/>
            <w:left w:val="none" w:sz="0" w:space="0" w:color="auto"/>
            <w:bottom w:val="none" w:sz="0" w:space="0" w:color="auto"/>
            <w:right w:val="none" w:sz="0" w:space="0" w:color="auto"/>
          </w:divBdr>
        </w:div>
        <w:div w:id="1942909823">
          <w:marLeft w:val="0"/>
          <w:marRight w:val="0"/>
          <w:marTop w:val="0"/>
          <w:marBottom w:val="0"/>
          <w:divBdr>
            <w:top w:val="none" w:sz="0" w:space="0" w:color="auto"/>
            <w:left w:val="none" w:sz="0" w:space="0" w:color="auto"/>
            <w:bottom w:val="none" w:sz="0" w:space="0" w:color="auto"/>
            <w:right w:val="none" w:sz="0" w:space="0" w:color="auto"/>
          </w:divBdr>
          <w:divsChild>
            <w:div w:id="1084300293">
              <w:marLeft w:val="0"/>
              <w:marRight w:val="0"/>
              <w:marTop w:val="0"/>
              <w:marBottom w:val="0"/>
              <w:divBdr>
                <w:top w:val="none" w:sz="0" w:space="0" w:color="auto"/>
                <w:left w:val="none" w:sz="0" w:space="0" w:color="auto"/>
                <w:bottom w:val="none" w:sz="0" w:space="0" w:color="auto"/>
                <w:right w:val="none" w:sz="0" w:space="0" w:color="auto"/>
              </w:divBdr>
              <w:divsChild>
                <w:div w:id="664094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2010-15622"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law.cornell.edu/cfr/text/22/51.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2" Type="http://schemas.openxmlformats.org/officeDocument/2006/relationships/hyperlink" Target="https://www.bts.gov/content/average-cost-owning-and-operating-automobile" TargetMode="External"/><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2B29F33D78849B8AD5B190BA93763" ma:contentTypeVersion="17" ma:contentTypeDescription="Create a new document." ma:contentTypeScope="" ma:versionID="d7e8a5b71dde76069f0f28e241b12db7">
  <xsd:schema xmlns:xsd="http://www.w3.org/2001/XMLSchema" xmlns:xs="http://www.w3.org/2001/XMLSchema" xmlns:p="http://schemas.microsoft.com/office/2006/metadata/properties" xmlns:ns2="c60a6009-aa1a-461d-a537-351556f0a008" xmlns:ns3="da8b6bdb-00dc-49c5-a3c1-8170e87639d2" targetNamespace="http://schemas.microsoft.com/office/2006/metadata/properties" ma:root="true" ma:fieldsID="512f3417aec704eb8677cd602057fd07" ns2:_="" ns3:_="">
    <xsd:import namespace="c60a6009-aa1a-461d-a537-351556f0a008"/>
    <xsd:import namespace="da8b6bdb-00dc-49c5-a3c1-8170e87639d2"/>
    <xsd:element name="properties">
      <xsd:complexType>
        <xsd:sequence>
          <xsd:element name="documentManagement">
            <xsd:complexType>
              <xsd:all>
                <xsd:element ref="ns2:_dlc_DocId" minOccurs="0"/>
                <xsd:element ref="ns2:_dlc_DocIdUrl" minOccurs="0"/>
                <xsd:element ref="ns2:_dlc_DocIdPersistId" minOccurs="0"/>
                <xsd:element ref="ns3:Task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8b6bdb-00dc-49c5-a3c1-8170e87639d2" elementFormDefault="qualified">
    <xsd:import namespace="http://schemas.microsoft.com/office/2006/documentManagement/types"/>
    <xsd:import namespace="http://schemas.microsoft.com/office/infopath/2007/PartnerControls"/>
    <xsd:element name="TaskerStatus" ma:index="11" nillable="true" ma:displayName="TaskerStatus" ma:internalName="Tasker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60a6009-aa1a-461d-a537-351556f0a008">7SQV2MQ46D4J-708-1328</_dlc_DocId>
    <_dlc_DocIdUrl xmlns="c60a6009-aa1a-461d-a537-351556f0a008">
      <Url>http://ca.m.state.sbu/sites/OCS/P/_layouts/DocIdRedir.aspx?ID=7SQV2MQ46D4J-708-1328</Url>
      <Description>7SQV2MQ46D4J-708-1328</Description>
    </_dlc_DocIdUrl>
    <TaskerStatus xmlns="da8b6bdb-00dc-49c5-a3c1-8170e87639d2">Outstanding</TaskerStatus>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2EB2-6271-4A55-AE80-AF80B9D6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a8b6bdb-00dc-49c5-a3c1-8170e8763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E5ABB-38D4-4B2A-A90A-DFE773F5D1FF}">
  <ds:schemaRefs>
    <ds:schemaRef ds:uri="http://purl.org/dc/dcmitype/"/>
    <ds:schemaRef ds:uri="c60a6009-aa1a-461d-a537-351556f0a008"/>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a8b6bdb-00dc-49c5-a3c1-8170e87639d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881577-F862-410F-BFE0-C28D0D0A3376}">
  <ds:schemaRefs>
    <ds:schemaRef ds:uri="http://schemas.microsoft.com/sharepoint/events"/>
    <ds:schemaRef ds:uri=""/>
  </ds:schemaRefs>
</ds:datastoreItem>
</file>

<file path=customXml/itemProps4.xml><?xml version="1.0" encoding="utf-8"?>
<ds:datastoreItem xmlns:ds="http://schemas.openxmlformats.org/officeDocument/2006/customXml" ds:itemID="{CD37291A-FDC1-4C47-AE2A-ABB8AFF93205}">
  <ds:schemaRefs>
    <ds:schemaRef ds:uri="http://schemas.microsoft.com/sharepoint/v3/contenttype/forms"/>
  </ds:schemaRefs>
</ds:datastoreItem>
</file>

<file path=customXml/itemProps5.xml><?xml version="1.0" encoding="utf-8"?>
<ds:datastoreItem xmlns:ds="http://schemas.openxmlformats.org/officeDocument/2006/customXml" ds:itemID="{AE130E47-7713-4349-B986-9E996D67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CA\CST</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Kaye M</dc:creator>
  <cp:keywords/>
  <dc:description/>
  <cp:lastModifiedBy>Chantal Douglas</cp:lastModifiedBy>
  <cp:revision>2</cp:revision>
  <cp:lastPrinted>2020-02-14T16:19:00Z</cp:lastPrinted>
  <dcterms:created xsi:type="dcterms:W3CDTF">2021-03-23T12:57:00Z</dcterms:created>
  <dcterms:modified xsi:type="dcterms:W3CDTF">2021-03-23T12:57:00Z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0x0101005B62B29F33D78849B8AD5B190BA93763</vt:lpwstr>
  </property>
  <property fmtid="{D5CDD505-2E9C-101B-9397-08002B2CF9AE}" pid="3" name="_dlc_DocIdItemGuid">
    <vt:lpwstr>f211c056-bb98-460f-9a9d-5cc5f52c8e3f</vt:lpwstr>
  </property>
  <property fmtid="{D5CDD505-2E9C-101B-9397-08002B2CF9AE}" pid="4" name="TaskerID">
    <vt:lpwstr>T2854-19</vt:lpwstr>
  </property>
  <property fmtid="{D5CDD505-2E9C-101B-9397-08002B2CF9AE}" pid="5" name="TaskerTitle">
    <vt:lpwstr>CA/C input on form DS-2029, Application for Consular Report of Birth Abroad of a Citizen of the United States of America.</vt:lpwstr>
  </property>
  <property fmtid="{D5CDD505-2E9C-101B-9397-08002B2CF9AE}" pid="6" name="MSIP_Label_1665d9ee-429a-4d5f-97cc-cfb56e044a6e_Enabled">
    <vt:lpwstr>True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Owner">
    <vt:lpwstr>SchlichtRR@state.gov</vt:lpwstr>
  </property>
  <property fmtid="{D5CDD505-2E9C-101B-9397-08002B2CF9AE}" pid="9" name="MSIP_Label_1665d9ee-429a-4d5f-97cc-cfb56e044a6e_SetDate">
    <vt:lpwstr>2019-11-27T19:55:24.8250161Z</vt:lpwstr>
  </property>
  <property fmtid="{D5CDD505-2E9C-101B-9397-08002B2CF9AE}" pid="10" name="MSIP_Label_1665d9ee-429a-4d5f-97cc-cfb56e044a6e_Name">
    <vt:lpwstr>Unclassified</vt:lpwstr>
  </property>
  <property fmtid="{D5CDD505-2E9C-101B-9397-08002B2CF9AE}" pid="11" name="MSIP_Label_1665d9ee-429a-4d5f-97cc-cfb56e044a6e_Application">
    <vt:lpwstr>Microsoft Azure Information Protection</vt:lpwstr>
  </property>
  <property fmtid="{D5CDD505-2E9C-101B-9397-08002B2CF9AE}" pid="12" name="MSIP_Label_1665d9ee-429a-4d5f-97cc-cfb56e044a6e_ActionId">
    <vt:lpwstr>79eb653a-58ff-4465-9632-74d28047bd41</vt:lpwstr>
  </property>
  <property fmtid="{D5CDD505-2E9C-101B-9397-08002B2CF9AE}" pid="13" name="MSIP_Label_1665d9ee-429a-4d5f-97cc-cfb56e044a6e_Extended_MSFT_Method">
    <vt:lpwstr>Manual</vt:lpwstr>
  </property>
  <property fmtid="{D5CDD505-2E9C-101B-9397-08002B2CF9AE}" pid="14" name="Sensitivity">
    <vt:lpwstr>Unclassified</vt:lpwstr>
  </property>
</Properties>
</file>