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22ED" w:rsidRDefault="002D0E5D" w14:paraId="4B7BBAE6" w14:textId="77777777">
      <w:pPr>
        <w:pStyle w:val="Heading1"/>
        <w:spacing w:before="189"/>
        <w:ind w:left="171" w:right="150"/>
        <w:jc w:val="center"/>
      </w:pPr>
      <w:r>
        <w:t>Coronavirus</w:t>
      </w:r>
      <w:r>
        <w:rPr>
          <w:spacing w:val="-5"/>
        </w:rPr>
        <w:t xml:space="preserve"> </w:t>
      </w:r>
      <w:r>
        <w:t>State</w:t>
      </w:r>
      <w:r>
        <w:rPr>
          <w:spacing w:val="-3"/>
        </w:rPr>
        <w:t xml:space="preserve"> </w:t>
      </w:r>
      <w:r>
        <w:t>and</w:t>
      </w:r>
      <w:r>
        <w:rPr>
          <w:spacing w:val="-4"/>
        </w:rPr>
        <w:t xml:space="preserve"> </w:t>
      </w:r>
      <w:r>
        <w:t>Local</w:t>
      </w:r>
      <w:r>
        <w:rPr>
          <w:spacing w:val="-3"/>
        </w:rPr>
        <w:t xml:space="preserve"> </w:t>
      </w:r>
      <w:r>
        <w:t>Fiscal</w:t>
      </w:r>
      <w:r>
        <w:rPr>
          <w:spacing w:val="-4"/>
        </w:rPr>
        <w:t xml:space="preserve"> </w:t>
      </w:r>
      <w:r>
        <w:t>Recovery</w:t>
      </w:r>
      <w:r>
        <w:rPr>
          <w:spacing w:val="-3"/>
        </w:rPr>
        <w:t xml:space="preserve"> </w:t>
      </w:r>
      <w:r>
        <w:rPr>
          <w:spacing w:val="-2"/>
        </w:rPr>
        <w:t>Funds</w:t>
      </w:r>
    </w:p>
    <w:p w:rsidR="00A322ED" w:rsidRDefault="002D0E5D" w14:paraId="4B7BBAE7" w14:textId="77777777">
      <w:pPr>
        <w:spacing w:before="20" w:line="259" w:lineRule="auto"/>
        <w:ind w:left="171" w:right="150"/>
        <w:jc w:val="center"/>
        <w:rPr>
          <w:b/>
          <w:sz w:val="21"/>
        </w:rPr>
      </w:pPr>
      <w:r>
        <w:rPr>
          <w:b/>
          <w:sz w:val="21"/>
        </w:rPr>
        <w:t>Request</w:t>
      </w:r>
      <w:r>
        <w:rPr>
          <w:b/>
          <w:spacing w:val="-4"/>
          <w:sz w:val="21"/>
        </w:rPr>
        <w:t xml:space="preserve"> </w:t>
      </w:r>
      <w:r>
        <w:rPr>
          <w:b/>
          <w:sz w:val="21"/>
        </w:rPr>
        <w:t>for</w:t>
      </w:r>
      <w:r>
        <w:rPr>
          <w:b/>
          <w:spacing w:val="-4"/>
          <w:sz w:val="21"/>
        </w:rPr>
        <w:t xml:space="preserve"> </w:t>
      </w:r>
      <w:r>
        <w:rPr>
          <w:b/>
          <w:sz w:val="21"/>
        </w:rPr>
        <w:t>Extension</w:t>
      </w:r>
      <w:r>
        <w:rPr>
          <w:b/>
          <w:spacing w:val="-4"/>
          <w:sz w:val="21"/>
        </w:rPr>
        <w:t xml:space="preserve"> </w:t>
      </w:r>
      <w:r>
        <w:rPr>
          <w:b/>
          <w:sz w:val="21"/>
        </w:rPr>
        <w:t>Form</w:t>
      </w:r>
      <w:r>
        <w:rPr>
          <w:b/>
          <w:spacing w:val="-4"/>
          <w:sz w:val="21"/>
        </w:rPr>
        <w:t xml:space="preserve"> </w:t>
      </w:r>
      <w:r>
        <w:rPr>
          <w:b/>
          <w:sz w:val="21"/>
        </w:rPr>
        <w:t>(Subsequent</w:t>
      </w:r>
      <w:r>
        <w:rPr>
          <w:b/>
          <w:spacing w:val="-5"/>
          <w:sz w:val="21"/>
        </w:rPr>
        <w:t xml:space="preserve"> </w:t>
      </w:r>
      <w:r>
        <w:rPr>
          <w:b/>
          <w:sz w:val="21"/>
        </w:rPr>
        <w:t>30-Day</w:t>
      </w:r>
      <w:r>
        <w:rPr>
          <w:b/>
          <w:spacing w:val="-5"/>
          <w:sz w:val="21"/>
        </w:rPr>
        <w:t xml:space="preserve"> </w:t>
      </w:r>
      <w:r>
        <w:rPr>
          <w:b/>
          <w:sz w:val="21"/>
        </w:rPr>
        <w:t>Extension</w:t>
      </w:r>
      <w:r>
        <w:rPr>
          <w:b/>
          <w:spacing w:val="-4"/>
          <w:sz w:val="21"/>
        </w:rPr>
        <w:t xml:space="preserve"> </w:t>
      </w:r>
      <w:r>
        <w:rPr>
          <w:b/>
          <w:sz w:val="21"/>
        </w:rPr>
        <w:t>for</w:t>
      </w:r>
      <w:r>
        <w:rPr>
          <w:b/>
          <w:spacing w:val="-5"/>
          <w:sz w:val="21"/>
        </w:rPr>
        <w:t xml:space="preserve"> </w:t>
      </w:r>
      <w:r>
        <w:rPr>
          <w:b/>
          <w:sz w:val="21"/>
        </w:rPr>
        <w:t>Distribution</w:t>
      </w:r>
      <w:r>
        <w:rPr>
          <w:b/>
          <w:spacing w:val="-5"/>
          <w:sz w:val="21"/>
        </w:rPr>
        <w:t xml:space="preserve"> </w:t>
      </w:r>
      <w:r>
        <w:rPr>
          <w:b/>
          <w:sz w:val="21"/>
        </w:rPr>
        <w:t>of</w:t>
      </w:r>
      <w:r>
        <w:rPr>
          <w:b/>
          <w:spacing w:val="-4"/>
          <w:sz w:val="21"/>
        </w:rPr>
        <w:t xml:space="preserve"> </w:t>
      </w:r>
      <w:r>
        <w:rPr>
          <w:b/>
          <w:sz w:val="21"/>
        </w:rPr>
        <w:t xml:space="preserve">Funds to </w:t>
      </w:r>
      <w:proofErr w:type="spellStart"/>
      <w:r>
        <w:rPr>
          <w:b/>
          <w:sz w:val="21"/>
        </w:rPr>
        <w:t>Nonentitlement</w:t>
      </w:r>
      <w:proofErr w:type="spellEnd"/>
      <w:r>
        <w:rPr>
          <w:b/>
          <w:sz w:val="21"/>
        </w:rPr>
        <w:t xml:space="preserve"> Units of Local Government)</w:t>
      </w:r>
    </w:p>
    <w:p w:rsidR="00A322ED" w:rsidRDefault="002D0E5D" w14:paraId="4B7BBAE8" w14:textId="77777777">
      <w:pPr>
        <w:spacing w:before="161"/>
        <w:ind w:left="154" w:right="150"/>
        <w:jc w:val="center"/>
        <w:rPr>
          <w:i/>
          <w:sz w:val="21"/>
        </w:rPr>
      </w:pPr>
      <w:r>
        <w:rPr>
          <w:i/>
          <w:sz w:val="21"/>
        </w:rPr>
        <w:t>Updated June</w:t>
      </w:r>
      <w:r>
        <w:rPr>
          <w:i/>
          <w:spacing w:val="1"/>
          <w:sz w:val="21"/>
        </w:rPr>
        <w:t xml:space="preserve"> </w:t>
      </w:r>
      <w:r>
        <w:rPr>
          <w:i/>
          <w:spacing w:val="-4"/>
          <w:sz w:val="21"/>
        </w:rPr>
        <w:t>2022</w:t>
      </w:r>
    </w:p>
    <w:p w:rsidR="00A322ED" w:rsidRDefault="002D0E5D" w14:paraId="4B7BBAE9" w14:textId="77777777">
      <w:pPr>
        <w:pStyle w:val="BodyText"/>
        <w:spacing w:before="178"/>
        <w:ind w:left="120" w:right="157"/>
      </w:pPr>
      <w:r>
        <w:t>The Coronavirus State and Local Fiscal Recovery Funds (SLFRF) Program, established by sections 602 and 603 of the Social Security Act, as added by section 9901 of the American Rescue</w:t>
      </w:r>
      <w:r>
        <w:rPr>
          <w:spacing w:val="-3"/>
        </w:rPr>
        <w:t xml:space="preserve"> </w:t>
      </w:r>
      <w:r>
        <w:t>Plan</w:t>
      </w:r>
      <w:r>
        <w:rPr>
          <w:spacing w:val="-3"/>
        </w:rPr>
        <w:t xml:space="preserve"> </w:t>
      </w:r>
      <w:r>
        <w:t>Act</w:t>
      </w:r>
      <w:r>
        <w:rPr>
          <w:spacing w:val="-2"/>
        </w:rPr>
        <w:t xml:space="preserve"> </w:t>
      </w:r>
      <w:r>
        <w:t>of</w:t>
      </w:r>
      <w:r>
        <w:rPr>
          <w:spacing w:val="-3"/>
        </w:rPr>
        <w:t xml:space="preserve"> </w:t>
      </w:r>
      <w:r>
        <w:t>2021</w:t>
      </w:r>
      <w:r>
        <w:rPr>
          <w:spacing w:val="-4"/>
        </w:rPr>
        <w:t xml:space="preserve"> </w:t>
      </w:r>
      <w:r>
        <w:t>(ARPA),</w:t>
      </w:r>
      <w:r>
        <w:rPr>
          <w:spacing w:val="-3"/>
        </w:rPr>
        <w:t xml:space="preserve"> </w:t>
      </w:r>
      <w:r>
        <w:t>authorizes</w:t>
      </w:r>
      <w:r>
        <w:rPr>
          <w:spacing w:val="-4"/>
        </w:rPr>
        <w:t xml:space="preserve"> </w:t>
      </w:r>
      <w:r>
        <w:t>the</w:t>
      </w:r>
      <w:r>
        <w:rPr>
          <w:spacing w:val="-3"/>
        </w:rPr>
        <w:t xml:space="preserve"> </w:t>
      </w:r>
      <w:r>
        <w:t>U.S.</w:t>
      </w:r>
      <w:r>
        <w:rPr>
          <w:spacing w:val="-2"/>
        </w:rPr>
        <w:t xml:space="preserve"> </w:t>
      </w:r>
      <w:r>
        <w:t>Department</w:t>
      </w:r>
      <w:r>
        <w:rPr>
          <w:spacing w:val="-4"/>
        </w:rPr>
        <w:t xml:space="preserve"> </w:t>
      </w:r>
      <w:r>
        <w:t>of</w:t>
      </w:r>
      <w:r>
        <w:rPr>
          <w:spacing w:val="-3"/>
        </w:rPr>
        <w:t xml:space="preserve"> </w:t>
      </w:r>
      <w:r>
        <w:t>the</w:t>
      </w:r>
      <w:r>
        <w:rPr>
          <w:spacing w:val="-5"/>
        </w:rPr>
        <w:t xml:space="preserve"> </w:t>
      </w:r>
      <w:r>
        <w:t>Treasury</w:t>
      </w:r>
      <w:r>
        <w:rPr>
          <w:spacing w:val="-5"/>
        </w:rPr>
        <w:t xml:space="preserve"> </w:t>
      </w:r>
      <w:r>
        <w:t>(Treasury)</w:t>
      </w:r>
      <w:r>
        <w:rPr>
          <w:spacing w:val="-4"/>
        </w:rPr>
        <w:t xml:space="preserve"> </w:t>
      </w:r>
      <w:r>
        <w:t xml:space="preserve">to make payments to states for distribution to their </w:t>
      </w:r>
      <w:proofErr w:type="spellStart"/>
      <w:r>
        <w:t>nonentitlement</w:t>
      </w:r>
      <w:proofErr w:type="spellEnd"/>
      <w:r>
        <w:t xml:space="preserve"> units of local government (NEUs). Section 603(b)(2)(C)(</w:t>
      </w:r>
      <w:proofErr w:type="spellStart"/>
      <w:r>
        <w:t>i</w:t>
      </w:r>
      <w:proofErr w:type="spellEnd"/>
      <w:r>
        <w:t>) of the Act states that “[n]</w:t>
      </w:r>
      <w:proofErr w:type="spellStart"/>
      <w:r>
        <w:t>ot</w:t>
      </w:r>
      <w:proofErr w:type="spellEnd"/>
      <w:r>
        <w:t xml:space="preserve"> later than 30 days after a State</w:t>
      </w:r>
    </w:p>
    <w:p w:rsidR="00A322ED" w:rsidRDefault="002D0E5D" w14:paraId="4B7BBAEA" w14:textId="77777777">
      <w:pPr>
        <w:pStyle w:val="BodyText"/>
        <w:ind w:left="120" w:right="157"/>
      </w:pPr>
      <w:r>
        <w:t>receives a payment,” the state “shall distribute” funds to each NEU in the state. Section 603(b)(2)(C)(ii)(I) directs Treasury</w:t>
      </w:r>
      <w:r>
        <w:rPr>
          <w:spacing w:val="-1"/>
        </w:rPr>
        <w:t xml:space="preserve"> </w:t>
      </w:r>
      <w:r>
        <w:t>to</w:t>
      </w:r>
      <w:r>
        <w:rPr>
          <w:spacing w:val="-1"/>
        </w:rPr>
        <w:t xml:space="preserve"> </w:t>
      </w:r>
      <w:r>
        <w:t>grant a</w:t>
      </w:r>
      <w:r>
        <w:rPr>
          <w:spacing w:val="-1"/>
        </w:rPr>
        <w:t xml:space="preserve"> </w:t>
      </w:r>
      <w:r>
        <w:t>30-day</w:t>
      </w:r>
      <w:r>
        <w:rPr>
          <w:spacing w:val="-1"/>
        </w:rPr>
        <w:t xml:space="preserve"> </w:t>
      </w:r>
      <w:r>
        <w:t>extension</w:t>
      </w:r>
      <w:r>
        <w:rPr>
          <w:spacing w:val="-1"/>
        </w:rPr>
        <w:t xml:space="preserve"> </w:t>
      </w:r>
      <w:r>
        <w:t>if a</w:t>
      </w:r>
      <w:r>
        <w:rPr>
          <w:spacing w:val="-1"/>
        </w:rPr>
        <w:t xml:space="preserve"> </w:t>
      </w:r>
      <w:r>
        <w:t>state certifies an</w:t>
      </w:r>
      <w:r>
        <w:rPr>
          <w:spacing w:val="-1"/>
        </w:rPr>
        <w:t xml:space="preserve"> </w:t>
      </w:r>
      <w:r>
        <w:t>“excessive administrative</w:t>
      </w:r>
      <w:r>
        <w:rPr>
          <w:spacing w:val="-3"/>
        </w:rPr>
        <w:t xml:space="preserve"> </w:t>
      </w:r>
      <w:r>
        <w:t>burden”</w:t>
      </w:r>
      <w:r>
        <w:rPr>
          <w:spacing w:val="-4"/>
        </w:rPr>
        <w:t xml:space="preserve"> </w:t>
      </w:r>
      <w:r>
        <w:t>in</w:t>
      </w:r>
      <w:r>
        <w:rPr>
          <w:spacing w:val="-3"/>
        </w:rPr>
        <w:t xml:space="preserve"> </w:t>
      </w:r>
      <w:r>
        <w:t>writing</w:t>
      </w:r>
      <w:r>
        <w:rPr>
          <w:spacing w:val="-2"/>
        </w:rPr>
        <w:t xml:space="preserve"> </w:t>
      </w:r>
      <w:r>
        <w:t>before</w:t>
      </w:r>
      <w:r>
        <w:rPr>
          <w:spacing w:val="-3"/>
        </w:rPr>
        <w:t xml:space="preserve"> </w:t>
      </w:r>
      <w:r>
        <w:t>the</w:t>
      </w:r>
      <w:r>
        <w:rPr>
          <w:spacing w:val="-3"/>
        </w:rPr>
        <w:t xml:space="preserve"> </w:t>
      </w:r>
      <w:r>
        <w:t>end</w:t>
      </w:r>
      <w:r>
        <w:rPr>
          <w:spacing w:val="-4"/>
        </w:rPr>
        <w:t xml:space="preserve"> </w:t>
      </w:r>
      <w:r>
        <w:t>of</w:t>
      </w:r>
      <w:r>
        <w:rPr>
          <w:spacing w:val="-3"/>
        </w:rPr>
        <w:t xml:space="preserve"> </w:t>
      </w:r>
      <w:r>
        <w:t>the</w:t>
      </w:r>
      <w:r>
        <w:rPr>
          <w:spacing w:val="-4"/>
        </w:rPr>
        <w:t xml:space="preserve"> </w:t>
      </w:r>
      <w:r>
        <w:t>30-day</w:t>
      </w:r>
      <w:r>
        <w:rPr>
          <w:spacing w:val="-4"/>
        </w:rPr>
        <w:t xml:space="preserve"> </w:t>
      </w:r>
      <w:r>
        <w:t>distribution</w:t>
      </w:r>
      <w:r>
        <w:rPr>
          <w:spacing w:val="-3"/>
        </w:rPr>
        <w:t xml:space="preserve"> </w:t>
      </w:r>
      <w:r>
        <w:t>period,</w:t>
      </w:r>
      <w:r>
        <w:rPr>
          <w:spacing w:val="-4"/>
        </w:rPr>
        <w:t xml:space="preserve"> </w:t>
      </w:r>
      <w:r>
        <w:t>and</w:t>
      </w:r>
      <w:r>
        <w:rPr>
          <w:spacing w:val="-2"/>
        </w:rPr>
        <w:t xml:space="preserve"> </w:t>
      </w:r>
      <w:r>
        <w:t>section 603(b)(2)(C)(ii)(II) provides for further extensions at the discretion of the Secretary of the Treasury, provided that the Secretary may only grant a further extension if the Secretary determines that the state’s plan is reasonably designed to distribute all the funds to NEUs by the end of the distribution period (as so extended).</w:t>
      </w:r>
    </w:p>
    <w:p w:rsidR="00A322ED" w:rsidRDefault="00A322ED" w14:paraId="4B7BBAEB" w14:textId="77777777">
      <w:pPr>
        <w:pStyle w:val="BodyText"/>
      </w:pPr>
    </w:p>
    <w:p w:rsidR="00A322ED" w:rsidRDefault="002D0E5D" w14:paraId="4B7BBAEC" w14:textId="77777777">
      <w:pPr>
        <w:ind w:left="119" w:right="114"/>
        <w:rPr>
          <w:sz w:val="21"/>
        </w:rPr>
      </w:pPr>
      <w:r>
        <w:rPr>
          <w:sz w:val="21"/>
        </w:rPr>
        <w:t xml:space="preserve">To request a </w:t>
      </w:r>
      <w:r>
        <w:rPr>
          <w:b/>
          <w:sz w:val="21"/>
          <w:u w:val="single"/>
        </w:rPr>
        <w:t>subsequent 30-day extension</w:t>
      </w:r>
      <w:r>
        <w:rPr>
          <w:sz w:val="21"/>
        </w:rPr>
        <w:t xml:space="preserve">, states must complete the information requested below and return to Treasury by emailing </w:t>
      </w:r>
      <w:hyperlink r:id="rId11">
        <w:r>
          <w:rPr>
            <w:color w:val="0562C1"/>
            <w:sz w:val="21"/>
            <w:u w:val="single" w:color="0562C1"/>
          </w:rPr>
          <w:t>SLFRF@treasury.gov</w:t>
        </w:r>
        <w:r>
          <w:rPr>
            <w:color w:val="0562C1"/>
            <w:sz w:val="21"/>
          </w:rPr>
          <w:t xml:space="preserve"> </w:t>
        </w:r>
      </w:hyperlink>
      <w:r>
        <w:rPr>
          <w:sz w:val="21"/>
        </w:rPr>
        <w:t xml:space="preserve">with the subject line “NEU Distribution - Extension Form” </w:t>
      </w:r>
      <w:r>
        <w:rPr>
          <w:b/>
          <w:sz w:val="21"/>
          <w:u w:val="single"/>
        </w:rPr>
        <w:t>at least 5 business days before the end of their current</w:t>
      </w:r>
      <w:r>
        <w:rPr>
          <w:b/>
          <w:sz w:val="21"/>
        </w:rPr>
        <w:t xml:space="preserve"> </w:t>
      </w:r>
      <w:r>
        <w:rPr>
          <w:b/>
          <w:sz w:val="21"/>
          <w:u w:val="single"/>
        </w:rPr>
        <w:t>distribution period</w:t>
      </w:r>
      <w:r>
        <w:rPr>
          <w:sz w:val="21"/>
        </w:rPr>
        <w:t>. Treasury expects to provide a determination shortly after the form has been</w:t>
      </w:r>
      <w:r>
        <w:rPr>
          <w:spacing w:val="-4"/>
          <w:sz w:val="21"/>
        </w:rPr>
        <w:t xml:space="preserve"> </w:t>
      </w:r>
      <w:r>
        <w:rPr>
          <w:sz w:val="21"/>
        </w:rPr>
        <w:t>received.</w:t>
      </w:r>
      <w:r>
        <w:rPr>
          <w:spacing w:val="-3"/>
          <w:sz w:val="21"/>
        </w:rPr>
        <w:t xml:space="preserve"> </w:t>
      </w:r>
      <w:r>
        <w:rPr>
          <w:sz w:val="21"/>
        </w:rPr>
        <w:t>States</w:t>
      </w:r>
      <w:r>
        <w:rPr>
          <w:spacing w:val="-3"/>
          <w:sz w:val="21"/>
        </w:rPr>
        <w:t xml:space="preserve"> </w:t>
      </w:r>
      <w:r>
        <w:rPr>
          <w:sz w:val="21"/>
        </w:rPr>
        <w:t>should</w:t>
      </w:r>
      <w:r>
        <w:rPr>
          <w:spacing w:val="-3"/>
          <w:sz w:val="21"/>
        </w:rPr>
        <w:t xml:space="preserve"> </w:t>
      </w:r>
      <w:r>
        <w:rPr>
          <w:sz w:val="21"/>
        </w:rPr>
        <w:t>submit</w:t>
      </w:r>
      <w:r>
        <w:rPr>
          <w:spacing w:val="-4"/>
          <w:sz w:val="21"/>
        </w:rPr>
        <w:t xml:space="preserve"> </w:t>
      </w:r>
      <w:r>
        <w:rPr>
          <w:sz w:val="21"/>
        </w:rPr>
        <w:t>this</w:t>
      </w:r>
      <w:r>
        <w:rPr>
          <w:spacing w:val="-3"/>
          <w:sz w:val="21"/>
        </w:rPr>
        <w:t xml:space="preserve"> </w:t>
      </w:r>
      <w:r>
        <w:rPr>
          <w:sz w:val="21"/>
        </w:rPr>
        <w:t>completed</w:t>
      </w:r>
      <w:r>
        <w:rPr>
          <w:spacing w:val="-2"/>
          <w:sz w:val="21"/>
        </w:rPr>
        <w:t xml:space="preserve"> </w:t>
      </w:r>
      <w:r>
        <w:rPr>
          <w:sz w:val="21"/>
        </w:rPr>
        <w:t>form</w:t>
      </w:r>
      <w:r>
        <w:rPr>
          <w:spacing w:val="-4"/>
          <w:sz w:val="21"/>
        </w:rPr>
        <w:t xml:space="preserve"> </w:t>
      </w:r>
      <w:r>
        <w:rPr>
          <w:sz w:val="21"/>
        </w:rPr>
        <w:t>to</w:t>
      </w:r>
      <w:r>
        <w:rPr>
          <w:spacing w:val="-4"/>
          <w:sz w:val="21"/>
        </w:rPr>
        <w:t xml:space="preserve"> </w:t>
      </w:r>
      <w:r>
        <w:rPr>
          <w:sz w:val="21"/>
        </w:rPr>
        <w:t>request</w:t>
      </w:r>
      <w:r>
        <w:rPr>
          <w:spacing w:val="-3"/>
          <w:sz w:val="21"/>
        </w:rPr>
        <w:t xml:space="preserve"> </w:t>
      </w:r>
      <w:r>
        <w:rPr>
          <w:sz w:val="21"/>
        </w:rPr>
        <w:t>all</w:t>
      </w:r>
      <w:r>
        <w:rPr>
          <w:spacing w:val="-4"/>
          <w:sz w:val="21"/>
        </w:rPr>
        <w:t xml:space="preserve"> </w:t>
      </w:r>
      <w:r>
        <w:rPr>
          <w:sz w:val="21"/>
        </w:rPr>
        <w:t>extensions</w:t>
      </w:r>
      <w:r>
        <w:rPr>
          <w:spacing w:val="-3"/>
          <w:sz w:val="21"/>
        </w:rPr>
        <w:t xml:space="preserve"> </w:t>
      </w:r>
      <w:r>
        <w:rPr>
          <w:sz w:val="21"/>
        </w:rPr>
        <w:t>after</w:t>
      </w:r>
      <w:r>
        <w:rPr>
          <w:spacing w:val="-2"/>
          <w:sz w:val="21"/>
        </w:rPr>
        <w:t xml:space="preserve"> </w:t>
      </w:r>
      <w:r>
        <w:rPr>
          <w:sz w:val="21"/>
        </w:rPr>
        <w:t>the</w:t>
      </w:r>
      <w:r>
        <w:rPr>
          <w:spacing w:val="-3"/>
          <w:sz w:val="21"/>
        </w:rPr>
        <w:t xml:space="preserve"> </w:t>
      </w:r>
      <w:r>
        <w:rPr>
          <w:sz w:val="21"/>
        </w:rPr>
        <w:t xml:space="preserve">first </w:t>
      </w:r>
      <w:r>
        <w:rPr>
          <w:spacing w:val="-2"/>
          <w:sz w:val="21"/>
        </w:rPr>
        <w:t>extension.</w:t>
      </w:r>
    </w:p>
    <w:p w:rsidR="00A322ED" w:rsidRDefault="00A322ED" w14:paraId="4B7BBAED" w14:textId="77777777">
      <w:pPr>
        <w:pStyle w:val="BodyText"/>
      </w:pPr>
    </w:p>
    <w:p w:rsidR="00A322ED" w:rsidRDefault="002D0E5D" w14:paraId="4B7BBAEE" w14:textId="77777777">
      <w:pPr>
        <w:pStyle w:val="BodyText"/>
        <w:spacing w:before="1"/>
        <w:ind w:left="119" w:right="157"/>
      </w:pPr>
      <w:r>
        <w:t>Please note that this form is only for states that have already been granted their first 30-day extension.</w:t>
      </w:r>
      <w:r>
        <w:rPr>
          <w:spacing w:val="-2"/>
        </w:rPr>
        <w:t xml:space="preserve"> </w:t>
      </w:r>
      <w:r>
        <w:t>States</w:t>
      </w:r>
      <w:r>
        <w:rPr>
          <w:spacing w:val="-4"/>
        </w:rPr>
        <w:t xml:space="preserve"> </w:t>
      </w:r>
      <w:r>
        <w:t>that</w:t>
      </w:r>
      <w:r>
        <w:rPr>
          <w:spacing w:val="-4"/>
        </w:rPr>
        <w:t xml:space="preserve"> </w:t>
      </w:r>
      <w:r>
        <w:t>would</w:t>
      </w:r>
      <w:r>
        <w:rPr>
          <w:spacing w:val="-3"/>
        </w:rPr>
        <w:t xml:space="preserve"> </w:t>
      </w:r>
      <w:r>
        <w:t>like</w:t>
      </w:r>
      <w:r>
        <w:rPr>
          <w:spacing w:val="-3"/>
        </w:rPr>
        <w:t xml:space="preserve"> </w:t>
      </w:r>
      <w:r>
        <w:t>to</w:t>
      </w:r>
      <w:r>
        <w:rPr>
          <w:spacing w:val="-3"/>
        </w:rPr>
        <w:t xml:space="preserve"> </w:t>
      </w:r>
      <w:r>
        <w:t>request</w:t>
      </w:r>
      <w:r>
        <w:rPr>
          <w:spacing w:val="-3"/>
        </w:rPr>
        <w:t xml:space="preserve"> </w:t>
      </w:r>
      <w:r>
        <w:t>their</w:t>
      </w:r>
      <w:r>
        <w:rPr>
          <w:spacing w:val="-3"/>
        </w:rPr>
        <w:t xml:space="preserve"> </w:t>
      </w:r>
      <w:r>
        <w:t>first</w:t>
      </w:r>
      <w:r>
        <w:rPr>
          <w:spacing w:val="-3"/>
        </w:rPr>
        <w:t xml:space="preserve"> </w:t>
      </w:r>
      <w:r>
        <w:t>30-day</w:t>
      </w:r>
      <w:r>
        <w:rPr>
          <w:spacing w:val="-4"/>
        </w:rPr>
        <w:t xml:space="preserve"> </w:t>
      </w:r>
      <w:r>
        <w:t>extension</w:t>
      </w:r>
      <w:r>
        <w:rPr>
          <w:spacing w:val="-4"/>
        </w:rPr>
        <w:t xml:space="preserve"> </w:t>
      </w:r>
      <w:r>
        <w:t>can</w:t>
      </w:r>
      <w:r>
        <w:rPr>
          <w:spacing w:val="-3"/>
        </w:rPr>
        <w:t xml:space="preserve"> </w:t>
      </w:r>
      <w:r>
        <w:t>find</w:t>
      </w:r>
      <w:r>
        <w:rPr>
          <w:spacing w:val="-3"/>
        </w:rPr>
        <w:t xml:space="preserve"> </w:t>
      </w:r>
      <w:r>
        <w:t>that</w:t>
      </w:r>
      <w:r>
        <w:rPr>
          <w:spacing w:val="-4"/>
        </w:rPr>
        <w:t xml:space="preserve"> </w:t>
      </w:r>
      <w:r>
        <w:t>form</w:t>
      </w:r>
      <w:r>
        <w:rPr>
          <w:spacing w:val="-2"/>
        </w:rPr>
        <w:t xml:space="preserve"> </w:t>
      </w:r>
      <w:hyperlink r:id="rId12">
        <w:r>
          <w:rPr>
            <w:color w:val="0562C1"/>
            <w:u w:val="single" w:color="0562C1"/>
          </w:rPr>
          <w:t>here</w:t>
        </w:r>
        <w:r>
          <w:t>.</w:t>
        </w:r>
      </w:hyperlink>
    </w:p>
    <w:p w:rsidR="00A322ED" w:rsidRDefault="00A322ED" w14:paraId="4B7BBAEF" w14:textId="77777777">
      <w:pPr>
        <w:pStyle w:val="BodyText"/>
      </w:pPr>
    </w:p>
    <w:p w:rsidR="00A322ED" w:rsidRDefault="002D0E5D" w14:paraId="4B7BBAF0" w14:textId="77777777">
      <w:pPr>
        <w:pStyle w:val="Heading1"/>
        <w:spacing w:before="1"/>
        <w:ind w:left="119"/>
      </w:pPr>
      <w:r>
        <w:t>Request</w:t>
      </w:r>
      <w:r>
        <w:rPr>
          <w:spacing w:val="-3"/>
        </w:rPr>
        <w:t xml:space="preserve"> </w:t>
      </w:r>
      <w:r>
        <w:t>for</w:t>
      </w:r>
      <w:r>
        <w:rPr>
          <w:spacing w:val="-2"/>
        </w:rPr>
        <w:t xml:space="preserve"> Extension</w:t>
      </w:r>
    </w:p>
    <w:p w:rsidR="00A322ED" w:rsidRDefault="00A322ED" w14:paraId="4B7BBAF1" w14:textId="77777777">
      <w:pPr>
        <w:pStyle w:val="BodyText"/>
        <w:spacing w:before="11"/>
        <w:rPr>
          <w:b/>
          <w:sz w:val="20"/>
        </w:rPr>
      </w:pPr>
    </w:p>
    <w:p w:rsidR="00A322ED" w:rsidRDefault="002D0E5D" w14:paraId="4B7BBAF2" w14:textId="77777777">
      <w:pPr>
        <w:pStyle w:val="BodyText"/>
        <w:tabs>
          <w:tab w:val="left" w:pos="2482"/>
        </w:tabs>
        <w:ind w:left="119" w:right="114"/>
      </w:pPr>
      <w:r>
        <w:rPr>
          <w:u w:val="single"/>
        </w:rPr>
        <w:tab/>
      </w:r>
      <w:r>
        <w:t>(Name</w:t>
      </w:r>
      <w:r>
        <w:rPr>
          <w:spacing w:val="-5"/>
        </w:rPr>
        <w:t xml:space="preserve"> </w:t>
      </w:r>
      <w:r>
        <w:t>of</w:t>
      </w:r>
      <w:r>
        <w:rPr>
          <w:spacing w:val="-4"/>
        </w:rPr>
        <w:t xml:space="preserve"> </w:t>
      </w:r>
      <w:r>
        <w:t>State)</w:t>
      </w:r>
      <w:r>
        <w:rPr>
          <w:spacing w:val="-4"/>
        </w:rPr>
        <w:t xml:space="preserve"> </w:t>
      </w:r>
      <w:r>
        <w:t>hereby</w:t>
      </w:r>
      <w:r>
        <w:rPr>
          <w:spacing w:val="-5"/>
        </w:rPr>
        <w:t xml:space="preserve"> </w:t>
      </w:r>
      <w:r>
        <w:t>requests,</w:t>
      </w:r>
      <w:r>
        <w:rPr>
          <w:spacing w:val="-5"/>
        </w:rPr>
        <w:t xml:space="preserve"> </w:t>
      </w:r>
      <w:r>
        <w:t>pursuant</w:t>
      </w:r>
      <w:r>
        <w:rPr>
          <w:spacing w:val="-4"/>
        </w:rPr>
        <w:t xml:space="preserve"> </w:t>
      </w:r>
      <w:r>
        <w:t>to</w:t>
      </w:r>
      <w:r>
        <w:rPr>
          <w:spacing w:val="-4"/>
        </w:rPr>
        <w:t xml:space="preserve"> </w:t>
      </w:r>
      <w:r>
        <w:t>section</w:t>
      </w:r>
      <w:r>
        <w:rPr>
          <w:spacing w:val="-4"/>
        </w:rPr>
        <w:t xml:space="preserve"> </w:t>
      </w:r>
      <w:r>
        <w:t>603(b)(2)(C)(ii)(II), an extension for an additional 30 days to distribute SLFRF funding to its NEUs. As part of the request, the state is providing an update on its distributions below (</w:t>
      </w:r>
      <w:r>
        <w:rPr>
          <w:i/>
        </w:rPr>
        <w:t>Parts 1 and 2</w:t>
      </w:r>
      <w:r>
        <w:t>), in addition</w:t>
      </w:r>
      <w:r>
        <w:rPr>
          <w:spacing w:val="40"/>
        </w:rPr>
        <w:t xml:space="preserve"> </w:t>
      </w:r>
      <w:r>
        <w:t>to a written plan that explains when the state expects to make the remaining distributions and the actions</w:t>
      </w:r>
      <w:r>
        <w:rPr>
          <w:spacing w:val="-1"/>
        </w:rPr>
        <w:t xml:space="preserve"> </w:t>
      </w:r>
      <w:r>
        <w:t>the state has</w:t>
      </w:r>
      <w:r>
        <w:rPr>
          <w:spacing w:val="-2"/>
        </w:rPr>
        <w:t xml:space="preserve"> </w:t>
      </w:r>
      <w:r>
        <w:t>taken and</w:t>
      </w:r>
      <w:r>
        <w:rPr>
          <w:spacing w:val="-1"/>
        </w:rPr>
        <w:t xml:space="preserve"> </w:t>
      </w:r>
      <w:r>
        <w:t>will</w:t>
      </w:r>
      <w:r>
        <w:rPr>
          <w:spacing w:val="-1"/>
        </w:rPr>
        <w:t xml:space="preserve"> </w:t>
      </w:r>
      <w:r>
        <w:t xml:space="preserve">take </w:t>
      </w:r>
      <w:proofErr w:type="gramStart"/>
      <w:r>
        <w:t>in order to</w:t>
      </w:r>
      <w:proofErr w:type="gramEnd"/>
      <w:r>
        <w:rPr>
          <w:spacing w:val="-1"/>
        </w:rPr>
        <w:t xml:space="preserve"> </w:t>
      </w:r>
      <w:r>
        <w:t>make these distributions before the</w:t>
      </w:r>
      <w:r>
        <w:rPr>
          <w:spacing w:val="-1"/>
        </w:rPr>
        <w:t xml:space="preserve"> </w:t>
      </w:r>
      <w:r>
        <w:t>end of the distribution period (</w:t>
      </w:r>
      <w:r>
        <w:rPr>
          <w:i/>
        </w:rPr>
        <w:t>Part 3</w:t>
      </w:r>
      <w:r>
        <w:t xml:space="preserve">). As previously stated in its </w:t>
      </w:r>
      <w:r>
        <w:rPr>
          <w:color w:val="0562C1"/>
          <w:u w:val="single" w:color="0562C1"/>
        </w:rPr>
        <w:t>Frequently Asked Questions on</w:t>
      </w:r>
      <w:r>
        <w:rPr>
          <w:color w:val="0562C1"/>
        </w:rPr>
        <w:t xml:space="preserve"> </w:t>
      </w:r>
      <w:r>
        <w:rPr>
          <w:color w:val="0562C1"/>
          <w:u w:val="single" w:color="0562C1"/>
        </w:rPr>
        <w:t>Distribution of Funds to Non-entitlement Units of Local Government</w:t>
      </w:r>
      <w:r>
        <w:t>, Treasury will accept</w:t>
      </w:r>
      <w:r>
        <w:rPr>
          <w:spacing w:val="40"/>
        </w:rPr>
        <w:t xml:space="preserve"> </w:t>
      </w:r>
      <w:r>
        <w:t>plans from states that detail reasonable efforts to contact non-responsive NEUs and propose issuing a subsequent distribution of unclaimed funds if the NEUs remain non-responsive for at least 60 days after the state begins accepting and processing requests for funding from NEUs.</w:t>
      </w:r>
    </w:p>
    <w:p w:rsidR="00A322ED" w:rsidRDefault="00A322ED" w14:paraId="4B7BBAF3" w14:textId="77777777">
      <w:pPr>
        <w:pStyle w:val="BodyText"/>
        <w:spacing w:before="11"/>
        <w:rPr>
          <w:sz w:val="20"/>
        </w:rPr>
      </w:pPr>
    </w:p>
    <w:p w:rsidR="00A322ED" w:rsidRDefault="002D0E5D" w14:paraId="4B7BBAF4" w14:textId="77777777">
      <w:pPr>
        <w:pStyle w:val="BodyText"/>
        <w:ind w:left="119" w:right="157"/>
      </w:pPr>
      <w:r>
        <w:t>For</w:t>
      </w:r>
      <w:r>
        <w:rPr>
          <w:spacing w:val="-3"/>
        </w:rPr>
        <w:t xml:space="preserve"> </w:t>
      </w:r>
      <w:r>
        <w:t>purposes</w:t>
      </w:r>
      <w:r>
        <w:rPr>
          <w:spacing w:val="-3"/>
        </w:rPr>
        <w:t xml:space="preserve"> </w:t>
      </w:r>
      <w:r>
        <w:t>of</w:t>
      </w:r>
      <w:r>
        <w:rPr>
          <w:spacing w:val="-4"/>
        </w:rPr>
        <w:t xml:space="preserve"> </w:t>
      </w:r>
      <w:r>
        <w:t>determining</w:t>
      </w:r>
      <w:r>
        <w:rPr>
          <w:spacing w:val="-3"/>
        </w:rPr>
        <w:t xml:space="preserve"> </w:t>
      </w:r>
      <w:r>
        <w:t>the</w:t>
      </w:r>
      <w:r>
        <w:rPr>
          <w:spacing w:val="-3"/>
        </w:rPr>
        <w:t xml:space="preserve"> </w:t>
      </w:r>
      <w:r>
        <w:t>beginning</w:t>
      </w:r>
      <w:r>
        <w:rPr>
          <w:spacing w:val="-3"/>
        </w:rPr>
        <w:t xml:space="preserve"> </w:t>
      </w:r>
      <w:r>
        <w:t>of</w:t>
      </w:r>
      <w:r>
        <w:rPr>
          <w:spacing w:val="-3"/>
        </w:rPr>
        <w:t xml:space="preserve"> </w:t>
      </w:r>
      <w:r>
        <w:t>the</w:t>
      </w:r>
      <w:r>
        <w:rPr>
          <w:spacing w:val="-3"/>
        </w:rPr>
        <w:t xml:space="preserve"> </w:t>
      </w:r>
      <w:r>
        <w:t>30-day</w:t>
      </w:r>
      <w:r>
        <w:rPr>
          <w:spacing w:val="-4"/>
        </w:rPr>
        <w:t xml:space="preserve"> </w:t>
      </w:r>
      <w:r>
        <w:t>distribution</w:t>
      </w:r>
      <w:r>
        <w:rPr>
          <w:spacing w:val="-3"/>
        </w:rPr>
        <w:t xml:space="preserve"> </w:t>
      </w:r>
      <w:r>
        <w:t>period</w:t>
      </w:r>
      <w:r>
        <w:rPr>
          <w:spacing w:val="-4"/>
        </w:rPr>
        <w:t xml:space="preserve"> </w:t>
      </w:r>
      <w:r>
        <w:t>outlined</w:t>
      </w:r>
      <w:r>
        <w:rPr>
          <w:spacing w:val="-3"/>
        </w:rPr>
        <w:t xml:space="preserve"> </w:t>
      </w:r>
      <w:r>
        <w:t>in</w:t>
      </w:r>
      <w:r>
        <w:rPr>
          <w:spacing w:val="-2"/>
        </w:rPr>
        <w:t xml:space="preserve"> </w:t>
      </w:r>
      <w:r>
        <w:t>section 603(b)(2)(C)(</w:t>
      </w:r>
      <w:proofErr w:type="spellStart"/>
      <w:r>
        <w:t>i</w:t>
      </w:r>
      <w:proofErr w:type="spellEnd"/>
      <w:r>
        <w:t>), the state acknowledges that Treasury will assume that the state receives its NEU payment under section 603(b)(2)(B) three business days</w:t>
      </w:r>
      <w:r>
        <w:rPr>
          <w:spacing w:val="-2"/>
        </w:rPr>
        <w:t xml:space="preserve"> </w:t>
      </w:r>
      <w:r>
        <w:t>after the “invoice date,”</w:t>
      </w:r>
      <w:r>
        <w:rPr>
          <w:spacing w:val="-1"/>
        </w:rPr>
        <w:t xml:space="preserve"> </w:t>
      </w:r>
      <w:r>
        <w:t>which is the</w:t>
      </w:r>
      <w:r>
        <w:rPr>
          <w:spacing w:val="-2"/>
        </w:rPr>
        <w:t xml:space="preserve"> </w:t>
      </w:r>
      <w:r>
        <w:t>date</w:t>
      </w:r>
      <w:r>
        <w:rPr>
          <w:spacing w:val="-3"/>
        </w:rPr>
        <w:t xml:space="preserve"> </w:t>
      </w:r>
      <w:r>
        <w:t>on</w:t>
      </w:r>
      <w:r>
        <w:rPr>
          <w:spacing w:val="-4"/>
        </w:rPr>
        <w:t xml:space="preserve"> </w:t>
      </w:r>
      <w:r>
        <w:t>which</w:t>
      </w:r>
      <w:r>
        <w:rPr>
          <w:spacing w:val="-2"/>
        </w:rPr>
        <w:t xml:space="preserve"> </w:t>
      </w:r>
      <w:r>
        <w:t>Treasury</w:t>
      </w:r>
      <w:r>
        <w:rPr>
          <w:spacing w:val="-3"/>
        </w:rPr>
        <w:t xml:space="preserve"> </w:t>
      </w:r>
      <w:r>
        <w:t>initiates</w:t>
      </w:r>
      <w:r>
        <w:rPr>
          <w:spacing w:val="-2"/>
        </w:rPr>
        <w:t xml:space="preserve"> </w:t>
      </w:r>
      <w:r>
        <w:t>the</w:t>
      </w:r>
      <w:r>
        <w:rPr>
          <w:spacing w:val="-3"/>
        </w:rPr>
        <w:t xml:space="preserve"> </w:t>
      </w:r>
      <w:r>
        <w:t>payment</w:t>
      </w:r>
      <w:r>
        <w:rPr>
          <w:spacing w:val="-3"/>
        </w:rPr>
        <w:t xml:space="preserve"> </w:t>
      </w:r>
      <w:r>
        <w:t>to</w:t>
      </w:r>
      <w:r>
        <w:rPr>
          <w:spacing w:val="-2"/>
        </w:rPr>
        <w:t xml:space="preserve"> </w:t>
      </w:r>
      <w:r>
        <w:t>the</w:t>
      </w:r>
      <w:r>
        <w:rPr>
          <w:spacing w:val="-2"/>
        </w:rPr>
        <w:t xml:space="preserve"> </w:t>
      </w:r>
      <w:r>
        <w:t>state.</w:t>
      </w:r>
      <w:r>
        <w:rPr>
          <w:spacing w:val="-2"/>
        </w:rPr>
        <w:t xml:space="preserve"> </w:t>
      </w:r>
      <w:r>
        <w:t>This</w:t>
      </w:r>
      <w:r>
        <w:rPr>
          <w:spacing w:val="-2"/>
        </w:rPr>
        <w:t xml:space="preserve"> </w:t>
      </w:r>
      <w:r>
        <w:t>date,</w:t>
      </w:r>
      <w:r>
        <w:rPr>
          <w:spacing w:val="-4"/>
        </w:rPr>
        <w:t xml:space="preserve"> </w:t>
      </w:r>
      <w:r>
        <w:t>along</w:t>
      </w:r>
      <w:r>
        <w:rPr>
          <w:spacing w:val="-2"/>
        </w:rPr>
        <w:t xml:space="preserve"> </w:t>
      </w:r>
      <w:r>
        <w:t>with</w:t>
      </w:r>
      <w:r>
        <w:rPr>
          <w:spacing w:val="-2"/>
        </w:rPr>
        <w:t xml:space="preserve"> </w:t>
      </w:r>
      <w:r>
        <w:t>the</w:t>
      </w:r>
      <w:r>
        <w:rPr>
          <w:spacing w:val="-2"/>
        </w:rPr>
        <w:t xml:space="preserve"> </w:t>
      </w:r>
      <w:r>
        <w:t xml:space="preserve">status of extensions, can be found on Treasury’s </w:t>
      </w:r>
      <w:hyperlink r:id="rId13">
        <w:r>
          <w:rPr>
            <w:color w:val="0562C1"/>
            <w:u w:val="single" w:color="0562C1"/>
          </w:rPr>
          <w:t>website</w:t>
        </w:r>
        <w:r>
          <w:rPr>
            <w:color w:val="0562C1"/>
          </w:rPr>
          <w:t xml:space="preserve"> </w:t>
        </w:r>
      </w:hyperlink>
      <w:r>
        <w:t>for the SLFRF program. If granted, this extension will add 30 additional days to the current distribution period for states to distribute funding to their NEUs.</w:t>
      </w:r>
    </w:p>
    <w:p w:rsidR="00A322ED" w:rsidRDefault="00A322ED" w14:paraId="4B7BBAF5" w14:textId="77777777">
      <w:pPr>
        <w:sectPr w:rsidR="00A322ED">
          <w:headerReference w:type="default" r:id="rId14"/>
          <w:type w:val="continuous"/>
          <w:pgSz w:w="12240" w:h="15840"/>
          <w:pgMar w:top="1560" w:right="1340" w:bottom="280" w:left="1320" w:header="730" w:footer="0" w:gutter="0"/>
          <w:pgNumType w:start="1"/>
          <w:cols w:space="720"/>
        </w:sectPr>
      </w:pPr>
    </w:p>
    <w:p w:rsidR="00A322ED" w:rsidRDefault="002D0E5D" w14:paraId="4B7BBAF6" w14:textId="77777777">
      <w:pPr>
        <w:pStyle w:val="Heading1"/>
        <w:spacing w:before="189"/>
      </w:pPr>
      <w:r>
        <w:lastRenderedPageBreak/>
        <w:t>Part</w:t>
      </w:r>
      <w:r>
        <w:rPr>
          <w:spacing w:val="-1"/>
        </w:rPr>
        <w:t xml:space="preserve"> </w:t>
      </w:r>
      <w:r>
        <w:t>1: Overall</w:t>
      </w:r>
      <w:r>
        <w:rPr>
          <w:spacing w:val="-1"/>
        </w:rPr>
        <w:t xml:space="preserve"> </w:t>
      </w:r>
      <w:r>
        <w:t xml:space="preserve">Update on </w:t>
      </w:r>
      <w:r>
        <w:rPr>
          <w:spacing w:val="-2"/>
        </w:rPr>
        <w:t>Distributions</w:t>
      </w:r>
    </w:p>
    <w:p w:rsidR="00A322ED" w:rsidRDefault="00A322ED" w14:paraId="4B7BBAF7" w14:textId="77777777">
      <w:pPr>
        <w:pStyle w:val="BodyText"/>
        <w:spacing w:before="11"/>
        <w:rPr>
          <w:b/>
          <w:sz w:val="20"/>
        </w:rPr>
      </w:pPr>
    </w:p>
    <w:p w:rsidR="00A322ED" w:rsidRDefault="002D0E5D" w14:paraId="4B7BBAF8" w14:textId="77777777">
      <w:pPr>
        <w:ind w:left="120" w:right="218"/>
        <w:rPr>
          <w:i/>
          <w:sz w:val="21"/>
        </w:rPr>
      </w:pPr>
      <w:r>
        <w:rPr>
          <w:sz w:val="21"/>
        </w:rPr>
        <w:t>The</w:t>
      </w:r>
      <w:r>
        <w:rPr>
          <w:spacing w:val="-3"/>
          <w:sz w:val="21"/>
        </w:rPr>
        <w:t xml:space="preserve"> </w:t>
      </w:r>
      <w:r>
        <w:rPr>
          <w:sz w:val="21"/>
        </w:rPr>
        <w:t>state</w:t>
      </w:r>
      <w:r>
        <w:rPr>
          <w:spacing w:val="-5"/>
          <w:sz w:val="21"/>
        </w:rPr>
        <w:t xml:space="preserve"> </w:t>
      </w:r>
      <w:r>
        <w:rPr>
          <w:sz w:val="21"/>
        </w:rPr>
        <w:t>must</w:t>
      </w:r>
      <w:r>
        <w:rPr>
          <w:spacing w:val="-4"/>
          <w:sz w:val="21"/>
        </w:rPr>
        <w:t xml:space="preserve"> </w:t>
      </w:r>
      <w:r>
        <w:rPr>
          <w:sz w:val="21"/>
        </w:rPr>
        <w:t>complete</w:t>
      </w:r>
      <w:r>
        <w:rPr>
          <w:spacing w:val="-3"/>
          <w:sz w:val="21"/>
        </w:rPr>
        <w:t xml:space="preserve"> </w:t>
      </w:r>
      <w:r>
        <w:rPr>
          <w:sz w:val="21"/>
        </w:rPr>
        <w:t>the</w:t>
      </w:r>
      <w:r>
        <w:rPr>
          <w:spacing w:val="-2"/>
          <w:sz w:val="21"/>
        </w:rPr>
        <w:t xml:space="preserve"> </w:t>
      </w:r>
      <w:r>
        <w:rPr>
          <w:sz w:val="21"/>
        </w:rPr>
        <w:t>following</w:t>
      </w:r>
      <w:r>
        <w:rPr>
          <w:spacing w:val="-3"/>
          <w:sz w:val="21"/>
        </w:rPr>
        <w:t xml:space="preserve"> </w:t>
      </w:r>
      <w:r>
        <w:rPr>
          <w:sz w:val="21"/>
        </w:rPr>
        <w:t>using</w:t>
      </w:r>
      <w:r>
        <w:rPr>
          <w:spacing w:val="-3"/>
          <w:sz w:val="21"/>
        </w:rPr>
        <w:t xml:space="preserve"> </w:t>
      </w:r>
      <w:r>
        <w:rPr>
          <w:sz w:val="21"/>
        </w:rPr>
        <w:t>the</w:t>
      </w:r>
      <w:r>
        <w:rPr>
          <w:spacing w:val="-4"/>
          <w:sz w:val="21"/>
        </w:rPr>
        <w:t xml:space="preserve"> </w:t>
      </w:r>
      <w:r>
        <w:rPr>
          <w:sz w:val="21"/>
        </w:rPr>
        <w:t>most</w:t>
      </w:r>
      <w:r>
        <w:rPr>
          <w:spacing w:val="-4"/>
          <w:sz w:val="21"/>
        </w:rPr>
        <w:t xml:space="preserve"> </w:t>
      </w:r>
      <w:r>
        <w:rPr>
          <w:sz w:val="21"/>
        </w:rPr>
        <w:t>recent</w:t>
      </w:r>
      <w:r>
        <w:rPr>
          <w:spacing w:val="-4"/>
          <w:sz w:val="21"/>
        </w:rPr>
        <w:t xml:space="preserve"> </w:t>
      </w:r>
      <w:r>
        <w:rPr>
          <w:sz w:val="21"/>
        </w:rPr>
        <w:t>available</w:t>
      </w:r>
      <w:r>
        <w:rPr>
          <w:spacing w:val="-4"/>
          <w:sz w:val="21"/>
        </w:rPr>
        <w:t xml:space="preserve"> </w:t>
      </w:r>
      <w:r>
        <w:rPr>
          <w:sz w:val="21"/>
        </w:rPr>
        <w:t>information</w:t>
      </w:r>
      <w:r>
        <w:rPr>
          <w:spacing w:val="-4"/>
          <w:sz w:val="21"/>
        </w:rPr>
        <w:t xml:space="preserve"> </w:t>
      </w:r>
      <w:r>
        <w:rPr>
          <w:sz w:val="21"/>
        </w:rPr>
        <w:t>as</w:t>
      </w:r>
      <w:r>
        <w:rPr>
          <w:spacing w:val="-4"/>
          <w:sz w:val="21"/>
        </w:rPr>
        <w:t xml:space="preserve"> </w:t>
      </w:r>
      <w:r>
        <w:rPr>
          <w:sz w:val="21"/>
        </w:rPr>
        <w:t>of</w:t>
      </w:r>
      <w:r>
        <w:rPr>
          <w:spacing w:val="-3"/>
          <w:sz w:val="21"/>
        </w:rPr>
        <w:t xml:space="preserve"> </w:t>
      </w:r>
      <w:r>
        <w:rPr>
          <w:sz w:val="21"/>
        </w:rPr>
        <w:t xml:space="preserve">the date of this request. </w:t>
      </w:r>
      <w:r>
        <w:rPr>
          <w:i/>
          <w:sz w:val="21"/>
        </w:rPr>
        <w:t>Please check all that apply and fill in blanks where applicable.</w:t>
      </w:r>
    </w:p>
    <w:p w:rsidR="00A322ED" w:rsidRDefault="00A322ED" w14:paraId="4B7BBAF9" w14:textId="77777777">
      <w:pPr>
        <w:pStyle w:val="BodyText"/>
        <w:spacing w:before="6"/>
        <w:rPr>
          <w:i/>
        </w:rPr>
      </w:pPr>
    </w:p>
    <w:p w:rsidR="00A322ED" w:rsidRDefault="002D0E5D" w14:paraId="4B7BBAFA" w14:textId="77777777">
      <w:pPr>
        <w:pStyle w:val="ListParagraph"/>
        <w:numPr>
          <w:ilvl w:val="0"/>
          <w:numId w:val="1"/>
        </w:numPr>
        <w:tabs>
          <w:tab w:val="left" w:pos="1110"/>
        </w:tabs>
        <w:spacing w:line="235" w:lineRule="auto"/>
        <w:ind w:right="943" w:hanging="234"/>
        <w:rPr>
          <w:i/>
          <w:sz w:val="21"/>
        </w:rPr>
      </w:pPr>
      <w:r>
        <w:rPr>
          <w:color w:val="3B4044"/>
          <w:sz w:val="21"/>
        </w:rPr>
        <w:t xml:space="preserve">Determined the eligibility of and allocated funds to NEUs. </w:t>
      </w:r>
      <w:r>
        <w:rPr>
          <w:i/>
          <w:color w:val="3B4044"/>
          <w:sz w:val="21"/>
        </w:rPr>
        <w:t>Note: States determined the eligibility and allocations of NEUs during the first tranche distribution process. Please note that only NEUs that were responsive during the</w:t>
      </w:r>
      <w:r>
        <w:rPr>
          <w:i/>
          <w:color w:val="3B4044"/>
          <w:spacing w:val="-4"/>
          <w:sz w:val="21"/>
        </w:rPr>
        <w:t xml:space="preserve"> </w:t>
      </w:r>
      <w:r>
        <w:rPr>
          <w:i/>
          <w:color w:val="3B4044"/>
          <w:sz w:val="21"/>
        </w:rPr>
        <w:t>first</w:t>
      </w:r>
      <w:r>
        <w:rPr>
          <w:i/>
          <w:color w:val="3B4044"/>
          <w:spacing w:val="-4"/>
          <w:sz w:val="21"/>
        </w:rPr>
        <w:t xml:space="preserve"> </w:t>
      </w:r>
      <w:r>
        <w:rPr>
          <w:i/>
          <w:color w:val="3B4044"/>
          <w:sz w:val="21"/>
        </w:rPr>
        <w:t>tranche</w:t>
      </w:r>
      <w:r>
        <w:rPr>
          <w:i/>
          <w:color w:val="3B4044"/>
          <w:spacing w:val="-4"/>
          <w:sz w:val="21"/>
        </w:rPr>
        <w:t xml:space="preserve"> </w:t>
      </w:r>
      <w:r>
        <w:rPr>
          <w:i/>
          <w:color w:val="3B4044"/>
          <w:sz w:val="21"/>
        </w:rPr>
        <w:t>distribution</w:t>
      </w:r>
      <w:r>
        <w:rPr>
          <w:i/>
          <w:color w:val="3B4044"/>
          <w:spacing w:val="-4"/>
          <w:sz w:val="21"/>
        </w:rPr>
        <w:t xml:space="preserve"> </w:t>
      </w:r>
      <w:r>
        <w:rPr>
          <w:i/>
          <w:color w:val="3B4044"/>
          <w:sz w:val="21"/>
        </w:rPr>
        <w:t>process</w:t>
      </w:r>
      <w:r>
        <w:rPr>
          <w:i/>
          <w:color w:val="3B4044"/>
          <w:spacing w:val="-5"/>
          <w:sz w:val="21"/>
        </w:rPr>
        <w:t xml:space="preserve"> </w:t>
      </w:r>
      <w:r>
        <w:rPr>
          <w:i/>
          <w:color w:val="3B4044"/>
          <w:sz w:val="21"/>
        </w:rPr>
        <w:t>are</w:t>
      </w:r>
      <w:r>
        <w:rPr>
          <w:i/>
          <w:color w:val="3B4044"/>
          <w:spacing w:val="-5"/>
          <w:sz w:val="21"/>
        </w:rPr>
        <w:t xml:space="preserve"> </w:t>
      </w:r>
      <w:r>
        <w:rPr>
          <w:i/>
          <w:color w:val="3B4044"/>
          <w:sz w:val="21"/>
        </w:rPr>
        <w:t>eligible</w:t>
      </w:r>
      <w:r>
        <w:rPr>
          <w:i/>
          <w:color w:val="3B4044"/>
          <w:spacing w:val="-4"/>
          <w:sz w:val="21"/>
        </w:rPr>
        <w:t xml:space="preserve"> </w:t>
      </w:r>
      <w:r>
        <w:rPr>
          <w:i/>
          <w:color w:val="3B4044"/>
          <w:sz w:val="21"/>
        </w:rPr>
        <w:t>for</w:t>
      </w:r>
      <w:r>
        <w:rPr>
          <w:i/>
          <w:color w:val="3B4044"/>
          <w:spacing w:val="-4"/>
          <w:sz w:val="21"/>
        </w:rPr>
        <w:t xml:space="preserve"> </w:t>
      </w:r>
      <w:r>
        <w:rPr>
          <w:i/>
          <w:color w:val="3B4044"/>
          <w:sz w:val="21"/>
        </w:rPr>
        <w:t>a</w:t>
      </w:r>
      <w:r>
        <w:rPr>
          <w:i/>
          <w:color w:val="3B4044"/>
          <w:spacing w:val="-5"/>
          <w:sz w:val="21"/>
        </w:rPr>
        <w:t xml:space="preserve"> </w:t>
      </w:r>
      <w:r>
        <w:rPr>
          <w:i/>
          <w:color w:val="3B4044"/>
          <w:sz w:val="21"/>
        </w:rPr>
        <w:t>second</w:t>
      </w:r>
      <w:r>
        <w:rPr>
          <w:i/>
          <w:color w:val="3B4044"/>
          <w:spacing w:val="-4"/>
          <w:sz w:val="21"/>
        </w:rPr>
        <w:t xml:space="preserve"> </w:t>
      </w:r>
      <w:r>
        <w:rPr>
          <w:i/>
          <w:color w:val="3B4044"/>
          <w:sz w:val="21"/>
        </w:rPr>
        <w:t>tranche</w:t>
      </w:r>
      <w:r>
        <w:rPr>
          <w:i/>
          <w:color w:val="3B4044"/>
          <w:spacing w:val="-4"/>
          <w:sz w:val="21"/>
        </w:rPr>
        <w:t xml:space="preserve"> </w:t>
      </w:r>
      <w:r>
        <w:rPr>
          <w:i/>
          <w:color w:val="3B4044"/>
          <w:sz w:val="21"/>
        </w:rPr>
        <w:t>payment.</w:t>
      </w:r>
    </w:p>
    <w:p w:rsidR="00A322ED" w:rsidRDefault="002D0E5D" w14:paraId="4B7BBAFB" w14:textId="77777777">
      <w:pPr>
        <w:pStyle w:val="ListParagraph"/>
        <w:numPr>
          <w:ilvl w:val="0"/>
          <w:numId w:val="1"/>
        </w:numPr>
        <w:tabs>
          <w:tab w:val="left" w:pos="1110"/>
        </w:tabs>
        <w:spacing w:before="19"/>
        <w:ind w:left="1109" w:hanging="270"/>
        <w:rPr>
          <w:sz w:val="21"/>
        </w:rPr>
      </w:pPr>
      <w:r>
        <w:rPr>
          <w:color w:val="3B4044"/>
          <w:sz w:val="21"/>
        </w:rPr>
        <w:t>Begun</w:t>
      </w:r>
      <w:r>
        <w:rPr>
          <w:color w:val="3B4044"/>
          <w:spacing w:val="-4"/>
          <w:sz w:val="21"/>
        </w:rPr>
        <w:t xml:space="preserve"> </w:t>
      </w:r>
      <w:r>
        <w:rPr>
          <w:color w:val="3B4044"/>
          <w:sz w:val="21"/>
        </w:rPr>
        <w:t>accepting</w:t>
      </w:r>
      <w:r>
        <w:rPr>
          <w:color w:val="3B4044"/>
          <w:spacing w:val="-5"/>
          <w:sz w:val="21"/>
        </w:rPr>
        <w:t xml:space="preserve"> </w:t>
      </w:r>
      <w:r>
        <w:rPr>
          <w:color w:val="3B4044"/>
          <w:sz w:val="21"/>
        </w:rPr>
        <w:t>and</w:t>
      </w:r>
      <w:r>
        <w:rPr>
          <w:color w:val="3B4044"/>
          <w:spacing w:val="-4"/>
          <w:sz w:val="21"/>
        </w:rPr>
        <w:t xml:space="preserve"> </w:t>
      </w:r>
      <w:r>
        <w:rPr>
          <w:color w:val="3B4044"/>
          <w:sz w:val="21"/>
        </w:rPr>
        <w:t>processing</w:t>
      </w:r>
      <w:r>
        <w:rPr>
          <w:color w:val="3B4044"/>
          <w:spacing w:val="-5"/>
          <w:sz w:val="21"/>
        </w:rPr>
        <w:t xml:space="preserve"> </w:t>
      </w:r>
      <w:r>
        <w:rPr>
          <w:color w:val="3B4044"/>
          <w:sz w:val="21"/>
        </w:rPr>
        <w:t>requests</w:t>
      </w:r>
      <w:r>
        <w:rPr>
          <w:color w:val="3B4044"/>
          <w:spacing w:val="-4"/>
          <w:sz w:val="21"/>
        </w:rPr>
        <w:t xml:space="preserve"> </w:t>
      </w:r>
      <w:r>
        <w:rPr>
          <w:color w:val="3B4044"/>
          <w:sz w:val="21"/>
        </w:rPr>
        <w:t>for</w:t>
      </w:r>
      <w:r>
        <w:rPr>
          <w:color w:val="3B4044"/>
          <w:spacing w:val="-3"/>
          <w:sz w:val="21"/>
        </w:rPr>
        <w:t xml:space="preserve"> </w:t>
      </w:r>
      <w:r>
        <w:rPr>
          <w:color w:val="3B4044"/>
          <w:sz w:val="21"/>
        </w:rPr>
        <w:t>payment</w:t>
      </w:r>
      <w:r>
        <w:rPr>
          <w:color w:val="3B4044"/>
          <w:spacing w:val="-5"/>
          <w:sz w:val="21"/>
        </w:rPr>
        <w:t xml:space="preserve"> </w:t>
      </w:r>
      <w:r>
        <w:rPr>
          <w:color w:val="3B4044"/>
          <w:sz w:val="21"/>
        </w:rPr>
        <w:t>from</w:t>
      </w:r>
      <w:r>
        <w:rPr>
          <w:color w:val="3B4044"/>
          <w:spacing w:val="-3"/>
          <w:sz w:val="21"/>
        </w:rPr>
        <w:t xml:space="preserve"> </w:t>
      </w:r>
      <w:r>
        <w:rPr>
          <w:color w:val="3B4044"/>
          <w:spacing w:val="-4"/>
          <w:sz w:val="21"/>
        </w:rPr>
        <w:t>NEUs</w:t>
      </w:r>
    </w:p>
    <w:p w:rsidR="00A322ED" w:rsidRDefault="002D0E5D" w14:paraId="4B7BBAFC" w14:textId="77777777">
      <w:pPr>
        <w:pStyle w:val="ListParagraph"/>
        <w:numPr>
          <w:ilvl w:val="0"/>
          <w:numId w:val="1"/>
        </w:numPr>
        <w:tabs>
          <w:tab w:val="left" w:pos="1110"/>
          <w:tab w:val="left" w:pos="4853"/>
          <w:tab w:val="left" w:pos="6673"/>
        </w:tabs>
        <w:spacing w:before="3"/>
        <w:ind w:left="1109" w:hanging="270"/>
        <w:rPr>
          <w:sz w:val="21"/>
        </w:rPr>
      </w:pPr>
      <w:r>
        <w:rPr>
          <w:color w:val="3B4044"/>
          <w:sz w:val="21"/>
        </w:rPr>
        <w:t xml:space="preserve">Distributed payments to </w:t>
      </w:r>
      <w:r>
        <w:rPr>
          <w:color w:val="3B4044"/>
          <w:sz w:val="21"/>
          <w:u w:val="single" w:color="3A3F43"/>
        </w:rPr>
        <w:tab/>
      </w:r>
      <w:r>
        <w:rPr>
          <w:color w:val="3B4044"/>
          <w:sz w:val="21"/>
        </w:rPr>
        <w:t xml:space="preserve">out of </w:t>
      </w:r>
      <w:r>
        <w:rPr>
          <w:color w:val="3B4044"/>
          <w:sz w:val="21"/>
          <w:u w:val="single" w:color="3A3F43"/>
        </w:rPr>
        <w:tab/>
      </w:r>
      <w:r>
        <w:rPr>
          <w:color w:val="3B4044"/>
          <w:spacing w:val="-4"/>
          <w:sz w:val="21"/>
        </w:rPr>
        <w:t>NEUs</w:t>
      </w:r>
    </w:p>
    <w:p w:rsidR="00A322ED" w:rsidRDefault="002D0E5D" w14:paraId="4B7BBAFD" w14:textId="77777777">
      <w:pPr>
        <w:pStyle w:val="BodyText"/>
        <w:tabs>
          <w:tab w:val="left" w:pos="2679"/>
          <w:tab w:val="left" w:pos="5742"/>
        </w:tabs>
        <w:spacing w:before="1"/>
        <w:ind w:left="1074"/>
      </w:pPr>
      <w:r>
        <w:rPr>
          <w:color w:val="3B4044"/>
          <w:spacing w:val="-5"/>
        </w:rPr>
        <w:t>($</w:t>
      </w:r>
      <w:r>
        <w:rPr>
          <w:color w:val="3B4044"/>
          <w:u w:val="single" w:color="3A3F43"/>
        </w:rPr>
        <w:tab/>
      </w:r>
      <w:r>
        <w:rPr>
          <w:color w:val="3B4044"/>
        </w:rPr>
        <w:t>out</w:t>
      </w:r>
      <w:r>
        <w:rPr>
          <w:color w:val="3B4044"/>
          <w:spacing w:val="-2"/>
        </w:rPr>
        <w:t xml:space="preserve"> </w:t>
      </w:r>
      <w:r>
        <w:rPr>
          <w:color w:val="3B4044"/>
        </w:rPr>
        <w:t>of</w:t>
      </w:r>
      <w:r>
        <w:rPr>
          <w:color w:val="3B4044"/>
          <w:spacing w:val="-2"/>
        </w:rPr>
        <w:t xml:space="preserve"> </w:t>
      </w:r>
      <w:r>
        <w:rPr>
          <w:color w:val="3B4044"/>
        </w:rPr>
        <w:t>a</w:t>
      </w:r>
      <w:r>
        <w:rPr>
          <w:color w:val="3B4044"/>
          <w:spacing w:val="-2"/>
        </w:rPr>
        <w:t xml:space="preserve"> </w:t>
      </w:r>
      <w:r>
        <w:rPr>
          <w:color w:val="3B4044"/>
        </w:rPr>
        <w:t>total</w:t>
      </w:r>
      <w:r>
        <w:rPr>
          <w:color w:val="3B4044"/>
          <w:spacing w:val="-2"/>
        </w:rPr>
        <w:t xml:space="preserve"> </w:t>
      </w:r>
      <w:r>
        <w:rPr>
          <w:color w:val="3B4044"/>
        </w:rPr>
        <w:t xml:space="preserve">of </w:t>
      </w:r>
      <w:r>
        <w:rPr>
          <w:color w:val="3B4044"/>
          <w:spacing w:val="-10"/>
        </w:rPr>
        <w:t>$</w:t>
      </w:r>
      <w:r>
        <w:rPr>
          <w:color w:val="3B4044"/>
          <w:u w:val="single" w:color="3A3F43"/>
        </w:rPr>
        <w:tab/>
      </w:r>
      <w:r>
        <w:rPr>
          <w:color w:val="3B4044"/>
        </w:rPr>
        <w:t>of</w:t>
      </w:r>
      <w:r>
        <w:rPr>
          <w:color w:val="3B4044"/>
          <w:spacing w:val="-3"/>
        </w:rPr>
        <w:t xml:space="preserve"> </w:t>
      </w:r>
      <w:r>
        <w:rPr>
          <w:color w:val="3B4044"/>
        </w:rPr>
        <w:t>NEU</w:t>
      </w:r>
      <w:r>
        <w:rPr>
          <w:color w:val="3B4044"/>
          <w:spacing w:val="-2"/>
        </w:rPr>
        <w:t xml:space="preserve"> </w:t>
      </w:r>
      <w:r>
        <w:rPr>
          <w:color w:val="3B4044"/>
        </w:rPr>
        <w:t>funds</w:t>
      </w:r>
      <w:r>
        <w:rPr>
          <w:color w:val="3B4044"/>
          <w:spacing w:val="-2"/>
        </w:rPr>
        <w:t xml:space="preserve"> </w:t>
      </w:r>
      <w:r>
        <w:rPr>
          <w:color w:val="3B4044"/>
        </w:rPr>
        <w:t>paid to</w:t>
      </w:r>
      <w:r>
        <w:rPr>
          <w:color w:val="3B4044"/>
          <w:spacing w:val="-2"/>
        </w:rPr>
        <w:t xml:space="preserve"> </w:t>
      </w:r>
      <w:r>
        <w:rPr>
          <w:color w:val="3B4044"/>
        </w:rPr>
        <w:t>the</w:t>
      </w:r>
      <w:r>
        <w:rPr>
          <w:color w:val="3B4044"/>
          <w:spacing w:val="-1"/>
        </w:rPr>
        <w:t xml:space="preserve"> </w:t>
      </w:r>
      <w:r>
        <w:rPr>
          <w:color w:val="3B4044"/>
          <w:spacing w:val="-2"/>
        </w:rPr>
        <w:t>state)</w:t>
      </w:r>
    </w:p>
    <w:p w:rsidR="00A322ED" w:rsidRDefault="00A322ED" w14:paraId="4B7BBAFE" w14:textId="77777777">
      <w:pPr>
        <w:pStyle w:val="BodyText"/>
        <w:spacing w:before="8"/>
        <w:rPr>
          <w:sz w:val="30"/>
        </w:rPr>
      </w:pPr>
    </w:p>
    <w:p w:rsidR="00A322ED" w:rsidRDefault="002D0E5D" w14:paraId="4B7BBAFF" w14:textId="77777777">
      <w:pPr>
        <w:ind w:left="120"/>
        <w:rPr>
          <w:b/>
          <w:sz w:val="21"/>
        </w:rPr>
      </w:pPr>
      <w:r>
        <w:rPr>
          <w:b/>
          <w:color w:val="3B4044"/>
          <w:sz w:val="21"/>
        </w:rPr>
        <w:t>Part</w:t>
      </w:r>
      <w:r>
        <w:rPr>
          <w:b/>
          <w:color w:val="3B4044"/>
          <w:spacing w:val="-1"/>
          <w:sz w:val="21"/>
        </w:rPr>
        <w:t xml:space="preserve"> </w:t>
      </w:r>
      <w:r>
        <w:rPr>
          <w:b/>
          <w:color w:val="3B4044"/>
          <w:sz w:val="21"/>
        </w:rPr>
        <w:t xml:space="preserve">2: Reporting Update on </w:t>
      </w:r>
      <w:r>
        <w:rPr>
          <w:b/>
          <w:color w:val="3B4044"/>
          <w:spacing w:val="-2"/>
          <w:sz w:val="21"/>
        </w:rPr>
        <w:t>Distributions</w:t>
      </w:r>
    </w:p>
    <w:p w:rsidR="00A322ED" w:rsidRDefault="00A322ED" w14:paraId="4B7BBB00" w14:textId="77777777">
      <w:pPr>
        <w:pStyle w:val="BodyText"/>
        <w:spacing w:before="11"/>
        <w:rPr>
          <w:b/>
          <w:sz w:val="20"/>
        </w:rPr>
      </w:pPr>
    </w:p>
    <w:p w:rsidR="00A322ED" w:rsidRDefault="002D0E5D" w14:paraId="4B7BBB01" w14:textId="44B8BCB2">
      <w:pPr>
        <w:pStyle w:val="BodyText"/>
        <w:spacing w:before="1"/>
        <w:ind w:left="120" w:right="157"/>
      </w:pPr>
      <w:r>
        <w:rPr>
          <w:color w:val="3B4044"/>
        </w:rPr>
        <w:t>Treasury requests information on whether the state is complying with Treasury’s reporting guidance</w:t>
      </w:r>
      <w:r>
        <w:rPr>
          <w:color w:val="3B4044"/>
          <w:spacing w:val="-4"/>
        </w:rPr>
        <w:t xml:space="preserve"> </w:t>
      </w:r>
      <w:r>
        <w:rPr>
          <w:color w:val="3B4044"/>
        </w:rPr>
        <w:t>on</w:t>
      </w:r>
      <w:r>
        <w:rPr>
          <w:color w:val="3B4044"/>
          <w:spacing w:val="-3"/>
        </w:rPr>
        <w:t xml:space="preserve"> </w:t>
      </w:r>
      <w:r>
        <w:rPr>
          <w:color w:val="3B4044"/>
        </w:rPr>
        <w:t>NEU</w:t>
      </w:r>
      <w:r>
        <w:rPr>
          <w:color w:val="3B4044"/>
          <w:spacing w:val="-3"/>
        </w:rPr>
        <w:t xml:space="preserve"> </w:t>
      </w:r>
      <w:r>
        <w:rPr>
          <w:color w:val="3B4044"/>
        </w:rPr>
        <w:t>distributions</w:t>
      </w:r>
      <w:r>
        <w:rPr>
          <w:color w:val="3B4044"/>
          <w:spacing w:val="-4"/>
        </w:rPr>
        <w:t xml:space="preserve"> </w:t>
      </w:r>
      <w:r>
        <w:rPr>
          <w:color w:val="3B4044"/>
        </w:rPr>
        <w:t>as</w:t>
      </w:r>
      <w:r>
        <w:rPr>
          <w:color w:val="3B4044"/>
          <w:spacing w:val="-4"/>
        </w:rPr>
        <w:t xml:space="preserve"> </w:t>
      </w:r>
      <w:r>
        <w:rPr>
          <w:color w:val="3B4044"/>
        </w:rPr>
        <w:t>detailed</w:t>
      </w:r>
      <w:r>
        <w:rPr>
          <w:color w:val="3B4044"/>
          <w:spacing w:val="-4"/>
        </w:rPr>
        <w:t xml:space="preserve"> </w:t>
      </w:r>
      <w:r>
        <w:rPr>
          <w:color w:val="3B4044"/>
        </w:rPr>
        <w:t>in</w:t>
      </w:r>
      <w:r>
        <w:rPr>
          <w:color w:val="3B4044"/>
          <w:spacing w:val="-3"/>
        </w:rPr>
        <w:t xml:space="preserve"> </w:t>
      </w:r>
      <w:r>
        <w:rPr>
          <w:color w:val="3B4044"/>
        </w:rPr>
        <w:t>the</w:t>
      </w:r>
      <w:r>
        <w:rPr>
          <w:color w:val="3B4044"/>
          <w:spacing w:val="-4"/>
        </w:rPr>
        <w:t xml:space="preserve"> </w:t>
      </w:r>
      <w:hyperlink w:history="1" r:id="rId15">
        <w:r w:rsidRPr="004E1B57">
          <w:rPr>
            <w:rStyle w:val="Hyperlink"/>
          </w:rPr>
          <w:t>NEU</w:t>
        </w:r>
        <w:r w:rsidRPr="004E1B57">
          <w:rPr>
            <w:rStyle w:val="Hyperlink"/>
            <w:spacing w:val="-3"/>
          </w:rPr>
          <w:t xml:space="preserve"> </w:t>
        </w:r>
        <w:r w:rsidRPr="004E1B57">
          <w:rPr>
            <w:rStyle w:val="Hyperlink"/>
          </w:rPr>
          <w:t>and</w:t>
        </w:r>
        <w:r w:rsidRPr="004E1B57">
          <w:rPr>
            <w:rStyle w:val="Hyperlink"/>
            <w:spacing w:val="-4"/>
          </w:rPr>
          <w:t xml:space="preserve"> </w:t>
        </w:r>
        <w:r w:rsidRPr="004E1B57">
          <w:rPr>
            <w:rStyle w:val="Hyperlink"/>
          </w:rPr>
          <w:t>non-UGLG</w:t>
        </w:r>
        <w:r w:rsidRPr="004E1B57">
          <w:rPr>
            <w:rStyle w:val="Hyperlink"/>
            <w:spacing w:val="-3"/>
          </w:rPr>
          <w:t xml:space="preserve"> </w:t>
        </w:r>
        <w:r w:rsidRPr="004E1B57">
          <w:rPr>
            <w:rStyle w:val="Hyperlink"/>
          </w:rPr>
          <w:t>Distribution</w:t>
        </w:r>
        <w:r w:rsidRPr="004E1B57">
          <w:rPr>
            <w:rStyle w:val="Hyperlink"/>
            <w:spacing w:val="-3"/>
          </w:rPr>
          <w:t xml:space="preserve"> </w:t>
        </w:r>
        <w:r w:rsidRPr="004E1B57">
          <w:rPr>
            <w:rStyle w:val="Hyperlink"/>
          </w:rPr>
          <w:t>Template user guide</w:t>
        </w:r>
      </w:hyperlink>
      <w:r>
        <w:rPr>
          <w:color w:val="3B4044"/>
        </w:rPr>
        <w:t>.</w:t>
      </w:r>
    </w:p>
    <w:p w:rsidR="00A322ED" w:rsidRDefault="00A322ED" w14:paraId="4B7BBB02" w14:textId="77777777">
      <w:pPr>
        <w:pStyle w:val="BodyText"/>
      </w:pPr>
    </w:p>
    <w:p w:rsidR="00A322ED" w:rsidRDefault="002D0E5D" w14:paraId="4B7BBB03" w14:textId="77777777">
      <w:pPr>
        <w:spacing w:before="1"/>
        <w:ind w:left="119" w:right="114"/>
        <w:rPr>
          <w:i/>
          <w:sz w:val="21"/>
        </w:rPr>
      </w:pPr>
      <w:r>
        <w:rPr>
          <w:color w:val="3B4044"/>
          <w:sz w:val="21"/>
        </w:rPr>
        <w:t>According</w:t>
      </w:r>
      <w:r>
        <w:rPr>
          <w:color w:val="3B4044"/>
          <w:spacing w:val="-1"/>
          <w:sz w:val="21"/>
        </w:rPr>
        <w:t xml:space="preserve"> </w:t>
      </w:r>
      <w:r>
        <w:rPr>
          <w:color w:val="3B4044"/>
          <w:sz w:val="21"/>
        </w:rPr>
        <w:t>to</w:t>
      </w:r>
      <w:r>
        <w:rPr>
          <w:color w:val="3B4044"/>
          <w:spacing w:val="-1"/>
          <w:sz w:val="21"/>
        </w:rPr>
        <w:t xml:space="preserve"> </w:t>
      </w:r>
      <w:r>
        <w:rPr>
          <w:color w:val="3B4044"/>
          <w:sz w:val="21"/>
        </w:rPr>
        <w:t>the</w:t>
      </w:r>
      <w:r>
        <w:rPr>
          <w:color w:val="3B4044"/>
          <w:spacing w:val="-1"/>
          <w:sz w:val="21"/>
        </w:rPr>
        <w:t xml:space="preserve"> </w:t>
      </w:r>
      <w:r>
        <w:rPr>
          <w:color w:val="3B4044"/>
          <w:sz w:val="21"/>
        </w:rPr>
        <w:t>user guide,</w:t>
      </w:r>
      <w:r>
        <w:rPr>
          <w:color w:val="3B4044"/>
          <w:spacing w:val="-1"/>
          <w:sz w:val="21"/>
        </w:rPr>
        <w:t xml:space="preserve"> </w:t>
      </w:r>
      <w:r>
        <w:rPr>
          <w:color w:val="3B4044"/>
          <w:sz w:val="21"/>
        </w:rPr>
        <w:t>states should send updated templates</w:t>
      </w:r>
      <w:r>
        <w:rPr>
          <w:color w:val="3B4044"/>
          <w:spacing w:val="-1"/>
          <w:sz w:val="21"/>
        </w:rPr>
        <w:t xml:space="preserve"> </w:t>
      </w:r>
      <w:r>
        <w:rPr>
          <w:color w:val="3B4044"/>
          <w:sz w:val="21"/>
        </w:rPr>
        <w:t>detailing</w:t>
      </w:r>
      <w:r>
        <w:rPr>
          <w:color w:val="3B4044"/>
          <w:spacing w:val="-1"/>
          <w:sz w:val="21"/>
        </w:rPr>
        <w:t xml:space="preserve"> </w:t>
      </w:r>
      <w:r>
        <w:rPr>
          <w:color w:val="3B4044"/>
          <w:sz w:val="21"/>
        </w:rPr>
        <w:t>its distributions</w:t>
      </w:r>
      <w:r>
        <w:rPr>
          <w:color w:val="3B4044"/>
          <w:spacing w:val="-1"/>
          <w:sz w:val="21"/>
        </w:rPr>
        <w:t xml:space="preserve"> </w:t>
      </w:r>
      <w:r>
        <w:rPr>
          <w:color w:val="3B4044"/>
          <w:sz w:val="21"/>
        </w:rPr>
        <w:t>to eligible</w:t>
      </w:r>
      <w:r>
        <w:rPr>
          <w:color w:val="3B4044"/>
          <w:spacing w:val="-3"/>
          <w:sz w:val="21"/>
        </w:rPr>
        <w:t xml:space="preserve"> </w:t>
      </w:r>
      <w:r>
        <w:rPr>
          <w:color w:val="3B4044"/>
          <w:sz w:val="21"/>
        </w:rPr>
        <w:t>NEUs</w:t>
      </w:r>
      <w:r>
        <w:rPr>
          <w:color w:val="3B4044"/>
          <w:spacing w:val="-3"/>
          <w:sz w:val="21"/>
        </w:rPr>
        <w:t xml:space="preserve"> </w:t>
      </w:r>
      <w:r>
        <w:rPr>
          <w:color w:val="3B4044"/>
          <w:sz w:val="21"/>
        </w:rPr>
        <w:t>to</w:t>
      </w:r>
      <w:r>
        <w:rPr>
          <w:color w:val="3B4044"/>
          <w:spacing w:val="-4"/>
          <w:sz w:val="21"/>
        </w:rPr>
        <w:t xml:space="preserve"> </w:t>
      </w:r>
      <w:r>
        <w:rPr>
          <w:color w:val="3B4044"/>
          <w:sz w:val="21"/>
        </w:rPr>
        <w:t>Treasury</w:t>
      </w:r>
      <w:r>
        <w:rPr>
          <w:color w:val="3B4044"/>
          <w:spacing w:val="-3"/>
          <w:sz w:val="21"/>
        </w:rPr>
        <w:t xml:space="preserve"> </w:t>
      </w:r>
      <w:r>
        <w:rPr>
          <w:color w:val="3B4044"/>
          <w:sz w:val="21"/>
        </w:rPr>
        <w:t>every</w:t>
      </w:r>
      <w:r>
        <w:rPr>
          <w:color w:val="3B4044"/>
          <w:spacing w:val="-3"/>
          <w:sz w:val="21"/>
        </w:rPr>
        <w:t xml:space="preserve"> </w:t>
      </w:r>
      <w:r>
        <w:rPr>
          <w:color w:val="3B4044"/>
          <w:sz w:val="21"/>
        </w:rPr>
        <w:t>month</w:t>
      </w:r>
      <w:r>
        <w:rPr>
          <w:color w:val="3B4044"/>
          <w:spacing w:val="-4"/>
          <w:sz w:val="21"/>
        </w:rPr>
        <w:t xml:space="preserve"> </w:t>
      </w:r>
      <w:r>
        <w:rPr>
          <w:color w:val="3B4044"/>
          <w:sz w:val="21"/>
        </w:rPr>
        <w:t>until</w:t>
      </w:r>
      <w:r>
        <w:rPr>
          <w:color w:val="3B4044"/>
          <w:spacing w:val="-3"/>
          <w:sz w:val="21"/>
        </w:rPr>
        <w:t xml:space="preserve"> </w:t>
      </w:r>
      <w:r>
        <w:rPr>
          <w:color w:val="3B4044"/>
          <w:sz w:val="21"/>
        </w:rPr>
        <w:t>distributions</w:t>
      </w:r>
      <w:r>
        <w:rPr>
          <w:color w:val="3B4044"/>
          <w:spacing w:val="-4"/>
          <w:sz w:val="21"/>
        </w:rPr>
        <w:t xml:space="preserve"> </w:t>
      </w:r>
      <w:r>
        <w:rPr>
          <w:color w:val="3B4044"/>
          <w:sz w:val="21"/>
        </w:rPr>
        <w:t>have</w:t>
      </w:r>
      <w:r>
        <w:rPr>
          <w:color w:val="3B4044"/>
          <w:spacing w:val="-3"/>
          <w:sz w:val="21"/>
        </w:rPr>
        <w:t xml:space="preserve"> </w:t>
      </w:r>
      <w:r>
        <w:rPr>
          <w:color w:val="3B4044"/>
          <w:sz w:val="21"/>
        </w:rPr>
        <w:t>been</w:t>
      </w:r>
      <w:r>
        <w:rPr>
          <w:color w:val="3B4044"/>
          <w:spacing w:val="-4"/>
          <w:sz w:val="21"/>
        </w:rPr>
        <w:t xml:space="preserve"> </w:t>
      </w:r>
      <w:r>
        <w:rPr>
          <w:color w:val="3B4044"/>
          <w:sz w:val="21"/>
        </w:rPr>
        <w:t>made.</w:t>
      </w:r>
      <w:r>
        <w:rPr>
          <w:color w:val="3B4044"/>
          <w:spacing w:val="-4"/>
          <w:sz w:val="21"/>
        </w:rPr>
        <w:t xml:space="preserve"> </w:t>
      </w:r>
      <w:r>
        <w:rPr>
          <w:color w:val="3B4044"/>
          <w:sz w:val="21"/>
        </w:rPr>
        <w:t>Each</w:t>
      </w:r>
      <w:r>
        <w:rPr>
          <w:color w:val="3B4044"/>
          <w:spacing w:val="-4"/>
          <w:sz w:val="21"/>
        </w:rPr>
        <w:t xml:space="preserve"> </w:t>
      </w:r>
      <w:r>
        <w:rPr>
          <w:color w:val="3B4044"/>
          <w:sz w:val="21"/>
        </w:rPr>
        <w:t>report</w:t>
      </w:r>
      <w:r>
        <w:rPr>
          <w:color w:val="3B4044"/>
          <w:spacing w:val="-3"/>
          <w:sz w:val="21"/>
        </w:rPr>
        <w:t xml:space="preserve"> </w:t>
      </w:r>
      <w:r>
        <w:rPr>
          <w:color w:val="3B4044"/>
          <w:sz w:val="21"/>
        </w:rPr>
        <w:t xml:space="preserve">should cover all distributions for the second tranche payment. </w:t>
      </w:r>
      <w:r>
        <w:rPr>
          <w:i/>
          <w:color w:val="3B4044"/>
          <w:sz w:val="21"/>
        </w:rPr>
        <w:t>Please check the box below to indicate whether the state has been substantially compliant with the monthly reporting requirement.</w:t>
      </w:r>
    </w:p>
    <w:p w:rsidR="00A322ED" w:rsidRDefault="00A322ED" w14:paraId="4B7BBB04" w14:textId="77777777">
      <w:pPr>
        <w:pStyle w:val="BodyText"/>
        <w:rPr>
          <w:i/>
          <w:sz w:val="24"/>
        </w:rPr>
      </w:pPr>
    </w:p>
    <w:p w:rsidR="00A322ED" w:rsidRDefault="00A322ED" w14:paraId="4B7BBB05" w14:textId="77777777">
      <w:pPr>
        <w:pStyle w:val="BodyText"/>
        <w:spacing w:before="7"/>
        <w:rPr>
          <w:i/>
          <w:sz w:val="29"/>
        </w:rPr>
      </w:pPr>
    </w:p>
    <w:p w:rsidR="00A322ED" w:rsidRDefault="002D0E5D" w14:paraId="4B7BBB06" w14:textId="77777777">
      <w:pPr>
        <w:pStyle w:val="ListParagraph"/>
        <w:numPr>
          <w:ilvl w:val="0"/>
          <w:numId w:val="1"/>
        </w:numPr>
        <w:tabs>
          <w:tab w:val="left" w:pos="1110"/>
        </w:tabs>
        <w:ind w:left="1109" w:hanging="270"/>
        <w:rPr>
          <w:sz w:val="21"/>
        </w:rPr>
      </w:pPr>
      <w:r>
        <w:rPr>
          <w:color w:val="3B4044"/>
          <w:sz w:val="21"/>
        </w:rPr>
        <w:t>Yes,</w:t>
      </w:r>
      <w:r>
        <w:rPr>
          <w:color w:val="3B4044"/>
          <w:spacing w:val="-3"/>
          <w:sz w:val="21"/>
        </w:rPr>
        <w:t xml:space="preserve"> </w:t>
      </w:r>
      <w:r>
        <w:rPr>
          <w:color w:val="3B4044"/>
          <w:sz w:val="21"/>
        </w:rPr>
        <w:t>the</w:t>
      </w:r>
      <w:r>
        <w:rPr>
          <w:color w:val="3B4044"/>
          <w:spacing w:val="-3"/>
          <w:sz w:val="21"/>
        </w:rPr>
        <w:t xml:space="preserve"> </w:t>
      </w:r>
      <w:r>
        <w:rPr>
          <w:color w:val="3B4044"/>
          <w:sz w:val="21"/>
        </w:rPr>
        <w:t>state</w:t>
      </w:r>
      <w:r>
        <w:rPr>
          <w:color w:val="3B4044"/>
          <w:spacing w:val="-3"/>
          <w:sz w:val="21"/>
        </w:rPr>
        <w:t xml:space="preserve"> </w:t>
      </w:r>
      <w:r>
        <w:rPr>
          <w:color w:val="3B4044"/>
          <w:sz w:val="21"/>
        </w:rPr>
        <w:t>is</w:t>
      </w:r>
      <w:r>
        <w:rPr>
          <w:color w:val="3B4044"/>
          <w:spacing w:val="-3"/>
          <w:sz w:val="21"/>
        </w:rPr>
        <w:t xml:space="preserve"> </w:t>
      </w:r>
      <w:r>
        <w:rPr>
          <w:color w:val="3B4044"/>
          <w:sz w:val="21"/>
        </w:rPr>
        <w:t>in</w:t>
      </w:r>
      <w:r>
        <w:rPr>
          <w:color w:val="3B4044"/>
          <w:spacing w:val="-2"/>
          <w:sz w:val="21"/>
        </w:rPr>
        <w:t xml:space="preserve"> </w:t>
      </w:r>
      <w:r>
        <w:rPr>
          <w:color w:val="3B4044"/>
          <w:sz w:val="21"/>
        </w:rPr>
        <w:t>substantial</w:t>
      </w:r>
      <w:r>
        <w:rPr>
          <w:color w:val="3B4044"/>
          <w:spacing w:val="-3"/>
          <w:sz w:val="21"/>
        </w:rPr>
        <w:t xml:space="preserve"> </w:t>
      </w:r>
      <w:r>
        <w:rPr>
          <w:color w:val="3B4044"/>
          <w:spacing w:val="-2"/>
          <w:sz w:val="21"/>
        </w:rPr>
        <w:t>compliance</w:t>
      </w:r>
    </w:p>
    <w:p w:rsidR="00A322ED" w:rsidRDefault="002D0E5D" w14:paraId="4B7BBB07" w14:textId="77777777">
      <w:pPr>
        <w:pStyle w:val="ListParagraph"/>
        <w:numPr>
          <w:ilvl w:val="0"/>
          <w:numId w:val="1"/>
        </w:numPr>
        <w:tabs>
          <w:tab w:val="left" w:pos="1110"/>
        </w:tabs>
        <w:spacing w:before="4"/>
        <w:ind w:left="1109" w:hanging="270"/>
        <w:rPr>
          <w:sz w:val="21"/>
        </w:rPr>
      </w:pPr>
      <w:r>
        <w:rPr>
          <w:color w:val="3B4044"/>
          <w:sz w:val="21"/>
        </w:rPr>
        <w:t>No,</w:t>
      </w:r>
      <w:r>
        <w:rPr>
          <w:color w:val="3B4044"/>
          <w:spacing w:val="-2"/>
          <w:sz w:val="21"/>
        </w:rPr>
        <w:t xml:space="preserve"> </w:t>
      </w:r>
      <w:r>
        <w:rPr>
          <w:color w:val="3B4044"/>
          <w:sz w:val="21"/>
        </w:rPr>
        <w:t>the</w:t>
      </w:r>
      <w:r>
        <w:rPr>
          <w:color w:val="3B4044"/>
          <w:spacing w:val="-1"/>
          <w:sz w:val="21"/>
        </w:rPr>
        <w:t xml:space="preserve"> </w:t>
      </w:r>
      <w:r>
        <w:rPr>
          <w:color w:val="3B4044"/>
          <w:sz w:val="21"/>
        </w:rPr>
        <w:t>state</w:t>
      </w:r>
      <w:r>
        <w:rPr>
          <w:color w:val="3B4044"/>
          <w:spacing w:val="-2"/>
          <w:sz w:val="21"/>
        </w:rPr>
        <w:t xml:space="preserve"> </w:t>
      </w:r>
      <w:r>
        <w:rPr>
          <w:color w:val="3B4044"/>
          <w:sz w:val="21"/>
        </w:rPr>
        <w:t>is</w:t>
      </w:r>
      <w:r>
        <w:rPr>
          <w:color w:val="3B4044"/>
          <w:spacing w:val="-1"/>
          <w:sz w:val="21"/>
        </w:rPr>
        <w:t xml:space="preserve"> </w:t>
      </w:r>
      <w:r>
        <w:rPr>
          <w:color w:val="3B4044"/>
          <w:sz w:val="21"/>
        </w:rPr>
        <w:t>not</w:t>
      </w:r>
      <w:r>
        <w:rPr>
          <w:color w:val="3B4044"/>
          <w:spacing w:val="-3"/>
          <w:sz w:val="21"/>
        </w:rPr>
        <w:t xml:space="preserve"> </w:t>
      </w:r>
      <w:r>
        <w:rPr>
          <w:color w:val="3B4044"/>
          <w:sz w:val="21"/>
        </w:rPr>
        <w:t>in</w:t>
      </w:r>
      <w:r>
        <w:rPr>
          <w:color w:val="3B4044"/>
          <w:spacing w:val="-1"/>
          <w:sz w:val="21"/>
        </w:rPr>
        <w:t xml:space="preserve"> </w:t>
      </w:r>
      <w:r>
        <w:rPr>
          <w:color w:val="3B4044"/>
          <w:sz w:val="21"/>
        </w:rPr>
        <w:t>substantial</w:t>
      </w:r>
      <w:r>
        <w:rPr>
          <w:color w:val="3B4044"/>
          <w:spacing w:val="-1"/>
          <w:sz w:val="21"/>
        </w:rPr>
        <w:t xml:space="preserve"> </w:t>
      </w:r>
      <w:r>
        <w:rPr>
          <w:color w:val="3B4044"/>
          <w:spacing w:val="-2"/>
          <w:sz w:val="21"/>
        </w:rPr>
        <w:t>compliance</w:t>
      </w:r>
    </w:p>
    <w:p w:rsidR="00A322ED" w:rsidRDefault="00A322ED" w14:paraId="4B7BBB08" w14:textId="77777777">
      <w:pPr>
        <w:pStyle w:val="BodyText"/>
        <w:spacing w:before="2"/>
      </w:pPr>
    </w:p>
    <w:p w:rsidR="00A322ED" w:rsidRDefault="002D0E5D" w14:paraId="4B7BBB09" w14:textId="77777777">
      <w:pPr>
        <w:pStyle w:val="Heading1"/>
      </w:pPr>
      <w:r>
        <w:t>Part</w:t>
      </w:r>
      <w:r>
        <w:rPr>
          <w:spacing w:val="-1"/>
        </w:rPr>
        <w:t xml:space="preserve"> </w:t>
      </w:r>
      <w:r>
        <w:t>3:</w:t>
      </w:r>
      <w:r>
        <w:rPr>
          <w:spacing w:val="-2"/>
        </w:rPr>
        <w:t xml:space="preserve"> </w:t>
      </w:r>
      <w:r>
        <w:t>State Plan</w:t>
      </w:r>
      <w:r>
        <w:rPr>
          <w:spacing w:val="-2"/>
        </w:rPr>
        <w:t xml:space="preserve"> </w:t>
      </w:r>
      <w:r>
        <w:t>on</w:t>
      </w:r>
      <w:r>
        <w:rPr>
          <w:spacing w:val="-1"/>
        </w:rPr>
        <w:t xml:space="preserve"> </w:t>
      </w:r>
      <w:r>
        <w:t>Remaining</w:t>
      </w:r>
      <w:r>
        <w:rPr>
          <w:spacing w:val="-2"/>
        </w:rPr>
        <w:t xml:space="preserve"> Distributions</w:t>
      </w:r>
    </w:p>
    <w:p w:rsidR="00A322ED" w:rsidRDefault="00A322ED" w14:paraId="4B7BBB0A" w14:textId="77777777">
      <w:pPr>
        <w:pStyle w:val="BodyText"/>
        <w:spacing w:before="11"/>
        <w:rPr>
          <w:b/>
          <w:sz w:val="20"/>
        </w:rPr>
      </w:pPr>
    </w:p>
    <w:p w:rsidR="00A322ED" w:rsidRDefault="002D0E5D" w14:paraId="4B7BBB0B" w14:textId="77777777">
      <w:pPr>
        <w:pStyle w:val="BodyText"/>
        <w:ind w:left="120" w:right="114"/>
      </w:pPr>
      <w:r>
        <w:t>The</w:t>
      </w:r>
      <w:r>
        <w:rPr>
          <w:spacing w:val="-3"/>
        </w:rPr>
        <w:t xml:space="preserve"> </w:t>
      </w:r>
      <w:r>
        <w:t>state</w:t>
      </w:r>
      <w:r>
        <w:rPr>
          <w:spacing w:val="-3"/>
        </w:rPr>
        <w:t xml:space="preserve"> </w:t>
      </w:r>
      <w:r>
        <w:t>must</w:t>
      </w:r>
      <w:r>
        <w:rPr>
          <w:spacing w:val="-3"/>
        </w:rPr>
        <w:t xml:space="preserve"> </w:t>
      </w:r>
      <w:r>
        <w:t>provide</w:t>
      </w:r>
      <w:r>
        <w:rPr>
          <w:spacing w:val="-3"/>
        </w:rPr>
        <w:t xml:space="preserve"> </w:t>
      </w:r>
      <w:r>
        <w:t>a</w:t>
      </w:r>
      <w:r>
        <w:rPr>
          <w:spacing w:val="-3"/>
        </w:rPr>
        <w:t xml:space="preserve"> </w:t>
      </w:r>
      <w:r>
        <w:t>detailed</w:t>
      </w:r>
      <w:r>
        <w:rPr>
          <w:spacing w:val="-3"/>
        </w:rPr>
        <w:t xml:space="preserve"> </w:t>
      </w:r>
      <w:r>
        <w:t>explanation</w:t>
      </w:r>
      <w:r>
        <w:rPr>
          <w:spacing w:val="-3"/>
        </w:rPr>
        <w:t xml:space="preserve"> </w:t>
      </w:r>
      <w:r>
        <w:t>below</w:t>
      </w:r>
      <w:r>
        <w:rPr>
          <w:spacing w:val="-4"/>
        </w:rPr>
        <w:t xml:space="preserve"> </w:t>
      </w:r>
      <w:r>
        <w:t>of</w:t>
      </w:r>
      <w:r>
        <w:rPr>
          <w:spacing w:val="-2"/>
        </w:rPr>
        <w:t xml:space="preserve"> </w:t>
      </w:r>
      <w:r>
        <w:t>when</w:t>
      </w:r>
      <w:r>
        <w:rPr>
          <w:spacing w:val="-3"/>
        </w:rPr>
        <w:t xml:space="preserve"> </w:t>
      </w:r>
      <w:r>
        <w:t>the</w:t>
      </w:r>
      <w:r>
        <w:rPr>
          <w:spacing w:val="-3"/>
        </w:rPr>
        <w:t xml:space="preserve"> </w:t>
      </w:r>
      <w:r>
        <w:t>state</w:t>
      </w:r>
      <w:r>
        <w:rPr>
          <w:spacing w:val="-4"/>
        </w:rPr>
        <w:t xml:space="preserve"> </w:t>
      </w:r>
      <w:r>
        <w:t>expects</w:t>
      </w:r>
      <w:r>
        <w:rPr>
          <w:spacing w:val="-4"/>
        </w:rPr>
        <w:t xml:space="preserve"> </w:t>
      </w:r>
      <w:r>
        <w:t>to</w:t>
      </w:r>
      <w:r>
        <w:rPr>
          <w:spacing w:val="-4"/>
        </w:rPr>
        <w:t xml:space="preserve"> </w:t>
      </w:r>
      <w:r>
        <w:t>make</w:t>
      </w:r>
      <w:r>
        <w:rPr>
          <w:spacing w:val="-3"/>
        </w:rPr>
        <w:t xml:space="preserve"> </w:t>
      </w:r>
      <w:r>
        <w:t>the remaining distributions and the actions the state has taken and will take to make these distributions before the end of the distribution period, as extended by the granting of this request for extension.</w:t>
      </w:r>
    </w:p>
    <w:p w:rsidR="00A322ED" w:rsidRDefault="00A322ED" w14:paraId="4B7BBB0C" w14:textId="77777777">
      <w:pPr>
        <w:pStyle w:val="BodyText"/>
        <w:spacing w:before="1"/>
      </w:pPr>
    </w:p>
    <w:p w:rsidR="00A322ED" w:rsidRDefault="002D0E5D" w14:paraId="4B7BBB0D" w14:textId="77777777">
      <w:pPr>
        <w:ind w:left="120" w:right="157"/>
        <w:rPr>
          <w:i/>
          <w:sz w:val="21"/>
        </w:rPr>
      </w:pPr>
      <w:r>
        <w:rPr>
          <w:i/>
          <w:sz w:val="21"/>
        </w:rPr>
        <w:t xml:space="preserve">Please make sure to address each of the following: current status of distributions, specific steps that need to be taken to make the remaining distributions (see </w:t>
      </w:r>
      <w:hyperlink r:id="rId16">
        <w:r>
          <w:rPr>
            <w:i/>
            <w:color w:val="0562C1"/>
            <w:sz w:val="21"/>
            <w:u w:val="single" w:color="0562C1"/>
          </w:rPr>
          <w:t>NEU Guidance</w:t>
        </w:r>
        <w:r>
          <w:rPr>
            <w:i/>
            <w:color w:val="0562C1"/>
            <w:sz w:val="21"/>
          </w:rPr>
          <w:t xml:space="preserve"> </w:t>
        </w:r>
      </w:hyperlink>
      <w:r>
        <w:rPr>
          <w:i/>
          <w:sz w:val="21"/>
        </w:rPr>
        <w:t>for an outline of steps that states are expected to complete), and expected timing for the remaining distributions. Please</w:t>
      </w:r>
      <w:r>
        <w:rPr>
          <w:i/>
          <w:spacing w:val="-3"/>
          <w:sz w:val="21"/>
        </w:rPr>
        <w:t xml:space="preserve"> </w:t>
      </w:r>
      <w:r>
        <w:rPr>
          <w:i/>
          <w:sz w:val="21"/>
        </w:rPr>
        <w:t>describe</w:t>
      </w:r>
      <w:r>
        <w:rPr>
          <w:i/>
          <w:spacing w:val="-3"/>
          <w:sz w:val="21"/>
        </w:rPr>
        <w:t xml:space="preserve"> </w:t>
      </w:r>
      <w:r>
        <w:rPr>
          <w:i/>
          <w:sz w:val="21"/>
        </w:rPr>
        <w:t>key</w:t>
      </w:r>
      <w:r>
        <w:rPr>
          <w:i/>
          <w:spacing w:val="-3"/>
          <w:sz w:val="21"/>
        </w:rPr>
        <w:t xml:space="preserve"> </w:t>
      </w:r>
      <w:r>
        <w:rPr>
          <w:i/>
          <w:sz w:val="21"/>
        </w:rPr>
        <w:t>challenges</w:t>
      </w:r>
      <w:r>
        <w:rPr>
          <w:i/>
          <w:spacing w:val="-3"/>
          <w:sz w:val="21"/>
        </w:rPr>
        <w:t xml:space="preserve"> </w:t>
      </w:r>
      <w:r>
        <w:rPr>
          <w:i/>
          <w:sz w:val="21"/>
        </w:rPr>
        <w:t>that</w:t>
      </w:r>
      <w:r>
        <w:rPr>
          <w:i/>
          <w:spacing w:val="-3"/>
          <w:sz w:val="21"/>
        </w:rPr>
        <w:t xml:space="preserve"> </w:t>
      </w:r>
      <w:r>
        <w:rPr>
          <w:i/>
          <w:sz w:val="21"/>
        </w:rPr>
        <w:t>remain,</w:t>
      </w:r>
      <w:r>
        <w:rPr>
          <w:i/>
          <w:spacing w:val="-5"/>
          <w:sz w:val="21"/>
        </w:rPr>
        <w:t xml:space="preserve"> </w:t>
      </w:r>
      <w:r>
        <w:rPr>
          <w:i/>
          <w:sz w:val="21"/>
        </w:rPr>
        <w:t>particularly</w:t>
      </w:r>
      <w:r>
        <w:rPr>
          <w:i/>
          <w:spacing w:val="-3"/>
          <w:sz w:val="21"/>
        </w:rPr>
        <w:t xml:space="preserve"> </w:t>
      </w:r>
      <w:r>
        <w:rPr>
          <w:i/>
          <w:sz w:val="21"/>
        </w:rPr>
        <w:t>on</w:t>
      </w:r>
      <w:r>
        <w:rPr>
          <w:i/>
          <w:spacing w:val="-3"/>
          <w:sz w:val="21"/>
        </w:rPr>
        <w:t xml:space="preserve"> </w:t>
      </w:r>
      <w:r>
        <w:rPr>
          <w:i/>
          <w:sz w:val="21"/>
        </w:rPr>
        <w:t>outreach</w:t>
      </w:r>
      <w:r>
        <w:rPr>
          <w:i/>
          <w:spacing w:val="-4"/>
          <w:sz w:val="21"/>
        </w:rPr>
        <w:t xml:space="preserve"> </w:t>
      </w:r>
      <w:r>
        <w:rPr>
          <w:i/>
          <w:sz w:val="21"/>
        </w:rPr>
        <w:t>to</w:t>
      </w:r>
      <w:r>
        <w:rPr>
          <w:i/>
          <w:spacing w:val="-3"/>
          <w:sz w:val="21"/>
        </w:rPr>
        <w:t xml:space="preserve"> </w:t>
      </w:r>
      <w:r>
        <w:rPr>
          <w:i/>
          <w:sz w:val="21"/>
        </w:rPr>
        <w:t>unresponsive</w:t>
      </w:r>
      <w:r>
        <w:rPr>
          <w:i/>
          <w:spacing w:val="-3"/>
          <w:sz w:val="21"/>
        </w:rPr>
        <w:t xml:space="preserve"> </w:t>
      </w:r>
      <w:r>
        <w:rPr>
          <w:i/>
          <w:sz w:val="21"/>
        </w:rPr>
        <w:t>NEUs,</w:t>
      </w:r>
      <w:r>
        <w:rPr>
          <w:i/>
          <w:spacing w:val="-4"/>
          <w:sz w:val="21"/>
        </w:rPr>
        <w:t xml:space="preserve"> </w:t>
      </w:r>
      <w:r>
        <w:rPr>
          <w:i/>
          <w:sz w:val="21"/>
        </w:rPr>
        <w:t xml:space="preserve">and plans to overcome these challenges. Please specify whether you intend to issue a subsequent distribution. Please provide your explanation below, and feel free to attach additional pages if </w:t>
      </w:r>
      <w:r>
        <w:rPr>
          <w:i/>
          <w:spacing w:val="-2"/>
          <w:sz w:val="21"/>
        </w:rPr>
        <w:t>necessary.</w:t>
      </w:r>
    </w:p>
    <w:p w:rsidR="00A322ED" w:rsidRDefault="00A322ED" w14:paraId="4B7BBB0E" w14:textId="77777777">
      <w:pPr>
        <w:rPr>
          <w:sz w:val="21"/>
        </w:rPr>
        <w:sectPr w:rsidR="00A322ED">
          <w:pgSz w:w="12240" w:h="15840"/>
          <w:pgMar w:top="1560" w:right="1340" w:bottom="280" w:left="1320" w:header="730" w:footer="0" w:gutter="0"/>
          <w:cols w:space="720"/>
        </w:sectPr>
      </w:pPr>
    </w:p>
    <w:p w:rsidR="00A322ED" w:rsidRDefault="00A322ED" w14:paraId="4B7BBB0F" w14:textId="77777777">
      <w:pPr>
        <w:pStyle w:val="BodyText"/>
        <w:rPr>
          <w:i/>
          <w:sz w:val="15"/>
        </w:rPr>
      </w:pPr>
    </w:p>
    <w:p w:rsidR="00A322ED" w:rsidRDefault="004E1B57" w14:paraId="4B7BBB10" w14:textId="77777777">
      <w:pPr>
        <w:pStyle w:val="BodyText"/>
        <w:ind w:left="112"/>
        <w:rPr>
          <w:sz w:val="20"/>
        </w:rPr>
      </w:pPr>
      <w:r>
        <w:rPr>
          <w:sz w:val="20"/>
        </w:rPr>
      </w:r>
      <w:r>
        <w:rPr>
          <w:sz w:val="20"/>
        </w:rPr>
        <w:pict w14:anchorId="4B7BBB20">
          <v:shapetype id="_x0000_t202" coordsize="21600,21600" o:spt="202" path="m,l,21600r21600,l21600,xe">
            <v:stroke joinstyle="miter"/>
            <v:path gradientshapeok="t" o:connecttype="rect"/>
          </v:shapetype>
          <v:shape id="docshape2" style="width:467.1pt;height:469.5pt;mso-left-percent:-10001;mso-top-percent:-10001;mso-position-horizontal:absolute;mso-position-horizontal-relative:char;mso-position-vertical:absolute;mso-position-vertical-relative:line;mso-left-percent:-10001;mso-top-percent:-10001" o:spid="_x0000_s2051" filled="f" type="#_x0000_t202">
            <v:textbox inset="0,0,0,0">
              <w:txbxContent>
                <w:p w:rsidR="00A322ED" w:rsidRDefault="002D0E5D" w14:paraId="4B7BBB24" w14:textId="77777777">
                  <w:pPr>
                    <w:spacing w:before="72"/>
                    <w:ind w:left="143"/>
                    <w:rPr>
                      <w:rFonts w:ascii="Calibri"/>
                    </w:rPr>
                  </w:pPr>
                  <w:r>
                    <w:rPr>
                      <w:rFonts w:ascii="Calibri"/>
                      <w:color w:val="808080"/>
                    </w:rPr>
                    <w:t>Click</w:t>
                  </w:r>
                  <w:r>
                    <w:rPr>
                      <w:rFonts w:ascii="Calibri"/>
                      <w:color w:val="808080"/>
                      <w:spacing w:val="-7"/>
                    </w:rPr>
                    <w:t xml:space="preserve"> </w:t>
                  </w:r>
                  <w:r>
                    <w:rPr>
                      <w:rFonts w:ascii="Calibri"/>
                      <w:color w:val="808080"/>
                    </w:rPr>
                    <w:t>or</w:t>
                  </w:r>
                  <w:r>
                    <w:rPr>
                      <w:rFonts w:ascii="Calibri"/>
                      <w:color w:val="808080"/>
                      <w:spacing w:val="-4"/>
                    </w:rPr>
                    <w:t xml:space="preserve"> </w:t>
                  </w:r>
                  <w:r>
                    <w:rPr>
                      <w:rFonts w:ascii="Calibri"/>
                      <w:color w:val="808080"/>
                    </w:rPr>
                    <w:t>tap</w:t>
                  </w:r>
                  <w:r>
                    <w:rPr>
                      <w:rFonts w:ascii="Calibri"/>
                      <w:color w:val="808080"/>
                      <w:spacing w:val="-4"/>
                    </w:rPr>
                    <w:t xml:space="preserve"> </w:t>
                  </w:r>
                  <w:r>
                    <w:rPr>
                      <w:rFonts w:ascii="Calibri"/>
                      <w:color w:val="808080"/>
                    </w:rPr>
                    <w:t>here</w:t>
                  </w:r>
                  <w:r>
                    <w:rPr>
                      <w:rFonts w:ascii="Calibri"/>
                      <w:color w:val="808080"/>
                      <w:spacing w:val="-4"/>
                    </w:rPr>
                    <w:t xml:space="preserve"> </w:t>
                  </w:r>
                  <w:r>
                    <w:rPr>
                      <w:rFonts w:ascii="Calibri"/>
                      <w:color w:val="808080"/>
                    </w:rPr>
                    <w:t>to</w:t>
                  </w:r>
                  <w:r>
                    <w:rPr>
                      <w:rFonts w:ascii="Calibri"/>
                      <w:color w:val="808080"/>
                      <w:spacing w:val="-3"/>
                    </w:rPr>
                    <w:t xml:space="preserve"> </w:t>
                  </w:r>
                  <w:r>
                    <w:rPr>
                      <w:rFonts w:ascii="Calibri"/>
                      <w:color w:val="808080"/>
                    </w:rPr>
                    <w:t>enter</w:t>
                  </w:r>
                  <w:r>
                    <w:rPr>
                      <w:rFonts w:ascii="Calibri"/>
                      <w:color w:val="808080"/>
                      <w:spacing w:val="-3"/>
                    </w:rPr>
                    <w:t xml:space="preserve"> </w:t>
                  </w:r>
                  <w:r>
                    <w:rPr>
                      <w:rFonts w:ascii="Calibri"/>
                      <w:color w:val="808080"/>
                      <w:spacing w:val="-2"/>
                    </w:rPr>
                    <w:t>text.</w:t>
                  </w:r>
                </w:p>
              </w:txbxContent>
            </v:textbox>
            <w10:anchorlock/>
          </v:shape>
        </w:pict>
      </w:r>
    </w:p>
    <w:p w:rsidR="00A322ED" w:rsidRDefault="002D0E5D" w14:paraId="4B7BBB11" w14:textId="77777777">
      <w:pPr>
        <w:pStyle w:val="BodyText"/>
        <w:spacing w:before="60"/>
        <w:ind w:left="120"/>
      </w:pPr>
      <w:r>
        <w:t>I</w:t>
      </w:r>
      <w:r>
        <w:rPr>
          <w:spacing w:val="-4"/>
        </w:rPr>
        <w:t xml:space="preserve"> </w:t>
      </w:r>
      <w:r>
        <w:t>certify</w:t>
      </w:r>
      <w:r>
        <w:rPr>
          <w:spacing w:val="-3"/>
        </w:rPr>
        <w:t xml:space="preserve"> </w:t>
      </w:r>
      <w:r>
        <w:t>to</w:t>
      </w:r>
      <w:r>
        <w:rPr>
          <w:spacing w:val="-3"/>
        </w:rPr>
        <w:t xml:space="preserve"> </w:t>
      </w:r>
      <w:r>
        <w:t>the</w:t>
      </w:r>
      <w:r>
        <w:rPr>
          <w:spacing w:val="-3"/>
        </w:rPr>
        <w:t xml:space="preserve"> </w:t>
      </w:r>
      <w:r>
        <w:t>U.S.</w:t>
      </w:r>
      <w:r>
        <w:rPr>
          <w:spacing w:val="-3"/>
        </w:rPr>
        <w:t xml:space="preserve"> </w:t>
      </w:r>
      <w:r>
        <w:t>Department</w:t>
      </w:r>
      <w:r>
        <w:rPr>
          <w:spacing w:val="-4"/>
        </w:rPr>
        <w:t xml:space="preserve"> </w:t>
      </w:r>
      <w:r>
        <w:t>of</w:t>
      </w:r>
      <w:r>
        <w:rPr>
          <w:spacing w:val="-3"/>
        </w:rPr>
        <w:t xml:space="preserve"> </w:t>
      </w:r>
      <w:r>
        <w:t>the</w:t>
      </w:r>
      <w:r>
        <w:rPr>
          <w:spacing w:val="-3"/>
        </w:rPr>
        <w:t xml:space="preserve"> </w:t>
      </w:r>
      <w:r>
        <w:t>Treasury</w:t>
      </w:r>
      <w:r>
        <w:rPr>
          <w:spacing w:val="-3"/>
        </w:rPr>
        <w:t xml:space="preserve"> </w:t>
      </w:r>
      <w:r>
        <w:t>that</w:t>
      </w:r>
      <w:r>
        <w:rPr>
          <w:spacing w:val="-4"/>
        </w:rPr>
        <w:t xml:space="preserve"> </w:t>
      </w:r>
      <w:r>
        <w:t>the</w:t>
      </w:r>
      <w:r>
        <w:rPr>
          <w:spacing w:val="-3"/>
        </w:rPr>
        <w:t xml:space="preserve"> </w:t>
      </w:r>
      <w:r>
        <w:t>information</w:t>
      </w:r>
      <w:r>
        <w:rPr>
          <w:spacing w:val="-4"/>
        </w:rPr>
        <w:t xml:space="preserve"> </w:t>
      </w:r>
      <w:r>
        <w:t>provided</w:t>
      </w:r>
      <w:r>
        <w:rPr>
          <w:spacing w:val="-3"/>
        </w:rPr>
        <w:t xml:space="preserve"> </w:t>
      </w:r>
      <w:r>
        <w:t>above is</w:t>
      </w:r>
      <w:r>
        <w:rPr>
          <w:spacing w:val="-3"/>
        </w:rPr>
        <w:t xml:space="preserve"> </w:t>
      </w:r>
      <w:r>
        <w:t>true</w:t>
      </w:r>
      <w:r>
        <w:rPr>
          <w:spacing w:val="-3"/>
        </w:rPr>
        <w:t xml:space="preserve"> </w:t>
      </w:r>
      <w:r>
        <w:t xml:space="preserve">and </w:t>
      </w:r>
      <w:r>
        <w:rPr>
          <w:spacing w:val="-2"/>
        </w:rPr>
        <w:t>correct.</w:t>
      </w:r>
    </w:p>
    <w:p w:rsidR="00A322ED" w:rsidRDefault="00A322ED" w14:paraId="4B7BBB12" w14:textId="77777777">
      <w:pPr>
        <w:pStyle w:val="BodyText"/>
        <w:rPr>
          <w:sz w:val="20"/>
        </w:rPr>
      </w:pPr>
    </w:p>
    <w:p w:rsidR="00A322ED" w:rsidRDefault="00A322ED" w14:paraId="4B7BBB13" w14:textId="77777777">
      <w:pPr>
        <w:pStyle w:val="BodyText"/>
        <w:rPr>
          <w:sz w:val="20"/>
        </w:rPr>
      </w:pPr>
    </w:p>
    <w:p w:rsidR="00A322ED" w:rsidRDefault="004E1B57" w14:paraId="4B7BBB14" w14:textId="77777777">
      <w:pPr>
        <w:pStyle w:val="BodyText"/>
        <w:spacing w:before="1"/>
        <w:rPr>
          <w:sz w:val="19"/>
        </w:rPr>
      </w:pPr>
      <w:r>
        <w:pict w14:anchorId="4B7BBB21">
          <v:shape id="docshape3" style="position:absolute;margin-left:1in;margin-top:12.7pt;width:183.7pt;height:.1pt;z-index:-15728128;mso-wrap-distance-left:0;mso-wrap-distance-right:0;mso-position-horizontal-relative:page" coordsize="3674,0" coordorigin="1440,254" o:spid="_x0000_s2050" filled="f" strokeweight=".18522mm" path="m1440,254r3674,e">
            <v:path arrowok="t"/>
            <w10:wrap type="topAndBottom" anchorx="page"/>
          </v:shape>
        </w:pict>
      </w:r>
    </w:p>
    <w:p w:rsidR="00A322ED" w:rsidRDefault="002D0E5D" w14:paraId="4B7BBB15" w14:textId="77777777">
      <w:pPr>
        <w:pStyle w:val="BodyText"/>
        <w:spacing w:before="20"/>
        <w:ind w:left="120"/>
      </w:pPr>
      <w:r>
        <w:t>Signature</w:t>
      </w:r>
      <w:r>
        <w:rPr>
          <w:spacing w:val="-4"/>
        </w:rPr>
        <w:t xml:space="preserve"> </w:t>
      </w:r>
      <w:r>
        <w:t>of</w:t>
      </w:r>
      <w:r>
        <w:rPr>
          <w:spacing w:val="-5"/>
        </w:rPr>
        <w:t xml:space="preserve"> </w:t>
      </w:r>
      <w:r>
        <w:t>Authorized</w:t>
      </w:r>
      <w:r>
        <w:rPr>
          <w:spacing w:val="-3"/>
        </w:rPr>
        <w:t xml:space="preserve"> </w:t>
      </w:r>
      <w:r>
        <w:t>Representative</w:t>
      </w:r>
      <w:r>
        <w:rPr>
          <w:spacing w:val="-2"/>
        </w:rPr>
        <w:t xml:space="preserve"> </w:t>
      </w:r>
      <w:r>
        <w:t>of</w:t>
      </w:r>
      <w:r>
        <w:rPr>
          <w:spacing w:val="-3"/>
        </w:rPr>
        <w:t xml:space="preserve"> </w:t>
      </w:r>
      <w:r>
        <w:t>the</w:t>
      </w:r>
      <w:r>
        <w:rPr>
          <w:spacing w:val="-3"/>
        </w:rPr>
        <w:t xml:space="preserve"> </w:t>
      </w:r>
      <w:r>
        <w:rPr>
          <w:spacing w:val="-4"/>
        </w:rPr>
        <w:t>State</w:t>
      </w:r>
    </w:p>
    <w:p w:rsidR="00A322ED" w:rsidRDefault="00A322ED" w14:paraId="4B7BBB16" w14:textId="77777777">
      <w:pPr>
        <w:pStyle w:val="BodyText"/>
      </w:pPr>
    </w:p>
    <w:p w:rsidR="00A322ED" w:rsidRDefault="002D0E5D" w14:paraId="4B7BBB17" w14:textId="77777777">
      <w:pPr>
        <w:pStyle w:val="BodyText"/>
        <w:tabs>
          <w:tab w:val="left" w:pos="7165"/>
          <w:tab w:val="left" w:pos="7225"/>
        </w:tabs>
        <w:spacing w:line="480" w:lineRule="auto"/>
        <w:ind w:left="120" w:right="2352"/>
      </w:pPr>
      <w:r>
        <w:t xml:space="preserve">Print Name of Authorized Representative: </w:t>
      </w:r>
      <w:r>
        <w:rPr>
          <w:u w:val="single"/>
        </w:rPr>
        <w:tab/>
      </w:r>
      <w:r>
        <w:rPr>
          <w:u w:val="single"/>
        </w:rPr>
        <w:tab/>
      </w:r>
      <w:r>
        <w:t xml:space="preserve"> Title of Authorized Representative: </w:t>
      </w:r>
      <w:r>
        <w:rPr>
          <w:u w:val="single"/>
        </w:rPr>
        <w:tab/>
      </w:r>
    </w:p>
    <w:p w:rsidR="00A322ED" w:rsidRDefault="002D0E5D" w14:paraId="4B7BBB18" w14:textId="77777777">
      <w:pPr>
        <w:pStyle w:val="BodyText"/>
        <w:tabs>
          <w:tab w:val="left" w:pos="4272"/>
        </w:tabs>
        <w:ind w:left="120"/>
      </w:pPr>
      <w:r>
        <w:t xml:space="preserve">Date: </w:t>
      </w:r>
      <w:r>
        <w:rPr>
          <w:u w:val="single"/>
        </w:rPr>
        <w:tab/>
      </w:r>
    </w:p>
    <w:p w:rsidR="00A322ED" w:rsidRDefault="00A322ED" w14:paraId="4B7BBB19" w14:textId="77777777">
      <w:pPr>
        <w:sectPr w:rsidR="00A322ED">
          <w:pgSz w:w="12240" w:h="15840"/>
          <w:pgMar w:top="1560" w:right="1340" w:bottom="280" w:left="1320" w:header="730" w:footer="0" w:gutter="0"/>
          <w:cols w:space="720"/>
        </w:sectPr>
      </w:pPr>
    </w:p>
    <w:p w:rsidR="00A322ED" w:rsidRDefault="00A322ED" w14:paraId="4B7BBB1A" w14:textId="77777777">
      <w:pPr>
        <w:pStyle w:val="BodyText"/>
        <w:spacing w:before="4"/>
        <w:rPr>
          <w:sz w:val="28"/>
        </w:rPr>
      </w:pPr>
    </w:p>
    <w:p w:rsidR="00A322ED" w:rsidRDefault="002D0E5D" w14:paraId="4B7BBB1B" w14:textId="77777777">
      <w:pPr>
        <w:pStyle w:val="BodyText"/>
        <w:spacing w:before="100"/>
        <w:ind w:left="120"/>
      </w:pPr>
      <w:r>
        <w:t>PAPERWORK</w:t>
      </w:r>
      <w:r>
        <w:rPr>
          <w:spacing w:val="-2"/>
        </w:rPr>
        <w:t xml:space="preserve"> </w:t>
      </w:r>
      <w:r>
        <w:t>REDUCTION</w:t>
      </w:r>
      <w:r>
        <w:rPr>
          <w:spacing w:val="-2"/>
        </w:rPr>
        <w:t xml:space="preserve"> </w:t>
      </w:r>
      <w:r>
        <w:t>ACT</w:t>
      </w:r>
      <w:r>
        <w:rPr>
          <w:spacing w:val="-2"/>
        </w:rPr>
        <w:t xml:space="preserve"> NOTICE</w:t>
      </w:r>
    </w:p>
    <w:p w:rsidR="00A322ED" w:rsidRDefault="002D0E5D" w14:paraId="4B7BBB1C" w14:textId="77777777">
      <w:pPr>
        <w:pStyle w:val="BodyText"/>
        <w:ind w:left="120" w:right="157"/>
      </w:pPr>
      <w:r>
        <w:t>The</w:t>
      </w:r>
      <w:r>
        <w:rPr>
          <w:spacing w:val="-3"/>
        </w:rPr>
        <w:t xml:space="preserve"> </w:t>
      </w:r>
      <w:r>
        <w:t>information</w:t>
      </w:r>
      <w:r>
        <w:rPr>
          <w:spacing w:val="-3"/>
        </w:rPr>
        <w:t xml:space="preserve"> </w:t>
      </w:r>
      <w:r>
        <w:t>collected</w:t>
      </w:r>
      <w:r>
        <w:rPr>
          <w:spacing w:val="-3"/>
        </w:rPr>
        <w:t xml:space="preserve"> </w:t>
      </w:r>
      <w:r>
        <w:t>will</w:t>
      </w:r>
      <w:r>
        <w:rPr>
          <w:spacing w:val="-3"/>
        </w:rPr>
        <w:t xml:space="preserve"> </w:t>
      </w:r>
      <w:r>
        <w:t>be</w:t>
      </w:r>
      <w:r>
        <w:rPr>
          <w:spacing w:val="-3"/>
        </w:rPr>
        <w:t xml:space="preserve"> </w:t>
      </w:r>
      <w:r>
        <w:t>used</w:t>
      </w:r>
      <w:r>
        <w:rPr>
          <w:spacing w:val="-3"/>
        </w:rPr>
        <w:t xml:space="preserve"> </w:t>
      </w:r>
      <w:r>
        <w:t>for</w:t>
      </w:r>
      <w:r>
        <w:rPr>
          <w:spacing w:val="-4"/>
        </w:rPr>
        <w:t xml:space="preserve"> </w:t>
      </w:r>
      <w:r>
        <w:t>the</w:t>
      </w:r>
      <w:r>
        <w:rPr>
          <w:spacing w:val="-4"/>
        </w:rPr>
        <w:t xml:space="preserve"> </w:t>
      </w:r>
      <w:r>
        <w:t>U.S.</w:t>
      </w:r>
      <w:r>
        <w:rPr>
          <w:spacing w:val="-3"/>
        </w:rPr>
        <w:t xml:space="preserve"> </w:t>
      </w:r>
      <w:r>
        <w:t>Government</w:t>
      </w:r>
      <w:r>
        <w:rPr>
          <w:spacing w:val="-4"/>
        </w:rPr>
        <w:t xml:space="preserve"> </w:t>
      </w:r>
      <w:r>
        <w:t>to</w:t>
      </w:r>
      <w:r>
        <w:rPr>
          <w:spacing w:val="-4"/>
        </w:rPr>
        <w:t xml:space="preserve"> </w:t>
      </w:r>
      <w:r>
        <w:t>process</w:t>
      </w:r>
      <w:r>
        <w:rPr>
          <w:spacing w:val="-3"/>
        </w:rPr>
        <w:t xml:space="preserve"> </w:t>
      </w:r>
      <w:r>
        <w:t>requests</w:t>
      </w:r>
      <w:r>
        <w:rPr>
          <w:spacing w:val="-4"/>
        </w:rPr>
        <w:t xml:space="preserve"> </w:t>
      </w:r>
      <w:r>
        <w:t>for</w:t>
      </w:r>
      <w:r>
        <w:rPr>
          <w:spacing w:val="-3"/>
        </w:rPr>
        <w:t xml:space="preserve"> </w:t>
      </w:r>
      <w:r>
        <w:t>support. The estimated burden associated with this collection of information is 1 hour per response.</w:t>
      </w:r>
    </w:p>
    <w:p w:rsidR="00A322ED" w:rsidRDefault="002D0E5D" w14:paraId="4B7BBB1D" w14:textId="77777777">
      <w:pPr>
        <w:pStyle w:val="BodyText"/>
        <w:ind w:left="119" w:right="157"/>
      </w:pPr>
      <w:r>
        <w:t>Comments concerning the accuracy of this burden estimate and suggestions for reducing this burden should be directed to the Office of Privacy, Transparency and Records, Department of the</w:t>
      </w:r>
      <w:r>
        <w:rPr>
          <w:spacing w:val="-2"/>
        </w:rPr>
        <w:t xml:space="preserve"> </w:t>
      </w:r>
      <w:r>
        <w:t>Treasury,</w:t>
      </w:r>
      <w:r>
        <w:rPr>
          <w:spacing w:val="-2"/>
        </w:rPr>
        <w:t xml:space="preserve"> </w:t>
      </w:r>
      <w:r>
        <w:t>1500</w:t>
      </w:r>
      <w:r>
        <w:rPr>
          <w:spacing w:val="-3"/>
        </w:rPr>
        <w:t xml:space="preserve"> </w:t>
      </w:r>
      <w:r>
        <w:t>Pennsylvania</w:t>
      </w:r>
      <w:r>
        <w:rPr>
          <w:spacing w:val="-2"/>
        </w:rPr>
        <w:t xml:space="preserve"> </w:t>
      </w:r>
      <w:r>
        <w:t>Ave.,</w:t>
      </w:r>
      <w:r>
        <w:rPr>
          <w:spacing w:val="-2"/>
        </w:rPr>
        <w:t xml:space="preserve"> </w:t>
      </w:r>
      <w:r>
        <w:t>N.W.,</w:t>
      </w:r>
      <w:r>
        <w:rPr>
          <w:spacing w:val="-2"/>
        </w:rPr>
        <w:t xml:space="preserve"> </w:t>
      </w:r>
      <w:r>
        <w:t>Washington,</w:t>
      </w:r>
      <w:r>
        <w:rPr>
          <w:spacing w:val="-2"/>
        </w:rPr>
        <w:t xml:space="preserve"> </w:t>
      </w:r>
      <w:r>
        <w:t>D.C.</w:t>
      </w:r>
      <w:r>
        <w:rPr>
          <w:spacing w:val="-2"/>
        </w:rPr>
        <w:t xml:space="preserve"> </w:t>
      </w:r>
      <w:r>
        <w:t>20220.</w:t>
      </w:r>
      <w:r>
        <w:rPr>
          <w:spacing w:val="-3"/>
        </w:rPr>
        <w:t xml:space="preserve"> </w:t>
      </w:r>
      <w:r>
        <w:t>DO</w:t>
      </w:r>
      <w:r>
        <w:rPr>
          <w:spacing w:val="-2"/>
        </w:rPr>
        <w:t xml:space="preserve"> </w:t>
      </w:r>
      <w:r>
        <w:t>NOT</w:t>
      </w:r>
      <w:r>
        <w:rPr>
          <w:spacing w:val="-2"/>
        </w:rPr>
        <w:t xml:space="preserve"> </w:t>
      </w:r>
      <w:r>
        <w:t>send</w:t>
      </w:r>
      <w:r>
        <w:rPr>
          <w:spacing w:val="-2"/>
        </w:rPr>
        <w:t xml:space="preserve"> </w:t>
      </w:r>
      <w:r>
        <w:t>the</w:t>
      </w:r>
      <w:r>
        <w:rPr>
          <w:spacing w:val="-2"/>
        </w:rPr>
        <w:t xml:space="preserve"> </w:t>
      </w:r>
      <w:r>
        <w:t>form to</w:t>
      </w:r>
      <w:r>
        <w:rPr>
          <w:spacing w:val="-2"/>
        </w:rPr>
        <w:t xml:space="preserve"> </w:t>
      </w:r>
      <w:r>
        <w:t>this</w:t>
      </w:r>
      <w:r>
        <w:rPr>
          <w:spacing w:val="-3"/>
        </w:rPr>
        <w:t xml:space="preserve"> </w:t>
      </w:r>
      <w:r>
        <w:t>address.</w:t>
      </w:r>
      <w:r>
        <w:rPr>
          <w:spacing w:val="-2"/>
        </w:rPr>
        <w:t xml:space="preserve"> </w:t>
      </w:r>
      <w:r>
        <w:t>An</w:t>
      </w:r>
      <w:r>
        <w:rPr>
          <w:spacing w:val="-3"/>
        </w:rPr>
        <w:t xml:space="preserve"> </w:t>
      </w:r>
      <w:r>
        <w:t>agency</w:t>
      </w:r>
      <w:r>
        <w:rPr>
          <w:spacing w:val="-2"/>
        </w:rPr>
        <w:t xml:space="preserve"> </w:t>
      </w:r>
      <w:r>
        <w:t>may</w:t>
      </w:r>
      <w:r>
        <w:rPr>
          <w:spacing w:val="-3"/>
        </w:rPr>
        <w:t xml:space="preserve"> </w:t>
      </w:r>
      <w:r>
        <w:t>not</w:t>
      </w:r>
      <w:r>
        <w:rPr>
          <w:spacing w:val="-2"/>
        </w:rPr>
        <w:t xml:space="preserve"> </w:t>
      </w:r>
      <w:r>
        <w:t>conduct</w:t>
      </w:r>
      <w:r>
        <w:rPr>
          <w:spacing w:val="-2"/>
        </w:rPr>
        <w:t xml:space="preserve"> </w:t>
      </w:r>
      <w:r>
        <w:t>or</w:t>
      </w:r>
      <w:r>
        <w:rPr>
          <w:spacing w:val="-2"/>
        </w:rPr>
        <w:t xml:space="preserve"> </w:t>
      </w:r>
      <w:r>
        <w:t>sponsor,</w:t>
      </w:r>
      <w:r>
        <w:rPr>
          <w:spacing w:val="-2"/>
        </w:rPr>
        <w:t xml:space="preserve"> </w:t>
      </w:r>
      <w:r>
        <w:t>and</w:t>
      </w:r>
      <w:r>
        <w:rPr>
          <w:spacing w:val="-2"/>
        </w:rPr>
        <w:t xml:space="preserve"> </w:t>
      </w:r>
      <w:r>
        <w:t>a</w:t>
      </w:r>
      <w:r>
        <w:rPr>
          <w:spacing w:val="-4"/>
        </w:rPr>
        <w:t xml:space="preserve"> </w:t>
      </w:r>
      <w:r>
        <w:t>person</w:t>
      </w:r>
      <w:r>
        <w:rPr>
          <w:spacing w:val="-3"/>
        </w:rPr>
        <w:t xml:space="preserve"> </w:t>
      </w:r>
      <w:r>
        <w:t>is</w:t>
      </w:r>
      <w:r>
        <w:rPr>
          <w:spacing w:val="-2"/>
        </w:rPr>
        <w:t xml:space="preserve"> </w:t>
      </w:r>
      <w:r>
        <w:t>not</w:t>
      </w:r>
      <w:r>
        <w:rPr>
          <w:spacing w:val="-3"/>
        </w:rPr>
        <w:t xml:space="preserve"> </w:t>
      </w:r>
      <w:r>
        <w:t>required</w:t>
      </w:r>
      <w:r>
        <w:rPr>
          <w:spacing w:val="-2"/>
        </w:rPr>
        <w:t xml:space="preserve"> </w:t>
      </w:r>
      <w:r>
        <w:t>to</w:t>
      </w:r>
      <w:r>
        <w:rPr>
          <w:spacing w:val="-3"/>
        </w:rPr>
        <w:t xml:space="preserve"> </w:t>
      </w:r>
      <w:r>
        <w:t>respond to, a collection of information unless it displays a valid control number assigned by OMB.</w:t>
      </w:r>
    </w:p>
    <w:sectPr w:rsidR="00A322ED">
      <w:pgSz w:w="12240" w:h="15840"/>
      <w:pgMar w:top="1560" w:right="1340" w:bottom="280" w:left="1320" w:header="73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BBB27" w14:textId="77777777" w:rsidR="004621D3" w:rsidRDefault="002D0E5D">
      <w:r>
        <w:separator/>
      </w:r>
    </w:p>
  </w:endnote>
  <w:endnote w:type="continuationSeparator" w:id="0">
    <w:p w14:paraId="4B7BBB29" w14:textId="77777777" w:rsidR="004621D3" w:rsidRDefault="002D0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BBB23" w14:textId="77777777" w:rsidR="004621D3" w:rsidRDefault="002D0E5D">
      <w:r>
        <w:separator/>
      </w:r>
    </w:p>
  </w:footnote>
  <w:footnote w:type="continuationSeparator" w:id="0">
    <w:p w14:paraId="4B7BBB25" w14:textId="77777777" w:rsidR="004621D3" w:rsidRDefault="002D0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BB22" w14:textId="77777777" w:rsidR="00A322ED" w:rsidRDefault="004E1B57">
    <w:pPr>
      <w:pStyle w:val="BodyText"/>
      <w:spacing w:line="14" w:lineRule="auto"/>
      <w:rPr>
        <w:sz w:val="20"/>
      </w:rPr>
    </w:pPr>
    <w:r>
      <w:pict w14:anchorId="4B7BBB23">
        <v:shapetype id="_x0000_t202" coordsize="21600,21600" o:spt="202" path="m,l,21600r21600,l21600,xe">
          <v:stroke joinstyle="miter"/>
          <v:path gradientshapeok="t" o:connecttype="rect"/>
        </v:shapetype>
        <v:shape id="docshape1" o:spid="_x0000_s1025" type="#_x0000_t202" style="position:absolute;margin-left:71pt;margin-top:35.5pt;width:143.15pt;height:26.85pt;z-index:-251658752;mso-position-horizontal-relative:page;mso-position-vertical-relative:page" filled="f" stroked="f">
          <v:textbox inset="0,0,0,0">
            <w:txbxContent>
              <w:p w14:paraId="4B7BBB25" w14:textId="77777777" w:rsidR="00A322ED" w:rsidRDefault="002D0E5D">
                <w:pPr>
                  <w:spacing w:before="10"/>
                  <w:ind w:left="20"/>
                  <w:rPr>
                    <w:rFonts w:ascii="Times New Roman"/>
                  </w:rPr>
                </w:pPr>
                <w:r>
                  <w:rPr>
                    <w:rFonts w:ascii="Times New Roman"/>
                  </w:rPr>
                  <w:t>OMB</w:t>
                </w:r>
                <w:r>
                  <w:rPr>
                    <w:rFonts w:ascii="Times New Roman"/>
                    <w:spacing w:val="-14"/>
                  </w:rPr>
                  <w:t xml:space="preserve"> </w:t>
                </w:r>
                <w:r>
                  <w:rPr>
                    <w:rFonts w:ascii="Times New Roman"/>
                  </w:rPr>
                  <w:t>Approved</w:t>
                </w:r>
                <w:r>
                  <w:rPr>
                    <w:rFonts w:ascii="Times New Roman"/>
                    <w:spacing w:val="-14"/>
                  </w:rPr>
                  <w:t xml:space="preserve"> </w:t>
                </w:r>
                <w:r>
                  <w:rPr>
                    <w:rFonts w:ascii="Times New Roman"/>
                  </w:rPr>
                  <w:t>No.</w:t>
                </w:r>
                <w:r>
                  <w:rPr>
                    <w:rFonts w:ascii="Times New Roman"/>
                    <w:spacing w:val="-11"/>
                  </w:rPr>
                  <w:t xml:space="preserve"> </w:t>
                </w:r>
                <w:r>
                  <w:rPr>
                    <w:rFonts w:ascii="Times New Roman"/>
                  </w:rPr>
                  <w:t>1505-0271 Expiration Date: 4/30/2025</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D64D9"/>
    <w:multiLevelType w:val="hybridMultilevel"/>
    <w:tmpl w:val="5A921234"/>
    <w:lvl w:ilvl="0" w:tplc="A54E4B7C">
      <w:numFmt w:val="bullet"/>
      <w:lvlText w:val="☐"/>
      <w:lvlJc w:val="left"/>
      <w:pPr>
        <w:ind w:left="1074" w:hanging="269"/>
      </w:pPr>
      <w:rPr>
        <w:rFonts w:ascii="MS Gothic" w:eastAsia="MS Gothic" w:hAnsi="MS Gothic" w:cs="MS Gothic" w:hint="default"/>
        <w:b w:val="0"/>
        <w:bCs w:val="0"/>
        <w:i w:val="0"/>
        <w:iCs w:val="0"/>
        <w:color w:val="3B4044"/>
        <w:w w:val="100"/>
        <w:sz w:val="21"/>
        <w:szCs w:val="21"/>
        <w:lang w:val="en-US" w:eastAsia="en-US" w:bidi="ar-SA"/>
      </w:rPr>
    </w:lvl>
    <w:lvl w:ilvl="1" w:tplc="2E98E200">
      <w:numFmt w:val="bullet"/>
      <w:lvlText w:val="•"/>
      <w:lvlJc w:val="left"/>
      <w:pPr>
        <w:ind w:left="1930" w:hanging="269"/>
      </w:pPr>
      <w:rPr>
        <w:rFonts w:hint="default"/>
        <w:lang w:val="en-US" w:eastAsia="en-US" w:bidi="ar-SA"/>
      </w:rPr>
    </w:lvl>
    <w:lvl w:ilvl="2" w:tplc="A9D27502">
      <w:numFmt w:val="bullet"/>
      <w:lvlText w:val="•"/>
      <w:lvlJc w:val="left"/>
      <w:pPr>
        <w:ind w:left="2780" w:hanging="269"/>
      </w:pPr>
      <w:rPr>
        <w:rFonts w:hint="default"/>
        <w:lang w:val="en-US" w:eastAsia="en-US" w:bidi="ar-SA"/>
      </w:rPr>
    </w:lvl>
    <w:lvl w:ilvl="3" w:tplc="60D2EB2A">
      <w:numFmt w:val="bullet"/>
      <w:lvlText w:val="•"/>
      <w:lvlJc w:val="left"/>
      <w:pPr>
        <w:ind w:left="3630" w:hanging="269"/>
      </w:pPr>
      <w:rPr>
        <w:rFonts w:hint="default"/>
        <w:lang w:val="en-US" w:eastAsia="en-US" w:bidi="ar-SA"/>
      </w:rPr>
    </w:lvl>
    <w:lvl w:ilvl="4" w:tplc="5D4A7E2A">
      <w:numFmt w:val="bullet"/>
      <w:lvlText w:val="•"/>
      <w:lvlJc w:val="left"/>
      <w:pPr>
        <w:ind w:left="4480" w:hanging="269"/>
      </w:pPr>
      <w:rPr>
        <w:rFonts w:hint="default"/>
        <w:lang w:val="en-US" w:eastAsia="en-US" w:bidi="ar-SA"/>
      </w:rPr>
    </w:lvl>
    <w:lvl w:ilvl="5" w:tplc="A77E0074">
      <w:numFmt w:val="bullet"/>
      <w:lvlText w:val="•"/>
      <w:lvlJc w:val="left"/>
      <w:pPr>
        <w:ind w:left="5330" w:hanging="269"/>
      </w:pPr>
      <w:rPr>
        <w:rFonts w:hint="default"/>
        <w:lang w:val="en-US" w:eastAsia="en-US" w:bidi="ar-SA"/>
      </w:rPr>
    </w:lvl>
    <w:lvl w:ilvl="6" w:tplc="E36EB900">
      <w:numFmt w:val="bullet"/>
      <w:lvlText w:val="•"/>
      <w:lvlJc w:val="left"/>
      <w:pPr>
        <w:ind w:left="6180" w:hanging="269"/>
      </w:pPr>
      <w:rPr>
        <w:rFonts w:hint="default"/>
        <w:lang w:val="en-US" w:eastAsia="en-US" w:bidi="ar-SA"/>
      </w:rPr>
    </w:lvl>
    <w:lvl w:ilvl="7" w:tplc="CC989EAE">
      <w:numFmt w:val="bullet"/>
      <w:lvlText w:val="•"/>
      <w:lvlJc w:val="left"/>
      <w:pPr>
        <w:ind w:left="7030" w:hanging="269"/>
      </w:pPr>
      <w:rPr>
        <w:rFonts w:hint="default"/>
        <w:lang w:val="en-US" w:eastAsia="en-US" w:bidi="ar-SA"/>
      </w:rPr>
    </w:lvl>
    <w:lvl w:ilvl="8" w:tplc="1C0A0C14">
      <w:numFmt w:val="bullet"/>
      <w:lvlText w:val="•"/>
      <w:lvlJc w:val="left"/>
      <w:pPr>
        <w:ind w:left="7880" w:hanging="269"/>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322ED"/>
    <w:rsid w:val="002D0E5D"/>
    <w:rsid w:val="004621D3"/>
    <w:rsid w:val="004E1B57"/>
    <w:rsid w:val="00A32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B7BBAE6"/>
  <w15:docId w15:val="{39592927-73EE-4E73-B317-392B52246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Schoolbook" w:eastAsia="Century Schoolbook" w:hAnsi="Century Schoolbook" w:cs="Century Schoolbook"/>
    </w:rPr>
  </w:style>
  <w:style w:type="paragraph" w:styleId="Heading1">
    <w:name w:val="heading 1"/>
    <w:basedOn w:val="Normal"/>
    <w:uiPriority w:val="9"/>
    <w:qFormat/>
    <w:pPr>
      <w:ind w:left="1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109" w:hanging="27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D0E5D"/>
    <w:rPr>
      <w:sz w:val="16"/>
      <w:szCs w:val="16"/>
    </w:rPr>
  </w:style>
  <w:style w:type="paragraph" w:styleId="CommentText">
    <w:name w:val="annotation text"/>
    <w:basedOn w:val="Normal"/>
    <w:link w:val="CommentTextChar"/>
    <w:uiPriority w:val="99"/>
    <w:semiHidden/>
    <w:unhideWhenUsed/>
    <w:rsid w:val="002D0E5D"/>
    <w:rPr>
      <w:sz w:val="20"/>
      <w:szCs w:val="20"/>
    </w:rPr>
  </w:style>
  <w:style w:type="character" w:customStyle="1" w:styleId="CommentTextChar">
    <w:name w:val="Comment Text Char"/>
    <w:basedOn w:val="DefaultParagraphFont"/>
    <w:link w:val="CommentText"/>
    <w:uiPriority w:val="99"/>
    <w:semiHidden/>
    <w:rsid w:val="002D0E5D"/>
    <w:rPr>
      <w:rFonts w:ascii="Century Schoolbook" w:eastAsia="Century Schoolbook" w:hAnsi="Century Schoolbook" w:cs="Century Schoolbook"/>
      <w:sz w:val="20"/>
      <w:szCs w:val="20"/>
    </w:rPr>
  </w:style>
  <w:style w:type="paragraph" w:styleId="CommentSubject">
    <w:name w:val="annotation subject"/>
    <w:basedOn w:val="CommentText"/>
    <w:next w:val="CommentText"/>
    <w:link w:val="CommentSubjectChar"/>
    <w:uiPriority w:val="99"/>
    <w:semiHidden/>
    <w:unhideWhenUsed/>
    <w:rsid w:val="002D0E5D"/>
    <w:rPr>
      <w:b/>
      <w:bCs/>
    </w:rPr>
  </w:style>
  <w:style w:type="character" w:customStyle="1" w:styleId="CommentSubjectChar">
    <w:name w:val="Comment Subject Char"/>
    <w:basedOn w:val="CommentTextChar"/>
    <w:link w:val="CommentSubject"/>
    <w:uiPriority w:val="99"/>
    <w:semiHidden/>
    <w:rsid w:val="002D0E5D"/>
    <w:rPr>
      <w:rFonts w:ascii="Century Schoolbook" w:eastAsia="Century Schoolbook" w:hAnsi="Century Schoolbook" w:cs="Century Schoolbook"/>
      <w:b/>
      <w:bCs/>
      <w:sz w:val="20"/>
      <w:szCs w:val="20"/>
    </w:rPr>
  </w:style>
  <w:style w:type="character" w:styleId="Hyperlink">
    <w:name w:val="Hyperlink"/>
    <w:basedOn w:val="DefaultParagraphFont"/>
    <w:uiPriority w:val="99"/>
    <w:unhideWhenUsed/>
    <w:rsid w:val="004E1B57"/>
    <w:rPr>
      <w:color w:val="0000FF" w:themeColor="hyperlink"/>
      <w:u w:val="single"/>
    </w:rPr>
  </w:style>
  <w:style w:type="character" w:styleId="UnresolvedMention">
    <w:name w:val="Unresolved Mention"/>
    <w:basedOn w:val="DefaultParagraphFont"/>
    <w:uiPriority w:val="99"/>
    <w:semiHidden/>
    <w:unhideWhenUsed/>
    <w:rsid w:val="004E1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me.treasury.gov/system/files/136/Status-State-NEU-Distribution.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ome.treasury.gov/system/files/136/1505-0271-NEU-Extensions-Form-vF.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ome.treasury.gov/system/files/136/NEU_Guidanc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LFRP@treasury.gov" TargetMode="External"/><Relationship Id="rId5" Type="http://schemas.openxmlformats.org/officeDocument/2006/relationships/numbering" Target="numbering.xml"/><Relationship Id="rId15" Type="http://schemas.openxmlformats.org/officeDocument/2006/relationships/hyperlink" Target="https://home.treasury.gov/system/files/136/SLFRF_Recipient-Reporting-User-Guide-NEU_Non-UGLG.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4B334F8331864289C339BC271DB812" ma:contentTypeVersion="2" ma:contentTypeDescription="Create a new document." ma:contentTypeScope="" ma:versionID="8c4b55f928091e0f7115458da4601d07">
  <xsd:schema xmlns:xsd="http://www.w3.org/2001/XMLSchema" xmlns:xs="http://www.w3.org/2001/XMLSchema" xmlns:p="http://schemas.microsoft.com/office/2006/metadata/properties" xmlns:ns2="f70e41de-0fe8-47d8-bae5-96f488b1d7ac" xmlns:ns3="478b807d-6a4d-4e8c-be22-08dab40d7d86" xmlns:ns4="354ab5d5-3917-4d2c-a72e-c43f200ca589" targetNamespace="http://schemas.microsoft.com/office/2006/metadata/properties" ma:root="true" ma:fieldsID="bbd9df379e86a1d9edb75a4ff672fbb3" ns2:_="" ns3:_="" ns4:_="">
    <xsd:import namespace="f70e41de-0fe8-47d8-bae5-96f488b1d7ac"/>
    <xsd:import namespace="478b807d-6a4d-4e8c-be22-08dab40d7d86"/>
    <xsd:import namespace="354ab5d5-3917-4d2c-a72e-c43f200ca589"/>
    <xsd:element name="properties">
      <xsd:complexType>
        <xsd:sequence>
          <xsd:element name="documentManagement">
            <xsd:complexType>
              <xsd:all>
                <xsd:element ref="ns2:ARP_x0020_Program" minOccurs="0"/>
                <xsd:element ref="ns3:To_x0020_Review" minOccurs="0"/>
                <xsd:element ref="ns3:Reviewed" minOccurs="0"/>
                <xsd:element ref="ns4:_dlc_DocId" minOccurs="0"/>
                <xsd:element ref="ns4:_dlc_DocIdUrl" minOccurs="0"/>
                <xsd:element ref="ns4: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e41de-0fe8-47d8-bae5-96f488b1d7ac" elementFormDefault="qualified">
    <xsd:import namespace="http://schemas.microsoft.com/office/2006/documentManagement/types"/>
    <xsd:import namespace="http://schemas.microsoft.com/office/infopath/2007/PartnerControls"/>
    <xsd:element name="ARP_x0020_Program" ma:index="2" nillable="true" ma:displayName="ARP Program" ma:default="State and Local Recovery Fund" ma:format="Dropdown" ma:internalName="ARP_x0020_Program">
      <xsd:simpleType>
        <xsd:restriction base="dms:Choice">
          <xsd:enumeration value="Budget"/>
          <xsd:enumeration value="Capital Projects Fund"/>
          <xsd:enumeration value="​Counties (Local Assistance and Tribal Consistency Fund)"/>
          <xsd:enumeration value="Emergency Rental Assistance Program"/>
          <xsd:enumeration value="​Homeownership Assistance Fund"/>
          <xsd:enumeration value="Human Resources"/>
          <xsd:enumeration value="Information Technology"/>
          <xsd:enumeration value="Overall Program"/>
          <xsd:enumeration value="Pensions (Emergency Butch Lewis) ​"/>
          <xsd:enumeration value="Procurement"/>
          <xsd:enumeration value="State and Local Recovery Fund"/>
          <xsd:enumeration value="State Small Business Credit Initiative​"/>
          <xsd:enumeration value="Tax"/>
        </xsd:restriction>
      </xsd:simpleType>
    </xsd:element>
  </xsd:schema>
  <xsd:schema xmlns:xsd="http://www.w3.org/2001/XMLSchema" xmlns:xs="http://www.w3.org/2001/XMLSchema" xmlns:dms="http://schemas.microsoft.com/office/2006/documentManagement/types" xmlns:pc="http://schemas.microsoft.com/office/infopath/2007/PartnerControls" targetNamespace="478b807d-6a4d-4e8c-be22-08dab40d7d86" elementFormDefault="qualified">
    <xsd:import namespace="http://schemas.microsoft.com/office/2006/documentManagement/types"/>
    <xsd:import namespace="http://schemas.microsoft.com/office/infopath/2007/PartnerControls"/>
    <xsd:element name="To_x0020_Review" ma:index="3" nillable="true" ma:displayName="Groups to Review" ma:default="OGC" ma:internalName="To_x0020_Review">
      <xsd:complexType>
        <xsd:complexContent>
          <xsd:extension base="dms:MultiChoice">
            <xsd:sequence>
              <xsd:element name="Value" maxOccurs="unbounded" minOccurs="0" nillable="true">
                <xsd:simpleType>
                  <xsd:restriction base="dms:Choice">
                    <xsd:enumeration value="OGC"/>
                    <xsd:enumeration value="LA"/>
                    <xsd:enumeration value="PA"/>
                  </xsd:restriction>
                </xsd:simpleType>
              </xsd:element>
            </xsd:sequence>
          </xsd:extension>
        </xsd:complexContent>
      </xsd:complexType>
    </xsd:element>
    <xsd:element name="Reviewed" ma:index="4" nillable="true" ma:displayName="Reviewed" ma:default="No" ma:format="Dropdown" ma:internalName="Reviewed">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354ab5d5-3917-4d2c-a72e-c43f200ca589"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ewed xmlns="478b807d-6a4d-4e8c-be22-08dab40d7d86">No</Reviewed>
    <To_x0020_Review xmlns="478b807d-6a4d-4e8c-be22-08dab40d7d86">
      <Value>OGC</Value>
    </To_x0020_Review>
    <ARP_x0020_Program xmlns="f70e41de-0fe8-47d8-bae5-96f488b1d7ac">State and Local Recovery Fund</ARP_x0020_Program>
  </documentManagement>
</p:properties>
</file>

<file path=customXml/itemProps1.xml><?xml version="1.0" encoding="utf-8"?>
<ds:datastoreItem xmlns:ds="http://schemas.openxmlformats.org/officeDocument/2006/customXml" ds:itemID="{BC6D0A1A-1C9B-4D06-908A-E25E3D352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e41de-0fe8-47d8-bae5-96f488b1d7ac"/>
    <ds:schemaRef ds:uri="478b807d-6a4d-4e8c-be22-08dab40d7d86"/>
    <ds:schemaRef ds:uri="354ab5d5-3917-4d2c-a72e-c43f200ca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C8F093-4A06-413B-AD79-C6FDB1584840}">
  <ds:schemaRefs>
    <ds:schemaRef ds:uri="http://schemas.microsoft.com/sharepoint/events"/>
  </ds:schemaRefs>
</ds:datastoreItem>
</file>

<file path=customXml/itemProps3.xml><?xml version="1.0" encoding="utf-8"?>
<ds:datastoreItem xmlns:ds="http://schemas.openxmlformats.org/officeDocument/2006/customXml" ds:itemID="{A3119490-06B3-48BB-91D1-01E85254453A}">
  <ds:schemaRefs>
    <ds:schemaRef ds:uri="http://schemas.microsoft.com/sharepoint/v3/contenttype/forms"/>
  </ds:schemaRefs>
</ds:datastoreItem>
</file>

<file path=customXml/itemProps4.xml><?xml version="1.0" encoding="utf-8"?>
<ds:datastoreItem xmlns:ds="http://schemas.openxmlformats.org/officeDocument/2006/customXml" ds:itemID="{44CC277C-C348-4654-8D7F-4C285A131640}">
  <ds:schemaRefs>
    <ds:schemaRef ds:uri="http://www.w3.org/XML/1998/namespace"/>
    <ds:schemaRef ds:uri="http://schemas.microsoft.com/office/2006/documentManagement/types"/>
    <ds:schemaRef ds:uri="http://schemas.microsoft.com/office/2006/metadata/properties"/>
    <ds:schemaRef ds:uri="f70e41de-0fe8-47d8-bae5-96f488b1d7ac"/>
    <ds:schemaRef ds:uri="http://purl.org/dc/dcmitype/"/>
    <ds:schemaRef ds:uri="478b807d-6a4d-4e8c-be22-08dab40d7d86"/>
    <ds:schemaRef ds:uri="http://purl.org/dc/terms/"/>
    <ds:schemaRef ds:uri="http://schemas.openxmlformats.org/package/2006/metadata/core-properties"/>
    <ds:schemaRef ds:uri="http://schemas.microsoft.com/office/infopath/2007/PartnerControls"/>
    <ds:schemaRef ds:uri="354ab5d5-3917-4d2c-a72e-c43f200ca589"/>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1072</Words>
  <Characters>6114</Characters>
  <Application>Microsoft Office Word</Application>
  <DocSecurity>0</DocSecurity>
  <Lines>50</Lines>
  <Paragraphs>14</Paragraphs>
  <ScaleCrop>false</ScaleCrop>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Coronavirus State and Local Fiscal Recovery Funds Request for Extension Form (Subsequent 30-Day Extension for Distribution of Funds to Nonentitlement Units of Local Government)</dc:title>
  <cp:lastModifiedBy>North, Jennifer</cp:lastModifiedBy>
  <cp:revision>3</cp:revision>
  <dcterms:created xsi:type="dcterms:W3CDTF">2022-06-03T13:55:00Z</dcterms:created>
  <dcterms:modified xsi:type="dcterms:W3CDTF">2022-06-06T17:41:00Z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2021-08-12T00:00:00Z</vt:filetime>
  </property>
  <property fmtid="{D5CDD505-2E9C-101B-9397-08002B2CF9AE}" pid="3" name="LastSaved">
    <vt:filetime>2022-06-03T00:00:00Z</vt:filetime>
  </property>
  <property fmtid="{D5CDD505-2E9C-101B-9397-08002B2CF9AE}" pid="4" name="ContentTypeId">
    <vt:lpwstr>0x010100EF4B334F8331864289C339BC271DB812</vt:lpwstr>
  </property>
</Properties>
</file>