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E6574" w:rsidP="10A9F656" w14:paraId="35A86C34" w14:textId="00ABEF4A">
      <w:r>
        <w:rPr>
          <w:noProof/>
        </w:rPr>
        <w:drawing>
          <wp:anchor distT="0" distB="0" distL="114300" distR="114300" simplePos="0" relativeHeight="251660288" behindDoc="0" locked="0" layoutInCell="1" allowOverlap="1">
            <wp:simplePos x="0" y="0"/>
            <wp:positionH relativeFrom="page">
              <wp:align>left</wp:align>
            </wp:positionH>
            <wp:positionV relativeFrom="paragraph">
              <wp:posOffset>-923925</wp:posOffset>
            </wp:positionV>
            <wp:extent cx="7929245" cy="10951322"/>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asuryFY2017AFRSectionDividers_v2-1.jpg"/>
                    <pic:cNvPicPr/>
                  </pic:nvPicPr>
                  <pic:blipFill>
                    <a:blip xmlns:r="http://schemas.openxmlformats.org/officeDocument/2006/relationships" r:embed="rId10"/>
                    <a:stretch>
                      <a:fillRect/>
                    </a:stretch>
                  </pic:blipFill>
                  <pic:spPr>
                    <a:xfrm>
                      <a:off x="0" y="0"/>
                      <a:ext cx="7929245" cy="10951322"/>
                    </a:xfrm>
                    <a:prstGeom prst="rect">
                      <a:avLst/>
                    </a:prstGeom>
                  </pic:spPr>
                </pic:pic>
              </a:graphicData>
            </a:graphic>
            <wp14:sizeRelH relativeFrom="margin">
              <wp14:pctWidth>0</wp14:pctWidth>
            </wp14:sizeRelH>
            <wp14:sizeRelV relativeFrom="margin">
              <wp14:pctHeight>0</wp14:pctHeight>
            </wp14:sizeRelV>
          </wp:anchor>
        </w:drawing>
      </w:r>
    </w:p>
    <w:p w:rsidR="00301844" w:rsidP="10A9F656" w14:paraId="47851B1F" w14:textId="537B201B">
      <w:pPr>
        <w:rPr>
          <w:b/>
          <w:bCs/>
          <w:sz w:val="20"/>
          <w:szCs w:val="20"/>
        </w:rPr>
      </w:pPr>
      <w:r w:rsidRPr="00D734BE">
        <w:t xml:space="preserve">ted </w:t>
      </w:r>
      <w:r w:rsidRPr="00D734BE">
        <w:t>i</w:t>
      </w:r>
      <w:r w:rsidRPr="00D734BE" w:rsidR="3850D6A1">
        <w:t>eethe</w:t>
      </w:r>
      <w:r w:rsidRPr="00D734BE" w:rsidR="3850D6A1">
        <w:t xml:space="preserve">  due</w:t>
      </w:r>
      <w:r w:rsidRPr="00D734BE" w:rsidR="3850D6A1">
        <w:t xml:space="preserve"> </w:t>
      </w:r>
    </w:p>
    <w:p w:rsidR="00E41947" w:rsidP="00301844" w14:paraId="76FC9D61" w14:textId="332F1581">
      <w:pPr>
        <w:rPr>
          <w:b/>
          <w:bCs/>
          <w:sz w:val="20"/>
          <w:szCs w:val="20"/>
        </w:rPr>
      </w:pPr>
    </w:p>
    <w:p w:rsidR="00E41947" w:rsidP="00301844" w14:paraId="6C09B9AB" w14:textId="57A874DA">
      <w:pPr>
        <w:rPr>
          <w:b/>
          <w:bCs/>
          <w:sz w:val="20"/>
          <w:szCs w:val="20"/>
        </w:rPr>
      </w:pPr>
    </w:p>
    <w:p w:rsidR="0030311C" w:rsidP="00301844" w14:paraId="0F96A8DC" w14:textId="5AA079CB">
      <w:pPr>
        <w:rPr>
          <w:b/>
          <w:bCs/>
          <w:sz w:val="20"/>
          <w:szCs w:val="20"/>
        </w:rPr>
      </w:pPr>
    </w:p>
    <w:p w:rsidR="00FF5B93" w:rsidP="0030311C" w14:paraId="44B12BCE" w14:textId="31B69DD9">
      <w:pPr>
        <w:pStyle w:val="NoSpacing"/>
        <w:rPr>
          <w:color w:val="004E7D" w:themeColor="accent6" w:themeShade="BF"/>
          <w:sz w:val="28"/>
          <w:szCs w:val="28"/>
        </w:rPr>
      </w:pPr>
    </w:p>
    <w:p w:rsidR="00FF5B93" w:rsidP="0030311C" w14:paraId="4A462198" w14:textId="7CBD0123">
      <w:pPr>
        <w:pStyle w:val="NoSpacing"/>
        <w:rPr>
          <w:color w:val="004E7D" w:themeColor="accent6" w:themeShade="BF"/>
          <w:sz w:val="28"/>
          <w:szCs w:val="28"/>
        </w:rPr>
      </w:pPr>
    </w:p>
    <w:p w:rsidR="00FF5B93" w:rsidP="0030311C" w14:paraId="77FD0F7D" w14:textId="649D4C13">
      <w:pPr>
        <w:pStyle w:val="NoSpacing"/>
        <w:rPr>
          <w:color w:val="004E7D" w:themeColor="accent6" w:themeShade="BF"/>
          <w:sz w:val="28"/>
          <w:szCs w:val="28"/>
        </w:rPr>
      </w:pPr>
    </w:p>
    <w:p w:rsidR="00FF5B93" w:rsidP="0030311C" w14:paraId="643165CD" w14:textId="17049714">
      <w:pPr>
        <w:pStyle w:val="NoSpacing"/>
        <w:rPr>
          <w:color w:val="004E7D" w:themeColor="accent6" w:themeShade="BF"/>
          <w:sz w:val="28"/>
          <w:szCs w:val="28"/>
        </w:rPr>
      </w:pPr>
    </w:p>
    <w:p w:rsidR="00FF5B93" w:rsidP="10A9F656" w14:paraId="7C2EE49E" w14:textId="3C8D1ABE">
      <w:pPr>
        <w:pStyle w:val="NoSpacing"/>
        <w:rPr>
          <w:color w:val="004E7D" w:themeColor="accent6" w:themeShade="BF"/>
          <w:sz w:val="28"/>
          <w:szCs w:val="28"/>
        </w:rPr>
      </w:pPr>
      <w:r w:rsidRPr="10A9F656">
        <w:rPr>
          <w:color w:val="004E7D" w:themeColor="accent6" w:themeShade="BF"/>
          <w:sz w:val="28"/>
          <w:szCs w:val="28"/>
        </w:rPr>
        <w:t>ADD cover page</w:t>
      </w:r>
    </w:p>
    <w:p w:rsidR="00FF5B93" w:rsidP="0030311C" w14:paraId="24B13E0A" w14:textId="37A0F354">
      <w:pPr>
        <w:pStyle w:val="NoSpacing"/>
        <w:rPr>
          <w:color w:val="004E7D" w:themeColor="accent6" w:themeShade="BF"/>
          <w:sz w:val="28"/>
          <w:szCs w:val="28"/>
        </w:rPr>
      </w:pPr>
    </w:p>
    <w:p w:rsidR="00FF5B93" w:rsidP="0030311C" w14:paraId="7878C4CC" w14:textId="67CCAEE8">
      <w:pPr>
        <w:pStyle w:val="NoSpacing"/>
        <w:rPr>
          <w:color w:val="004E7D" w:themeColor="accent6" w:themeShade="BF"/>
          <w:sz w:val="28"/>
          <w:szCs w:val="28"/>
        </w:rPr>
      </w:pPr>
    </w:p>
    <w:p w:rsidR="00FF5B93" w:rsidP="0030311C" w14:paraId="69504893" w14:textId="23C046B6">
      <w:pPr>
        <w:pStyle w:val="NoSpacing"/>
        <w:rPr>
          <w:color w:val="004E7D" w:themeColor="accent6" w:themeShade="BF"/>
          <w:sz w:val="28"/>
          <w:szCs w:val="28"/>
        </w:rPr>
      </w:pPr>
    </w:p>
    <w:p w:rsidR="00FF5B93" w:rsidP="0030311C" w14:paraId="53AB666D" w14:textId="00BD2365">
      <w:pPr>
        <w:pStyle w:val="NoSpacing"/>
        <w:rPr>
          <w:color w:val="004E7D" w:themeColor="accent6" w:themeShade="BF"/>
          <w:sz w:val="28"/>
          <w:szCs w:val="28"/>
        </w:rPr>
      </w:pPr>
    </w:p>
    <w:p w:rsidR="00FF5B93" w:rsidP="0030311C" w14:paraId="1E25B3C9" w14:textId="6E035882">
      <w:pPr>
        <w:pStyle w:val="NoSpacing"/>
        <w:rPr>
          <w:color w:val="004E7D" w:themeColor="accent6" w:themeShade="BF"/>
          <w:sz w:val="28"/>
          <w:szCs w:val="28"/>
        </w:rPr>
      </w:pPr>
    </w:p>
    <w:p w:rsidR="00FF5B93" w:rsidP="0030311C" w14:paraId="663E04E8" w14:textId="19DB371E">
      <w:pPr>
        <w:pStyle w:val="NoSpacing"/>
        <w:rPr>
          <w:color w:val="004E7D" w:themeColor="accent6" w:themeShade="BF"/>
          <w:sz w:val="28"/>
          <w:szCs w:val="28"/>
        </w:rPr>
      </w:pPr>
    </w:p>
    <w:p w:rsidR="00FF5B93" w:rsidP="0030311C" w14:paraId="198534C8" w14:textId="364B42BB">
      <w:pPr>
        <w:pStyle w:val="NoSpacing"/>
        <w:rPr>
          <w:color w:val="004E7D" w:themeColor="accent6" w:themeShade="BF"/>
          <w:sz w:val="28"/>
          <w:szCs w:val="28"/>
        </w:rPr>
      </w:pPr>
    </w:p>
    <w:p w:rsidR="00FF5B93" w:rsidP="0030311C" w14:paraId="7B734143" w14:textId="2352AFE7">
      <w:pPr>
        <w:pStyle w:val="NoSpacing"/>
        <w:rPr>
          <w:color w:val="004E7D" w:themeColor="accent6" w:themeShade="BF"/>
          <w:sz w:val="28"/>
          <w:szCs w:val="28"/>
        </w:rPr>
      </w:pPr>
    </w:p>
    <w:p w:rsidR="00FF5B93" w:rsidP="0030311C" w14:paraId="617D10FC" w14:textId="20D9E086">
      <w:pPr>
        <w:pStyle w:val="NoSpacing"/>
        <w:rPr>
          <w:color w:val="004E7D" w:themeColor="accent6" w:themeShade="BF"/>
          <w:sz w:val="28"/>
          <w:szCs w:val="28"/>
        </w:rPr>
      </w:pPr>
    </w:p>
    <w:p w:rsidR="00FF5B93" w:rsidP="0030311C" w14:paraId="4F8C239C" w14:textId="4B30FFF1">
      <w:pPr>
        <w:pStyle w:val="NoSpacing"/>
        <w:rPr>
          <w:color w:val="004E7D" w:themeColor="accent6" w:themeShade="BF"/>
          <w:sz w:val="28"/>
          <w:szCs w:val="28"/>
        </w:rPr>
      </w:pPr>
    </w:p>
    <w:p w:rsidR="00B92A53" w:rsidP="0030311C" w14:paraId="34F229AB" w14:textId="485F8705">
      <w:pPr>
        <w:pStyle w:val="NoSpacing"/>
        <w:rPr>
          <w:color w:val="004E7D" w:themeColor="accent6" w:themeShade="BF"/>
          <w:sz w:val="28"/>
          <w:szCs w:val="28"/>
        </w:rPr>
      </w:pPr>
    </w:p>
    <w:p w:rsidR="00B92A53" w:rsidP="0030311C" w14:paraId="1FBC92B7" w14:textId="2A9CC873">
      <w:pPr>
        <w:pStyle w:val="NoSpacing"/>
        <w:rPr>
          <w:color w:val="004E7D" w:themeColor="accent6" w:themeShade="BF"/>
          <w:sz w:val="28"/>
          <w:szCs w:val="28"/>
        </w:rPr>
      </w:pPr>
    </w:p>
    <w:p w:rsidR="00B92A53" w:rsidP="0030311C" w14:paraId="7E87EA0D" w14:textId="1EAB9A60">
      <w:pPr>
        <w:pStyle w:val="NoSpacing"/>
        <w:rPr>
          <w:color w:val="004E7D" w:themeColor="accent6" w:themeShade="BF"/>
          <w:sz w:val="28"/>
          <w:szCs w:val="28"/>
        </w:rPr>
      </w:pPr>
    </w:p>
    <w:p w:rsidR="00B92A53" w:rsidP="0030311C" w14:paraId="6DE63B23" w14:textId="4985F5CB">
      <w:pPr>
        <w:pStyle w:val="NoSpacing"/>
        <w:rPr>
          <w:color w:val="004E7D" w:themeColor="accent6" w:themeShade="BF"/>
          <w:sz w:val="28"/>
          <w:szCs w:val="28"/>
        </w:rPr>
      </w:pPr>
    </w:p>
    <w:p w:rsidR="00B92A53" w:rsidP="0030311C" w14:paraId="69FF7417" w14:textId="037A69A0">
      <w:pPr>
        <w:pStyle w:val="NoSpacing"/>
        <w:rPr>
          <w:color w:val="004E7D" w:themeColor="accent6" w:themeShade="BF"/>
          <w:sz w:val="28"/>
          <w:szCs w:val="28"/>
        </w:rPr>
      </w:pPr>
    </w:p>
    <w:p w:rsidR="00B92A53" w:rsidP="0030311C" w14:paraId="3CB6FAB8" w14:textId="08294C5C">
      <w:pPr>
        <w:pStyle w:val="NoSpacing"/>
        <w:rPr>
          <w:color w:val="004E7D" w:themeColor="accent6" w:themeShade="BF"/>
          <w:sz w:val="28"/>
          <w:szCs w:val="28"/>
        </w:rPr>
      </w:pPr>
      <w:r w:rsidRPr="00C737B0">
        <w:rPr>
          <w:rFonts w:ascii="Courier" w:eastAsia="MS Mincho" w:hAnsi="Courier" w:cs="Times New Roman"/>
          <w:noProof/>
          <w:sz w:val="24"/>
          <w:szCs w:val="24"/>
        </w:rPr>
        <mc:AlternateContent>
          <mc:Choice Requires="wps">
            <w:drawing>
              <wp:inline distT="0" distB="0" distL="0" distR="0">
                <wp:extent cx="2393576" cy="779929"/>
                <wp:effectExtent l="0" t="0" r="0" b="1270"/>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779929"/>
                        </a:xfrm>
                        <a:prstGeom prst="rect">
                          <a:avLst/>
                        </a:prstGeom>
                        <a:noFill/>
                        <a:ln w="6350">
                          <a:noFill/>
                        </a:ln>
                      </wps:spPr>
                      <wps:txbx>
                        <w:txbxContent>
                          <w:p w:rsidR="00450A70" w:rsidRPr="00C737B0" w:rsidP="00C737B0"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November xx, 2021</w:t>
                            </w:r>
                          </w:p>
                          <w:p w:rsidR="00450A70" w:rsidRPr="00C737B0" w:rsidP="00C737B0"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Version: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inline>
            </w:drawing>
          </mc:Choice>
          <mc:Fallback>
            <w:pict>
              <v:shapetype id="_x0000_t202" coordsize="21600,21600" o:spt="202" path="m,l,21600r21600,l21600,xe">
                <v:stroke joinstyle="miter"/>
                <v:path gradientshapeok="t" o:connecttype="rect"/>
              </v:shapetype>
              <v:shape id="Text Box 3" o:spid="_x0000_i1025" type="#_x0000_t202" style="width:188.45pt;height:61.4pt;mso-left-percent:-10001;mso-position-horizontal-relative:char;mso-position-vertical-relative:line;mso-top-percent:-10001;mso-wrap-style:square;visibility:visible;v-text-anchor:top" filled="f" stroked="f" strokeweight="0.5pt">
                <v:textbox>
                  <w:txbxContent>
                    <w:p w:rsidR="00450A70" w:rsidRPr="00C737B0" w:rsidP="00C737B0" w14:paraId="4AE8F9EA"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November xx, 2021</w:t>
                      </w:r>
                    </w:p>
                    <w:p w:rsidR="00450A70" w:rsidRPr="00C737B0" w:rsidP="00C737B0" w14:paraId="66C85847" w14:textId="77777777">
                      <w:pPr>
                        <w:spacing w:line="360" w:lineRule="auto"/>
                        <w:jc w:val="right"/>
                        <w:rPr>
                          <w:rFonts w:ascii="Times New Roman" w:hAnsi="Times New Roman"/>
                          <w:b/>
                          <w:i/>
                          <w:color w:val="FFFFFF"/>
                          <w:sz w:val="30"/>
                          <w:szCs w:val="30"/>
                        </w:rPr>
                      </w:pPr>
                      <w:r w:rsidRPr="00C737B0">
                        <w:rPr>
                          <w:rFonts w:ascii="Times New Roman" w:hAnsi="Times New Roman"/>
                          <w:b/>
                          <w:i/>
                          <w:color w:val="FFFFFF"/>
                          <w:sz w:val="30"/>
                          <w:szCs w:val="30"/>
                        </w:rPr>
                        <w:t>Version: 2.0</w:t>
                      </w:r>
                    </w:p>
                  </w:txbxContent>
                </v:textbox>
                <w10:wrap type="none"/>
                <w10:anchorlock/>
              </v:shape>
            </w:pict>
          </mc:Fallback>
        </mc:AlternateContent>
      </w:r>
    </w:p>
    <w:p w:rsidR="00B92A53" w:rsidP="0030311C" w14:paraId="420366C5" w14:textId="23056ADE">
      <w:pPr>
        <w:pStyle w:val="NoSpacing"/>
        <w:rPr>
          <w:color w:val="004E7D" w:themeColor="accent6" w:themeShade="BF"/>
          <w:sz w:val="28"/>
          <w:szCs w:val="28"/>
        </w:rPr>
      </w:pPr>
    </w:p>
    <w:p w:rsidR="00B92A53" w:rsidP="0030311C" w14:paraId="363A8D71" w14:textId="7F510974">
      <w:pPr>
        <w:pStyle w:val="NoSpacing"/>
        <w:rPr>
          <w:color w:val="004E7D" w:themeColor="accent6" w:themeShade="BF"/>
          <w:sz w:val="28"/>
          <w:szCs w:val="28"/>
        </w:rPr>
      </w:pPr>
    </w:p>
    <w:p w:rsidR="00B92A53" w:rsidP="0030311C" w14:paraId="62E4AC70" w14:textId="77777777">
      <w:pPr>
        <w:pStyle w:val="NoSpacing"/>
        <w:rPr>
          <w:color w:val="004E7D" w:themeColor="accent6" w:themeShade="BF"/>
          <w:sz w:val="28"/>
          <w:szCs w:val="28"/>
        </w:rPr>
      </w:pPr>
    </w:p>
    <w:p w:rsidR="00FF5B93" w:rsidP="0030311C" w14:paraId="626781DE" w14:textId="7D203C13">
      <w:pPr>
        <w:pStyle w:val="NoSpacing"/>
        <w:rPr>
          <w:color w:val="004E7D" w:themeColor="accent6" w:themeShade="BF"/>
          <w:sz w:val="28"/>
          <w:szCs w:val="28"/>
        </w:rPr>
      </w:pPr>
    </w:p>
    <w:p w:rsidR="00FF5B93" w:rsidP="0030311C" w14:paraId="441CEACF" w14:textId="70A38676">
      <w:pPr>
        <w:pStyle w:val="NoSpacing"/>
        <w:rPr>
          <w:color w:val="004E7D" w:themeColor="accent6" w:themeShade="BF"/>
          <w:sz w:val="28"/>
          <w:szCs w:val="28"/>
        </w:rPr>
      </w:pPr>
    </w:p>
    <w:p w:rsidR="00FF5B93" w:rsidP="0030311C" w14:paraId="66E72A4B" w14:textId="37E0666E">
      <w:pPr>
        <w:pStyle w:val="NoSpacing"/>
        <w:rPr>
          <w:color w:val="004E7D" w:themeColor="accent6" w:themeShade="BF"/>
          <w:sz w:val="28"/>
          <w:szCs w:val="28"/>
        </w:rPr>
      </w:pPr>
    </w:p>
    <w:p w:rsidR="007C138D" w:rsidP="0030311C" w14:paraId="7CBA72A7" w14:textId="51A4A3D1">
      <w:pPr>
        <w:pStyle w:val="NoSpacing"/>
        <w:rPr>
          <w:color w:val="004E7D" w:themeColor="accent6" w:themeShade="BF"/>
          <w:sz w:val="28"/>
          <w:szCs w:val="28"/>
        </w:rPr>
      </w:pPr>
    </w:p>
    <w:p w:rsidR="007C138D" w:rsidP="0030311C" w14:paraId="3D943220" w14:textId="0B1C121E">
      <w:pPr>
        <w:pStyle w:val="NoSpacing"/>
        <w:rPr>
          <w:color w:val="004E7D" w:themeColor="accent6" w:themeShade="BF"/>
          <w:sz w:val="28"/>
          <w:szCs w:val="28"/>
        </w:rPr>
      </w:pPr>
    </w:p>
    <w:p w:rsidR="00FF5B93" w:rsidP="0030311C" w14:paraId="55852715" w14:textId="1EE62E90">
      <w:pPr>
        <w:pStyle w:val="NoSpacing"/>
        <w:rPr>
          <w:color w:val="004E7D" w:themeColor="accent6" w:themeShade="BF"/>
          <w:sz w:val="28"/>
          <w:szCs w:val="28"/>
        </w:rPr>
      </w:pPr>
    </w:p>
    <w:p w:rsidR="00FF5B93" w:rsidP="0030311C" w14:paraId="5AE5BD5C" w14:textId="701E8EDC">
      <w:pPr>
        <w:pStyle w:val="NoSpacing"/>
        <w:rPr>
          <w:color w:val="004E7D" w:themeColor="accent6" w:themeShade="BF"/>
          <w:sz w:val="28"/>
          <w:szCs w:val="28"/>
        </w:rPr>
      </w:pPr>
    </w:p>
    <w:p w:rsidR="002E5955" w:rsidP="0030311C" w14:paraId="00CC8D81" w14:textId="293D5E41">
      <w:pPr>
        <w:pStyle w:val="NoSpacing"/>
        <w:rPr>
          <w:color w:val="004E7D" w:themeColor="accent6" w:themeShade="BF"/>
          <w:sz w:val="28"/>
          <w:szCs w:val="28"/>
        </w:rPr>
      </w:pPr>
    </w:p>
    <w:p w:rsidR="002E5955" w:rsidP="0030311C" w14:paraId="0F1EF297" w14:textId="29C18950">
      <w:pPr>
        <w:pStyle w:val="NoSpacing"/>
        <w:rPr>
          <w:color w:val="004E7D" w:themeColor="accent6" w:themeShade="BF"/>
          <w:sz w:val="28"/>
          <w:szCs w:val="28"/>
        </w:rPr>
      </w:pPr>
    </w:p>
    <w:p w:rsidR="002E5955" w:rsidP="0030311C" w14:paraId="7E960F6E" w14:textId="3255B42A">
      <w:pPr>
        <w:pStyle w:val="NoSpacing"/>
        <w:rPr>
          <w:color w:val="004E7D" w:themeColor="accent6" w:themeShade="BF"/>
          <w:sz w:val="28"/>
          <w:szCs w:val="28"/>
        </w:rPr>
      </w:pPr>
      <w:r>
        <w:rPr>
          <w:noProof/>
        </w:rPr>
        <mc:AlternateContent>
          <mc:Choice Requires="wps">
            <w:drawing>
              <wp:anchor distT="0" distB="0" distL="114300" distR="114300" simplePos="0" relativeHeight="251661312" behindDoc="0" locked="0" layoutInCell="1" allowOverlap="1">
                <wp:simplePos x="0" y="0"/>
                <wp:positionH relativeFrom="page">
                  <wp:align>right</wp:align>
                </wp:positionH>
                <wp:positionV relativeFrom="paragraph">
                  <wp:posOffset>372110</wp:posOffset>
                </wp:positionV>
                <wp:extent cx="2393576" cy="576580"/>
                <wp:effectExtent l="0" t="0" r="0" b="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576580"/>
                        </a:xfrm>
                        <a:prstGeom prst="rect">
                          <a:avLst/>
                        </a:prstGeom>
                        <a:noFill/>
                        <a:ln w="6350">
                          <a:noFill/>
                        </a:ln>
                      </wps:spPr>
                      <wps:txbx>
                        <w:txbxContent>
                          <w:p w:rsidR="00450A70" w:rsidRPr="001D3CCD" w:rsidP="00927AB1" w14:textId="747CCB1C">
                            <w:pPr>
                              <w:spacing w:after="0" w:line="240" w:lineRule="auto"/>
                              <w:jc w:val="right"/>
                              <w:rPr>
                                <w:rFonts w:ascii="Times New Roman" w:hAnsi="Times New Roman"/>
                                <w:b/>
                                <w:i/>
                                <w:color w:val="F2F2F2" w:themeColor="background1" w:themeShade="F2"/>
                                <w:sz w:val="30"/>
                                <w:szCs w:val="30"/>
                              </w:rPr>
                            </w:pPr>
                            <w:r>
                              <w:rPr>
                                <w:rFonts w:ascii="Times New Roman" w:hAnsi="Times New Roman"/>
                                <w:b/>
                                <w:i/>
                                <w:color w:val="F2F2F2" w:themeColor="background1" w:themeShade="F2"/>
                                <w:sz w:val="30"/>
                                <w:szCs w:val="30"/>
                              </w:rPr>
                              <w:t>6,</w:t>
                            </w:r>
                            <w:r w:rsidRPr="004F422E">
                              <w:rPr>
                                <w:rFonts w:ascii="Times New Roman" w:hAnsi="Times New Roman"/>
                                <w:b/>
                                <w:i/>
                                <w:color w:val="FF0000"/>
                                <w:sz w:val="30"/>
                                <w:szCs w:val="30"/>
                              </w:rPr>
                              <w:t>X</w:t>
                            </w:r>
                            <w:r w:rsidRPr="001D3CCD" w:rsidR="00927AB1">
                              <w:rPr>
                                <w:rFonts w:ascii="Times New Roman" w:hAnsi="Times New Roman"/>
                                <w:b/>
                                <w:i/>
                                <w:color w:val="F2F2F2" w:themeColor="background1" w:themeShade="F2"/>
                                <w:sz w:val="30"/>
                                <w:szCs w:val="30"/>
                              </w:rPr>
                              <w:t xml:space="preserve">, </w:t>
                            </w:r>
                            <w:r w:rsidRPr="001D3CCD" w:rsidR="00840003">
                              <w:rPr>
                                <w:rFonts w:ascii="Times New Roman" w:hAnsi="Times New Roman"/>
                                <w:b/>
                                <w:i/>
                                <w:color w:val="F2F2F2" w:themeColor="background1" w:themeShade="F2"/>
                                <w:sz w:val="30"/>
                                <w:szCs w:val="30"/>
                              </w:rPr>
                              <w:t xml:space="preserve">2022 </w:t>
                            </w:r>
                            <w:r w:rsidRPr="001D3CCD">
                              <w:rPr>
                                <w:rFonts w:ascii="Times New Roman" w:hAnsi="Times New Roman"/>
                                <w:b/>
                                <w:i/>
                                <w:color w:val="F2F2F2" w:themeColor="background1" w:themeShade="F2"/>
                                <w:sz w:val="30"/>
                                <w:szCs w:val="30"/>
                              </w:rPr>
                              <w:t xml:space="preserve">Version: </w:t>
                            </w:r>
                            <w:r w:rsidRPr="001D3CCD" w:rsidR="00840003">
                              <w:rPr>
                                <w:rFonts w:ascii="Times New Roman" w:hAnsi="Times New Roman"/>
                                <w:b/>
                                <w:i/>
                                <w:color w:val="F2F2F2" w:themeColor="background1" w:themeShade="F2"/>
                                <w:sz w:val="30"/>
                                <w:szCs w:val="30"/>
                              </w:rPr>
                              <w:t>5.</w:t>
                            </w:r>
                            <w:r>
                              <w:rPr>
                                <w:rFonts w:ascii="Times New Roman" w:hAnsi="Times New Roman"/>
                                <w:b/>
                                <w:i/>
                                <w:color w:val="F2F2F2" w:themeColor="background1" w:themeShade="F2"/>
                                <w:sz w:val="30"/>
                                <w:szCs w:val="3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4" o:spid="_x0000_s1026" type="#_x0000_t202" style="width:188.45pt;height:45.4pt;margin-top:29.3pt;margin-left:137.25pt;mso-height-percent:0;mso-height-relative:margin;mso-position-horizontal:right;mso-position-horizontal-relative:page;mso-wrap-distance-bottom:0;mso-wrap-distance-left:9pt;mso-wrap-distance-right:9pt;mso-wrap-distance-top:0;mso-wrap-style:square;position:absolute;visibility:visible;v-text-anchor:top;z-index:251662336" filled="f" stroked="f" strokeweight="0.5pt">
                <v:textbox>
                  <w:txbxContent>
                    <w:p w:rsidR="00450A70" w:rsidRPr="001D3CCD" w:rsidP="00927AB1" w14:paraId="5683F24A" w14:textId="747CCB1C">
                      <w:pPr>
                        <w:spacing w:after="0" w:line="240" w:lineRule="auto"/>
                        <w:jc w:val="right"/>
                        <w:rPr>
                          <w:rFonts w:ascii="Times New Roman" w:hAnsi="Times New Roman"/>
                          <w:b/>
                          <w:i/>
                          <w:color w:val="F2F2F2" w:themeColor="background1" w:themeShade="F2"/>
                          <w:sz w:val="30"/>
                          <w:szCs w:val="30"/>
                        </w:rPr>
                      </w:pPr>
                      <w:r>
                        <w:rPr>
                          <w:rFonts w:ascii="Times New Roman" w:hAnsi="Times New Roman"/>
                          <w:b/>
                          <w:i/>
                          <w:color w:val="F2F2F2" w:themeColor="background1" w:themeShade="F2"/>
                          <w:sz w:val="30"/>
                          <w:szCs w:val="30"/>
                        </w:rPr>
                        <w:t>6,</w:t>
                      </w:r>
                      <w:r w:rsidRPr="004F422E">
                        <w:rPr>
                          <w:rFonts w:ascii="Times New Roman" w:hAnsi="Times New Roman"/>
                          <w:b/>
                          <w:i/>
                          <w:color w:val="FF0000"/>
                          <w:sz w:val="30"/>
                          <w:szCs w:val="30"/>
                        </w:rPr>
                        <w:t>X</w:t>
                      </w:r>
                      <w:r w:rsidRPr="001D3CCD" w:rsidR="00927AB1">
                        <w:rPr>
                          <w:rFonts w:ascii="Times New Roman" w:hAnsi="Times New Roman"/>
                          <w:b/>
                          <w:i/>
                          <w:color w:val="F2F2F2" w:themeColor="background1" w:themeShade="F2"/>
                          <w:sz w:val="30"/>
                          <w:szCs w:val="30"/>
                        </w:rPr>
                        <w:t xml:space="preserve">, </w:t>
                      </w:r>
                      <w:r w:rsidRPr="001D3CCD" w:rsidR="00840003">
                        <w:rPr>
                          <w:rFonts w:ascii="Times New Roman" w:hAnsi="Times New Roman"/>
                          <w:b/>
                          <w:i/>
                          <w:color w:val="F2F2F2" w:themeColor="background1" w:themeShade="F2"/>
                          <w:sz w:val="30"/>
                          <w:szCs w:val="30"/>
                        </w:rPr>
                        <w:t xml:space="preserve">2022 </w:t>
                      </w:r>
                      <w:r w:rsidRPr="001D3CCD">
                        <w:rPr>
                          <w:rFonts w:ascii="Times New Roman" w:hAnsi="Times New Roman"/>
                          <w:b/>
                          <w:i/>
                          <w:color w:val="F2F2F2" w:themeColor="background1" w:themeShade="F2"/>
                          <w:sz w:val="30"/>
                          <w:szCs w:val="30"/>
                        </w:rPr>
                        <w:t xml:space="preserve">Version: </w:t>
                      </w:r>
                      <w:r w:rsidRPr="001D3CCD" w:rsidR="00840003">
                        <w:rPr>
                          <w:rFonts w:ascii="Times New Roman" w:hAnsi="Times New Roman"/>
                          <w:b/>
                          <w:i/>
                          <w:color w:val="F2F2F2" w:themeColor="background1" w:themeShade="F2"/>
                          <w:sz w:val="30"/>
                          <w:szCs w:val="30"/>
                        </w:rPr>
                        <w:t>5.</w:t>
                      </w:r>
                      <w:r>
                        <w:rPr>
                          <w:rFonts w:ascii="Times New Roman" w:hAnsi="Times New Roman"/>
                          <w:b/>
                          <w:i/>
                          <w:color w:val="F2F2F2" w:themeColor="background1" w:themeShade="F2"/>
                          <w:sz w:val="30"/>
                          <w:szCs w:val="30"/>
                        </w:rPr>
                        <w:t>1</w:t>
                      </w:r>
                    </w:p>
                  </w:txbxContent>
                </v:textbox>
              </v:shape>
            </w:pict>
          </mc:Fallback>
        </mc:AlternateContent>
      </w:r>
    </w:p>
    <w:p w:rsidR="00E86315" w:rsidRPr="00220987" w:rsidP="10A9F656" w14:paraId="45C31F82" w14:textId="25161232">
      <w:pPr>
        <w:pStyle w:val="NoSpacing"/>
        <w:jc w:val="center"/>
        <w:rPr>
          <w:color w:val="004E7D" w:themeColor="accent6" w:themeShade="BF"/>
          <w:sz w:val="36"/>
          <w:szCs w:val="36"/>
        </w:rPr>
      </w:pPr>
      <w:r w:rsidRPr="10A9F656">
        <w:rPr>
          <w:color w:val="004E7D" w:themeColor="accent6" w:themeShade="BF"/>
          <w:sz w:val="36"/>
          <w:szCs w:val="36"/>
        </w:rPr>
        <w:t>Coronavirus State and Local Fiscal Recovery Funds</w:t>
      </w:r>
    </w:p>
    <w:p w:rsidR="00E86315" w:rsidRPr="00220987" w:rsidP="10A9F656" w14:paraId="699C9CDC" w14:textId="4C9B1D07">
      <w:pPr>
        <w:pStyle w:val="NoSpacing"/>
        <w:jc w:val="center"/>
        <w:rPr>
          <w:color w:val="004E7D" w:themeColor="accent6" w:themeShade="BF"/>
          <w:sz w:val="36"/>
          <w:szCs w:val="36"/>
        </w:rPr>
      </w:pPr>
      <w:r w:rsidRPr="10A9F656">
        <w:rPr>
          <w:color w:val="004E7D" w:themeColor="accent6" w:themeShade="BF"/>
          <w:sz w:val="36"/>
          <w:szCs w:val="36"/>
        </w:rPr>
        <w:t>Guidance on Recipient Compliance and Reporting Responsibilities</w:t>
      </w:r>
    </w:p>
    <w:p w:rsidR="00E86315" w:rsidP="00E86315" w14:paraId="383A8D92" w14:textId="77777777">
      <w:pPr>
        <w:pStyle w:val="NoSpacing"/>
        <w:jc w:val="both"/>
        <w:rPr>
          <w:b/>
          <w:bCs/>
        </w:rPr>
      </w:pPr>
    </w:p>
    <w:p w:rsidR="009B45F2" w:rsidP="00FD6A50" w14:paraId="347DB0AC" w14:textId="77777777">
      <w:pPr>
        <w:pStyle w:val="NoSpacing"/>
        <w:jc w:val="both"/>
      </w:pPr>
    </w:p>
    <w:p w:rsidR="00E86315" w:rsidRPr="00643082" w:rsidP="00FD6A50" w14:paraId="3955F83A" w14:textId="7ECF5213">
      <w:pPr>
        <w:pStyle w:val="NoSpacing"/>
        <w:jc w:val="both"/>
      </w:pPr>
      <w:r>
        <w:t xml:space="preserve">On March 11, 2021, the American Rescue Plan Act was signed into law, and established the Coronavirus State Fiscal Recovery Fund and Coronavirus Local Fiscal Recovery Fund, which together make up the Coronavirus State and Local Fiscal Recovery Funds (“SLFRF”) program.  This program is intended to provide support to State, territorial, local, and Tribal governments in responding to the economic and public health impacts of COVID-19 and in their efforts to contain impacts on their communities, residents, and businesses.  </w:t>
      </w:r>
    </w:p>
    <w:p w:rsidR="00E86315" w:rsidRPr="00643082" w:rsidP="00FD6A50" w14:paraId="322088E9" w14:textId="192052F3">
      <w:pPr>
        <w:pStyle w:val="NoSpacing"/>
        <w:jc w:val="both"/>
      </w:pPr>
    </w:p>
    <w:p w:rsidR="00BB72AD" w:rsidP="00BB72AD" w14:paraId="762BB74C" w14:textId="79828BF5">
      <w:pPr>
        <w:pStyle w:val="NoSpacing"/>
        <w:jc w:val="both"/>
      </w:pPr>
      <w:r>
        <w:t>In May 20</w:t>
      </w:r>
      <w:r w:rsidR="00285A70">
        <w:t>2</w:t>
      </w:r>
      <w:r w:rsidR="00376A83">
        <w:t>1</w:t>
      </w:r>
      <w:r>
        <w:t>, Treasury published the interim final rule</w:t>
      </w:r>
      <w:r w:rsidR="00D34E1C">
        <w:t xml:space="preserve"> (“IFR”)</w:t>
      </w:r>
      <w:r>
        <w:t xml:space="preserve"> describing eligible and ineligible uses of SLFRF</w:t>
      </w:r>
      <w:r w:rsidR="00376A83">
        <w:t xml:space="preserve">, as well as other program </w:t>
      </w:r>
      <w:r w:rsidR="001C017D">
        <w:t>requirements</w:t>
      </w:r>
      <w:r>
        <w:t xml:space="preserve">. The initial versions of this </w:t>
      </w:r>
      <w:r w:rsidR="00376A83">
        <w:t>Compliance and</w:t>
      </w:r>
      <w:r w:rsidR="00D34E1C">
        <w:t xml:space="preserve"> Report</w:t>
      </w:r>
      <w:r w:rsidR="00376A83">
        <w:t>ing</w:t>
      </w:r>
      <w:r w:rsidR="00D34E1C">
        <w:t xml:space="preserve"> </w:t>
      </w:r>
      <w:r>
        <w:t xml:space="preserve">guidance reflected the </w:t>
      </w:r>
      <w:r w:rsidR="00376A83">
        <w:t>IFR</w:t>
      </w:r>
      <w:r>
        <w:t xml:space="preserve"> and its eligible use categories. On January 6, 2022,</w:t>
      </w:r>
      <w:r w:rsidR="00F12225">
        <w:t xml:space="preserve"> the U.S. Department of the Treasury (“</w:t>
      </w:r>
      <w:r>
        <w:t>Treasury</w:t>
      </w:r>
      <w:r w:rsidR="00F12225">
        <w:t>”)</w:t>
      </w:r>
      <w:r>
        <w:t xml:space="preserve"> adopted the final rule</w:t>
      </w:r>
      <w:r w:rsidR="00376A83">
        <w:t xml:space="preserve"> implementing the SLFRF program</w:t>
      </w:r>
      <w:r>
        <w:t xml:space="preserve">. The final rule </w:t>
      </w:r>
      <w:r w:rsidR="00FF2B1F">
        <w:t>became</w:t>
      </w:r>
      <w:r>
        <w:t xml:space="preserve"> effective </w:t>
      </w:r>
      <w:r w:rsidR="00C05D60">
        <w:t xml:space="preserve">on </w:t>
      </w:r>
      <w:r>
        <w:t xml:space="preserve">April 1, 2022. </w:t>
      </w:r>
      <w:r w:rsidR="00FF2B1F">
        <w:t>Prior to the final rule effective date</w:t>
      </w:r>
      <w:r>
        <w:t xml:space="preserve">, the </w:t>
      </w:r>
      <w:r w:rsidR="00376A83">
        <w:t>IFR</w:t>
      </w:r>
      <w:r>
        <w:t xml:space="preserve"> remain</w:t>
      </w:r>
      <w:r w:rsidR="00FF2B1F">
        <w:t>ed</w:t>
      </w:r>
      <w:r>
        <w:t xml:space="preserve"> in effect; funds used consistently with the IFR while it </w:t>
      </w:r>
      <w:r w:rsidR="00FF2B1F">
        <w:t>wa</w:t>
      </w:r>
      <w:r>
        <w:t xml:space="preserve">s in effect </w:t>
      </w:r>
      <w:r w:rsidR="00FF2B1F">
        <w:t>we</w:t>
      </w:r>
      <w:r>
        <w:t>re</w:t>
      </w:r>
      <w:r w:rsidR="00C22DB0">
        <w:t xml:space="preserve"> </w:t>
      </w:r>
      <w:r>
        <w:t>in</w:t>
      </w:r>
      <w:r w:rsidR="00405F2F">
        <w:t xml:space="preserve"> </w:t>
      </w:r>
      <w:r>
        <w:t>compliance with</w:t>
      </w:r>
      <w:r>
        <w:t xml:space="preserve"> the SLFRF program. However, recipients c</w:t>
      </w:r>
      <w:r w:rsidR="00FF2B1F">
        <w:t>ould</w:t>
      </w:r>
      <w:r>
        <w:t xml:space="preserve"> choose to take advantage of the final rule’s flexibilities and simplifications ahead of the effective date. R</w:t>
      </w:r>
      <w:r w:rsidRPr="00BB72AD">
        <w:t xml:space="preserve">ecipients may consult the </w:t>
      </w:r>
      <w:hyperlink r:id="rId11" w:history="1">
        <w:r w:rsidRPr="00647F4B">
          <w:rPr>
            <w:rStyle w:val="Hyperlink"/>
            <w:i/>
            <w:iCs/>
          </w:rPr>
          <w:t>Statement Regarding Compliance with the Coronavirus State and Local Fiscal Recovery Funds Interim Final Rule and Final Rule</w:t>
        </w:r>
      </w:hyperlink>
      <w:r>
        <w:t xml:space="preserve"> </w:t>
      </w:r>
      <w:r w:rsidRPr="00BB72AD">
        <w:t xml:space="preserve">for more information on compliance with the </w:t>
      </w:r>
      <w:r w:rsidR="00376A83">
        <w:t>IFR</w:t>
      </w:r>
      <w:r w:rsidRPr="00BB72AD">
        <w:t xml:space="preserve"> and the </w:t>
      </w:r>
      <w:r w:rsidR="00376A83">
        <w:t>f</w:t>
      </w:r>
      <w:r w:rsidRPr="00BB72AD">
        <w:t xml:space="preserve">inal </w:t>
      </w:r>
      <w:r w:rsidR="00376A83">
        <w:t>r</w:t>
      </w:r>
      <w:r w:rsidRPr="00BB72AD">
        <w:t>ule.</w:t>
      </w:r>
      <w:r>
        <w:t xml:space="preserve"> </w:t>
      </w:r>
    </w:p>
    <w:p w:rsidR="00BB72AD" w:rsidP="00BB72AD" w14:paraId="29867EF8" w14:textId="77777777">
      <w:pPr>
        <w:pStyle w:val="NoSpacing"/>
        <w:jc w:val="both"/>
      </w:pPr>
    </w:p>
    <w:p w:rsidR="00E86315" w:rsidRPr="00643082" w:rsidP="00FD6A50" w14:paraId="25312332" w14:textId="21250FC4">
      <w:pPr>
        <w:pStyle w:val="NoSpacing"/>
        <w:jc w:val="both"/>
      </w:pPr>
      <w:r>
        <w:t>T</w:t>
      </w:r>
      <w:r w:rsidR="00112D70">
        <w:t>o support recipients in complying with the final rule, t</w:t>
      </w:r>
      <w:r>
        <w:t xml:space="preserve">his </w:t>
      </w:r>
      <w:r w:rsidR="008376B5">
        <w:t>r</w:t>
      </w:r>
      <w:r>
        <w:t xml:space="preserve">eporting </w:t>
      </w:r>
      <w:r w:rsidR="008376B5">
        <w:t>g</w:t>
      </w:r>
      <w:r>
        <w:t>uidance reflects the final rule and</w:t>
      </w:r>
      <w:r w:rsidR="10A9F656">
        <w:t xml:space="preserve"> provides additional detail and clarification for each recipient’s compliance and reporting responsibilities under the SLFRF program, and should be read in concert with the Award Terms and Conditions, the authorizing statute, </w:t>
      </w:r>
      <w:r w:rsidR="0023644E">
        <w:t xml:space="preserve">the </w:t>
      </w:r>
      <w:hyperlink r:id="rId12" w:history="1">
        <w:r w:rsidR="004556AC">
          <w:rPr>
            <w:rStyle w:val="Hyperlink"/>
            <w:rFonts w:asciiTheme="majorHAnsi" w:hAnsiTheme="majorHAnsi" w:cstheme="majorHAnsi"/>
          </w:rPr>
          <w:t>f</w:t>
        </w:r>
        <w:r w:rsidRPr="00625DCD" w:rsidR="0023644E">
          <w:rPr>
            <w:rStyle w:val="Hyperlink"/>
            <w:rFonts w:asciiTheme="majorHAnsi" w:hAnsiTheme="majorHAnsi" w:cstheme="majorHAnsi"/>
          </w:rPr>
          <w:t xml:space="preserve">inal </w:t>
        </w:r>
        <w:r w:rsidR="004556AC">
          <w:rPr>
            <w:rStyle w:val="Hyperlink"/>
            <w:rFonts w:asciiTheme="majorHAnsi" w:hAnsiTheme="majorHAnsi" w:cstheme="majorHAnsi"/>
          </w:rPr>
          <w:t>r</w:t>
        </w:r>
        <w:r w:rsidRPr="00625DCD" w:rsidR="0023644E">
          <w:rPr>
            <w:rStyle w:val="Hyperlink"/>
            <w:rFonts w:asciiTheme="majorHAnsi" w:hAnsiTheme="majorHAnsi" w:cstheme="majorHAnsi"/>
          </w:rPr>
          <w:t>ule</w:t>
        </w:r>
        <w:r w:rsidR="0023644E">
          <w:rPr>
            <w:rStyle w:val="Hyperlink"/>
            <w:rFonts w:asciiTheme="majorHAnsi" w:hAnsiTheme="majorHAnsi" w:cstheme="majorHAnsi"/>
          </w:rPr>
          <w:t>,</w:t>
        </w:r>
        <w:r w:rsidRPr="0052725B" w:rsidR="0023644E">
          <w:rPr>
            <w:rStyle w:val="Hyperlink"/>
            <w:rFonts w:asciiTheme="majorHAnsi" w:hAnsiTheme="majorHAnsi" w:cstheme="majorHAnsi"/>
            <w:u w:val="none"/>
          </w:rPr>
          <w:t xml:space="preserve"> </w:t>
        </w:r>
      </w:hyperlink>
      <w:r w:rsidRPr="00927AB1" w:rsidR="00B3599B">
        <w:rPr>
          <w:rStyle w:val="Hyperlink"/>
          <w:rFonts w:asciiTheme="majorHAnsi" w:hAnsiTheme="majorHAnsi" w:cstheme="majorHAnsi"/>
          <w:color w:val="auto"/>
          <w:u w:val="none"/>
        </w:rPr>
        <w:t xml:space="preserve">other </w:t>
      </w:r>
      <w:r w:rsidRPr="00927AB1" w:rsidR="0013078B">
        <w:rPr>
          <w:rStyle w:val="Hyperlink"/>
          <w:rFonts w:asciiTheme="majorHAnsi" w:hAnsiTheme="majorHAnsi" w:cstheme="majorHAnsi"/>
          <w:color w:val="auto"/>
          <w:u w:val="none"/>
        </w:rPr>
        <w:t xml:space="preserve">program guidance including the </w:t>
      </w:r>
      <w:hyperlink r:id="rId13" w:history="1">
        <w:r w:rsidRPr="0013078B" w:rsidR="0013078B">
          <w:rPr>
            <w:rStyle w:val="Hyperlink"/>
            <w:rFonts w:asciiTheme="majorHAnsi" w:hAnsiTheme="majorHAnsi" w:cstheme="majorHAnsi"/>
          </w:rPr>
          <w:t>Final Rule FAQs</w:t>
        </w:r>
      </w:hyperlink>
      <w:r w:rsidR="0013078B">
        <w:rPr>
          <w:rStyle w:val="Hyperlink"/>
          <w:rFonts w:asciiTheme="majorHAnsi" w:hAnsiTheme="majorHAnsi" w:cstheme="majorHAnsi"/>
          <w:u w:val="none"/>
        </w:rPr>
        <w:t xml:space="preserve">, </w:t>
      </w:r>
      <w:r w:rsidR="10A9F656">
        <w:t xml:space="preserve">and other regulatory and statutory requirements, including regulatory requirements under </w:t>
      </w:r>
      <w:hyperlink r:id="rId14">
        <w:r w:rsidRPr="0052725B" w:rsidR="10A9F656">
          <w:rPr>
            <w:rStyle w:val="Hyperlink"/>
            <w:color w:val="auto"/>
            <w:u w:val="none"/>
          </w:rPr>
          <w:t xml:space="preserve">the </w:t>
        </w:r>
        <w:r w:rsidRPr="10A9F656" w:rsidR="10A9F656">
          <w:rPr>
            <w:rStyle w:val="Hyperlink"/>
          </w:rPr>
          <w:t xml:space="preserve">Uniform </w:t>
        </w:r>
        <w:r w:rsidR="000363ED">
          <w:rPr>
            <w:rStyle w:val="Hyperlink"/>
          </w:rPr>
          <w:t>Administrative Requirements, Cost Principles, and Audit Requirements for Federal Awards</w:t>
        </w:r>
        <w:r w:rsidRPr="10A9F656" w:rsidR="10A9F656">
          <w:rPr>
            <w:rStyle w:val="Hyperlink"/>
          </w:rPr>
          <w:t xml:space="preserve"> (</w:t>
        </w:r>
        <w:r w:rsidR="00C578B9">
          <w:rPr>
            <w:rStyle w:val="Hyperlink"/>
          </w:rPr>
          <w:t>“</w:t>
        </w:r>
        <w:r w:rsidR="00BD1132">
          <w:rPr>
            <w:rStyle w:val="Hyperlink"/>
          </w:rPr>
          <w:t>Uniform Guidance</w:t>
        </w:r>
        <w:r w:rsidR="00C578B9">
          <w:rPr>
            <w:rStyle w:val="Hyperlink"/>
          </w:rPr>
          <w:t>”</w:t>
        </w:r>
        <w:r w:rsidR="00BD1132">
          <w:rPr>
            <w:rStyle w:val="Hyperlink"/>
          </w:rPr>
          <w:t xml:space="preserve"> or </w:t>
        </w:r>
        <w:r w:rsidRPr="10A9F656" w:rsidR="10A9F656">
          <w:rPr>
            <w:rStyle w:val="Hyperlink"/>
          </w:rPr>
          <w:t>2 CRF Part 200)</w:t>
        </w:r>
      </w:hyperlink>
      <w:r w:rsidR="00BD1132">
        <w:rPr>
          <w:rStyle w:val="Hyperlink"/>
        </w:rPr>
        <w:t>,</w:t>
      </w:r>
      <w:r w:rsidRPr="0052725B" w:rsidR="00BD1132">
        <w:rPr>
          <w:rStyle w:val="Hyperlink"/>
          <w:u w:val="none"/>
        </w:rPr>
        <w:t xml:space="preserve"> </w:t>
      </w:r>
      <w:r w:rsidRPr="0052725B" w:rsidR="00BD1132">
        <w:rPr>
          <w:rStyle w:val="Hyperlink"/>
          <w:color w:val="auto"/>
          <w:u w:val="none"/>
        </w:rPr>
        <w:t xml:space="preserve">and </w:t>
      </w:r>
      <w:hyperlink r:id="rId15" w:history="1">
        <w:r w:rsidRPr="00E214D7" w:rsidR="00E214D7">
          <w:rPr>
            <w:rStyle w:val="Hyperlink"/>
          </w:rPr>
          <w:t>2021 SLFRF Compliance Supplement – Technical Update</w:t>
        </w:r>
      </w:hyperlink>
      <w:r w:rsidR="00E214D7">
        <w:rPr>
          <w:rStyle w:val="Hyperlink"/>
        </w:rPr>
        <w:t xml:space="preserve"> and  </w:t>
      </w:r>
      <w:hyperlink r:id="rId16" w:history="1">
        <w:r w:rsidRPr="00E214D7" w:rsidR="00E214D7">
          <w:rPr>
            <w:rStyle w:val="Hyperlink"/>
          </w:rPr>
          <w:t>2022 SLFRF Compliance Supplement</w:t>
        </w:r>
      </w:hyperlink>
      <w:r w:rsidR="00BD1132">
        <w:rPr>
          <w:rStyle w:val="Hyperlink"/>
        </w:rPr>
        <w:t>.</w:t>
      </w:r>
      <w:r w:rsidRPr="007777CF" w:rsidR="007D1BB0">
        <w:rPr>
          <w:rStyle w:val="Hyperlink"/>
          <w:u w:val="none"/>
        </w:rPr>
        <w:t xml:space="preserve"> </w:t>
      </w:r>
      <w:r w:rsidR="10A9F656">
        <w:t xml:space="preserve">Please see the </w:t>
      </w:r>
      <w:hyperlink r:id="rId17">
        <w:r w:rsidRPr="10A9F656" w:rsidR="10A9F656">
          <w:rPr>
            <w:rStyle w:val="Hyperlink"/>
          </w:rPr>
          <w:t>Assistance Listing</w:t>
        </w:r>
      </w:hyperlink>
      <w:r w:rsidR="10A9F656">
        <w:t xml:space="preserve"> in SAM.gov under assistance listing number (formerly known as CFDA number) 21.027 for more information. </w:t>
      </w:r>
    </w:p>
    <w:p w:rsidR="00B4310B" w:rsidP="00FD6A50" w14:paraId="53781117" w14:textId="77777777">
      <w:pPr>
        <w:pStyle w:val="NoSpacing"/>
        <w:jc w:val="both"/>
        <w:rPr>
          <w:b/>
          <w:bCs/>
        </w:rPr>
      </w:pPr>
    </w:p>
    <w:p w:rsidR="00B4310B" w:rsidP="00FD6A50" w14:paraId="76463FC3" w14:textId="5A2D23D8">
      <w:pPr>
        <w:pStyle w:val="NoSpacing"/>
        <w:jc w:val="both"/>
      </w:pPr>
      <w:r w:rsidRPr="10A9F656">
        <w:rPr>
          <w:b/>
          <w:bCs/>
        </w:rPr>
        <w:t>Please Note:</w:t>
      </w:r>
      <w:r>
        <w:t xml:space="preserve"> This guidance document applies to the SLFRF program only and does not change or impact reporting and compliance requirements for the Coronavirus Relief Fund (“CRF”) established by the CARES Act. </w:t>
      </w:r>
    </w:p>
    <w:p w:rsidR="00E86315" w:rsidRPr="00837DB8" w:rsidP="00FD6A50" w14:paraId="691FF2C1" w14:textId="77777777">
      <w:pPr>
        <w:pStyle w:val="NoSpacing"/>
        <w:jc w:val="both"/>
        <w:rPr>
          <w:highlight w:val="yellow"/>
        </w:rPr>
      </w:pPr>
    </w:p>
    <w:p w:rsidR="00E86315" w:rsidP="00FD6A50" w14:paraId="09B0BBCB" w14:textId="563A66AB">
      <w:pPr>
        <w:pStyle w:val="NoSpacing"/>
        <w:jc w:val="both"/>
      </w:pPr>
      <w:r>
        <w:t xml:space="preserve">This guidance includes two parts: </w:t>
      </w:r>
    </w:p>
    <w:p w:rsidR="00E0754F" w:rsidP="00FD6A50" w14:paraId="239704C2" w14:textId="739E3E72">
      <w:pPr>
        <w:pStyle w:val="NoSpacing"/>
        <w:jc w:val="both"/>
      </w:pPr>
    </w:p>
    <w:p w:rsidR="00D133C1" w:rsidRPr="00EE7258" w:rsidP="10A9F656" w14:paraId="595C3AC6" w14:textId="30C33566">
      <w:pPr>
        <w:pStyle w:val="NoSpacing"/>
        <w:jc w:val="both"/>
        <w:rPr>
          <w:color w:val="004E7D" w:themeColor="accent6" w:themeShade="BF"/>
        </w:rPr>
      </w:pPr>
      <w:r w:rsidRPr="00EE7258">
        <w:rPr>
          <w:color w:val="004E7D"/>
          <w:sz w:val="28"/>
          <w:szCs w:val="28"/>
        </w:rPr>
        <w:t xml:space="preserve">Part 1: General Guidance   </w:t>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r w:rsidRPr="00EE7258" w:rsidR="00594A6F">
        <w:rPr>
          <w:color w:val="004E7D"/>
          <w:sz w:val="24"/>
          <w:szCs w:val="24"/>
        </w:rPr>
        <w:tab/>
      </w:r>
    </w:p>
    <w:p w:rsidR="00E0754F" w:rsidP="00485F06" w14:paraId="35F4E090" w14:textId="3C45894E">
      <w:pPr>
        <w:pStyle w:val="NoSpacing"/>
        <w:spacing w:before="120"/>
        <w:jc w:val="both"/>
      </w:pPr>
      <w:r>
        <w:t xml:space="preserve">This section provides an orientation to recipients’ compliance responsibilities and Treasury’s expectations and recommends best practices where appropriate under the SLFRF </w:t>
      </w:r>
      <w:r w:rsidR="00BB72AD">
        <w:t>p</w:t>
      </w:r>
      <w:r>
        <w:t>rogram.</w:t>
      </w:r>
    </w:p>
    <w:tbl>
      <w:tblPr>
        <w:tblStyle w:val="TableGrid"/>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191"/>
        <w:gridCol w:w="629"/>
      </w:tblGrid>
      <w:tr w14:paraId="0092318A" w14:textId="77777777" w:rsidTr="10A9F656">
        <w:tblPrEx>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Ex>
        <w:tc>
          <w:tcPr>
            <w:tcW w:w="8191" w:type="dxa"/>
          </w:tcPr>
          <w:p w:rsidR="00271D43" w:rsidP="00CE5331" w14:paraId="0F2F4F3E" w14:textId="5EB06C39">
            <w:pPr>
              <w:pStyle w:val="NoSpacing"/>
              <w:numPr>
                <w:ilvl w:val="0"/>
                <w:numId w:val="42"/>
              </w:numPr>
              <w:spacing w:before="120"/>
            </w:pPr>
            <w:r>
              <w:t>Key Principles…………………</w:t>
            </w:r>
            <w:r>
              <w:t>…..</w:t>
            </w:r>
            <w:r>
              <w:t>…………………………………………………….</w:t>
            </w:r>
          </w:p>
        </w:tc>
        <w:tc>
          <w:tcPr>
            <w:tcW w:w="629" w:type="dxa"/>
          </w:tcPr>
          <w:p w:rsidR="00271D43" w:rsidP="00C10963" w14:paraId="24FFB367" w14:textId="52B14822">
            <w:pPr>
              <w:pStyle w:val="NoSpacing"/>
              <w:spacing w:before="120"/>
              <w:ind w:left="-87" w:firstLine="87"/>
              <w:jc w:val="right"/>
            </w:pPr>
            <w:r>
              <w:t xml:space="preserve">P. </w:t>
            </w:r>
            <w:r w:rsidR="002E02A5">
              <w:t>4</w:t>
            </w:r>
          </w:p>
        </w:tc>
      </w:tr>
      <w:tr w14:paraId="1DE9F541"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03833AAD" w14:textId="1356D222">
            <w:pPr>
              <w:pStyle w:val="NoSpacing"/>
              <w:numPr>
                <w:ilvl w:val="0"/>
                <w:numId w:val="42"/>
              </w:numPr>
              <w:spacing w:before="120"/>
            </w:pPr>
            <w:r>
              <w:t>Statutory Eligible Uses………………………………………………………………….</w:t>
            </w:r>
          </w:p>
        </w:tc>
        <w:tc>
          <w:tcPr>
            <w:tcW w:w="629" w:type="dxa"/>
          </w:tcPr>
          <w:p w:rsidR="00271D43" w:rsidP="00C10963" w14:paraId="5C6EB386" w14:textId="76290F2C">
            <w:pPr>
              <w:pStyle w:val="NoSpacing"/>
              <w:spacing w:before="120"/>
              <w:ind w:left="-87" w:firstLine="87"/>
              <w:jc w:val="right"/>
            </w:pPr>
            <w:r>
              <w:t xml:space="preserve">P. </w:t>
            </w:r>
            <w:r w:rsidR="002E02A5">
              <w:t>4</w:t>
            </w:r>
          </w:p>
        </w:tc>
      </w:tr>
      <w:tr w14:paraId="3AE41291"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33728379" w14:textId="20380E7C">
            <w:pPr>
              <w:pStyle w:val="NoSpacing"/>
              <w:numPr>
                <w:ilvl w:val="0"/>
                <w:numId w:val="42"/>
              </w:numPr>
              <w:spacing w:before="120"/>
            </w:pPr>
            <w:r>
              <w:t xml:space="preserve">Treasury’s </w:t>
            </w:r>
            <w:r w:rsidR="00183592">
              <w:t>Final Rule</w:t>
            </w:r>
            <w:r>
              <w:t>……………………………………………………….…………</w:t>
            </w:r>
          </w:p>
        </w:tc>
        <w:tc>
          <w:tcPr>
            <w:tcW w:w="629" w:type="dxa"/>
          </w:tcPr>
          <w:p w:rsidR="00271D43" w:rsidP="00C10963" w14:paraId="4B2A9006" w14:textId="21907C7F">
            <w:pPr>
              <w:pStyle w:val="NoSpacing"/>
              <w:spacing w:before="120"/>
              <w:ind w:left="-87" w:firstLine="87"/>
              <w:jc w:val="right"/>
            </w:pPr>
            <w:r>
              <w:t xml:space="preserve">P. </w:t>
            </w:r>
            <w:r w:rsidR="002E02A5">
              <w:t>5</w:t>
            </w:r>
          </w:p>
        </w:tc>
      </w:tr>
      <w:tr w14:paraId="09671A98" w14:textId="77777777" w:rsidTr="10A9F656">
        <w:tblPrEx>
          <w:tblW w:w="8820" w:type="dxa"/>
          <w:tblInd w:w="270" w:type="dxa"/>
          <w:tblLayout w:type="fixed"/>
          <w:tblCellMar>
            <w:left w:w="0" w:type="dxa"/>
            <w:right w:w="0" w:type="dxa"/>
          </w:tblCellMar>
          <w:tblLook w:val="04A0"/>
        </w:tblPrEx>
        <w:tc>
          <w:tcPr>
            <w:tcW w:w="8191" w:type="dxa"/>
          </w:tcPr>
          <w:p w:rsidR="00271D43" w:rsidP="002D73F7" w14:paraId="5AA91D17" w14:textId="766F2087">
            <w:pPr>
              <w:pStyle w:val="NoSpacing"/>
              <w:spacing w:before="120"/>
            </w:pPr>
            <w:r>
              <w:t xml:space="preserve">D.  Uniform Guidance (2 CFR Part </w:t>
            </w:r>
            <w:r>
              <w:t>200)…</w:t>
            </w:r>
            <w:r>
              <w:t>…………..……………………………………</w:t>
            </w:r>
          </w:p>
        </w:tc>
        <w:tc>
          <w:tcPr>
            <w:tcW w:w="629" w:type="dxa"/>
          </w:tcPr>
          <w:p w:rsidR="00271D43" w:rsidP="00C10963" w14:paraId="24CDE216" w14:textId="3F04D89F">
            <w:pPr>
              <w:pStyle w:val="NoSpacing"/>
              <w:spacing w:before="120"/>
              <w:ind w:left="-87" w:firstLine="87"/>
              <w:jc w:val="right"/>
            </w:pPr>
            <w:r>
              <w:t xml:space="preserve">P. </w:t>
            </w:r>
            <w:r w:rsidR="002E02A5">
              <w:t>7</w:t>
            </w:r>
          </w:p>
        </w:tc>
      </w:tr>
      <w:tr w14:paraId="60772DFC" w14:textId="77777777" w:rsidTr="10A9F656">
        <w:tblPrEx>
          <w:tblW w:w="8820" w:type="dxa"/>
          <w:tblInd w:w="270" w:type="dxa"/>
          <w:tblLayout w:type="fixed"/>
          <w:tblCellMar>
            <w:left w:w="0" w:type="dxa"/>
            <w:right w:w="0" w:type="dxa"/>
          </w:tblCellMar>
          <w:tblLook w:val="04A0"/>
        </w:tblPrEx>
        <w:tc>
          <w:tcPr>
            <w:tcW w:w="8191" w:type="dxa"/>
          </w:tcPr>
          <w:p w:rsidR="00271D43" w:rsidP="002D73F7" w14:paraId="53740053" w14:textId="6281326E">
            <w:pPr>
              <w:pStyle w:val="NoSpacing"/>
              <w:spacing w:before="120"/>
            </w:pPr>
            <w:r>
              <w:t xml:space="preserve">E.  </w:t>
            </w:r>
            <w:r w:rsidRPr="00220987">
              <w:t>Award Terms and Conditions</w:t>
            </w:r>
            <w:r>
              <w:t>………………………………</w:t>
            </w:r>
            <w:r w:rsidR="002D73F7">
              <w:t>...</w:t>
            </w:r>
            <w:r>
              <w:t>………………………...</w:t>
            </w:r>
            <w:r w:rsidRPr="00220987">
              <w:tab/>
            </w:r>
          </w:p>
        </w:tc>
        <w:tc>
          <w:tcPr>
            <w:tcW w:w="629" w:type="dxa"/>
          </w:tcPr>
          <w:p w:rsidR="00271D43" w:rsidP="00C10963" w14:paraId="243D5874" w14:textId="56B8DA88">
            <w:pPr>
              <w:pStyle w:val="NoSpacing"/>
              <w:spacing w:before="120"/>
              <w:ind w:left="-87" w:firstLine="87"/>
              <w:jc w:val="right"/>
            </w:pPr>
            <w:r>
              <w:t>P. 1</w:t>
            </w:r>
            <w:r w:rsidR="006E09D3">
              <w:t>1</w:t>
            </w:r>
          </w:p>
        </w:tc>
      </w:tr>
    </w:tbl>
    <w:p w:rsidR="002E02A5" w:rsidP="00271D43" w14:paraId="661B6E2A" w14:textId="77777777">
      <w:pPr>
        <w:pStyle w:val="NoSpacing"/>
        <w:spacing w:before="120"/>
        <w:jc w:val="both"/>
        <w:rPr>
          <w:color w:val="004E7D"/>
          <w:sz w:val="28"/>
          <w:szCs w:val="28"/>
        </w:rPr>
      </w:pPr>
    </w:p>
    <w:p w:rsidR="00E0754F" w:rsidRPr="00EE7258" w:rsidP="00271D43" w14:paraId="270A49D4" w14:textId="4FAE2056">
      <w:pPr>
        <w:pStyle w:val="NoSpacing"/>
        <w:spacing w:before="120"/>
        <w:jc w:val="both"/>
      </w:pPr>
      <w:r w:rsidRPr="00EE7258">
        <w:rPr>
          <w:color w:val="004E7D"/>
          <w:sz w:val="28"/>
          <w:szCs w:val="28"/>
        </w:rPr>
        <w:t>Part 2: Reporting Requirements</w:t>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r w:rsidRPr="00EE7258" w:rsidR="00594A6F">
        <w:rPr>
          <w:sz w:val="28"/>
          <w:szCs w:val="28"/>
        </w:rPr>
        <w:tab/>
      </w:r>
    </w:p>
    <w:p w:rsidR="00D133C1" w:rsidP="00485F06" w14:paraId="7D01ADAC" w14:textId="67C3AE32">
      <w:pPr>
        <w:pStyle w:val="NoSpacing"/>
        <w:spacing w:before="120"/>
        <w:jc w:val="both"/>
      </w:pPr>
      <w:r>
        <w:t xml:space="preserve">This section provides information on the reporting requirements for the SLFRF program. </w:t>
      </w:r>
    </w:p>
    <w:tbl>
      <w:tblPr>
        <w:tblStyle w:val="TableGrid"/>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191"/>
        <w:gridCol w:w="629"/>
      </w:tblGrid>
      <w:tr w14:paraId="619FCDC4" w14:textId="77777777" w:rsidTr="10A9F656">
        <w:tblPrEx>
          <w:tblW w:w="882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Ex>
        <w:tc>
          <w:tcPr>
            <w:tcW w:w="8191" w:type="dxa"/>
          </w:tcPr>
          <w:p w:rsidR="00271D43" w:rsidP="00CE5331" w14:paraId="3D43785E" w14:textId="2460E657">
            <w:pPr>
              <w:pStyle w:val="NoSpacing"/>
              <w:numPr>
                <w:ilvl w:val="0"/>
                <w:numId w:val="43"/>
              </w:numPr>
              <w:spacing w:before="120"/>
            </w:pPr>
            <w:r>
              <w:t>Interim Report…...…………………………………………………………………...….</w:t>
            </w:r>
          </w:p>
        </w:tc>
        <w:tc>
          <w:tcPr>
            <w:tcW w:w="629" w:type="dxa"/>
          </w:tcPr>
          <w:p w:rsidR="00271D43" w:rsidP="00C10963" w14:paraId="606D7148" w14:textId="1F871554">
            <w:pPr>
              <w:pStyle w:val="NoSpacing"/>
              <w:spacing w:before="120"/>
              <w:jc w:val="right"/>
            </w:pPr>
            <w:r>
              <w:t>P. 1</w:t>
            </w:r>
            <w:r w:rsidR="004D45F6">
              <w:t>6</w:t>
            </w:r>
          </w:p>
        </w:tc>
      </w:tr>
      <w:tr w14:paraId="49383671"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4AA5C6A6" w14:textId="1C50BCC6">
            <w:pPr>
              <w:pStyle w:val="NoSpacing"/>
              <w:numPr>
                <w:ilvl w:val="0"/>
                <w:numId w:val="43"/>
              </w:numPr>
              <w:spacing w:before="120"/>
            </w:pPr>
            <w:r>
              <w:t>Project and Expenditure Report…………….…………………………………...…….</w:t>
            </w:r>
          </w:p>
        </w:tc>
        <w:tc>
          <w:tcPr>
            <w:tcW w:w="629" w:type="dxa"/>
          </w:tcPr>
          <w:p w:rsidR="00271D43" w:rsidP="00C10963" w14:paraId="54C29E1A" w14:textId="1C49E7B2">
            <w:pPr>
              <w:pStyle w:val="NoSpacing"/>
              <w:spacing w:before="120"/>
              <w:jc w:val="right"/>
            </w:pPr>
            <w:r>
              <w:t>P. 1</w:t>
            </w:r>
            <w:r w:rsidR="004D45F6">
              <w:t>7</w:t>
            </w:r>
          </w:p>
        </w:tc>
      </w:tr>
      <w:tr w14:paraId="3BD5BC76" w14:textId="77777777" w:rsidTr="10A9F656">
        <w:tblPrEx>
          <w:tblW w:w="8820" w:type="dxa"/>
          <w:tblInd w:w="270" w:type="dxa"/>
          <w:tblLayout w:type="fixed"/>
          <w:tblCellMar>
            <w:left w:w="0" w:type="dxa"/>
            <w:right w:w="0" w:type="dxa"/>
          </w:tblCellMar>
          <w:tblLook w:val="04A0"/>
        </w:tblPrEx>
        <w:tc>
          <w:tcPr>
            <w:tcW w:w="8191" w:type="dxa"/>
          </w:tcPr>
          <w:p w:rsidR="00271D43" w:rsidP="00CE5331" w14:paraId="0C8D7594" w14:textId="66581304">
            <w:pPr>
              <w:pStyle w:val="NoSpacing"/>
              <w:numPr>
                <w:ilvl w:val="0"/>
                <w:numId w:val="43"/>
              </w:numPr>
              <w:spacing w:before="120"/>
            </w:pPr>
            <w:r>
              <w:t xml:space="preserve">Recovery Plan Performance </w:t>
            </w:r>
            <w:r>
              <w:t>Report..</w:t>
            </w:r>
            <w:r>
              <w:t>………………..……………………….….……</w:t>
            </w:r>
          </w:p>
        </w:tc>
        <w:tc>
          <w:tcPr>
            <w:tcW w:w="629" w:type="dxa"/>
          </w:tcPr>
          <w:p w:rsidR="00271D43" w:rsidP="00C10963" w14:paraId="29E47127" w14:textId="33439E61">
            <w:pPr>
              <w:pStyle w:val="NoSpacing"/>
              <w:spacing w:before="120"/>
              <w:jc w:val="right"/>
            </w:pPr>
            <w:r>
              <w:t xml:space="preserve">P. </w:t>
            </w:r>
            <w:r w:rsidR="00550815">
              <w:t>3</w:t>
            </w:r>
            <w:r w:rsidR="00C71E83">
              <w:t>4</w:t>
            </w:r>
          </w:p>
        </w:tc>
      </w:tr>
    </w:tbl>
    <w:p w:rsidR="00EE7258" w:rsidRPr="00220987" w:rsidP="002D73F7" w14:paraId="52701994" w14:textId="565E244A">
      <w:pPr>
        <w:pStyle w:val="NoSpacing"/>
        <w:jc w:val="both"/>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460"/>
        <w:gridCol w:w="630"/>
      </w:tblGrid>
      <w:tr w14:paraId="270167ED" w14:textId="77777777" w:rsidTr="10A9F656">
        <w:tblPrEx>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Ex>
        <w:tc>
          <w:tcPr>
            <w:tcW w:w="8460" w:type="dxa"/>
          </w:tcPr>
          <w:p w:rsidR="00EE7258" w:rsidRPr="00220987" w:rsidP="00AD740E" w14:paraId="60EF523B" w14:textId="54396752">
            <w:pPr>
              <w:pStyle w:val="NoSpacing"/>
              <w:spacing w:before="120"/>
            </w:pPr>
            <w:r>
              <w:t>Appendix 1: Expenditure Categories…………………………………………………….……</w:t>
            </w:r>
          </w:p>
        </w:tc>
        <w:tc>
          <w:tcPr>
            <w:tcW w:w="630" w:type="dxa"/>
          </w:tcPr>
          <w:p w:rsidR="00EE7258" w:rsidRPr="00220987" w:rsidP="00EE7258" w14:paraId="5832916A" w14:textId="10584E20">
            <w:pPr>
              <w:pStyle w:val="NoSpacing"/>
              <w:spacing w:before="120"/>
              <w:jc w:val="right"/>
            </w:pPr>
            <w:r>
              <w:t xml:space="preserve">P. </w:t>
            </w:r>
            <w:r w:rsidR="00550815">
              <w:t>4</w:t>
            </w:r>
            <w:r w:rsidR="00C71E83">
              <w:t>2</w:t>
            </w:r>
          </w:p>
        </w:tc>
      </w:tr>
      <w:tr w14:paraId="7532DEA2" w14:textId="77777777" w:rsidTr="10A9F656">
        <w:tblPrEx>
          <w:tblW w:w="9090" w:type="dxa"/>
          <w:tblLayout w:type="fixed"/>
          <w:tblCellMar>
            <w:left w:w="0" w:type="dxa"/>
            <w:right w:w="0" w:type="dxa"/>
          </w:tblCellMar>
          <w:tblLook w:val="04A0"/>
        </w:tblPrEx>
        <w:tc>
          <w:tcPr>
            <w:tcW w:w="8460" w:type="dxa"/>
          </w:tcPr>
          <w:p w:rsidR="00EE7258" w:rsidRPr="00220987" w:rsidP="00AD740E" w14:paraId="7BFCAF75" w14:textId="5DC530BC">
            <w:pPr>
              <w:pStyle w:val="NoSpacing"/>
              <w:spacing w:before="120"/>
            </w:pPr>
            <w:r>
              <w:t>Appendix 2: Evidenced-Based Intervention Additional Information…………………….….</w:t>
            </w:r>
          </w:p>
        </w:tc>
        <w:tc>
          <w:tcPr>
            <w:tcW w:w="630" w:type="dxa"/>
          </w:tcPr>
          <w:p w:rsidR="00EE7258" w:rsidRPr="00220987" w:rsidP="00EE7258" w14:paraId="27E41CD5" w14:textId="42A13313">
            <w:pPr>
              <w:pStyle w:val="NoSpacing"/>
              <w:spacing w:before="120"/>
              <w:jc w:val="right"/>
            </w:pPr>
            <w:r>
              <w:t xml:space="preserve">P. </w:t>
            </w:r>
            <w:r w:rsidR="004D45F6">
              <w:t>4</w:t>
            </w:r>
            <w:r w:rsidR="00C71E83">
              <w:t>7</w:t>
            </w:r>
          </w:p>
        </w:tc>
      </w:tr>
      <w:tr w14:paraId="4D14A8FE" w14:textId="77777777" w:rsidTr="10A9F656">
        <w:tblPrEx>
          <w:tblW w:w="9090" w:type="dxa"/>
          <w:tblLayout w:type="fixed"/>
          <w:tblCellMar>
            <w:left w:w="0" w:type="dxa"/>
            <w:right w:w="0" w:type="dxa"/>
          </w:tblCellMar>
          <w:tblLook w:val="04A0"/>
        </w:tblPrEx>
        <w:tc>
          <w:tcPr>
            <w:tcW w:w="8460" w:type="dxa"/>
          </w:tcPr>
          <w:p w:rsidR="000524CE" w:rsidP="00AD740E" w14:paraId="2AA86445" w14:textId="1255B34F">
            <w:pPr>
              <w:pStyle w:val="NoSpacing"/>
              <w:spacing w:before="120"/>
            </w:pPr>
            <w:r>
              <w:t xml:space="preserve">Appendix 3: </w:t>
            </w:r>
            <w:r w:rsidR="00950B82">
              <w:t>Expen</w:t>
            </w:r>
            <w:r w:rsidR="00E65363">
              <w:t xml:space="preserve">diture Categories under the </w:t>
            </w:r>
            <w:r w:rsidR="001279CA">
              <w:t>I</w:t>
            </w:r>
            <w:r w:rsidR="00E65363">
              <w:t xml:space="preserve">nterim </w:t>
            </w:r>
            <w:r w:rsidR="001279CA">
              <w:t>F</w:t>
            </w:r>
            <w:r w:rsidR="00E65363">
              <w:t xml:space="preserve">inal </w:t>
            </w:r>
            <w:r w:rsidR="001279CA">
              <w:t>R</w:t>
            </w:r>
            <w:r w:rsidR="00E65363">
              <w:t>ule……………………</w:t>
            </w:r>
            <w:r w:rsidR="00E65363">
              <w:t>…</w:t>
            </w:r>
            <w:r w:rsidR="005A1C40">
              <w:t>.</w:t>
            </w:r>
            <w:r w:rsidR="00E65363">
              <w:t>.</w:t>
            </w:r>
          </w:p>
        </w:tc>
        <w:tc>
          <w:tcPr>
            <w:tcW w:w="630" w:type="dxa"/>
          </w:tcPr>
          <w:p w:rsidR="000524CE" w:rsidP="005A1C40" w14:paraId="191B72ED" w14:textId="2358ED05">
            <w:pPr>
              <w:pStyle w:val="NoSpacing"/>
              <w:spacing w:before="120"/>
              <w:jc w:val="right"/>
            </w:pPr>
            <w:r>
              <w:t xml:space="preserve"> P. </w:t>
            </w:r>
            <w:r w:rsidR="005A1C40">
              <w:t>4</w:t>
            </w:r>
            <w:r w:rsidR="00C71E83">
              <w:t>8</w:t>
            </w:r>
          </w:p>
        </w:tc>
      </w:tr>
    </w:tbl>
    <w:p w:rsidR="00485F06" w:rsidP="002D73F7" w14:paraId="3A4A6FB6" w14:textId="015455D5">
      <w:pPr>
        <w:pStyle w:val="NoSpacing"/>
        <w:jc w:val="both"/>
      </w:pPr>
      <w:r w:rsidRPr="00220987">
        <w:tab/>
      </w:r>
      <w:r w:rsidRPr="00220987">
        <w:tab/>
      </w:r>
      <w:r w:rsidRPr="00220987">
        <w:tab/>
      </w:r>
      <w:r w:rsidRPr="00220987">
        <w:tab/>
      </w:r>
      <w:r w:rsidR="00062E51">
        <w:tab/>
      </w:r>
    </w:p>
    <w:p w:rsidR="006B7990" w:rsidP="002D73F7" w14:paraId="0F2826C0" w14:textId="77777777">
      <w:pPr>
        <w:pStyle w:val="NoSpacing"/>
        <w:jc w:val="both"/>
      </w:pPr>
    </w:p>
    <w:p w:rsidR="006B7990" w:rsidP="002D73F7" w14:paraId="08E948A1" w14:textId="77777777">
      <w:pPr>
        <w:pStyle w:val="NoSpacing"/>
        <w:jc w:val="both"/>
      </w:pPr>
    </w:p>
    <w:p w:rsidR="006B7990" w:rsidP="006B7990" w14:paraId="611ED9ED" w14:textId="77777777">
      <w:pPr>
        <w:pStyle w:val="NoSpacing"/>
      </w:pPr>
    </w:p>
    <w:p w:rsidR="006B7990" w:rsidRPr="006B7990" w:rsidP="006B7990" w14:paraId="11B8AA11" w14:textId="77777777">
      <w:pPr>
        <w:pStyle w:val="NoSpacing"/>
        <w:jc w:val="both"/>
      </w:pPr>
      <w:r w:rsidRPr="006B7990">
        <w:t>OMB Control Number: 1505-0271</w:t>
      </w:r>
    </w:p>
    <w:p w:rsidR="006B7990" w:rsidP="006B7990" w14:paraId="78254FE8" w14:textId="77777777">
      <w:pPr>
        <w:pStyle w:val="NoSpacing"/>
        <w:jc w:val="both"/>
      </w:pPr>
    </w:p>
    <w:p w:rsidR="006B7990" w:rsidRPr="006B7990" w:rsidP="00286BB5" w14:paraId="74611714" w14:textId="62E47488">
      <w:pPr>
        <w:pStyle w:val="NoSpacing"/>
        <w:jc w:val="both"/>
      </w:pPr>
      <w:r w:rsidRPr="006B7990">
        <w:t>OMB Expiration Date: 0</w:t>
      </w:r>
      <w:r w:rsidR="001223E3">
        <w:t>4</w:t>
      </w:r>
      <w:r w:rsidRPr="006B7990">
        <w:t>/</w:t>
      </w:r>
      <w:r w:rsidR="001223E3">
        <w:t>30</w:t>
      </w:r>
      <w:r w:rsidRPr="006B7990">
        <w:t>/202</w:t>
      </w:r>
      <w:r w:rsidR="001223E3">
        <w:t>5</w:t>
      </w:r>
    </w:p>
    <w:p w:rsidR="006B7990" w:rsidP="006B7990" w14:paraId="60D42863" w14:textId="77777777">
      <w:pPr>
        <w:pStyle w:val="NoSpacing"/>
        <w:jc w:val="both"/>
      </w:pPr>
    </w:p>
    <w:p w:rsidR="006B7990" w:rsidP="006B7990" w14:paraId="4BBF505A" w14:textId="4A776114">
      <w:pPr>
        <w:pStyle w:val="NoSpacing"/>
        <w:jc w:val="both"/>
      </w:pPr>
      <w:r w:rsidRPr="00286BB5">
        <w:t>PAPERWORK REDUCTION ACT NOTICE</w:t>
      </w:r>
    </w:p>
    <w:p w:rsidR="006B7990" w:rsidRPr="00286BB5" w:rsidP="00286BB5" w14:paraId="41E2E8BF" w14:textId="77777777">
      <w:pPr>
        <w:pStyle w:val="NoSpacing"/>
        <w:jc w:val="both"/>
      </w:pPr>
    </w:p>
    <w:p w:rsidR="006B7990" w:rsidRPr="00286BB5" w:rsidP="00286BB5" w14:paraId="057A70BA" w14:textId="1B6BBD66">
      <w:pPr>
        <w:pStyle w:val="NoSpacing"/>
        <w:jc w:val="both"/>
      </w:pPr>
      <w:r w:rsidRPr="00286BB5">
        <w:t xml:space="preserve">The information collected will be used for the U.S. Government to process requests for </w:t>
      </w:r>
      <w:r w:rsidRPr="001878AD">
        <w:t>support.</w:t>
      </w:r>
      <w:r w:rsidRPr="001878AD" w:rsidR="00BE4260">
        <w:t xml:space="preserve">  The estimated burden for the collections of information included in this guidance is as follows: 30 minutes for Title VI Assurances, 2 hours per response for the </w:t>
      </w:r>
      <w:r w:rsidRPr="001878AD" w:rsidR="001878AD">
        <w:t>I</w:t>
      </w:r>
      <w:r w:rsidRPr="001878AD" w:rsidR="00BE4260">
        <w:t xml:space="preserve">nterim </w:t>
      </w:r>
      <w:r w:rsidRPr="001878AD" w:rsidR="001878AD">
        <w:t xml:space="preserve">Report, </w:t>
      </w:r>
      <w:r w:rsidRPr="001878AD" w:rsidR="00BE4260">
        <w:t xml:space="preserve">6 hours </w:t>
      </w:r>
      <w:r w:rsidR="001878AD">
        <w:t xml:space="preserve">per response </w:t>
      </w:r>
      <w:r w:rsidRPr="001878AD" w:rsidR="00BE4260">
        <w:t>for the</w:t>
      </w:r>
      <w:r w:rsidRPr="001878AD" w:rsidR="001878AD">
        <w:t xml:space="preserve"> P</w:t>
      </w:r>
      <w:r w:rsidRPr="001878AD" w:rsidR="00BE4260">
        <w:t xml:space="preserve">roject and </w:t>
      </w:r>
      <w:r w:rsidRPr="001878AD" w:rsidR="001878AD">
        <w:t>E</w:t>
      </w:r>
      <w:r w:rsidRPr="001878AD" w:rsidR="00BE4260">
        <w:t xml:space="preserve">xpenditure </w:t>
      </w:r>
      <w:r w:rsidR="001878AD">
        <w:t>R</w:t>
      </w:r>
      <w:r w:rsidRPr="001878AD" w:rsidR="00BE4260">
        <w:t>eport</w:t>
      </w:r>
      <w:r w:rsidRPr="001878AD" w:rsidR="001878AD">
        <w:t xml:space="preserve"> and 1</w:t>
      </w:r>
      <w:r w:rsidRPr="001878AD" w:rsidR="00BE4260">
        <w:t>00 hours per response for</w:t>
      </w:r>
      <w:r w:rsidR="001878AD">
        <w:t xml:space="preserve"> the</w:t>
      </w:r>
      <w:r w:rsidRPr="001878AD" w:rsidR="00BE4260">
        <w:t xml:space="preserve"> </w:t>
      </w:r>
      <w:r w:rsidRPr="001878AD" w:rsidR="001878AD">
        <w:t xml:space="preserve">Recovery Plan Performance Report (if applicable).  </w:t>
      </w:r>
      <w:r w:rsidRPr="001878AD">
        <w:t>Comments concerning the accuracy of this burden estimate and suggestions for reducing this burden should be directed to the Office of Privacy, Transparency and Records, Department</w:t>
      </w:r>
      <w:r w:rsidRPr="00286BB5">
        <w:t xml:space="preserve"> of the Treasury, 1500 Pennsylvania Ave., N.W., Washington, D.C. 20220. DO NOT send the form to this address. An agency may not conduct or sponsor, and a person is not required to respond to, a collection of information unless it displays a valid control number assigned by OMB.</w:t>
      </w:r>
    </w:p>
    <w:p w:rsidR="006B7990" w:rsidRPr="006B7990" w:rsidP="006B7990" w14:paraId="454355DA" w14:textId="77777777">
      <w:pPr>
        <w:spacing w:after="0" w:line="240" w:lineRule="auto"/>
        <w:rPr>
          <w:rFonts w:ascii="Calibri" w:eastAsia="Times New Roman" w:hAnsi="Calibri" w:cs="Calibri"/>
        </w:rPr>
      </w:pPr>
    </w:p>
    <w:p w:rsidR="006B7990" w:rsidRPr="002D73F7" w:rsidP="002D73F7" w14:paraId="19A75FB9" w14:textId="77777777">
      <w:pPr>
        <w:pStyle w:val="NoSpacing"/>
        <w:jc w:val="both"/>
      </w:pPr>
    </w:p>
    <w:p w:rsidR="00062E51" w:rsidRPr="00486F44" w:rsidP="007777CF" w14:paraId="45F9F51B" w14:textId="1B6D8A46">
      <w:pPr>
        <w:rPr>
          <w:b/>
          <w:bCs/>
          <w:color w:val="004E7D" w:themeColor="accent6" w:themeShade="BF"/>
          <w:sz w:val="36"/>
          <w:szCs w:val="36"/>
        </w:rPr>
      </w:pPr>
      <w:r>
        <w:rPr>
          <w:b/>
          <w:bCs/>
          <w:color w:val="004E7D" w:themeColor="accent6" w:themeShade="BF"/>
          <w:sz w:val="36"/>
          <w:szCs w:val="36"/>
        </w:rPr>
        <w:br w:type="page"/>
      </w:r>
      <w:r w:rsidRPr="10A9F656" w:rsidR="10A9F656">
        <w:rPr>
          <w:b/>
          <w:bCs/>
          <w:color w:val="004E7D" w:themeColor="accent6" w:themeShade="BF"/>
          <w:sz w:val="36"/>
          <w:szCs w:val="36"/>
        </w:rPr>
        <w:t>Part 1: General Guidance</w:t>
      </w:r>
    </w:p>
    <w:p w:rsidR="00062E51" w:rsidRPr="00440EF3" w:rsidP="00FD6A50" w14:paraId="5EC28C83" w14:textId="77777777">
      <w:pPr>
        <w:pStyle w:val="NoSpacing"/>
        <w:jc w:val="both"/>
        <w:rPr>
          <w:b/>
          <w:bCs/>
        </w:rPr>
      </w:pPr>
    </w:p>
    <w:p w:rsidR="00E86315" w:rsidP="10A9F656" w14:paraId="10240D5B" w14:textId="1A2603E4">
      <w:pPr>
        <w:widowControl w:val="0"/>
        <w:spacing w:after="0" w:line="240" w:lineRule="auto"/>
        <w:jc w:val="both"/>
        <w:rPr>
          <w:rFonts w:ascii="Arial" w:hAnsi="Arial"/>
        </w:rPr>
      </w:pPr>
      <w:r w:rsidRPr="10A9F656">
        <w:rPr>
          <w:rFonts w:ascii="Arial" w:hAnsi="Arial"/>
        </w:rPr>
        <w:t xml:space="preserve">This section provides an orientation on recipients’ compliance responsibilities and Treasury’s expectations and recommended best practices where appropriate </w:t>
      </w:r>
      <w:r>
        <w:t>under the SLFRF program</w:t>
      </w:r>
      <w:r w:rsidRPr="10A9F656">
        <w:rPr>
          <w:rFonts w:ascii="Arial" w:hAnsi="Arial"/>
        </w:rPr>
        <w:t>.</w:t>
      </w:r>
    </w:p>
    <w:p w:rsidR="00E86315" w:rsidP="00FD6A50" w14:paraId="522114DA" w14:textId="77777777">
      <w:pPr>
        <w:widowControl w:val="0"/>
        <w:spacing w:after="0" w:line="240" w:lineRule="auto"/>
        <w:jc w:val="both"/>
        <w:rPr>
          <w:rFonts w:ascii="Arial" w:hAnsi="Arial"/>
        </w:rPr>
      </w:pPr>
    </w:p>
    <w:p w:rsidR="00FD483C" w:rsidP="00FD6A50" w14:paraId="06E0EC73" w14:textId="71576D7B">
      <w:pPr>
        <w:widowControl w:val="0"/>
        <w:spacing w:after="0" w:line="240" w:lineRule="auto"/>
        <w:jc w:val="both"/>
      </w:pPr>
      <w:r>
        <w:t xml:space="preserve">Recipients under the SLFRF program are the eligible entities identified in sections 602 and 603 of the Social Security Act </w:t>
      </w:r>
      <w:r w:rsidRPr="10A9F656">
        <w:rPr>
          <w:rFonts w:cs="Calibri"/>
        </w:rPr>
        <w:t>as added by section 9901 of the American Rescue Plan Act of 2021 (the “SLFRF statute”) that</w:t>
      </w:r>
      <w:r>
        <w:t xml:space="preserve"> receive </w:t>
      </w:r>
      <w:r w:rsidRPr="10A9F656">
        <w:rPr>
          <w:rFonts w:ascii="Arial" w:hAnsi="Arial" w:cs="Arial"/>
          <w:sz w:val="21"/>
          <w:szCs w:val="21"/>
          <w:lang w:val="en"/>
        </w:rPr>
        <w:t>a</w:t>
      </w:r>
      <w:r w:rsidR="005571D3">
        <w:rPr>
          <w:rFonts w:ascii="Arial" w:hAnsi="Arial" w:cs="Arial"/>
          <w:sz w:val="21"/>
          <w:szCs w:val="21"/>
          <w:lang w:val="en"/>
        </w:rPr>
        <w:t>n</w:t>
      </w:r>
      <w:r w:rsidRPr="10A9F656">
        <w:rPr>
          <w:rFonts w:ascii="Arial" w:hAnsi="Arial" w:cs="Arial"/>
          <w:sz w:val="21"/>
          <w:szCs w:val="21"/>
          <w:lang w:val="en"/>
        </w:rPr>
        <w:t xml:space="preserve"> </w:t>
      </w:r>
      <w:r>
        <w:t>SLFRF</w:t>
      </w:r>
      <w:r w:rsidRPr="10A9F656">
        <w:rPr>
          <w:rFonts w:ascii="Arial" w:hAnsi="Arial" w:cs="Arial"/>
          <w:sz w:val="21"/>
          <w:szCs w:val="21"/>
          <w:lang w:val="en"/>
        </w:rPr>
        <w:t xml:space="preserve"> award</w:t>
      </w:r>
      <w:r>
        <w:t xml:space="preserve">. Subrecipients under the SLFRF program are entities that receive a subaward from a recipient to carry out the purposes (program or project) of the SLFRF award on behalf of the recipient. </w:t>
      </w:r>
    </w:p>
    <w:p w:rsidR="00FD483C" w:rsidP="00FD6A50" w14:paraId="6E90966E" w14:textId="69C09032">
      <w:pPr>
        <w:widowControl w:val="0"/>
        <w:spacing w:after="0" w:line="240" w:lineRule="auto"/>
        <w:jc w:val="both"/>
      </w:pPr>
    </w:p>
    <w:p w:rsidR="00E86315" w:rsidP="00FD6A50" w14:paraId="140042AE" w14:textId="41D32920">
      <w:pPr>
        <w:spacing w:after="0" w:line="240" w:lineRule="auto"/>
        <w:jc w:val="both"/>
      </w:pPr>
      <w:r>
        <w:t>Recipients are accountable to Treasury for oversight of their subrecipients</w:t>
      </w:r>
      <w:r w:rsidR="00DC3DF0">
        <w:t xml:space="preserve"> in accordance with 2 CFR 200.332</w:t>
      </w:r>
      <w:r>
        <w:t xml:space="preserve">, including ensuring their subrecipients comply with the SLFRF statute, SLFRF Award Terms and Conditions, Treasury’s </w:t>
      </w:r>
      <w:r w:rsidR="00C7342F">
        <w:t xml:space="preserve">interim </w:t>
      </w:r>
      <w:r w:rsidR="00323D61">
        <w:t>final rule</w:t>
      </w:r>
      <w:r w:rsidR="00C7342F">
        <w:t xml:space="preserve"> and </w:t>
      </w:r>
      <w:r w:rsidR="00BB72AD">
        <w:t>f</w:t>
      </w:r>
      <w:r>
        <w:t xml:space="preserve">inal </w:t>
      </w:r>
      <w:r w:rsidR="00BB72AD">
        <w:t>r</w:t>
      </w:r>
      <w:r>
        <w:t xml:space="preserve">ule, </w:t>
      </w:r>
      <w:r w:rsidR="00DC3DF0">
        <w:t>applicable federal statutes, regulations</w:t>
      </w:r>
      <w:r>
        <w:t xml:space="preserve">, and reporting requirements. </w:t>
      </w:r>
    </w:p>
    <w:p w:rsidR="00643082" w:rsidRPr="00E21798" w:rsidP="00FD6A50" w14:paraId="5A173055" w14:textId="77777777">
      <w:pPr>
        <w:spacing w:after="0" w:line="240" w:lineRule="auto"/>
        <w:jc w:val="both"/>
        <w:rPr>
          <w:rFonts w:ascii="Arial" w:hAnsi="Arial"/>
        </w:rPr>
      </w:pPr>
    </w:p>
    <w:p w:rsidR="00C25F3A" w:rsidRPr="003C5176" w:rsidP="00CE5331" w14:paraId="1B2D6C72" w14:textId="6ADEE035">
      <w:pPr>
        <w:pStyle w:val="ListParagraph"/>
        <w:widowControl w:val="0"/>
        <w:numPr>
          <w:ilvl w:val="0"/>
          <w:numId w:val="33"/>
        </w:numPr>
        <w:spacing w:after="0" w:line="240" w:lineRule="auto"/>
        <w:jc w:val="both"/>
        <w:rPr>
          <w:rFonts w:ascii="Arial" w:hAnsi="Arial"/>
        </w:rPr>
      </w:pPr>
      <w:r w:rsidRPr="10A9F656">
        <w:rPr>
          <w:rFonts w:ascii="Arial" w:hAnsi="Arial"/>
          <w:b/>
          <w:bCs/>
        </w:rPr>
        <w:t>Key Principles</w:t>
      </w:r>
    </w:p>
    <w:p w:rsidR="00413D61" w:rsidRPr="003C5176" w:rsidP="00FD6A50" w14:paraId="0099CD0E" w14:textId="77777777">
      <w:pPr>
        <w:pStyle w:val="ListParagraph"/>
        <w:widowControl w:val="0"/>
        <w:spacing w:after="0" w:line="240" w:lineRule="auto"/>
        <w:ind w:left="360"/>
        <w:jc w:val="both"/>
        <w:rPr>
          <w:rFonts w:ascii="Arial" w:hAnsi="Arial"/>
        </w:rPr>
      </w:pPr>
    </w:p>
    <w:p w:rsidR="00E9270C" w:rsidRPr="003C5176" w:rsidP="10A9F656" w14:paraId="6BAB3677" w14:textId="4F224A04">
      <w:pPr>
        <w:widowControl w:val="0"/>
        <w:spacing w:after="0" w:line="240" w:lineRule="auto"/>
        <w:jc w:val="both"/>
        <w:rPr>
          <w:rFonts w:ascii="Arial" w:hAnsi="Arial"/>
        </w:rPr>
      </w:pPr>
      <w:r w:rsidRPr="10A9F656">
        <w:rPr>
          <w:rFonts w:ascii="Arial" w:hAnsi="Arial"/>
        </w:rPr>
        <w:t>There are several guiding principles for developing your own effective compliance regimes:</w:t>
      </w:r>
    </w:p>
    <w:p w:rsidR="00E86315" w:rsidP="00012B59" w14:paraId="19DA8132" w14:textId="5CDD9B2C">
      <w:pPr>
        <w:pStyle w:val="ListParagraph"/>
        <w:widowControl w:val="0"/>
        <w:numPr>
          <w:ilvl w:val="0"/>
          <w:numId w:val="2"/>
        </w:numPr>
        <w:spacing w:before="120" w:after="0" w:line="240" w:lineRule="auto"/>
        <w:jc w:val="both"/>
      </w:pPr>
      <w:r w:rsidRPr="10A9F656">
        <w:rPr>
          <w:rFonts w:ascii="Arial" w:hAnsi="Arial"/>
        </w:rPr>
        <w:t xml:space="preserve">Recipients and subrecipients are the first line of defense and responsible for ensuring the SLFRF award funds are not used for ineligible purposes, and there is no fraud, waste, or abuse associated with their SLFRF award; </w:t>
      </w:r>
    </w:p>
    <w:p w:rsidR="001C6CBF" w:rsidRPr="00813A6D" w:rsidP="00012B59" w14:paraId="64535A0E" w14:textId="5D028FAA">
      <w:pPr>
        <w:pStyle w:val="ListParagraph"/>
        <w:widowControl w:val="0"/>
        <w:numPr>
          <w:ilvl w:val="0"/>
          <w:numId w:val="2"/>
        </w:numPr>
        <w:spacing w:before="120" w:after="0" w:line="240" w:lineRule="auto"/>
        <w:jc w:val="both"/>
      </w:pPr>
      <w:r>
        <w:t>Many SLFRF-funded projects respond to the COVID-19 public health emergency and meet urgent community needs. Swift and effective implementation is vital, and recipients must balance facilitating simple and rapid program access widely across the community and maintaining a robust documentation and compliance regime;</w:t>
      </w:r>
    </w:p>
    <w:p w:rsidR="009F2C50" w:rsidRPr="009F2C50" w:rsidP="00012B59" w14:paraId="455C993C" w14:textId="7A75B1F8">
      <w:pPr>
        <w:pStyle w:val="ListParagraph"/>
        <w:widowControl w:val="0"/>
        <w:numPr>
          <w:ilvl w:val="0"/>
          <w:numId w:val="2"/>
        </w:numPr>
        <w:spacing w:before="120" w:after="0" w:line="240" w:lineRule="auto"/>
        <w:jc w:val="both"/>
      </w:pPr>
      <w:r w:rsidRPr="10A9F656">
        <w:rPr>
          <w:rFonts w:ascii="Arial" w:hAnsi="Arial"/>
        </w:rPr>
        <w:t xml:space="preserve">Treasury encourages recipients to use SLFRF-funded projects to advance shared interests and promote equitable delivery of government benefits and opportunities to underserved communities, as outlined in </w:t>
      </w:r>
      <w:hyperlink r:id="rId18">
        <w:r w:rsidRPr="10A9F656">
          <w:rPr>
            <w:rStyle w:val="Hyperlink"/>
          </w:rPr>
          <w:t>Executive Order 13985, On Advancing Racial Equity and Support for Underserved Communities Through the Federal Government</w:t>
        </w:r>
      </w:hyperlink>
      <w:r w:rsidRPr="10A9F656">
        <w:rPr>
          <w:rFonts w:ascii="Arial" w:hAnsi="Arial"/>
        </w:rPr>
        <w:t>; and</w:t>
      </w:r>
    </w:p>
    <w:p w:rsidR="00E86315" w:rsidP="00012B59" w14:paraId="514AB02F" w14:textId="547D0215">
      <w:pPr>
        <w:pStyle w:val="ListParagraph"/>
        <w:widowControl w:val="0"/>
        <w:numPr>
          <w:ilvl w:val="0"/>
          <w:numId w:val="2"/>
        </w:numPr>
        <w:spacing w:before="120" w:after="0" w:line="240" w:lineRule="auto"/>
        <w:jc w:val="both"/>
      </w:pPr>
      <w:bookmarkStart w:id="0" w:name="_Hlk74392754"/>
      <w:bookmarkEnd w:id="0"/>
      <w:r w:rsidRPr="10A9F656">
        <w:rPr>
          <w:rFonts w:ascii="Arial" w:hAnsi="Arial"/>
        </w:rPr>
        <w:t xml:space="preserve">Transparency and public accountability for SLFRF award funds and use of such funds are critical to upholding program integrity and trust in all levels of government, and SLFRF award funds should be managed consistent with Administration guidance per </w:t>
      </w:r>
      <w:hyperlink r:id="rId19">
        <w:r w:rsidRPr="10A9F656">
          <w:rPr>
            <w:rStyle w:val="Hyperlink"/>
            <w:rFonts w:ascii="Arial" w:hAnsi="Arial"/>
          </w:rPr>
          <w:t>Memorandum M-21-20</w:t>
        </w:r>
      </w:hyperlink>
      <w:r w:rsidRPr="10A9F656">
        <w:rPr>
          <w:rFonts w:ascii="Arial" w:hAnsi="Arial"/>
        </w:rPr>
        <w:t xml:space="preserve"> and </w:t>
      </w:r>
      <w:hyperlink r:id="rId20">
        <w:r w:rsidRPr="10A9F656">
          <w:rPr>
            <w:rStyle w:val="Hyperlink"/>
            <w:rFonts w:ascii="Arial" w:hAnsi="Arial"/>
          </w:rPr>
          <w:t>Memorandum M-20-21</w:t>
        </w:r>
      </w:hyperlink>
      <w:r w:rsidRPr="10A9F656">
        <w:rPr>
          <w:rFonts w:ascii="Arial" w:hAnsi="Arial"/>
        </w:rPr>
        <w:t xml:space="preserve">.  </w:t>
      </w:r>
    </w:p>
    <w:p w:rsidR="00E86315" w:rsidRPr="00E21798" w:rsidP="00FD6A50" w14:paraId="63CDCE5A" w14:textId="77777777">
      <w:pPr>
        <w:spacing w:after="0" w:line="240" w:lineRule="auto"/>
        <w:jc w:val="both"/>
        <w:rPr>
          <w:rFonts w:ascii="Arial" w:hAnsi="Arial"/>
        </w:rPr>
      </w:pPr>
    </w:p>
    <w:p w:rsidR="00C25F3A" w:rsidRPr="00413D61" w:rsidP="00CE5331" w14:paraId="5CDF51DF" w14:textId="22557156">
      <w:pPr>
        <w:pStyle w:val="ListParagraph"/>
        <w:widowControl w:val="0"/>
        <w:numPr>
          <w:ilvl w:val="0"/>
          <w:numId w:val="33"/>
        </w:numPr>
        <w:spacing w:after="0" w:line="240" w:lineRule="auto"/>
        <w:jc w:val="both"/>
        <w:rPr>
          <w:rFonts w:ascii="Arial" w:hAnsi="Arial"/>
          <w:b/>
          <w:bCs/>
        </w:rPr>
      </w:pPr>
      <w:r w:rsidRPr="10A9F656">
        <w:rPr>
          <w:rFonts w:ascii="Arial" w:hAnsi="Arial"/>
          <w:b/>
          <w:bCs/>
        </w:rPr>
        <w:t>Statutory Eligible Uses</w:t>
      </w:r>
    </w:p>
    <w:p w:rsidR="00E9270C" w:rsidRPr="00413D61" w:rsidP="00FD6A50" w14:paraId="42E9BEB1" w14:textId="77777777">
      <w:pPr>
        <w:pStyle w:val="ListParagraph"/>
        <w:widowControl w:val="0"/>
        <w:spacing w:after="0" w:line="240" w:lineRule="auto"/>
        <w:ind w:left="360"/>
        <w:jc w:val="both"/>
        <w:rPr>
          <w:rFonts w:ascii="Arial" w:hAnsi="Arial"/>
          <w:b/>
          <w:bCs/>
        </w:rPr>
      </w:pPr>
    </w:p>
    <w:p w:rsidR="00E86315" w:rsidRPr="00E21798" w:rsidP="10A9F656" w14:paraId="60AF8110" w14:textId="32ED94BC">
      <w:pPr>
        <w:widowControl w:val="0"/>
        <w:spacing w:after="0" w:line="240" w:lineRule="auto"/>
        <w:jc w:val="both"/>
        <w:rPr>
          <w:rFonts w:ascii="Arial" w:hAnsi="Arial"/>
        </w:rPr>
      </w:pPr>
      <w:r w:rsidRPr="10A9F656">
        <w:rPr>
          <w:rFonts w:ascii="Arial" w:hAnsi="Arial"/>
        </w:rPr>
        <w:t xml:space="preserve">As a recipient of an SLFRF award, your organization has substantial discretion to use the award funds in the ways that best suit the needs of your constituents – </w:t>
      </w:r>
      <w:r w:rsidRPr="10A9F656">
        <w:rPr>
          <w:rFonts w:ascii="Arial" w:hAnsi="Arial"/>
        </w:rPr>
        <w:t>as long as</w:t>
      </w:r>
      <w:r w:rsidRPr="10A9F656">
        <w:rPr>
          <w:rFonts w:ascii="Arial" w:hAnsi="Arial"/>
        </w:rPr>
        <w:t xml:space="preserve"> such use fits into one of the following four statutory categories:</w:t>
      </w:r>
    </w:p>
    <w:p w:rsidR="00E86315" w:rsidRPr="003C5176" w:rsidP="00CE5331" w14:paraId="47F72F29" w14:textId="78732079">
      <w:pPr>
        <w:pStyle w:val="ListParagraph"/>
        <w:widowControl w:val="0"/>
        <w:numPr>
          <w:ilvl w:val="0"/>
          <w:numId w:val="45"/>
        </w:numPr>
        <w:spacing w:before="120" w:after="0" w:line="240" w:lineRule="auto"/>
        <w:jc w:val="both"/>
        <w:rPr>
          <w:rFonts w:ascii="Arial" w:hAnsi="Arial"/>
        </w:rPr>
      </w:pPr>
      <w:r w:rsidRPr="10A9F656">
        <w:rPr>
          <w:rFonts w:ascii="Arial" w:hAnsi="Arial"/>
        </w:rPr>
        <w:t>To respond to the COVID-19 public health emergency or its negative economic impacts;</w:t>
      </w:r>
    </w:p>
    <w:p w:rsidR="00E86315" w:rsidRPr="003C5176" w:rsidP="00CE5331" w14:paraId="70D90465" w14:textId="001F5CEE">
      <w:pPr>
        <w:pStyle w:val="ListParagraph"/>
        <w:widowControl w:val="0"/>
        <w:numPr>
          <w:ilvl w:val="0"/>
          <w:numId w:val="45"/>
        </w:numPr>
        <w:spacing w:before="120" w:after="0" w:line="240" w:lineRule="auto"/>
        <w:jc w:val="both"/>
        <w:rPr>
          <w:rFonts w:ascii="Arial" w:hAnsi="Arial"/>
        </w:rPr>
      </w:pPr>
      <w:r w:rsidRPr="10A9F656">
        <w:rPr>
          <w:rFonts w:ascii="Arial" w:hAnsi="Arial"/>
        </w:rPr>
        <w:t>To respond to workers performing essential work during the COVID-19 public health emergency by providing premium pay to eligible workers of the recipient</w:t>
      </w:r>
      <w:r w:rsidR="00B55769">
        <w:rPr>
          <w:rFonts w:ascii="Arial" w:hAnsi="Arial"/>
        </w:rPr>
        <w:t xml:space="preserve"> that are performing such essential work</w:t>
      </w:r>
      <w:r w:rsidRPr="10A9F656">
        <w:rPr>
          <w:rFonts w:ascii="Arial" w:hAnsi="Arial"/>
        </w:rPr>
        <w:t>, or by providing grants to eligible employers that have eligible workers who perform essential work;</w:t>
      </w:r>
    </w:p>
    <w:p w:rsidR="00E86315" w:rsidRPr="003B789F" w:rsidP="00CE5331" w14:paraId="508A81FD" w14:textId="4E3CC524">
      <w:pPr>
        <w:pStyle w:val="ListParagraph"/>
        <w:widowControl w:val="0"/>
        <w:numPr>
          <w:ilvl w:val="0"/>
          <w:numId w:val="45"/>
        </w:numPr>
        <w:spacing w:before="120" w:after="0" w:line="240" w:lineRule="auto"/>
        <w:jc w:val="both"/>
        <w:rPr>
          <w:rFonts w:ascii="Arial" w:hAnsi="Arial"/>
        </w:rPr>
      </w:pPr>
      <w:r w:rsidRPr="10A9F656">
        <w:rPr>
          <w:rFonts w:ascii="Arial" w:hAnsi="Arial"/>
        </w:rPr>
        <w:t xml:space="preserve">For the provision of government services, to the extent of the reduction in revenue of such recipient due to the COVID–19 public health emergency, relative to revenues collected in the most recent full fiscal year of the recipient prior to the emergency; </w:t>
      </w:r>
      <w:r w:rsidR="008D3ACA">
        <w:rPr>
          <w:rFonts w:ascii="Arial" w:hAnsi="Arial"/>
        </w:rPr>
        <w:t>or</w:t>
      </w:r>
    </w:p>
    <w:p w:rsidR="00E86315" w:rsidP="00CE5331" w14:paraId="6CA9A4F1" w14:textId="612E313B">
      <w:pPr>
        <w:pStyle w:val="ListParagraph"/>
        <w:widowControl w:val="0"/>
        <w:numPr>
          <w:ilvl w:val="0"/>
          <w:numId w:val="45"/>
        </w:numPr>
        <w:spacing w:before="120" w:after="0" w:line="240" w:lineRule="auto"/>
        <w:jc w:val="both"/>
      </w:pPr>
      <w:r w:rsidRPr="10A9F656">
        <w:rPr>
          <w:rFonts w:ascii="Arial" w:hAnsi="Arial"/>
        </w:rPr>
        <w:t>To make necessary investments in water, sewer, or broadband infrastructure.</w:t>
      </w:r>
    </w:p>
    <w:p w:rsidR="00E86315" w:rsidP="00FD6A50" w14:paraId="4329B02E" w14:textId="0909C607">
      <w:pPr>
        <w:spacing w:after="0" w:line="240" w:lineRule="auto"/>
        <w:ind w:left="360"/>
        <w:jc w:val="both"/>
        <w:rPr>
          <w:rFonts w:ascii="Arial" w:hAnsi="Arial"/>
        </w:rPr>
      </w:pPr>
    </w:p>
    <w:p w:rsidR="00FC76BF" w:rsidRPr="00183592" w:rsidP="00AB49B7" w14:paraId="2DDCAD3C" w14:textId="36DBD65B">
      <w:pPr>
        <w:pStyle w:val="NormalWeb"/>
        <w:spacing w:before="45" w:beforeAutospacing="0" w:after="150" w:afterAutospacing="0"/>
        <w:ind w:firstLine="0"/>
        <w:rPr>
          <w:rFonts w:asciiTheme="majorHAnsi" w:hAnsiTheme="majorHAnsi" w:cstheme="majorHAnsi"/>
          <w:sz w:val="22"/>
          <w:szCs w:val="22"/>
        </w:rPr>
      </w:pPr>
      <w:r w:rsidRPr="00AB49B7">
        <w:rPr>
          <w:rFonts w:asciiTheme="majorHAnsi" w:hAnsiTheme="majorHAnsi" w:cstheme="majorHAnsi"/>
          <w:sz w:val="22"/>
          <w:szCs w:val="22"/>
        </w:rPr>
        <w:t>Treasury</w:t>
      </w:r>
      <w:r w:rsidRPr="00AB49B7" w:rsidR="00157926">
        <w:rPr>
          <w:rFonts w:asciiTheme="majorHAnsi" w:hAnsiTheme="majorHAnsi" w:cstheme="majorHAnsi"/>
          <w:sz w:val="22"/>
          <w:szCs w:val="22"/>
        </w:rPr>
        <w:t xml:space="preserve"> adopted </w:t>
      </w:r>
      <w:r w:rsidR="004D0A44">
        <w:rPr>
          <w:rFonts w:asciiTheme="majorHAnsi" w:hAnsiTheme="majorHAnsi" w:cstheme="majorHAnsi"/>
          <w:sz w:val="22"/>
          <w:szCs w:val="22"/>
        </w:rPr>
        <w:t xml:space="preserve">an interim final rule in May 2021 and </w:t>
      </w:r>
      <w:r w:rsidRPr="00AB49B7" w:rsidR="003D4F05">
        <w:rPr>
          <w:rFonts w:asciiTheme="majorHAnsi" w:hAnsiTheme="majorHAnsi" w:cstheme="majorHAnsi"/>
          <w:sz w:val="22"/>
          <w:szCs w:val="22"/>
        </w:rPr>
        <w:t xml:space="preserve">the </w:t>
      </w:r>
      <w:hyperlink r:id="rId12" w:history="1">
        <w:r w:rsidR="004556AC">
          <w:rPr>
            <w:rStyle w:val="Hyperlink"/>
            <w:rFonts w:asciiTheme="majorHAnsi" w:hAnsiTheme="majorHAnsi" w:cstheme="majorHAnsi"/>
            <w:sz w:val="22"/>
            <w:szCs w:val="22"/>
          </w:rPr>
          <w:t>f</w:t>
        </w:r>
        <w:r w:rsidRPr="00AB49B7" w:rsidR="003D4F05">
          <w:rPr>
            <w:rStyle w:val="Hyperlink"/>
            <w:rFonts w:asciiTheme="majorHAnsi" w:hAnsiTheme="majorHAnsi" w:cstheme="majorHAnsi"/>
            <w:sz w:val="22"/>
            <w:szCs w:val="22"/>
          </w:rPr>
          <w:t xml:space="preserve">inal </w:t>
        </w:r>
        <w:r w:rsidR="004556AC">
          <w:rPr>
            <w:rStyle w:val="Hyperlink"/>
            <w:rFonts w:asciiTheme="majorHAnsi" w:hAnsiTheme="majorHAnsi" w:cstheme="majorHAnsi"/>
            <w:sz w:val="22"/>
            <w:szCs w:val="22"/>
          </w:rPr>
          <w:t>r</w:t>
        </w:r>
        <w:r w:rsidRPr="00AB49B7" w:rsidR="003D4F05">
          <w:rPr>
            <w:rStyle w:val="Hyperlink"/>
            <w:rFonts w:asciiTheme="majorHAnsi" w:hAnsiTheme="majorHAnsi" w:cstheme="majorHAnsi"/>
            <w:sz w:val="22"/>
            <w:szCs w:val="22"/>
          </w:rPr>
          <w:t xml:space="preserve">ule </w:t>
        </w:r>
      </w:hyperlink>
      <w:r w:rsidRPr="0052725B" w:rsidR="004D0A44">
        <w:rPr>
          <w:rStyle w:val="Hyperlink"/>
          <w:rFonts w:asciiTheme="majorHAnsi" w:hAnsiTheme="majorHAnsi" w:cstheme="majorHAnsi"/>
          <w:color w:val="auto"/>
          <w:sz w:val="22"/>
          <w:szCs w:val="22"/>
          <w:u w:val="none"/>
        </w:rPr>
        <w:t>on January 6, 2022</w:t>
      </w:r>
      <w:r w:rsidRPr="002D1FB8" w:rsidR="004D0A44">
        <w:rPr>
          <w:rStyle w:val="Hyperlink"/>
          <w:rFonts w:asciiTheme="majorHAnsi" w:hAnsiTheme="majorHAnsi"/>
          <w:color w:val="auto"/>
          <w:sz w:val="22"/>
          <w:u w:val="none"/>
        </w:rPr>
        <w:t xml:space="preserve"> </w:t>
      </w:r>
      <w:r w:rsidRPr="007777CF" w:rsidR="004F745A">
        <w:rPr>
          <w:rFonts w:asciiTheme="majorHAnsi" w:hAnsiTheme="majorHAnsi"/>
          <w:sz w:val="22"/>
        </w:rPr>
        <w:t>t</w:t>
      </w:r>
      <w:r w:rsidRPr="007777CF" w:rsidR="00157926">
        <w:rPr>
          <w:rFonts w:asciiTheme="majorHAnsi" w:hAnsiTheme="majorHAnsi"/>
          <w:sz w:val="22"/>
        </w:rPr>
        <w:t>o implement these eligible use categories and other restrictions on the use of funds</w:t>
      </w:r>
      <w:r w:rsidRPr="007777CF" w:rsidR="0090756D">
        <w:rPr>
          <w:rFonts w:asciiTheme="majorHAnsi" w:hAnsiTheme="majorHAnsi"/>
          <w:sz w:val="22"/>
        </w:rPr>
        <w:t xml:space="preserve"> under the SLFRF </w:t>
      </w:r>
      <w:r w:rsidRPr="007777CF" w:rsidR="0090756D">
        <w:rPr>
          <w:rFonts w:asciiTheme="majorHAnsi" w:hAnsiTheme="majorHAnsi"/>
          <w:sz w:val="22"/>
        </w:rPr>
        <w:t>program</w:t>
      </w:r>
      <w:r w:rsidRPr="007777CF" w:rsidR="00157926">
        <w:rPr>
          <w:rFonts w:asciiTheme="majorHAnsi" w:hAnsiTheme="majorHAnsi"/>
          <w:sz w:val="22"/>
        </w:rPr>
        <w:t>.</w:t>
      </w:r>
      <w:r w:rsidRPr="001279CA" w:rsidR="00B92AA3">
        <w:rPr>
          <w:rFonts w:asciiTheme="majorHAnsi" w:hAnsiTheme="majorHAnsi" w:cstheme="majorHAnsi"/>
          <w:sz w:val="22"/>
          <w:szCs w:val="22"/>
        </w:rPr>
        <w:t xml:space="preserve">  </w:t>
      </w:r>
      <w:r w:rsidRPr="001279CA">
        <w:rPr>
          <w:rFonts w:asciiTheme="majorHAnsi" w:hAnsiTheme="majorHAnsi" w:cstheme="majorHAnsi"/>
          <w:sz w:val="22"/>
          <w:szCs w:val="22"/>
        </w:rPr>
        <w:t xml:space="preserve"> The </w:t>
      </w:r>
      <w:r w:rsidRPr="001279CA" w:rsidR="004556AC">
        <w:rPr>
          <w:rFonts w:asciiTheme="majorHAnsi" w:hAnsiTheme="majorHAnsi" w:cstheme="majorHAnsi"/>
          <w:sz w:val="22"/>
          <w:szCs w:val="22"/>
        </w:rPr>
        <w:t>f</w:t>
      </w:r>
      <w:r w:rsidRPr="001279CA">
        <w:rPr>
          <w:rFonts w:asciiTheme="majorHAnsi" w:hAnsiTheme="majorHAnsi" w:cstheme="majorHAnsi"/>
          <w:sz w:val="22"/>
          <w:szCs w:val="22"/>
        </w:rPr>
        <w:t xml:space="preserve">inal </w:t>
      </w:r>
      <w:r w:rsidRPr="001279CA" w:rsidR="004556AC">
        <w:rPr>
          <w:rFonts w:asciiTheme="majorHAnsi" w:hAnsiTheme="majorHAnsi" w:cstheme="majorHAnsi"/>
          <w:sz w:val="22"/>
          <w:szCs w:val="22"/>
        </w:rPr>
        <w:t>r</w:t>
      </w:r>
      <w:r w:rsidRPr="001279CA">
        <w:rPr>
          <w:rFonts w:asciiTheme="majorHAnsi" w:hAnsiTheme="majorHAnsi" w:cstheme="majorHAnsi"/>
          <w:sz w:val="22"/>
          <w:szCs w:val="22"/>
        </w:rPr>
        <w:t>ule t</w:t>
      </w:r>
      <w:r w:rsidR="00FF2B1F">
        <w:rPr>
          <w:rFonts w:asciiTheme="majorHAnsi" w:hAnsiTheme="majorHAnsi" w:cstheme="majorHAnsi"/>
          <w:sz w:val="22"/>
          <w:szCs w:val="22"/>
        </w:rPr>
        <w:t>ook</w:t>
      </w:r>
      <w:r w:rsidRPr="001279CA">
        <w:rPr>
          <w:rFonts w:asciiTheme="majorHAnsi" w:hAnsiTheme="majorHAnsi" w:cstheme="majorHAnsi"/>
          <w:sz w:val="22"/>
          <w:szCs w:val="22"/>
        </w:rPr>
        <w:t xml:space="preserve"> effect on April 1, 2022, </w:t>
      </w:r>
      <w:r w:rsidRPr="001279CA" w:rsidR="004D0A44">
        <w:rPr>
          <w:rFonts w:asciiTheme="majorHAnsi" w:hAnsiTheme="majorHAnsi" w:cstheme="majorHAnsi"/>
          <w:sz w:val="22"/>
          <w:szCs w:val="22"/>
        </w:rPr>
        <w:t>and the interim final rule remain</w:t>
      </w:r>
      <w:r w:rsidR="00FF2B1F">
        <w:rPr>
          <w:rFonts w:asciiTheme="majorHAnsi" w:hAnsiTheme="majorHAnsi" w:cstheme="majorHAnsi"/>
          <w:sz w:val="22"/>
          <w:szCs w:val="22"/>
        </w:rPr>
        <w:t>ed</w:t>
      </w:r>
      <w:r w:rsidRPr="001279CA" w:rsidR="004D0A44">
        <w:rPr>
          <w:rFonts w:asciiTheme="majorHAnsi" w:hAnsiTheme="majorHAnsi" w:cstheme="majorHAnsi"/>
          <w:sz w:val="22"/>
          <w:szCs w:val="22"/>
        </w:rPr>
        <w:t xml:space="preserve"> in effect until that time, al</w:t>
      </w:r>
      <w:r w:rsidRPr="001279CA">
        <w:rPr>
          <w:rFonts w:asciiTheme="majorHAnsi" w:hAnsiTheme="majorHAnsi" w:cstheme="majorHAnsi"/>
          <w:sz w:val="22"/>
          <w:szCs w:val="22"/>
        </w:rPr>
        <w:t>though recipients c</w:t>
      </w:r>
      <w:r w:rsidR="00FF2B1F">
        <w:rPr>
          <w:rFonts w:asciiTheme="majorHAnsi" w:hAnsiTheme="majorHAnsi" w:cstheme="majorHAnsi"/>
          <w:sz w:val="22"/>
          <w:szCs w:val="22"/>
        </w:rPr>
        <w:t>ould</w:t>
      </w:r>
      <w:r w:rsidRPr="001279CA">
        <w:rPr>
          <w:rFonts w:asciiTheme="majorHAnsi" w:hAnsiTheme="majorHAnsi" w:cstheme="majorHAnsi"/>
          <w:sz w:val="22"/>
          <w:szCs w:val="22"/>
        </w:rPr>
        <w:t xml:space="preserve"> choose to take advantage of </w:t>
      </w:r>
      <w:r w:rsidRPr="001279CA" w:rsidR="004D0A44">
        <w:rPr>
          <w:rFonts w:asciiTheme="majorHAnsi" w:hAnsiTheme="majorHAnsi" w:cstheme="majorHAnsi"/>
          <w:sz w:val="22"/>
          <w:szCs w:val="22"/>
        </w:rPr>
        <w:t>the final rule’s</w:t>
      </w:r>
      <w:r w:rsidRPr="001279CA">
        <w:rPr>
          <w:rFonts w:asciiTheme="majorHAnsi" w:hAnsiTheme="majorHAnsi" w:cstheme="majorHAnsi"/>
          <w:sz w:val="22"/>
          <w:szCs w:val="22"/>
        </w:rPr>
        <w:t xml:space="preserve"> flexibilities and simplifications </w:t>
      </w:r>
      <w:r w:rsidRPr="001279CA" w:rsidR="00431289">
        <w:rPr>
          <w:rFonts w:asciiTheme="majorHAnsi" w:hAnsiTheme="majorHAnsi" w:cstheme="majorHAnsi"/>
          <w:sz w:val="22"/>
          <w:szCs w:val="22"/>
        </w:rPr>
        <w:t xml:space="preserve">prior to April 1, 2022.  </w:t>
      </w:r>
      <w:r w:rsidRPr="001279CA">
        <w:rPr>
          <w:rFonts w:asciiTheme="majorHAnsi" w:hAnsiTheme="majorHAnsi" w:cstheme="majorHAnsi"/>
          <w:sz w:val="22"/>
          <w:szCs w:val="22"/>
        </w:rPr>
        <w:t xml:space="preserve">Recipients </w:t>
      </w:r>
      <w:r w:rsidRPr="00EE3B62">
        <w:rPr>
          <w:rFonts w:asciiTheme="majorHAnsi" w:hAnsiTheme="majorHAnsi" w:cstheme="majorHAnsi"/>
          <w:color w:val="393B3E"/>
          <w:sz w:val="22"/>
          <w:szCs w:val="22"/>
        </w:rPr>
        <w:t>may consult the </w:t>
      </w:r>
      <w:hyperlink r:id="rId11" w:history="1">
        <w:r w:rsidRPr="00AB49B7">
          <w:rPr>
            <w:rStyle w:val="Hyperlink"/>
            <w:rFonts w:asciiTheme="majorHAnsi" w:hAnsiTheme="majorHAnsi" w:cstheme="majorHAnsi"/>
            <w:color w:val="0053A3"/>
            <w:sz w:val="22"/>
            <w:szCs w:val="22"/>
          </w:rPr>
          <w:t>Statement Regarding Compliance with the Coronavirus State and Local Fiscal Recovery Funds Interim Final Rule and Final Rule</w:t>
        </w:r>
      </w:hyperlink>
      <w:r w:rsidR="006A09A2">
        <w:rPr>
          <w:rFonts w:asciiTheme="majorHAnsi" w:hAnsiTheme="majorHAnsi" w:cstheme="majorHAnsi"/>
          <w:color w:val="393B3E"/>
          <w:sz w:val="22"/>
          <w:szCs w:val="22"/>
        </w:rPr>
        <w:t xml:space="preserve"> </w:t>
      </w:r>
      <w:r w:rsidRPr="00183592">
        <w:rPr>
          <w:rFonts w:asciiTheme="majorHAnsi" w:hAnsiTheme="majorHAnsi" w:cstheme="majorHAnsi"/>
          <w:sz w:val="22"/>
          <w:szCs w:val="22"/>
        </w:rPr>
        <w:t xml:space="preserve">for more information on compliance with the </w:t>
      </w:r>
      <w:r w:rsidRPr="00183592" w:rsidR="004556AC">
        <w:rPr>
          <w:rFonts w:asciiTheme="majorHAnsi" w:hAnsiTheme="majorHAnsi" w:cstheme="majorHAnsi"/>
          <w:sz w:val="22"/>
          <w:szCs w:val="22"/>
        </w:rPr>
        <w:t>i</w:t>
      </w:r>
      <w:r w:rsidRPr="00183592">
        <w:rPr>
          <w:rFonts w:asciiTheme="majorHAnsi" w:hAnsiTheme="majorHAnsi" w:cstheme="majorHAnsi"/>
          <w:sz w:val="22"/>
          <w:szCs w:val="22"/>
        </w:rPr>
        <w:t xml:space="preserve">nterim </w:t>
      </w:r>
      <w:r w:rsidRPr="00183592" w:rsidR="004556AC">
        <w:rPr>
          <w:rFonts w:asciiTheme="majorHAnsi" w:hAnsiTheme="majorHAnsi" w:cstheme="majorHAnsi"/>
          <w:sz w:val="22"/>
          <w:szCs w:val="22"/>
        </w:rPr>
        <w:t>f</w:t>
      </w:r>
      <w:r w:rsidRPr="00183592">
        <w:rPr>
          <w:rFonts w:asciiTheme="majorHAnsi" w:hAnsiTheme="majorHAnsi" w:cstheme="majorHAnsi"/>
          <w:sz w:val="22"/>
          <w:szCs w:val="22"/>
        </w:rPr>
        <w:t xml:space="preserve">inal </w:t>
      </w:r>
      <w:r w:rsidRPr="00183592" w:rsidR="004556AC">
        <w:rPr>
          <w:rFonts w:asciiTheme="majorHAnsi" w:hAnsiTheme="majorHAnsi" w:cstheme="majorHAnsi"/>
          <w:sz w:val="22"/>
          <w:szCs w:val="22"/>
        </w:rPr>
        <w:t>r</w:t>
      </w:r>
      <w:r w:rsidRPr="00183592">
        <w:rPr>
          <w:rFonts w:asciiTheme="majorHAnsi" w:hAnsiTheme="majorHAnsi" w:cstheme="majorHAnsi"/>
          <w:sz w:val="22"/>
          <w:szCs w:val="22"/>
        </w:rPr>
        <w:t xml:space="preserve">ule and the </w:t>
      </w:r>
      <w:r w:rsidRPr="00183592" w:rsidR="004556AC">
        <w:rPr>
          <w:rFonts w:asciiTheme="majorHAnsi" w:hAnsiTheme="majorHAnsi" w:cstheme="majorHAnsi"/>
          <w:sz w:val="22"/>
          <w:szCs w:val="22"/>
        </w:rPr>
        <w:t>f</w:t>
      </w:r>
      <w:r w:rsidRPr="00183592">
        <w:rPr>
          <w:rFonts w:asciiTheme="majorHAnsi" w:hAnsiTheme="majorHAnsi" w:cstheme="majorHAnsi"/>
          <w:sz w:val="22"/>
          <w:szCs w:val="22"/>
        </w:rPr>
        <w:t xml:space="preserve">inal </w:t>
      </w:r>
      <w:r w:rsidRPr="00183592" w:rsidR="004556AC">
        <w:rPr>
          <w:rFonts w:asciiTheme="majorHAnsi" w:hAnsiTheme="majorHAnsi" w:cstheme="majorHAnsi"/>
          <w:sz w:val="22"/>
          <w:szCs w:val="22"/>
        </w:rPr>
        <w:t>r</w:t>
      </w:r>
      <w:r w:rsidRPr="00183592">
        <w:rPr>
          <w:rFonts w:asciiTheme="majorHAnsi" w:hAnsiTheme="majorHAnsi" w:cstheme="majorHAnsi"/>
          <w:sz w:val="22"/>
          <w:szCs w:val="22"/>
        </w:rPr>
        <w:t>ule.</w:t>
      </w:r>
    </w:p>
    <w:p w:rsidR="00E86315" w:rsidP="10A9F656" w14:paraId="3158ADA7" w14:textId="6CEECE4B">
      <w:pPr>
        <w:widowControl w:val="0"/>
        <w:spacing w:after="0" w:line="240" w:lineRule="auto"/>
        <w:jc w:val="both"/>
        <w:rPr>
          <w:rFonts w:ascii="Arial" w:hAnsi="Arial"/>
        </w:rPr>
      </w:pPr>
      <w:r w:rsidRPr="007777CF">
        <w:rPr>
          <w:rFonts w:asciiTheme="majorHAnsi" w:hAnsiTheme="majorHAnsi"/>
        </w:rPr>
        <w:t>It is t</w:t>
      </w:r>
      <w:r w:rsidRPr="007777CF">
        <w:rPr>
          <w:rFonts w:asciiTheme="majorHAnsi" w:hAnsiTheme="majorHAnsi"/>
        </w:rPr>
        <w:t xml:space="preserve">he recipient’s responsibility to ensure all </w:t>
      </w:r>
      <w:r w:rsidRPr="007777CF" w:rsidR="0090756D">
        <w:rPr>
          <w:rFonts w:asciiTheme="majorHAnsi" w:hAnsiTheme="majorHAnsi"/>
        </w:rPr>
        <w:t xml:space="preserve">SLFRF award </w:t>
      </w:r>
      <w:r w:rsidRPr="007777CF">
        <w:rPr>
          <w:rFonts w:asciiTheme="majorHAnsi" w:hAnsiTheme="majorHAnsi"/>
        </w:rPr>
        <w:t xml:space="preserve">funds are </w:t>
      </w:r>
      <w:r w:rsidRPr="007777CF" w:rsidR="0090756D">
        <w:rPr>
          <w:rFonts w:asciiTheme="majorHAnsi" w:hAnsiTheme="majorHAnsi"/>
        </w:rPr>
        <w:t xml:space="preserve">used </w:t>
      </w:r>
      <w:r w:rsidRPr="007777CF">
        <w:rPr>
          <w:rFonts w:asciiTheme="majorHAnsi" w:hAnsiTheme="majorHAnsi"/>
        </w:rPr>
        <w:t>in compliance</w:t>
      </w:r>
      <w:r w:rsidRPr="00183592">
        <w:rPr>
          <w:rFonts w:ascii="Arial" w:hAnsi="Arial"/>
        </w:rPr>
        <w:t xml:space="preserve"> with the</w:t>
      </w:r>
      <w:r w:rsidR="007964DB">
        <w:rPr>
          <w:rFonts w:ascii="Arial" w:hAnsi="Arial"/>
        </w:rPr>
        <w:t xml:space="preserve"> program’s</w:t>
      </w:r>
      <w:r w:rsidRPr="00183592">
        <w:rPr>
          <w:rFonts w:ascii="Arial" w:hAnsi="Arial"/>
        </w:rPr>
        <w:t xml:space="preserve"> requirements</w:t>
      </w:r>
      <w:r w:rsidRPr="00183592">
        <w:rPr>
          <w:rFonts w:ascii="Arial" w:hAnsi="Arial"/>
        </w:rPr>
        <w:t xml:space="preserve">. In addition, </w:t>
      </w:r>
      <w:r w:rsidRPr="00183592" w:rsidR="00394A01">
        <w:rPr>
          <w:rFonts w:ascii="Arial" w:hAnsi="Arial"/>
        </w:rPr>
        <w:t>recipients</w:t>
      </w:r>
      <w:r w:rsidRPr="00183592">
        <w:rPr>
          <w:rFonts w:ascii="Arial" w:hAnsi="Arial"/>
        </w:rPr>
        <w:t xml:space="preserve"> should </w:t>
      </w:r>
      <w:r w:rsidRPr="00183592" w:rsidR="00C35950">
        <w:rPr>
          <w:rFonts w:ascii="Arial" w:hAnsi="Arial"/>
        </w:rPr>
        <w:t>be mindful of</w:t>
      </w:r>
      <w:r w:rsidRPr="00183592">
        <w:rPr>
          <w:rFonts w:ascii="Arial" w:hAnsi="Arial"/>
        </w:rPr>
        <w:t xml:space="preserve"> any additional compliance obligations </w:t>
      </w:r>
      <w:r w:rsidRPr="00183592" w:rsidR="0066302B">
        <w:rPr>
          <w:rFonts w:ascii="Arial" w:hAnsi="Arial"/>
        </w:rPr>
        <w:t>that may apply</w:t>
      </w:r>
      <w:r w:rsidRPr="00183592">
        <w:rPr>
          <w:rFonts w:ascii="Arial" w:hAnsi="Arial"/>
        </w:rPr>
        <w:t xml:space="preserve"> – for example,</w:t>
      </w:r>
      <w:r w:rsidRPr="00183592" w:rsidR="003F0990">
        <w:rPr>
          <w:rFonts w:ascii="Arial" w:hAnsi="Arial"/>
        </w:rPr>
        <w:t xml:space="preserve"> </w:t>
      </w:r>
      <w:r w:rsidRPr="00183592" w:rsidR="0010751E">
        <w:rPr>
          <w:rFonts w:ascii="Arial" w:hAnsi="Arial"/>
        </w:rPr>
        <w:t xml:space="preserve">additional restrictions imposed upon other sources of funds used in </w:t>
      </w:r>
      <w:r w:rsidR="0010751E">
        <w:rPr>
          <w:rFonts w:ascii="Arial" w:hAnsi="Arial"/>
        </w:rPr>
        <w:t xml:space="preserve">conjunction with </w:t>
      </w:r>
      <w:r w:rsidR="003F0990">
        <w:rPr>
          <w:rFonts w:ascii="Arial" w:hAnsi="Arial"/>
        </w:rPr>
        <w:t>SLFRF award funds</w:t>
      </w:r>
      <w:r w:rsidR="0010751E">
        <w:rPr>
          <w:rFonts w:ascii="Arial" w:hAnsi="Arial"/>
        </w:rPr>
        <w:t xml:space="preserve">, </w:t>
      </w:r>
      <w:r w:rsidR="003F0990">
        <w:rPr>
          <w:rFonts w:ascii="Arial" w:hAnsi="Arial"/>
        </w:rPr>
        <w:t>or</w:t>
      </w:r>
      <w:r w:rsidRPr="00E21798">
        <w:rPr>
          <w:rFonts w:ascii="Arial" w:hAnsi="Arial"/>
        </w:rPr>
        <w:t xml:space="preserve"> </w:t>
      </w:r>
      <w:r w:rsidR="0066302B">
        <w:rPr>
          <w:rFonts w:ascii="Arial" w:hAnsi="Arial"/>
        </w:rPr>
        <w:t>statutes</w:t>
      </w:r>
      <w:r w:rsidR="00D97DE0">
        <w:rPr>
          <w:rFonts w:ascii="Arial" w:hAnsi="Arial"/>
        </w:rPr>
        <w:t xml:space="preserve"> and</w:t>
      </w:r>
      <w:r w:rsidR="0066302B">
        <w:rPr>
          <w:rFonts w:ascii="Arial" w:hAnsi="Arial"/>
        </w:rPr>
        <w:t xml:space="preserve"> regulations that may </w:t>
      </w:r>
      <w:r w:rsidR="003F0990">
        <w:rPr>
          <w:rFonts w:ascii="Arial" w:hAnsi="Arial"/>
        </w:rPr>
        <w:t xml:space="preserve">independently </w:t>
      </w:r>
      <w:r w:rsidR="0066302B">
        <w:rPr>
          <w:rFonts w:ascii="Arial" w:hAnsi="Arial"/>
        </w:rPr>
        <w:t xml:space="preserve">apply to </w:t>
      </w:r>
      <w:r w:rsidRPr="00E21798">
        <w:rPr>
          <w:rFonts w:ascii="Arial" w:hAnsi="Arial"/>
        </w:rPr>
        <w:t>water</w:t>
      </w:r>
      <w:r w:rsidR="00927EFE">
        <w:rPr>
          <w:rFonts w:ascii="Arial" w:hAnsi="Arial"/>
        </w:rPr>
        <w:t xml:space="preserve">, broadband, </w:t>
      </w:r>
      <w:r w:rsidRPr="00E21798">
        <w:rPr>
          <w:rFonts w:ascii="Arial" w:hAnsi="Arial"/>
        </w:rPr>
        <w:t>and sewer infrastructure projects.</w:t>
      </w:r>
      <w:r>
        <w:rPr>
          <w:rFonts w:ascii="Arial" w:hAnsi="Arial"/>
        </w:rPr>
        <w:t xml:space="preserve"> </w:t>
      </w:r>
      <w:r w:rsidR="00DD149D">
        <w:rPr>
          <w:rFonts w:ascii="Arial" w:hAnsi="Arial"/>
        </w:rPr>
        <w:t>R</w:t>
      </w:r>
      <w:r>
        <w:rPr>
          <w:rFonts w:ascii="Arial" w:hAnsi="Arial"/>
        </w:rPr>
        <w:t xml:space="preserve">ecipients should ensure </w:t>
      </w:r>
      <w:r w:rsidR="00DD149D">
        <w:rPr>
          <w:rFonts w:ascii="Arial" w:hAnsi="Arial"/>
        </w:rPr>
        <w:t xml:space="preserve">they maintain </w:t>
      </w:r>
      <w:r>
        <w:rPr>
          <w:rFonts w:ascii="Arial" w:hAnsi="Arial"/>
        </w:rPr>
        <w:t xml:space="preserve">proper documentation supporting determinations of costs and applicable compliance requirements, and how they have been satisfied as part of their </w:t>
      </w:r>
      <w:r w:rsidR="00DD149D">
        <w:rPr>
          <w:rFonts w:ascii="Arial" w:hAnsi="Arial"/>
        </w:rPr>
        <w:t xml:space="preserve">award </w:t>
      </w:r>
      <w:r>
        <w:rPr>
          <w:rFonts w:ascii="Arial" w:hAnsi="Arial"/>
        </w:rPr>
        <w:t xml:space="preserve">management, internal controls, and subrecipient </w:t>
      </w:r>
      <w:r w:rsidR="0038137E">
        <w:rPr>
          <w:rFonts w:ascii="Arial" w:hAnsi="Arial"/>
        </w:rPr>
        <w:t>oversight</w:t>
      </w:r>
      <w:r w:rsidR="00927EFE">
        <w:rPr>
          <w:rFonts w:ascii="Arial" w:hAnsi="Arial"/>
        </w:rPr>
        <w:t xml:space="preserve"> and management</w:t>
      </w:r>
      <w:r>
        <w:rPr>
          <w:rFonts w:ascii="Arial" w:hAnsi="Arial"/>
        </w:rPr>
        <w:t>.</w:t>
      </w:r>
    </w:p>
    <w:p w:rsidR="00CC3BDA" w:rsidP="007777CF" w14:paraId="22767B98" w14:textId="5DF6ED8A">
      <w:pPr>
        <w:widowControl w:val="0"/>
        <w:spacing w:after="0" w:line="240" w:lineRule="auto"/>
        <w:jc w:val="both"/>
        <w:rPr>
          <w:rFonts w:ascii="Arial" w:hAnsi="Arial"/>
        </w:rPr>
      </w:pPr>
    </w:p>
    <w:p w:rsidR="00C25F3A" w:rsidP="00CE5331" w14:paraId="32F5969E" w14:textId="5F63EF35">
      <w:pPr>
        <w:pStyle w:val="ListParagraph"/>
        <w:widowControl w:val="0"/>
        <w:numPr>
          <w:ilvl w:val="0"/>
          <w:numId w:val="33"/>
        </w:numPr>
        <w:spacing w:after="0" w:line="240" w:lineRule="auto"/>
        <w:jc w:val="both"/>
        <w:rPr>
          <w:rFonts w:ascii="Arial" w:hAnsi="Arial"/>
          <w:b/>
          <w:bCs/>
        </w:rPr>
      </w:pPr>
      <w:r w:rsidRPr="10A9F656">
        <w:rPr>
          <w:rFonts w:ascii="Arial" w:hAnsi="Arial"/>
          <w:b/>
          <w:bCs/>
        </w:rPr>
        <w:t xml:space="preserve">Treasury’s </w:t>
      </w:r>
      <w:r w:rsidR="00FE7A8B">
        <w:rPr>
          <w:rFonts w:ascii="Arial" w:hAnsi="Arial"/>
          <w:b/>
          <w:bCs/>
        </w:rPr>
        <w:t xml:space="preserve">Final </w:t>
      </w:r>
      <w:r w:rsidRPr="10A9F656">
        <w:rPr>
          <w:rFonts w:ascii="Arial" w:hAnsi="Arial"/>
          <w:b/>
          <w:bCs/>
        </w:rPr>
        <w:t>Rule</w:t>
      </w:r>
    </w:p>
    <w:p w:rsidR="00413D61" w:rsidP="00FD6A50" w14:paraId="78149832" w14:textId="77777777">
      <w:pPr>
        <w:pStyle w:val="ListParagraph"/>
        <w:widowControl w:val="0"/>
        <w:spacing w:after="0" w:line="240" w:lineRule="auto"/>
        <w:ind w:left="360"/>
        <w:jc w:val="both"/>
        <w:rPr>
          <w:rFonts w:ascii="Arial" w:hAnsi="Arial"/>
          <w:b/>
          <w:bCs/>
        </w:rPr>
      </w:pPr>
    </w:p>
    <w:p w:rsidR="00E86315" w:rsidP="10A9F656" w14:paraId="5E39BBE4" w14:textId="3F7B47F8">
      <w:pPr>
        <w:widowControl w:val="0"/>
        <w:spacing w:after="0" w:line="240" w:lineRule="auto"/>
        <w:jc w:val="both"/>
        <w:rPr>
          <w:rFonts w:ascii="Arial" w:hAnsi="Arial"/>
        </w:rPr>
      </w:pPr>
      <w:r w:rsidRPr="10A9F656">
        <w:rPr>
          <w:rFonts w:ascii="Arial" w:eastAsia="Arial" w:hAnsi="Arial" w:cs="Arial"/>
        </w:rPr>
        <w:t>Treasury’s</w:t>
      </w:r>
      <w:r w:rsidR="006A09A2">
        <w:rPr>
          <w:rFonts w:ascii="Arial" w:eastAsia="Arial" w:hAnsi="Arial" w:cs="Arial"/>
        </w:rPr>
        <w:t xml:space="preserve"> </w:t>
      </w:r>
      <w:hyperlink r:id="rId12" w:history="1">
        <w:r w:rsidR="004556AC">
          <w:rPr>
            <w:rStyle w:val="Hyperlink"/>
            <w:rFonts w:asciiTheme="majorHAnsi" w:hAnsiTheme="majorHAnsi" w:cstheme="majorHAnsi"/>
          </w:rPr>
          <w:t>f</w:t>
        </w:r>
        <w:r w:rsidRPr="00625DCD" w:rsidR="006A09A2">
          <w:rPr>
            <w:rStyle w:val="Hyperlink"/>
            <w:rFonts w:asciiTheme="majorHAnsi" w:hAnsiTheme="majorHAnsi" w:cstheme="majorHAnsi"/>
          </w:rPr>
          <w:t xml:space="preserve">inal </w:t>
        </w:r>
        <w:r w:rsidR="004556AC">
          <w:rPr>
            <w:rStyle w:val="Hyperlink"/>
            <w:rFonts w:asciiTheme="majorHAnsi" w:hAnsiTheme="majorHAnsi" w:cstheme="majorHAnsi"/>
          </w:rPr>
          <w:t>r</w:t>
        </w:r>
        <w:r w:rsidRPr="00625DCD" w:rsidR="006A09A2">
          <w:rPr>
            <w:rStyle w:val="Hyperlink"/>
            <w:rFonts w:asciiTheme="majorHAnsi" w:hAnsiTheme="majorHAnsi" w:cstheme="majorHAnsi"/>
          </w:rPr>
          <w:t>ule</w:t>
        </w:r>
      </w:hyperlink>
      <w:r w:rsidRPr="007777CF" w:rsidR="0050271E">
        <w:rPr>
          <w:rFonts w:asciiTheme="majorHAnsi" w:hAnsiTheme="majorHAnsi"/>
        </w:rPr>
        <w:t xml:space="preserve"> </w:t>
      </w:r>
      <w:r w:rsidRPr="10A9F656">
        <w:rPr>
          <w:rFonts w:ascii="Arial" w:eastAsia="Arial" w:hAnsi="Arial" w:cs="Arial"/>
        </w:rPr>
        <w:t xml:space="preserve">details recipients’ compliance responsibilities and provides additional information on eligible and restricted uses of SLFRF award funds and reporting requirements. </w:t>
      </w:r>
      <w:r w:rsidRPr="10A9F656">
        <w:rPr>
          <w:rFonts w:ascii="Arial" w:hAnsi="Arial"/>
        </w:rPr>
        <w:t xml:space="preserve"> </w:t>
      </w:r>
    </w:p>
    <w:p w:rsidR="00485F06" w:rsidRPr="003C5176" w:rsidP="00FD6A50" w14:paraId="5EF52F06" w14:textId="77777777">
      <w:pPr>
        <w:widowControl w:val="0"/>
        <w:spacing w:after="0" w:line="240" w:lineRule="auto"/>
        <w:jc w:val="both"/>
        <w:rPr>
          <w:rFonts w:ascii="Arial" w:hAnsi="Arial"/>
          <w:b/>
          <w:bCs/>
        </w:rPr>
      </w:pPr>
    </w:p>
    <w:p w:rsidR="00E86315" w:rsidRPr="009B4965" w:rsidP="00CE5331" w14:paraId="67EA09EB" w14:textId="0BDC3476">
      <w:pPr>
        <w:pStyle w:val="ListParagraph"/>
        <w:numPr>
          <w:ilvl w:val="0"/>
          <w:numId w:val="24"/>
        </w:numPr>
        <w:spacing w:after="0" w:line="240" w:lineRule="auto"/>
        <w:jc w:val="both"/>
      </w:pPr>
      <w:r w:rsidRPr="10A9F656">
        <w:rPr>
          <w:rFonts w:ascii="Arial" w:hAnsi="Arial"/>
          <w:b/>
          <w:bCs/>
        </w:rPr>
        <w:t>Eligible and Restricted Uses of SLFRF Funds.</w:t>
      </w:r>
      <w:r w:rsidRPr="10A9F656">
        <w:rPr>
          <w:rFonts w:ascii="Arial" w:hAnsi="Arial"/>
        </w:rPr>
        <w:t xml:space="preserve"> As described in the SLFRF statute and summarized above, there are four enumerated eligible uses of SLFRF award funds. As a recipient of an award under the SLFRF program, your organization is responsible for complying with requirements for the use of funds. In addition to determining a given project’s eligibility, recipients are also responsible for determining subrecipient’s or beneficiaries’ eligibility</w:t>
      </w:r>
      <w:r w:rsidR="00CA5232">
        <w:rPr>
          <w:rFonts w:ascii="Arial" w:hAnsi="Arial"/>
        </w:rPr>
        <w:t>,</w:t>
      </w:r>
      <w:r w:rsidRPr="10A9F656">
        <w:rPr>
          <w:rFonts w:ascii="Arial" w:hAnsi="Arial"/>
        </w:rPr>
        <w:t xml:space="preserve"> and must monitor </w:t>
      </w:r>
      <w:r w:rsidR="00DE304B">
        <w:rPr>
          <w:rFonts w:ascii="Arial" w:hAnsi="Arial"/>
        </w:rPr>
        <w:t xml:space="preserve">subrecipients’ </w:t>
      </w:r>
      <w:r w:rsidRPr="10A9F656">
        <w:rPr>
          <w:rFonts w:ascii="Arial" w:hAnsi="Arial"/>
        </w:rPr>
        <w:t>use of SLFRF award funds.</w:t>
      </w:r>
    </w:p>
    <w:p w:rsidR="009B4965" w:rsidRPr="00E21798" w:rsidP="009B4965" w14:paraId="7C4B060B" w14:textId="77777777">
      <w:pPr>
        <w:pStyle w:val="ListParagraph"/>
        <w:spacing w:after="0" w:line="240" w:lineRule="auto"/>
        <w:ind w:left="360"/>
        <w:jc w:val="both"/>
      </w:pPr>
    </w:p>
    <w:p w:rsidR="00E86315" w:rsidRPr="00E21798" w:rsidP="00FD6A50" w14:paraId="188B7263" w14:textId="1AA28FFA">
      <w:pPr>
        <w:spacing w:after="0" w:line="240" w:lineRule="auto"/>
        <w:ind w:left="360"/>
        <w:jc w:val="both"/>
      </w:pPr>
      <w:r w:rsidRPr="10A9F656">
        <w:rPr>
          <w:rFonts w:ascii="Arial" w:hAnsi="Arial"/>
        </w:rPr>
        <w:t>To help recipients build a greater understanding of eligible uses, Treasury’s</w:t>
      </w:r>
      <w:r w:rsidR="006B2CC9">
        <w:rPr>
          <w:rFonts w:ascii="Arial" w:hAnsi="Arial"/>
        </w:rPr>
        <w:t xml:space="preserve"> </w:t>
      </w:r>
      <w:hyperlink r:id="rId12" w:history="1">
        <w:r w:rsidR="004556AC">
          <w:rPr>
            <w:rStyle w:val="Hyperlink"/>
            <w:rFonts w:asciiTheme="majorHAnsi" w:hAnsiTheme="majorHAnsi" w:cstheme="majorHAnsi"/>
          </w:rPr>
          <w:t>f</w:t>
        </w:r>
        <w:r w:rsidRPr="00625DCD" w:rsidR="006B2CC9">
          <w:rPr>
            <w:rStyle w:val="Hyperlink"/>
            <w:rFonts w:asciiTheme="majorHAnsi" w:hAnsiTheme="majorHAnsi" w:cstheme="majorHAnsi"/>
          </w:rPr>
          <w:t xml:space="preserve">inal </w:t>
        </w:r>
        <w:r w:rsidR="004556AC">
          <w:rPr>
            <w:rStyle w:val="Hyperlink"/>
            <w:rFonts w:asciiTheme="majorHAnsi" w:hAnsiTheme="majorHAnsi" w:cstheme="majorHAnsi"/>
          </w:rPr>
          <w:t>r</w:t>
        </w:r>
        <w:r w:rsidRPr="00625DCD" w:rsidR="006B2CC9">
          <w:rPr>
            <w:rStyle w:val="Hyperlink"/>
            <w:rFonts w:asciiTheme="majorHAnsi" w:hAnsiTheme="majorHAnsi" w:cstheme="majorHAnsi"/>
          </w:rPr>
          <w:t>ule</w:t>
        </w:r>
      </w:hyperlink>
      <w:r w:rsidRPr="10A9F656">
        <w:rPr>
          <w:rFonts w:ascii="Arial" w:hAnsi="Arial"/>
        </w:rPr>
        <w:t xml:space="preserve"> establishes a framework for determining whether a specific project would be eligible under the SLFRF program, including some helpful definitions. For example, Treasury’s </w:t>
      </w:r>
      <w:hyperlink r:id="rId12" w:history="1">
        <w:r w:rsidR="004556AC">
          <w:rPr>
            <w:rStyle w:val="Hyperlink"/>
            <w:rFonts w:asciiTheme="majorHAnsi" w:hAnsiTheme="majorHAnsi" w:cstheme="majorHAnsi"/>
          </w:rPr>
          <w:t>f</w:t>
        </w:r>
        <w:r w:rsidRPr="00625DCD" w:rsidR="006B2CC9">
          <w:rPr>
            <w:rStyle w:val="Hyperlink"/>
            <w:rFonts w:asciiTheme="majorHAnsi" w:hAnsiTheme="majorHAnsi" w:cstheme="majorHAnsi"/>
          </w:rPr>
          <w:t xml:space="preserve">inal </w:t>
        </w:r>
        <w:r w:rsidR="004556AC">
          <w:rPr>
            <w:rStyle w:val="Hyperlink"/>
            <w:rFonts w:asciiTheme="majorHAnsi" w:hAnsiTheme="majorHAnsi" w:cstheme="majorHAnsi"/>
          </w:rPr>
          <w:t>r</w:t>
        </w:r>
        <w:r w:rsidRPr="00625DCD" w:rsidR="006B2CC9">
          <w:rPr>
            <w:rStyle w:val="Hyperlink"/>
            <w:rFonts w:asciiTheme="majorHAnsi" w:hAnsiTheme="majorHAnsi" w:cstheme="majorHAnsi"/>
          </w:rPr>
          <w:t xml:space="preserve">ule </w:t>
        </w:r>
      </w:hyperlink>
      <w:r w:rsidRPr="10A9F656">
        <w:rPr>
          <w:rFonts w:ascii="Arial" w:hAnsi="Arial"/>
        </w:rPr>
        <w:t>establishes:</w:t>
      </w:r>
    </w:p>
    <w:p w:rsidR="00E86315" w:rsidRPr="00E21798" w:rsidP="00012B59" w14:paraId="38AFF6AA" w14:textId="0C7521C7">
      <w:pPr>
        <w:pStyle w:val="ListParagraph"/>
        <w:numPr>
          <w:ilvl w:val="0"/>
          <w:numId w:val="1"/>
        </w:numPr>
        <w:spacing w:before="120" w:after="0" w:line="240" w:lineRule="auto"/>
        <w:jc w:val="both"/>
      </w:pPr>
      <w:r w:rsidRPr="10A9F656">
        <w:rPr>
          <w:rFonts w:ascii="Arial" w:hAnsi="Arial"/>
        </w:rPr>
        <w:t xml:space="preserve">A framework for determining whether a project responds to </w:t>
      </w:r>
      <w:r w:rsidR="00C51263">
        <w:rPr>
          <w:rFonts w:ascii="Arial" w:hAnsi="Arial"/>
        </w:rPr>
        <w:t>the</w:t>
      </w:r>
      <w:r w:rsidRPr="10A9F656" w:rsidR="00C51263">
        <w:rPr>
          <w:rFonts w:ascii="Arial" w:hAnsi="Arial"/>
        </w:rPr>
        <w:t xml:space="preserve"> COVID-19 public health emergency </w:t>
      </w:r>
      <w:r w:rsidR="00700A39">
        <w:rPr>
          <w:rFonts w:ascii="Arial" w:hAnsi="Arial"/>
        </w:rPr>
        <w:t xml:space="preserve">or </w:t>
      </w:r>
      <w:r w:rsidR="00C51263">
        <w:rPr>
          <w:rFonts w:ascii="Arial" w:hAnsi="Arial"/>
        </w:rPr>
        <w:t xml:space="preserve">its </w:t>
      </w:r>
      <w:r w:rsidRPr="10A9F656">
        <w:rPr>
          <w:rFonts w:ascii="Arial" w:hAnsi="Arial"/>
        </w:rPr>
        <w:t>negative economic impact</w:t>
      </w:r>
      <w:r w:rsidR="00C51263">
        <w:rPr>
          <w:rFonts w:ascii="Arial" w:hAnsi="Arial"/>
        </w:rPr>
        <w:t>s</w:t>
      </w:r>
      <w:r w:rsidRPr="10A9F656">
        <w:rPr>
          <w:rFonts w:ascii="Arial" w:hAnsi="Arial"/>
        </w:rPr>
        <w:t>;</w:t>
      </w:r>
    </w:p>
    <w:p w:rsidR="00E86315" w:rsidRPr="00E21798" w:rsidP="00012B59" w14:paraId="5196A229" w14:textId="290AB89D">
      <w:pPr>
        <w:pStyle w:val="ListParagraph"/>
        <w:numPr>
          <w:ilvl w:val="0"/>
          <w:numId w:val="1"/>
        </w:numPr>
        <w:spacing w:before="120" w:after="0" w:line="240" w:lineRule="auto"/>
        <w:jc w:val="both"/>
      </w:pPr>
      <w:r w:rsidRPr="10A9F656">
        <w:rPr>
          <w:rFonts w:ascii="Arial" w:hAnsi="Arial"/>
        </w:rPr>
        <w:t>Definitions of “eligible employers</w:t>
      </w:r>
      <w:r w:rsidR="00153097">
        <w:rPr>
          <w:rFonts w:ascii="Arial" w:hAnsi="Arial"/>
        </w:rPr>
        <w:t>,</w:t>
      </w:r>
      <w:r w:rsidRPr="10A9F656">
        <w:rPr>
          <w:rFonts w:ascii="Arial" w:hAnsi="Arial"/>
        </w:rPr>
        <w:t>” “essential work,” “eligible workers</w:t>
      </w:r>
      <w:r w:rsidR="00153097">
        <w:rPr>
          <w:rFonts w:ascii="Arial" w:hAnsi="Arial"/>
        </w:rPr>
        <w:t>,</w:t>
      </w:r>
      <w:r w:rsidRPr="10A9F656">
        <w:rPr>
          <w:rFonts w:ascii="Arial" w:hAnsi="Arial"/>
        </w:rPr>
        <w:t xml:space="preserve">” and “premium pay” for cases where premium pay is an eligible use; </w:t>
      </w:r>
    </w:p>
    <w:p w:rsidR="00E86315" w:rsidRPr="00E21798" w:rsidP="00012B59" w14:paraId="1AD7E6E6" w14:textId="1E2F14C2">
      <w:pPr>
        <w:pStyle w:val="ListParagraph"/>
        <w:numPr>
          <w:ilvl w:val="0"/>
          <w:numId w:val="1"/>
        </w:numPr>
        <w:spacing w:before="120" w:after="0" w:line="240" w:lineRule="auto"/>
        <w:jc w:val="both"/>
      </w:pPr>
      <w:r>
        <w:rPr>
          <w:rFonts w:ascii="Arial" w:hAnsi="Arial"/>
        </w:rPr>
        <w:t xml:space="preserve">The option to </w:t>
      </w:r>
      <w:r w:rsidRPr="00446D47">
        <w:rPr>
          <w:rFonts w:ascii="Arial" w:hAnsi="Arial"/>
        </w:rPr>
        <w:t>select between a standard amount of revenue loss or complete a full revenue loss calculation</w:t>
      </w:r>
      <w:r>
        <w:rPr>
          <w:rFonts w:ascii="Arial" w:hAnsi="Arial"/>
        </w:rPr>
        <w:t xml:space="preserve"> of </w:t>
      </w:r>
      <w:r w:rsidRPr="10A9F656" w:rsidR="10A9F656">
        <w:rPr>
          <w:rFonts w:ascii="Arial" w:hAnsi="Arial"/>
        </w:rPr>
        <w:t xml:space="preserve">revenue lost due to the COVID-19 public health emergency; </w:t>
      </w:r>
    </w:p>
    <w:p w:rsidR="006662BF" w:rsidRPr="00AD4D25" w:rsidP="00012B59" w14:paraId="46A18961" w14:textId="0F3C11D3">
      <w:pPr>
        <w:pStyle w:val="ListParagraph"/>
        <w:numPr>
          <w:ilvl w:val="0"/>
          <w:numId w:val="1"/>
        </w:numPr>
        <w:spacing w:before="120" w:after="0" w:line="240" w:lineRule="auto"/>
        <w:jc w:val="both"/>
      </w:pPr>
      <w:r w:rsidRPr="10A9F656">
        <w:rPr>
          <w:rFonts w:ascii="Arial" w:hAnsi="Arial"/>
        </w:rPr>
        <w:t xml:space="preserve">A framework for </w:t>
      </w:r>
      <w:r w:rsidR="00453D62">
        <w:rPr>
          <w:rFonts w:ascii="Arial" w:hAnsi="Arial"/>
        </w:rPr>
        <w:t>necessary</w:t>
      </w:r>
      <w:r w:rsidRPr="10A9F656" w:rsidR="00453D62">
        <w:rPr>
          <w:rFonts w:ascii="Arial" w:hAnsi="Arial"/>
        </w:rPr>
        <w:t xml:space="preserve"> </w:t>
      </w:r>
      <w:r w:rsidRPr="10A9F656">
        <w:rPr>
          <w:rFonts w:ascii="Arial" w:hAnsi="Arial"/>
        </w:rPr>
        <w:t>water and sewer infrastructure projects that aligns eligible uses with projects that are eligible under the Environmental Protection Agency’s Drinking Water and Clean Water State Revolving Funds</w:t>
      </w:r>
      <w:r w:rsidR="00080FF1">
        <w:rPr>
          <w:rFonts w:ascii="Arial" w:hAnsi="Arial"/>
        </w:rPr>
        <w:t xml:space="preserve"> </w:t>
      </w:r>
      <w:r w:rsidR="00453D62">
        <w:rPr>
          <w:rFonts w:ascii="Arial" w:hAnsi="Arial"/>
        </w:rPr>
        <w:t xml:space="preserve">along with </w:t>
      </w:r>
      <w:r w:rsidR="00080FF1">
        <w:t>certain additional projects, including a wider set of lead remediation and stormwater infrastructure projects</w:t>
      </w:r>
      <w:r w:rsidR="00F16AE8">
        <w:t xml:space="preserve"> and</w:t>
      </w:r>
      <w:r w:rsidR="00080FF1">
        <w:t xml:space="preserve"> aid for </w:t>
      </w:r>
      <w:r w:rsidR="00453D62">
        <w:t xml:space="preserve">residential </w:t>
      </w:r>
      <w:r w:rsidR="00080FF1">
        <w:t>wells</w:t>
      </w:r>
      <w:r w:rsidRPr="10A9F656">
        <w:rPr>
          <w:rFonts w:ascii="Arial" w:hAnsi="Arial"/>
        </w:rPr>
        <w:t>; and</w:t>
      </w:r>
    </w:p>
    <w:p w:rsidR="00E86315" w:rsidRPr="00E21798" w:rsidP="00012B59" w14:paraId="67C1BD86" w14:textId="0888F2A9">
      <w:pPr>
        <w:pStyle w:val="ListParagraph"/>
        <w:numPr>
          <w:ilvl w:val="0"/>
          <w:numId w:val="1"/>
        </w:numPr>
        <w:spacing w:before="120" w:after="0" w:line="240" w:lineRule="auto"/>
        <w:jc w:val="both"/>
      </w:pPr>
      <w:r w:rsidRPr="10A9F656">
        <w:rPr>
          <w:rFonts w:ascii="Arial" w:hAnsi="Arial"/>
        </w:rPr>
        <w:t xml:space="preserve">A framework for </w:t>
      </w:r>
      <w:r w:rsidR="00453D62">
        <w:rPr>
          <w:rFonts w:ascii="Arial" w:hAnsi="Arial"/>
        </w:rPr>
        <w:t>necessary</w:t>
      </w:r>
      <w:r w:rsidRPr="10A9F656" w:rsidR="00453D62">
        <w:rPr>
          <w:rFonts w:ascii="Arial" w:hAnsi="Arial"/>
        </w:rPr>
        <w:t xml:space="preserve"> </w:t>
      </w:r>
      <w:r w:rsidRPr="10A9F656">
        <w:rPr>
          <w:rFonts w:ascii="Arial" w:hAnsi="Arial"/>
        </w:rPr>
        <w:t xml:space="preserve">broadband projects </w:t>
      </w:r>
      <w:r w:rsidR="00453D62">
        <w:rPr>
          <w:rFonts w:ascii="Arial" w:hAnsi="Arial"/>
        </w:rPr>
        <w:t xml:space="preserve">that </w:t>
      </w:r>
      <w:r w:rsidR="00F4686C">
        <w:rPr>
          <w:rFonts w:ascii="Arial" w:hAnsi="Arial"/>
        </w:rPr>
        <w:t>allows for projects that are</w:t>
      </w:r>
      <w:r w:rsidR="00453D62">
        <w:rPr>
          <w:rFonts w:ascii="Arial" w:hAnsi="Arial"/>
        </w:rPr>
        <w:t xml:space="preserve"> designed</w:t>
      </w:r>
      <w:r w:rsidRPr="10A9F656" w:rsidR="00453D62">
        <w:rPr>
          <w:rFonts w:ascii="Arial" w:hAnsi="Arial"/>
        </w:rPr>
        <w:t xml:space="preserve"> </w:t>
      </w:r>
      <w:r w:rsidRPr="10A9F656">
        <w:rPr>
          <w:rFonts w:ascii="Arial" w:hAnsi="Arial"/>
        </w:rPr>
        <w:t xml:space="preserve">to provide service </w:t>
      </w:r>
      <w:r w:rsidR="00F4686C">
        <w:rPr>
          <w:rFonts w:ascii="Arial" w:hAnsi="Arial"/>
        </w:rPr>
        <w:t>of sufficient speeds</w:t>
      </w:r>
      <w:r w:rsidRPr="10A9F656">
        <w:rPr>
          <w:rFonts w:ascii="Arial" w:hAnsi="Arial"/>
        </w:rPr>
        <w:t xml:space="preserve"> to </w:t>
      </w:r>
      <w:r w:rsidR="00453D62">
        <w:rPr>
          <w:rFonts w:ascii="Arial" w:hAnsi="Arial"/>
        </w:rPr>
        <w:t>eligible areas, as well as an affordability requirement for providers that provide service to households</w:t>
      </w:r>
      <w:r w:rsidRPr="10A9F656">
        <w:rPr>
          <w:rFonts w:ascii="Arial" w:hAnsi="Arial"/>
        </w:rPr>
        <w:t>.</w:t>
      </w:r>
    </w:p>
    <w:p w:rsidR="00485F06" w:rsidP="00FD6A50" w14:paraId="16D18D77" w14:textId="77777777">
      <w:pPr>
        <w:spacing w:after="0" w:line="240" w:lineRule="auto"/>
        <w:ind w:left="360"/>
        <w:jc w:val="both"/>
        <w:rPr>
          <w:rFonts w:ascii="Arial" w:hAnsi="Arial"/>
        </w:rPr>
      </w:pPr>
    </w:p>
    <w:p w:rsidR="00E86315" w:rsidP="10A9F656" w14:paraId="0E90B1D2" w14:textId="0B9D3C74">
      <w:pPr>
        <w:spacing w:after="0" w:line="240" w:lineRule="auto"/>
        <w:ind w:left="360"/>
        <w:jc w:val="both"/>
        <w:rPr>
          <w:rFonts w:ascii="Arial" w:hAnsi="Arial"/>
        </w:rPr>
      </w:pPr>
      <w:r w:rsidRPr="10A9F656">
        <w:rPr>
          <w:rFonts w:ascii="Arial" w:hAnsi="Arial"/>
        </w:rPr>
        <w:t xml:space="preserve">Treasury’s </w:t>
      </w:r>
      <w:hyperlink r:id="rId12" w:history="1">
        <w:r w:rsidR="004556AC">
          <w:rPr>
            <w:rStyle w:val="Hyperlink"/>
            <w:rFonts w:asciiTheme="majorHAnsi" w:hAnsiTheme="majorHAnsi" w:cstheme="majorHAnsi"/>
          </w:rPr>
          <w:t>f</w:t>
        </w:r>
        <w:r w:rsidRPr="00625DCD" w:rsidR="0051014F">
          <w:rPr>
            <w:rStyle w:val="Hyperlink"/>
            <w:rFonts w:asciiTheme="majorHAnsi" w:hAnsiTheme="majorHAnsi" w:cstheme="majorHAnsi"/>
          </w:rPr>
          <w:t xml:space="preserve">inal </w:t>
        </w:r>
        <w:r w:rsidR="004556AC">
          <w:rPr>
            <w:rStyle w:val="Hyperlink"/>
            <w:rFonts w:asciiTheme="majorHAnsi" w:hAnsiTheme="majorHAnsi" w:cstheme="majorHAnsi"/>
          </w:rPr>
          <w:t>r</w:t>
        </w:r>
        <w:r w:rsidRPr="00625DCD" w:rsidR="0051014F">
          <w:rPr>
            <w:rStyle w:val="Hyperlink"/>
            <w:rFonts w:asciiTheme="majorHAnsi" w:hAnsiTheme="majorHAnsi" w:cstheme="majorHAnsi"/>
          </w:rPr>
          <w:t xml:space="preserve">ule </w:t>
        </w:r>
      </w:hyperlink>
      <w:r w:rsidRPr="10A9F656">
        <w:rPr>
          <w:rFonts w:ascii="Arial" w:hAnsi="Arial"/>
        </w:rPr>
        <w:t>also provides more information on important restrictions on use of SLFRF award funds</w:t>
      </w:r>
      <w:r w:rsidR="003A220F">
        <w:rPr>
          <w:rFonts w:ascii="Arial" w:hAnsi="Arial"/>
        </w:rPr>
        <w:t>, including that</w:t>
      </w:r>
      <w:r w:rsidRPr="10A9F656">
        <w:rPr>
          <w:rFonts w:ascii="Arial" w:hAnsi="Arial"/>
        </w:rPr>
        <w:t xml:space="preserve"> recipients </w:t>
      </w:r>
      <w:r w:rsidR="00453D62">
        <w:rPr>
          <w:rFonts w:ascii="Arial" w:hAnsi="Arial"/>
        </w:rPr>
        <w:t>other than Tribal governments</w:t>
      </w:r>
      <w:r w:rsidRPr="10A9F656">
        <w:rPr>
          <w:rFonts w:ascii="Arial" w:hAnsi="Arial"/>
        </w:rPr>
        <w:t xml:space="preserve"> may not deposit SLFRF funds into a pension fund; </w:t>
      </w:r>
      <w:r w:rsidR="003A220F">
        <w:rPr>
          <w:rFonts w:ascii="Arial" w:hAnsi="Arial"/>
        </w:rPr>
        <w:t xml:space="preserve">and </w:t>
      </w:r>
      <w:r w:rsidRPr="10A9F656">
        <w:rPr>
          <w:rFonts w:ascii="Arial" w:hAnsi="Arial"/>
        </w:rPr>
        <w:t xml:space="preserve">recipients that are States or territories may not use SLFRF funds to offset a reduction in net tax revenue </w:t>
      </w:r>
      <w:r w:rsidR="00453D62">
        <w:rPr>
          <w:rFonts w:ascii="Arial" w:hAnsi="Arial"/>
        </w:rPr>
        <w:t>resulting from</w:t>
      </w:r>
      <w:r w:rsidRPr="10A9F656" w:rsidR="00453D62">
        <w:rPr>
          <w:rFonts w:ascii="Arial" w:hAnsi="Arial"/>
        </w:rPr>
        <w:t xml:space="preserve"> </w:t>
      </w:r>
      <w:r w:rsidRPr="10A9F656">
        <w:rPr>
          <w:rFonts w:ascii="Arial" w:hAnsi="Arial"/>
        </w:rPr>
        <w:t>the recipient’s change in law, regulation, or administrative interpretation</w:t>
      </w:r>
      <w:r w:rsidR="00080FF1">
        <w:rPr>
          <w:rFonts w:ascii="Arial" w:hAnsi="Arial"/>
        </w:rPr>
        <w:t xml:space="preserve">. </w:t>
      </w:r>
      <w:r w:rsidRPr="10A9F656">
        <w:rPr>
          <w:rFonts w:ascii="Arial" w:hAnsi="Arial"/>
        </w:rPr>
        <w:t xml:space="preserve">In addition, recipients may not use SLFRF funds directly to service debt, satisfy a judgment or settlement, or contribute to a “rainy day” fund.  Recipients should refer to Treasury’s </w:t>
      </w:r>
      <w:r w:rsidR="00D34E1C">
        <w:rPr>
          <w:rFonts w:ascii="Arial" w:hAnsi="Arial"/>
        </w:rPr>
        <w:t>f</w:t>
      </w:r>
      <w:r w:rsidRPr="10A9F656">
        <w:rPr>
          <w:rFonts w:ascii="Arial" w:hAnsi="Arial"/>
        </w:rPr>
        <w:t xml:space="preserve">inal </w:t>
      </w:r>
      <w:r w:rsidR="00D34E1C">
        <w:rPr>
          <w:rFonts w:ascii="Arial" w:hAnsi="Arial"/>
        </w:rPr>
        <w:t>r</w:t>
      </w:r>
      <w:r w:rsidRPr="10A9F656">
        <w:rPr>
          <w:rFonts w:ascii="Arial" w:hAnsi="Arial"/>
        </w:rPr>
        <w:t xml:space="preserve">ule for more information on these restrictions. </w:t>
      </w:r>
    </w:p>
    <w:p w:rsidR="00080FF1" w:rsidP="10A9F656" w14:paraId="31794554" w14:textId="14657F42">
      <w:pPr>
        <w:spacing w:after="0" w:line="240" w:lineRule="auto"/>
        <w:ind w:left="360"/>
        <w:jc w:val="both"/>
        <w:rPr>
          <w:rFonts w:ascii="Arial" w:hAnsi="Arial"/>
        </w:rPr>
      </w:pPr>
    </w:p>
    <w:p w:rsidR="00080FF1" w:rsidP="00080FF1" w14:paraId="14CFD55B" w14:textId="5B6E21B2">
      <w:pPr>
        <w:spacing w:after="0" w:line="240" w:lineRule="auto"/>
        <w:ind w:left="360"/>
        <w:jc w:val="both"/>
        <w:rPr>
          <w:rFonts w:ascii="Arial" w:hAnsi="Arial"/>
        </w:rPr>
      </w:pPr>
      <w:r>
        <w:rPr>
          <w:rFonts w:ascii="Arial" w:hAnsi="Arial"/>
        </w:rPr>
        <w:t xml:space="preserve">Treasury’s </w:t>
      </w:r>
      <w:r w:rsidR="003741A1">
        <w:rPr>
          <w:rFonts w:ascii="Arial" w:hAnsi="Arial"/>
        </w:rPr>
        <w:t>f</w:t>
      </w:r>
      <w:r>
        <w:rPr>
          <w:rFonts w:ascii="Arial" w:hAnsi="Arial"/>
        </w:rPr>
        <w:t xml:space="preserve">inal </w:t>
      </w:r>
      <w:r w:rsidR="003741A1">
        <w:rPr>
          <w:rFonts w:ascii="Arial" w:hAnsi="Arial"/>
        </w:rPr>
        <w:t>r</w:t>
      </w:r>
      <w:r>
        <w:rPr>
          <w:rFonts w:ascii="Arial" w:hAnsi="Arial"/>
        </w:rPr>
        <w:t xml:space="preserve">ule outlines that </w:t>
      </w:r>
      <w:r>
        <w:rPr>
          <w:rFonts w:ascii="Arial" w:hAnsi="Arial"/>
        </w:rPr>
        <w:t>f</w:t>
      </w:r>
      <w:r w:rsidRPr="00080FF1">
        <w:rPr>
          <w:rFonts w:ascii="Arial" w:hAnsi="Arial"/>
        </w:rPr>
        <w:t>unds</w:t>
      </w:r>
      <w:r w:rsidRPr="00080FF1">
        <w:rPr>
          <w:rFonts w:ascii="Arial" w:hAnsi="Arial"/>
        </w:rPr>
        <w:t xml:space="preserve"> available under the “revenue loss” eligible use category (sections 602(c)(1)(C) and 603(c)(1)(C) of</w:t>
      </w:r>
      <w:r>
        <w:rPr>
          <w:rFonts w:ascii="Arial" w:hAnsi="Arial"/>
        </w:rPr>
        <w:t xml:space="preserve"> </w:t>
      </w:r>
      <w:r w:rsidRPr="00080FF1">
        <w:rPr>
          <w:rFonts w:ascii="Arial" w:hAnsi="Arial"/>
        </w:rPr>
        <w:t>the Social Security Act</w:t>
      </w:r>
      <w:r w:rsidR="00797AE6">
        <w:rPr>
          <w:rFonts w:ascii="Arial" w:hAnsi="Arial"/>
        </w:rPr>
        <w:t>)</w:t>
      </w:r>
      <w:r w:rsidRPr="00080FF1">
        <w:rPr>
          <w:rFonts w:ascii="Arial" w:hAnsi="Arial"/>
        </w:rPr>
        <w:t xml:space="preserve"> generally may be used to meet the non-federal cost-share or matching</w:t>
      </w:r>
      <w:r>
        <w:rPr>
          <w:rFonts w:ascii="Arial" w:hAnsi="Arial"/>
        </w:rPr>
        <w:t xml:space="preserve"> </w:t>
      </w:r>
      <w:r w:rsidRPr="00080FF1">
        <w:rPr>
          <w:rFonts w:ascii="Arial" w:hAnsi="Arial"/>
        </w:rPr>
        <w:t>requirements of other federal programs. However,</w:t>
      </w:r>
      <w:r w:rsidR="00DC1ED1">
        <w:rPr>
          <w:rFonts w:ascii="Arial" w:hAnsi="Arial"/>
        </w:rPr>
        <w:t xml:space="preserve"> the final rule</w:t>
      </w:r>
      <w:r w:rsidRPr="00080FF1">
        <w:rPr>
          <w:rFonts w:ascii="Arial" w:hAnsi="Arial"/>
        </w:rPr>
        <w:t xml:space="preserve"> note</w:t>
      </w:r>
      <w:r w:rsidR="00DC1ED1">
        <w:rPr>
          <w:rFonts w:ascii="Arial" w:hAnsi="Arial"/>
        </w:rPr>
        <w:t>s</w:t>
      </w:r>
      <w:r w:rsidRPr="00080FF1">
        <w:rPr>
          <w:rFonts w:ascii="Arial" w:hAnsi="Arial"/>
        </w:rPr>
        <w:t xml:space="preserve"> that SLFRF funds may not be used as the non</w:t>
      </w:r>
      <w:r>
        <w:rPr>
          <w:rFonts w:ascii="Arial" w:hAnsi="Arial"/>
        </w:rPr>
        <w:t>-f</w:t>
      </w:r>
      <w:r w:rsidRPr="00080FF1">
        <w:rPr>
          <w:rFonts w:ascii="Arial" w:hAnsi="Arial"/>
        </w:rPr>
        <w:t>ederal share for purposes of a state’s Medicaid and CHIP programs because the Office of Management</w:t>
      </w:r>
      <w:r>
        <w:rPr>
          <w:rFonts w:ascii="Arial" w:hAnsi="Arial"/>
        </w:rPr>
        <w:t xml:space="preserve"> </w:t>
      </w:r>
      <w:r w:rsidRPr="00080FF1">
        <w:rPr>
          <w:rFonts w:ascii="Arial" w:hAnsi="Arial"/>
        </w:rPr>
        <w:t xml:space="preserve">and Budget </w:t>
      </w:r>
      <w:r w:rsidR="006D604E">
        <w:rPr>
          <w:rFonts w:ascii="Arial" w:hAnsi="Arial"/>
        </w:rPr>
        <w:t>(</w:t>
      </w:r>
      <w:r w:rsidR="00934B63">
        <w:rPr>
          <w:rFonts w:ascii="Arial" w:hAnsi="Arial"/>
        </w:rPr>
        <w:t>“</w:t>
      </w:r>
      <w:r w:rsidR="006D604E">
        <w:rPr>
          <w:rFonts w:ascii="Arial" w:hAnsi="Arial"/>
        </w:rPr>
        <w:t>OMB</w:t>
      </w:r>
      <w:r w:rsidR="00934B63">
        <w:rPr>
          <w:rFonts w:ascii="Arial" w:hAnsi="Arial"/>
        </w:rPr>
        <w:t>”</w:t>
      </w:r>
      <w:r w:rsidR="006D604E">
        <w:rPr>
          <w:rFonts w:ascii="Arial" w:hAnsi="Arial"/>
        </w:rPr>
        <w:t>)</w:t>
      </w:r>
      <w:r w:rsidRPr="00080FF1">
        <w:rPr>
          <w:rFonts w:ascii="Arial" w:hAnsi="Arial"/>
        </w:rPr>
        <w:t xml:space="preserve"> has approved a waiver as requested by the Centers for Medicare &amp; Medicaid Services</w:t>
      </w:r>
      <w:r>
        <w:rPr>
          <w:rFonts w:ascii="Arial" w:hAnsi="Arial"/>
        </w:rPr>
        <w:t xml:space="preserve"> </w:t>
      </w:r>
      <w:r w:rsidRPr="00080FF1">
        <w:rPr>
          <w:rFonts w:ascii="Arial" w:hAnsi="Arial"/>
        </w:rPr>
        <w:t>pursuant to 2 CFR 200.102 of the Uniform Guidance and related regulations.</w:t>
      </w:r>
      <w:r>
        <w:rPr>
          <w:rFonts w:ascii="Arial" w:hAnsi="Arial"/>
        </w:rPr>
        <w:t xml:space="preserve"> </w:t>
      </w:r>
      <w:r w:rsidRPr="009862D7" w:rsidR="009862D7">
        <w:rPr>
          <w:rFonts w:ascii="Arial" w:hAnsi="Arial"/>
        </w:rPr>
        <w:t>If a recipient seeks to use SLFRF funds to satisfy match or cost-share requirements for a federal grant program, it should first confirm with the relevant awarding agency that no waiver has been granted for that program, that no other circumstances enumerated under 2 CFR 200.306(b) would limit the use of SLFRF funds to meet the match or cost-share requirement, and that there is no other statutory or regulatory impediment to using the SLFRF funds for the match or cost-share requirement.</w:t>
      </w:r>
      <w:r w:rsidR="009862D7">
        <w:rPr>
          <w:rFonts w:ascii="Arial" w:hAnsi="Arial"/>
        </w:rPr>
        <w:t xml:space="preserve"> </w:t>
      </w:r>
      <w:r w:rsidRPr="00080FF1">
        <w:rPr>
          <w:rFonts w:ascii="Arial" w:hAnsi="Arial"/>
        </w:rPr>
        <w:t>SLFRF funds beyond those that are available under the revenue loss eligible use category may not be</w:t>
      </w:r>
      <w:r>
        <w:rPr>
          <w:rFonts w:ascii="Arial" w:hAnsi="Arial"/>
        </w:rPr>
        <w:t xml:space="preserve"> </w:t>
      </w:r>
      <w:r w:rsidRPr="00080FF1">
        <w:rPr>
          <w:rFonts w:ascii="Arial" w:hAnsi="Arial"/>
        </w:rPr>
        <w:t>used to meet the non-federal match or cost-share requirements of other federal programs, other than</w:t>
      </w:r>
      <w:r>
        <w:rPr>
          <w:rFonts w:ascii="Arial" w:hAnsi="Arial"/>
        </w:rPr>
        <w:t xml:space="preserve"> </w:t>
      </w:r>
      <w:r w:rsidRPr="00080FF1">
        <w:rPr>
          <w:rFonts w:ascii="Arial" w:hAnsi="Arial"/>
        </w:rPr>
        <w:t>as specifically provided for by statute</w:t>
      </w:r>
      <w:r>
        <w:rPr>
          <w:rFonts w:ascii="Arial" w:hAnsi="Arial"/>
        </w:rPr>
        <w:t>. For example, t</w:t>
      </w:r>
      <w:r>
        <w:t>he Infrastructure Investment and Jobs Act provides that SLFRF funds may be used to meet the non-federal match requirements of authorized Bureau of Reclamation projects and certain broadband deployment projects</w:t>
      </w:r>
      <w:r w:rsidR="00F564CC">
        <w:t xml:space="preserve">. </w:t>
      </w:r>
    </w:p>
    <w:p w:rsidR="00C8161D" w:rsidRPr="00E21798" w:rsidP="00FD6A50" w14:paraId="7F096CB3" w14:textId="65BD710D">
      <w:pPr>
        <w:pStyle w:val="ListParagraph"/>
        <w:spacing w:after="0" w:line="240" w:lineRule="auto"/>
        <w:ind w:left="360"/>
      </w:pPr>
    </w:p>
    <w:p w:rsidR="00E86315" w:rsidRPr="003F6331" w:rsidP="00CE5331" w14:paraId="60028D98" w14:textId="2A24DD7F">
      <w:pPr>
        <w:pStyle w:val="ListParagraph"/>
        <w:numPr>
          <w:ilvl w:val="0"/>
          <w:numId w:val="24"/>
        </w:numPr>
        <w:spacing w:after="0" w:line="240" w:lineRule="auto"/>
        <w:jc w:val="both"/>
      </w:pPr>
      <w:r w:rsidRPr="10A9F656">
        <w:rPr>
          <w:rFonts w:ascii="Arial" w:hAnsi="Arial"/>
          <w:b/>
          <w:bCs/>
        </w:rPr>
        <w:t xml:space="preserve">Eligible Costs Timeframe. </w:t>
      </w:r>
      <w:r w:rsidRPr="10A9F656">
        <w:rPr>
          <w:rFonts w:ascii="Arial" w:hAnsi="Arial"/>
        </w:rPr>
        <w:t xml:space="preserve">Your organization, as a recipient of an SLFRF award, may use SLFRF funds to cover eligible costs that your organization incurred during the period that begins on March 3, </w:t>
      </w:r>
      <w:r w:rsidRPr="10A9F656">
        <w:rPr>
          <w:rFonts w:ascii="Arial" w:hAnsi="Arial"/>
        </w:rPr>
        <w:t>2021</w:t>
      </w:r>
      <w:r w:rsidRPr="10A9F656">
        <w:rPr>
          <w:rFonts w:ascii="Arial" w:hAnsi="Arial"/>
        </w:rPr>
        <w:t xml:space="preserve"> and ends on December 31, 2024, as long as the award funds for the obligations incurred by December 31, 2024 are expended by December 31, 2026. Costs for projects incurred by the recipient State, territorial, local, or Tribal government prior to March 3, 2021 are not eligible, as provided for in Treasury’s </w:t>
      </w:r>
      <w:r w:rsidR="003741A1">
        <w:rPr>
          <w:rFonts w:ascii="Arial" w:hAnsi="Arial"/>
        </w:rPr>
        <w:t>f</w:t>
      </w:r>
      <w:r w:rsidRPr="10A9F656">
        <w:rPr>
          <w:rFonts w:ascii="Arial" w:hAnsi="Arial"/>
        </w:rPr>
        <w:t xml:space="preserve">inal </w:t>
      </w:r>
      <w:r w:rsidR="00A830BD">
        <w:rPr>
          <w:rFonts w:ascii="Arial" w:hAnsi="Arial"/>
        </w:rPr>
        <w:t>r</w:t>
      </w:r>
      <w:r w:rsidRPr="10A9F656">
        <w:rPr>
          <w:rFonts w:ascii="Arial" w:hAnsi="Arial"/>
        </w:rPr>
        <w:t>ule.</w:t>
      </w:r>
    </w:p>
    <w:p w:rsidR="00E86315" w:rsidP="00FD6A50" w14:paraId="5CFEE4EC" w14:textId="77777777">
      <w:pPr>
        <w:pStyle w:val="ListParagraph"/>
        <w:spacing w:after="0" w:line="240" w:lineRule="auto"/>
        <w:ind w:left="360"/>
        <w:jc w:val="both"/>
        <w:rPr>
          <w:rFonts w:ascii="Arial" w:hAnsi="Arial"/>
          <w:b/>
          <w:bCs/>
        </w:rPr>
      </w:pPr>
    </w:p>
    <w:p w:rsidR="00C1502E" w:rsidRPr="006F7710" w:rsidP="10A9F656" w14:paraId="7F9E26D6" w14:textId="609C7C6C">
      <w:pPr>
        <w:spacing w:after="0" w:line="240" w:lineRule="auto"/>
        <w:ind w:left="360"/>
        <w:rPr>
          <w:rFonts w:asciiTheme="majorHAnsi" w:hAnsiTheme="majorHAnsi" w:cstheme="majorBidi"/>
        </w:rPr>
      </w:pPr>
      <w:r w:rsidRPr="10A9F656">
        <w:rPr>
          <w:rFonts w:asciiTheme="majorHAnsi" w:hAnsiTheme="majorHAnsi" w:cstheme="majorBidi"/>
        </w:rPr>
        <w:t>Recipients may</w:t>
      </w:r>
      <w:r w:rsidR="00EC68AB">
        <w:rPr>
          <w:rFonts w:asciiTheme="majorHAnsi" w:hAnsiTheme="majorHAnsi" w:cstheme="majorBidi"/>
        </w:rPr>
        <w:t>, in certain circumstances,</w:t>
      </w:r>
      <w:r w:rsidRPr="10A9F656">
        <w:rPr>
          <w:rFonts w:asciiTheme="majorHAnsi" w:hAnsiTheme="majorHAnsi" w:cstheme="majorBidi"/>
        </w:rPr>
        <w:t xml:space="preserve"> use SLFRF award funds </w:t>
      </w:r>
      <w:r w:rsidR="00947D5A">
        <w:rPr>
          <w:rFonts w:asciiTheme="majorHAnsi" w:hAnsiTheme="majorHAnsi" w:cstheme="majorBidi"/>
        </w:rPr>
        <w:t>for</w:t>
      </w:r>
      <w:r w:rsidRPr="10A9F656">
        <w:rPr>
          <w:rFonts w:asciiTheme="majorHAnsi" w:hAnsiTheme="majorHAnsi" w:cstheme="majorBidi"/>
        </w:rPr>
        <w:t xml:space="preserve"> the eligible use </w:t>
      </w:r>
      <w:r w:rsidR="00183592">
        <w:rPr>
          <w:rFonts w:asciiTheme="majorHAnsi" w:hAnsiTheme="majorHAnsi" w:cstheme="majorBidi"/>
        </w:rPr>
        <w:t>c</w:t>
      </w:r>
      <w:r w:rsidRPr="10A9F656">
        <w:rPr>
          <w:rFonts w:asciiTheme="majorHAnsi" w:hAnsiTheme="majorHAnsi" w:cstheme="majorBidi"/>
        </w:rPr>
        <w:t xml:space="preserve">ategories described in Treasury’s </w:t>
      </w:r>
      <w:r w:rsidR="003741A1">
        <w:rPr>
          <w:rFonts w:asciiTheme="majorHAnsi" w:hAnsiTheme="majorHAnsi" w:cstheme="majorBidi"/>
        </w:rPr>
        <w:t>f</w:t>
      </w:r>
      <w:r w:rsidRPr="10A9F656">
        <w:rPr>
          <w:rFonts w:asciiTheme="majorHAnsi" w:hAnsiTheme="majorHAnsi" w:cstheme="majorBidi"/>
        </w:rPr>
        <w:t xml:space="preserve">inal </w:t>
      </w:r>
      <w:r w:rsidR="003741A1">
        <w:rPr>
          <w:rFonts w:asciiTheme="majorHAnsi" w:hAnsiTheme="majorHAnsi" w:cstheme="majorBidi"/>
        </w:rPr>
        <w:t>r</w:t>
      </w:r>
      <w:r w:rsidRPr="10A9F656">
        <w:rPr>
          <w:rFonts w:asciiTheme="majorHAnsi" w:hAnsiTheme="majorHAnsi" w:cstheme="majorBidi"/>
        </w:rPr>
        <w:t>ule for costs incurred prior to March 3, 2021.</w:t>
      </w:r>
      <w:r w:rsidR="00183592">
        <w:rPr>
          <w:rFonts w:asciiTheme="majorHAnsi" w:hAnsiTheme="majorHAnsi" w:cstheme="majorBidi"/>
        </w:rPr>
        <w:t xml:space="preserve"> </w:t>
      </w:r>
      <w:r w:rsidR="00D63ADE">
        <w:rPr>
          <w:rFonts w:asciiTheme="majorHAnsi" w:hAnsiTheme="majorHAnsi" w:cstheme="majorBidi"/>
        </w:rPr>
        <w:t>Specifically</w:t>
      </w:r>
      <w:r w:rsidRPr="10A9F656">
        <w:rPr>
          <w:rFonts w:asciiTheme="majorHAnsi" w:hAnsiTheme="majorHAnsi" w:cstheme="majorBidi"/>
        </w:rPr>
        <w:t xml:space="preserve">,  </w:t>
      </w:r>
    </w:p>
    <w:p w:rsidR="00C1502E" w:rsidRPr="006F7710" w:rsidP="00012B59" w14:paraId="7144E0FE" w14:textId="6E5E282D">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Public Health/Negative Economic Impacts</w:t>
      </w:r>
      <w:r w:rsidRPr="10A9F656">
        <w:rPr>
          <w:rFonts w:asciiTheme="majorHAnsi" w:hAnsiTheme="majorHAnsi" w:cstheme="majorBidi"/>
        </w:rPr>
        <w:t xml:space="preserve">: Recipients may use SLFRF award funds to provide assistance to households, small businesses, and nonprofits </w:t>
      </w:r>
      <w:r w:rsidR="00A33567">
        <w:rPr>
          <w:rFonts w:asciiTheme="majorHAnsi" w:hAnsiTheme="majorHAnsi" w:cstheme="majorBidi"/>
        </w:rPr>
        <w:t xml:space="preserve">to respond to the public health </w:t>
      </w:r>
      <w:r w:rsidR="00CE7AAF">
        <w:rPr>
          <w:rFonts w:asciiTheme="majorHAnsi" w:hAnsiTheme="majorHAnsi" w:cstheme="majorBidi"/>
        </w:rPr>
        <w:t>emergency</w:t>
      </w:r>
      <w:r w:rsidR="00A33567">
        <w:rPr>
          <w:rFonts w:asciiTheme="majorHAnsi" w:hAnsiTheme="majorHAnsi" w:cstheme="majorBidi"/>
        </w:rPr>
        <w:t xml:space="preserve"> or negative economic impacts of the pandemic </w:t>
      </w:r>
      <w:r w:rsidRPr="10A9F656">
        <w:rPr>
          <w:rFonts w:asciiTheme="majorHAnsi" w:hAnsiTheme="majorHAnsi" w:cstheme="majorBidi"/>
        </w:rPr>
        <w:t xml:space="preserve">– such as rent, mortgage, or utility assistance – for costs incurred by the </w:t>
      </w:r>
      <w:r w:rsidR="00A33567">
        <w:rPr>
          <w:rFonts w:asciiTheme="majorHAnsi" w:hAnsiTheme="majorHAnsi" w:cstheme="majorBidi"/>
        </w:rPr>
        <w:t>beneficiary (e.g., a household)</w:t>
      </w:r>
      <w:r w:rsidRPr="10A9F656" w:rsidR="00A33567">
        <w:rPr>
          <w:rFonts w:asciiTheme="majorHAnsi" w:hAnsiTheme="majorHAnsi" w:cstheme="majorBidi"/>
        </w:rPr>
        <w:t xml:space="preserve"> </w:t>
      </w:r>
      <w:r w:rsidRPr="10A9F656">
        <w:rPr>
          <w:rFonts w:asciiTheme="majorHAnsi" w:hAnsiTheme="majorHAnsi" w:cstheme="majorBidi"/>
        </w:rPr>
        <w:t xml:space="preserve">prior to March 3, 2021, provided that the recipient </w:t>
      </w:r>
      <w:r w:rsidR="00F20ABD">
        <w:rPr>
          <w:rFonts w:asciiTheme="majorHAnsi" w:hAnsiTheme="majorHAnsi" w:cstheme="majorBidi"/>
        </w:rPr>
        <w:t>S</w:t>
      </w:r>
      <w:r w:rsidRPr="10A9F656">
        <w:rPr>
          <w:rFonts w:asciiTheme="majorHAnsi" w:hAnsiTheme="majorHAnsi" w:cstheme="majorBidi"/>
        </w:rPr>
        <w:t xml:space="preserve">tate, territorial, local or Tribal government did not incur the cost of providing such assistance prior to March 3, 2021.   </w:t>
      </w:r>
    </w:p>
    <w:p w:rsidR="00C1502E" w:rsidRPr="006F7710" w:rsidP="00012B59" w14:paraId="7A7856D9" w14:textId="2000E7D7">
      <w:pPr>
        <w:pStyle w:val="ListParagraph"/>
        <w:numPr>
          <w:ilvl w:val="0"/>
          <w:numId w:val="21"/>
        </w:numPr>
        <w:spacing w:before="240" w:after="0" w:line="240" w:lineRule="auto"/>
        <w:ind w:left="720"/>
        <w:rPr>
          <w:rFonts w:asciiTheme="majorHAnsi" w:hAnsiTheme="majorHAnsi" w:cstheme="majorBidi"/>
        </w:rPr>
      </w:pPr>
      <w:r w:rsidRPr="10A9F656">
        <w:rPr>
          <w:rFonts w:asciiTheme="majorHAnsi" w:hAnsiTheme="majorHAnsi" w:cstheme="majorBidi"/>
          <w:u w:val="single"/>
        </w:rPr>
        <w:t>Premium Pay</w:t>
      </w:r>
      <w:r w:rsidRPr="10A9F656">
        <w:rPr>
          <w:rFonts w:asciiTheme="majorHAnsi" w:hAnsiTheme="majorHAnsi" w:cstheme="majorBidi"/>
        </w:rPr>
        <w:t xml:space="preserve">: Recipients may provide premium pay retrospectively for work performed at any time since the start of the COVID-19 public health emergency. Such premium pay must be “in addition to” wages and remuneration already received and the obligation to provide such premium pay must not have been incurred by the recipient prior to March 3, 2021. </w:t>
      </w:r>
    </w:p>
    <w:p w:rsidR="00C1502E" w:rsidRPr="00A86FEA" w:rsidP="00012B59" w14:paraId="75A8B64B" w14:textId="0A2A408D">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Revenue Loss</w:t>
      </w:r>
      <w:r w:rsidRPr="10A9F656">
        <w:rPr>
          <w:rFonts w:asciiTheme="majorHAnsi" w:hAnsiTheme="majorHAnsi" w:cstheme="majorBidi"/>
        </w:rPr>
        <w:t xml:space="preserve">: </w:t>
      </w:r>
      <w:r w:rsidR="00A33567">
        <w:rPr>
          <w:rFonts w:asciiTheme="majorHAnsi" w:hAnsiTheme="majorHAnsi" w:cstheme="majorBidi"/>
        </w:rPr>
        <w:t>R</w:t>
      </w:r>
      <w:r w:rsidRPr="10A9F656">
        <w:rPr>
          <w:rFonts w:asciiTheme="majorHAnsi" w:hAnsiTheme="majorHAnsi" w:cstheme="majorBidi"/>
        </w:rPr>
        <w:t xml:space="preserve">ecipients </w:t>
      </w:r>
      <w:r w:rsidR="00A33567">
        <w:rPr>
          <w:rFonts w:asciiTheme="majorHAnsi" w:hAnsiTheme="majorHAnsi" w:cstheme="majorBidi"/>
        </w:rPr>
        <w:t>have</w:t>
      </w:r>
      <w:r w:rsidRPr="10A9F656">
        <w:rPr>
          <w:rFonts w:asciiTheme="majorHAnsi" w:hAnsiTheme="majorHAnsi" w:cstheme="majorBidi"/>
        </w:rPr>
        <w:t xml:space="preserve"> broad discretion to use funds for the provision of government services to the extent of reduction in revenue. While calculation of lost revenue </w:t>
      </w:r>
      <w:r w:rsidR="00217B25">
        <w:rPr>
          <w:rFonts w:asciiTheme="majorHAnsi" w:hAnsiTheme="majorHAnsi" w:cstheme="majorBidi"/>
        </w:rPr>
        <w:t>is based on</w:t>
      </w:r>
      <w:r w:rsidRPr="10A9F656">
        <w:rPr>
          <w:rFonts w:asciiTheme="majorHAnsi" w:hAnsiTheme="majorHAnsi" w:cstheme="majorBidi"/>
        </w:rPr>
        <w:t xml:space="preserve"> the recipient’s revenue in the last full fiscal year prior to the COVID-19 public health</w:t>
      </w:r>
      <w:r w:rsidR="00AF4E1C">
        <w:rPr>
          <w:rFonts w:asciiTheme="majorHAnsi" w:hAnsiTheme="majorHAnsi" w:cstheme="majorBidi"/>
        </w:rPr>
        <w:t xml:space="preserve"> emergency</w:t>
      </w:r>
      <w:r w:rsidRPr="10A9F656">
        <w:rPr>
          <w:rFonts w:asciiTheme="majorHAnsi" w:hAnsiTheme="majorHAnsi" w:cstheme="majorBidi"/>
        </w:rPr>
        <w:t xml:space="preserve">, use of funds for government services must be forward looking for costs incurred by the recipient after March 3, 2021. </w:t>
      </w:r>
    </w:p>
    <w:p w:rsidR="00C1502E" w:rsidRPr="006F7710" w:rsidP="00012B59" w14:paraId="64665800" w14:textId="11FB1932">
      <w:pPr>
        <w:pStyle w:val="ListParagraph"/>
        <w:numPr>
          <w:ilvl w:val="0"/>
          <w:numId w:val="21"/>
        </w:numPr>
        <w:spacing w:before="120" w:after="0" w:line="240" w:lineRule="auto"/>
        <w:ind w:left="720"/>
        <w:rPr>
          <w:rFonts w:asciiTheme="majorHAnsi" w:hAnsiTheme="majorHAnsi" w:cstheme="majorBidi"/>
        </w:rPr>
      </w:pPr>
      <w:r w:rsidRPr="10A9F656">
        <w:rPr>
          <w:rFonts w:asciiTheme="majorHAnsi" w:hAnsiTheme="majorHAnsi" w:cstheme="majorBidi"/>
          <w:u w:val="single"/>
        </w:rPr>
        <w:t>Investments in Water, Sewer, and Broadband</w:t>
      </w:r>
      <w:r w:rsidRPr="10A9F656">
        <w:rPr>
          <w:rFonts w:asciiTheme="majorHAnsi" w:hAnsiTheme="majorHAnsi" w:cstheme="majorBidi"/>
        </w:rPr>
        <w:t>: Recipients may use SLFRF award funds to make necessary investments in water, sewer, and broadband</w:t>
      </w:r>
      <w:r w:rsidR="00B873F7">
        <w:rPr>
          <w:rFonts w:asciiTheme="majorHAnsi" w:hAnsiTheme="majorHAnsi" w:cstheme="majorBidi"/>
        </w:rPr>
        <w:t xml:space="preserve"> infrastructure</w:t>
      </w:r>
      <w:r w:rsidRPr="10A9F656">
        <w:rPr>
          <w:rFonts w:asciiTheme="majorHAnsi" w:hAnsiTheme="majorHAnsi" w:cstheme="majorBidi"/>
        </w:rPr>
        <w:t xml:space="preserve">.  Recipients may use SLFRF award funds to cover costs incurred for eligible projects planned or started prior to March 3, 2021, provided that the project costs covered by the SLFRF award funds were incurred by the recipient after March 3, 2021. </w:t>
      </w:r>
    </w:p>
    <w:p w:rsidR="00C1502E" w:rsidP="00FD6A50" w14:paraId="75B814D6" w14:textId="77777777">
      <w:pPr>
        <w:pStyle w:val="ListParagraph"/>
        <w:spacing w:after="0" w:line="240" w:lineRule="auto"/>
        <w:ind w:left="360"/>
        <w:jc w:val="both"/>
        <w:rPr>
          <w:rFonts w:ascii="Arial" w:hAnsi="Arial"/>
        </w:rPr>
      </w:pPr>
    </w:p>
    <w:p w:rsidR="00816592" w:rsidP="00FD6A50" w14:paraId="3E513609" w14:textId="1B4DC5DC">
      <w:pPr>
        <w:spacing w:after="0" w:line="240" w:lineRule="auto"/>
        <w:ind w:left="360"/>
      </w:pPr>
      <w:r w:rsidRPr="10A9F656">
        <w:rPr>
          <w:rFonts w:asciiTheme="majorHAnsi" w:hAnsiTheme="majorHAnsi" w:cstheme="majorBidi"/>
        </w:rPr>
        <w:t>Any</w:t>
      </w:r>
      <w:r w:rsidRPr="10A9F656">
        <w:rPr>
          <w:rFonts w:ascii="Arial" w:hAnsi="Arial"/>
        </w:rPr>
        <w:t xml:space="preserve"> funds not obligated or expended for eligible uses by the timelines above must be returned to Treasury, including any unobligated or unexpended funds that have been provided to subrecipients and contractors </w:t>
      </w:r>
      <w:r w:rsidRPr="007777CF">
        <w:t>as part of the award closeout process pursuant to 2 C.F.R. 200.344(d)</w:t>
      </w:r>
      <w:r w:rsidRPr="10A9F656">
        <w:rPr>
          <w:rFonts w:ascii="Arial" w:hAnsi="Arial"/>
        </w:rPr>
        <w:t xml:space="preserve">. For the purposes of determining expenditure eligibility, Treasury’s </w:t>
      </w:r>
      <w:r w:rsidR="003741A1">
        <w:rPr>
          <w:rFonts w:ascii="Arial" w:hAnsi="Arial"/>
        </w:rPr>
        <w:t>f</w:t>
      </w:r>
      <w:r w:rsidRPr="10A9F656">
        <w:rPr>
          <w:rFonts w:ascii="Arial" w:hAnsi="Arial"/>
        </w:rPr>
        <w:t xml:space="preserve">inal </w:t>
      </w:r>
      <w:r w:rsidR="003741A1">
        <w:rPr>
          <w:rFonts w:ascii="Arial" w:hAnsi="Arial"/>
        </w:rPr>
        <w:t>r</w:t>
      </w:r>
      <w:r w:rsidRPr="10A9F656">
        <w:rPr>
          <w:rFonts w:ascii="Arial" w:hAnsi="Arial"/>
        </w:rPr>
        <w:t xml:space="preserve">ule provides </w:t>
      </w:r>
      <w:r w:rsidRPr="10A9F656">
        <w:rPr>
          <w:rFonts w:ascii="Arial" w:hAnsi="Arial"/>
        </w:rPr>
        <w:t xml:space="preserve">that “incurred” </w:t>
      </w:r>
      <w:r w:rsidR="00C14EC3">
        <w:rPr>
          <w:rFonts w:ascii="Arial" w:hAnsi="Arial"/>
        </w:rPr>
        <w:t>means the</w:t>
      </w:r>
      <w:r w:rsidRPr="00C14EC3" w:rsidR="00C14EC3">
        <w:rPr>
          <w:rFonts w:ascii="Arial" w:hAnsi="Arial"/>
        </w:rPr>
        <w:t xml:space="preserve"> recipient has incurred an obligation</w:t>
      </w:r>
      <w:r w:rsidR="00C14EC3">
        <w:rPr>
          <w:rFonts w:ascii="Arial" w:hAnsi="Arial"/>
        </w:rPr>
        <w:t>,</w:t>
      </w:r>
      <w:r w:rsidRPr="00C14EC3" w:rsidR="00C14EC3">
        <w:rPr>
          <w:rFonts w:ascii="Arial" w:hAnsi="Arial"/>
        </w:rPr>
        <w:t xml:space="preserve"> w</w:t>
      </w:r>
      <w:r w:rsidR="00C14EC3">
        <w:rPr>
          <w:rFonts w:ascii="Arial" w:hAnsi="Arial"/>
        </w:rPr>
        <w:t xml:space="preserve">hich </w:t>
      </w:r>
      <w:r w:rsidRPr="10A9F656">
        <w:rPr>
          <w:rFonts w:ascii="Arial" w:hAnsi="Arial"/>
        </w:rPr>
        <w:t>has the same meaning given to “financial obligation” in 2 CFR 200.1.</w:t>
      </w:r>
    </w:p>
    <w:p w:rsidR="00816592" w:rsidRPr="00E21798" w:rsidP="00FD6A50" w14:paraId="364D7DC7" w14:textId="77777777">
      <w:pPr>
        <w:pStyle w:val="ListParagraph"/>
        <w:spacing w:after="0" w:line="240" w:lineRule="auto"/>
        <w:ind w:left="360"/>
        <w:jc w:val="both"/>
      </w:pPr>
    </w:p>
    <w:p w:rsidR="00E86315" w:rsidRPr="00B322C8" w:rsidP="00CE5331" w14:paraId="0E19A34C" w14:textId="1936B3FA">
      <w:pPr>
        <w:pStyle w:val="ListParagraph"/>
        <w:numPr>
          <w:ilvl w:val="0"/>
          <w:numId w:val="24"/>
        </w:numPr>
        <w:spacing w:after="0" w:line="240" w:lineRule="auto"/>
        <w:jc w:val="both"/>
      </w:pPr>
      <w:r w:rsidRPr="10A9F656">
        <w:rPr>
          <w:rFonts w:ascii="Arial" w:hAnsi="Arial"/>
          <w:b/>
          <w:bCs/>
        </w:rPr>
        <w:t xml:space="preserve">Reporting. </w:t>
      </w:r>
      <w:r w:rsidRPr="10A9F656">
        <w:rPr>
          <w:rFonts w:ascii="Arial" w:hAnsi="Arial"/>
        </w:rPr>
        <w:t xml:space="preserve">Generally, recipients must submit one initial </w:t>
      </w:r>
      <w:r w:rsidR="008D62C4">
        <w:rPr>
          <w:rFonts w:ascii="Arial" w:hAnsi="Arial"/>
        </w:rPr>
        <w:t>I</w:t>
      </w:r>
      <w:r w:rsidRPr="10A9F656">
        <w:rPr>
          <w:rFonts w:ascii="Arial" w:hAnsi="Arial"/>
        </w:rPr>
        <w:t xml:space="preserve">nterim </w:t>
      </w:r>
      <w:r w:rsidR="008D62C4">
        <w:rPr>
          <w:rFonts w:ascii="Arial" w:hAnsi="Arial"/>
        </w:rPr>
        <w:t>R</w:t>
      </w:r>
      <w:r w:rsidRPr="10A9F656">
        <w:rPr>
          <w:rFonts w:ascii="Arial" w:hAnsi="Arial"/>
        </w:rPr>
        <w:t xml:space="preserve">eport, quarterly or annual Project and Expenditure reports which include subaward reporting, and in some cases annual Recovery Plan reports. Treasury’s </w:t>
      </w:r>
      <w:r w:rsidR="003741A1">
        <w:rPr>
          <w:rFonts w:ascii="Arial" w:hAnsi="Arial"/>
        </w:rPr>
        <w:t>f</w:t>
      </w:r>
      <w:r w:rsidRPr="10A9F656">
        <w:rPr>
          <w:rFonts w:ascii="Arial" w:hAnsi="Arial"/>
        </w:rPr>
        <w:t xml:space="preserve">inal </w:t>
      </w:r>
      <w:r w:rsidR="003741A1">
        <w:rPr>
          <w:rFonts w:ascii="Arial" w:hAnsi="Arial"/>
        </w:rPr>
        <w:t>r</w:t>
      </w:r>
      <w:r w:rsidRPr="10A9F656">
        <w:rPr>
          <w:rFonts w:ascii="Arial" w:hAnsi="Arial"/>
        </w:rPr>
        <w:t>ule and Part 2 of this guidance provide more detail around SLFRF reporting requirements.</w:t>
      </w:r>
    </w:p>
    <w:p w:rsidR="00EB04CA" w:rsidRPr="00B322C8" w:rsidP="00B322C8" w14:paraId="707194B2" w14:textId="77777777">
      <w:pPr>
        <w:pStyle w:val="ListParagraph"/>
        <w:spacing w:after="0" w:line="240" w:lineRule="auto"/>
        <w:ind w:left="360"/>
        <w:jc w:val="both"/>
      </w:pPr>
    </w:p>
    <w:p w:rsidR="00EB04CA" w:rsidRPr="00E21798" w:rsidP="00CE5331" w14:paraId="66A357C3" w14:textId="0F3A6672">
      <w:pPr>
        <w:pStyle w:val="ListParagraph"/>
        <w:numPr>
          <w:ilvl w:val="0"/>
          <w:numId w:val="24"/>
        </w:numPr>
        <w:spacing w:after="0" w:line="240" w:lineRule="auto"/>
        <w:jc w:val="both"/>
      </w:pPr>
      <w:r>
        <w:rPr>
          <w:rFonts w:ascii="Arial" w:hAnsi="Arial"/>
          <w:b/>
          <w:bCs/>
        </w:rPr>
        <w:t>Expenditure Categories</w:t>
      </w:r>
      <w:r w:rsidR="007A6FBB">
        <w:rPr>
          <w:rFonts w:ascii="Arial" w:hAnsi="Arial"/>
        </w:rPr>
        <w:t xml:space="preserve">. </w:t>
      </w:r>
      <w:r w:rsidR="00E170DC">
        <w:rPr>
          <w:rFonts w:ascii="Arial" w:hAnsi="Arial"/>
        </w:rPr>
        <w:t xml:space="preserve">Treasury’s </w:t>
      </w:r>
      <w:r w:rsidR="00313BCE">
        <w:rPr>
          <w:rFonts w:ascii="Arial" w:hAnsi="Arial"/>
        </w:rPr>
        <w:t>f</w:t>
      </w:r>
      <w:r w:rsidR="00E170DC">
        <w:rPr>
          <w:rFonts w:ascii="Arial" w:hAnsi="Arial"/>
        </w:rPr>
        <w:t xml:space="preserve">inal </w:t>
      </w:r>
      <w:r w:rsidR="00313BCE">
        <w:rPr>
          <w:rFonts w:ascii="Arial" w:hAnsi="Arial"/>
        </w:rPr>
        <w:t>r</w:t>
      </w:r>
      <w:r w:rsidR="00E170DC">
        <w:rPr>
          <w:rFonts w:ascii="Arial" w:hAnsi="Arial"/>
        </w:rPr>
        <w:t xml:space="preserve">ule provides greater flexibility and simplicity </w:t>
      </w:r>
      <w:r w:rsidR="00313BCE">
        <w:rPr>
          <w:rFonts w:ascii="Arial" w:hAnsi="Arial"/>
        </w:rPr>
        <w:t>for</w:t>
      </w:r>
      <w:r w:rsidR="00E170DC">
        <w:rPr>
          <w:rFonts w:ascii="Arial" w:hAnsi="Arial"/>
        </w:rPr>
        <w:t xml:space="preserve"> </w:t>
      </w:r>
      <w:r w:rsidR="00313BCE">
        <w:rPr>
          <w:rFonts w:ascii="Arial" w:hAnsi="Arial"/>
        </w:rPr>
        <w:t>r</w:t>
      </w:r>
      <w:r w:rsidR="00E170DC">
        <w:rPr>
          <w:rFonts w:ascii="Arial" w:hAnsi="Arial"/>
        </w:rPr>
        <w:t xml:space="preserve">ecipients to </w:t>
      </w:r>
      <w:r w:rsidR="00694751">
        <w:rPr>
          <w:rFonts w:ascii="Arial" w:hAnsi="Arial"/>
        </w:rPr>
        <w:t xml:space="preserve">fight </w:t>
      </w:r>
      <w:r w:rsidR="00E170DC">
        <w:rPr>
          <w:rFonts w:ascii="Arial" w:hAnsi="Arial"/>
        </w:rPr>
        <w:t>the pandemic</w:t>
      </w:r>
      <w:r w:rsidR="00694751">
        <w:rPr>
          <w:rFonts w:ascii="Arial" w:hAnsi="Arial"/>
        </w:rPr>
        <w:t xml:space="preserve"> and support families and businesses struggling with its impacts</w:t>
      </w:r>
      <w:r w:rsidR="00E170DC">
        <w:rPr>
          <w:rFonts w:ascii="Arial" w:hAnsi="Arial"/>
        </w:rPr>
        <w:t>, maintain vital ser</w:t>
      </w:r>
      <w:r w:rsidR="00693173">
        <w:rPr>
          <w:rFonts w:ascii="Arial" w:hAnsi="Arial"/>
        </w:rPr>
        <w:t xml:space="preserve">vices </w:t>
      </w:r>
      <w:r w:rsidR="00694751">
        <w:rPr>
          <w:rFonts w:ascii="Arial" w:hAnsi="Arial"/>
        </w:rPr>
        <w:t>a</w:t>
      </w:r>
      <w:r w:rsidR="00E170DC">
        <w:rPr>
          <w:rFonts w:ascii="Arial" w:hAnsi="Arial"/>
        </w:rPr>
        <w:t>mid revenue shortfalls, and build a strong, resilient, and equit</w:t>
      </w:r>
      <w:r w:rsidR="00694751">
        <w:rPr>
          <w:rFonts w:ascii="Arial" w:hAnsi="Arial"/>
        </w:rPr>
        <w:t>able</w:t>
      </w:r>
      <w:r w:rsidR="00E170DC">
        <w:rPr>
          <w:rFonts w:ascii="Arial" w:hAnsi="Arial"/>
        </w:rPr>
        <w:t xml:space="preserve"> recovery.  </w:t>
      </w:r>
      <w:r w:rsidR="00693173">
        <w:rPr>
          <w:rFonts w:ascii="Arial" w:hAnsi="Arial"/>
        </w:rPr>
        <w:t xml:space="preserve">As such, </w:t>
      </w:r>
      <w:r w:rsidR="009006A6">
        <w:rPr>
          <w:rFonts w:ascii="Arial" w:hAnsi="Arial"/>
        </w:rPr>
        <w:t>r</w:t>
      </w:r>
      <w:r w:rsidR="00693173">
        <w:rPr>
          <w:rFonts w:ascii="Arial" w:hAnsi="Arial"/>
        </w:rPr>
        <w:t xml:space="preserve">ecipients </w:t>
      </w:r>
      <w:r w:rsidR="00D6022C">
        <w:rPr>
          <w:rFonts w:ascii="Arial" w:hAnsi="Arial"/>
        </w:rPr>
        <w:t xml:space="preserve">report </w:t>
      </w:r>
      <w:r w:rsidR="00313BCE">
        <w:rPr>
          <w:rFonts w:ascii="Arial" w:hAnsi="Arial"/>
        </w:rPr>
        <w:t>on</w:t>
      </w:r>
      <w:r w:rsidR="00D6022C">
        <w:rPr>
          <w:rFonts w:ascii="Arial" w:hAnsi="Arial"/>
        </w:rPr>
        <w:t xml:space="preserve"> a broader set of eligible uses and associated Expenditure Categories (“EC”)</w:t>
      </w:r>
      <w:r w:rsidR="006335D0">
        <w:rPr>
          <w:rFonts w:ascii="Arial" w:hAnsi="Arial"/>
        </w:rPr>
        <w:t xml:space="preserve">, </w:t>
      </w:r>
      <w:r w:rsidR="009B1F26">
        <w:rPr>
          <w:rFonts w:ascii="Arial" w:hAnsi="Arial"/>
        </w:rPr>
        <w:t xml:space="preserve">which began </w:t>
      </w:r>
      <w:r w:rsidR="006335D0">
        <w:rPr>
          <w:rFonts w:ascii="Arial" w:hAnsi="Arial"/>
        </w:rPr>
        <w:t xml:space="preserve">with the April 2022 Project and Expenditure Report.  Appendix 1 includes the new </w:t>
      </w:r>
      <w:r w:rsidR="00D114B6">
        <w:rPr>
          <w:rFonts w:ascii="Arial" w:hAnsi="Arial"/>
        </w:rPr>
        <w:t>ECs</w:t>
      </w:r>
      <w:r w:rsidR="006335D0">
        <w:rPr>
          <w:rFonts w:ascii="Arial" w:hAnsi="Arial"/>
        </w:rPr>
        <w:t xml:space="preserve">, as well as </w:t>
      </w:r>
      <w:r w:rsidR="000B163E">
        <w:rPr>
          <w:rFonts w:ascii="Arial" w:hAnsi="Arial"/>
        </w:rPr>
        <w:t xml:space="preserve">a reference to previous </w:t>
      </w:r>
      <w:r w:rsidR="00A5017A">
        <w:rPr>
          <w:rFonts w:ascii="Arial" w:hAnsi="Arial"/>
        </w:rPr>
        <w:t>ECs</w:t>
      </w:r>
      <w:r w:rsidR="000B163E">
        <w:rPr>
          <w:rFonts w:ascii="Arial" w:hAnsi="Arial"/>
        </w:rPr>
        <w:t xml:space="preserve"> used for reporting under the</w:t>
      </w:r>
      <w:r w:rsidR="006335D0">
        <w:rPr>
          <w:rFonts w:ascii="Arial" w:hAnsi="Arial"/>
        </w:rPr>
        <w:t xml:space="preserve"> </w:t>
      </w:r>
      <w:r w:rsidR="00313BCE">
        <w:rPr>
          <w:rFonts w:ascii="Arial" w:hAnsi="Arial"/>
        </w:rPr>
        <w:t>i</w:t>
      </w:r>
      <w:r w:rsidR="006335D0">
        <w:rPr>
          <w:rFonts w:ascii="Arial" w:hAnsi="Arial"/>
        </w:rPr>
        <w:t xml:space="preserve">nterim </w:t>
      </w:r>
      <w:r w:rsidR="00313BCE">
        <w:rPr>
          <w:rFonts w:ascii="Arial" w:hAnsi="Arial"/>
        </w:rPr>
        <w:t>f</w:t>
      </w:r>
      <w:r w:rsidR="006335D0">
        <w:rPr>
          <w:rFonts w:ascii="Arial" w:hAnsi="Arial"/>
        </w:rPr>
        <w:t xml:space="preserve">inal </w:t>
      </w:r>
      <w:r w:rsidR="00313BCE">
        <w:rPr>
          <w:rFonts w:ascii="Arial" w:hAnsi="Arial"/>
        </w:rPr>
        <w:t>r</w:t>
      </w:r>
      <w:r w:rsidR="006335D0">
        <w:rPr>
          <w:rFonts w:ascii="Arial" w:hAnsi="Arial"/>
        </w:rPr>
        <w:t xml:space="preserve">ule.  </w:t>
      </w:r>
    </w:p>
    <w:p w:rsidR="00BD52EC" w:rsidP="00FD6A50" w14:paraId="795027A9" w14:textId="13C2E31C">
      <w:pPr>
        <w:widowControl w:val="0"/>
        <w:spacing w:after="0" w:line="240" w:lineRule="auto"/>
        <w:jc w:val="both"/>
        <w:rPr>
          <w:rFonts w:ascii="Arial" w:hAnsi="Arial"/>
          <w:b/>
          <w:bCs/>
        </w:rPr>
      </w:pPr>
      <w:r w:rsidRPr="00BD52EC">
        <w:rPr>
          <w:rFonts w:ascii="Arial" w:hAnsi="Arial"/>
          <w:b/>
          <w:bCs/>
          <w:noProof/>
        </w:rPr>
        <mc:AlternateContent>
          <mc:Choice Requires="wps">
            <w:drawing>
              <wp:anchor distT="45720" distB="45720" distL="114300" distR="114300" simplePos="0" relativeHeight="251658240" behindDoc="0" locked="0" layoutInCell="1" allowOverlap="1">
                <wp:simplePos x="0" y="0"/>
                <wp:positionH relativeFrom="margin">
                  <wp:align>right</wp:align>
                </wp:positionH>
                <wp:positionV relativeFrom="paragraph">
                  <wp:posOffset>230505</wp:posOffset>
                </wp:positionV>
                <wp:extent cx="5708650" cy="1747901"/>
                <wp:effectExtent l="0" t="0" r="25400" b="2476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8650" cy="1747901"/>
                        </a:xfrm>
                        <a:prstGeom prst="rect">
                          <a:avLst/>
                        </a:prstGeom>
                        <a:solidFill>
                          <a:srgbClr val="D5EFFF"/>
                        </a:solidFill>
                        <a:ln w="9525">
                          <a:solidFill>
                            <a:srgbClr val="000000"/>
                          </a:solidFill>
                          <a:miter lim="800000"/>
                          <a:headEnd/>
                          <a:tailEnd/>
                        </a:ln>
                      </wps:spPr>
                      <wps:txbx>
                        <w:txbxContent>
                          <w:p w:rsidR="00450A70" w:rsidRPr="00C12C6C" w:rsidP="00220987" w14:textId="65379CE1">
                            <w:pPr>
                              <w:rPr>
                                <w:b/>
                                <w:bCs/>
                                <w:color w:val="004E7D"/>
                                <w:sz w:val="28"/>
                                <w:szCs w:val="28"/>
                              </w:rPr>
                            </w:pPr>
                            <w:r w:rsidRPr="00C12C6C">
                              <w:rPr>
                                <w:b/>
                                <w:bCs/>
                                <w:color w:val="004E7D"/>
                                <w:sz w:val="28"/>
                                <w:szCs w:val="28"/>
                              </w:rPr>
                              <w:t>Assistance Listing</w:t>
                            </w:r>
                          </w:p>
                          <w:p w:rsidR="00450A70" w:rsidP="007777CF" w14:textId="19202D4A">
                            <w:pPr>
                              <w:spacing w:after="0" w:line="240" w:lineRule="auto"/>
                              <w:jc w:val="both"/>
                            </w:pPr>
                            <w:r w:rsidRPr="007777CF">
                              <w:rPr>
                                <w:rFonts w:ascii="Arial" w:hAnsi="Arial"/>
                              </w:rPr>
                              <w:t>The</w:t>
                            </w:r>
                            <w:r>
                              <w:t xml:space="preserve"> </w:t>
                            </w:r>
                            <w:hyperlink r:id="rId17" w:history="1">
                              <w:r>
                                <w:rPr>
                                  <w:rStyle w:val="Hyperlink"/>
                                </w:rPr>
                                <w:t>Assistance Listing</w:t>
                              </w:r>
                            </w:hyperlink>
                            <w:r>
                              <w:t xml:space="preserve"> for the Coronavirus State and Local Fiscal Recovery Funds (SLFRF) was published May 28, 2021 on SAM.gov under Assistance Listing Number (“ALN”), formerly known as CFDA Number, </w:t>
                            </w:r>
                            <w:r w:rsidRPr="00BD52EC">
                              <w:rPr>
                                <w:b/>
                                <w:bCs/>
                              </w:rPr>
                              <w:t>21.027</w:t>
                            </w:r>
                            <w:r>
                              <w:t>.</w:t>
                            </w:r>
                          </w:p>
                          <w:p w:rsidR="00450A70" w:rsidP="0052725B" w14:textId="77777777">
                            <w:pPr>
                              <w:spacing w:after="0" w:line="240" w:lineRule="auto"/>
                              <w:jc w:val="both"/>
                            </w:pPr>
                          </w:p>
                          <w:p w:rsidR="00450A70" w:rsidRPr="007777CF" w:rsidP="007777CF" w14:textId="5913EF61">
                            <w:pPr>
                              <w:spacing w:after="0" w:line="240" w:lineRule="auto"/>
                              <w:jc w:val="both"/>
                              <w:rPr>
                                <w:rFonts w:ascii="Arial" w:hAnsi="Arial"/>
                              </w:rPr>
                            </w:pPr>
                            <w:r w:rsidRPr="007777CF">
                              <w:rPr>
                                <w:rFonts w:ascii="Arial" w:hAnsi="Arial"/>
                              </w:rPr>
                              <w:t>The assistance listing includes helpful information including program purpose, statutory authority, eligibility requirements, and compliance requirements for recipients.  The ALN is the unique 5-digit number</w:t>
                            </w:r>
                            <w:r w:rsidRPr="007777CF">
                              <w:rPr>
                                <w:rFonts w:ascii="Arial" w:hAnsi="Arial"/>
                              </w:rPr>
                              <w:t xml:space="preserve"> </w:t>
                            </w:r>
                            <w:r w:rsidRPr="007777CF">
                              <w:rPr>
                                <w:rFonts w:ascii="Arial" w:hAnsi="Arial"/>
                              </w:rPr>
                              <w:t xml:space="preserve">assigned to identify a federal assistance listing, and can be used to search for federal assistance program information, including funding opportunities, spending on USASpending.gov, or audit results through the Federal Audit Clearinghouse. </w:t>
                            </w:r>
                          </w:p>
                          <w:p w:rsidR="00450A70" w:rsidP="00CC774B" w14:textId="77777777">
                            <w:pPr>
                              <w:spacing w:after="0" w:line="240" w:lineRule="auto"/>
                              <w:jc w:val="both"/>
                              <w:rPr>
                                <w:rFonts w:ascii="Arial" w:hAnsi="Arial"/>
                              </w:rPr>
                            </w:pPr>
                          </w:p>
                          <w:p w:rsidR="00450A70" w:rsidP="007777CF" w14:textId="3A74B342">
                            <w:pPr>
                              <w:spacing w:after="0" w:line="240" w:lineRule="auto"/>
                              <w:jc w:val="both"/>
                            </w:pPr>
                            <w:r w:rsidRPr="007777CF">
                              <w:rPr>
                                <w:rFonts w:ascii="Arial" w:hAnsi="Arial"/>
                              </w:rPr>
                              <w:t>To</w:t>
                            </w:r>
                            <w:r>
                              <w:t xml:space="preserve"> expedite payments and meet statutory timelines Treasury issued initial payments under an existing ALN, 21.019, assigned to the CRF.  If you have already received funds or captured the initial number in your records, please update your systems and reporting to reflect the new ALN 21.027 for the SLFRF program.  </w:t>
                            </w:r>
                            <w:r>
                              <w:rPr>
                                <w:b/>
                                <w:bCs/>
                              </w:rPr>
                              <w:t>Recipients must use ALN 21.027 for all financial accounting, subawards, and associated program reporting requirements for the SLFRF awards.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width:449.5pt;height:110.6pt;margin-top:18.15pt;margin-left:398.3pt;mso-height-percent:20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59264" fillcolor="#d5efff">
                <v:textbox style="mso-fit-shape-to-text:t">
                  <w:txbxContent>
                    <w:p w:rsidR="00450A70" w:rsidRPr="00C12C6C" w:rsidP="00220987" w14:paraId="43A5B9E8" w14:textId="65379CE1">
                      <w:pPr>
                        <w:rPr>
                          <w:b/>
                          <w:bCs/>
                          <w:color w:val="004E7D"/>
                          <w:sz w:val="28"/>
                          <w:szCs w:val="28"/>
                        </w:rPr>
                      </w:pPr>
                      <w:r w:rsidRPr="00C12C6C">
                        <w:rPr>
                          <w:b/>
                          <w:bCs/>
                          <w:color w:val="004E7D"/>
                          <w:sz w:val="28"/>
                          <w:szCs w:val="28"/>
                        </w:rPr>
                        <w:t>Assistance Listing</w:t>
                      </w:r>
                    </w:p>
                    <w:p w:rsidR="00450A70" w:rsidP="007777CF" w14:paraId="53C3FAF3" w14:textId="19202D4A">
                      <w:pPr>
                        <w:spacing w:after="0" w:line="240" w:lineRule="auto"/>
                        <w:jc w:val="both"/>
                      </w:pPr>
                      <w:r w:rsidRPr="007777CF">
                        <w:rPr>
                          <w:rFonts w:ascii="Arial" w:hAnsi="Arial"/>
                        </w:rPr>
                        <w:t>The</w:t>
                      </w:r>
                      <w:r>
                        <w:t xml:space="preserve"> </w:t>
                      </w:r>
                      <w:hyperlink r:id="rId17" w:history="1">
                        <w:r>
                          <w:rPr>
                            <w:rStyle w:val="Hyperlink"/>
                          </w:rPr>
                          <w:t>Assistance Listing</w:t>
                        </w:r>
                      </w:hyperlink>
                      <w:r>
                        <w:t xml:space="preserve"> for the Coronavirus State and Local Fiscal Recovery Funds (SLFRF) was published May 28, 2021 on SAM.gov under Assistance Listing Number (“ALN”), formerly known as CFDA Number, </w:t>
                      </w:r>
                      <w:r w:rsidRPr="00BD52EC">
                        <w:rPr>
                          <w:b/>
                          <w:bCs/>
                        </w:rPr>
                        <w:t>21.027</w:t>
                      </w:r>
                      <w:r>
                        <w:t>.</w:t>
                      </w:r>
                    </w:p>
                    <w:p w:rsidR="00450A70" w:rsidP="0052725B" w14:paraId="5C4BB69D" w14:textId="77777777">
                      <w:pPr>
                        <w:spacing w:after="0" w:line="240" w:lineRule="auto"/>
                        <w:jc w:val="both"/>
                      </w:pPr>
                    </w:p>
                    <w:p w:rsidR="00450A70" w:rsidRPr="007777CF" w:rsidP="007777CF" w14:paraId="62FBF3DE" w14:textId="5913EF61">
                      <w:pPr>
                        <w:spacing w:after="0" w:line="240" w:lineRule="auto"/>
                        <w:jc w:val="both"/>
                        <w:rPr>
                          <w:rFonts w:ascii="Arial" w:hAnsi="Arial"/>
                        </w:rPr>
                      </w:pPr>
                      <w:r w:rsidRPr="007777CF">
                        <w:rPr>
                          <w:rFonts w:ascii="Arial" w:hAnsi="Arial"/>
                        </w:rPr>
                        <w:t>The assistance listing includes helpful information including program purpose, statutory authority, eligibility requirements, and compliance requirements for recipients.  The ALN is the unique 5-digit number</w:t>
                      </w:r>
                      <w:r w:rsidRPr="007777CF">
                        <w:rPr>
                          <w:rFonts w:ascii="Arial" w:hAnsi="Arial"/>
                        </w:rPr>
                        <w:t xml:space="preserve"> </w:t>
                      </w:r>
                      <w:r w:rsidRPr="007777CF">
                        <w:rPr>
                          <w:rFonts w:ascii="Arial" w:hAnsi="Arial"/>
                        </w:rPr>
                        <w:t xml:space="preserve">assigned to identify a federal assistance listing, and can be used to search for federal assistance program information, including funding opportunities, spending on USASpending.gov, or audit results through the Federal Audit Clearinghouse. </w:t>
                      </w:r>
                    </w:p>
                    <w:p w:rsidR="00450A70" w:rsidP="00CC774B" w14:paraId="2A0DBB14" w14:textId="77777777">
                      <w:pPr>
                        <w:spacing w:after="0" w:line="240" w:lineRule="auto"/>
                        <w:jc w:val="both"/>
                        <w:rPr>
                          <w:rFonts w:ascii="Arial" w:hAnsi="Arial"/>
                        </w:rPr>
                      </w:pPr>
                    </w:p>
                    <w:p w:rsidR="00450A70" w:rsidP="007777CF" w14:paraId="36645538" w14:textId="3A74B342">
                      <w:pPr>
                        <w:spacing w:after="0" w:line="240" w:lineRule="auto"/>
                        <w:jc w:val="both"/>
                      </w:pPr>
                      <w:r w:rsidRPr="007777CF">
                        <w:rPr>
                          <w:rFonts w:ascii="Arial" w:hAnsi="Arial"/>
                        </w:rPr>
                        <w:t>To</w:t>
                      </w:r>
                      <w:r>
                        <w:t xml:space="preserve"> expedite payments and meet statutory timelines Treasury issued initial payments under an existing ALN, 21.019, assigned to the CRF.  If you have already received funds or captured the initial number in your records, please update your systems and reporting to reflect the new ALN 21.027 for the SLFRF program.  </w:t>
                      </w:r>
                      <w:r>
                        <w:rPr>
                          <w:b/>
                          <w:bCs/>
                        </w:rPr>
                        <w:t>Recipients must use ALN 21.027 for all financial accounting, subawards, and associated program reporting requirements for the SLFRF awards.</w:t>
                      </w:r>
                    </w:p>
                  </w:txbxContent>
                </v:textbox>
                <w10:wrap type="square"/>
              </v:shape>
            </w:pict>
          </mc:Fallback>
        </mc:AlternateContent>
      </w:r>
    </w:p>
    <w:p w:rsidR="00BD52EC" w:rsidP="00FD6A50" w14:paraId="2F017AFC" w14:textId="77777777">
      <w:pPr>
        <w:widowControl w:val="0"/>
        <w:spacing w:after="0" w:line="240" w:lineRule="auto"/>
        <w:jc w:val="both"/>
        <w:rPr>
          <w:rFonts w:ascii="Arial" w:hAnsi="Arial"/>
          <w:b/>
          <w:bCs/>
        </w:rPr>
      </w:pPr>
    </w:p>
    <w:p w:rsidR="00CB560B" w:rsidRPr="003C5176" w:rsidP="00CE5331" w14:paraId="277010A6" w14:textId="533FD01A">
      <w:pPr>
        <w:pStyle w:val="ListParagraph"/>
        <w:widowControl w:val="0"/>
        <w:numPr>
          <w:ilvl w:val="0"/>
          <w:numId w:val="33"/>
        </w:numPr>
        <w:spacing w:after="0" w:line="240" w:lineRule="auto"/>
        <w:jc w:val="both"/>
        <w:rPr>
          <w:rFonts w:ascii="Arial" w:hAnsi="Arial"/>
        </w:rPr>
      </w:pPr>
      <w:r w:rsidRPr="10A9F656">
        <w:rPr>
          <w:rFonts w:ascii="Arial" w:hAnsi="Arial"/>
          <w:b/>
          <w:bCs/>
        </w:rPr>
        <w:t>Uniform Administrative Requirements</w:t>
      </w:r>
    </w:p>
    <w:p w:rsidR="00146DC7" w:rsidP="00FD6A50" w14:paraId="5D799028" w14:textId="77777777">
      <w:pPr>
        <w:pStyle w:val="ListParagraph"/>
        <w:widowControl w:val="0"/>
        <w:spacing w:after="0" w:line="240" w:lineRule="auto"/>
        <w:ind w:left="360"/>
        <w:jc w:val="both"/>
        <w:rPr>
          <w:rFonts w:ascii="Arial" w:hAnsi="Arial"/>
        </w:rPr>
      </w:pPr>
    </w:p>
    <w:p w:rsidR="00AD7B37" w:rsidP="10A9F656" w14:paraId="021BEEEF" w14:textId="5D366E88">
      <w:pPr>
        <w:widowControl w:val="0"/>
        <w:spacing w:after="0" w:line="240" w:lineRule="auto"/>
        <w:jc w:val="both"/>
        <w:rPr>
          <w:rFonts w:ascii="Arial" w:hAnsi="Arial"/>
        </w:rPr>
      </w:pPr>
      <w:r w:rsidRPr="10A9F656">
        <w:rPr>
          <w:rFonts w:ascii="Arial" w:hAnsi="Arial"/>
        </w:rPr>
        <w:t>The SLFRF awards are generally subject to the requirements set forth in the Uniform Guidance. In all instances, your organization should review the Uniform Guidance requirements applicable to your organization’s use of SLFRF funds, and SLFRF-funded projects.</w:t>
      </w:r>
      <w:r>
        <w:rPr>
          <w:rFonts w:ascii="Arial" w:hAnsi="Arial"/>
        </w:rPr>
        <w:t xml:space="preserve"> Additional details about applicability of certain provisions of the Uniform Guidance may be found in:</w:t>
      </w:r>
    </w:p>
    <w:p w:rsidR="00D46051" w:rsidP="10A9F656" w14:paraId="0C3B469A" w14:textId="77777777">
      <w:pPr>
        <w:widowControl w:val="0"/>
        <w:spacing w:after="0" w:line="240" w:lineRule="auto"/>
        <w:jc w:val="both"/>
        <w:rPr>
          <w:rFonts w:ascii="Arial" w:hAnsi="Arial"/>
        </w:rPr>
      </w:pPr>
    </w:p>
    <w:p w:rsidR="00694EF9" w:rsidRPr="00245198" w:rsidP="00AD7B37" w14:paraId="7A3F8D2A" w14:textId="4EC5091C">
      <w:pPr>
        <w:pStyle w:val="ListParagraph"/>
        <w:widowControl w:val="0"/>
        <w:numPr>
          <w:ilvl w:val="0"/>
          <w:numId w:val="60"/>
        </w:numPr>
        <w:spacing w:after="0" w:line="240" w:lineRule="auto"/>
        <w:jc w:val="both"/>
        <w:rPr>
          <w:rFonts w:ascii="Arial" w:hAnsi="Arial"/>
        </w:rPr>
      </w:pPr>
      <w:r>
        <w:rPr>
          <w:rFonts w:ascii="Arial" w:hAnsi="Arial"/>
        </w:rPr>
        <w:t xml:space="preserve">SLFRF final rule; </w:t>
      </w:r>
    </w:p>
    <w:p w:rsidR="00AD7B37" w:rsidP="00AD7B37" w14:paraId="26744833" w14:textId="4E55E5C0">
      <w:pPr>
        <w:pStyle w:val="ListParagraph"/>
        <w:widowControl w:val="0"/>
        <w:numPr>
          <w:ilvl w:val="0"/>
          <w:numId w:val="60"/>
        </w:numPr>
        <w:spacing w:after="0" w:line="240" w:lineRule="auto"/>
        <w:jc w:val="both"/>
        <w:rPr>
          <w:rFonts w:ascii="Arial" w:hAnsi="Arial"/>
        </w:rPr>
      </w:pPr>
      <w:r>
        <w:t xml:space="preserve">SLFRF </w:t>
      </w:r>
      <w:hyperlink r:id="rId17">
        <w:r w:rsidRPr="10A9F656">
          <w:rPr>
            <w:rStyle w:val="Hyperlink"/>
          </w:rPr>
          <w:t>Assistance Listing</w:t>
        </w:r>
      </w:hyperlink>
      <w:r>
        <w:rPr>
          <w:rFonts w:ascii="Arial" w:hAnsi="Arial"/>
        </w:rPr>
        <w:t xml:space="preserve">; </w:t>
      </w:r>
      <w:r w:rsidR="00694EF9">
        <w:rPr>
          <w:rFonts w:ascii="Arial" w:hAnsi="Arial"/>
        </w:rPr>
        <w:t xml:space="preserve">and </w:t>
      </w:r>
    </w:p>
    <w:p w:rsidR="00AD7B37" w:rsidRPr="00213439" w:rsidP="00213439" w14:paraId="123978FD" w14:textId="2970620D">
      <w:pPr>
        <w:pStyle w:val="ListParagraph"/>
        <w:widowControl w:val="0"/>
        <w:numPr>
          <w:ilvl w:val="0"/>
          <w:numId w:val="60"/>
        </w:numPr>
        <w:spacing w:after="0" w:line="240" w:lineRule="auto"/>
        <w:jc w:val="both"/>
        <w:rPr>
          <w:rFonts w:ascii="Arial" w:hAnsi="Arial"/>
        </w:rPr>
      </w:pPr>
      <w:r>
        <w:rPr>
          <w:rFonts w:ascii="Arial" w:hAnsi="Arial"/>
        </w:rPr>
        <w:t xml:space="preserve">SLFRF </w:t>
      </w:r>
      <w:r>
        <w:rPr>
          <w:rFonts w:ascii="Arial" w:hAnsi="Arial"/>
        </w:rPr>
        <w:t>Final Rule FAQ</w:t>
      </w:r>
      <w:r>
        <w:rPr>
          <w:rFonts w:ascii="Arial" w:hAnsi="Arial"/>
        </w:rPr>
        <w:t>s, including</w:t>
      </w:r>
      <w:r>
        <w:rPr>
          <w:rFonts w:ascii="Arial" w:hAnsi="Arial"/>
        </w:rPr>
        <w:t xml:space="preserve"> </w:t>
      </w:r>
      <w:r>
        <w:rPr>
          <w:rFonts w:ascii="Arial" w:hAnsi="Arial"/>
        </w:rPr>
        <w:t xml:space="preserve">FAQ </w:t>
      </w:r>
      <w:r>
        <w:rPr>
          <w:rFonts w:ascii="Arial" w:hAnsi="Arial"/>
        </w:rPr>
        <w:t>4.9</w:t>
      </w:r>
      <w:r>
        <w:rPr>
          <w:rFonts w:ascii="Arial" w:hAnsi="Arial"/>
        </w:rPr>
        <w:t>, 10.1, and Section 13</w:t>
      </w:r>
      <w:r w:rsidR="00213439">
        <w:rPr>
          <w:rFonts w:ascii="Arial" w:hAnsi="Arial"/>
        </w:rPr>
        <w:t>.</w:t>
      </w:r>
    </w:p>
    <w:p w:rsidR="00CB560B" w:rsidP="00FD6A50" w14:paraId="01E616D3" w14:textId="77777777">
      <w:pPr>
        <w:widowControl w:val="0"/>
        <w:spacing w:after="0" w:line="240" w:lineRule="auto"/>
        <w:jc w:val="both"/>
        <w:rPr>
          <w:rFonts w:ascii="Arial" w:hAnsi="Arial"/>
        </w:rPr>
      </w:pPr>
    </w:p>
    <w:p w:rsidR="00E86315" w:rsidRPr="00E21798" w:rsidP="10A9F656" w14:paraId="34B4C400" w14:textId="6D77B8BF">
      <w:pPr>
        <w:widowControl w:val="0"/>
        <w:spacing w:after="0" w:line="240" w:lineRule="auto"/>
        <w:jc w:val="both"/>
        <w:rPr>
          <w:rFonts w:ascii="Arial" w:hAnsi="Arial"/>
        </w:rPr>
      </w:pPr>
      <w:r w:rsidRPr="00950637">
        <w:rPr>
          <w:rFonts w:ascii="Arial" w:hAnsi="Arial"/>
        </w:rPr>
        <w:t>The following sections provide a general summary of your organization’s compliance responsibilities under applicable statutes and regulations, including the Uniform Guidance, as described in the</w:t>
      </w:r>
      <w:r w:rsidRPr="001172D8" w:rsidR="00E13066">
        <w:rPr>
          <w:rFonts w:ascii="Arial" w:hAnsi="Arial"/>
        </w:rPr>
        <w:t xml:space="preserve"> most recent compliance supplement issued by OMB</w:t>
      </w:r>
      <w:r w:rsidR="00E13066">
        <w:rPr>
          <w:rFonts w:ascii="Arial" w:hAnsi="Arial"/>
        </w:rPr>
        <w:t>.</w:t>
      </w:r>
      <w:r w:rsidRPr="10A9F656">
        <w:rPr>
          <w:rFonts w:ascii="Arial" w:hAnsi="Arial"/>
        </w:rPr>
        <w:t xml:space="preserve">  Note that the descriptions below are only general summaries and all recipients and subrecipients are advised to carefully review the Uniform Guidance requirements and any additional regulatory and statutory requirements applicable to the program.</w:t>
      </w:r>
    </w:p>
    <w:p w:rsidR="00E86315" w:rsidRPr="00E21798" w:rsidP="00FD6A50" w14:paraId="15CFF3B1" w14:textId="77777777">
      <w:pPr>
        <w:spacing w:after="0" w:line="240" w:lineRule="auto"/>
        <w:jc w:val="both"/>
        <w:rPr>
          <w:rFonts w:ascii="Arial" w:hAnsi="Arial"/>
        </w:rPr>
      </w:pPr>
    </w:p>
    <w:p w:rsidR="00E86315" w:rsidP="00CE5331" w14:paraId="40D1C9D7" w14:textId="00986D7F">
      <w:pPr>
        <w:pStyle w:val="ListParagraph"/>
        <w:numPr>
          <w:ilvl w:val="0"/>
          <w:numId w:val="34"/>
        </w:numPr>
        <w:spacing w:after="0" w:line="240" w:lineRule="auto"/>
        <w:jc w:val="both"/>
        <w:rPr>
          <w:rFonts w:ascii="Arial" w:hAnsi="Arial"/>
        </w:rPr>
      </w:pPr>
      <w:r w:rsidRPr="10A9F656">
        <w:rPr>
          <w:rFonts w:ascii="Arial" w:hAnsi="Arial"/>
          <w:b/>
          <w:bCs/>
        </w:rPr>
        <w:t>Allowable Activities.</w:t>
      </w:r>
      <w:r w:rsidRPr="10A9F656">
        <w:rPr>
          <w:rFonts w:ascii="Arial" w:hAnsi="Arial"/>
        </w:rPr>
        <w:t xml:space="preserve"> Each recipient should review program requirements, including Treasury’s </w:t>
      </w:r>
      <w:r w:rsidR="00313BCE">
        <w:rPr>
          <w:rFonts w:ascii="Arial" w:hAnsi="Arial"/>
        </w:rPr>
        <w:t>f</w:t>
      </w:r>
      <w:r w:rsidRPr="10A9F656">
        <w:rPr>
          <w:rFonts w:ascii="Arial" w:hAnsi="Arial"/>
        </w:rPr>
        <w:t xml:space="preserve">inal </w:t>
      </w:r>
      <w:r w:rsidR="00313BCE">
        <w:rPr>
          <w:rFonts w:ascii="Arial" w:hAnsi="Arial"/>
        </w:rPr>
        <w:t>r</w:t>
      </w:r>
      <w:r w:rsidRPr="10A9F656">
        <w:rPr>
          <w:rFonts w:ascii="Arial" w:hAnsi="Arial"/>
        </w:rPr>
        <w:t xml:space="preserve">ule and the recipient’s Award Terms and Conditions, to determine and record eligible uses </w:t>
      </w:r>
      <w:r w:rsidRPr="10A9F656">
        <w:rPr>
          <w:rFonts w:ascii="Arial" w:hAnsi="Arial"/>
        </w:rPr>
        <w:t>of SLFRF funds. Per 2 CFR Part 200.303, your organization must develop and implement effective internal controls to ensure that funding decisions under the SLFRF award constitute eligible uses of funds, and document determinations.</w:t>
      </w:r>
    </w:p>
    <w:p w:rsidR="00FD6A50" w:rsidRPr="00FD6A50" w:rsidP="00FD6A50" w14:paraId="5FD01C5D" w14:textId="77777777">
      <w:pPr>
        <w:pStyle w:val="ListParagraph"/>
        <w:spacing w:after="0" w:line="240" w:lineRule="auto"/>
        <w:ind w:left="360"/>
        <w:jc w:val="both"/>
        <w:rPr>
          <w:rFonts w:ascii="Arial" w:hAnsi="Arial"/>
        </w:rPr>
      </w:pPr>
    </w:p>
    <w:p w:rsidR="00542A7A" w:rsidP="00CE5331" w14:paraId="7CF38DD8" w14:textId="1D045FD8">
      <w:pPr>
        <w:pStyle w:val="ListParagraph"/>
        <w:numPr>
          <w:ilvl w:val="0"/>
          <w:numId w:val="34"/>
        </w:numPr>
        <w:spacing w:after="0" w:line="240" w:lineRule="auto"/>
        <w:jc w:val="both"/>
      </w:pPr>
      <w:r w:rsidRPr="00183592">
        <w:rPr>
          <w:rFonts w:ascii="Arial" w:hAnsi="Arial"/>
          <w:b/>
          <w:bCs/>
        </w:rPr>
        <w:t>Allowable Costs/Cost Principles.</w:t>
      </w:r>
      <w:r w:rsidRPr="00183592">
        <w:rPr>
          <w:rFonts w:ascii="Arial" w:hAnsi="Arial"/>
        </w:rPr>
        <w:t xml:space="preserve"> As outlined in the Uniform Guidance at 2 CFR Part 200, Subpart E regarding Cost Principles, allowable costs are based on the premise that a recipient is responsible for the effective administration of Federal awards, application of sound management practices, and administration of Federal funds in a manner consistent with the program objectives and terms and conditions of the award. Recipients must implement robust internal controls and effective monitoring to ensure c</w:t>
      </w:r>
      <w:r>
        <w:t xml:space="preserve">ompliance with the Cost Principles, which are important for building trust and accountability. </w:t>
      </w:r>
      <w:r w:rsidR="00FD33D1">
        <w:t xml:space="preserve">Please note that as outlined in </w:t>
      </w:r>
      <w:r w:rsidR="00481143">
        <w:t xml:space="preserve">Final Rule </w:t>
      </w:r>
      <w:hyperlink r:id="rId13" w:history="1">
        <w:r w:rsidRPr="00FD33D1" w:rsidR="00FD33D1">
          <w:rPr>
            <w:rStyle w:val="Hyperlink"/>
          </w:rPr>
          <w:t>FAQ 13.15</w:t>
        </w:r>
      </w:hyperlink>
      <w:r w:rsidR="00FD33D1">
        <w:t xml:space="preserve">, only a subset of the Uniform Guidance </w:t>
      </w:r>
      <w:r w:rsidR="00481143">
        <w:t xml:space="preserve">requirements </w:t>
      </w:r>
      <w:r w:rsidR="00FD33D1">
        <w:t xml:space="preserve">at 2 CFR Part 200 Subpart E </w:t>
      </w:r>
      <w:r w:rsidR="00C67C99">
        <w:t>(</w:t>
      </w:r>
      <w:r w:rsidR="00FD33D1">
        <w:t>Cost Principles</w:t>
      </w:r>
      <w:r w:rsidR="00C67C99">
        <w:t>)</w:t>
      </w:r>
      <w:r w:rsidR="00FD33D1">
        <w:t xml:space="preserve"> appl</w:t>
      </w:r>
      <w:r w:rsidR="00481143">
        <w:t>ies</w:t>
      </w:r>
      <w:r w:rsidR="00FD33D1">
        <w:t xml:space="preserve"> to recipients</w:t>
      </w:r>
      <w:r w:rsidR="00950637">
        <w:t>’</w:t>
      </w:r>
      <w:r w:rsidR="00FD33D1">
        <w:t xml:space="preserve"> use of funds in the revenue loss eligible use category. </w:t>
      </w:r>
    </w:p>
    <w:p w:rsidR="00183592" w:rsidP="007777CF" w14:paraId="610E850A" w14:textId="77777777">
      <w:pPr>
        <w:widowControl w:val="0"/>
        <w:spacing w:after="0" w:line="240" w:lineRule="auto"/>
        <w:ind w:left="360"/>
        <w:jc w:val="both"/>
      </w:pPr>
    </w:p>
    <w:p w:rsidR="00F825DF" w:rsidRPr="007777CF" w:rsidP="00FD6A50" w14:paraId="28F0D0BF" w14:textId="3E922E56">
      <w:pPr>
        <w:widowControl w:val="0"/>
        <w:spacing w:after="0" w:line="240" w:lineRule="auto"/>
        <w:ind w:left="360"/>
        <w:jc w:val="both"/>
        <w:rPr>
          <w:rFonts w:ascii="Arial" w:hAnsi="Arial"/>
        </w:rPr>
      </w:pPr>
      <w:r w:rsidRPr="006F4849">
        <w:t xml:space="preserve">SLFRF </w:t>
      </w:r>
      <w:r w:rsidR="00712655">
        <w:t>f</w:t>
      </w:r>
      <w:r w:rsidRPr="006F4849" w:rsidR="00BA0DD2">
        <w:t>unds may</w:t>
      </w:r>
      <w:r w:rsidRPr="006F4849" w:rsidR="00CC0DFA">
        <w:t xml:space="preserve"> be</w:t>
      </w:r>
      <w:r w:rsidRPr="006F4849" w:rsidR="00C30330">
        <w:t>, but are not required</w:t>
      </w:r>
      <w:r w:rsidRPr="006F4849" w:rsidR="004B00E0">
        <w:t xml:space="preserve"> to</w:t>
      </w:r>
      <w:r w:rsidRPr="006F4849" w:rsidR="00CC0DFA">
        <w:t xml:space="preserve"> be</w:t>
      </w:r>
      <w:r w:rsidRPr="006F4849" w:rsidR="00C30330">
        <w:t xml:space="preserve">, </w:t>
      </w:r>
      <w:r w:rsidRPr="006F4849" w:rsidR="00BA0DD2">
        <w:t>used along with other funding sources for a given project</w:t>
      </w:r>
      <w:r w:rsidRPr="006F4849" w:rsidR="00C30330">
        <w:t>.</w:t>
      </w:r>
      <w:r w:rsidR="005945A8">
        <w:t xml:space="preserve"> </w:t>
      </w:r>
      <w:r w:rsidR="00891D09">
        <w:t>Recipients should n</w:t>
      </w:r>
      <w:r w:rsidR="00C30330">
        <w:t xml:space="preserve">ote that </w:t>
      </w:r>
      <w:r w:rsidR="005945A8">
        <w:t xml:space="preserve">SLFRF </w:t>
      </w:r>
      <w:r w:rsidR="00712655">
        <w:t>f</w:t>
      </w:r>
      <w:r w:rsidR="005945A8">
        <w:t xml:space="preserve">unds </w:t>
      </w:r>
      <w:r w:rsidRPr="00080FF1" w:rsidR="00313BCE">
        <w:rPr>
          <w:rFonts w:ascii="Arial" w:hAnsi="Arial"/>
        </w:rPr>
        <w:t>available under the “revenue loss” eligible use category generally</w:t>
      </w:r>
      <w:r w:rsidRPr="007777CF" w:rsidR="00313BCE">
        <w:rPr>
          <w:rFonts w:ascii="Arial" w:hAnsi="Arial"/>
        </w:rPr>
        <w:t xml:space="preserve"> may be used </w:t>
      </w:r>
      <w:r w:rsidRPr="00080FF1" w:rsidR="00313BCE">
        <w:rPr>
          <w:rFonts w:ascii="Arial" w:hAnsi="Arial"/>
        </w:rPr>
        <w:t>to meet the</w:t>
      </w:r>
      <w:r w:rsidRPr="007777CF" w:rsidR="00313BCE">
        <w:rPr>
          <w:rFonts w:ascii="Arial" w:hAnsi="Arial"/>
        </w:rPr>
        <w:t xml:space="preserve"> non-</w:t>
      </w:r>
      <w:r w:rsidRPr="00080FF1" w:rsidR="00313BCE">
        <w:rPr>
          <w:rFonts w:ascii="Arial" w:hAnsi="Arial"/>
        </w:rPr>
        <w:t>federal</w:t>
      </w:r>
      <w:r w:rsidRPr="007777CF" w:rsidR="00313BCE">
        <w:rPr>
          <w:rFonts w:ascii="Arial" w:hAnsi="Arial"/>
        </w:rPr>
        <w:t xml:space="preserve"> cost</w:t>
      </w:r>
      <w:r w:rsidRPr="00080FF1" w:rsidR="00313BCE">
        <w:rPr>
          <w:rFonts w:ascii="Arial" w:hAnsi="Arial"/>
        </w:rPr>
        <w:t>-</w:t>
      </w:r>
      <w:r w:rsidRPr="007777CF" w:rsidR="00313BCE">
        <w:rPr>
          <w:rFonts w:ascii="Arial" w:hAnsi="Arial"/>
        </w:rPr>
        <w:t xml:space="preserve">share or </w:t>
      </w:r>
      <w:r w:rsidRPr="00080FF1" w:rsidR="00313BCE">
        <w:rPr>
          <w:rFonts w:ascii="Arial" w:hAnsi="Arial"/>
        </w:rPr>
        <w:t>matching</w:t>
      </w:r>
      <w:r w:rsidR="00313BCE">
        <w:rPr>
          <w:rFonts w:ascii="Arial" w:hAnsi="Arial"/>
        </w:rPr>
        <w:t xml:space="preserve"> </w:t>
      </w:r>
      <w:r w:rsidRPr="00080FF1" w:rsidR="00313BCE">
        <w:rPr>
          <w:rFonts w:ascii="Arial" w:hAnsi="Arial"/>
        </w:rPr>
        <w:t xml:space="preserve">requirements of </w:t>
      </w:r>
      <w:r w:rsidRPr="007777CF" w:rsidR="00313BCE">
        <w:rPr>
          <w:rFonts w:ascii="Arial" w:hAnsi="Arial"/>
        </w:rPr>
        <w:t xml:space="preserve">other </w:t>
      </w:r>
      <w:r w:rsidRPr="00080FF1" w:rsidR="00313BCE">
        <w:rPr>
          <w:rFonts w:ascii="Arial" w:hAnsi="Arial"/>
        </w:rPr>
        <w:t>federal</w:t>
      </w:r>
      <w:r w:rsidRPr="007777CF" w:rsidR="00313BCE">
        <w:rPr>
          <w:rFonts w:ascii="Arial" w:hAnsi="Arial"/>
        </w:rPr>
        <w:t xml:space="preserve"> programs</w:t>
      </w:r>
      <w:r w:rsidRPr="00080FF1" w:rsidR="00313BCE">
        <w:rPr>
          <w:rFonts w:ascii="Arial" w:hAnsi="Arial"/>
        </w:rPr>
        <w:t xml:space="preserve">. </w:t>
      </w:r>
      <w:r w:rsidRPr="00712655" w:rsidR="00712655">
        <w:rPr>
          <w:rFonts w:ascii="Arial" w:hAnsi="Arial"/>
        </w:rPr>
        <w:t>If a recipient seeks to use SLFRF funds to satisfy</w:t>
      </w:r>
      <w:r w:rsidR="00712655">
        <w:rPr>
          <w:rFonts w:ascii="Arial" w:hAnsi="Arial"/>
        </w:rPr>
        <w:t xml:space="preserve"> </w:t>
      </w:r>
      <w:r w:rsidRPr="00712655" w:rsidR="00712655">
        <w:rPr>
          <w:rFonts w:ascii="Arial" w:hAnsi="Arial"/>
        </w:rPr>
        <w:t xml:space="preserve">match or cost-share requirements for a federal grant program, </w:t>
      </w:r>
      <w:r w:rsidR="00712655">
        <w:rPr>
          <w:rFonts w:ascii="Arial" w:hAnsi="Arial"/>
        </w:rPr>
        <w:t xml:space="preserve">the recipient </w:t>
      </w:r>
      <w:r w:rsidRPr="00712655" w:rsidR="00712655">
        <w:rPr>
          <w:rFonts w:ascii="Arial" w:hAnsi="Arial"/>
        </w:rPr>
        <w:t>should first confirm with the</w:t>
      </w:r>
      <w:r w:rsidR="00712655">
        <w:rPr>
          <w:rFonts w:ascii="Arial" w:hAnsi="Arial"/>
        </w:rPr>
        <w:t xml:space="preserve"> </w:t>
      </w:r>
      <w:r w:rsidRPr="00712655" w:rsidR="00712655">
        <w:rPr>
          <w:rFonts w:ascii="Arial" w:hAnsi="Arial"/>
        </w:rPr>
        <w:t>relevant awarding agency</w:t>
      </w:r>
      <w:r w:rsidR="00EC68AB">
        <w:rPr>
          <w:rFonts w:ascii="Arial" w:hAnsi="Arial"/>
        </w:rPr>
        <w:t xml:space="preserve"> </w:t>
      </w:r>
      <w:r w:rsidRPr="00712655" w:rsidR="00712655">
        <w:rPr>
          <w:rFonts w:ascii="Arial" w:hAnsi="Arial"/>
        </w:rPr>
        <w:t>that no waiver has been granted for that program, that no other</w:t>
      </w:r>
      <w:r w:rsidR="00712655">
        <w:rPr>
          <w:rFonts w:ascii="Arial" w:hAnsi="Arial"/>
        </w:rPr>
        <w:t xml:space="preserve"> </w:t>
      </w:r>
      <w:r w:rsidRPr="00712655" w:rsidR="00712655">
        <w:rPr>
          <w:rFonts w:ascii="Arial" w:hAnsi="Arial"/>
        </w:rPr>
        <w:t>circumstances enumerated under 2 CFR 200.306(b) would limit the use of SLFRF funds to meet</w:t>
      </w:r>
      <w:r w:rsidR="00712655">
        <w:rPr>
          <w:rFonts w:ascii="Arial" w:hAnsi="Arial"/>
        </w:rPr>
        <w:t xml:space="preserve"> </w:t>
      </w:r>
      <w:r w:rsidRPr="00712655" w:rsidR="00712655">
        <w:rPr>
          <w:rFonts w:ascii="Arial" w:hAnsi="Arial"/>
        </w:rPr>
        <w:t>the match or cost-share requirement, and that there is no other statutory or regulatory</w:t>
      </w:r>
      <w:r w:rsidR="00712655">
        <w:rPr>
          <w:rFonts w:ascii="Arial" w:hAnsi="Arial"/>
        </w:rPr>
        <w:t xml:space="preserve"> </w:t>
      </w:r>
      <w:r w:rsidRPr="00712655" w:rsidR="00712655">
        <w:rPr>
          <w:rFonts w:ascii="Arial" w:hAnsi="Arial"/>
        </w:rPr>
        <w:t>impediment to using the SLFRF funds for the match or cost-share requirement.</w:t>
      </w:r>
      <w:r w:rsidR="00712655">
        <w:rPr>
          <w:rFonts w:ascii="Arial" w:hAnsi="Arial"/>
        </w:rPr>
        <w:t xml:space="preserve"> </w:t>
      </w:r>
      <w:r w:rsidR="004C0ECB">
        <w:rPr>
          <w:rFonts w:ascii="Arial" w:hAnsi="Arial"/>
        </w:rPr>
        <w:t>For instance</w:t>
      </w:r>
      <w:r w:rsidRPr="00080FF1" w:rsidR="00313BCE">
        <w:rPr>
          <w:rFonts w:ascii="Arial" w:hAnsi="Arial"/>
        </w:rPr>
        <w:t>,</w:t>
      </w:r>
      <w:r w:rsidR="00B41659">
        <w:rPr>
          <w:rFonts w:ascii="Arial" w:hAnsi="Arial"/>
        </w:rPr>
        <w:t xml:space="preserve"> recipients should</w:t>
      </w:r>
      <w:r w:rsidRPr="00080FF1" w:rsidR="00313BCE">
        <w:rPr>
          <w:rFonts w:ascii="Arial" w:hAnsi="Arial"/>
        </w:rPr>
        <w:t xml:space="preserve"> note that SLFRF</w:t>
      </w:r>
      <w:r w:rsidRPr="007777CF" w:rsidR="00313BCE">
        <w:rPr>
          <w:rFonts w:ascii="Arial" w:hAnsi="Arial"/>
        </w:rPr>
        <w:t xml:space="preserve"> funds may not be used </w:t>
      </w:r>
      <w:r w:rsidRPr="00080FF1" w:rsidR="00313BCE">
        <w:rPr>
          <w:rFonts w:ascii="Arial" w:hAnsi="Arial"/>
        </w:rPr>
        <w:t>as</w:t>
      </w:r>
      <w:r w:rsidRPr="007777CF" w:rsidR="00313BCE">
        <w:rPr>
          <w:rFonts w:ascii="Arial" w:hAnsi="Arial"/>
        </w:rPr>
        <w:t xml:space="preserve"> the </w:t>
      </w:r>
      <w:r w:rsidRPr="00080FF1" w:rsidR="00313BCE">
        <w:rPr>
          <w:rFonts w:ascii="Arial" w:hAnsi="Arial"/>
        </w:rPr>
        <w:t>non</w:t>
      </w:r>
      <w:r w:rsidR="00313BCE">
        <w:rPr>
          <w:rFonts w:ascii="Arial" w:hAnsi="Arial"/>
        </w:rPr>
        <w:t>-f</w:t>
      </w:r>
      <w:r w:rsidRPr="00080FF1" w:rsidR="00313BCE">
        <w:rPr>
          <w:rFonts w:ascii="Arial" w:hAnsi="Arial"/>
        </w:rPr>
        <w:t>ederal</w:t>
      </w:r>
      <w:r w:rsidRPr="007777CF" w:rsidR="00313BCE">
        <w:rPr>
          <w:rFonts w:ascii="Arial" w:hAnsi="Arial"/>
        </w:rPr>
        <w:t xml:space="preserve"> share for </w:t>
      </w:r>
      <w:r w:rsidRPr="00080FF1" w:rsidR="00313BCE">
        <w:rPr>
          <w:rFonts w:ascii="Arial" w:hAnsi="Arial"/>
        </w:rPr>
        <w:t xml:space="preserve">purposes of a state’s </w:t>
      </w:r>
      <w:r w:rsidRPr="007777CF" w:rsidR="00313BCE">
        <w:rPr>
          <w:rFonts w:ascii="Arial" w:hAnsi="Arial"/>
        </w:rPr>
        <w:t>Medicaid</w:t>
      </w:r>
      <w:r w:rsidRPr="00080FF1" w:rsidR="00313BCE">
        <w:rPr>
          <w:rFonts w:ascii="Arial" w:hAnsi="Arial"/>
        </w:rPr>
        <w:t xml:space="preserve"> and CHIP programs because the O</w:t>
      </w:r>
      <w:r w:rsidR="00B41659">
        <w:rPr>
          <w:rFonts w:ascii="Arial" w:hAnsi="Arial"/>
        </w:rPr>
        <w:t xml:space="preserve">MB </w:t>
      </w:r>
      <w:r w:rsidRPr="00080FF1" w:rsidR="00313BCE">
        <w:rPr>
          <w:rFonts w:ascii="Arial" w:hAnsi="Arial"/>
        </w:rPr>
        <w:t xml:space="preserve">has approved a waiver </w:t>
      </w:r>
      <w:r w:rsidR="004C0ECB">
        <w:rPr>
          <w:rFonts w:ascii="Arial" w:hAnsi="Arial"/>
        </w:rPr>
        <w:t xml:space="preserve">from this provision </w:t>
      </w:r>
      <w:r w:rsidRPr="00080FF1" w:rsidR="00313BCE">
        <w:rPr>
          <w:rFonts w:ascii="Arial" w:hAnsi="Arial"/>
        </w:rPr>
        <w:t>as requested by the Centers for Medicare &amp; Medicaid Services</w:t>
      </w:r>
      <w:r w:rsidR="00313BCE">
        <w:rPr>
          <w:rFonts w:ascii="Arial" w:hAnsi="Arial"/>
        </w:rPr>
        <w:t xml:space="preserve"> </w:t>
      </w:r>
      <w:r w:rsidRPr="00080FF1" w:rsidR="00313BCE">
        <w:rPr>
          <w:rFonts w:ascii="Arial" w:hAnsi="Arial"/>
        </w:rPr>
        <w:t>pursuant to 2 CFR 200.102 of the Uniform Guidance and related regulations.</w:t>
      </w:r>
    </w:p>
    <w:p w:rsidR="00F825DF" w:rsidP="00FD6A50" w14:paraId="3DF99C2D" w14:textId="77777777">
      <w:pPr>
        <w:widowControl w:val="0"/>
        <w:spacing w:after="0" w:line="240" w:lineRule="auto"/>
        <w:ind w:left="360"/>
        <w:jc w:val="both"/>
        <w:rPr>
          <w:rFonts w:ascii="Arial" w:hAnsi="Arial"/>
        </w:rPr>
      </w:pPr>
    </w:p>
    <w:p w:rsidR="00E86315" w:rsidRPr="00647F4B" w:rsidP="00712655" w14:paraId="69DB8072" w14:textId="3984FD63">
      <w:pPr>
        <w:widowControl w:val="0"/>
        <w:spacing w:after="0" w:line="240" w:lineRule="auto"/>
        <w:ind w:left="360"/>
        <w:jc w:val="both"/>
        <w:rPr>
          <w:rFonts w:ascii="Arial" w:hAnsi="Arial"/>
        </w:rPr>
      </w:pPr>
      <w:r w:rsidRPr="00080FF1">
        <w:rPr>
          <w:rFonts w:ascii="Arial" w:hAnsi="Arial"/>
        </w:rPr>
        <w:t>SLFRF funds beyond those that are available under the revenue loss eligible use category may not be</w:t>
      </w:r>
      <w:r>
        <w:rPr>
          <w:rFonts w:ascii="Arial" w:hAnsi="Arial"/>
        </w:rPr>
        <w:t xml:space="preserve"> </w:t>
      </w:r>
      <w:r w:rsidRPr="00080FF1">
        <w:rPr>
          <w:rFonts w:ascii="Arial" w:hAnsi="Arial"/>
        </w:rPr>
        <w:t>used to meet the non-federal match or cost-share requirements of other federal programs, other than</w:t>
      </w:r>
      <w:r>
        <w:rPr>
          <w:rFonts w:ascii="Arial" w:hAnsi="Arial"/>
        </w:rPr>
        <w:t xml:space="preserve"> </w:t>
      </w:r>
      <w:r w:rsidRPr="00080FF1">
        <w:rPr>
          <w:rFonts w:ascii="Arial" w:hAnsi="Arial"/>
        </w:rPr>
        <w:t>as specifically provided for by statute</w:t>
      </w:r>
      <w:r>
        <w:rPr>
          <w:rFonts w:ascii="Arial" w:hAnsi="Arial"/>
        </w:rPr>
        <w:t>.</w:t>
      </w:r>
      <w:r w:rsidR="00F825DF">
        <w:rPr>
          <w:rFonts w:ascii="Arial" w:hAnsi="Arial"/>
        </w:rPr>
        <w:t xml:space="preserve"> </w:t>
      </w:r>
      <w:r w:rsidRPr="00F825DF" w:rsidR="00F825DF">
        <w:rPr>
          <w:rFonts w:ascii="Arial" w:hAnsi="Arial"/>
        </w:rPr>
        <w:t>As an example, the Infrastructure Investment and Jobs Act provides that SLFRF funds may be used to meet the non-federal match requirements of authorized Bureau of Reclamation projects and certain broadband deployment projects. Recipients should consult the final rule for further details if they seek to utilize SLFRF funds as a match for these projects.</w:t>
      </w:r>
    </w:p>
    <w:p w:rsidR="00485F06" w:rsidP="00FD6A50" w14:paraId="4FC551CA" w14:textId="77777777">
      <w:pPr>
        <w:widowControl w:val="0"/>
        <w:spacing w:after="0" w:line="240" w:lineRule="auto"/>
        <w:ind w:left="360"/>
        <w:jc w:val="both"/>
      </w:pPr>
    </w:p>
    <w:p w:rsidR="00E86315" w:rsidP="00FD6A50" w14:paraId="11CC1C57" w14:textId="090871D0">
      <w:pPr>
        <w:widowControl w:val="0"/>
        <w:spacing w:after="0" w:line="240" w:lineRule="auto"/>
        <w:ind w:left="360"/>
        <w:jc w:val="both"/>
      </w:pPr>
      <w:r>
        <w:t xml:space="preserve">Treasury’s </w:t>
      </w:r>
      <w:r w:rsidR="00313BCE">
        <w:t>f</w:t>
      </w:r>
      <w:r>
        <w:t xml:space="preserve">inal </w:t>
      </w:r>
      <w:r w:rsidR="00313BCE">
        <w:t>r</w:t>
      </w:r>
      <w:r>
        <w:t>ule</w:t>
      </w:r>
      <w:r w:rsidR="006D604E">
        <w:t>,</w:t>
      </w:r>
      <w:r>
        <w:t xml:space="preserve"> </w:t>
      </w:r>
      <w:r w:rsidR="006D604E">
        <w:t xml:space="preserve">program </w:t>
      </w:r>
      <w:r>
        <w:t>guidance</w:t>
      </w:r>
      <w:r w:rsidR="006D604E">
        <w:t>,</w:t>
      </w:r>
      <w:r>
        <w:t xml:space="preserve"> and the Uniform Guidance outline the types of costs that are allowable, including certain audit costs.  For example, per 2 CFR 200.425, a reasonably proportionate share of the costs of audits required by the Single Audit Act Amendments of 1996 are allowable; however, costs for audits that were not performed in accordance with 2 CFR Part 200, Subpart F </w:t>
      </w:r>
      <w:r w:rsidR="00AC7ACE">
        <w:t xml:space="preserve">and the Compliance Supplement </w:t>
      </w:r>
      <w:r>
        <w:t xml:space="preserve">are not allowable.  Please see 2 CFR Part 200, Subpart E regarding the Cost Principles for more information. </w:t>
      </w:r>
    </w:p>
    <w:p w:rsidR="00503ADE" w:rsidP="00FD6A50" w14:paraId="63F8FF06" w14:textId="77777777">
      <w:pPr>
        <w:pStyle w:val="ListParagraph"/>
        <w:widowControl w:val="0"/>
        <w:spacing w:after="0" w:line="240" w:lineRule="auto"/>
        <w:jc w:val="both"/>
      </w:pPr>
    </w:p>
    <w:p w:rsidR="007410E1" w:rsidP="00CE5331" w14:paraId="1D976346" w14:textId="3B7D8F90">
      <w:pPr>
        <w:pStyle w:val="ListParagraph"/>
        <w:numPr>
          <w:ilvl w:val="0"/>
          <w:numId w:val="35"/>
        </w:numPr>
        <w:spacing w:after="0" w:line="240" w:lineRule="auto"/>
      </w:pPr>
      <w:bookmarkStart w:id="1" w:name="_Hlk72677393"/>
      <w:r w:rsidRPr="00440EF3">
        <w:rPr>
          <w:u w:val="single"/>
        </w:rPr>
        <w:t>Administrative costs</w:t>
      </w:r>
      <w:r w:rsidRPr="10A9F656">
        <w:rPr>
          <w:i/>
          <w:iCs/>
        </w:rPr>
        <w:t>:</w:t>
      </w:r>
      <w:r>
        <w:t xml:space="preserve"> </w:t>
      </w:r>
      <w:r w:rsidR="005F0728">
        <w:rPr>
          <w:rStyle w:val="CommentReference"/>
          <w:sz w:val="22"/>
          <w:szCs w:val="22"/>
        </w:rPr>
        <w:t>R</w:t>
      </w:r>
      <w:r>
        <w:t>ecipients may use funds for administering the SL</w:t>
      </w:r>
      <w:r w:rsidR="00CC0DFA">
        <w:t>F</w:t>
      </w:r>
      <w:r>
        <w:t>RF program, including costs of consultants to support effective management and oversight, including consultation for ensuring compliance with legal, regulatory, and other requirements.</w:t>
      </w:r>
      <w:r>
        <w:rPr>
          <w:rStyle w:val="FootnoteReference"/>
        </w:rPr>
        <w:footnoteReference w:id="3"/>
      </w:r>
      <w:r>
        <w:t xml:space="preserve"> </w:t>
      </w:r>
      <w:bookmarkEnd w:id="1"/>
      <w:r w:rsidRPr="00F33AB5">
        <w:t>Further, costs must be reasonable and allocable as outlined in 2 CFR 200.404</w:t>
      </w:r>
      <w:r w:rsidRPr="00F33AB5" w:rsidR="00C034C0">
        <w:t xml:space="preserve"> and 2 CFR 200.</w:t>
      </w:r>
      <w:r w:rsidRPr="00F33AB5">
        <w:t>405</w:t>
      </w:r>
      <w:r w:rsidRPr="00517685">
        <w:t>.</w:t>
      </w:r>
      <w:r w:rsidRPr="00926AB6" w:rsidR="00560D34">
        <w:t xml:space="preserve"> </w:t>
      </w:r>
      <w:r w:rsidR="005F7D7B">
        <w:t xml:space="preserve">Pursuant to the SLFRF Award Terms and Conditions, </w:t>
      </w:r>
      <w:r w:rsidR="00880E95">
        <w:t>r</w:t>
      </w:r>
      <w:r w:rsidR="005F7D7B">
        <w:t>ecipients are permitted to charge both direct and indirect costs to their SLFRF award as a</w:t>
      </w:r>
      <w:r w:rsidRPr="00926AB6" w:rsidR="00560D34">
        <w:t>dminist</w:t>
      </w:r>
      <w:r w:rsidRPr="0071331A" w:rsidR="00560D34">
        <w:t>rative</w:t>
      </w:r>
      <w:r w:rsidR="00560D34">
        <w:t xml:space="preserve"> </w:t>
      </w:r>
      <w:r w:rsidR="00B44D88">
        <w:t>costs</w:t>
      </w:r>
      <w:r w:rsidR="00883EA1">
        <w:t xml:space="preserve"> </w:t>
      </w:r>
      <w:r w:rsidR="00883EA1">
        <w:t>as long as</w:t>
      </w:r>
      <w:r w:rsidR="00883EA1">
        <w:t xml:space="preserve"> they a</w:t>
      </w:r>
      <w:r w:rsidR="007D1BB0">
        <w:t xml:space="preserve">re </w:t>
      </w:r>
      <w:r w:rsidR="00883EA1">
        <w:t>accorded consistent treatment per 2 CFR 200.403</w:t>
      </w:r>
      <w:r w:rsidR="005F7D7B">
        <w:t>.</w:t>
      </w:r>
      <w:r w:rsidR="004B00E0">
        <w:t xml:space="preserve"> Direct costs are </w:t>
      </w:r>
      <w:r w:rsidR="00560D34">
        <w:t xml:space="preserve">those that are identified specifically as costs of implementing </w:t>
      </w:r>
      <w:r w:rsidR="00B44D88">
        <w:t xml:space="preserve">the </w:t>
      </w:r>
      <w:r w:rsidR="00560D34">
        <w:t>SLFRF program objectives</w:t>
      </w:r>
      <w:r w:rsidR="004B00E0">
        <w:t xml:space="preserve">, such as </w:t>
      </w:r>
      <w:r w:rsidR="008A6F84">
        <w:t>contract support</w:t>
      </w:r>
      <w:r w:rsidR="004B00E0">
        <w:t>, materials</w:t>
      </w:r>
      <w:r w:rsidR="008A6F84">
        <w:t>,</w:t>
      </w:r>
      <w:r w:rsidR="004B00E0">
        <w:t xml:space="preserve"> and supplies for a project. Indirect costs are </w:t>
      </w:r>
      <w:r w:rsidR="00560D34">
        <w:t xml:space="preserve">general </w:t>
      </w:r>
      <w:r w:rsidR="009D5F2C">
        <w:t xml:space="preserve">overhead </w:t>
      </w:r>
      <w:r w:rsidRPr="00880E95" w:rsidR="009D5F2C">
        <w:t>costs of an organization where a portion of such costs are allocable to the SLFRF award</w:t>
      </w:r>
      <w:r w:rsidRPr="00880E95" w:rsidR="003708C2">
        <w:t xml:space="preserve"> </w:t>
      </w:r>
      <w:r w:rsidRPr="00880E95" w:rsidR="004B00E0">
        <w:t>such as</w:t>
      </w:r>
      <w:r w:rsidRPr="00880E95" w:rsidR="003708C2">
        <w:t xml:space="preserve"> the cost of facilities or </w:t>
      </w:r>
      <w:r w:rsidRPr="00880E95" w:rsidR="00560D34">
        <w:t>administrative functions like a director’s office</w:t>
      </w:r>
      <w:r w:rsidRPr="00880E95" w:rsidR="009D5F2C">
        <w:t>.</w:t>
      </w:r>
      <w:r>
        <w:rPr>
          <w:rStyle w:val="FootnoteReference"/>
        </w:rPr>
        <w:footnoteReference w:id="4"/>
      </w:r>
      <w:r>
        <w:rPr>
          <w:rStyle w:val="FootnoteReference"/>
        </w:rPr>
        <w:footnoteReference w:id="5"/>
      </w:r>
      <w:r w:rsidRPr="00880E95" w:rsidR="00560D34">
        <w:t xml:space="preserve"> Each </w:t>
      </w:r>
      <w:r w:rsidRPr="00880E95" w:rsidR="00B44D88">
        <w:t>category</w:t>
      </w:r>
      <w:r w:rsidRPr="00880E95" w:rsidR="00560D34">
        <w:t xml:space="preserve"> of cost should be treated consistently in like circumstances as direct or indirect, and </w:t>
      </w:r>
      <w:r w:rsidRPr="00880E95" w:rsidR="009D5F2C">
        <w:t>recipients</w:t>
      </w:r>
      <w:r w:rsidRPr="00880E95" w:rsidR="00560D34">
        <w:t xml:space="preserve"> may not </w:t>
      </w:r>
      <w:r w:rsidRPr="00880E95" w:rsidR="009D5F2C">
        <w:t xml:space="preserve">charge </w:t>
      </w:r>
      <w:r w:rsidRPr="00880E95" w:rsidR="00B930F6">
        <w:t xml:space="preserve">the </w:t>
      </w:r>
      <w:r w:rsidRPr="00880E95" w:rsidR="009D5F2C">
        <w:t xml:space="preserve">same administrative </w:t>
      </w:r>
      <w:r w:rsidRPr="00880E95" w:rsidR="00560D34">
        <w:t xml:space="preserve">costs </w:t>
      </w:r>
      <w:r w:rsidRPr="00880E95" w:rsidR="009D5F2C">
        <w:t>to both direct and indirect cost categories</w:t>
      </w:r>
      <w:r w:rsidRPr="00880E95" w:rsidR="00B930F6">
        <w:t>, or to other programs</w:t>
      </w:r>
      <w:r w:rsidRPr="00880E95" w:rsidR="009D5F2C">
        <w:t>.</w:t>
      </w:r>
      <w:r w:rsidRPr="00880E95" w:rsidR="00560D34">
        <w:t xml:space="preserve">  If a recipient has a current </w:t>
      </w:r>
      <w:r w:rsidRPr="00880E95" w:rsidR="00880E95">
        <w:t xml:space="preserve">Negotiated Indirect Costs Rate Agreement </w:t>
      </w:r>
      <w:r w:rsidRPr="00880E95" w:rsidR="0088053E">
        <w:t>(</w:t>
      </w:r>
      <w:r w:rsidR="000370FF">
        <w:t>“</w:t>
      </w:r>
      <w:r w:rsidRPr="00880E95" w:rsidR="0088053E">
        <w:t>NICRA</w:t>
      </w:r>
      <w:r w:rsidR="000370FF">
        <w:t>”</w:t>
      </w:r>
      <w:r w:rsidRPr="00880E95" w:rsidR="0088053E">
        <w:t xml:space="preserve">) </w:t>
      </w:r>
      <w:r w:rsidRPr="00880E95" w:rsidR="00A92642">
        <w:t xml:space="preserve">established </w:t>
      </w:r>
      <w:r w:rsidRPr="00880E95" w:rsidR="00451BA0">
        <w:t xml:space="preserve">with </w:t>
      </w:r>
      <w:r w:rsidRPr="00880E95" w:rsidR="00560D34">
        <w:t>a Federal cognizant agency responsible for reviewing, negotiating, and approving cost allocation plans or indirect cost proposals, then the recipient</w:t>
      </w:r>
      <w:r w:rsidR="00560D34">
        <w:t xml:space="preserve"> may use </w:t>
      </w:r>
      <w:r w:rsidR="0088053E">
        <w:t>its current NICRA</w:t>
      </w:r>
      <w:r w:rsidR="00517685">
        <w:t xml:space="preserve">.  Alternatively, </w:t>
      </w:r>
      <w:r w:rsidR="0088053E">
        <w:t xml:space="preserve">if the recipient does not have a NICRA, the recipient may elect to use </w:t>
      </w:r>
      <w:r w:rsidR="00517685">
        <w:t xml:space="preserve">the </w:t>
      </w:r>
      <w:r w:rsidR="00517685">
        <w:t xml:space="preserve">de </w:t>
      </w:r>
      <w:r w:rsidR="008461AF">
        <w:t xml:space="preserve">minimis </w:t>
      </w:r>
      <w:r w:rsidR="00517685">
        <w:t xml:space="preserve">rate </w:t>
      </w:r>
      <w:r w:rsidR="0088053E">
        <w:t>of 10</w:t>
      </w:r>
      <w:r w:rsidR="008841B0">
        <w:t xml:space="preserve"> percent</w:t>
      </w:r>
      <w:r w:rsidR="0088053E">
        <w:t xml:space="preserve"> of the modified total direct costs </w:t>
      </w:r>
      <w:r w:rsidR="003218A0">
        <w:t>pursuant to 2 CFR 200.414(f)</w:t>
      </w:r>
      <w:r w:rsidR="009D5F2C">
        <w:t xml:space="preserve">.  </w:t>
      </w:r>
    </w:p>
    <w:p w:rsidR="00605C84" w:rsidP="00FD6A50" w14:paraId="0A3F57AE" w14:textId="77777777">
      <w:pPr>
        <w:pStyle w:val="ListParagraph"/>
        <w:widowControl w:val="0"/>
        <w:spacing w:after="0" w:line="240" w:lineRule="auto"/>
        <w:jc w:val="both"/>
        <w:rPr>
          <w:i/>
          <w:iCs/>
        </w:rPr>
      </w:pPr>
    </w:p>
    <w:p w:rsidR="00E86315" w:rsidRPr="00B74ABA" w:rsidP="00CE5331" w14:paraId="1D966F34" w14:textId="5AF96891">
      <w:pPr>
        <w:pStyle w:val="ListParagraph"/>
        <w:numPr>
          <w:ilvl w:val="0"/>
          <w:numId w:val="35"/>
        </w:numPr>
        <w:spacing w:after="0" w:line="240" w:lineRule="auto"/>
        <w:rPr>
          <w:rFonts w:ascii="Arial" w:hAnsi="Arial"/>
        </w:rPr>
      </w:pPr>
      <w:r w:rsidRPr="10A9F656">
        <w:rPr>
          <w:u w:val="single"/>
        </w:rPr>
        <w:t>Salaries and Expenses</w:t>
      </w:r>
      <w:r w:rsidRPr="10A9F656">
        <w:rPr>
          <w:i/>
          <w:iCs/>
        </w:rPr>
        <w:t xml:space="preserve">: </w:t>
      </w:r>
      <w:r>
        <w:t xml:space="preserve">In general, certain employees’ wages, salaries, and covered benefits are an eligible use of SLFRF award funds. Please see Treasury’s </w:t>
      </w:r>
      <w:r w:rsidR="00313BCE">
        <w:t>f</w:t>
      </w:r>
      <w:r>
        <w:t xml:space="preserve">inal </w:t>
      </w:r>
      <w:r w:rsidR="00313BCE">
        <w:t>r</w:t>
      </w:r>
      <w:r>
        <w:t>ule for details.</w:t>
      </w:r>
    </w:p>
    <w:p w:rsidR="00E86315" w:rsidRPr="00480D5F" w:rsidP="00FD6A50" w14:paraId="2F34DF01" w14:textId="77777777">
      <w:pPr>
        <w:pStyle w:val="ListParagraph"/>
        <w:spacing w:after="0" w:line="240" w:lineRule="auto"/>
        <w:jc w:val="both"/>
      </w:pPr>
      <w:r>
        <w:t xml:space="preserve"> </w:t>
      </w:r>
    </w:p>
    <w:p w:rsidR="00E86315" w:rsidP="00CE5331" w14:paraId="1A5BFD49" w14:textId="596E9891">
      <w:pPr>
        <w:pStyle w:val="ListParagraph"/>
        <w:numPr>
          <w:ilvl w:val="0"/>
          <w:numId w:val="34"/>
        </w:numPr>
        <w:spacing w:after="0" w:line="240" w:lineRule="auto"/>
        <w:jc w:val="both"/>
      </w:pPr>
      <w:r w:rsidRPr="10A9F656">
        <w:rPr>
          <w:rFonts w:ascii="Arial" w:hAnsi="Arial"/>
          <w:b/>
          <w:bCs/>
        </w:rPr>
        <w:t>Cash Management.</w:t>
      </w:r>
      <w:r w:rsidRPr="10A9F656">
        <w:rPr>
          <w:rFonts w:ascii="Arial" w:hAnsi="Arial"/>
        </w:rPr>
        <w:t xml:space="preserve"> </w:t>
      </w:r>
      <w:r>
        <w:t xml:space="preserve">SLFRF payments made to recipients are not subject to the requirements of the Cash Management Improvement Act and Treasury’s implementing regulations at 31 CFR </w:t>
      </w:r>
      <w:r w:rsidR="005831D7">
        <w:t xml:space="preserve">Part </w:t>
      </w:r>
      <w:r>
        <w:t>205 or 2 CFR 200.305(b)(8)-(9).</w:t>
      </w:r>
      <w:r w:rsidR="00FD33D1">
        <w:t xml:space="preserve"> </w:t>
      </w:r>
    </w:p>
    <w:p w:rsidR="00035850" w:rsidP="00FD6A50" w14:paraId="59E0DB11" w14:textId="2240FEAF">
      <w:pPr>
        <w:pStyle w:val="ListParagraph"/>
        <w:spacing w:after="0" w:line="240" w:lineRule="auto"/>
        <w:jc w:val="both"/>
        <w:rPr>
          <w:rFonts w:ascii="Arial" w:hAnsi="Arial"/>
          <w:b/>
          <w:bCs/>
        </w:rPr>
      </w:pPr>
    </w:p>
    <w:p w:rsidR="00035850" w:rsidRPr="0060515F" w:rsidP="10A9F656" w14:paraId="32773B71" w14:textId="790FFF7E">
      <w:pPr>
        <w:spacing w:after="0" w:line="240" w:lineRule="auto"/>
        <w:ind w:left="360"/>
        <w:jc w:val="both"/>
        <w:rPr>
          <w:rFonts w:ascii="Arial" w:hAnsi="Arial"/>
        </w:rPr>
      </w:pPr>
      <w:r w:rsidRPr="10A9F656">
        <w:rPr>
          <w:rFonts w:ascii="Arial" w:hAnsi="Arial"/>
        </w:rPr>
        <w:t xml:space="preserve">As such, </w:t>
      </w:r>
      <w:bookmarkStart w:id="2" w:name="_Hlk94030352"/>
      <w:r w:rsidRPr="10A9F656">
        <w:rPr>
          <w:rFonts w:ascii="Arial" w:hAnsi="Arial"/>
        </w:rPr>
        <w:t>recipients can place funds in interest-bearing accounts, do not need to remit interest to Treasury, and are not limited to using that interest for eligible uses under the SLFRF award</w:t>
      </w:r>
      <w:bookmarkEnd w:id="2"/>
      <w:r w:rsidRPr="10A9F656">
        <w:rPr>
          <w:rFonts w:ascii="Arial" w:hAnsi="Arial"/>
        </w:rPr>
        <w:t>. </w:t>
      </w:r>
    </w:p>
    <w:p w:rsidR="00E86315" w:rsidRPr="00E21798" w:rsidP="00FD6A50" w14:paraId="56109DC7" w14:textId="77777777">
      <w:pPr>
        <w:spacing w:after="0" w:line="240" w:lineRule="auto"/>
        <w:ind w:left="720"/>
        <w:jc w:val="both"/>
        <w:rPr>
          <w:rFonts w:ascii="Arial" w:hAnsi="Arial"/>
        </w:rPr>
      </w:pPr>
    </w:p>
    <w:p w:rsidR="009D5145" w:rsidRPr="006749FD" w:rsidP="00CE5331" w14:paraId="43930A04" w14:textId="4BD11B6E">
      <w:pPr>
        <w:pStyle w:val="ListParagraph"/>
        <w:numPr>
          <w:ilvl w:val="0"/>
          <w:numId w:val="34"/>
        </w:numPr>
        <w:spacing w:after="0" w:line="240" w:lineRule="auto"/>
        <w:jc w:val="both"/>
      </w:pPr>
      <w:r w:rsidRPr="10A9F656">
        <w:rPr>
          <w:rFonts w:ascii="Arial" w:hAnsi="Arial"/>
          <w:b/>
          <w:bCs/>
        </w:rPr>
        <w:t xml:space="preserve">Eligibility. </w:t>
      </w:r>
      <w:r w:rsidRPr="10A9F656">
        <w:rPr>
          <w:rFonts w:ascii="Arial" w:hAnsi="Arial"/>
        </w:rPr>
        <w:t>Under this program, recipients are responsible for ensuring funds are used for eligible purposes.</w:t>
      </w:r>
      <w:r w:rsidRPr="10A9F656">
        <w:rPr>
          <w:rFonts w:ascii="Arial" w:hAnsi="Arial"/>
          <w:b/>
          <w:bCs/>
        </w:rPr>
        <w:t xml:space="preserve"> </w:t>
      </w:r>
      <w:r>
        <w:t xml:space="preserve">Generally, recipients must develop and implement policies and procedures, and </w:t>
      </w:r>
      <w:r w:rsidR="00D94D38">
        <w:t>retain records</w:t>
      </w:r>
      <w:r>
        <w:t>, to determine and monitor implementation of criteria for determining the eligibility of beneficiaries and/or subrecipients. Your organization, and if applicable, the subrecipient(s) administering a program on behalf of your organization, will need to maintain procedures for obtaining information evidencing a given beneficiary, subrecipient, or contractor’s eligibility</w:t>
      </w:r>
      <w:r w:rsidR="00005325">
        <w:t>,</w:t>
      </w:r>
      <w:r>
        <w:t xml:space="preserve"> including a valid SAM.gov registration</w:t>
      </w:r>
      <w:r w:rsidR="00005325">
        <w:t xml:space="preserve"> (except with respect to individuals or households for which a SAM.gov registration is not required)</w:t>
      </w:r>
      <w:r>
        <w:t>. Implementing risk-based due diligence for eligibility determinations is a best practice to augment your organization’s existing controls.</w:t>
      </w:r>
    </w:p>
    <w:p w:rsidR="00E86315" w:rsidRPr="00E21798" w:rsidP="00FD6A50" w14:paraId="4BC92B99" w14:textId="4B4FB4EC">
      <w:pPr>
        <w:spacing w:after="0" w:line="240" w:lineRule="auto"/>
        <w:ind w:left="720"/>
        <w:jc w:val="both"/>
        <w:rPr>
          <w:rFonts w:ascii="Arial" w:hAnsi="Arial"/>
        </w:rPr>
      </w:pPr>
      <w:r w:rsidRPr="009D5145">
        <w:rPr>
          <w:rFonts w:ascii="Times New Roman" w:eastAsia="Times New Roman" w:hAnsi="Times New Roman" w:cs="Times New Roman"/>
          <w:sz w:val="24"/>
          <w:szCs w:val="24"/>
        </w:rPr>
        <w:t xml:space="preserve"> </w:t>
      </w:r>
    </w:p>
    <w:p w:rsidR="00E86315" w:rsidP="00CE5331" w14:paraId="7F9A61FF" w14:textId="3A1618A8">
      <w:pPr>
        <w:pStyle w:val="ListParagraph"/>
        <w:numPr>
          <w:ilvl w:val="0"/>
          <w:numId w:val="34"/>
        </w:numPr>
        <w:spacing w:after="0" w:line="240" w:lineRule="auto"/>
        <w:jc w:val="both"/>
        <w:rPr>
          <w:rFonts w:ascii="Arial" w:hAnsi="Arial"/>
        </w:rPr>
      </w:pPr>
      <w:r w:rsidRPr="10A9F656">
        <w:rPr>
          <w:rFonts w:ascii="Arial" w:hAnsi="Arial"/>
          <w:b/>
          <w:bCs/>
        </w:rPr>
        <w:t>Property Management.</w:t>
      </w:r>
      <w:r w:rsidRPr="10A9F656">
        <w:rPr>
          <w:rFonts w:ascii="Arial" w:hAnsi="Arial"/>
        </w:rPr>
        <w:t xml:space="preserve"> Any purchase of real </w:t>
      </w:r>
      <w:r w:rsidR="00224D6E">
        <w:rPr>
          <w:rFonts w:ascii="Arial" w:hAnsi="Arial"/>
        </w:rPr>
        <w:t>or personal</w:t>
      </w:r>
      <w:r w:rsidRPr="10A9F656">
        <w:rPr>
          <w:rFonts w:ascii="Arial" w:hAnsi="Arial"/>
        </w:rPr>
        <w:t xml:space="preserve"> property with SLFRF funds must be consistent with the Uniform Guidance at 2 CFR Part 200, Subpart D</w:t>
      </w:r>
      <w:r w:rsidR="007D1BB0">
        <w:rPr>
          <w:rFonts w:ascii="Arial" w:hAnsi="Arial"/>
        </w:rPr>
        <w:t>, unless stated otherwise by Treasury</w:t>
      </w:r>
      <w:r w:rsidRPr="10A9F656">
        <w:rPr>
          <w:rFonts w:ascii="Arial" w:hAnsi="Arial"/>
        </w:rPr>
        <w:t xml:space="preserve">. </w:t>
      </w:r>
      <w:bookmarkStart w:id="3" w:name="_Hlk86071165"/>
      <w:r w:rsidR="00FD33D1">
        <w:rPr>
          <w:rFonts w:ascii="Arial" w:hAnsi="Arial"/>
        </w:rPr>
        <w:t xml:space="preserve">For example, </w:t>
      </w:r>
      <w:r w:rsidR="00FD33D1">
        <w:t xml:space="preserve">as outlined in </w:t>
      </w:r>
      <w:r w:rsidR="00577A07">
        <w:t xml:space="preserve">Final Rule </w:t>
      </w:r>
      <w:hyperlink r:id="rId13" w:history="1">
        <w:r w:rsidRPr="00FD33D1" w:rsidR="00FD33D1">
          <w:rPr>
            <w:rStyle w:val="Hyperlink"/>
          </w:rPr>
          <w:t>FAQ 13.15</w:t>
        </w:r>
      </w:hyperlink>
      <w:r w:rsidR="00FD33D1">
        <w:t xml:space="preserve">, only a subset of the Uniform Guidance </w:t>
      </w:r>
      <w:r w:rsidR="00E567A4">
        <w:t xml:space="preserve">requirements </w:t>
      </w:r>
      <w:r w:rsidR="00FD33D1">
        <w:t>at 2 CFR Part 200 Subpart D</w:t>
      </w:r>
      <w:r w:rsidR="00577A07">
        <w:t xml:space="preserve"> (Post Federal Award Requirements)</w:t>
      </w:r>
      <w:r w:rsidR="00FD33D1">
        <w:t xml:space="preserve"> appl</w:t>
      </w:r>
      <w:r w:rsidR="00577A07">
        <w:t>ies</w:t>
      </w:r>
      <w:r w:rsidR="00FD33D1">
        <w:t xml:space="preserve"> to recipients</w:t>
      </w:r>
      <w:r w:rsidR="00950637">
        <w:t>’</w:t>
      </w:r>
      <w:r w:rsidR="00FD33D1">
        <w:t xml:space="preserve"> use of funds in the revenue loss eligible use category. Furthermore, as outlined in </w:t>
      </w:r>
      <w:r w:rsidR="00EB38BA">
        <w:t xml:space="preserve">Final Rule </w:t>
      </w:r>
      <w:r w:rsidR="00FD33D1">
        <w:t xml:space="preserve">FAQ 13.16, Treasury has clarified the use and disposition requirements for </w:t>
      </w:r>
      <w:r w:rsidR="00EB38BA">
        <w:t>real and personal property, supplies, and equipment</w:t>
      </w:r>
      <w:r w:rsidR="00FD33D1">
        <w:t xml:space="preserve"> purchased with SLFRF funds.</w:t>
      </w:r>
      <w:r w:rsidR="00782A84">
        <w:t xml:space="preserve"> </w:t>
      </w:r>
    </w:p>
    <w:bookmarkEnd w:id="3"/>
    <w:p w:rsidR="00DE3B4F" w:rsidP="00FD6A50" w14:paraId="66884212" w14:textId="77777777">
      <w:pPr>
        <w:spacing w:after="0" w:line="240" w:lineRule="auto"/>
        <w:ind w:left="720"/>
        <w:jc w:val="both"/>
        <w:rPr>
          <w:rFonts w:ascii="Arial" w:hAnsi="Arial"/>
        </w:rPr>
      </w:pPr>
    </w:p>
    <w:p w:rsidR="00E86315" w:rsidRPr="009D5145" w:rsidP="00CE5331" w14:paraId="774C27FD" w14:textId="7A55A3EF">
      <w:pPr>
        <w:pStyle w:val="ListParagraph"/>
        <w:numPr>
          <w:ilvl w:val="0"/>
          <w:numId w:val="34"/>
        </w:numPr>
        <w:spacing w:after="0" w:line="240" w:lineRule="auto"/>
        <w:jc w:val="both"/>
        <w:rPr>
          <w:rFonts w:ascii="Arial" w:hAnsi="Arial"/>
        </w:rPr>
      </w:pPr>
      <w:r w:rsidRPr="00880E95">
        <w:rPr>
          <w:rFonts w:ascii="Arial" w:hAnsi="Arial"/>
          <w:b/>
          <w:bCs/>
        </w:rPr>
        <w:t>Matching, Level of Effort, Earmarking.</w:t>
      </w:r>
      <w:r w:rsidRPr="00E21798">
        <w:rPr>
          <w:rFonts w:ascii="Arial" w:hAnsi="Arial"/>
        </w:rPr>
        <w:t xml:space="preserve"> There are no matching, level of effort, or earmarking compliance responsibilities associated with the </w:t>
      </w:r>
      <w:r>
        <w:rPr>
          <w:rFonts w:ascii="Arial" w:hAnsi="Arial"/>
        </w:rPr>
        <w:t>SLFRF</w:t>
      </w:r>
      <w:r w:rsidR="00C034C0">
        <w:rPr>
          <w:rFonts w:ascii="Arial" w:hAnsi="Arial"/>
        </w:rPr>
        <w:t xml:space="preserve"> award</w:t>
      </w:r>
      <w:r w:rsidRPr="00E21798">
        <w:rPr>
          <w:rFonts w:ascii="Arial" w:hAnsi="Arial"/>
        </w:rPr>
        <w:t>.</w:t>
      </w:r>
      <w:r w:rsidRPr="009D5145">
        <w:rPr>
          <w:rFonts w:ascii="Arial" w:hAnsi="Arial"/>
        </w:rPr>
        <w:t xml:space="preserve"> </w:t>
      </w:r>
      <w:r w:rsidR="008F3477">
        <w:rPr>
          <w:rStyle w:val="normaltextrun"/>
          <w:rFonts w:ascii="Arial" w:hAnsi="Arial" w:cs="Arial"/>
          <w:color w:val="000000"/>
          <w:shd w:val="clear" w:color="auto" w:fill="FFFFFF"/>
        </w:rPr>
        <w:t>See </w:t>
      </w:r>
      <w:r w:rsidR="00040C95">
        <w:rPr>
          <w:rStyle w:val="contextualspellingandgrammarerror"/>
          <w:rFonts w:ascii="Arial" w:hAnsi="Arial" w:cs="Arial"/>
          <w:color w:val="000000"/>
          <w:shd w:val="clear" w:color="auto" w:fill="FFFFFF"/>
        </w:rPr>
        <w:t>Section C.1</w:t>
      </w:r>
      <w:r w:rsidRPr="00040C95" w:rsidR="00040C95">
        <w:rPr>
          <w:rFonts w:ascii="Arial" w:hAnsi="Arial"/>
          <w:b/>
          <w:bCs/>
        </w:rPr>
        <w:t xml:space="preserve"> </w:t>
      </w:r>
      <w:r w:rsidRPr="005117A4" w:rsidR="00040C95">
        <w:rPr>
          <w:rFonts w:ascii="Arial" w:hAnsi="Arial"/>
        </w:rPr>
        <w:t>(Eligible and Restricted Uses of SLFRF Funds</w:t>
      </w:r>
      <w:r w:rsidR="00040C95">
        <w:rPr>
          <w:rFonts w:ascii="Arial" w:hAnsi="Arial"/>
        </w:rPr>
        <w:t>)</w:t>
      </w:r>
      <w:r w:rsidR="008F3477">
        <w:rPr>
          <w:rStyle w:val="normaltextrun"/>
          <w:rFonts w:ascii="Arial" w:hAnsi="Arial" w:cs="Arial"/>
          <w:color w:val="000000"/>
          <w:shd w:val="clear" w:color="auto" w:fill="FFFFFF"/>
        </w:rPr>
        <w:t xml:space="preserve"> for a discussion of restrictions on use of SLFRF funds. </w:t>
      </w:r>
      <w:r w:rsidR="00F825DF">
        <w:rPr>
          <w:rStyle w:val="normaltextrun"/>
          <w:rFonts w:ascii="Arial" w:hAnsi="Arial" w:cs="Arial"/>
          <w:color w:val="000000"/>
          <w:shd w:val="clear" w:color="auto" w:fill="FFFFFF"/>
        </w:rPr>
        <w:t xml:space="preserve">Please see 2. Allowable Costs/Cost Principles above for information on the </w:t>
      </w:r>
      <w:r w:rsidR="008E6FD6">
        <w:rPr>
          <w:rStyle w:val="normaltextrun"/>
          <w:rFonts w:ascii="Arial" w:hAnsi="Arial" w:cs="Arial"/>
          <w:color w:val="000000"/>
          <w:shd w:val="clear" w:color="auto" w:fill="FFFFFF"/>
        </w:rPr>
        <w:t xml:space="preserve">use </w:t>
      </w:r>
      <w:r w:rsidR="00F825DF">
        <w:rPr>
          <w:rStyle w:val="normaltextrun"/>
          <w:rFonts w:ascii="Arial" w:hAnsi="Arial" w:cs="Arial"/>
          <w:color w:val="000000"/>
          <w:shd w:val="clear" w:color="auto" w:fill="FFFFFF"/>
        </w:rPr>
        <w:t xml:space="preserve">of </w:t>
      </w:r>
      <w:r w:rsidRPr="009D5145">
        <w:rPr>
          <w:rFonts w:ascii="Arial" w:hAnsi="Arial"/>
        </w:rPr>
        <w:t xml:space="preserve">SLFRF </w:t>
      </w:r>
      <w:r w:rsidRPr="009D5145" w:rsidR="00C034C0">
        <w:rPr>
          <w:rFonts w:ascii="Arial" w:hAnsi="Arial"/>
        </w:rPr>
        <w:t>f</w:t>
      </w:r>
      <w:r w:rsidRPr="009D5145">
        <w:rPr>
          <w:rFonts w:ascii="Arial" w:hAnsi="Arial"/>
        </w:rPr>
        <w:t xml:space="preserve">unds for non-Federal match </w:t>
      </w:r>
      <w:r w:rsidR="008E6FD6">
        <w:rPr>
          <w:rFonts w:ascii="Arial" w:hAnsi="Arial"/>
        </w:rPr>
        <w:t xml:space="preserve">or cost-sharing requirements </w:t>
      </w:r>
      <w:r w:rsidRPr="009D5145">
        <w:rPr>
          <w:rFonts w:ascii="Arial" w:hAnsi="Arial"/>
        </w:rPr>
        <w:t xml:space="preserve">in other </w:t>
      </w:r>
      <w:r w:rsidR="008E6FD6">
        <w:rPr>
          <w:rFonts w:ascii="Arial" w:hAnsi="Arial"/>
        </w:rPr>
        <w:t xml:space="preserve">Federal programs. </w:t>
      </w:r>
      <w:r w:rsidRPr="009D5145">
        <w:rPr>
          <w:rFonts w:ascii="Arial" w:hAnsi="Arial"/>
        </w:rPr>
        <w:t xml:space="preserve"> </w:t>
      </w:r>
    </w:p>
    <w:p w:rsidR="00E86315" w:rsidRPr="00E21798" w:rsidP="00FD6A50" w14:paraId="3FA6FBB6" w14:textId="77777777">
      <w:pPr>
        <w:spacing w:after="0" w:line="240" w:lineRule="auto"/>
        <w:ind w:left="720"/>
        <w:jc w:val="both"/>
        <w:rPr>
          <w:rFonts w:ascii="Arial" w:hAnsi="Arial"/>
        </w:rPr>
      </w:pPr>
    </w:p>
    <w:p w:rsidR="00E86315" w:rsidRPr="00E862F4" w:rsidP="00CE5331" w14:paraId="74FF50B5" w14:textId="78C315E1">
      <w:pPr>
        <w:pStyle w:val="ListParagraph"/>
        <w:numPr>
          <w:ilvl w:val="0"/>
          <w:numId w:val="34"/>
        </w:numPr>
        <w:spacing w:after="0" w:line="240" w:lineRule="auto"/>
        <w:jc w:val="both"/>
        <w:rPr>
          <w:rFonts w:ascii="Arial" w:hAnsi="Arial"/>
        </w:rPr>
      </w:pPr>
      <w:bookmarkStart w:id="4" w:name="_Hlk101434742"/>
      <w:r w:rsidRPr="10A9F656">
        <w:rPr>
          <w:rFonts w:ascii="Arial" w:hAnsi="Arial"/>
          <w:b/>
          <w:bCs/>
        </w:rPr>
        <w:t>Period of Performance.</w:t>
      </w:r>
      <w:r w:rsidRPr="10A9F656">
        <w:rPr>
          <w:rFonts w:ascii="Arial" w:hAnsi="Arial"/>
        </w:rPr>
        <w:t xml:space="preserve"> Your organization should also develop and implement internal controls related to activities occurring outside the period of performance.  All funds remain subject to statutory </w:t>
      </w:r>
      <w:r w:rsidR="00F115F7">
        <w:rPr>
          <w:rFonts w:ascii="Arial" w:hAnsi="Arial"/>
        </w:rPr>
        <w:t>and regulatory</w:t>
      </w:r>
      <w:r w:rsidRPr="10A9F656">
        <w:rPr>
          <w:rFonts w:ascii="Arial" w:hAnsi="Arial"/>
        </w:rPr>
        <w:t xml:space="preserve"> requirements that they must be used for costs incurred by the recipient </w:t>
      </w:r>
      <w:r w:rsidRPr="10A9F656">
        <w:rPr>
          <w:rFonts w:eastAsia="Times New Roman"/>
        </w:rPr>
        <w:t>during the period that begins</w:t>
      </w:r>
      <w:r w:rsidRPr="10A9F656">
        <w:rPr>
          <w:rFonts w:ascii="Arial" w:hAnsi="Arial"/>
        </w:rPr>
        <w:t xml:space="preserve"> on March 3, 2021, and ends on December 31, 2024, and that award funds for the financial obligations incurred by December 31, 2024 must be expended by December </w:t>
      </w:r>
      <w:r w:rsidRPr="10A9F656">
        <w:rPr>
          <w:rFonts w:ascii="Arial" w:hAnsi="Arial"/>
        </w:rPr>
        <w:t xml:space="preserve">31, 2026.  Any funds not used must be returned to Treasury </w:t>
      </w:r>
      <w:r w:rsidRPr="002D1FB8">
        <w:t>as part of the award closeout process pursuant to 2 C.F.R. 200.344(d)</w:t>
      </w:r>
      <w:r w:rsidRPr="10A9F656">
        <w:rPr>
          <w:rFonts w:ascii="Arial" w:hAnsi="Arial"/>
        </w:rPr>
        <w:t xml:space="preserve">. </w:t>
      </w:r>
    </w:p>
    <w:bookmarkEnd w:id="4"/>
    <w:p w:rsidR="000A7E4E" w:rsidRPr="00FE2696" w:rsidP="00FD6A50" w14:paraId="70A4ECC3" w14:textId="77777777">
      <w:pPr>
        <w:pStyle w:val="ListParagraph"/>
        <w:spacing w:after="0" w:line="240" w:lineRule="auto"/>
        <w:jc w:val="both"/>
        <w:rPr>
          <w:rFonts w:ascii="Arial" w:hAnsi="Arial"/>
        </w:rPr>
      </w:pPr>
    </w:p>
    <w:p w:rsidR="00130407" w:rsidP="00CE5331" w14:paraId="51BC97FD" w14:textId="5FE3E5AF">
      <w:pPr>
        <w:pStyle w:val="ListParagraph"/>
        <w:numPr>
          <w:ilvl w:val="0"/>
          <w:numId w:val="34"/>
        </w:numPr>
        <w:spacing w:after="0" w:line="240" w:lineRule="auto"/>
        <w:jc w:val="both"/>
        <w:rPr>
          <w:rFonts w:ascii="Arial" w:hAnsi="Arial"/>
        </w:rPr>
      </w:pPr>
      <w:r w:rsidRPr="00E21798">
        <w:rPr>
          <w:rFonts w:ascii="Arial" w:hAnsi="Arial"/>
          <w:b/>
          <w:bCs/>
        </w:rPr>
        <w:t xml:space="preserve">Procurement, Suspension &amp; Debarment. </w:t>
      </w:r>
      <w:r w:rsidR="004C6C2C">
        <w:rPr>
          <w:rFonts w:ascii="Arial" w:hAnsi="Arial"/>
        </w:rPr>
        <w:t>R</w:t>
      </w:r>
      <w:r>
        <w:rPr>
          <w:rFonts w:ascii="Arial" w:hAnsi="Arial"/>
        </w:rPr>
        <w:t>ecipients are responsible for ensuring that any procurement using SLFRF funds, or payments under procurement contracts using such funds</w:t>
      </w:r>
      <w:r w:rsidR="00A15003">
        <w:rPr>
          <w:rFonts w:ascii="Arial" w:hAnsi="Arial"/>
        </w:rPr>
        <w:t>,</w:t>
      </w:r>
      <w:r>
        <w:rPr>
          <w:rFonts w:ascii="Arial" w:hAnsi="Arial"/>
        </w:rPr>
        <w:t xml:space="preserve"> are consistent with</w:t>
      </w:r>
      <w:r w:rsidR="00814C0C">
        <w:rPr>
          <w:rFonts w:ascii="Arial" w:hAnsi="Arial"/>
        </w:rPr>
        <w:t xml:space="preserve"> </w:t>
      </w:r>
      <w:r w:rsidR="00FE2696">
        <w:rPr>
          <w:rFonts w:ascii="Arial" w:hAnsi="Arial"/>
        </w:rPr>
        <w:t xml:space="preserve">the procurement standards set forth in the Uniform Guidance at 2 CFR 200.317 through 2 CFR 200.327, </w:t>
      </w:r>
      <w:r w:rsidR="00FD33D1">
        <w:rPr>
          <w:rFonts w:ascii="Arial" w:hAnsi="Arial"/>
        </w:rPr>
        <w:t>unless stated otherwise by Treasury</w:t>
      </w:r>
      <w:r>
        <w:rPr>
          <w:rFonts w:ascii="Arial" w:hAnsi="Arial"/>
        </w:rPr>
        <w:t xml:space="preserve">. </w:t>
      </w:r>
      <w:r w:rsidR="00E567A4">
        <w:t>A</w:t>
      </w:r>
      <w:r w:rsidR="00FD33D1">
        <w:t xml:space="preserve">s outlined in </w:t>
      </w:r>
      <w:r w:rsidR="00E567A4">
        <w:t xml:space="preserve">Final Rule </w:t>
      </w:r>
      <w:hyperlink r:id="rId13" w:history="1">
        <w:r w:rsidRPr="00FD33D1" w:rsidR="00FD33D1">
          <w:rPr>
            <w:rStyle w:val="Hyperlink"/>
          </w:rPr>
          <w:t>FAQ 13.15</w:t>
        </w:r>
      </w:hyperlink>
      <w:r w:rsidR="00FD33D1">
        <w:t>, only a subset of the Uniform Guidance</w:t>
      </w:r>
      <w:r w:rsidR="00E567A4">
        <w:t xml:space="preserve"> requirements</w:t>
      </w:r>
      <w:r w:rsidR="00FD33D1">
        <w:t xml:space="preserve"> at 2 CFR Part 200 Subpart D </w:t>
      </w:r>
      <w:r w:rsidR="005A0C87">
        <w:t>(Post Federal Award Requirements)</w:t>
      </w:r>
      <w:r w:rsidR="00FD33D1">
        <w:t xml:space="preserve"> appl</w:t>
      </w:r>
      <w:r w:rsidR="005A0C87">
        <w:t>ies</w:t>
      </w:r>
      <w:r w:rsidR="00FD33D1">
        <w:t xml:space="preserve"> to recipients</w:t>
      </w:r>
      <w:r w:rsidR="00950637">
        <w:t>’</w:t>
      </w:r>
      <w:r w:rsidR="00FD33D1">
        <w:t xml:space="preserve"> use of funds in the revenue loss eligible use category.</w:t>
      </w:r>
      <w:r w:rsidR="00950637">
        <w:t xml:space="preserve"> The procurement standards set forth in the Uniform Guidance at 2 CRF 200.317 through 2 CRF 200.327 are not in</w:t>
      </w:r>
      <w:r w:rsidR="005A0C87">
        <w:t>cluded in</w:t>
      </w:r>
      <w:r w:rsidR="00950637">
        <w:t xml:space="preserve"> </w:t>
      </w:r>
      <w:r w:rsidR="00FE4053">
        <w:t>Final Rule FAQ 13.15’s</w:t>
      </w:r>
      <w:r w:rsidR="00950637">
        <w:t xml:space="preserve"> list of applicable </w:t>
      </w:r>
      <w:r w:rsidR="00FE4053">
        <w:t xml:space="preserve">Subpart D </w:t>
      </w:r>
      <w:r w:rsidR="00950637">
        <w:t>requirements that apply to recipients’ use of funds in the revenue loss eligible use category.</w:t>
      </w:r>
      <w:r w:rsidR="00FD33D1">
        <w:t xml:space="preserve"> </w:t>
      </w:r>
    </w:p>
    <w:p w:rsidR="00130407" w:rsidRPr="00245198" w:rsidP="00245198" w14:paraId="4B1FA38B" w14:textId="77777777">
      <w:pPr>
        <w:pStyle w:val="ListParagraph"/>
        <w:rPr>
          <w:rFonts w:ascii="Arial" w:hAnsi="Arial"/>
        </w:rPr>
      </w:pPr>
    </w:p>
    <w:p w:rsidR="00E86315" w:rsidRPr="00945975" w:rsidP="00245198" w14:paraId="01C8186F" w14:textId="71D592E1">
      <w:pPr>
        <w:pStyle w:val="ListParagraph"/>
        <w:spacing w:after="0" w:line="240" w:lineRule="auto"/>
        <w:ind w:left="360"/>
        <w:jc w:val="both"/>
        <w:rPr>
          <w:rFonts w:ascii="Arial" w:hAnsi="Arial"/>
        </w:rPr>
      </w:pPr>
      <w:r w:rsidRPr="00945975">
        <w:rPr>
          <w:rFonts w:ascii="Arial" w:hAnsi="Arial"/>
        </w:rPr>
        <w:t xml:space="preserve">The </w:t>
      </w:r>
      <w:r w:rsidRPr="00945975" w:rsidR="006540ED">
        <w:rPr>
          <w:rFonts w:ascii="Arial" w:hAnsi="Arial"/>
        </w:rPr>
        <w:t>Uniform Guidance establishes in 2 CFR 200.319 that all procurement transactions for property or services must be conducted in a manner providing full and open competition, consistent with standards outline</w:t>
      </w:r>
      <w:r w:rsidRPr="0033082E" w:rsidR="006540ED">
        <w:rPr>
          <w:rFonts w:ascii="Arial" w:hAnsi="Arial"/>
        </w:rPr>
        <w:t>d in 2 CFR 200.320</w:t>
      </w:r>
      <w:r w:rsidRPr="00E214D7" w:rsidR="0096371A">
        <w:rPr>
          <w:rFonts w:ascii="Arial" w:hAnsi="Arial"/>
        </w:rPr>
        <w:t xml:space="preserve">, which allows for non-competitive procurements only in </w:t>
      </w:r>
      <w:r w:rsidRPr="00945975" w:rsidR="009217CB">
        <w:rPr>
          <w:rFonts w:ascii="Arial" w:hAnsi="Arial"/>
        </w:rPr>
        <w:t xml:space="preserve">certain </w:t>
      </w:r>
      <w:r w:rsidRPr="00945975" w:rsidR="0096371A">
        <w:rPr>
          <w:rFonts w:ascii="Arial" w:hAnsi="Arial"/>
        </w:rPr>
        <w:t>circumstances</w:t>
      </w:r>
      <w:r w:rsidRPr="00945975" w:rsidR="009217CB">
        <w:rPr>
          <w:rFonts w:ascii="Arial" w:hAnsi="Arial"/>
        </w:rPr>
        <w:t xml:space="preserve">. </w:t>
      </w:r>
      <w:r w:rsidRPr="00945975" w:rsidR="00FE2696">
        <w:rPr>
          <w:rFonts w:ascii="Arial" w:hAnsi="Arial"/>
        </w:rPr>
        <w:t>Recipients</w:t>
      </w:r>
      <w:r w:rsidRPr="00945975" w:rsidR="006540ED">
        <w:rPr>
          <w:rFonts w:ascii="Arial" w:hAnsi="Arial"/>
        </w:rPr>
        <w:t xml:space="preserve"> must have and use documented procurement procedures that are consistent with the standards </w:t>
      </w:r>
      <w:r w:rsidRPr="00945975" w:rsidR="00FE2696">
        <w:rPr>
          <w:rFonts w:ascii="Arial" w:hAnsi="Arial"/>
        </w:rPr>
        <w:t xml:space="preserve">outlined </w:t>
      </w:r>
      <w:r w:rsidRPr="00945975" w:rsidR="006540ED">
        <w:rPr>
          <w:rFonts w:ascii="Arial" w:hAnsi="Arial"/>
        </w:rPr>
        <w:t xml:space="preserve">in </w:t>
      </w:r>
      <w:r w:rsidRPr="00945975" w:rsidR="0096371A">
        <w:rPr>
          <w:rFonts w:ascii="Arial" w:hAnsi="Arial"/>
        </w:rPr>
        <w:t xml:space="preserve">2 </w:t>
      </w:r>
      <w:r w:rsidRPr="00945975" w:rsidR="006540ED">
        <w:rPr>
          <w:rFonts w:ascii="Arial" w:hAnsi="Arial"/>
        </w:rPr>
        <w:t>CFR 200.317</w:t>
      </w:r>
      <w:r w:rsidRPr="00945975" w:rsidR="00FE2696">
        <w:rPr>
          <w:rFonts w:ascii="Arial" w:hAnsi="Arial"/>
        </w:rPr>
        <w:t xml:space="preserve"> through 2 CFR</w:t>
      </w:r>
      <w:r w:rsidRPr="00945975" w:rsidR="004C0197">
        <w:rPr>
          <w:rFonts w:ascii="Arial" w:hAnsi="Arial"/>
        </w:rPr>
        <w:t xml:space="preserve"> </w:t>
      </w:r>
      <w:r w:rsidRPr="00945975" w:rsidR="006540ED">
        <w:rPr>
          <w:rFonts w:ascii="Arial" w:hAnsi="Arial"/>
        </w:rPr>
        <w:t>200.3</w:t>
      </w:r>
      <w:r w:rsidRPr="00945975" w:rsidR="00FE2696">
        <w:rPr>
          <w:rFonts w:ascii="Arial" w:hAnsi="Arial"/>
        </w:rPr>
        <w:t>20</w:t>
      </w:r>
      <w:r w:rsidRPr="00945975" w:rsidR="006540ED">
        <w:rPr>
          <w:rFonts w:ascii="Arial" w:hAnsi="Arial"/>
        </w:rPr>
        <w:t xml:space="preserve">.  </w:t>
      </w:r>
      <w:r w:rsidRPr="00945975" w:rsidR="004C0197">
        <w:rPr>
          <w:rFonts w:ascii="Arial" w:hAnsi="Arial"/>
        </w:rPr>
        <w:t xml:space="preserve">The </w:t>
      </w:r>
      <w:r w:rsidRPr="00945975" w:rsidR="0096371A">
        <w:rPr>
          <w:rFonts w:ascii="Arial" w:hAnsi="Arial"/>
        </w:rPr>
        <w:t xml:space="preserve">Uniform </w:t>
      </w:r>
      <w:r w:rsidRPr="00945975" w:rsidR="00FE2696">
        <w:rPr>
          <w:rFonts w:ascii="Arial" w:hAnsi="Arial"/>
        </w:rPr>
        <w:t>G</w:t>
      </w:r>
      <w:r w:rsidRPr="00945975" w:rsidR="0096371A">
        <w:rPr>
          <w:rFonts w:ascii="Arial" w:hAnsi="Arial"/>
        </w:rPr>
        <w:t>uidance</w:t>
      </w:r>
      <w:r w:rsidRPr="00945975" w:rsidR="009D43E9">
        <w:rPr>
          <w:rFonts w:ascii="Arial" w:hAnsi="Arial"/>
        </w:rPr>
        <w:t>, pursuant to 2 CFR 180,</w:t>
      </w:r>
      <w:r w:rsidRPr="00945975" w:rsidR="0096371A">
        <w:rPr>
          <w:rFonts w:ascii="Arial" w:hAnsi="Arial"/>
        </w:rPr>
        <w:t xml:space="preserve"> requires an infrastructure for competitive bidding and contractor oversight, including maintaining written standards of conduct and prohibitions on dealing with suspended or debarred parties. Y</w:t>
      </w:r>
      <w:r w:rsidRPr="00945975">
        <w:rPr>
          <w:rFonts w:ascii="Arial" w:hAnsi="Arial"/>
        </w:rPr>
        <w:t xml:space="preserve">our organization </w:t>
      </w:r>
      <w:r w:rsidRPr="00945975" w:rsidR="0096371A">
        <w:rPr>
          <w:rFonts w:ascii="Arial" w:hAnsi="Arial"/>
        </w:rPr>
        <w:t xml:space="preserve">must </w:t>
      </w:r>
      <w:r w:rsidRPr="00945975">
        <w:rPr>
          <w:rFonts w:ascii="Arial" w:hAnsi="Arial"/>
        </w:rPr>
        <w:t xml:space="preserve">ensure adherence to </w:t>
      </w:r>
      <w:r w:rsidRPr="00945975" w:rsidR="0096371A">
        <w:rPr>
          <w:rFonts w:ascii="Arial" w:hAnsi="Arial"/>
        </w:rPr>
        <w:t xml:space="preserve">all applicable </w:t>
      </w:r>
      <w:r w:rsidRPr="00945975">
        <w:rPr>
          <w:rFonts w:ascii="Arial" w:hAnsi="Arial"/>
        </w:rPr>
        <w:t xml:space="preserve">local, </w:t>
      </w:r>
      <w:r w:rsidRPr="00945975" w:rsidR="00D206F9">
        <w:rPr>
          <w:rFonts w:ascii="Arial" w:hAnsi="Arial"/>
        </w:rPr>
        <w:t>S</w:t>
      </w:r>
      <w:r w:rsidRPr="00945975">
        <w:rPr>
          <w:rFonts w:ascii="Arial" w:hAnsi="Arial"/>
        </w:rPr>
        <w:t xml:space="preserve">tate, and federal procurement laws and regulations. </w:t>
      </w:r>
    </w:p>
    <w:p w:rsidR="00E86315" w:rsidRPr="00E21798" w:rsidP="00FD6A50" w14:paraId="745E045B" w14:textId="77777777">
      <w:pPr>
        <w:spacing w:after="0" w:line="240" w:lineRule="auto"/>
        <w:ind w:left="720"/>
        <w:jc w:val="both"/>
        <w:rPr>
          <w:rFonts w:ascii="Arial" w:hAnsi="Arial"/>
        </w:rPr>
      </w:pPr>
    </w:p>
    <w:p w:rsidR="00377A21" w:rsidRPr="00377A21" w:rsidP="00CE5331" w14:paraId="000CBA8D" w14:textId="253BC36E">
      <w:pPr>
        <w:pStyle w:val="ListParagraph"/>
        <w:numPr>
          <w:ilvl w:val="0"/>
          <w:numId w:val="34"/>
        </w:numPr>
        <w:spacing w:after="0" w:line="240" w:lineRule="auto"/>
        <w:jc w:val="both"/>
        <w:rPr>
          <w:rFonts w:ascii="Arial" w:hAnsi="Arial"/>
        </w:rPr>
      </w:pPr>
      <w:r w:rsidRPr="10A9F656">
        <w:rPr>
          <w:rFonts w:ascii="Arial" w:hAnsi="Arial"/>
          <w:b/>
          <w:bCs/>
        </w:rPr>
        <w:t xml:space="preserve">Program Income. </w:t>
      </w:r>
      <w:r w:rsidRPr="10A9F656">
        <w:rPr>
          <w:rFonts w:ascii="Arial" w:hAnsi="Arial"/>
        </w:rPr>
        <w:t>Generally, program income includes, but is not limited to, income from fees for services performed, the use or rental of real or personal property acquired under Federal awards</w:t>
      </w:r>
      <w:r w:rsidR="00B83E02">
        <w:rPr>
          <w:rFonts w:ascii="Arial" w:hAnsi="Arial"/>
        </w:rPr>
        <w:t>,</w:t>
      </w:r>
      <w:r w:rsidRPr="10A9F656">
        <w:rPr>
          <w:rFonts w:ascii="Arial" w:hAnsi="Arial"/>
        </w:rPr>
        <w:t xml:space="preserve"> and principal and interest on loans made with Federal award funds. Program income does not include interest earned on advances of Federal funds, rebates, credits, discounts, or interest on rebates, credits, or discounts. Recipients of SLFRF funds should calculate, document, and record the organization’s program income. Additional controls that your organization should implement include written policies that explicitly identify appropriate allocation methods, accounting standards and principles, compliance monitoring checks for program income calculations, and records.</w:t>
      </w:r>
    </w:p>
    <w:p w:rsidR="00377A21" w:rsidRPr="00377A21" w:rsidP="00FD6A50" w14:paraId="035D5F22" w14:textId="77777777">
      <w:pPr>
        <w:pStyle w:val="ListParagraph"/>
        <w:widowControl w:val="0"/>
        <w:spacing w:after="0" w:line="240" w:lineRule="auto"/>
        <w:jc w:val="both"/>
        <w:rPr>
          <w:rFonts w:ascii="Arial" w:hAnsi="Arial"/>
        </w:rPr>
      </w:pPr>
    </w:p>
    <w:p w:rsidR="00E86315" w:rsidRPr="003C5176" w:rsidP="10A9F656" w14:paraId="2A28B4B0" w14:textId="388F8048">
      <w:pPr>
        <w:widowControl w:val="0"/>
        <w:spacing w:after="0" w:line="240" w:lineRule="auto"/>
        <w:ind w:left="360"/>
        <w:jc w:val="both"/>
        <w:rPr>
          <w:rFonts w:ascii="Arial" w:hAnsi="Arial"/>
        </w:rPr>
      </w:pPr>
      <w:r w:rsidRPr="10A9F656">
        <w:rPr>
          <w:rFonts w:ascii="Arial" w:hAnsi="Arial"/>
        </w:rPr>
        <w:t xml:space="preserve">The Uniform Guidance outlines the requirements that pertain to program income at 2 CFR 200.307. Treasury </w:t>
      </w:r>
      <w:r w:rsidR="00A879D8">
        <w:rPr>
          <w:rFonts w:ascii="Arial" w:hAnsi="Arial"/>
        </w:rPr>
        <w:t xml:space="preserve">has clarified in its </w:t>
      </w:r>
      <w:r w:rsidR="00DA60D9">
        <w:rPr>
          <w:rFonts w:ascii="Arial" w:hAnsi="Arial"/>
        </w:rPr>
        <w:t xml:space="preserve">Final Rule FAQs </w:t>
      </w:r>
      <w:r w:rsidR="00A879D8">
        <w:rPr>
          <w:rFonts w:ascii="Arial" w:hAnsi="Arial"/>
        </w:rPr>
        <w:t xml:space="preserve">that </w:t>
      </w:r>
      <w:r w:rsidRPr="00A879D8" w:rsidR="00A879D8">
        <w:rPr>
          <w:rFonts w:ascii="Arial" w:hAnsi="Arial"/>
        </w:rPr>
        <w:t>recipients may add program income to the Federal award. Any program income generated from SLFRF funds must be used for the purposes and under the conditions of the Federal award.</w:t>
      </w:r>
      <w:r w:rsidRPr="10A9F656">
        <w:rPr>
          <w:rFonts w:ascii="Arial" w:hAnsi="Arial"/>
        </w:rPr>
        <w:t xml:space="preserve"> </w:t>
      </w:r>
      <w:r w:rsidR="00DA60D9">
        <w:rPr>
          <w:rFonts w:ascii="Arial" w:hAnsi="Arial"/>
        </w:rPr>
        <w:t>Further</w:t>
      </w:r>
      <w:r w:rsidR="0085625C">
        <w:rPr>
          <w:rFonts w:ascii="Arial" w:hAnsi="Arial"/>
        </w:rPr>
        <w:t xml:space="preserve">, Final Rule FAQ 4.9 provides additional information about program income requirements applicable to certain eligible uses, and Final Rule FAQ 13.15 clarifies that only a subset of the Uniform Guidance requirements at 2 CFR 200 Subpart D (Post Federal Award Requirements) applies to recipients’ use of funds in the revenue loss eligible use category.  The list of applicable Subpart D requirements in Final Rule FAQ 13.15 does not include the program income requirements in 2 CFR 200.307.  </w:t>
      </w:r>
      <w:r w:rsidRPr="10A9F656">
        <w:rPr>
          <w:rFonts w:ascii="Arial" w:hAnsi="Arial"/>
        </w:rPr>
        <w:t xml:space="preserve">   </w:t>
      </w:r>
    </w:p>
    <w:p w:rsidR="00377A21" w:rsidRPr="00E21798" w:rsidP="00FD6A50" w14:paraId="2A60EF14" w14:textId="77777777">
      <w:pPr>
        <w:pStyle w:val="ListParagraph"/>
        <w:widowControl w:val="0"/>
        <w:spacing w:after="0" w:line="240" w:lineRule="auto"/>
        <w:jc w:val="both"/>
        <w:rPr>
          <w:rFonts w:ascii="Arial" w:hAnsi="Arial"/>
        </w:rPr>
      </w:pPr>
    </w:p>
    <w:p w:rsidR="00E86315" w:rsidRPr="00E21798" w:rsidP="00CE5331" w14:paraId="76A88738" w14:textId="5E01A08B">
      <w:pPr>
        <w:pStyle w:val="ListParagraph"/>
        <w:numPr>
          <w:ilvl w:val="0"/>
          <w:numId w:val="34"/>
        </w:numPr>
        <w:spacing w:after="0" w:line="240" w:lineRule="auto"/>
        <w:jc w:val="both"/>
        <w:rPr>
          <w:rFonts w:ascii="Arial" w:hAnsi="Arial"/>
        </w:rPr>
      </w:pPr>
      <w:r w:rsidRPr="10A9F656">
        <w:rPr>
          <w:rFonts w:ascii="Arial" w:hAnsi="Arial"/>
          <w:b/>
          <w:bCs/>
        </w:rPr>
        <w:t xml:space="preserve">Reporting. </w:t>
      </w:r>
      <w:r w:rsidRPr="10A9F656">
        <w:rPr>
          <w:rFonts w:ascii="Arial" w:hAnsi="Arial"/>
        </w:rPr>
        <w:t xml:space="preserve">All recipients of federal funds must complete financial, performance, and compliance reporting as required and outlined in Part 2 of this guidance.  Expenditures may be reported on a cash or accrual basis, </w:t>
      </w:r>
      <w:r w:rsidRPr="10A9F656">
        <w:rPr>
          <w:rFonts w:ascii="Arial" w:hAnsi="Arial"/>
        </w:rPr>
        <w:t>as long as</w:t>
      </w:r>
      <w:r w:rsidRPr="10A9F656">
        <w:rPr>
          <w:rFonts w:ascii="Arial" w:hAnsi="Arial"/>
        </w:rPr>
        <w:t xml:space="preserve"> the methodology is disclosed and consistently applied. Reporting must be consistent with the definition of expenditures pursuant to 2 CFR 200.1.  Your organization should appropriately maintain accounting records for compiling and reporting accurate, compliant financial data, in accordance with appropriate accounting standards and principles.</w:t>
      </w:r>
    </w:p>
    <w:p w:rsidR="00E86315" w:rsidRPr="00E21798" w:rsidP="00FD6A50" w14:paraId="3A5873E4" w14:textId="77777777">
      <w:pPr>
        <w:spacing w:after="0" w:line="240" w:lineRule="auto"/>
        <w:ind w:left="720"/>
        <w:jc w:val="both"/>
        <w:rPr>
          <w:rFonts w:ascii="Arial" w:hAnsi="Arial"/>
        </w:rPr>
      </w:pPr>
    </w:p>
    <w:p w:rsidR="00E86315" w:rsidP="10A9F656" w14:paraId="6E62D81A" w14:textId="24CF8240">
      <w:pPr>
        <w:widowControl w:val="0"/>
        <w:spacing w:after="0" w:line="240" w:lineRule="auto"/>
        <w:ind w:left="360"/>
        <w:jc w:val="both"/>
        <w:rPr>
          <w:rFonts w:ascii="Arial" w:hAnsi="Arial"/>
        </w:rPr>
      </w:pPr>
      <w:r w:rsidRPr="10A9F656">
        <w:rPr>
          <w:rFonts w:ascii="Arial" w:hAnsi="Arial"/>
        </w:rPr>
        <w:t xml:space="preserve">In addition, where appropriate, your organization needs to establish controls to ensure completion and timely submission of all mandatory performance and/or compliance reporting. See Part 2 of this guidance for a full overview of recipient reporting responsibilities.  </w:t>
      </w:r>
    </w:p>
    <w:p w:rsidR="00B372EB" w:rsidP="007777CF" w14:paraId="47C48E17" w14:textId="5A8BF513">
      <w:pPr>
        <w:widowControl w:val="0"/>
        <w:spacing w:after="0" w:line="240" w:lineRule="auto"/>
        <w:ind w:left="360"/>
        <w:jc w:val="both"/>
        <w:rPr>
          <w:rFonts w:ascii="Arial" w:hAnsi="Arial"/>
        </w:rPr>
      </w:pPr>
    </w:p>
    <w:p w:rsidR="00B372EB" w:rsidRPr="00647F4B" w:rsidP="10A9F656" w14:paraId="4645C93F" w14:textId="1B7E30C9">
      <w:pPr>
        <w:widowControl w:val="0"/>
        <w:spacing w:after="0" w:line="240" w:lineRule="auto"/>
        <w:ind w:left="360"/>
        <w:jc w:val="both"/>
      </w:pPr>
      <w:r>
        <w:rPr>
          <w:rFonts w:ascii="Arial" w:hAnsi="Arial"/>
        </w:rPr>
        <w:t>C</w:t>
      </w:r>
      <w:r>
        <w:rPr>
          <w:rFonts w:ascii="Arial" w:hAnsi="Arial"/>
        </w:rPr>
        <w:t>onsolidated jurisdiction</w:t>
      </w:r>
      <w:r>
        <w:rPr>
          <w:rFonts w:ascii="Arial" w:hAnsi="Arial"/>
        </w:rPr>
        <w:t>s</w:t>
      </w:r>
      <w:r>
        <w:rPr>
          <w:rFonts w:ascii="Arial" w:hAnsi="Arial"/>
        </w:rPr>
        <w:t xml:space="preserve"> </w:t>
      </w:r>
      <w:r w:rsidR="00767B9E">
        <w:rPr>
          <w:rFonts w:ascii="Arial" w:hAnsi="Arial"/>
        </w:rPr>
        <w:t>or other type</w:t>
      </w:r>
      <w:r w:rsidR="006634E0">
        <w:rPr>
          <w:rFonts w:ascii="Arial" w:hAnsi="Arial"/>
        </w:rPr>
        <w:t>s</w:t>
      </w:r>
      <w:r w:rsidR="00767B9E">
        <w:rPr>
          <w:rFonts w:ascii="Arial" w:hAnsi="Arial"/>
        </w:rPr>
        <w:t xml:space="preserve"> of jurisdiction</w:t>
      </w:r>
      <w:r w:rsidR="006634E0">
        <w:rPr>
          <w:rFonts w:ascii="Arial" w:hAnsi="Arial"/>
        </w:rPr>
        <w:t>s</w:t>
      </w:r>
      <w:r w:rsidR="00767B9E">
        <w:rPr>
          <w:rFonts w:ascii="Arial" w:hAnsi="Arial"/>
        </w:rPr>
        <w:t xml:space="preserve"> </w:t>
      </w:r>
      <w:r w:rsidR="007770D6">
        <w:rPr>
          <w:rFonts w:ascii="Arial" w:hAnsi="Arial"/>
        </w:rPr>
        <w:t>that</w:t>
      </w:r>
      <w:r>
        <w:rPr>
          <w:rFonts w:ascii="Arial" w:hAnsi="Arial"/>
        </w:rPr>
        <w:t xml:space="preserve"> received multiple SLFRF allocations</w:t>
      </w:r>
      <w:r w:rsidR="006634E0">
        <w:rPr>
          <w:rFonts w:ascii="Arial" w:hAnsi="Arial"/>
        </w:rPr>
        <w:t xml:space="preserve"> </w:t>
      </w:r>
      <w:r w:rsidR="006634E0">
        <w:rPr>
          <w:rFonts w:ascii="Arial" w:hAnsi="Arial"/>
        </w:rPr>
        <w:t>(e.g., a county and city with a consolidated government)</w:t>
      </w:r>
      <w:r w:rsidR="006D247F">
        <w:rPr>
          <w:rFonts w:ascii="Arial" w:hAnsi="Arial"/>
        </w:rPr>
        <w:t xml:space="preserve"> </w:t>
      </w:r>
      <w:r w:rsidRPr="0052725B" w:rsidR="008F2C8F">
        <w:rPr>
          <w:rFonts w:ascii="Arial" w:hAnsi="Arial"/>
        </w:rPr>
        <w:t>are only required to file once per reporting period, and such reports will cover the total SLFRF allocations received by the jurisdiction.</w:t>
      </w:r>
      <w:r w:rsidRPr="0052725B" w:rsidR="006634E0">
        <w:rPr>
          <w:rFonts w:ascii="Arial" w:hAnsi="Arial"/>
        </w:rPr>
        <w:t xml:space="preserve"> This includes </w:t>
      </w:r>
      <w:r w:rsidRPr="0052725B" w:rsidR="00795CB6">
        <w:rPr>
          <w:rFonts w:ascii="Arial" w:hAnsi="Arial"/>
        </w:rPr>
        <w:t>Non-entitlement</w:t>
      </w:r>
      <w:r w:rsidRPr="0052725B" w:rsidR="00795CB6">
        <w:rPr>
          <w:rFonts w:ascii="Arial" w:hAnsi="Arial"/>
        </w:rPr>
        <w:t xml:space="preserve"> units of local government (</w:t>
      </w:r>
      <w:r w:rsidR="00E54B9C">
        <w:rPr>
          <w:rFonts w:ascii="Arial" w:hAnsi="Arial"/>
        </w:rPr>
        <w:t>“</w:t>
      </w:r>
      <w:r w:rsidRPr="0052725B" w:rsidR="00795CB6">
        <w:rPr>
          <w:rFonts w:ascii="Arial" w:hAnsi="Arial"/>
        </w:rPr>
        <w:t>NEUs</w:t>
      </w:r>
      <w:r w:rsidR="00E54B9C">
        <w:rPr>
          <w:rFonts w:ascii="Arial" w:hAnsi="Arial"/>
        </w:rPr>
        <w:t>”</w:t>
      </w:r>
      <w:r w:rsidRPr="0052725B" w:rsidR="00795CB6">
        <w:rPr>
          <w:rFonts w:ascii="Arial" w:hAnsi="Arial"/>
        </w:rPr>
        <w:t>)</w:t>
      </w:r>
      <w:r w:rsidR="00EC3A7E">
        <w:rPr>
          <w:rFonts w:ascii="Arial" w:hAnsi="Arial"/>
        </w:rPr>
        <w:t xml:space="preserve"> and/or </w:t>
      </w:r>
      <w:r w:rsidRPr="0052725B" w:rsidR="00D24834">
        <w:rPr>
          <w:rFonts w:ascii="Arial" w:hAnsi="Arial"/>
        </w:rPr>
        <w:t xml:space="preserve">Units of general local government </w:t>
      </w:r>
      <w:r w:rsidR="009217CB">
        <w:rPr>
          <w:rFonts w:ascii="Arial" w:hAnsi="Arial"/>
        </w:rPr>
        <w:t xml:space="preserve">located </w:t>
      </w:r>
      <w:r w:rsidRPr="0052725B" w:rsidR="00D24834">
        <w:rPr>
          <w:rFonts w:ascii="Arial" w:hAnsi="Arial"/>
        </w:rPr>
        <w:t>within counties that are not units of general local governmen</w:t>
      </w:r>
      <w:r w:rsidR="00EC3A7E">
        <w:rPr>
          <w:rFonts w:ascii="Arial" w:hAnsi="Arial"/>
        </w:rPr>
        <w:t xml:space="preserve">t.  </w:t>
      </w:r>
      <w:r w:rsidRPr="0052725B" w:rsidR="005E295A">
        <w:rPr>
          <w:rFonts w:ascii="Arial" w:hAnsi="Arial"/>
        </w:rPr>
        <w:t>In addition, the total SLFRF allocations across all sources for a given jurisdiction will be used to</w:t>
      </w:r>
      <w:r w:rsidR="005E295A">
        <w:t xml:space="preserve"> identify that jurisdiction’s </w:t>
      </w:r>
      <w:r w:rsidR="00F874F8">
        <w:t>R</w:t>
      </w:r>
      <w:r w:rsidR="005E295A">
        <w:t xml:space="preserve">eporting </w:t>
      </w:r>
      <w:r w:rsidR="00F874F8">
        <w:t>T</w:t>
      </w:r>
      <w:r w:rsidR="005E295A">
        <w:t xml:space="preserve">ier. </w:t>
      </w:r>
    </w:p>
    <w:p w:rsidR="00E86315" w:rsidRPr="00E21798" w:rsidP="00FD6A50" w14:paraId="61095B53" w14:textId="77777777">
      <w:pPr>
        <w:widowControl w:val="0"/>
        <w:spacing w:after="0" w:line="240" w:lineRule="auto"/>
        <w:ind w:left="720"/>
        <w:jc w:val="both"/>
        <w:rPr>
          <w:rFonts w:ascii="Arial" w:hAnsi="Arial"/>
        </w:rPr>
      </w:pPr>
    </w:p>
    <w:p w:rsidR="00E86315" w:rsidP="00CE5331" w14:paraId="3F015EFC" w14:textId="5B8F96BE">
      <w:pPr>
        <w:pStyle w:val="ListParagraph"/>
        <w:numPr>
          <w:ilvl w:val="0"/>
          <w:numId w:val="34"/>
        </w:numPr>
        <w:spacing w:after="0" w:line="240" w:lineRule="auto"/>
        <w:jc w:val="both"/>
        <w:rPr>
          <w:rFonts w:ascii="Arial" w:hAnsi="Arial"/>
        </w:rPr>
      </w:pPr>
      <w:bookmarkStart w:id="5" w:name="_Hlk95121816"/>
      <w:r w:rsidRPr="10A9F656">
        <w:rPr>
          <w:rFonts w:ascii="Arial" w:hAnsi="Arial"/>
          <w:b/>
          <w:bCs/>
        </w:rPr>
        <w:t>Subrecipient Monitoring.</w:t>
      </w:r>
      <w:r w:rsidRPr="10A9F656">
        <w:rPr>
          <w:rFonts w:ascii="Arial" w:hAnsi="Arial"/>
        </w:rPr>
        <w:t xml:space="preserve"> SLFRF recipients that are pass-through entities as described under 2 CFR 200.1 are required to manage and monitor their subrecipients to ensure compliance with requirements of the SLFRF award pursuant to 2 CFR 200.332 regarding requirements for pass-through entities. </w:t>
      </w:r>
    </w:p>
    <w:p w:rsidR="00E86315" w:rsidRPr="003C5176" w:rsidP="00FD6A50" w14:paraId="32A5CF9A" w14:textId="77777777">
      <w:pPr>
        <w:pStyle w:val="ListParagraph"/>
        <w:widowControl w:val="0"/>
        <w:spacing w:after="0" w:line="240" w:lineRule="auto"/>
        <w:jc w:val="both"/>
        <w:rPr>
          <w:rFonts w:ascii="Arial" w:hAnsi="Arial"/>
        </w:rPr>
      </w:pPr>
    </w:p>
    <w:p w:rsidR="00E86315" w:rsidRPr="003C5176" w:rsidP="10A9F656" w14:paraId="1E1A098F" w14:textId="08298C24">
      <w:pPr>
        <w:widowControl w:val="0"/>
        <w:spacing w:after="0" w:line="240" w:lineRule="auto"/>
        <w:ind w:left="360"/>
        <w:jc w:val="both"/>
        <w:rPr>
          <w:rFonts w:ascii="Arial" w:hAnsi="Arial"/>
        </w:rPr>
      </w:pPr>
      <w:r w:rsidRPr="10A9F656">
        <w:rPr>
          <w:rFonts w:ascii="Arial" w:hAnsi="Arial"/>
        </w:rPr>
        <w:t xml:space="preserve">First, your organization must clearly identify to the subrecipient: (1) that the award is a subaward of SLFRF funds; (2) </w:t>
      </w:r>
      <w:r w:rsidRPr="10A9F656">
        <w:rPr>
          <w:rFonts w:ascii="Arial" w:hAnsi="Arial"/>
        </w:rPr>
        <w:t>any and all</w:t>
      </w:r>
      <w:r w:rsidRPr="10A9F656">
        <w:rPr>
          <w:rFonts w:ascii="Arial" w:hAnsi="Arial"/>
        </w:rPr>
        <w:t xml:space="preserve"> compliance requirements for use of SLFRF funds; and (3) any and all reporting requirements for expenditures of SLFRF funds. </w:t>
      </w:r>
    </w:p>
    <w:p w:rsidR="00864F4E" w:rsidP="007777CF" w14:paraId="17D9EAC2" w14:textId="77777777">
      <w:pPr>
        <w:widowControl w:val="0"/>
        <w:spacing w:after="0" w:line="240" w:lineRule="auto"/>
        <w:ind w:left="360"/>
        <w:jc w:val="both"/>
        <w:rPr>
          <w:rFonts w:ascii="Arial" w:hAnsi="Arial"/>
        </w:rPr>
      </w:pPr>
    </w:p>
    <w:p w:rsidR="00E86315" w:rsidRPr="00A8644E" w:rsidP="007777CF" w14:paraId="67ED78C8" w14:textId="38AB1F3B">
      <w:pPr>
        <w:widowControl w:val="0"/>
        <w:spacing w:after="0" w:line="240" w:lineRule="auto"/>
        <w:ind w:left="360"/>
        <w:jc w:val="both"/>
        <w:rPr>
          <w:rFonts w:ascii="Arial" w:hAnsi="Arial"/>
        </w:rPr>
      </w:pPr>
      <w:r w:rsidRPr="10A9F656">
        <w:rPr>
          <w:rFonts w:ascii="Arial" w:hAnsi="Arial"/>
        </w:rPr>
        <w:t>Next, your organization will need to evaluate each subrecipient’s risk of noncompliance based on a set of common factors. These risk assessments may include factors such as prior experience in managing Federal funds, previous audits, personnel, and policies or procedures for award execution and oversight. Ongoing monitoring of any given subrecipient should reflect its assessed risk and include monitoring, identification of deficiencies, and follow-up to ensure appropriate remediation.</w:t>
      </w:r>
    </w:p>
    <w:p w:rsidR="004206B6" w:rsidP="00FD6A50" w14:paraId="1A750A74" w14:textId="77777777">
      <w:pPr>
        <w:widowControl w:val="0"/>
        <w:spacing w:after="0" w:line="240" w:lineRule="auto"/>
        <w:ind w:left="360"/>
        <w:jc w:val="both"/>
        <w:rPr>
          <w:rFonts w:ascii="Arial" w:hAnsi="Arial"/>
        </w:rPr>
      </w:pPr>
    </w:p>
    <w:p w:rsidR="00E86315" w:rsidP="10A9F656" w14:paraId="498EC8AB" w14:textId="0A41D42A">
      <w:pPr>
        <w:widowControl w:val="0"/>
        <w:spacing w:after="0" w:line="240" w:lineRule="auto"/>
        <w:ind w:left="360"/>
        <w:jc w:val="both"/>
        <w:rPr>
          <w:rFonts w:ascii="Arial" w:hAnsi="Arial"/>
        </w:rPr>
      </w:pPr>
      <w:r w:rsidRPr="10A9F656">
        <w:rPr>
          <w:rFonts w:ascii="Arial" w:hAnsi="Arial"/>
        </w:rPr>
        <w:t>Accordingly, your organization should develop written policies and procedures for subrecipient monitoring and risk assessment and maintain records of all award agreements identifying or otherwise documenting subrecipients’ compliance obligations.</w:t>
      </w:r>
    </w:p>
    <w:p w:rsidR="008B4E81" w:rsidP="00FD6A50" w14:paraId="68D93ED9" w14:textId="714CF6CD">
      <w:pPr>
        <w:widowControl w:val="0"/>
        <w:spacing w:after="0" w:line="240" w:lineRule="auto"/>
        <w:ind w:left="360"/>
        <w:jc w:val="both"/>
        <w:rPr>
          <w:rFonts w:ascii="Arial" w:hAnsi="Arial"/>
        </w:rPr>
      </w:pPr>
    </w:p>
    <w:p w:rsidR="008B4E81" w:rsidRPr="003C5176" w:rsidP="10A9F656" w14:paraId="30A50CDC" w14:textId="74391036">
      <w:pPr>
        <w:widowControl w:val="0"/>
        <w:spacing w:after="0" w:line="240" w:lineRule="auto"/>
        <w:ind w:left="360"/>
        <w:jc w:val="both"/>
        <w:rPr>
          <w:rFonts w:ascii="Arial" w:hAnsi="Arial"/>
        </w:rPr>
      </w:pPr>
      <w:r w:rsidRPr="0052725B">
        <w:rPr>
          <w:rFonts w:ascii="Arial" w:hAnsi="Arial"/>
        </w:rPr>
        <w:t>Recipients should note that NEUs</w:t>
      </w:r>
      <w:r w:rsidR="0057008A">
        <w:rPr>
          <w:rFonts w:ascii="Arial" w:hAnsi="Arial"/>
        </w:rPr>
        <w:t xml:space="preserve"> </w:t>
      </w:r>
      <w:r w:rsidRPr="0052725B">
        <w:rPr>
          <w:rFonts w:ascii="Arial" w:hAnsi="Arial"/>
        </w:rPr>
        <w:t xml:space="preserve">are not subrecipients under the SLFRF program. They are SLFRF recipients that report directly to Treasury. </w:t>
      </w:r>
    </w:p>
    <w:p w:rsidR="2C787DD9" w:rsidRPr="002306F3" w:rsidP="002306F3" w14:paraId="1EAF9063" w14:textId="2ABF98FF">
      <w:pPr>
        <w:spacing w:after="0" w:line="240" w:lineRule="auto"/>
        <w:ind w:left="360"/>
        <w:jc w:val="both"/>
        <w:rPr>
          <w:rFonts w:ascii="Arial" w:eastAsia="Times New Roman" w:hAnsi="Arial" w:cs="Arial"/>
        </w:rPr>
      </w:pPr>
    </w:p>
    <w:p w:rsidR="00894552" w:rsidP="004F16D1" w14:paraId="1684EE00" w14:textId="5CD47306">
      <w:pPr>
        <w:ind w:left="360"/>
        <w:jc w:val="both"/>
        <w:rPr>
          <w:rFonts w:ascii="Arial" w:eastAsia="Arial" w:hAnsi="Arial" w:cs="Arial"/>
        </w:rPr>
      </w:pPr>
      <w:r w:rsidRPr="10A9F656">
        <w:rPr>
          <w:rFonts w:ascii="Arial" w:eastAsia="Arial" w:hAnsi="Arial" w:cs="Arial"/>
        </w:rPr>
        <w:t>Recipients should also note that subrecipients do not include individuals and organizations that received SLFRF funds as end users</w:t>
      </w:r>
      <w:r>
        <w:t xml:space="preserve">. Such </w:t>
      </w:r>
      <w:r w:rsidRPr="10A9F656">
        <w:rPr>
          <w:rFonts w:ascii="Arial" w:eastAsia="Arial" w:hAnsi="Arial" w:cs="Arial"/>
        </w:rPr>
        <w:t>individuals and organizations</w:t>
      </w:r>
      <w:r>
        <w:t xml:space="preserve"> </w:t>
      </w:r>
      <w:r w:rsidRPr="10A9F656">
        <w:rPr>
          <w:rFonts w:ascii="Arial" w:eastAsia="Arial" w:hAnsi="Arial" w:cs="Arial"/>
        </w:rPr>
        <w:t xml:space="preserve">are beneficiaries and </w:t>
      </w:r>
      <w:r>
        <w:t>not subject to audit pursuant to the Single Audit Act and 2 C.F.R. Part 200, Subpart F.</w:t>
      </w:r>
      <w:r w:rsidRPr="10A9F656">
        <w:rPr>
          <w:rFonts w:ascii="Arial" w:eastAsia="Arial" w:hAnsi="Arial" w:cs="Arial"/>
        </w:rPr>
        <w:t xml:space="preserve"> </w:t>
      </w:r>
    </w:p>
    <w:p w:rsidR="00E86315" w:rsidP="007777CF" w14:paraId="05B52569" w14:textId="590895E0">
      <w:pPr>
        <w:widowControl w:val="0"/>
        <w:spacing w:after="0" w:line="240" w:lineRule="auto"/>
        <w:ind w:left="360"/>
        <w:jc w:val="both"/>
        <w:rPr>
          <w:rFonts w:ascii="Arial" w:eastAsia="Arial" w:hAnsi="Arial" w:cs="Arial"/>
        </w:rPr>
      </w:pPr>
      <w:bookmarkStart w:id="6" w:name="_Hlk85623725"/>
      <w:r>
        <w:rPr>
          <w:rFonts w:ascii="Arial" w:eastAsia="Arial" w:hAnsi="Arial" w:cs="Arial"/>
        </w:rPr>
        <w:t>M</w:t>
      </w:r>
      <w:r w:rsidRPr="10A9F656" w:rsidR="10A9F656">
        <w:rPr>
          <w:rFonts w:ascii="Arial" w:eastAsia="Arial" w:hAnsi="Arial" w:cs="Arial"/>
        </w:rPr>
        <w:t xml:space="preserve">any recipients may choose to provide a subaward </w:t>
      </w:r>
      <w:r w:rsidR="00FE16A7">
        <w:rPr>
          <w:rFonts w:ascii="Arial" w:eastAsia="Arial" w:hAnsi="Arial" w:cs="Arial"/>
        </w:rPr>
        <w:t>or contract</w:t>
      </w:r>
      <w:r w:rsidRPr="10A9F656" w:rsidR="10A9F656">
        <w:rPr>
          <w:rFonts w:ascii="Arial" w:eastAsia="Arial" w:hAnsi="Arial" w:cs="Arial"/>
        </w:rPr>
        <w:t xml:space="preserve"> to other entities to provide services to </w:t>
      </w:r>
      <w:r w:rsidRPr="0052725B" w:rsidR="10A9F656">
        <w:rPr>
          <w:rFonts w:ascii="Arial" w:hAnsi="Arial"/>
        </w:rPr>
        <w:t>other</w:t>
      </w:r>
      <w:r w:rsidRPr="10A9F656" w:rsidR="10A9F656">
        <w:rPr>
          <w:rFonts w:ascii="Arial" w:eastAsia="Arial" w:hAnsi="Arial" w:cs="Arial"/>
        </w:rPr>
        <w:t xml:space="preserve"> end</w:t>
      </w:r>
      <w:r w:rsidR="00243989">
        <w:rPr>
          <w:rFonts w:ascii="Arial" w:eastAsia="Arial" w:hAnsi="Arial" w:cs="Arial"/>
        </w:rPr>
        <w:t xml:space="preserve"> </w:t>
      </w:r>
      <w:r w:rsidRPr="10A9F656" w:rsidR="10A9F656">
        <w:rPr>
          <w:rFonts w:ascii="Arial" w:eastAsia="Arial" w:hAnsi="Arial" w:cs="Arial"/>
        </w:rPr>
        <w:t xml:space="preserve">users. For example, a recipient may provide a </w:t>
      </w:r>
      <w:r w:rsidR="00FE16A7">
        <w:rPr>
          <w:rFonts w:ascii="Arial" w:eastAsia="Arial" w:hAnsi="Arial" w:cs="Arial"/>
        </w:rPr>
        <w:t>subaward</w:t>
      </w:r>
      <w:r w:rsidRPr="10A9F656" w:rsidR="10A9F656">
        <w:rPr>
          <w:rFonts w:ascii="Arial" w:eastAsia="Arial" w:hAnsi="Arial" w:cs="Arial"/>
        </w:rPr>
        <w:t xml:space="preserve"> to a nonprofit to provide homeless services to individuals experiencing homelessness. In this case, the subaward to a nonprofit is based on the services that the </w:t>
      </w:r>
      <w:r w:rsidR="00BE0896">
        <w:rPr>
          <w:rFonts w:ascii="Arial" w:eastAsia="Arial" w:hAnsi="Arial" w:cs="Arial"/>
        </w:rPr>
        <w:t>r</w:t>
      </w:r>
      <w:r w:rsidRPr="10A9F656" w:rsidR="10A9F656">
        <w:rPr>
          <w:rFonts w:ascii="Arial" w:eastAsia="Arial" w:hAnsi="Arial" w:cs="Arial"/>
        </w:rPr>
        <w:t xml:space="preserve">ecipient intends to provide </w:t>
      </w:r>
      <w:r w:rsidR="0016452A">
        <w:rPr>
          <w:rFonts w:ascii="Arial" w:eastAsia="Arial" w:hAnsi="Arial" w:cs="Arial"/>
        </w:rPr>
        <w:t>(</w:t>
      </w:r>
      <w:r w:rsidRPr="10A9F656" w:rsidR="10A9F656">
        <w:rPr>
          <w:rFonts w:ascii="Arial" w:eastAsia="Arial" w:hAnsi="Arial" w:cs="Arial"/>
        </w:rPr>
        <w:t>assistance to households experiencing homelessness</w:t>
      </w:r>
      <w:r w:rsidR="0016452A">
        <w:rPr>
          <w:rFonts w:ascii="Arial" w:eastAsia="Arial" w:hAnsi="Arial" w:cs="Arial"/>
        </w:rPr>
        <w:t>)</w:t>
      </w:r>
      <w:r w:rsidRPr="10A9F656" w:rsidR="10A9F656">
        <w:rPr>
          <w:rFonts w:ascii="Arial" w:eastAsia="Arial" w:hAnsi="Arial" w:cs="Arial"/>
        </w:rPr>
        <w:t xml:space="preserve">, and the nonprofit is serving as the subrecipient, providing services on behalf of the recipient.  Subrecipients are subject to </w:t>
      </w:r>
      <w:r w:rsidR="00FE16A7">
        <w:rPr>
          <w:rFonts w:ascii="Arial" w:eastAsia="Arial" w:hAnsi="Arial" w:cs="Arial"/>
        </w:rPr>
        <w:t>an</w:t>
      </w:r>
      <w:r w:rsidRPr="10A9F656" w:rsidR="10A9F656">
        <w:rPr>
          <w:rFonts w:ascii="Arial" w:eastAsia="Arial" w:hAnsi="Arial" w:cs="Arial"/>
        </w:rPr>
        <w:t xml:space="preserve"> audit </w:t>
      </w:r>
      <w:r w:rsidR="10A9F656">
        <w:t>pursuant to t</w:t>
      </w:r>
      <w:r w:rsidRPr="10A9F656" w:rsidR="10A9F656">
        <w:rPr>
          <w:rFonts w:ascii="Arial" w:eastAsia="Arial" w:hAnsi="Arial" w:cs="Arial"/>
        </w:rPr>
        <w:t>he Single Audit Act and 2 CFR part 200, subpart F regarding audit requirements</w:t>
      </w:r>
      <w:r w:rsidR="007E3E75">
        <w:rPr>
          <w:rFonts w:ascii="Arial" w:eastAsia="Arial" w:hAnsi="Arial" w:cs="Arial"/>
        </w:rPr>
        <w:t>, w</w:t>
      </w:r>
      <w:r w:rsidR="00FE16A7">
        <w:rPr>
          <w:rFonts w:ascii="Arial" w:eastAsia="Arial" w:hAnsi="Arial" w:cs="Arial"/>
        </w:rPr>
        <w:t xml:space="preserve">hereas contractors are not </w:t>
      </w:r>
      <w:r w:rsidRPr="10A9F656" w:rsidR="00FE16A7">
        <w:rPr>
          <w:rFonts w:ascii="Arial" w:eastAsia="Arial" w:hAnsi="Arial" w:cs="Arial"/>
        </w:rPr>
        <w:t xml:space="preserve">subject to </w:t>
      </w:r>
      <w:r w:rsidR="00FE16A7">
        <w:rPr>
          <w:rFonts w:ascii="Arial" w:eastAsia="Arial" w:hAnsi="Arial" w:cs="Arial"/>
        </w:rPr>
        <w:t>an</w:t>
      </w:r>
      <w:r w:rsidRPr="10A9F656" w:rsidR="10A9F656">
        <w:rPr>
          <w:rFonts w:ascii="Arial" w:eastAsia="Arial" w:hAnsi="Arial" w:cs="Arial"/>
        </w:rPr>
        <w:t xml:space="preserve"> audit </w:t>
      </w:r>
      <w:r w:rsidR="10A9F656">
        <w:t>pursuant to t</w:t>
      </w:r>
      <w:r w:rsidRPr="10A9F656" w:rsidR="10A9F656">
        <w:rPr>
          <w:rFonts w:ascii="Arial" w:eastAsia="Arial" w:hAnsi="Arial" w:cs="Arial"/>
        </w:rPr>
        <w:t>he Single Audit Act and 2 CFR part 200, subpart F regarding audit requirements.</w:t>
      </w:r>
      <w:bookmarkEnd w:id="6"/>
    </w:p>
    <w:p w:rsidR="00950637" w:rsidP="007777CF" w14:paraId="396A9701" w14:textId="492FD907">
      <w:pPr>
        <w:widowControl w:val="0"/>
        <w:spacing w:after="0" w:line="240" w:lineRule="auto"/>
        <w:ind w:left="360"/>
        <w:jc w:val="both"/>
        <w:rPr>
          <w:rFonts w:ascii="Arial" w:eastAsia="Arial" w:hAnsi="Arial" w:cs="Arial"/>
        </w:rPr>
      </w:pPr>
    </w:p>
    <w:p w:rsidR="00950637" w:rsidP="007777CF" w14:paraId="4BA5CF50" w14:textId="4C2FE173">
      <w:pPr>
        <w:widowControl w:val="0"/>
        <w:spacing w:after="0" w:line="240" w:lineRule="auto"/>
        <w:ind w:left="360"/>
        <w:jc w:val="both"/>
        <w:rPr>
          <w:rFonts w:ascii="Arial" w:eastAsia="Arial" w:hAnsi="Arial" w:cs="Arial"/>
        </w:rPr>
      </w:pPr>
      <w:r>
        <w:rPr>
          <w:rFonts w:ascii="Arial" w:eastAsia="Arial" w:hAnsi="Arial" w:cs="Arial"/>
        </w:rPr>
        <w:t xml:space="preserve">Please note that as outlined in </w:t>
      </w:r>
      <w:r w:rsidR="00CF263A">
        <w:rPr>
          <w:rFonts w:ascii="Arial" w:eastAsia="Arial" w:hAnsi="Arial" w:cs="Arial"/>
        </w:rPr>
        <w:t xml:space="preserve">Final Rule </w:t>
      </w:r>
      <w:r>
        <w:rPr>
          <w:rFonts w:ascii="Arial" w:eastAsia="Arial" w:hAnsi="Arial" w:cs="Arial"/>
        </w:rPr>
        <w:t xml:space="preserve">FAQ 13.14, recipients’ use of funds in the revenue loss eligible use category does not give rise to subrecipient relationships. </w:t>
      </w:r>
      <w:r w:rsidR="009D02E1">
        <w:rPr>
          <w:rFonts w:ascii="Arial" w:eastAsia="Arial" w:hAnsi="Arial" w:cs="Arial"/>
        </w:rPr>
        <w:t>As a result, s</w:t>
      </w:r>
      <w:r>
        <w:rPr>
          <w:rFonts w:ascii="Arial" w:eastAsia="Arial" w:hAnsi="Arial" w:cs="Arial"/>
        </w:rPr>
        <w:t xml:space="preserve">ubaward reporting is not required for projects in the revenue loss eligible use category. </w:t>
      </w:r>
    </w:p>
    <w:p w:rsidR="00352D7F" w:rsidP="0052725B" w14:paraId="21D47AC5" w14:textId="77777777">
      <w:pPr>
        <w:widowControl w:val="0"/>
        <w:spacing w:after="0" w:line="240" w:lineRule="auto"/>
        <w:ind w:left="360"/>
        <w:jc w:val="both"/>
        <w:rPr>
          <w:rFonts w:ascii="Arial" w:eastAsia="Arial" w:hAnsi="Arial" w:cs="Arial"/>
        </w:rPr>
      </w:pPr>
    </w:p>
    <w:p w:rsidR="00E86315" w:rsidP="00CE5331" w14:paraId="004FDBFF" w14:textId="72274E33">
      <w:pPr>
        <w:pStyle w:val="ListParagraph"/>
        <w:numPr>
          <w:ilvl w:val="0"/>
          <w:numId w:val="34"/>
        </w:numPr>
        <w:spacing w:after="0" w:line="240" w:lineRule="auto"/>
        <w:jc w:val="both"/>
        <w:rPr>
          <w:rFonts w:ascii="Arial" w:hAnsi="Arial"/>
        </w:rPr>
      </w:pPr>
      <w:bookmarkStart w:id="7" w:name="_Hlk73466644"/>
      <w:r w:rsidRPr="00994403">
        <w:rPr>
          <w:rFonts w:ascii="Arial" w:hAnsi="Arial"/>
          <w:b/>
          <w:bCs/>
        </w:rPr>
        <w:t>Special Tests and Provisions.</w:t>
      </w:r>
      <w:r w:rsidRPr="00994403">
        <w:rPr>
          <w:rFonts w:ascii="Arial" w:hAnsi="Arial"/>
        </w:rPr>
        <w:t xml:space="preserve">  </w:t>
      </w:r>
      <w:bookmarkEnd w:id="5"/>
      <w:r w:rsidR="00960E71">
        <w:rPr>
          <w:rFonts w:ascii="Arial" w:hAnsi="Arial"/>
        </w:rPr>
        <w:t xml:space="preserve">From time-to-time, </w:t>
      </w:r>
      <w:r w:rsidRPr="10A9F656">
        <w:rPr>
          <w:rFonts w:ascii="Arial" w:hAnsi="Arial"/>
        </w:rPr>
        <w:t xml:space="preserve">Treasury may </w:t>
      </w:r>
      <w:r w:rsidR="0016452A">
        <w:rPr>
          <w:rFonts w:ascii="Arial" w:hAnsi="Arial"/>
        </w:rPr>
        <w:t>issue</w:t>
      </w:r>
      <w:r w:rsidRPr="10A9F656">
        <w:rPr>
          <w:rFonts w:ascii="Arial" w:hAnsi="Arial"/>
        </w:rPr>
        <w:t xml:space="preserve"> </w:t>
      </w:r>
      <w:r w:rsidRPr="10A9F656">
        <w:rPr>
          <w:rFonts w:ascii="Arial" w:hAnsi="Arial"/>
        </w:rPr>
        <w:t>subregulatory</w:t>
      </w:r>
      <w:r w:rsidRPr="10A9F656">
        <w:rPr>
          <w:rFonts w:ascii="Arial" w:hAnsi="Arial"/>
        </w:rPr>
        <w:t xml:space="preserve"> guidance as well as frequently asked questions. </w:t>
      </w:r>
      <w:bookmarkEnd w:id="7"/>
    </w:p>
    <w:p w:rsidR="00B44653" w:rsidRPr="00994403" w:rsidP="007777CF" w14:paraId="62DA941B" w14:textId="77777777">
      <w:pPr>
        <w:pStyle w:val="ListParagraph"/>
        <w:spacing w:after="0" w:line="240" w:lineRule="auto"/>
        <w:ind w:left="360"/>
        <w:jc w:val="both"/>
        <w:rPr>
          <w:rFonts w:ascii="Arial" w:hAnsi="Arial"/>
        </w:rPr>
      </w:pPr>
    </w:p>
    <w:p w:rsidR="00E86315" w:rsidRPr="007777CF" w:rsidP="00BA4ABD" w14:paraId="12B77EBC" w14:textId="126F2E3D">
      <w:pPr>
        <w:widowControl w:val="0"/>
        <w:spacing w:after="0" w:line="240" w:lineRule="auto"/>
        <w:ind w:left="360"/>
        <w:jc w:val="both"/>
        <w:rPr>
          <w:rFonts w:ascii="Arial" w:hAnsi="Arial"/>
        </w:rPr>
      </w:pPr>
      <w:r w:rsidRPr="10A9F656">
        <w:rPr>
          <w:rFonts w:ascii="Arial" w:hAnsi="Arial"/>
        </w:rPr>
        <w:t xml:space="preserve">Across each of the compliance requirements above, Treasury </w:t>
      </w:r>
      <w:r w:rsidR="007E3E75">
        <w:rPr>
          <w:rFonts w:ascii="Arial" w:hAnsi="Arial"/>
        </w:rPr>
        <w:t xml:space="preserve">has </w:t>
      </w:r>
      <w:r w:rsidRPr="10A9F656">
        <w:rPr>
          <w:rFonts w:ascii="Arial" w:hAnsi="Arial"/>
        </w:rPr>
        <w:t>described some best practices for development of internal controls</w:t>
      </w:r>
      <w:r w:rsidR="007E3E75">
        <w:rPr>
          <w:rFonts w:ascii="Arial" w:hAnsi="Arial"/>
        </w:rPr>
        <w:t xml:space="preserve"> in </w:t>
      </w:r>
      <w:r w:rsidRPr="0052725B" w:rsidR="00557E39">
        <w:rPr>
          <w:rFonts w:ascii="Arial" w:hAnsi="Arial"/>
          <w:b/>
          <w:bCs/>
        </w:rPr>
        <w:t>Table 1</w:t>
      </w:r>
      <w:r w:rsidR="00557E39">
        <w:rPr>
          <w:rFonts w:ascii="Arial" w:hAnsi="Arial"/>
        </w:rPr>
        <w:t xml:space="preserve"> </w:t>
      </w:r>
      <w:r w:rsidR="007E3E75">
        <w:rPr>
          <w:rFonts w:ascii="Arial" w:hAnsi="Arial"/>
        </w:rPr>
        <w:t>below, with an</w:t>
      </w:r>
      <w:r w:rsidRPr="10A9F656">
        <w:rPr>
          <w:rFonts w:ascii="Arial" w:hAnsi="Arial"/>
        </w:rPr>
        <w:t xml:space="preserve"> example of each best practice.</w:t>
      </w:r>
    </w:p>
    <w:p w:rsidR="00E86315" w:rsidP="00FD6A50" w14:paraId="2485B583" w14:textId="545C23F1">
      <w:pPr>
        <w:spacing w:after="0" w:line="240" w:lineRule="auto"/>
        <w:jc w:val="both"/>
        <w:rPr>
          <w:rFonts w:ascii="Arial" w:hAnsi="Arial"/>
        </w:rPr>
      </w:pPr>
    </w:p>
    <w:p w:rsidR="00635EE4" w:rsidRPr="00F22713" w:rsidP="00F22713" w14:paraId="20A7CD79" w14:textId="01E12938">
      <w:pPr>
        <w:pStyle w:val="Caption"/>
        <w:keepNext/>
        <w:spacing w:after="0"/>
        <w:jc w:val="center"/>
        <w:rPr>
          <w:b/>
          <w:bCs/>
          <w:color w:val="auto"/>
        </w:rPr>
      </w:pPr>
      <w:r w:rsidRPr="00F22713">
        <w:rPr>
          <w:b/>
          <w:i w:val="0"/>
          <w:color w:val="auto"/>
          <w:sz w:val="22"/>
        </w:rPr>
        <w:t xml:space="preserve">Table </w:t>
      </w:r>
      <w:r w:rsidRPr="00F22713">
        <w:rPr>
          <w:b/>
          <w:bCs/>
          <w:i w:val="0"/>
          <w:iCs w:val="0"/>
          <w:color w:val="auto"/>
          <w:sz w:val="22"/>
          <w:szCs w:val="22"/>
        </w:rPr>
        <w:fldChar w:fldCharType="begin"/>
      </w:r>
      <w:r w:rsidRPr="00F22713">
        <w:rPr>
          <w:b/>
          <w:bCs/>
          <w:i w:val="0"/>
          <w:iCs w:val="0"/>
          <w:color w:val="auto"/>
          <w:sz w:val="22"/>
          <w:szCs w:val="22"/>
        </w:rPr>
        <w:instrText xml:space="preserve"> SEQ Table \* ARABIC </w:instrText>
      </w:r>
      <w:r w:rsidRPr="00F22713">
        <w:rPr>
          <w:b/>
          <w:bCs/>
          <w:i w:val="0"/>
          <w:iCs w:val="0"/>
          <w:color w:val="auto"/>
          <w:sz w:val="22"/>
          <w:szCs w:val="22"/>
        </w:rPr>
        <w:fldChar w:fldCharType="separate"/>
      </w:r>
      <w:r w:rsidR="000A2643">
        <w:rPr>
          <w:b/>
          <w:bCs/>
          <w:i w:val="0"/>
          <w:iCs w:val="0"/>
          <w:noProof/>
          <w:color w:val="auto"/>
          <w:sz w:val="22"/>
          <w:szCs w:val="22"/>
        </w:rPr>
        <w:t>1</w:t>
      </w:r>
      <w:r w:rsidRPr="00F22713">
        <w:rPr>
          <w:b/>
          <w:bCs/>
          <w:i w:val="0"/>
          <w:iCs w:val="0"/>
          <w:color w:val="auto"/>
          <w:sz w:val="22"/>
          <w:szCs w:val="22"/>
        </w:rPr>
        <w:fldChar w:fldCharType="end"/>
      </w:r>
      <w:r w:rsidRPr="00F22713">
        <w:rPr>
          <w:b/>
          <w:bCs/>
          <w:i w:val="0"/>
          <w:iCs w:val="0"/>
          <w:color w:val="auto"/>
          <w:sz w:val="22"/>
          <w:szCs w:val="22"/>
        </w:rPr>
        <w:t>:</w:t>
      </w:r>
      <w:r w:rsidRPr="00F22713">
        <w:rPr>
          <w:b/>
          <w:i w:val="0"/>
          <w:color w:val="auto"/>
          <w:sz w:val="22"/>
        </w:rPr>
        <w:t xml:space="preserve"> Internal controls best practices</w:t>
      </w:r>
    </w:p>
    <w:tbl>
      <w:tblPr>
        <w:tblStyle w:val="GridTable1Light"/>
        <w:tblW w:w="9000" w:type="dxa"/>
        <w:jc w:val="center"/>
        <w:tblLayout w:type="fixed"/>
        <w:tblLook w:val="06A0"/>
      </w:tblPr>
      <w:tblGrid>
        <w:gridCol w:w="3000"/>
        <w:gridCol w:w="3000"/>
        <w:gridCol w:w="3000"/>
      </w:tblGrid>
      <w:tr w14:paraId="46CEA830" w14:textId="77777777" w:rsidTr="00F22713">
        <w:tblPrEx>
          <w:tblW w:w="9000" w:type="dxa"/>
          <w:jc w:val="center"/>
          <w:tblLayout w:type="fixed"/>
          <w:tblLook w:val="06A0"/>
        </w:tblPrEx>
        <w:trPr>
          <w:tblHeader/>
          <w:jc w:val="center"/>
        </w:trPr>
        <w:tc>
          <w:tcPr>
            <w:tcW w:w="1" w:type="dxa"/>
            <w:tcBorders>
              <w:bottom w:val="single" w:sz="4" w:space="0" w:color="auto"/>
            </w:tcBorders>
            <w:shd w:val="clear" w:color="auto" w:fill="004E7D" w:themeFill="accent6" w:themeFillShade="BF"/>
          </w:tcPr>
          <w:p w:rsidR="00E86315" w:rsidRPr="00635EE4" w:rsidP="10A9F656" w14:paraId="389121D0" w14:textId="77777777">
            <w:pPr>
              <w:jc w:val="center"/>
              <w:rPr>
                <w:color w:val="FFFFFF" w:themeColor="background2"/>
              </w:rPr>
            </w:pPr>
            <w:r w:rsidRPr="007777CF">
              <w:rPr>
                <w:color w:val="FFFFFF" w:themeColor="background2"/>
              </w:rPr>
              <w:t>Best Practice</w:t>
            </w:r>
          </w:p>
        </w:tc>
        <w:tc>
          <w:tcPr>
            <w:tcW w:w="1" w:type="dxa"/>
            <w:tcBorders>
              <w:bottom w:val="single" w:sz="4" w:space="0" w:color="auto"/>
            </w:tcBorders>
            <w:shd w:val="clear" w:color="auto" w:fill="004E7D" w:themeFill="accent6" w:themeFillShade="BF"/>
          </w:tcPr>
          <w:p w:rsidR="00E86315" w:rsidRPr="00635EE4" w:rsidP="10A9F656" w14:paraId="32CAEF98" w14:textId="77777777">
            <w:pPr>
              <w:jc w:val="center"/>
              <w:rPr>
                <w:color w:val="FFFFFF" w:themeColor="background2"/>
              </w:rPr>
            </w:pPr>
            <w:r w:rsidRPr="007777CF">
              <w:rPr>
                <w:color w:val="FFFFFF" w:themeColor="background2"/>
              </w:rPr>
              <w:t>Description</w:t>
            </w:r>
          </w:p>
        </w:tc>
        <w:tc>
          <w:tcPr>
            <w:tcW w:w="1" w:type="dxa"/>
            <w:tcBorders>
              <w:bottom w:val="single" w:sz="4" w:space="0" w:color="auto"/>
            </w:tcBorders>
            <w:shd w:val="clear" w:color="auto" w:fill="004E7D" w:themeFill="accent6" w:themeFillShade="BF"/>
          </w:tcPr>
          <w:p w:rsidR="00E86315" w:rsidRPr="00635EE4" w:rsidP="10A9F656" w14:paraId="2E567B8D" w14:textId="77777777">
            <w:pPr>
              <w:jc w:val="center"/>
              <w:rPr>
                <w:color w:val="FFFFFF" w:themeColor="background2"/>
              </w:rPr>
            </w:pPr>
            <w:r w:rsidRPr="007777CF">
              <w:rPr>
                <w:color w:val="FFFFFF" w:themeColor="background2"/>
              </w:rPr>
              <w:t>Example</w:t>
            </w:r>
          </w:p>
        </w:tc>
      </w:tr>
      <w:tr w14:paraId="39C49926"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01171CB9" w14:textId="77777777">
            <w:r w:rsidRPr="007777CF">
              <w:t>Written policies and procedures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6EB58C2B" w14:textId="25184B1D">
            <w:r w:rsidRPr="007777CF">
              <w:t>Formal documentation of recipient policies and procedures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45CF38D8" w14:textId="77777777">
            <w:r w:rsidRPr="007777CF">
              <w:t>Documented procedure for determining worker eligibility for premium pay</w:t>
            </w:r>
          </w:p>
        </w:tc>
      </w:tr>
      <w:tr w14:paraId="07612DBD"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4634291C" w14:textId="77777777">
            <w:r w:rsidRPr="007777CF">
              <w:t>Written standards of conduct</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5A19FD00" w14:textId="30066683">
            <w:r w:rsidRPr="007777CF">
              <w:t>Formal statement of mission, values, principles, and professional standards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320BBD12" w14:textId="77777777">
            <w:r w:rsidRPr="007777CF">
              <w:t>Documented code of conduct / ethics for subcontractors</w:t>
            </w:r>
          </w:p>
        </w:tc>
      </w:tr>
      <w:tr w14:paraId="13B51A41"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3624691A" w14:textId="77777777">
            <w:r w:rsidRPr="007777CF">
              <w:t>Risk-based due diligence</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DE0E230" w14:textId="0097744E">
            <w:r w:rsidRPr="007777CF">
              <w:t>Pre-payment validations conducted according to an assessed level of risk</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75219D0" w14:textId="3A5E2904">
            <w:r w:rsidRPr="007777CF">
              <w:t>Enhanced eligibility review of subrecipient with imperfect performance history</w:t>
            </w:r>
          </w:p>
        </w:tc>
      </w:tr>
      <w:tr w14:paraId="2FEC9F0D"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5BCF35A" w14:textId="77777777">
            <w:r w:rsidRPr="007777CF">
              <w:t>Risk-based compliance monitoring</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5CD07EF6" w14:textId="127CCF85">
            <w:r w:rsidRPr="007777CF">
              <w:t>Ongoing validations conducted according to an assessed level of risk</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45A39735" w14:textId="4D55771A">
            <w:r w:rsidRPr="007777CF">
              <w:t>Higher degree of monitoring for projects that have a higher risk of fraud, given program characteristics</w:t>
            </w:r>
          </w:p>
        </w:tc>
      </w:tr>
      <w:tr w14:paraId="174C7B9C" w14:textId="77777777" w:rsidTr="00F22713">
        <w:tblPrEx>
          <w:tblW w:w="9000" w:type="dxa"/>
          <w:jc w:val="center"/>
          <w:tblLayout w:type="fixed"/>
          <w:tblLook w:val="06A0"/>
        </w:tblPrEx>
        <w:trPr>
          <w:jc w:val="center"/>
        </w:trPr>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239E848D" w14:textId="77777777">
            <w:r w:rsidRPr="007777CF">
              <w:t>Record maintenance and retention</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134FCC00" w14:textId="77777777">
            <w:r w:rsidRPr="007777CF">
              <w:t>Creation and storage of financial and non-financial records.</w:t>
            </w:r>
          </w:p>
        </w:tc>
        <w:tc>
          <w:tcPr>
            <w:tcW w:w="1" w:type="dxa"/>
            <w:tcBorders>
              <w:top w:val="single" w:sz="4" w:space="0" w:color="auto"/>
              <w:left w:val="single" w:sz="4" w:space="0" w:color="auto"/>
              <w:bottom w:val="single" w:sz="4" w:space="0" w:color="auto"/>
              <w:right w:val="single" w:sz="4" w:space="0" w:color="auto"/>
            </w:tcBorders>
            <w:shd w:val="clear" w:color="auto" w:fill="D5EFFF"/>
          </w:tcPr>
          <w:p w:rsidR="00E86315" w:rsidRPr="00635EE4" w:rsidP="00FD6A50" w14:paraId="7751C701" w14:textId="77777777">
            <w:r w:rsidRPr="007777CF">
              <w:t>Storage of all subrecipient payment information.</w:t>
            </w:r>
          </w:p>
        </w:tc>
      </w:tr>
    </w:tbl>
    <w:p w:rsidR="00E86315" w:rsidRPr="00255E97" w:rsidP="00FD6A50" w14:paraId="2ED39603" w14:textId="7F5CF971">
      <w:pPr>
        <w:widowControl w:val="0"/>
        <w:spacing w:after="0" w:line="240" w:lineRule="auto"/>
        <w:ind w:left="720"/>
        <w:jc w:val="both"/>
      </w:pPr>
      <w:r w:rsidRPr="008C7BE7">
        <w:rPr>
          <w:rFonts w:ascii="Arial" w:hAnsi="Arial"/>
        </w:rPr>
        <w:t xml:space="preserve"> </w:t>
      </w:r>
    </w:p>
    <w:p w:rsidR="00A25F76" w:rsidP="00CE5331" w14:paraId="4332A3FA" w14:textId="4C07989F">
      <w:pPr>
        <w:pStyle w:val="ListParagraph"/>
        <w:widowControl w:val="0"/>
        <w:numPr>
          <w:ilvl w:val="0"/>
          <w:numId w:val="33"/>
        </w:numPr>
        <w:spacing w:after="0" w:line="240" w:lineRule="auto"/>
        <w:jc w:val="both"/>
        <w:rPr>
          <w:rFonts w:ascii="Arial" w:hAnsi="Arial"/>
          <w:b/>
          <w:bCs/>
        </w:rPr>
      </w:pPr>
      <w:r w:rsidRPr="10A9F656">
        <w:rPr>
          <w:rFonts w:ascii="Arial" w:hAnsi="Arial"/>
          <w:b/>
          <w:bCs/>
        </w:rPr>
        <w:t>Award Terms and Conditions</w:t>
      </w:r>
    </w:p>
    <w:p w:rsidR="00D178A4" w:rsidRPr="00146DC7" w:rsidP="00FD6A50" w14:paraId="10712AA9" w14:textId="77777777">
      <w:pPr>
        <w:pStyle w:val="ListParagraph"/>
        <w:widowControl w:val="0"/>
        <w:spacing w:after="0" w:line="240" w:lineRule="auto"/>
        <w:ind w:left="360"/>
        <w:jc w:val="both"/>
        <w:rPr>
          <w:rFonts w:ascii="Arial" w:hAnsi="Arial"/>
          <w:b/>
          <w:bCs/>
        </w:rPr>
      </w:pPr>
    </w:p>
    <w:p w:rsidR="00E86315" w:rsidP="10A9F656" w14:paraId="062ECA2F" w14:textId="1B592DD3">
      <w:pPr>
        <w:widowControl w:val="0"/>
        <w:spacing w:after="0" w:line="240" w:lineRule="auto"/>
        <w:jc w:val="both"/>
        <w:rPr>
          <w:rFonts w:ascii="Arial" w:hAnsi="Arial"/>
        </w:rPr>
      </w:pPr>
      <w:r w:rsidRPr="10A9F656">
        <w:rPr>
          <w:rFonts w:ascii="Arial" w:hAnsi="Arial"/>
        </w:rPr>
        <w:t xml:space="preserve">The Award Terms and Conditions of the SLFRF financial assistance agreement sets forth the compliance obligations for recipients pursuant to the SLFRF statute, the Uniform Guidance, Treasury’s </w:t>
      </w:r>
      <w:r w:rsidR="00737FF2">
        <w:rPr>
          <w:rFonts w:ascii="Arial" w:hAnsi="Arial"/>
        </w:rPr>
        <w:t>f</w:t>
      </w:r>
      <w:r w:rsidRPr="10A9F656">
        <w:rPr>
          <w:rFonts w:ascii="Arial" w:hAnsi="Arial"/>
        </w:rPr>
        <w:t xml:space="preserve">inal </w:t>
      </w:r>
      <w:r w:rsidR="00737FF2">
        <w:rPr>
          <w:rFonts w:ascii="Arial" w:hAnsi="Arial"/>
        </w:rPr>
        <w:t>r</w:t>
      </w:r>
      <w:r w:rsidRPr="10A9F656">
        <w:rPr>
          <w:rFonts w:ascii="Arial" w:hAnsi="Arial"/>
        </w:rPr>
        <w:t>ule</w:t>
      </w:r>
      <w:r w:rsidR="00D46992">
        <w:rPr>
          <w:rFonts w:ascii="Arial" w:hAnsi="Arial"/>
        </w:rPr>
        <w:t>, and applicable federal laws and regulations</w:t>
      </w:r>
      <w:r w:rsidRPr="10A9F656">
        <w:rPr>
          <w:rFonts w:ascii="Arial" w:hAnsi="Arial"/>
        </w:rPr>
        <w:t xml:space="preserve">. Recipients should ensure they remain in compliance with all Award Terms and Conditions. These obligations include the following items in addition to those described above: </w:t>
      </w:r>
    </w:p>
    <w:p w:rsidR="00485F06" w:rsidRPr="00E21798" w:rsidP="00FD6A50" w14:paraId="1CD15541" w14:textId="77777777">
      <w:pPr>
        <w:widowControl w:val="0"/>
        <w:spacing w:after="0" w:line="240" w:lineRule="auto"/>
        <w:jc w:val="both"/>
      </w:pPr>
    </w:p>
    <w:p w:rsidR="00E86315" w:rsidP="00CE5331" w14:paraId="4C0F1F6D" w14:textId="68B08204">
      <w:pPr>
        <w:pStyle w:val="ListParagraph"/>
        <w:numPr>
          <w:ilvl w:val="0"/>
          <w:numId w:val="36"/>
        </w:numPr>
        <w:spacing w:after="0" w:line="240" w:lineRule="auto"/>
        <w:jc w:val="both"/>
      </w:pPr>
      <w:r w:rsidRPr="003F6331">
        <w:rPr>
          <w:b/>
          <w:bCs/>
        </w:rPr>
        <w:t>SAM.gov Requirements.</w:t>
      </w:r>
      <w:r w:rsidRPr="007229A1">
        <w:rPr>
          <w:b/>
          <w:bCs/>
        </w:rPr>
        <w:t xml:space="preserve"> </w:t>
      </w:r>
      <w:r w:rsidRPr="003F6331">
        <w:t xml:space="preserve">All eligible </w:t>
      </w:r>
      <w:r>
        <w:t>recipients</w:t>
      </w:r>
      <w:r w:rsidRPr="003F6331">
        <w:t xml:space="preserve"> are required to have an active registration with the System for</w:t>
      </w:r>
      <w:r>
        <w:t xml:space="preserve"> </w:t>
      </w:r>
      <w:r w:rsidRPr="003F6331">
        <w:t>Award Management (</w:t>
      </w:r>
      <w:r w:rsidR="00E54B9C">
        <w:t>“</w:t>
      </w:r>
      <w:r w:rsidRPr="003F6331">
        <w:t>SAM</w:t>
      </w:r>
      <w:r w:rsidR="00E54B9C">
        <w:t>”</w:t>
      </w:r>
      <w:r w:rsidRPr="003F6331">
        <w:t>) (</w:t>
      </w:r>
      <w:hyperlink r:id="rId21" w:history="1">
        <w:r w:rsidRPr="003F6331">
          <w:rPr>
            <w:rStyle w:val="Hyperlink"/>
            <w:rFonts w:cs="Arial"/>
          </w:rPr>
          <w:t>https://www.sam.gov</w:t>
        </w:r>
      </w:hyperlink>
      <w:r w:rsidRPr="003F6331">
        <w:t>)</w:t>
      </w:r>
      <w:r w:rsidR="00D46992">
        <w:t xml:space="preserve"> pursuant to 2 CFR Part 25</w:t>
      </w:r>
      <w:r w:rsidRPr="003F6331">
        <w:t>.</w:t>
      </w:r>
      <w:r w:rsidR="00392551">
        <w:t xml:space="preserve">  To ensure timely receipt of funding</w:t>
      </w:r>
      <w:r w:rsidR="00457834">
        <w:t>, Treasury has stated that</w:t>
      </w:r>
      <w:r w:rsidR="00392551">
        <w:t xml:space="preserve"> </w:t>
      </w:r>
      <w:r w:rsidR="00B2351F">
        <w:t>N</w:t>
      </w:r>
      <w:r w:rsidR="00392551">
        <w:t>EUs who have not previously registered with SAM.gov may do so after receipt of the award, but before the submission of mandatory reporting.</w:t>
      </w:r>
      <w:r>
        <w:rPr>
          <w:rStyle w:val="FootnoteReference"/>
        </w:rPr>
        <w:footnoteReference w:id="6"/>
      </w:r>
      <w:r w:rsidR="00392551">
        <w:t xml:space="preserve">  </w:t>
      </w:r>
    </w:p>
    <w:p w:rsidR="00E86315" w:rsidRPr="003F6331" w:rsidP="00FD6A50" w14:paraId="7B3574D5" w14:textId="77777777">
      <w:pPr>
        <w:pStyle w:val="ListParagraph"/>
        <w:spacing w:after="0" w:line="240" w:lineRule="auto"/>
        <w:ind w:left="360"/>
        <w:jc w:val="both"/>
      </w:pPr>
    </w:p>
    <w:p w:rsidR="00E86315" w:rsidP="00CE5331" w14:paraId="4CD00038" w14:textId="171ECAA7">
      <w:pPr>
        <w:pStyle w:val="ListParagraph"/>
        <w:numPr>
          <w:ilvl w:val="0"/>
          <w:numId w:val="37"/>
        </w:numPr>
        <w:spacing w:after="0" w:line="240" w:lineRule="auto"/>
        <w:jc w:val="both"/>
      </w:pPr>
      <w:r w:rsidRPr="10A9F656">
        <w:rPr>
          <w:b/>
          <w:bCs/>
        </w:rPr>
        <w:t>Recordkeeping Requirements</w:t>
      </w:r>
      <w:r w:rsidRPr="10A9F656">
        <w:rPr>
          <w:rFonts w:ascii="Arial" w:hAnsi="Arial"/>
          <w:b/>
          <w:bCs/>
        </w:rPr>
        <w:t>.</w:t>
      </w:r>
      <w:r w:rsidRPr="10A9F656">
        <w:rPr>
          <w:rFonts w:ascii="Arial" w:hAnsi="Arial"/>
        </w:rPr>
        <w:t xml:space="preserve"> Generally, your organization must maintain records and financial documents for five years after all funds have been expended or returned to Treasury, as outlined in paragraph 4.c. of the Award Terms and Conditions. Treasury may request transfer of records of long-term value at the end of such period. </w:t>
      </w:r>
      <w:r>
        <w:t xml:space="preserve">Wherever practicable, such records should be collected, transmitted, and stored in open and machine-readable formats. </w:t>
      </w:r>
    </w:p>
    <w:p w:rsidR="004206B6" w:rsidP="004206B6" w14:paraId="13511939" w14:textId="77777777">
      <w:pPr>
        <w:pStyle w:val="ListParagraph"/>
        <w:spacing w:after="0" w:line="240" w:lineRule="auto"/>
        <w:ind w:left="360"/>
        <w:jc w:val="both"/>
      </w:pPr>
    </w:p>
    <w:p w:rsidR="000467E6" w:rsidP="00FD6A50" w14:paraId="784A2250" w14:textId="48CFCE94">
      <w:pPr>
        <w:spacing w:after="0" w:line="240" w:lineRule="auto"/>
        <w:ind w:left="360"/>
        <w:jc w:val="both"/>
      </w:pPr>
      <w:r>
        <w:t xml:space="preserve">Your organization must agree to provide or make available such records to Treasury upon request, and to the Government Accountability Office (“GAO”), Treasury’s Office of Inspector General (“OIG”), and their authorized representative </w:t>
      </w:r>
      <w:r>
        <w:t>in order to</w:t>
      </w:r>
      <w:r>
        <w:t xml:space="preserve"> conduct audits or other investigations.</w:t>
      </w:r>
    </w:p>
    <w:p w:rsidR="00E86315" w:rsidRPr="00E21798" w:rsidP="00FD6A50" w14:paraId="7B7FBE04" w14:textId="77777777">
      <w:pPr>
        <w:pStyle w:val="ListParagraph"/>
        <w:spacing w:after="0" w:line="240" w:lineRule="auto"/>
        <w:ind w:left="360"/>
        <w:jc w:val="both"/>
      </w:pPr>
    </w:p>
    <w:p w:rsidR="00AB0DB5" w:rsidRPr="002E02A5" w:rsidP="00CE5331" w14:paraId="7664081E" w14:textId="02F0EDDF">
      <w:pPr>
        <w:pStyle w:val="ListParagraph"/>
        <w:numPr>
          <w:ilvl w:val="0"/>
          <w:numId w:val="37"/>
        </w:numPr>
        <w:spacing w:after="0" w:line="240" w:lineRule="auto"/>
        <w:jc w:val="both"/>
      </w:pPr>
      <w:r w:rsidRPr="00AB0DB5">
        <w:rPr>
          <w:rFonts w:ascii="Arial" w:hAnsi="Arial"/>
          <w:b/>
          <w:bCs/>
        </w:rPr>
        <w:t>Single Audit Requirements.</w:t>
      </w:r>
      <w:r w:rsidR="00C920ED">
        <w:rPr>
          <w:rFonts w:ascii="Arial" w:hAnsi="Arial"/>
          <w:b/>
          <w:bCs/>
        </w:rPr>
        <w:t xml:space="preserve"> </w:t>
      </w:r>
      <w:r w:rsidRPr="00AB0DB5" w:rsidR="00A4522E">
        <w:rPr>
          <w:rFonts w:ascii="Arial" w:hAnsi="Arial"/>
        </w:rPr>
        <w:t xml:space="preserve">Recipients and </w:t>
      </w:r>
      <w:r w:rsidR="00DC23C7">
        <w:rPr>
          <w:rFonts w:ascii="Arial" w:hAnsi="Arial"/>
        </w:rPr>
        <w:t>s</w:t>
      </w:r>
      <w:r w:rsidRPr="00AB0DB5" w:rsidR="00A4522E">
        <w:rPr>
          <w:rFonts w:ascii="Arial" w:hAnsi="Arial"/>
        </w:rPr>
        <w:t>ubrecipients</w:t>
      </w:r>
      <w:r w:rsidRPr="00AB0DB5">
        <w:rPr>
          <w:rFonts w:ascii="Arial" w:hAnsi="Arial"/>
        </w:rPr>
        <w:t xml:space="preserve"> that expend more than $750,000 in </w:t>
      </w:r>
      <w:r w:rsidRPr="006120F0" w:rsidR="00A4522E">
        <w:rPr>
          <w:rFonts w:ascii="Arial" w:hAnsi="Arial"/>
        </w:rPr>
        <w:t>F</w:t>
      </w:r>
      <w:r w:rsidRPr="006120F0">
        <w:rPr>
          <w:rFonts w:ascii="Arial" w:hAnsi="Arial"/>
        </w:rPr>
        <w:t xml:space="preserve">ederal </w:t>
      </w:r>
      <w:r w:rsidRPr="006120F0" w:rsidR="00A4522E">
        <w:rPr>
          <w:rFonts w:ascii="Arial" w:hAnsi="Arial"/>
        </w:rPr>
        <w:t>awards during their fiscal year will</w:t>
      </w:r>
      <w:r w:rsidRPr="006120F0">
        <w:rPr>
          <w:rFonts w:ascii="Arial" w:hAnsi="Arial"/>
        </w:rPr>
        <w:t xml:space="preserve"> be subject to an audit under the Single Audit Act</w:t>
      </w:r>
      <w:r w:rsidRPr="00E72CA1" w:rsidR="00A4522E">
        <w:rPr>
          <w:rFonts w:ascii="Arial" w:hAnsi="Arial"/>
        </w:rPr>
        <w:t xml:space="preserve"> and its implementing regulation at </w:t>
      </w:r>
      <w:r w:rsidRPr="00E72CA1">
        <w:rPr>
          <w:rFonts w:ascii="Arial" w:hAnsi="Arial"/>
        </w:rPr>
        <w:t xml:space="preserve">2 CFR Part 200, Subpart F </w:t>
      </w:r>
      <w:r w:rsidRPr="00E72CA1" w:rsidR="00A4522E">
        <w:rPr>
          <w:rFonts w:ascii="Arial" w:hAnsi="Arial"/>
        </w:rPr>
        <w:t>regarding audit</w:t>
      </w:r>
      <w:r w:rsidRPr="00E72CA1">
        <w:rPr>
          <w:rFonts w:ascii="Arial" w:hAnsi="Arial"/>
        </w:rPr>
        <w:t xml:space="preserve"> requirements.</w:t>
      </w:r>
      <w:r>
        <w:rPr>
          <w:rStyle w:val="FootnoteReference"/>
          <w:rFonts w:ascii="Arial" w:hAnsi="Arial"/>
        </w:rPr>
        <w:footnoteReference w:id="7"/>
      </w:r>
      <w:r w:rsidRPr="00AB0DB5">
        <w:rPr>
          <w:rFonts w:ascii="Arial" w:hAnsi="Arial"/>
        </w:rPr>
        <w:t xml:space="preserve"> </w:t>
      </w:r>
      <w:r w:rsidR="003A30C7">
        <w:rPr>
          <w:rFonts w:ascii="Arial" w:hAnsi="Arial"/>
        </w:rPr>
        <w:t>Note that the Compliance Supplement provides information on the existing, important compliance requi</w:t>
      </w:r>
      <w:r w:rsidR="005226DE">
        <w:rPr>
          <w:rFonts w:ascii="Arial" w:hAnsi="Arial"/>
        </w:rPr>
        <w:t>r</w:t>
      </w:r>
      <w:r w:rsidR="003A30C7">
        <w:rPr>
          <w:rFonts w:ascii="Arial" w:hAnsi="Arial"/>
        </w:rPr>
        <w:t xml:space="preserve">ements that the federal government expects to be considered as a part of such audit.  </w:t>
      </w:r>
      <w:r w:rsidR="0082533C">
        <w:rPr>
          <w:rFonts w:ascii="Arial" w:hAnsi="Arial"/>
        </w:rPr>
        <w:t>For example, t</w:t>
      </w:r>
      <w:r w:rsidR="008A7630">
        <w:rPr>
          <w:rFonts w:ascii="Arial" w:hAnsi="Arial"/>
        </w:rPr>
        <w:t>he SLFRF Compliance Supplement describe</w:t>
      </w:r>
      <w:r w:rsidR="00E93CD2">
        <w:rPr>
          <w:rFonts w:ascii="Arial" w:hAnsi="Arial"/>
        </w:rPr>
        <w:t>s</w:t>
      </w:r>
      <w:r w:rsidR="008A7630">
        <w:rPr>
          <w:rFonts w:ascii="Arial" w:hAnsi="Arial"/>
        </w:rPr>
        <w:t xml:space="preserve"> an alternative to the Single Audit for </w:t>
      </w:r>
      <w:r w:rsidR="008A7630">
        <w:rPr>
          <w:rFonts w:ascii="Arial" w:hAnsi="Arial"/>
        </w:rPr>
        <w:t xml:space="preserve">eligible recipients. Recipients should consult the Compliance Supplement for more information about the alternative compliance examination engagement. </w:t>
      </w:r>
      <w:r w:rsidR="003A30C7">
        <w:rPr>
          <w:rFonts w:ascii="Arial" w:hAnsi="Arial"/>
        </w:rPr>
        <w:t xml:space="preserve">The Compliance Supplement is routinely updated, and is made available in the Federal Register and on OMB’s website: </w:t>
      </w:r>
      <w:hyperlink r:id="rId22" w:history="1">
        <w:r w:rsidRPr="00152CFB" w:rsidR="003A30C7">
          <w:rPr>
            <w:rStyle w:val="Hyperlink"/>
            <w:rFonts w:ascii="Arial" w:hAnsi="Arial"/>
          </w:rPr>
          <w:t>https://www.whitehouse.gov/omb/office-federal-financial-management/</w:t>
        </w:r>
      </w:hyperlink>
      <w:r w:rsidR="003A30C7">
        <w:rPr>
          <w:rFonts w:ascii="Arial" w:hAnsi="Arial"/>
        </w:rPr>
        <w:t xml:space="preserve"> </w:t>
      </w:r>
      <w:r w:rsidRPr="002E02A5">
        <w:rPr>
          <w:rFonts w:ascii="Arial" w:hAnsi="Arial"/>
        </w:rPr>
        <w:t xml:space="preserve">Recipients and subrecipients </w:t>
      </w:r>
      <w:r w:rsidRPr="002E02A5" w:rsidR="00080971">
        <w:rPr>
          <w:rFonts w:ascii="Arial" w:hAnsi="Arial"/>
        </w:rPr>
        <w:t xml:space="preserve">should </w:t>
      </w:r>
      <w:r w:rsidRPr="002E02A5" w:rsidR="007A7587">
        <w:rPr>
          <w:rFonts w:ascii="Arial" w:hAnsi="Arial"/>
        </w:rPr>
        <w:t>consult</w:t>
      </w:r>
      <w:r w:rsidRPr="007777CF" w:rsidR="00080971">
        <w:rPr>
          <w:rFonts w:ascii="Arial" w:hAnsi="Arial"/>
        </w:rPr>
        <w:t xml:space="preserve"> </w:t>
      </w:r>
      <w:r w:rsidRPr="002E02A5">
        <w:rPr>
          <w:rFonts w:ascii="Arial" w:hAnsi="Arial"/>
        </w:rPr>
        <w:t xml:space="preserve">the </w:t>
      </w:r>
      <w:hyperlink r:id="rId23" w:history="1">
        <w:r w:rsidRPr="002E02A5">
          <w:rPr>
            <w:rStyle w:val="Hyperlink"/>
            <w:rFonts w:ascii="Arial" w:hAnsi="Arial"/>
          </w:rPr>
          <w:t>Federal Audit Clearinghouse</w:t>
        </w:r>
      </w:hyperlink>
      <w:r w:rsidRPr="002E02A5">
        <w:rPr>
          <w:rFonts w:ascii="Arial" w:hAnsi="Arial"/>
        </w:rPr>
        <w:t xml:space="preserve"> to see examples </w:t>
      </w:r>
      <w:r w:rsidRPr="002E02A5" w:rsidR="00080971">
        <w:rPr>
          <w:rFonts w:ascii="Arial" w:hAnsi="Arial"/>
        </w:rPr>
        <w:t xml:space="preserve">of </w:t>
      </w:r>
      <w:r w:rsidRPr="002E02A5" w:rsidR="0023642F">
        <w:rPr>
          <w:rFonts w:ascii="Arial" w:hAnsi="Arial"/>
        </w:rPr>
        <w:t>Single A</w:t>
      </w:r>
      <w:r w:rsidRPr="002E02A5">
        <w:rPr>
          <w:rFonts w:ascii="Arial" w:hAnsi="Arial"/>
        </w:rPr>
        <w:t>udit submissions</w:t>
      </w:r>
      <w:r w:rsidRPr="002E02A5">
        <w:rPr>
          <w:rFonts w:ascii="Arial" w:hAnsi="Arial"/>
        </w:rPr>
        <w:t>.</w:t>
      </w:r>
      <w:r w:rsidRPr="002E02A5" w:rsidR="00C9313C">
        <w:rPr>
          <w:rFonts w:ascii="Arial" w:hAnsi="Arial"/>
        </w:rPr>
        <w:t xml:space="preserve"> </w:t>
      </w:r>
    </w:p>
    <w:p w:rsidR="00B60A0B" w:rsidRPr="00C22C5F" w:rsidP="00FD6A50" w14:paraId="17686B57" w14:textId="77777777">
      <w:pPr>
        <w:pStyle w:val="ListParagraph"/>
        <w:spacing w:after="0" w:line="240" w:lineRule="auto"/>
        <w:ind w:left="360"/>
        <w:jc w:val="both"/>
      </w:pPr>
    </w:p>
    <w:p w:rsidR="004206B6" w:rsidP="00CE5331" w14:paraId="50ACA8D6" w14:textId="6ADC8E12">
      <w:pPr>
        <w:pStyle w:val="ListParagraph"/>
        <w:numPr>
          <w:ilvl w:val="0"/>
          <w:numId w:val="37"/>
        </w:numPr>
        <w:spacing w:after="0" w:line="240" w:lineRule="auto"/>
        <w:jc w:val="both"/>
      </w:pPr>
      <w:bookmarkStart w:id="8" w:name="_Hlk86411276"/>
      <w:r w:rsidRPr="10A9F656">
        <w:rPr>
          <w:b/>
          <w:bCs/>
        </w:rPr>
        <w:t>Civil Rights Compliance</w:t>
      </w:r>
      <w:r>
        <w:t xml:space="preserve">. Recipients of Federal financial assistance from the Treasury are required to meet legal requirements relating to nondiscrimination and nondiscriminatory use of Federal funds.  Those requirements include ensuring that entities receiving Federal financial assistance from the Treasury do not deny benefits or services, or otherwise discriminate on the basis of race, color, national origin (including limited English proficiency), disability, age, or sex (including sexual orientation and gender identity), in accordance with the following authorities: Title VI of the Civil Rights Act of 1964 (Title VI) Public Law 88-352, 42 U.S.C. 2000d-1 et seq., and the Department's implementing regulations, 31 CFR part 22; Section 504 of the Rehabilitation Act of 1973 (Section 504), Public Law 93-112, as amended by Public Law 93-516, 29 U.S.C. 794; Title IX of the Education Amendments of 1972 (Title IX), 20 U.S.C. 1681 et seq., and the Department's implementing regulations, 31 CFR part 28; Age Discrimination Act of 1975, Public Law 94-135, 42 U.S.C. 6101 et seq., and the Department implementing regulations at 31 CFR part 23.  </w:t>
      </w:r>
    </w:p>
    <w:p w:rsidR="004206B6" w:rsidP="004206B6" w14:paraId="4FF3AA03" w14:textId="77777777">
      <w:pPr>
        <w:pStyle w:val="ListParagraph"/>
        <w:spacing w:after="0" w:line="240" w:lineRule="auto"/>
        <w:ind w:left="360"/>
        <w:jc w:val="both"/>
      </w:pPr>
    </w:p>
    <w:p w:rsidR="00414B0B" w:rsidP="005A6B9C" w14:paraId="21E782F1" w14:textId="124C095A">
      <w:pPr>
        <w:pStyle w:val="ListParagraph"/>
        <w:spacing w:after="0" w:line="240" w:lineRule="auto"/>
        <w:ind w:left="360"/>
        <w:jc w:val="both"/>
      </w:pPr>
      <w:r>
        <w:t>In order to</w:t>
      </w:r>
      <w:r>
        <w:t xml:space="preserve"> carry out its enforcement responsibilities under Title VI of the Civil Rights Act, Treasury will collect and review information from recipients to ascertain their compliance </w:t>
      </w:r>
      <w:r>
        <w:t xml:space="preserve">with the applicable requirements before and after providing financial assistance.  Treasury’s implementing regulations, 31 CFR part 22, and the Department of Justice (DOJ) regulations, </w:t>
      </w:r>
      <w:hyperlink r:id="rId24">
        <w:r w:rsidRPr="031E305F">
          <w:rPr>
            <w:rStyle w:val="Hyperlink"/>
          </w:rPr>
          <w:t>Coordination of Non-discrimination in Federally Assisted Programs, 28 CFR part 42</w:t>
        </w:r>
      </w:hyperlink>
      <w:r>
        <w:t xml:space="preserve">, provide for the collection of data and information from recipients (see 28 CFR 42.406). </w:t>
      </w:r>
      <w:r>
        <w:t xml:space="preserve">Treasury may request that </w:t>
      </w:r>
      <w:r w:rsidR="005A6B9C">
        <w:t xml:space="preserve">non-tribal </w:t>
      </w:r>
      <w:r>
        <w:t>recipients submit data for post-award compliance reviews, including information such as a narrative describing their Title VI compliance status.</w:t>
      </w:r>
      <w:r w:rsidRPr="031E305F">
        <w:rPr>
          <w:rFonts w:eastAsiaTheme="minorEastAsia"/>
        </w:rPr>
        <w:t xml:space="preserve"> </w:t>
      </w:r>
      <w:r w:rsidR="005A6B9C">
        <w:t>As explained in Treasury FAQ 12.1, the award terms and conditions for Treasury’s pandemic recovery programs, including the SLFRF program, do not impose antidiscrimination requirements on Tribal governments beyond what would otherwise apply under federal law.</w:t>
      </w:r>
      <w:bookmarkEnd w:id="8"/>
      <w:r w:rsidR="00195FD7">
        <w:br w:type="page"/>
      </w:r>
    </w:p>
    <w:p w:rsidR="001A0C90" w:rsidRPr="003C5176" w:rsidP="10A9F656" w14:paraId="51E257DA" w14:textId="15360C1F">
      <w:pPr>
        <w:pStyle w:val="NoSpacing"/>
        <w:rPr>
          <w:b/>
          <w:bCs/>
          <w:color w:val="004E7D" w:themeColor="accent6" w:themeShade="BF"/>
          <w:sz w:val="36"/>
          <w:szCs w:val="36"/>
        </w:rPr>
      </w:pPr>
      <w:r w:rsidRPr="10A9F656">
        <w:rPr>
          <w:b/>
          <w:bCs/>
          <w:color w:val="004E7D" w:themeColor="accent6" w:themeShade="BF"/>
          <w:sz w:val="36"/>
          <w:szCs w:val="36"/>
        </w:rPr>
        <w:t>Part 2: Reporting Guidance</w:t>
      </w:r>
    </w:p>
    <w:p w:rsidR="00414B0B" w:rsidP="00FD6A50" w14:paraId="7DC972CD" w14:textId="77777777">
      <w:pPr>
        <w:pStyle w:val="NoSpacing"/>
        <w:jc w:val="both"/>
      </w:pPr>
    </w:p>
    <w:p w:rsidR="00CD6968" w:rsidP="00FD6A50" w14:paraId="1203F953" w14:textId="76663E9E">
      <w:pPr>
        <w:pStyle w:val="NoSpacing"/>
        <w:jc w:val="both"/>
      </w:pPr>
      <w:r>
        <w:t xml:space="preserve">There are three types of reporting requirements for the SLFRF program.  </w:t>
      </w:r>
      <w:r w:rsidR="001F4E4A">
        <w:t xml:space="preserve">The report requirements are approved and documented under </w:t>
      </w:r>
      <w:r w:rsidR="00354020">
        <w:t xml:space="preserve">OMB </w:t>
      </w:r>
      <w:r w:rsidR="001F4E4A">
        <w:t xml:space="preserve">PRA number - </w:t>
      </w:r>
      <w:r w:rsidRPr="001F4E4A" w:rsidR="001F4E4A">
        <w:t>OMB # 1505-0271</w:t>
      </w:r>
      <w:r w:rsidR="001F4E4A">
        <w:t xml:space="preserve">.  </w:t>
      </w:r>
    </w:p>
    <w:p w:rsidR="00CD6968" w:rsidP="00012B59" w14:paraId="0BDBEE1A" w14:textId="092A13FA">
      <w:pPr>
        <w:pStyle w:val="NoSpacing"/>
        <w:numPr>
          <w:ilvl w:val="0"/>
          <w:numId w:val="3"/>
        </w:numPr>
        <w:spacing w:before="240"/>
        <w:jc w:val="both"/>
      </w:pPr>
      <w:r w:rsidRPr="10A9F656">
        <w:rPr>
          <w:b/>
          <w:bCs/>
        </w:rPr>
        <w:t>Interim Report:</w:t>
      </w:r>
      <w:r>
        <w:t xml:space="preserve"> Provide initial overview of status and uses of funding. This is a one-time report.  </w:t>
      </w:r>
      <w:r w:rsidRPr="10A9F656">
        <w:rPr>
          <w:b/>
          <w:bCs/>
          <w:color w:val="004E7D" w:themeColor="accent6" w:themeShade="BF"/>
        </w:rPr>
        <w:t>See Section A, page 1</w:t>
      </w:r>
      <w:r w:rsidR="002E02A5">
        <w:rPr>
          <w:b/>
          <w:bCs/>
          <w:color w:val="004E7D" w:themeColor="accent6" w:themeShade="BF"/>
        </w:rPr>
        <w:t>6</w:t>
      </w:r>
      <w:r w:rsidRPr="10A9F656">
        <w:rPr>
          <w:b/>
          <w:bCs/>
          <w:color w:val="004E7D" w:themeColor="accent6" w:themeShade="BF"/>
        </w:rPr>
        <w:t>.</w:t>
      </w:r>
      <w:r w:rsidRPr="10A9F656">
        <w:rPr>
          <w:color w:val="004E7D" w:themeColor="accent6" w:themeShade="BF"/>
        </w:rPr>
        <w:t xml:space="preserve"> </w:t>
      </w:r>
    </w:p>
    <w:p w:rsidR="00310B3F" w:rsidP="00012B59" w14:paraId="69D9EE01" w14:textId="21B6632F">
      <w:pPr>
        <w:pStyle w:val="NoSpacing"/>
        <w:numPr>
          <w:ilvl w:val="0"/>
          <w:numId w:val="3"/>
        </w:numPr>
        <w:spacing w:before="240"/>
        <w:jc w:val="both"/>
      </w:pPr>
      <w:r w:rsidRPr="10A9F656">
        <w:rPr>
          <w:b/>
          <w:bCs/>
        </w:rPr>
        <w:t>Project and Expenditure Report:</w:t>
      </w:r>
      <w:r>
        <w:t xml:space="preserve"> Report on projects funded, expenditures, and contracts and subawards </w:t>
      </w:r>
      <w:r w:rsidR="00093EEE">
        <w:t>equal to or greater than</w:t>
      </w:r>
      <w:r>
        <w:t xml:space="preserve"> $50,000, and other information.  </w:t>
      </w:r>
      <w:r w:rsidRPr="10A9F656">
        <w:rPr>
          <w:b/>
          <w:bCs/>
          <w:color w:val="004E7D" w:themeColor="accent6" w:themeShade="BF"/>
        </w:rPr>
        <w:t>See Section B, page 1</w:t>
      </w:r>
      <w:r w:rsidR="002E02A5">
        <w:rPr>
          <w:b/>
          <w:bCs/>
          <w:color w:val="004E7D" w:themeColor="accent6" w:themeShade="BF"/>
        </w:rPr>
        <w:t>7</w:t>
      </w:r>
      <w:r w:rsidRPr="10A9F656">
        <w:rPr>
          <w:b/>
          <w:bCs/>
          <w:color w:val="004E7D" w:themeColor="accent6" w:themeShade="BF"/>
        </w:rPr>
        <w:t>.</w:t>
      </w:r>
    </w:p>
    <w:p w:rsidR="00DF0EA2" w:rsidRPr="008E1467" w:rsidP="00012B59" w14:paraId="73D8E854" w14:textId="5F4C8EE1">
      <w:pPr>
        <w:pStyle w:val="NoSpacing"/>
        <w:numPr>
          <w:ilvl w:val="0"/>
          <w:numId w:val="3"/>
        </w:numPr>
        <w:spacing w:before="240"/>
      </w:pPr>
      <w:r w:rsidRPr="10A9F656">
        <w:rPr>
          <w:b/>
          <w:bCs/>
        </w:rPr>
        <w:t>Recovery Plan Performance Report:</w:t>
      </w:r>
      <w:r>
        <w:t xml:space="preserve"> The Recovery Plan Performance Report (the “Recovery Plan”) will provide information on the projects that large recipients are undertaking with program funding and how they plan to ensure program outcomes are achieved in an effective, efficient, and equitable manner.  It will include key performance indicators identified by the recipient and some mandatory indicators identified by Treasury. The Recovery Plan will be posted on the website of the recipient as well as provided to Treasury.  </w:t>
      </w:r>
      <w:r w:rsidRPr="10A9F656">
        <w:rPr>
          <w:b/>
          <w:bCs/>
          <w:color w:val="004E7D" w:themeColor="accent6" w:themeShade="BF"/>
        </w:rPr>
        <w:t>See Section C, page 2</w:t>
      </w:r>
      <w:r w:rsidR="002E02A5">
        <w:rPr>
          <w:b/>
          <w:bCs/>
          <w:color w:val="004E7D" w:themeColor="accent6" w:themeShade="BF"/>
        </w:rPr>
        <w:t>8</w:t>
      </w:r>
      <w:r w:rsidRPr="10A9F656">
        <w:rPr>
          <w:b/>
          <w:bCs/>
          <w:color w:val="004E7D" w:themeColor="accent6" w:themeShade="BF"/>
        </w:rPr>
        <w:t>.</w:t>
      </w:r>
    </w:p>
    <w:p w:rsidR="005D05FC" w:rsidP="598A070B" w14:paraId="2C27233D" w14:textId="17124926">
      <w:pPr>
        <w:pStyle w:val="NoSpacing"/>
        <w:spacing w:before="240"/>
      </w:pPr>
      <w:r>
        <w:t>The reporting threshold is based on the total award amount allocated by Treasury</w:t>
      </w:r>
      <w:r w:rsidRPr="007777CF">
        <w:t xml:space="preserve"> </w:t>
      </w:r>
      <w:r>
        <w:t xml:space="preserve">under the SLFRF program, not the funds received by the recipient as of the time of reporting. </w:t>
      </w:r>
    </w:p>
    <w:p w:rsidR="008B2EA9" w:rsidP="598A070B" w14:paraId="75AB9AD0" w14:textId="1B7A229C">
      <w:pPr>
        <w:pStyle w:val="NoSpacing"/>
        <w:spacing w:before="240"/>
      </w:pPr>
      <w:r>
        <w:t xml:space="preserve">States and territories are also required to submit information on their distributions to NEUs.  Please refer to Section D for additional details. </w:t>
      </w:r>
    </w:p>
    <w:p w:rsidR="0055390A" w:rsidP="005D05FC" w14:paraId="2CFF09DA" w14:textId="046F0448">
      <w:pPr>
        <w:pStyle w:val="NoSpacing"/>
        <w:spacing w:before="240"/>
      </w:pPr>
    </w:p>
    <w:p w:rsidR="00870D21" w:rsidP="005D05FC" w14:paraId="3203E678" w14:textId="77777777">
      <w:pPr>
        <w:pStyle w:val="NoSpacing"/>
        <w:spacing w:before="240"/>
      </w:pPr>
    </w:p>
    <w:p w:rsidR="0055390A" w:rsidP="005D05FC" w14:paraId="0EB4A9EA" w14:textId="43E72B6F">
      <w:pPr>
        <w:pStyle w:val="NoSpacing"/>
        <w:spacing w:before="240"/>
      </w:pPr>
    </w:p>
    <w:p w:rsidR="0055390A" w:rsidP="005D05FC" w14:paraId="167A085C" w14:textId="629F6C63">
      <w:pPr>
        <w:pStyle w:val="NoSpacing"/>
        <w:spacing w:before="240"/>
      </w:pPr>
    </w:p>
    <w:p w:rsidR="0055390A" w:rsidP="005D05FC" w14:paraId="190E104C" w14:textId="4B93F087">
      <w:pPr>
        <w:pStyle w:val="NoSpacing"/>
        <w:spacing w:before="240"/>
      </w:pPr>
    </w:p>
    <w:p w:rsidR="0055390A" w:rsidP="005D05FC" w14:paraId="057F385F" w14:textId="7CA2595E">
      <w:pPr>
        <w:pStyle w:val="NoSpacing"/>
        <w:spacing w:before="240"/>
      </w:pPr>
    </w:p>
    <w:p w:rsidR="0055390A" w:rsidP="005D05FC" w14:paraId="7B4B6893" w14:textId="16F7D24E">
      <w:pPr>
        <w:pStyle w:val="NoSpacing"/>
        <w:spacing w:before="240"/>
      </w:pPr>
    </w:p>
    <w:p w:rsidR="0055390A" w:rsidP="005D05FC" w14:paraId="3C4BBA66" w14:textId="403AC082">
      <w:pPr>
        <w:pStyle w:val="NoSpacing"/>
        <w:spacing w:before="240"/>
      </w:pPr>
    </w:p>
    <w:p w:rsidR="0055390A" w:rsidP="005D05FC" w14:paraId="28F812D2" w14:textId="4FF6C2BA">
      <w:pPr>
        <w:pStyle w:val="NoSpacing"/>
        <w:spacing w:before="240"/>
      </w:pPr>
    </w:p>
    <w:p w:rsidR="0055390A" w:rsidP="005D05FC" w14:paraId="48993B80" w14:textId="398C86DA">
      <w:pPr>
        <w:pStyle w:val="NoSpacing"/>
        <w:spacing w:before="240"/>
      </w:pPr>
    </w:p>
    <w:p w:rsidR="0055390A" w:rsidP="005D05FC" w14:paraId="5F1E1B81" w14:textId="21121A8D">
      <w:pPr>
        <w:pStyle w:val="NoSpacing"/>
        <w:spacing w:before="240"/>
      </w:pPr>
    </w:p>
    <w:p w:rsidR="0055390A" w:rsidP="005D05FC" w14:paraId="4E916245" w14:textId="3A73E31C">
      <w:pPr>
        <w:pStyle w:val="NoSpacing"/>
        <w:spacing w:before="240"/>
      </w:pPr>
    </w:p>
    <w:p w:rsidR="0055390A" w:rsidP="005D05FC" w14:paraId="0ADC6E2F" w14:textId="457BBFB7">
      <w:pPr>
        <w:pStyle w:val="NoSpacing"/>
        <w:spacing w:before="240"/>
      </w:pPr>
    </w:p>
    <w:p w:rsidR="0055390A" w:rsidP="005D05FC" w14:paraId="3776A3A0" w14:textId="5D700A4A">
      <w:pPr>
        <w:pStyle w:val="NoSpacing"/>
        <w:spacing w:before="240"/>
      </w:pPr>
    </w:p>
    <w:p w:rsidR="0055390A" w:rsidP="005D05FC" w14:paraId="2E479891" w14:textId="0BB4CACC">
      <w:pPr>
        <w:pStyle w:val="NoSpacing"/>
        <w:spacing w:before="240"/>
      </w:pPr>
    </w:p>
    <w:p w:rsidR="0055390A" w:rsidP="005D05FC" w14:paraId="31D4989A" w14:textId="43EF1107">
      <w:pPr>
        <w:pStyle w:val="NoSpacing"/>
        <w:spacing w:before="240"/>
      </w:pPr>
    </w:p>
    <w:p w:rsidR="00635EE4" w:rsidRPr="0052725B" w:rsidP="00F22713" w14:paraId="6401CCBB" w14:textId="48C5D6DB">
      <w:pPr>
        <w:pStyle w:val="Caption"/>
        <w:keepNext/>
        <w:spacing w:after="0"/>
        <w:jc w:val="center"/>
        <w:rPr>
          <w:b/>
          <w:bCs/>
        </w:rPr>
      </w:pPr>
      <w:r w:rsidRPr="007777CF">
        <w:rPr>
          <w:b/>
          <w:i w:val="0"/>
          <w:color w:val="auto"/>
          <w:sz w:val="22"/>
        </w:rPr>
        <w:t xml:space="preserve">Table </w:t>
      </w:r>
      <w:r w:rsidRPr="0052725B">
        <w:rPr>
          <w:b/>
          <w:bCs/>
          <w:i w:val="0"/>
          <w:iCs w:val="0"/>
          <w:color w:val="auto"/>
          <w:sz w:val="22"/>
          <w:szCs w:val="22"/>
        </w:rPr>
        <w:fldChar w:fldCharType="begin"/>
      </w:r>
      <w:r w:rsidRPr="0052725B">
        <w:rPr>
          <w:b/>
          <w:bCs/>
          <w:i w:val="0"/>
          <w:iCs w:val="0"/>
          <w:color w:val="auto"/>
          <w:sz w:val="22"/>
          <w:szCs w:val="22"/>
        </w:rPr>
        <w:instrText xml:space="preserve"> SEQ Table \* ARABIC </w:instrText>
      </w:r>
      <w:r w:rsidRPr="0052725B">
        <w:rPr>
          <w:b/>
          <w:bCs/>
          <w:i w:val="0"/>
          <w:iCs w:val="0"/>
          <w:color w:val="auto"/>
          <w:sz w:val="22"/>
          <w:szCs w:val="22"/>
        </w:rPr>
        <w:fldChar w:fldCharType="separate"/>
      </w:r>
      <w:r w:rsidR="000A2643">
        <w:rPr>
          <w:b/>
          <w:bCs/>
          <w:i w:val="0"/>
          <w:iCs w:val="0"/>
          <w:noProof/>
          <w:color w:val="auto"/>
          <w:sz w:val="22"/>
          <w:szCs w:val="22"/>
        </w:rPr>
        <w:t>2</w:t>
      </w:r>
      <w:r w:rsidRPr="0052725B">
        <w:rPr>
          <w:b/>
          <w:bCs/>
          <w:i w:val="0"/>
          <w:iCs w:val="0"/>
          <w:color w:val="auto"/>
          <w:sz w:val="22"/>
          <w:szCs w:val="22"/>
        </w:rPr>
        <w:fldChar w:fldCharType="end"/>
      </w:r>
      <w:r w:rsidRPr="0052725B">
        <w:rPr>
          <w:b/>
          <w:bCs/>
          <w:i w:val="0"/>
          <w:iCs w:val="0"/>
          <w:color w:val="auto"/>
          <w:sz w:val="22"/>
          <w:szCs w:val="22"/>
        </w:rPr>
        <w:t>:</w:t>
      </w:r>
      <w:r w:rsidRPr="007777CF">
        <w:rPr>
          <w:b/>
          <w:i w:val="0"/>
          <w:color w:val="auto"/>
          <w:sz w:val="22"/>
        </w:rPr>
        <w:t xml:space="preserve"> Reporting requirements by recipient type</w:t>
      </w:r>
    </w:p>
    <w:tbl>
      <w:tblPr>
        <w:tblStyle w:val="TableGrid"/>
        <w:tblW w:w="9377" w:type="dxa"/>
        <w:tblLook w:val="04A0"/>
      </w:tblPr>
      <w:tblGrid>
        <w:gridCol w:w="793"/>
        <w:gridCol w:w="2719"/>
        <w:gridCol w:w="1793"/>
        <w:gridCol w:w="2203"/>
        <w:gridCol w:w="1869"/>
      </w:tblGrid>
      <w:tr w14:paraId="5C3A4EF5" w14:textId="77777777" w:rsidTr="00A96CE3">
        <w:tblPrEx>
          <w:tblW w:w="9377" w:type="dxa"/>
          <w:tblLook w:val="04A0"/>
        </w:tblPrEx>
        <w:trPr>
          <w:tblHeader/>
        </w:trPr>
        <w:tc>
          <w:tcPr>
            <w:tcW w:w="793" w:type="dxa"/>
            <w:shd w:val="clear" w:color="auto" w:fill="004E7D" w:themeFill="accent6" w:themeFillShade="BF"/>
          </w:tcPr>
          <w:p w:rsidR="002A0BC5" w:rsidRPr="00C12C6C" w:rsidP="10A9F656" w14:paraId="3DB84F30" w14:textId="66920581">
            <w:pPr>
              <w:pStyle w:val="NoSpacing"/>
              <w:jc w:val="center"/>
              <w:rPr>
                <w:b/>
                <w:bCs/>
                <w:color w:val="FFFFFF" w:themeColor="background2"/>
              </w:rPr>
            </w:pPr>
            <w:r w:rsidRPr="10A9F656">
              <w:rPr>
                <w:b/>
                <w:bCs/>
                <w:color w:val="FFFFFF" w:themeColor="background2"/>
              </w:rPr>
              <w:t xml:space="preserve">    Tier</w:t>
            </w:r>
          </w:p>
        </w:tc>
        <w:tc>
          <w:tcPr>
            <w:tcW w:w="2719" w:type="dxa"/>
            <w:shd w:val="clear" w:color="auto" w:fill="004E7D" w:themeFill="accent6" w:themeFillShade="BF"/>
            <w:vAlign w:val="center"/>
          </w:tcPr>
          <w:p w:rsidR="002A0BC5" w:rsidRPr="00C12C6C" w:rsidP="10A9F656" w14:paraId="15D0F542" w14:textId="036B12AE">
            <w:pPr>
              <w:pStyle w:val="NoSpacing"/>
              <w:jc w:val="center"/>
              <w:rPr>
                <w:b/>
                <w:bCs/>
                <w:color w:val="FFFFFF" w:themeColor="background2"/>
              </w:rPr>
            </w:pPr>
            <w:r w:rsidRPr="10A9F656">
              <w:rPr>
                <w:b/>
                <w:bCs/>
                <w:color w:val="FFFFFF" w:themeColor="background2"/>
              </w:rPr>
              <w:t>Recipient</w:t>
            </w:r>
          </w:p>
        </w:tc>
        <w:tc>
          <w:tcPr>
            <w:tcW w:w="1793" w:type="dxa"/>
            <w:shd w:val="clear" w:color="auto" w:fill="004E7D" w:themeFill="accent6" w:themeFillShade="BF"/>
            <w:vAlign w:val="center"/>
          </w:tcPr>
          <w:p w:rsidR="002A0BC5" w:rsidRPr="00C12C6C" w:rsidP="10A9F656" w14:paraId="79E14A25" w14:textId="3D309C76">
            <w:pPr>
              <w:pStyle w:val="NoSpacing"/>
              <w:jc w:val="center"/>
              <w:rPr>
                <w:b/>
                <w:bCs/>
                <w:color w:val="FFFFFF" w:themeColor="background2"/>
              </w:rPr>
            </w:pPr>
            <w:r w:rsidRPr="10A9F656">
              <w:rPr>
                <w:b/>
                <w:bCs/>
                <w:color w:val="FFFFFF" w:themeColor="background2"/>
              </w:rPr>
              <w:t>Interim Report</w:t>
            </w:r>
          </w:p>
        </w:tc>
        <w:tc>
          <w:tcPr>
            <w:tcW w:w="2203" w:type="dxa"/>
            <w:shd w:val="clear" w:color="auto" w:fill="004E7D" w:themeFill="accent6" w:themeFillShade="BF"/>
            <w:vAlign w:val="center"/>
          </w:tcPr>
          <w:p w:rsidR="002A0BC5" w:rsidRPr="00C12C6C" w:rsidP="10A9F656" w14:paraId="0C5DA6D8" w14:textId="1F50CADA">
            <w:pPr>
              <w:pStyle w:val="NoSpacing"/>
              <w:jc w:val="center"/>
              <w:rPr>
                <w:b/>
                <w:bCs/>
                <w:color w:val="FFFFFF" w:themeColor="background2"/>
              </w:rPr>
            </w:pPr>
            <w:r w:rsidRPr="10A9F656">
              <w:rPr>
                <w:b/>
                <w:bCs/>
                <w:color w:val="FFFFFF" w:themeColor="background2"/>
              </w:rPr>
              <w:t>Project and Expenditure Report</w:t>
            </w:r>
          </w:p>
        </w:tc>
        <w:tc>
          <w:tcPr>
            <w:tcW w:w="1869" w:type="dxa"/>
            <w:shd w:val="clear" w:color="auto" w:fill="004E7D" w:themeFill="accent6" w:themeFillShade="BF"/>
            <w:vAlign w:val="center"/>
          </w:tcPr>
          <w:p w:rsidR="002A0BC5" w:rsidRPr="00C12C6C" w:rsidP="10A9F656" w14:paraId="7FD652FA" w14:textId="099C2AED">
            <w:pPr>
              <w:pStyle w:val="NoSpacing"/>
              <w:jc w:val="center"/>
              <w:rPr>
                <w:b/>
                <w:bCs/>
                <w:color w:val="FFFFFF" w:themeColor="background2"/>
              </w:rPr>
            </w:pPr>
            <w:r w:rsidRPr="10A9F656">
              <w:rPr>
                <w:b/>
                <w:bCs/>
                <w:color w:val="FFFFFF" w:themeColor="background2"/>
              </w:rPr>
              <w:t>Recovery Plan Performance Report</w:t>
            </w:r>
          </w:p>
        </w:tc>
      </w:tr>
      <w:tr w14:paraId="63F5996F" w14:textId="77777777" w:rsidTr="00A96CE3">
        <w:tblPrEx>
          <w:tblW w:w="9377" w:type="dxa"/>
          <w:tblLook w:val="04A0"/>
        </w:tblPrEx>
        <w:tc>
          <w:tcPr>
            <w:tcW w:w="793" w:type="dxa"/>
            <w:shd w:val="clear" w:color="auto" w:fill="D9D9D9" w:themeFill="background2" w:themeFillShade="D9"/>
          </w:tcPr>
          <w:p w:rsidR="06486805" w:rsidP="0026105D" w14:paraId="375F47F3" w14:textId="6F59E3EB">
            <w:pPr>
              <w:pStyle w:val="NoSpacing"/>
              <w:jc w:val="center"/>
            </w:pPr>
          </w:p>
          <w:p w:rsidR="30CBB411" w:rsidP="0026105D" w14:paraId="3EA745CC" w14:textId="65C3B903">
            <w:pPr>
              <w:pStyle w:val="NoSpacing"/>
              <w:jc w:val="center"/>
            </w:pPr>
          </w:p>
          <w:p w:rsidR="30CBB411" w:rsidP="0026105D" w14:paraId="566E8E6E" w14:textId="65C3B903">
            <w:pPr>
              <w:pStyle w:val="NoSpacing"/>
              <w:jc w:val="center"/>
            </w:pPr>
          </w:p>
          <w:p w:rsidR="002A0BC5" w:rsidP="00D04ED6" w14:paraId="3A047590" w14:textId="24FE2A8C">
            <w:pPr>
              <w:pStyle w:val="NoSpacing"/>
              <w:jc w:val="center"/>
            </w:pPr>
            <w:r>
              <w:t>1</w:t>
            </w:r>
          </w:p>
        </w:tc>
        <w:tc>
          <w:tcPr>
            <w:tcW w:w="2719" w:type="dxa"/>
            <w:shd w:val="clear" w:color="auto" w:fill="D9D9D9" w:themeFill="background2" w:themeFillShade="D9"/>
          </w:tcPr>
          <w:p w:rsidR="002A0BC5" w:rsidP="00FD6A50" w14:paraId="43F3FCDF" w14:textId="4C4624F4">
            <w:pPr>
              <w:pStyle w:val="NoSpacing"/>
            </w:pPr>
            <w:r>
              <w:t>States, U.S. territories, metropolitan cities and counties with a population that exceeds 250,000 residents</w:t>
            </w:r>
          </w:p>
        </w:tc>
        <w:tc>
          <w:tcPr>
            <w:tcW w:w="1793" w:type="dxa"/>
            <w:vMerge w:val="restart"/>
            <w:shd w:val="clear" w:color="auto" w:fill="E2F3C6" w:themeFill="accent2" w:themeFillTint="33"/>
          </w:tcPr>
          <w:p w:rsidR="00BF073F" w:rsidP="00086055" w14:paraId="2D581478" w14:textId="77777777">
            <w:pPr>
              <w:pStyle w:val="NoSpacing"/>
            </w:pPr>
            <w:r>
              <w:t>By August 31, 2021 or 60 days after receiving funding if funding was received by October 15, with expenditures by category</w:t>
            </w:r>
            <w:r>
              <w:t xml:space="preserve">. </w:t>
            </w:r>
          </w:p>
          <w:p w:rsidR="00C75B5C" w:rsidP="00086055" w14:paraId="601F6721" w14:textId="2FC43CBF">
            <w:pPr>
              <w:pStyle w:val="NoSpacing"/>
            </w:pPr>
          </w:p>
          <w:p w:rsidR="00C75B5C" w:rsidRPr="002024EB" w:rsidP="00086055" w14:paraId="165B4A79" w14:textId="1042EA79">
            <w:pPr>
              <w:pStyle w:val="NoSpacing"/>
              <w:rPr>
                <w:i/>
                <w:iCs/>
              </w:rPr>
            </w:pPr>
            <w:r w:rsidRPr="002024EB">
              <w:rPr>
                <w:i/>
                <w:iCs/>
              </w:rPr>
              <w:t>Note: NEUs were not required to submit an Interim Report</w:t>
            </w:r>
          </w:p>
          <w:p w:rsidR="00B125A3" w:rsidP="00086055" w14:paraId="3B90D33C" w14:textId="77777777">
            <w:pPr>
              <w:pStyle w:val="NoSpacing"/>
            </w:pPr>
          </w:p>
          <w:p w:rsidR="002A0BC5" w:rsidP="00086055" w14:paraId="6BEC916A" w14:textId="36B2E42B">
            <w:pPr>
              <w:pStyle w:val="NoSpacing"/>
            </w:pPr>
          </w:p>
        </w:tc>
        <w:tc>
          <w:tcPr>
            <w:tcW w:w="2203" w:type="dxa"/>
            <w:vMerge w:val="restart"/>
            <w:shd w:val="clear" w:color="auto" w:fill="E2F3C6" w:themeFill="accent2" w:themeFillTint="33"/>
          </w:tcPr>
          <w:p w:rsidR="002A0BC5" w:rsidP="00FD6A50" w14:paraId="504BB5E5" w14:textId="6D07C80E">
            <w:pPr>
              <w:pStyle w:val="NoSpacing"/>
            </w:pPr>
            <w:r>
              <w:t xml:space="preserve">By January 31, 2022, and then </w:t>
            </w:r>
            <w:r w:rsidR="0001556D">
              <w:t>the last day of the month</w:t>
            </w:r>
            <w:r>
              <w:t xml:space="preserve"> after the end of each quarter thereafter</w:t>
            </w:r>
          </w:p>
          <w:p w:rsidR="007B5CC5" w:rsidP="00FD6A50" w14:paraId="74E7349F" w14:textId="77777777">
            <w:pPr>
              <w:pStyle w:val="NoSpacing"/>
            </w:pPr>
          </w:p>
          <w:p w:rsidR="007B5CC5" w:rsidRPr="007B5CC5" w:rsidP="00FD6A50" w14:paraId="0238D81F" w14:textId="5E92B3F3">
            <w:pPr>
              <w:pStyle w:val="NoSpacing"/>
              <w:rPr>
                <w:i/>
                <w:iCs/>
              </w:rPr>
            </w:pPr>
            <w:r w:rsidRPr="007B5CC5">
              <w:rPr>
                <w:i/>
                <w:iCs/>
              </w:rPr>
              <w:t xml:space="preserve">Note: NEUs were not required to submit a Project and Expenditure Report on January 31, 2022.  The first reporting date for NEUs </w:t>
            </w:r>
            <w:r w:rsidR="00CC1E56">
              <w:rPr>
                <w:i/>
                <w:iCs/>
              </w:rPr>
              <w:t>was</w:t>
            </w:r>
            <w:r w:rsidRPr="007B5CC5">
              <w:rPr>
                <w:i/>
                <w:iCs/>
              </w:rPr>
              <w:t xml:space="preserve"> April 30, 2022.</w:t>
            </w:r>
          </w:p>
        </w:tc>
        <w:tc>
          <w:tcPr>
            <w:tcW w:w="1869" w:type="dxa"/>
            <w:shd w:val="clear" w:color="auto" w:fill="E2F3C6" w:themeFill="accent2" w:themeFillTint="33"/>
          </w:tcPr>
          <w:p w:rsidR="002A0BC5" w:rsidP="00FD6A50" w14:paraId="59C7E052" w14:textId="4CFBFC54">
            <w:pPr>
              <w:pStyle w:val="NoSpacing"/>
            </w:pPr>
            <w:r>
              <w:t>By August 31</w:t>
            </w:r>
            <w:r w:rsidRPr="3993B22C">
              <w:t xml:space="preserve">, </w:t>
            </w:r>
            <w:r>
              <w:t>2021 or 60 days after receiving funding, and annually thereafter by July 31</w:t>
            </w:r>
          </w:p>
        </w:tc>
      </w:tr>
      <w:tr w14:paraId="69E0FB3D" w14:textId="77777777" w:rsidTr="00A96CE3">
        <w:tblPrEx>
          <w:tblW w:w="9377" w:type="dxa"/>
          <w:tblLook w:val="04A0"/>
        </w:tblPrEx>
        <w:trPr>
          <w:trHeight w:val="1214"/>
        </w:trPr>
        <w:tc>
          <w:tcPr>
            <w:tcW w:w="793" w:type="dxa"/>
            <w:shd w:val="clear" w:color="auto" w:fill="D9D9D9" w:themeFill="background2" w:themeFillShade="D9"/>
          </w:tcPr>
          <w:p w:rsidR="002A0BC5" w:rsidP="00D04ED6" w14:paraId="6F911D09" w14:textId="65C3B903">
            <w:pPr>
              <w:pStyle w:val="NoSpacing"/>
              <w:jc w:val="center"/>
            </w:pPr>
          </w:p>
          <w:p w:rsidR="002A0BC5" w:rsidP="00D04ED6" w14:paraId="21437DEF" w14:textId="393FAA7F">
            <w:pPr>
              <w:pStyle w:val="NoSpacing"/>
              <w:jc w:val="center"/>
            </w:pPr>
          </w:p>
          <w:p w:rsidR="002A0BC5" w:rsidP="00D04ED6" w14:paraId="4CFEF134" w14:textId="393E07C0">
            <w:pPr>
              <w:pStyle w:val="NoSpacing"/>
              <w:jc w:val="center"/>
            </w:pPr>
            <w:r>
              <w:t>2</w:t>
            </w:r>
          </w:p>
        </w:tc>
        <w:tc>
          <w:tcPr>
            <w:tcW w:w="2719" w:type="dxa"/>
            <w:shd w:val="clear" w:color="auto" w:fill="D9D9D9" w:themeFill="background2" w:themeFillShade="D9"/>
          </w:tcPr>
          <w:p w:rsidR="002A0BC5" w:rsidRPr="00E21798" w:rsidP="10A9F656" w14:paraId="4BDF611C" w14:textId="3D0E5CA6">
            <w:pPr>
              <w:pStyle w:val="NoSpacing"/>
              <w:rPr>
                <w:b/>
                <w:bCs/>
              </w:rPr>
            </w:pPr>
            <w:r>
              <w:t>Metropolitan cities</w:t>
            </w:r>
            <w:r w:rsidR="00564024">
              <w:t xml:space="preserve"> and </w:t>
            </w:r>
            <w:r>
              <w:t>counties</w:t>
            </w:r>
            <w:r w:rsidR="008C3582">
              <w:t xml:space="preserve"> </w:t>
            </w:r>
            <w:r>
              <w:t xml:space="preserve">with a population below 250,000 residents </w:t>
            </w:r>
            <w:r w:rsidR="00D34E1C">
              <w:t xml:space="preserve">that </w:t>
            </w:r>
            <w:r w:rsidR="002B572A">
              <w:t>are</w:t>
            </w:r>
            <w:r w:rsidR="00D34E1C">
              <w:t xml:space="preserve"> allocated </w:t>
            </w:r>
            <w:r>
              <w:t>more than $10 million in SLFRF funding</w:t>
            </w:r>
            <w:r w:rsidR="00564024">
              <w:t>, and NEUs that are allocated more than $10 million in SLFRF funding</w:t>
            </w:r>
          </w:p>
        </w:tc>
        <w:tc>
          <w:tcPr>
            <w:tcW w:w="1793" w:type="dxa"/>
            <w:vMerge/>
            <w:shd w:val="clear" w:color="auto" w:fill="E2F3C6" w:themeFill="accent2" w:themeFillTint="33"/>
          </w:tcPr>
          <w:p w:rsidR="002A0BC5" w:rsidP="00FD6A50" w14:paraId="1D5E76AD" w14:textId="05632C67">
            <w:pPr>
              <w:pStyle w:val="NoSpacing"/>
            </w:pPr>
          </w:p>
        </w:tc>
        <w:tc>
          <w:tcPr>
            <w:tcW w:w="2203" w:type="dxa"/>
            <w:vMerge/>
            <w:shd w:val="clear" w:color="auto" w:fill="E2F3C6" w:themeFill="accent2" w:themeFillTint="33"/>
          </w:tcPr>
          <w:p w:rsidR="002A0BC5" w:rsidP="00FD6A50" w14:paraId="539D5C31" w14:textId="7383ABB0">
            <w:pPr>
              <w:pStyle w:val="NoSpacing"/>
            </w:pPr>
          </w:p>
        </w:tc>
        <w:tc>
          <w:tcPr>
            <w:tcW w:w="1869" w:type="dxa"/>
            <w:vMerge w:val="restart"/>
            <w:shd w:val="clear" w:color="auto" w:fill="FFCC99"/>
          </w:tcPr>
          <w:p w:rsidR="002A0BC5" w:rsidP="00FD6A50" w14:paraId="56E6A8A7" w14:textId="3BC85F1B">
            <w:pPr>
              <w:pStyle w:val="NoSpacing"/>
              <w:jc w:val="both"/>
            </w:pPr>
          </w:p>
        </w:tc>
      </w:tr>
      <w:tr w14:paraId="486694D9" w14:textId="77777777" w:rsidTr="10A9F656">
        <w:tblPrEx>
          <w:tblW w:w="9377" w:type="dxa"/>
          <w:tblLook w:val="04A0"/>
        </w:tblPrEx>
        <w:trPr>
          <w:trHeight w:val="458"/>
        </w:trPr>
        <w:tc>
          <w:tcPr>
            <w:tcW w:w="793" w:type="dxa"/>
            <w:shd w:val="clear" w:color="auto" w:fill="D9D9D9" w:themeFill="background2" w:themeFillShade="D9"/>
          </w:tcPr>
          <w:p w:rsidR="30CBB411" w:rsidP="0026105D" w14:paraId="7429D5C6" w14:textId="393FAA7F">
            <w:pPr>
              <w:pStyle w:val="NoSpacing"/>
              <w:jc w:val="center"/>
            </w:pPr>
          </w:p>
          <w:p w:rsidR="002A0BC5" w:rsidP="00D04ED6" w14:paraId="40300595" w14:textId="1BBC34B5">
            <w:pPr>
              <w:pStyle w:val="NoSpacing"/>
              <w:jc w:val="center"/>
            </w:pPr>
            <w:r>
              <w:t>3</w:t>
            </w:r>
          </w:p>
        </w:tc>
        <w:tc>
          <w:tcPr>
            <w:tcW w:w="2719" w:type="dxa"/>
            <w:shd w:val="clear" w:color="auto" w:fill="D9D9D9" w:themeFill="background2" w:themeFillShade="D9"/>
          </w:tcPr>
          <w:p w:rsidR="002A0BC5" w:rsidRPr="00CA4E74" w:rsidP="00FD6A50" w14:paraId="60112236" w14:textId="10F56B0C">
            <w:pPr>
              <w:pStyle w:val="NoSpacing"/>
            </w:pPr>
            <w:r>
              <w:t xml:space="preserve">Tribal Governments </w:t>
            </w:r>
            <w:r w:rsidR="00D34E1C">
              <w:t xml:space="preserve">that </w:t>
            </w:r>
            <w:r w:rsidR="002B572A">
              <w:t>are</w:t>
            </w:r>
            <w:r w:rsidR="00D34E1C">
              <w:t xml:space="preserve"> allocated </w:t>
            </w:r>
            <w:r>
              <w:t>more than $30 million in SLFRF funding</w:t>
            </w:r>
          </w:p>
        </w:tc>
        <w:tc>
          <w:tcPr>
            <w:tcW w:w="1793" w:type="dxa"/>
            <w:vMerge/>
            <w:shd w:val="clear" w:color="auto" w:fill="E2F3C6" w:themeFill="accent2" w:themeFillTint="33"/>
          </w:tcPr>
          <w:p w:rsidR="002A0BC5" w:rsidP="00FD6A50" w14:paraId="0C5A4876" w14:textId="77777777">
            <w:pPr>
              <w:pStyle w:val="NoSpacing"/>
            </w:pPr>
          </w:p>
        </w:tc>
        <w:tc>
          <w:tcPr>
            <w:tcW w:w="2203" w:type="dxa"/>
            <w:vMerge/>
            <w:shd w:val="clear" w:color="auto" w:fill="E2F3C6" w:themeFill="accent2" w:themeFillTint="33"/>
          </w:tcPr>
          <w:p w:rsidR="002A0BC5" w:rsidP="00FD6A50" w14:paraId="7E9A9E58" w14:textId="77777777">
            <w:pPr>
              <w:pStyle w:val="NoSpacing"/>
            </w:pPr>
          </w:p>
        </w:tc>
        <w:tc>
          <w:tcPr>
            <w:tcW w:w="1869" w:type="dxa"/>
            <w:vMerge/>
            <w:shd w:val="clear" w:color="auto" w:fill="FFCC99"/>
          </w:tcPr>
          <w:p w:rsidR="002A0BC5" w:rsidP="00FD6A50" w14:paraId="0CB9A11D" w14:textId="77777777">
            <w:pPr>
              <w:pStyle w:val="NoSpacing"/>
            </w:pPr>
          </w:p>
        </w:tc>
      </w:tr>
      <w:tr w14:paraId="1E81091F" w14:textId="77777777" w:rsidTr="00A96CE3">
        <w:tblPrEx>
          <w:tblW w:w="9377" w:type="dxa"/>
          <w:tblLook w:val="04A0"/>
        </w:tblPrEx>
        <w:trPr>
          <w:trHeight w:val="458"/>
        </w:trPr>
        <w:tc>
          <w:tcPr>
            <w:tcW w:w="793" w:type="dxa"/>
            <w:shd w:val="clear" w:color="auto" w:fill="D9D9D9" w:themeFill="background2" w:themeFillShade="D9"/>
          </w:tcPr>
          <w:p w:rsidR="30CBB411" w:rsidP="0026105D" w14:paraId="2088165C" w14:textId="393FAA7F">
            <w:pPr>
              <w:pStyle w:val="NoSpacing"/>
              <w:jc w:val="center"/>
            </w:pPr>
          </w:p>
          <w:p w:rsidR="002A0BC5" w:rsidP="30CBB411" w14:paraId="684D87EA" w14:textId="1E3EC312">
            <w:pPr>
              <w:pStyle w:val="NoSpacing"/>
              <w:jc w:val="center"/>
            </w:pPr>
            <w:r>
              <w:t>4</w:t>
            </w:r>
          </w:p>
        </w:tc>
        <w:tc>
          <w:tcPr>
            <w:tcW w:w="2719" w:type="dxa"/>
            <w:shd w:val="clear" w:color="auto" w:fill="D9D9D9" w:themeFill="background2" w:themeFillShade="D9"/>
          </w:tcPr>
          <w:p w:rsidR="002A0BC5" w:rsidP="598A070B" w14:paraId="47118EAA" w14:textId="321875D7">
            <w:pPr>
              <w:pStyle w:val="NoSpacing"/>
            </w:pPr>
            <w:r>
              <w:t xml:space="preserve">Tribal Governments </w:t>
            </w:r>
            <w:r w:rsidR="00D34E1C">
              <w:t xml:space="preserve">that </w:t>
            </w:r>
            <w:r w:rsidR="002B572A">
              <w:t xml:space="preserve">are </w:t>
            </w:r>
            <w:r w:rsidR="00D34E1C">
              <w:t xml:space="preserve">allocated </w:t>
            </w:r>
            <w:r>
              <w:t>less than $30 million in SLFRF funding</w:t>
            </w:r>
          </w:p>
        </w:tc>
        <w:tc>
          <w:tcPr>
            <w:tcW w:w="1793" w:type="dxa"/>
            <w:vMerge/>
            <w:shd w:val="clear" w:color="auto" w:fill="E2F3C6" w:themeFill="accent2" w:themeFillTint="33"/>
          </w:tcPr>
          <w:p w:rsidR="002A0BC5" w:rsidP="00FD6A50" w14:paraId="079AFD62" w14:textId="77777777">
            <w:pPr>
              <w:pStyle w:val="NoSpacing"/>
            </w:pPr>
          </w:p>
        </w:tc>
        <w:tc>
          <w:tcPr>
            <w:tcW w:w="2203" w:type="dxa"/>
            <w:vMerge w:val="restart"/>
            <w:shd w:val="clear" w:color="auto" w:fill="FFFF99"/>
          </w:tcPr>
          <w:p w:rsidR="002A0BC5" w:rsidP="00FD6A50" w14:paraId="6EAAEBEC" w14:textId="6F6D81B5">
            <w:pPr>
              <w:pStyle w:val="NoSpacing"/>
            </w:pPr>
            <w:r>
              <w:t xml:space="preserve">By April 30, 2022, and then annually </w:t>
            </w:r>
            <w:r w:rsidR="00D734BE">
              <w:t>thereafter</w:t>
            </w:r>
          </w:p>
          <w:p w:rsidR="002A0BC5" w:rsidP="00FD6A50" w14:paraId="5FF7421C" w14:textId="77777777">
            <w:pPr>
              <w:pStyle w:val="NoSpacing"/>
            </w:pPr>
          </w:p>
        </w:tc>
        <w:tc>
          <w:tcPr>
            <w:tcW w:w="1869" w:type="dxa"/>
            <w:vMerge/>
            <w:shd w:val="clear" w:color="auto" w:fill="FFCC99"/>
          </w:tcPr>
          <w:p w:rsidR="002A0BC5" w:rsidP="00FD6A50" w14:paraId="2BB01E24" w14:textId="77777777">
            <w:pPr>
              <w:pStyle w:val="NoSpacing"/>
            </w:pPr>
          </w:p>
        </w:tc>
      </w:tr>
      <w:tr w14:paraId="7C60F185" w14:textId="77777777" w:rsidTr="10A9F656">
        <w:tblPrEx>
          <w:tblW w:w="9377" w:type="dxa"/>
          <w:tblLook w:val="04A0"/>
        </w:tblPrEx>
        <w:trPr>
          <w:trHeight w:val="1232"/>
        </w:trPr>
        <w:tc>
          <w:tcPr>
            <w:tcW w:w="793" w:type="dxa"/>
            <w:shd w:val="clear" w:color="auto" w:fill="D9D9D9" w:themeFill="background2" w:themeFillShade="D9"/>
          </w:tcPr>
          <w:p w:rsidR="30CBB411" w:rsidP="0026105D" w14:paraId="2B765317" w14:textId="393FAA7F">
            <w:pPr>
              <w:pStyle w:val="NoSpacing"/>
              <w:jc w:val="center"/>
            </w:pPr>
          </w:p>
          <w:p w:rsidR="30CBB411" w:rsidP="0026105D" w14:paraId="7C25547B" w14:textId="0BE3FBAB">
            <w:pPr>
              <w:pStyle w:val="NoSpacing"/>
              <w:jc w:val="center"/>
            </w:pPr>
          </w:p>
          <w:p w:rsidR="002A0BC5" w:rsidP="00D04ED6" w14:paraId="3ECAA304" w14:textId="68CE4FAB">
            <w:pPr>
              <w:pStyle w:val="NoSpacing"/>
              <w:jc w:val="center"/>
            </w:pPr>
            <w:r>
              <w:t>5</w:t>
            </w:r>
          </w:p>
        </w:tc>
        <w:tc>
          <w:tcPr>
            <w:tcW w:w="2719" w:type="dxa"/>
            <w:shd w:val="clear" w:color="auto" w:fill="D9D9D9" w:themeFill="background2" w:themeFillShade="D9"/>
          </w:tcPr>
          <w:p w:rsidR="002A0BC5" w:rsidP="00FD6A50" w14:paraId="12E77CDB" w14:textId="6B05314E">
            <w:pPr>
              <w:pStyle w:val="NoSpacing"/>
            </w:pPr>
            <w:r>
              <w:t>Metropolitan cities</w:t>
            </w:r>
            <w:r w:rsidR="00564024">
              <w:t xml:space="preserve"> and </w:t>
            </w:r>
            <w:r>
              <w:t>counties</w:t>
            </w:r>
            <w:r w:rsidR="008C3582">
              <w:t xml:space="preserve"> </w:t>
            </w:r>
            <w:r>
              <w:t xml:space="preserve">with a population below 250,000 residents </w:t>
            </w:r>
            <w:r w:rsidR="00D34E1C">
              <w:t xml:space="preserve">that </w:t>
            </w:r>
            <w:r w:rsidR="0023452E">
              <w:t>are</w:t>
            </w:r>
            <w:r w:rsidR="00D34E1C">
              <w:t xml:space="preserve"> allocated </w:t>
            </w:r>
            <w:r>
              <w:t>less than $10 million in SLFRF funding</w:t>
            </w:r>
            <w:r w:rsidR="00564024">
              <w:t>, and NEUs that are allocated less than $10 million in SLFRF funding</w:t>
            </w:r>
          </w:p>
          <w:p w:rsidR="00C75B5C" w:rsidP="00FD6A50" w14:paraId="545BC243" w14:textId="709B5A63">
            <w:pPr>
              <w:pStyle w:val="NoSpacing"/>
            </w:pPr>
          </w:p>
        </w:tc>
        <w:tc>
          <w:tcPr>
            <w:tcW w:w="1793" w:type="dxa"/>
            <w:vMerge/>
            <w:shd w:val="clear" w:color="auto" w:fill="E2F3C6" w:themeFill="accent2" w:themeFillTint="33"/>
          </w:tcPr>
          <w:p w:rsidR="002A0BC5" w:rsidP="00FD6A50" w14:paraId="5F3869A4" w14:textId="77777777">
            <w:pPr>
              <w:pStyle w:val="NoSpacing"/>
            </w:pPr>
          </w:p>
        </w:tc>
        <w:tc>
          <w:tcPr>
            <w:tcW w:w="2203" w:type="dxa"/>
            <w:vMerge/>
            <w:shd w:val="clear" w:color="auto" w:fill="FFFF99"/>
          </w:tcPr>
          <w:p w:rsidR="002A0BC5" w:rsidP="00FD6A50" w14:paraId="1239A899" w14:textId="77777777">
            <w:pPr>
              <w:pStyle w:val="NoSpacing"/>
            </w:pPr>
          </w:p>
        </w:tc>
        <w:tc>
          <w:tcPr>
            <w:tcW w:w="1869" w:type="dxa"/>
            <w:vMerge/>
            <w:shd w:val="clear" w:color="auto" w:fill="FFCC99"/>
          </w:tcPr>
          <w:p w:rsidR="002A0BC5" w:rsidP="00FD6A50" w14:paraId="4905BE43" w14:textId="77777777">
            <w:pPr>
              <w:pStyle w:val="NoSpacing"/>
            </w:pPr>
          </w:p>
        </w:tc>
      </w:tr>
    </w:tbl>
    <w:p w:rsidR="1B072BFE" w:rsidRPr="00E9415F" w:rsidP="10A9F656" w14:paraId="7323F552" w14:textId="0A48B6D2">
      <w:pPr>
        <w:pStyle w:val="NoSpacing"/>
        <w:jc w:val="both"/>
        <w:rPr>
          <w:rFonts w:ascii="Arial" w:hAnsi="Arial"/>
          <w:sz w:val="20"/>
          <w:szCs w:val="20"/>
        </w:rPr>
      </w:pPr>
      <w:r w:rsidRPr="10A9F656">
        <w:rPr>
          <w:sz w:val="20"/>
          <w:szCs w:val="20"/>
        </w:rPr>
        <w:t>Note: Based on the period of performance, reports will be collected through April 30, 2027</w:t>
      </w:r>
      <w:r w:rsidRPr="10A9F656">
        <w:rPr>
          <w:rFonts w:ascii="Arial" w:hAnsi="Arial"/>
          <w:sz w:val="20"/>
          <w:szCs w:val="20"/>
        </w:rPr>
        <w:t>. See the specific due dates listed in Sections B and C.</w:t>
      </w:r>
    </w:p>
    <w:p w:rsidR="2546A743" w:rsidRPr="00E9415F" w:rsidP="00E9415F" w14:paraId="677AB92F" w14:textId="4F3DE5F5">
      <w:pPr>
        <w:pStyle w:val="NoSpacing"/>
        <w:jc w:val="both"/>
        <w:rPr>
          <w:rFonts w:ascii="Arial" w:hAnsi="Arial"/>
        </w:rPr>
      </w:pPr>
    </w:p>
    <w:p w:rsidR="00BF073F" w:rsidP="598A070B" w14:paraId="3B19063E" w14:textId="6711F4F1">
      <w:pPr>
        <w:pStyle w:val="NoSpacing"/>
        <w:jc w:val="both"/>
      </w:pPr>
      <w:r>
        <w:t>As mentioned above, the total SLFRF allocations across all sources for a given jurisdiction will be used to identify that jurisdiction’s Reporting Tier</w:t>
      </w:r>
      <w:r w:rsidR="0047717D">
        <w:t>, beginning in April of 2022</w:t>
      </w:r>
      <w:r>
        <w:t xml:space="preserve">. Treasury may reach out </w:t>
      </w:r>
      <w:r w:rsidR="004B5E06">
        <w:t xml:space="preserve">to jurisdictions </w:t>
      </w:r>
      <w:r w:rsidR="00874477">
        <w:t>to</w:t>
      </w:r>
      <w:r w:rsidR="004B5E06">
        <w:t xml:space="preserve"> update Reporting Tiers</w:t>
      </w:r>
      <w:r w:rsidR="0047717D">
        <w:t>.</w:t>
      </w:r>
      <w:r w:rsidR="004B5E06">
        <w:t xml:space="preserve"> </w:t>
      </w:r>
    </w:p>
    <w:p w:rsidR="00BF073F" w:rsidP="598A070B" w14:paraId="1BCFEA43" w14:textId="77777777">
      <w:pPr>
        <w:pStyle w:val="NoSpacing"/>
        <w:jc w:val="both"/>
      </w:pPr>
    </w:p>
    <w:p w:rsidR="003728FE" w:rsidP="598A070B" w14:paraId="0090B33A" w14:textId="01A47409">
      <w:pPr>
        <w:pStyle w:val="NoSpacing"/>
        <w:jc w:val="both"/>
      </w:pPr>
      <w:r>
        <w:t xml:space="preserve">The remainder of this document describes these reporting requirements.  User guides describing how and where to submit required reports </w:t>
      </w:r>
      <w:r w:rsidR="00112D70">
        <w:t>are</w:t>
      </w:r>
      <w:r>
        <w:t xml:space="preserve"> posted at </w:t>
      </w:r>
      <w:hyperlink r:id="rId25">
        <w:r w:rsidRPr="10A9F656">
          <w:rPr>
            <w:rStyle w:val="Hyperlink"/>
          </w:rPr>
          <w:t>www.treasury.gov/SLFRPReporting</w:t>
        </w:r>
      </w:hyperlink>
      <w:r>
        <w:t xml:space="preserve"> and updated on a regular basis.  </w:t>
      </w:r>
    </w:p>
    <w:p w:rsidR="00814517" w:rsidP="00FD6A50" w14:paraId="55EED76F" w14:textId="781FCB5B">
      <w:pPr>
        <w:pStyle w:val="NoSpacing"/>
        <w:jc w:val="both"/>
      </w:pPr>
    </w:p>
    <w:p w:rsidR="00931147" w:rsidP="00FD6A50" w14:paraId="470546BB" w14:textId="2C99A604">
      <w:pPr>
        <w:pStyle w:val="NoSpacing"/>
        <w:jc w:val="both"/>
        <w:rPr>
          <w:b/>
          <w:bCs/>
        </w:rPr>
      </w:pPr>
    </w:p>
    <w:p w:rsidR="00282C0E" w:rsidP="00FD6A50" w14:paraId="03D5B5DD" w14:textId="580A5FD6">
      <w:pPr>
        <w:pStyle w:val="NoSpacing"/>
        <w:jc w:val="both"/>
        <w:rPr>
          <w:b/>
          <w:bCs/>
        </w:rPr>
      </w:pPr>
      <w:r w:rsidRPr="00160B4B">
        <w:rPr>
          <w:b/>
          <w:bCs/>
          <w:noProof/>
        </w:rPr>
        <mc:AlternateContent>
          <mc:Choice Requires="wps">
            <w:drawing>
              <wp:inline distT="0" distB="0" distL="0" distR="0">
                <wp:extent cx="5718810" cy="1404620"/>
                <wp:effectExtent l="0" t="0" r="15240" b="15875"/>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18810" cy="1404620"/>
                        </a:xfrm>
                        <a:prstGeom prst="rect">
                          <a:avLst/>
                        </a:prstGeom>
                        <a:solidFill>
                          <a:srgbClr val="D5EFFF"/>
                        </a:solidFill>
                        <a:ln w="9525">
                          <a:solidFill>
                            <a:srgbClr val="000000"/>
                          </a:solidFill>
                          <a:miter lim="800000"/>
                          <a:headEnd/>
                          <a:tailEnd/>
                        </a:ln>
                      </wps:spPr>
                      <wps:txbx>
                        <w:txbxContent>
                          <w:p w:rsidR="00450A70" w:rsidRPr="00D94864" w:rsidP="003C5176" w14:textId="3D731A88">
                            <w:pPr>
                              <w:rPr>
                                <w:b/>
                                <w:bCs/>
                                <w:color w:val="004E7D"/>
                                <w:sz w:val="28"/>
                                <w:szCs w:val="28"/>
                                <w:shd w:val="clear" w:color="auto" w:fill="D5EFFF"/>
                              </w:rPr>
                            </w:pPr>
                            <w:r w:rsidRPr="00D94864">
                              <w:rPr>
                                <w:b/>
                                <w:bCs/>
                                <w:color w:val="004E7D"/>
                                <w:sz w:val="28"/>
                                <w:szCs w:val="28"/>
                                <w:shd w:val="clear" w:color="auto" w:fill="D5EFFF"/>
                              </w:rPr>
                              <w:t>Comparison to reporting for the CRF</w:t>
                            </w:r>
                          </w:p>
                          <w:p w:rsidR="00450A70" w:rsidRPr="00233A73" w:rsidP="00BD52EC" w14:textId="010E370F">
                            <w:pPr>
                              <w:pStyle w:val="NoSpacing"/>
                              <w:spacing w:before="120"/>
                              <w:ind w:right="386"/>
                              <w:jc w:val="both"/>
                              <w:rPr>
                                <w:shd w:val="clear" w:color="auto" w:fill="D5EFFF"/>
                              </w:rPr>
                            </w:pPr>
                            <w:r w:rsidRPr="00233A73">
                              <w:rPr>
                                <w:shd w:val="clear" w:color="auto" w:fill="D5EFFF"/>
                              </w:rPr>
                              <w:t xml:space="preserve">This guidance does not change the reporting or compliance requirements pertaining to the CRF. Reporting and compliance requirements for the SLFRF are separate from CRF reporting requirements.  </w:t>
                            </w:r>
                            <w:r>
                              <w:rPr>
                                <w:shd w:val="clear" w:color="auto" w:fill="D5EFFF"/>
                              </w:rPr>
                              <w:t>Differences between</w:t>
                            </w:r>
                            <w:r w:rsidRPr="00233A73">
                              <w:rPr>
                                <w:shd w:val="clear" w:color="auto" w:fill="D5EFFF"/>
                              </w:rPr>
                              <w:t xml:space="preserve"> CRF </w:t>
                            </w:r>
                            <w:r>
                              <w:rPr>
                                <w:shd w:val="clear" w:color="auto" w:fill="D5EFFF"/>
                              </w:rPr>
                              <w:t>and</w:t>
                            </w:r>
                            <w:r w:rsidRPr="00233A73">
                              <w:rPr>
                                <w:shd w:val="clear" w:color="auto" w:fill="D5EFFF"/>
                              </w:rPr>
                              <w:t xml:space="preserve"> SLFRF include:</w:t>
                            </w:r>
                          </w:p>
                          <w:p w:rsidR="00450A70" w:rsidRPr="00233A73" w:rsidP="00012B59" w14:textId="636F04AE">
                            <w:pPr>
                              <w:pStyle w:val="NoSpacing"/>
                              <w:numPr>
                                <w:ilvl w:val="0"/>
                                <w:numId w:val="6"/>
                              </w:numPr>
                              <w:spacing w:before="120"/>
                              <w:ind w:right="386"/>
                              <w:jc w:val="both"/>
                              <w:rPr>
                                <w:b/>
                                <w:bCs/>
                                <w:shd w:val="clear" w:color="auto" w:fill="D5EFFF"/>
                              </w:rPr>
                            </w:pPr>
                            <w:r w:rsidRPr="00233A73">
                              <w:rPr>
                                <w:b/>
                                <w:bCs/>
                                <w:shd w:val="clear" w:color="auto" w:fill="D5EFFF"/>
                              </w:rPr>
                              <w:t>Project, Expenditure, and Subaward Reporting</w:t>
                            </w:r>
                            <w:r w:rsidRPr="00233A73">
                              <w:rPr>
                                <w:shd w:val="clear" w:color="auto" w:fill="D5EFFF"/>
                              </w:rPr>
                              <w:t>:</w:t>
                            </w:r>
                            <w:r w:rsidRPr="00233A73">
                              <w:rPr>
                                <w:b/>
                                <w:bCs/>
                                <w:shd w:val="clear" w:color="auto" w:fill="D5EFFF"/>
                              </w:rPr>
                              <w:t xml:space="preserve"> </w:t>
                            </w:r>
                            <w:r w:rsidRPr="00233A73">
                              <w:rPr>
                                <w:shd w:val="clear" w:color="auto" w:fill="D5EFFF"/>
                              </w:rPr>
                              <w:t>The SLFRF reporting requirements leverage the existing reporting regime used for CRF to foster continuity and provide many recipients with a familiar reporting mechanism.  The data elements for the Project and Expenditure Report will largely mirror those used for CRF, with some minor exceptions noted in this guidance.  The users</w:t>
                            </w:r>
                            <w:r>
                              <w:rPr>
                                <w:shd w:val="clear" w:color="auto" w:fill="D5EFFF"/>
                              </w:rPr>
                              <w:t>’</w:t>
                            </w:r>
                            <w:r w:rsidRPr="00233A73">
                              <w:rPr>
                                <w:shd w:val="clear" w:color="auto" w:fill="D5EFFF"/>
                              </w:rPr>
                              <w:t xml:space="preserve"> guide will describe how reporting for CRF funds will relate to reporting for the SLFRF.</w:t>
                            </w:r>
                          </w:p>
                          <w:p w:rsidR="00450A70" w:rsidRPr="00233A73" w:rsidP="00012B59" w14:textId="056AD676">
                            <w:pPr>
                              <w:pStyle w:val="NoSpacing"/>
                              <w:numPr>
                                <w:ilvl w:val="0"/>
                                <w:numId w:val="6"/>
                              </w:numPr>
                              <w:spacing w:before="120"/>
                              <w:ind w:right="386"/>
                              <w:jc w:val="both"/>
                              <w:rPr>
                                <w:shd w:val="clear" w:color="auto" w:fill="D5EFFF"/>
                              </w:rPr>
                            </w:pPr>
                            <w:r w:rsidRPr="00233A73">
                              <w:rPr>
                                <w:b/>
                                <w:bCs/>
                                <w:shd w:val="clear" w:color="auto" w:fill="D5EFFF"/>
                              </w:rPr>
                              <w:t>Timing of Reports</w:t>
                            </w:r>
                            <w:r w:rsidRPr="00233A73">
                              <w:rPr>
                                <w:shd w:val="clear" w:color="auto" w:fill="D5EFFF"/>
                              </w:rPr>
                              <w:t>:  CRF reports were due within 10 days of each calendar quarter</w:t>
                            </w:r>
                            <w:r>
                              <w:rPr>
                                <w:shd w:val="clear" w:color="auto" w:fill="D5EFFF"/>
                              </w:rPr>
                              <w:t xml:space="preserve"> end</w:t>
                            </w:r>
                            <w:r w:rsidRPr="00233A73">
                              <w:rPr>
                                <w:shd w:val="clear" w:color="auto" w:fill="D5EFFF"/>
                              </w:rPr>
                              <w:t xml:space="preserve">. </w:t>
                            </w:r>
                            <w:r>
                              <w:rPr>
                                <w:shd w:val="clear" w:color="auto" w:fill="D5EFFF"/>
                              </w:rPr>
                              <w:t xml:space="preserve">For quarterly reporters, </w:t>
                            </w:r>
                            <w:r w:rsidRPr="00233A73">
                              <w:rPr>
                                <w:shd w:val="clear" w:color="auto" w:fill="D5EFFF"/>
                              </w:rPr>
                              <w:t>SLFRF reporting will be due</w:t>
                            </w:r>
                            <w:r>
                              <w:rPr>
                                <w:shd w:val="clear" w:color="auto" w:fill="D5EFFF"/>
                              </w:rPr>
                              <w:t xml:space="preserve"> </w:t>
                            </w:r>
                            <w:r>
                              <w:t>the last day of the month following the</w:t>
                            </w:r>
                            <w:r w:rsidRPr="007777CF">
                              <w:t xml:space="preserve"> end</w:t>
                            </w:r>
                            <w:r>
                              <w:t xml:space="preserve"> of the period covered</w:t>
                            </w:r>
                            <w:r w:rsidRPr="00233A73">
                              <w:rPr>
                                <w:shd w:val="clear" w:color="auto" w:fill="D5EFFF"/>
                              </w:rPr>
                              <w:t>.</w:t>
                            </w:r>
                            <w:r w:rsidRPr="005E6C91">
                              <w:rPr>
                                <w:shd w:val="clear" w:color="auto" w:fill="D5EFFF"/>
                              </w:rPr>
                              <w:t xml:space="preserve"> </w:t>
                            </w:r>
                            <w:r>
                              <w:rPr>
                                <w:shd w:val="clear" w:color="auto" w:fill="D5EFFF"/>
                              </w:rPr>
                              <w:t>For annual reporters, SLFRF reporting will be due on an annual schedule (see table in Section B below).</w:t>
                            </w:r>
                          </w:p>
                          <w:p w:rsidR="00450A70" w:rsidRPr="00233A73" w:rsidP="00012B59" w14:textId="53B45C00">
                            <w:pPr>
                              <w:pStyle w:val="NoSpacing"/>
                              <w:numPr>
                                <w:ilvl w:val="0"/>
                                <w:numId w:val="6"/>
                              </w:numPr>
                              <w:spacing w:before="120" w:after="120"/>
                              <w:ind w:right="389"/>
                              <w:rPr>
                                <w:shd w:val="clear" w:color="auto" w:fill="D5EFFF"/>
                              </w:rPr>
                            </w:pPr>
                            <w:r w:rsidRPr="00233A73">
                              <w:rPr>
                                <w:b/>
                                <w:bCs/>
                                <w:shd w:val="clear" w:color="auto" w:fill="D5EFFF"/>
                              </w:rPr>
                              <w:t>Program and Performance Reporting</w:t>
                            </w:r>
                            <w:r w:rsidRPr="00233A73">
                              <w:rPr>
                                <w:shd w:val="clear" w:color="auto" w:fill="D5EFFF"/>
                              </w:rPr>
                              <w:t>: The CRF reporting did not include any program or performance reporting.  To build public awareness and accountability and allow Treasury to monitor compliance with eligible uses, some program and performance reporting is required</w:t>
                            </w:r>
                            <w:r>
                              <w:rPr>
                                <w:shd w:val="clear" w:color="auto" w:fill="D5EFFF"/>
                              </w:rPr>
                              <w:t xml:space="preserve"> for SLFRF</w:t>
                            </w:r>
                            <w:r w:rsidRPr="00233A73">
                              <w:rPr>
                                <w:shd w:val="clear" w:color="auto" w:fill="D5EFFF"/>
                              </w:rPr>
                              <w:t>.</w:t>
                            </w:r>
                          </w:p>
                        </w:txbxContent>
                      </wps:txbx>
                      <wps:bodyPr rot="0" vert="horz" wrap="square" lIns="91440" tIns="45720" rIns="91440" bIns="45720" anchor="t" anchorCtr="0">
                        <a:spAutoFit/>
                      </wps:bodyPr>
                    </wps:wsp>
                  </a:graphicData>
                </a:graphic>
              </wp:inline>
            </w:drawing>
          </mc:Choice>
          <mc:Fallback>
            <w:pict>
              <v:shape id="Text Box 2" o:spid="_x0000_i1028" type="#_x0000_t202" style="width:450.3pt;height:110.6pt;mso-left-percent:-10001;mso-position-horizontal-relative:char;mso-position-vertical-relative:line;mso-top-percent:-10001;mso-wrap-style:square;visibility:visible;v-text-anchor:top" fillcolor="#d5efff">
                <v:textbox style="mso-fit-shape-to-text:t">
                  <w:txbxContent>
                    <w:p w:rsidR="00450A70" w:rsidRPr="00D94864" w:rsidP="003C5176" w14:paraId="4A63C9BA" w14:textId="3D731A88">
                      <w:pPr>
                        <w:rPr>
                          <w:b/>
                          <w:bCs/>
                          <w:color w:val="004E7D"/>
                          <w:sz w:val="28"/>
                          <w:szCs w:val="28"/>
                          <w:shd w:val="clear" w:color="auto" w:fill="D5EFFF"/>
                        </w:rPr>
                      </w:pPr>
                      <w:r w:rsidRPr="00D94864">
                        <w:rPr>
                          <w:b/>
                          <w:bCs/>
                          <w:color w:val="004E7D"/>
                          <w:sz w:val="28"/>
                          <w:szCs w:val="28"/>
                          <w:shd w:val="clear" w:color="auto" w:fill="D5EFFF"/>
                        </w:rPr>
                        <w:t>Comparison to reporting for the CRF</w:t>
                      </w:r>
                    </w:p>
                    <w:p w:rsidR="00450A70" w:rsidRPr="00233A73" w:rsidP="00BD52EC" w14:paraId="34A62E33" w14:textId="010E370F">
                      <w:pPr>
                        <w:pStyle w:val="NoSpacing"/>
                        <w:spacing w:before="120"/>
                        <w:ind w:right="386"/>
                        <w:jc w:val="both"/>
                        <w:rPr>
                          <w:shd w:val="clear" w:color="auto" w:fill="D5EFFF"/>
                        </w:rPr>
                      </w:pPr>
                      <w:r w:rsidRPr="00233A73">
                        <w:rPr>
                          <w:shd w:val="clear" w:color="auto" w:fill="D5EFFF"/>
                        </w:rPr>
                        <w:t xml:space="preserve">This guidance does not change the reporting or compliance requirements pertaining to the CRF. Reporting and compliance requirements for the SLFRF are separate from CRF reporting requirements.  </w:t>
                      </w:r>
                      <w:r>
                        <w:rPr>
                          <w:shd w:val="clear" w:color="auto" w:fill="D5EFFF"/>
                        </w:rPr>
                        <w:t>Differences between</w:t>
                      </w:r>
                      <w:r w:rsidRPr="00233A73">
                        <w:rPr>
                          <w:shd w:val="clear" w:color="auto" w:fill="D5EFFF"/>
                        </w:rPr>
                        <w:t xml:space="preserve"> CRF </w:t>
                      </w:r>
                      <w:r>
                        <w:rPr>
                          <w:shd w:val="clear" w:color="auto" w:fill="D5EFFF"/>
                        </w:rPr>
                        <w:t>and</w:t>
                      </w:r>
                      <w:r w:rsidRPr="00233A73">
                        <w:rPr>
                          <w:shd w:val="clear" w:color="auto" w:fill="D5EFFF"/>
                        </w:rPr>
                        <w:t xml:space="preserve"> SLFRF include:</w:t>
                      </w:r>
                    </w:p>
                    <w:p w:rsidR="00450A70" w:rsidRPr="00233A73" w:rsidP="00012B59" w14:paraId="713ECC1E" w14:textId="636F04AE">
                      <w:pPr>
                        <w:pStyle w:val="NoSpacing"/>
                        <w:numPr>
                          <w:ilvl w:val="0"/>
                          <w:numId w:val="6"/>
                        </w:numPr>
                        <w:spacing w:before="120"/>
                        <w:ind w:right="386"/>
                        <w:jc w:val="both"/>
                        <w:rPr>
                          <w:b/>
                          <w:bCs/>
                          <w:shd w:val="clear" w:color="auto" w:fill="D5EFFF"/>
                        </w:rPr>
                      </w:pPr>
                      <w:r w:rsidRPr="00233A73">
                        <w:rPr>
                          <w:b/>
                          <w:bCs/>
                          <w:shd w:val="clear" w:color="auto" w:fill="D5EFFF"/>
                        </w:rPr>
                        <w:t>Project, Expenditure, and Subaward Reporting</w:t>
                      </w:r>
                      <w:r w:rsidRPr="00233A73">
                        <w:rPr>
                          <w:shd w:val="clear" w:color="auto" w:fill="D5EFFF"/>
                        </w:rPr>
                        <w:t>:</w:t>
                      </w:r>
                      <w:r w:rsidRPr="00233A73">
                        <w:rPr>
                          <w:b/>
                          <w:bCs/>
                          <w:shd w:val="clear" w:color="auto" w:fill="D5EFFF"/>
                        </w:rPr>
                        <w:t xml:space="preserve"> </w:t>
                      </w:r>
                      <w:r w:rsidRPr="00233A73">
                        <w:rPr>
                          <w:shd w:val="clear" w:color="auto" w:fill="D5EFFF"/>
                        </w:rPr>
                        <w:t>The SLFRF reporting requirements leverage the existing reporting regime used for CRF to foster continuity and provide many recipients with a familiar reporting mechanism.  The data elements for the Project and Expenditure Report will largely mirror those used for CRF, with some minor exceptions noted in this guidance.  The users</w:t>
                      </w:r>
                      <w:r>
                        <w:rPr>
                          <w:shd w:val="clear" w:color="auto" w:fill="D5EFFF"/>
                        </w:rPr>
                        <w:t>’</w:t>
                      </w:r>
                      <w:r w:rsidRPr="00233A73">
                        <w:rPr>
                          <w:shd w:val="clear" w:color="auto" w:fill="D5EFFF"/>
                        </w:rPr>
                        <w:t xml:space="preserve"> guide will describe how reporting for CRF funds will relate to reporting for the SLFRF.</w:t>
                      </w:r>
                    </w:p>
                    <w:p w:rsidR="00450A70" w:rsidRPr="00233A73" w:rsidP="00012B59" w14:paraId="05F4F09C" w14:textId="056AD676">
                      <w:pPr>
                        <w:pStyle w:val="NoSpacing"/>
                        <w:numPr>
                          <w:ilvl w:val="0"/>
                          <w:numId w:val="6"/>
                        </w:numPr>
                        <w:spacing w:before="120"/>
                        <w:ind w:right="386"/>
                        <w:jc w:val="both"/>
                        <w:rPr>
                          <w:shd w:val="clear" w:color="auto" w:fill="D5EFFF"/>
                        </w:rPr>
                      </w:pPr>
                      <w:r w:rsidRPr="00233A73">
                        <w:rPr>
                          <w:b/>
                          <w:bCs/>
                          <w:shd w:val="clear" w:color="auto" w:fill="D5EFFF"/>
                        </w:rPr>
                        <w:t>Timing of Reports</w:t>
                      </w:r>
                      <w:r w:rsidRPr="00233A73">
                        <w:rPr>
                          <w:shd w:val="clear" w:color="auto" w:fill="D5EFFF"/>
                        </w:rPr>
                        <w:t>:  CRF reports were due within 10 days of each calendar quarter</w:t>
                      </w:r>
                      <w:r>
                        <w:rPr>
                          <w:shd w:val="clear" w:color="auto" w:fill="D5EFFF"/>
                        </w:rPr>
                        <w:t xml:space="preserve"> end</w:t>
                      </w:r>
                      <w:r w:rsidRPr="00233A73">
                        <w:rPr>
                          <w:shd w:val="clear" w:color="auto" w:fill="D5EFFF"/>
                        </w:rPr>
                        <w:t xml:space="preserve">. </w:t>
                      </w:r>
                      <w:r>
                        <w:rPr>
                          <w:shd w:val="clear" w:color="auto" w:fill="D5EFFF"/>
                        </w:rPr>
                        <w:t xml:space="preserve">For quarterly reporters, </w:t>
                      </w:r>
                      <w:r w:rsidRPr="00233A73">
                        <w:rPr>
                          <w:shd w:val="clear" w:color="auto" w:fill="D5EFFF"/>
                        </w:rPr>
                        <w:t>SLFRF reporting will be due</w:t>
                      </w:r>
                      <w:r>
                        <w:rPr>
                          <w:shd w:val="clear" w:color="auto" w:fill="D5EFFF"/>
                        </w:rPr>
                        <w:t xml:space="preserve"> </w:t>
                      </w:r>
                      <w:r>
                        <w:t>the last day of the month following the</w:t>
                      </w:r>
                      <w:r w:rsidRPr="007777CF">
                        <w:t xml:space="preserve"> end</w:t>
                      </w:r>
                      <w:r>
                        <w:t xml:space="preserve"> of the period covered</w:t>
                      </w:r>
                      <w:r w:rsidRPr="00233A73">
                        <w:rPr>
                          <w:shd w:val="clear" w:color="auto" w:fill="D5EFFF"/>
                        </w:rPr>
                        <w:t>.</w:t>
                      </w:r>
                      <w:r w:rsidRPr="005E6C91">
                        <w:rPr>
                          <w:shd w:val="clear" w:color="auto" w:fill="D5EFFF"/>
                        </w:rPr>
                        <w:t xml:space="preserve"> </w:t>
                      </w:r>
                      <w:r>
                        <w:rPr>
                          <w:shd w:val="clear" w:color="auto" w:fill="D5EFFF"/>
                        </w:rPr>
                        <w:t>For annual reporters, SLFRF reporting will be due on an annual schedule (see table in Section B below).</w:t>
                      </w:r>
                    </w:p>
                    <w:p w:rsidR="00450A70" w:rsidRPr="00233A73" w:rsidP="00012B59" w14:paraId="22D47DF6" w14:textId="53B45C00">
                      <w:pPr>
                        <w:pStyle w:val="NoSpacing"/>
                        <w:numPr>
                          <w:ilvl w:val="0"/>
                          <w:numId w:val="6"/>
                        </w:numPr>
                        <w:spacing w:before="120" w:after="120"/>
                        <w:ind w:right="389"/>
                        <w:rPr>
                          <w:shd w:val="clear" w:color="auto" w:fill="D5EFFF"/>
                        </w:rPr>
                      </w:pPr>
                      <w:r w:rsidRPr="00233A73">
                        <w:rPr>
                          <w:b/>
                          <w:bCs/>
                          <w:shd w:val="clear" w:color="auto" w:fill="D5EFFF"/>
                        </w:rPr>
                        <w:t>Program and Performance Reporting</w:t>
                      </w:r>
                      <w:r w:rsidRPr="00233A73">
                        <w:rPr>
                          <w:shd w:val="clear" w:color="auto" w:fill="D5EFFF"/>
                        </w:rPr>
                        <w:t>: The CRF reporting did not include any program or performance reporting.  To build public awareness and accountability and allow Treasury to monitor compliance with eligible uses, some program and performance reporting is required</w:t>
                      </w:r>
                      <w:r>
                        <w:rPr>
                          <w:shd w:val="clear" w:color="auto" w:fill="D5EFFF"/>
                        </w:rPr>
                        <w:t xml:space="preserve"> for SLFRF</w:t>
                      </w:r>
                      <w:r w:rsidRPr="00233A73">
                        <w:rPr>
                          <w:shd w:val="clear" w:color="auto" w:fill="D5EFFF"/>
                        </w:rPr>
                        <w:t>.</w:t>
                      </w:r>
                    </w:p>
                  </w:txbxContent>
                </v:textbox>
                <w10:wrap type="none"/>
                <w10:anchorlock/>
              </v:shape>
            </w:pict>
          </mc:Fallback>
        </mc:AlternateContent>
      </w:r>
    </w:p>
    <w:p w:rsidR="00282C0E" w:rsidP="00FD6A50" w14:paraId="6627219D" w14:textId="686DF7C5">
      <w:pPr>
        <w:pStyle w:val="NoSpacing"/>
        <w:jc w:val="both"/>
        <w:rPr>
          <w:b/>
          <w:bCs/>
        </w:rPr>
      </w:pPr>
    </w:p>
    <w:p w:rsidR="00C04E7D" w:rsidP="00FD6A50" w14:paraId="5DC73035" w14:textId="77777777">
      <w:pPr>
        <w:pStyle w:val="NoSpacing"/>
        <w:jc w:val="both"/>
        <w:rPr>
          <w:b/>
          <w:bCs/>
        </w:rPr>
      </w:pPr>
    </w:p>
    <w:p w:rsidR="005B30A5" w:rsidRPr="00440EF3" w:rsidP="10A9F656" w14:paraId="087D41A7" w14:textId="4E68FAA4">
      <w:pPr>
        <w:pStyle w:val="NoSpacing"/>
        <w:shd w:val="clear" w:color="auto" w:fill="D9D9D9" w:themeFill="background2" w:themeFillShade="D9"/>
        <w:jc w:val="both"/>
        <w:rPr>
          <w:b/>
          <w:bCs/>
          <w:sz w:val="24"/>
          <w:szCs w:val="24"/>
        </w:rPr>
      </w:pPr>
      <w:r w:rsidRPr="10A9F656">
        <w:rPr>
          <w:b/>
          <w:bCs/>
          <w:sz w:val="24"/>
          <w:szCs w:val="24"/>
        </w:rPr>
        <w:t xml:space="preserve"> A. Interim Report</w:t>
      </w:r>
    </w:p>
    <w:p w:rsidR="00B85828" w:rsidP="00FD6A50" w14:paraId="34F0AB66" w14:textId="77777777">
      <w:pPr>
        <w:pStyle w:val="NoSpacing"/>
        <w:jc w:val="both"/>
      </w:pPr>
    </w:p>
    <w:p w:rsidR="0016696E" w:rsidP="00FD6A50" w14:paraId="32E72DAC" w14:textId="075F437C">
      <w:pPr>
        <w:pStyle w:val="NoSpacing"/>
        <w:jc w:val="both"/>
      </w:pPr>
      <w:r>
        <w:t>Note</w:t>
      </w:r>
      <w:r w:rsidR="00112D70">
        <w:t>: The</w:t>
      </w:r>
      <w:r>
        <w:t xml:space="preserve"> Interim Report</w:t>
      </w:r>
      <w:r w:rsidR="00112D70">
        <w:t>s</w:t>
      </w:r>
      <w:r>
        <w:t xml:space="preserve"> were submitted under the interim final rule. </w:t>
      </w:r>
    </w:p>
    <w:p w:rsidR="0016696E" w:rsidP="00FD6A50" w14:paraId="10B9A3BF" w14:textId="77777777">
      <w:pPr>
        <w:pStyle w:val="NoSpacing"/>
        <w:jc w:val="both"/>
      </w:pPr>
    </w:p>
    <w:p w:rsidR="00E21798" w:rsidP="007777CF" w14:paraId="26A44E0B" w14:textId="79BACB4C">
      <w:pPr>
        <w:widowControl w:val="0"/>
        <w:spacing w:after="0" w:line="240" w:lineRule="auto"/>
        <w:jc w:val="both"/>
      </w:pPr>
      <w:r>
        <w:t xml:space="preserve">States, U.S. </w:t>
      </w:r>
      <w:r w:rsidRPr="007777CF" w:rsidR="0060613F">
        <w:rPr>
          <w:rFonts w:ascii="Arial" w:hAnsi="Arial"/>
        </w:rPr>
        <w:t>t</w:t>
      </w:r>
      <w:r w:rsidRPr="007777CF">
        <w:rPr>
          <w:rFonts w:ascii="Arial" w:hAnsi="Arial"/>
        </w:rPr>
        <w:t>erritories</w:t>
      </w:r>
      <w:r>
        <w:t xml:space="preserve">, </w:t>
      </w:r>
      <w:r w:rsidR="00D206F9">
        <w:t>m</w:t>
      </w:r>
      <w:r>
        <w:t xml:space="preserve">etropolitan cities, </w:t>
      </w:r>
      <w:r w:rsidR="00D206F9">
        <w:t>c</w:t>
      </w:r>
      <w:r>
        <w:t>ounties, and Trib</w:t>
      </w:r>
      <w:r w:rsidR="0060613F">
        <w:t>al governments</w:t>
      </w:r>
      <w:r>
        <w:t xml:space="preserve"> </w:t>
      </w:r>
      <w:r w:rsidR="0089549C">
        <w:t>were</w:t>
      </w:r>
      <w:r>
        <w:t xml:space="preserve"> required to submit a</w:t>
      </w:r>
      <w:r w:rsidR="0DEC1198">
        <w:t xml:space="preserve"> one-time</w:t>
      </w:r>
      <w:r>
        <w:t xml:space="preserve"> interim report with expenditures</w:t>
      </w:r>
      <w:r>
        <w:rPr>
          <w:rStyle w:val="FootnoteReference"/>
        </w:rPr>
        <w:footnoteReference w:id="8"/>
      </w:r>
      <w:r>
        <w:t xml:space="preserve"> by </w:t>
      </w:r>
      <w:r w:rsidR="008841B0">
        <w:t>E</w:t>
      </w:r>
      <w:r w:rsidR="0088156E">
        <w:t xml:space="preserve">xpenditure </w:t>
      </w:r>
      <w:r w:rsidR="008841B0">
        <w:t>C</w:t>
      </w:r>
      <w:r>
        <w:t xml:space="preserve">ategory </w:t>
      </w:r>
      <w:r w:rsidR="6FE31B7F">
        <w:t>c</w:t>
      </w:r>
      <w:r w:rsidR="6CE547C8">
        <w:t xml:space="preserve">overing the period </w:t>
      </w:r>
      <w:r>
        <w:t xml:space="preserve">from </w:t>
      </w:r>
      <w:r w:rsidR="7C657874">
        <w:t>March 3rd</w:t>
      </w:r>
      <w:r>
        <w:t xml:space="preserve"> to </w:t>
      </w:r>
      <w:r w:rsidR="006122C5">
        <w:t xml:space="preserve">July </w:t>
      </w:r>
      <w:r>
        <w:t>3</w:t>
      </w:r>
      <w:r w:rsidR="006122C5">
        <w:t>1</w:t>
      </w:r>
      <w:r>
        <w:t>, 2021</w:t>
      </w:r>
      <w:r w:rsidR="6CE547C8">
        <w:t>, by August 31, 2021</w:t>
      </w:r>
      <w:r w:rsidRPr="425BA2C8" w:rsidR="001D63E5">
        <w:t xml:space="preserve"> </w:t>
      </w:r>
      <w:r w:rsidRPr="6CE547C8" w:rsidR="6CE547C8">
        <w:t>or</w:t>
      </w:r>
      <w:r w:rsidRPr="425BA2C8" w:rsidR="001D63E5">
        <w:t xml:space="preserve"> </w:t>
      </w:r>
      <w:r w:rsidR="001D63E5">
        <w:t xml:space="preserve">sixty (60) days after first receiving funding if the recipient’s date of award </w:t>
      </w:r>
      <w:r w:rsidR="0089549C">
        <w:t>wa</w:t>
      </w:r>
      <w:r w:rsidR="001D63E5">
        <w:t xml:space="preserve">s </w:t>
      </w:r>
      <w:r w:rsidR="00061455">
        <w:t>between</w:t>
      </w:r>
      <w:r w:rsidR="001D63E5">
        <w:t xml:space="preserve"> July 15, 2021</w:t>
      </w:r>
      <w:r w:rsidRPr="425BA2C8" w:rsidR="00061455">
        <w:t xml:space="preserve"> </w:t>
      </w:r>
      <w:r w:rsidR="00061455">
        <w:t xml:space="preserve">and October </w:t>
      </w:r>
      <w:r w:rsidR="0026105D">
        <w:t>15</w:t>
      </w:r>
      <w:r w:rsidR="00061455">
        <w:t>, 2021</w:t>
      </w:r>
      <w:r w:rsidRPr="425BA2C8" w:rsidR="00061455">
        <w:t xml:space="preserve">.  </w:t>
      </w:r>
      <w:r>
        <w:t xml:space="preserve">The recipient </w:t>
      </w:r>
      <w:r w:rsidR="0089549C">
        <w:t>was</w:t>
      </w:r>
      <w:r>
        <w:t xml:space="preserve"> required to enter</w:t>
      </w:r>
      <w:r w:rsidRPr="425BA2C8" w:rsidR="00AA06EB">
        <w:t xml:space="preserve"> </w:t>
      </w:r>
      <w:r>
        <w:t>obligations</w:t>
      </w:r>
      <w:r>
        <w:rPr>
          <w:rStyle w:val="FootnoteReference"/>
        </w:rPr>
        <w:footnoteReference w:id="9"/>
      </w:r>
      <w:r>
        <w:t xml:space="preserve"> and expenditures and</w:t>
      </w:r>
      <w:r w:rsidRPr="425BA2C8" w:rsidR="00543C2C">
        <w:t>,</w:t>
      </w:r>
      <w:r>
        <w:t xml:space="preserve"> for each</w:t>
      </w:r>
      <w:r w:rsidRPr="425BA2C8" w:rsidR="00543C2C">
        <w:t>,</w:t>
      </w:r>
      <w:r>
        <w:t xml:space="preserve"> select the specific expenditure category from the available options.</w:t>
      </w:r>
      <w:r w:rsidR="609EF4AB">
        <w:t xml:space="preserve">  See Appendix </w:t>
      </w:r>
      <w:r w:rsidR="00277F1E">
        <w:t xml:space="preserve">3 </w:t>
      </w:r>
      <w:r w:rsidR="609EF4AB">
        <w:t>for Expenditure Categories</w:t>
      </w:r>
      <w:r w:rsidR="003022EA">
        <w:t xml:space="preserve"> </w:t>
      </w:r>
      <w:r w:rsidR="00277F1E">
        <w:t xml:space="preserve">applicable for the Interim Report. </w:t>
      </w:r>
    </w:p>
    <w:p w:rsidR="00E21798" w:rsidP="00FD6A50" w14:paraId="6BD9D04F" w14:textId="77777777">
      <w:pPr>
        <w:pStyle w:val="NoSpacing"/>
        <w:jc w:val="both"/>
      </w:pPr>
    </w:p>
    <w:p w:rsidR="00E21798" w:rsidRPr="003C5176" w:rsidP="00CE5331" w14:paraId="1E1961F5" w14:textId="4ECFC633">
      <w:pPr>
        <w:pStyle w:val="ListParagraph"/>
        <w:numPr>
          <w:ilvl w:val="0"/>
          <w:numId w:val="25"/>
        </w:numPr>
        <w:spacing w:after="0" w:line="240" w:lineRule="auto"/>
        <w:jc w:val="both"/>
        <w:rPr>
          <w:b/>
          <w:bCs/>
        </w:rPr>
      </w:pPr>
      <w:r w:rsidRPr="10A9F656">
        <w:rPr>
          <w:b/>
          <w:bCs/>
        </w:rPr>
        <w:t xml:space="preserve">Required Programmatic Data </w:t>
      </w:r>
    </w:p>
    <w:p w:rsidR="007E3596" w:rsidP="00FD6A50" w14:paraId="5A241EBC" w14:textId="1AEF5202">
      <w:pPr>
        <w:pStyle w:val="NoSpacing"/>
        <w:jc w:val="both"/>
      </w:pPr>
      <w:r>
        <w:t xml:space="preserve">Recipients </w:t>
      </w:r>
      <w:r w:rsidR="0089549C">
        <w:t>were</w:t>
      </w:r>
      <w:r>
        <w:t xml:space="preserve"> also required to provide the following information if they ha</w:t>
      </w:r>
      <w:r w:rsidR="0089549C">
        <w:t>d</w:t>
      </w:r>
      <w:r>
        <w:t xml:space="preserve"> or plan</w:t>
      </w:r>
      <w:r w:rsidR="0089549C">
        <w:t>ned</w:t>
      </w:r>
      <w:r>
        <w:t xml:space="preserve"> to have expenditures in the following Expenditure Categories.  </w:t>
      </w:r>
    </w:p>
    <w:p w:rsidR="0066318A" w:rsidP="00FD6A50" w14:paraId="71B5BA76" w14:textId="77777777">
      <w:pPr>
        <w:pStyle w:val="NoSpacing"/>
        <w:jc w:val="both"/>
        <w:rPr>
          <w:u w:val="single"/>
        </w:rPr>
      </w:pPr>
    </w:p>
    <w:p w:rsidR="00FB6468" w:rsidP="00CE5331" w14:paraId="48B397B6" w14:textId="5909F3B5">
      <w:pPr>
        <w:pStyle w:val="ListParagraph"/>
        <w:numPr>
          <w:ilvl w:val="0"/>
          <w:numId w:val="38"/>
        </w:numPr>
        <w:spacing w:after="0" w:line="240" w:lineRule="auto"/>
      </w:pPr>
      <w:r w:rsidRPr="00E21798">
        <w:rPr>
          <w:u w:val="single"/>
        </w:rPr>
        <w:t>Revenue replacement</w:t>
      </w:r>
      <w:r w:rsidR="00230C07">
        <w:rPr>
          <w:u w:val="single"/>
        </w:rPr>
        <w:t xml:space="preserve"> (</w:t>
      </w:r>
      <w:r w:rsidR="00277A0B">
        <w:rPr>
          <w:u w:val="single"/>
        </w:rPr>
        <w:t xml:space="preserve">EC </w:t>
      </w:r>
      <w:r w:rsidR="00230C07">
        <w:rPr>
          <w:u w:val="single"/>
        </w:rPr>
        <w:t>6.1</w:t>
      </w:r>
      <w:r>
        <w:rPr>
          <w:rStyle w:val="FootnoteReference"/>
          <w:u w:val="single"/>
        </w:rPr>
        <w:footnoteReference w:id="10"/>
      </w:r>
      <w:r w:rsidR="00230C07">
        <w:rPr>
          <w:u w:val="single"/>
        </w:rPr>
        <w:t>)</w:t>
      </w:r>
      <w:r>
        <w:t xml:space="preserve">: </w:t>
      </w:r>
      <w:r>
        <w:t>Key inputs into the revenue replacement formula in the Interim Final Rule and e</w:t>
      </w:r>
      <w:r>
        <w:t xml:space="preserve">stimated revenue loss due to the Covid-19 public health emergency </w:t>
      </w:r>
      <w:r w:rsidR="00BD7361">
        <w:t>calculated using the formula in the Interim Final Rule as of December 31, 2020</w:t>
      </w:r>
      <w:r>
        <w:t>.</w:t>
      </w:r>
    </w:p>
    <w:p w:rsidR="00FB6468" w:rsidP="00012B59" w14:paraId="6FBC429B" w14:textId="6613AE3A">
      <w:pPr>
        <w:pStyle w:val="NoSpacing"/>
        <w:numPr>
          <w:ilvl w:val="0"/>
          <w:numId w:val="17"/>
        </w:numPr>
        <w:ind w:left="720"/>
        <w:jc w:val="both"/>
      </w:pPr>
      <w:r>
        <w:t>Base year general revenue (e.g., revenue in the last full fiscal year prior to the public health emergency)</w:t>
      </w:r>
    </w:p>
    <w:p w:rsidR="00FB6468" w:rsidP="00012B59" w14:paraId="2E4150A4" w14:textId="47536F90">
      <w:pPr>
        <w:pStyle w:val="NoSpacing"/>
        <w:numPr>
          <w:ilvl w:val="0"/>
          <w:numId w:val="17"/>
        </w:numPr>
        <w:ind w:left="720"/>
        <w:jc w:val="both"/>
      </w:pPr>
      <w:r>
        <w:t xml:space="preserve">Fiscal year end date </w:t>
      </w:r>
    </w:p>
    <w:p w:rsidR="00FB6468" w:rsidP="00012B59" w14:paraId="6238FD46" w14:textId="3002FBAD">
      <w:pPr>
        <w:pStyle w:val="NoSpacing"/>
        <w:numPr>
          <w:ilvl w:val="0"/>
          <w:numId w:val="17"/>
        </w:numPr>
        <w:ind w:left="720"/>
        <w:jc w:val="both"/>
      </w:pPr>
      <w:r>
        <w:t>Growth adjustment used (either 4.1 percent or average annual general revenue growth over 3 years prior to pandemic)</w:t>
      </w:r>
    </w:p>
    <w:p w:rsidR="00FB6468" w:rsidP="00012B59" w14:paraId="6E0F84E6" w14:textId="59F02324">
      <w:pPr>
        <w:pStyle w:val="NoSpacing"/>
        <w:numPr>
          <w:ilvl w:val="0"/>
          <w:numId w:val="17"/>
        </w:numPr>
        <w:ind w:left="720"/>
        <w:jc w:val="both"/>
      </w:pPr>
      <w:r>
        <w:t>Actual general revenue as of the twelve months ended December 31, 2020</w:t>
      </w:r>
    </w:p>
    <w:p w:rsidR="00FB6468" w:rsidP="00012B59" w14:paraId="6DF82B4A" w14:textId="1DC10393">
      <w:pPr>
        <w:pStyle w:val="NoSpacing"/>
        <w:numPr>
          <w:ilvl w:val="0"/>
          <w:numId w:val="17"/>
        </w:numPr>
        <w:ind w:left="720"/>
        <w:jc w:val="both"/>
      </w:pPr>
      <w:r>
        <w:t>Estimated revenue loss due to the Covid-19 public health emergency as of December 31, 2020</w:t>
      </w:r>
    </w:p>
    <w:p w:rsidR="00211E42" w:rsidRPr="00F05E5A" w:rsidP="00012B59" w14:paraId="10B2E091" w14:textId="648BED07">
      <w:pPr>
        <w:pStyle w:val="NoSpacing"/>
        <w:numPr>
          <w:ilvl w:val="0"/>
          <w:numId w:val="17"/>
        </w:numPr>
        <w:ind w:left="720"/>
        <w:jc w:val="both"/>
      </w:pPr>
      <w:r>
        <w:t xml:space="preserve">An explanation of how revenue replacement funds were allocated to government services (Note: additional instructions </w:t>
      </w:r>
      <w:r w:rsidR="00BC682A">
        <w:t xml:space="preserve">was </w:t>
      </w:r>
      <w:r>
        <w:t xml:space="preserve">provided in </w:t>
      </w:r>
      <w:r w:rsidR="00BC682A">
        <w:t xml:space="preserve">the </w:t>
      </w:r>
      <w:r>
        <w:t>user</w:t>
      </w:r>
      <w:r w:rsidR="00BC682A">
        <w:t xml:space="preserve"> </w:t>
      </w:r>
      <w:r>
        <w:t>guide)</w:t>
      </w:r>
    </w:p>
    <w:p w:rsidR="0066318A" w:rsidP="00FD6A50" w14:paraId="3A612A99" w14:textId="77777777">
      <w:pPr>
        <w:pStyle w:val="NoSpacing"/>
        <w:ind w:left="720"/>
        <w:jc w:val="both"/>
        <w:rPr>
          <w:u w:val="single"/>
        </w:rPr>
      </w:pPr>
    </w:p>
    <w:p w:rsidR="00537658" w:rsidRPr="00AD32F9" w:rsidP="00FD6A50" w14:paraId="18B74D88" w14:textId="7368BF97">
      <w:pPr>
        <w:pStyle w:val="ListParagraph"/>
        <w:spacing w:after="0" w:line="240" w:lineRule="auto"/>
        <w:ind w:left="360"/>
      </w:pPr>
      <w:r>
        <w:t xml:space="preserve">In calculating general revenue and the other items discussed above, recipients should </w:t>
      </w:r>
      <w:r w:rsidR="0089549C">
        <w:t xml:space="preserve">have </w:t>
      </w:r>
      <w:r>
        <w:t>use</w:t>
      </w:r>
      <w:r w:rsidR="0089549C">
        <w:t>d</w:t>
      </w:r>
      <w:r>
        <w:t xml:space="preserve"> audited data if it </w:t>
      </w:r>
      <w:r w:rsidR="0089549C">
        <w:t>was</w:t>
      </w:r>
      <w:r>
        <w:t xml:space="preserve"> available.  When audited data </w:t>
      </w:r>
      <w:r w:rsidR="0089549C">
        <w:t>wa</w:t>
      </w:r>
      <w:r>
        <w:t xml:space="preserve">s not available, recipients </w:t>
      </w:r>
      <w:r w:rsidR="0089549C">
        <w:t>were</w:t>
      </w:r>
      <w:r>
        <w:t xml:space="preserve"> not required to obtain audited data if substantially accurate figures c</w:t>
      </w:r>
      <w:r w:rsidR="0089549C">
        <w:t>ould</w:t>
      </w:r>
      <w:r>
        <w:t xml:space="preserve"> be produced on an unaudited basis.  Recipients should </w:t>
      </w:r>
      <w:r w:rsidR="0089549C">
        <w:t xml:space="preserve">have </w:t>
      </w:r>
      <w:r>
        <w:t>use</w:t>
      </w:r>
      <w:r w:rsidR="0089549C">
        <w:t>d</w:t>
      </w:r>
      <w:r>
        <w:t xml:space="preserve"> their own data sources to calculate general revenue and d</w:t>
      </w:r>
      <w:r w:rsidR="0089549C">
        <w:t>id</w:t>
      </w:r>
      <w:r>
        <w:t xml:space="preserve"> not need to rely on revenue data published by the Census Bureau.  Treasury acknowledges that due to differences in timing, data sources, and definitions, recipients’ self-reported general revenue figures may differ from those published by the Census Bureau. Recipients </w:t>
      </w:r>
      <w:r w:rsidR="0089549C">
        <w:t>were permitted to</w:t>
      </w:r>
      <w:r>
        <w:t xml:space="preserve"> provide data on a cash, accrual, or modified accrual basis, </w:t>
      </w:r>
      <w:r>
        <w:t>provided that</w:t>
      </w:r>
      <w:r>
        <w:t xml:space="preserve"> recipients are consistent in their choice of methodology throughout the covered period and until reporting is no longer required. Recipients’ reporting should align with their own financial reporting. </w:t>
      </w:r>
    </w:p>
    <w:p w:rsidR="008470AD" w:rsidP="00FD6A50" w14:paraId="6F52648F" w14:textId="46E8C23A">
      <w:pPr>
        <w:pStyle w:val="NoSpacing"/>
      </w:pPr>
    </w:p>
    <w:p w:rsidR="008470AD" w:rsidP="00FD6A50" w14:paraId="6A7003B5" w14:textId="31560595">
      <w:pPr>
        <w:pStyle w:val="NoSpacing"/>
        <w:ind w:left="360"/>
      </w:pPr>
      <w:r>
        <w:t xml:space="preserve">In calculating general revenue, recipients should </w:t>
      </w:r>
      <w:r w:rsidR="0089549C">
        <w:t xml:space="preserve">have </w:t>
      </w:r>
      <w:r>
        <w:t>exclude</w:t>
      </w:r>
      <w:r w:rsidR="0089549C">
        <w:t>d</w:t>
      </w:r>
      <w:r>
        <w:t xml:space="preserve"> all intergovernmental transfers from the federal government. This includes, but is not limited to, federal transfers made via a State to a locality pursuant to the CRF or SLFRF. To the extent federal funds are passed through States or other entities or intermingled with other funds, recipients should </w:t>
      </w:r>
      <w:r w:rsidR="0089549C">
        <w:t xml:space="preserve">have </w:t>
      </w:r>
      <w:r>
        <w:t>attempt</w:t>
      </w:r>
      <w:r w:rsidR="0089549C">
        <w:t>ed</w:t>
      </w:r>
      <w:r>
        <w:t xml:space="preserve"> to identify and exclude the federal portion of those funds from the calculation of general revenue on a best-efforts basis. </w:t>
      </w:r>
    </w:p>
    <w:p w:rsidR="001F39D6" w:rsidP="00FD6A50" w14:paraId="6D437E39" w14:textId="514E2F91">
      <w:pPr>
        <w:pStyle w:val="NoSpacing"/>
      </w:pPr>
    </w:p>
    <w:p w:rsidR="001F39D6" w:rsidP="00FD6A50" w14:paraId="154BA5FF" w14:textId="46217E53">
      <w:pPr>
        <w:pStyle w:val="NoSpacing"/>
        <w:ind w:left="360"/>
      </w:pPr>
      <w:r>
        <w:t xml:space="preserve">Consistent with the broad latitude provided to recipients to use funds for government services to the extent of reduction in revenue, recipients </w:t>
      </w:r>
      <w:r w:rsidR="0089549C">
        <w:t>were</w:t>
      </w:r>
      <w:r>
        <w:t xml:space="preserve"> required to submit a description of services provided.  This description may be in narrative or in another form, and recipients </w:t>
      </w:r>
      <w:r w:rsidR="0089549C">
        <w:t>were</w:t>
      </w:r>
      <w:r>
        <w:t xml:space="preserve"> encouraged to report based on their existing budget processes and to minimize administrative burden.  For example, a recipient with $100 in revenue replacement funds available could indicate that $50 were used for law enforcement operating expenses and $50 were used for pay-go building of sidewalk infrastructure.  As discussed in the </w:t>
      </w:r>
      <w:r w:rsidR="00013856">
        <w:t>i</w:t>
      </w:r>
      <w:r>
        <w:t xml:space="preserve">nterim </w:t>
      </w:r>
      <w:r w:rsidR="00013856">
        <w:t>f</w:t>
      </w:r>
      <w:r>
        <w:t xml:space="preserve">inal </w:t>
      </w:r>
      <w:r w:rsidR="00013856">
        <w:t>r</w:t>
      </w:r>
      <w:r>
        <w:t xml:space="preserve">ule, these services can include a broad range of services but may not be used directly for pension deposits or debt service.  </w:t>
      </w:r>
    </w:p>
    <w:p w:rsidR="001F39D6" w:rsidP="00FD6A50" w14:paraId="122BF172" w14:textId="77777777">
      <w:pPr>
        <w:pStyle w:val="NoSpacing"/>
      </w:pPr>
    </w:p>
    <w:p w:rsidR="001F39D6" w:rsidRPr="00577999" w:rsidP="00FD6A50" w14:paraId="3F83A604" w14:textId="032536F2">
      <w:pPr>
        <w:pStyle w:val="NoSpacing"/>
        <w:ind w:left="360"/>
      </w:pPr>
      <w:r>
        <w:t xml:space="preserve">Reporting requirements </w:t>
      </w:r>
      <w:r w:rsidR="0089549C">
        <w:t>did</w:t>
      </w:r>
      <w:r>
        <w:t xml:space="preserve"> not require tracking the indirect effects of Fiscal Recovery Funds, apart from the restrictions on use of Fiscal Recovery Funds to offset a reduction in net tax revenue.  In addition, recipients </w:t>
      </w:r>
      <w:r w:rsidR="0089549C">
        <w:t>were required to</w:t>
      </w:r>
      <w:r>
        <w:t xml:space="preserve"> indicate that Fiscal Recovery Funds were not used to make a deposit in a pension fund. </w:t>
      </w:r>
    </w:p>
    <w:p w:rsidR="00537658" w:rsidRPr="00577999" w:rsidP="007777CF" w14:paraId="122DF7E4" w14:textId="77777777">
      <w:pPr>
        <w:pStyle w:val="NoSpacing"/>
        <w:ind w:left="360"/>
      </w:pPr>
    </w:p>
    <w:p w:rsidR="002609A3" w:rsidRPr="00440EF3" w:rsidP="10A9F656" w14:paraId="38703240" w14:textId="363D01B7">
      <w:pPr>
        <w:pStyle w:val="NoSpacing"/>
        <w:shd w:val="clear" w:color="auto" w:fill="D9D9D9" w:themeFill="background2" w:themeFillShade="D9"/>
        <w:jc w:val="both"/>
        <w:rPr>
          <w:b/>
          <w:bCs/>
          <w:sz w:val="24"/>
          <w:szCs w:val="24"/>
        </w:rPr>
      </w:pPr>
      <w:r w:rsidRPr="10A9F656">
        <w:rPr>
          <w:b/>
          <w:bCs/>
          <w:sz w:val="24"/>
          <w:szCs w:val="24"/>
        </w:rPr>
        <w:t xml:space="preserve">B.  Project and Expenditure Report </w:t>
      </w:r>
    </w:p>
    <w:p w:rsidR="0066318A" w:rsidP="00FD6A50" w14:paraId="1F4E70C7" w14:textId="77777777">
      <w:pPr>
        <w:pStyle w:val="NoSpacing"/>
        <w:jc w:val="both"/>
      </w:pPr>
    </w:p>
    <w:p w:rsidR="00C955A0" w:rsidP="00FD6A50" w14:paraId="6B44FC0B" w14:textId="23C1B15F">
      <w:pPr>
        <w:pStyle w:val="NoSpacing"/>
        <w:jc w:val="both"/>
      </w:pPr>
      <w:r>
        <w:t xml:space="preserve">All recipients are required to submit Project and Expenditure Reports. </w:t>
      </w:r>
    </w:p>
    <w:p w:rsidR="00DD2601" w:rsidP="00FD6A50" w14:paraId="2B153FD5" w14:textId="693E98A1">
      <w:pPr>
        <w:pStyle w:val="NoSpacing"/>
        <w:jc w:val="both"/>
      </w:pPr>
    </w:p>
    <w:p w:rsidR="00DD2601" w:rsidP="00264EF2" w14:paraId="217258EB" w14:textId="414177D8">
      <w:pPr>
        <w:jc w:val="both"/>
      </w:pPr>
      <w:r>
        <w:t xml:space="preserve">Note on NEUs: </w:t>
      </w:r>
      <w:r w:rsidRPr="002024EB">
        <w:t>To facilitate reporting, each NEU will need a</w:t>
      </w:r>
      <w:r w:rsidR="00A14C93">
        <w:t>n</w:t>
      </w:r>
      <w:r w:rsidRPr="002024EB">
        <w:t xml:space="preserve"> NEU Recipient Number.</w:t>
      </w:r>
      <w:r>
        <w:t xml:space="preserve"> </w:t>
      </w:r>
      <w:r w:rsidRPr="002024EB">
        <w:t xml:space="preserve">This is a unique identification code for each NEU assigned by the State or territory to the NEU as part of its request for funding. </w:t>
      </w:r>
    </w:p>
    <w:p w:rsidR="00585E0F" w:rsidRPr="00485F06" w:rsidP="00CE5331" w14:paraId="67601B9D" w14:textId="7BF55D56">
      <w:pPr>
        <w:pStyle w:val="ListParagraph"/>
        <w:numPr>
          <w:ilvl w:val="0"/>
          <w:numId w:val="26"/>
        </w:numPr>
        <w:spacing w:after="0" w:line="240" w:lineRule="auto"/>
        <w:jc w:val="both"/>
      </w:pPr>
      <w:r w:rsidRPr="10A9F656">
        <w:rPr>
          <w:b/>
          <w:bCs/>
        </w:rPr>
        <w:t>Quarterly Reporting</w:t>
      </w:r>
    </w:p>
    <w:p w:rsidR="00485F06" w:rsidP="00485F06" w14:paraId="0F0A9BAA" w14:textId="77777777">
      <w:pPr>
        <w:pStyle w:val="ListParagraph"/>
        <w:spacing w:after="0" w:line="240" w:lineRule="auto"/>
        <w:ind w:left="360"/>
        <w:jc w:val="both"/>
      </w:pPr>
    </w:p>
    <w:p w:rsidR="00E64A47" w:rsidP="00FD6A50" w14:paraId="08940FBF" w14:textId="52F7C47E">
      <w:pPr>
        <w:pStyle w:val="NoSpacing"/>
        <w:jc w:val="both"/>
      </w:pPr>
      <w:r>
        <w:t xml:space="preserve">The following recipients are required to submit quarterly Project and Expenditure Reports: </w:t>
      </w:r>
    </w:p>
    <w:p w:rsidR="00B8598F" w:rsidP="00CE5331" w14:paraId="3ACC2F92" w14:textId="02A70A7F">
      <w:pPr>
        <w:pStyle w:val="NoSpacing"/>
        <w:numPr>
          <w:ilvl w:val="0"/>
          <w:numId w:val="27"/>
        </w:numPr>
        <w:jc w:val="both"/>
      </w:pPr>
      <w:r>
        <w:t>States and U.S. territories</w:t>
      </w:r>
    </w:p>
    <w:p w:rsidR="00E64A47" w:rsidP="00CE5331" w14:paraId="6050A8BB" w14:textId="45B997F0">
      <w:pPr>
        <w:pStyle w:val="NoSpacing"/>
        <w:numPr>
          <w:ilvl w:val="0"/>
          <w:numId w:val="27"/>
        </w:numPr>
        <w:jc w:val="both"/>
      </w:pPr>
      <w:r>
        <w:t xml:space="preserve">Tribal governments that </w:t>
      </w:r>
      <w:r w:rsidR="00C51FA3">
        <w:t xml:space="preserve">are allocated </w:t>
      </w:r>
      <w:r>
        <w:t>more than $30 million in SLFRF funding</w:t>
      </w:r>
    </w:p>
    <w:p w:rsidR="005E6C91" w:rsidRPr="00585E0F" w:rsidP="00CE5331" w14:paraId="3B2F9855" w14:textId="735903F0">
      <w:pPr>
        <w:pStyle w:val="NoSpacing"/>
        <w:numPr>
          <w:ilvl w:val="0"/>
          <w:numId w:val="27"/>
        </w:numPr>
        <w:jc w:val="both"/>
      </w:pPr>
      <w:bookmarkStart w:id="9" w:name="_Hlk85217329"/>
      <w:r>
        <w:t>Metropolitan cities and counties with a population that exceeds 250,000 residents</w:t>
      </w:r>
    </w:p>
    <w:bookmarkEnd w:id="9"/>
    <w:p w:rsidR="00E64A47" w:rsidP="00CE5331" w14:paraId="28E12319" w14:textId="288B2DBC">
      <w:pPr>
        <w:pStyle w:val="NoSpacing"/>
        <w:numPr>
          <w:ilvl w:val="0"/>
          <w:numId w:val="27"/>
        </w:numPr>
        <w:jc w:val="both"/>
      </w:pPr>
      <w:r>
        <w:t>Metropolitan cities and counties</w:t>
      </w:r>
      <w:r w:rsidR="00A31FBF">
        <w:t xml:space="preserve"> </w:t>
      </w:r>
      <w:r>
        <w:t>with a population below 250,000 residents that are allocated more than $10 million in SLFRF funding</w:t>
      </w:r>
      <w:r w:rsidR="00A31FBF">
        <w:t xml:space="preserve"> and NEUs that are allocated </w:t>
      </w:r>
      <w:r w:rsidR="00D11C24">
        <w:t xml:space="preserve">more </w:t>
      </w:r>
      <w:r w:rsidR="00A31FBF">
        <w:t>than $10 million in SLFRF funding.</w:t>
      </w:r>
    </w:p>
    <w:p w:rsidR="00F22713" w:rsidP="00FD6A50" w14:paraId="344579AF" w14:textId="77777777">
      <w:pPr>
        <w:pStyle w:val="NoSpacing"/>
        <w:jc w:val="both"/>
      </w:pPr>
    </w:p>
    <w:p w:rsidR="00857209" w:rsidRPr="00CF70F6" w:rsidP="00FD6A50" w14:paraId="7DB162F7" w14:textId="37398238">
      <w:pPr>
        <w:pStyle w:val="NoSpacing"/>
        <w:jc w:val="both"/>
      </w:pPr>
      <w:r>
        <w:t>For these recipients, the initial quarterly Project and Expenditure Report cover</w:t>
      </w:r>
      <w:r w:rsidR="00D56C7A">
        <w:t>s</w:t>
      </w:r>
      <w:r>
        <w:t xml:space="preserve"> three calendar quarters from March 3, 2021 to December 31, 2021 and </w:t>
      </w:r>
      <w:r w:rsidR="00D56C7A">
        <w:t xml:space="preserve">was required to </w:t>
      </w:r>
      <w:r>
        <w:t xml:space="preserve">be submitted to Treasury by January 31, 2022.  The subsequent quarterly reports will cover one calendar quarter and must be </w:t>
      </w:r>
      <w:r w:rsidRPr="00CF70F6">
        <w:t xml:space="preserve">submitted to Treasury </w:t>
      </w:r>
      <w:r w:rsidRPr="00CF70F6" w:rsidR="009B3CFC">
        <w:t>by the last day of the month following the end of the period covered</w:t>
      </w:r>
      <w:r w:rsidRPr="00CF70F6" w:rsidR="002B3360">
        <w:t>.</w:t>
      </w:r>
      <w:r w:rsidRPr="00CF70F6" w:rsidR="009B3CFC">
        <w:t xml:space="preserve"> </w:t>
      </w:r>
      <w:r w:rsidRPr="00CF70F6">
        <w:t>Quarterly reports are not due concurrently with applicable annual reports.</w:t>
      </w:r>
      <w:r w:rsidRPr="00CF70F6" w:rsidR="00CF70F6">
        <w:t xml:space="preserve">  </w:t>
      </w:r>
      <w:r w:rsidRPr="00CF70F6" w:rsidR="00CF70F6">
        <w:rPr>
          <w:b/>
          <w:bCs/>
        </w:rPr>
        <w:t>Table 3</w:t>
      </w:r>
      <w:r w:rsidRPr="007777CF" w:rsidR="00CF70F6">
        <w:rPr>
          <w:b/>
        </w:rPr>
        <w:t xml:space="preserve"> </w:t>
      </w:r>
      <w:r w:rsidRPr="00CF70F6">
        <w:t>summarizes the quarterly report timelines:</w:t>
      </w:r>
    </w:p>
    <w:p w:rsidR="00857209" w:rsidRPr="00CF70F6" w:rsidP="00FD6A50" w14:paraId="192E94F2" w14:textId="77777777">
      <w:pPr>
        <w:pStyle w:val="NoSpacing"/>
        <w:jc w:val="both"/>
      </w:pPr>
    </w:p>
    <w:p w:rsidR="00635EE4" w:rsidRPr="0052725B" w:rsidP="00F22713" w14:paraId="2AE101B8" w14:textId="218BC6C3">
      <w:pPr>
        <w:pStyle w:val="Caption"/>
        <w:keepNext/>
        <w:spacing w:after="0"/>
        <w:jc w:val="center"/>
        <w:rPr>
          <w:b/>
          <w:bCs/>
        </w:rPr>
      </w:pPr>
      <w:r w:rsidRPr="0052725B">
        <w:rPr>
          <w:b/>
          <w:bCs/>
          <w:i w:val="0"/>
          <w:iCs w:val="0"/>
          <w:color w:val="auto"/>
          <w:sz w:val="22"/>
          <w:szCs w:val="22"/>
        </w:rPr>
        <w:t xml:space="preserve">Table </w:t>
      </w:r>
      <w:r w:rsidRPr="0052725B">
        <w:rPr>
          <w:b/>
          <w:bCs/>
          <w:i w:val="0"/>
          <w:iCs w:val="0"/>
          <w:color w:val="auto"/>
          <w:sz w:val="22"/>
          <w:szCs w:val="22"/>
        </w:rPr>
        <w:fldChar w:fldCharType="begin"/>
      </w:r>
      <w:r w:rsidRPr="0052725B">
        <w:rPr>
          <w:b/>
          <w:bCs/>
          <w:i w:val="0"/>
          <w:iCs w:val="0"/>
          <w:color w:val="auto"/>
          <w:sz w:val="22"/>
          <w:szCs w:val="22"/>
        </w:rPr>
        <w:instrText xml:space="preserve"> SEQ Table \* ARABIC </w:instrText>
      </w:r>
      <w:r w:rsidRPr="0052725B">
        <w:rPr>
          <w:b/>
          <w:bCs/>
          <w:i w:val="0"/>
          <w:iCs w:val="0"/>
          <w:color w:val="auto"/>
          <w:sz w:val="22"/>
          <w:szCs w:val="22"/>
        </w:rPr>
        <w:fldChar w:fldCharType="separate"/>
      </w:r>
      <w:r w:rsidR="000A2643">
        <w:rPr>
          <w:b/>
          <w:bCs/>
          <w:i w:val="0"/>
          <w:iCs w:val="0"/>
          <w:noProof/>
          <w:color w:val="auto"/>
          <w:sz w:val="22"/>
          <w:szCs w:val="22"/>
        </w:rPr>
        <w:t>3</w:t>
      </w:r>
      <w:r w:rsidRPr="0052725B">
        <w:rPr>
          <w:b/>
          <w:bCs/>
          <w:i w:val="0"/>
          <w:iCs w:val="0"/>
          <w:color w:val="auto"/>
          <w:sz w:val="22"/>
          <w:szCs w:val="22"/>
        </w:rPr>
        <w:fldChar w:fldCharType="end"/>
      </w:r>
      <w:r w:rsidRPr="0052725B">
        <w:rPr>
          <w:b/>
          <w:bCs/>
          <w:i w:val="0"/>
          <w:iCs w:val="0"/>
          <w:color w:val="auto"/>
          <w:sz w:val="22"/>
          <w:szCs w:val="22"/>
        </w:rPr>
        <w:t xml:space="preserve">: </w:t>
      </w:r>
      <w:r w:rsidRPr="00CF70F6" w:rsidR="00CF70F6">
        <w:rPr>
          <w:b/>
          <w:bCs/>
          <w:i w:val="0"/>
          <w:iCs w:val="0"/>
          <w:color w:val="auto"/>
          <w:sz w:val="22"/>
          <w:szCs w:val="22"/>
        </w:rPr>
        <w:t xml:space="preserve">Quarterly </w:t>
      </w:r>
      <w:r w:rsidRPr="0052725B">
        <w:rPr>
          <w:b/>
          <w:bCs/>
          <w:i w:val="0"/>
          <w:iCs w:val="0"/>
          <w:color w:val="auto"/>
          <w:sz w:val="22"/>
          <w:szCs w:val="22"/>
        </w:rPr>
        <w:t>Project and Expenditure Report Timeline</w:t>
      </w:r>
    </w:p>
    <w:tbl>
      <w:tblPr>
        <w:tblW w:w="9170" w:type="dxa"/>
        <w:tblCellMar>
          <w:left w:w="0" w:type="dxa"/>
          <w:right w:w="0" w:type="dxa"/>
        </w:tblCellMar>
        <w:tblLook w:val="04A0"/>
      </w:tblPr>
      <w:tblGrid>
        <w:gridCol w:w="1069"/>
        <w:gridCol w:w="1069"/>
        <w:gridCol w:w="1080"/>
        <w:gridCol w:w="3515"/>
        <w:gridCol w:w="2427"/>
        <w:gridCol w:w="10"/>
      </w:tblGrid>
      <w:tr w14:paraId="7635C3BD" w14:textId="77777777" w:rsidTr="00A96CE3">
        <w:tblPrEx>
          <w:tblW w:w="9170" w:type="dxa"/>
          <w:tblCellMar>
            <w:left w:w="0" w:type="dxa"/>
            <w:right w:w="0" w:type="dxa"/>
          </w:tblCellMar>
          <w:tblLook w:val="04A0"/>
        </w:tblPrEx>
        <w:trPr>
          <w:tblHeader/>
        </w:trPr>
        <w:tc>
          <w:tcPr>
            <w:tcW w:w="1070" w:type="dxa"/>
            <w:tcBorders>
              <w:top w:val="single" w:sz="8" w:space="0" w:color="auto"/>
              <w:left w:val="single" w:sz="8" w:space="0" w:color="auto"/>
              <w:bottom w:val="single" w:sz="8" w:space="0" w:color="auto"/>
              <w:right w:val="single" w:sz="8" w:space="0" w:color="auto"/>
            </w:tcBorders>
            <w:shd w:val="clear" w:color="auto" w:fill="004E7D" w:themeFill="accent6" w:themeFillShade="BF"/>
          </w:tcPr>
          <w:p w:rsidR="00C60979" w:rsidRPr="00440EF3" w:rsidP="10A9F656" w14:paraId="531BD817" w14:textId="1750BF71">
            <w:pPr>
              <w:pStyle w:val="NoSpacing"/>
              <w:jc w:val="center"/>
              <w:rPr>
                <w:b/>
                <w:bCs/>
                <w:color w:val="FFFFFF" w:themeColor="background2"/>
                <w:lang w:val="en-IN"/>
              </w:rPr>
            </w:pPr>
            <w:r w:rsidRPr="10A9F656">
              <w:rPr>
                <w:b/>
                <w:bCs/>
                <w:color w:val="FFFFFF" w:themeColor="background2"/>
                <w:lang w:val="en-IN"/>
              </w:rPr>
              <w:t>Report</w:t>
            </w:r>
          </w:p>
        </w:tc>
        <w:tc>
          <w:tcPr>
            <w:tcW w:w="1070" w:type="dxa"/>
            <w:tcBorders>
              <w:top w:val="single" w:sz="8" w:space="0" w:color="auto"/>
              <w:left w:val="single" w:sz="8" w:space="0" w:color="auto"/>
              <w:bottom w:val="single" w:sz="8" w:space="0" w:color="auto"/>
              <w:right w:val="single" w:sz="8" w:space="0" w:color="auto"/>
            </w:tcBorders>
            <w:shd w:val="clear" w:color="auto" w:fill="004E7D" w:themeFill="accent6" w:themeFillShade="BF"/>
          </w:tcPr>
          <w:p w:rsidR="00C60979" w:rsidRPr="00440EF3" w:rsidP="10A9F656" w14:paraId="5E64D9E2" w14:textId="77F0272D">
            <w:pPr>
              <w:pStyle w:val="NoSpacing"/>
              <w:jc w:val="center"/>
              <w:rPr>
                <w:b/>
                <w:bCs/>
                <w:color w:val="FFFFFF" w:themeColor="background2"/>
                <w:lang w:val="en-IN"/>
              </w:rPr>
            </w:pPr>
            <w:r w:rsidRPr="10A9F656">
              <w:rPr>
                <w:b/>
                <w:bCs/>
                <w:color w:val="FFFFFF" w:themeColor="background2"/>
                <w:lang w:val="en-IN"/>
              </w:rPr>
              <w:t>Year</w:t>
            </w:r>
          </w:p>
        </w:tc>
        <w:tc>
          <w:tcPr>
            <w:tcW w:w="1080" w:type="dxa"/>
            <w:tcBorders>
              <w:top w:val="single" w:sz="8" w:space="0" w:color="auto"/>
              <w:left w:val="single" w:sz="8" w:space="0" w:color="auto"/>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C60979" w:rsidRPr="00440EF3" w:rsidP="10A9F656" w14:paraId="2B14BB17" w14:textId="2E15BD5E">
            <w:pPr>
              <w:pStyle w:val="NoSpacing"/>
              <w:jc w:val="center"/>
              <w:rPr>
                <w:b/>
                <w:bCs/>
                <w:color w:val="FFFFFF" w:themeColor="background2"/>
                <w:lang w:val="en-IN"/>
              </w:rPr>
            </w:pPr>
            <w:r w:rsidRPr="10A9F656">
              <w:rPr>
                <w:b/>
                <w:bCs/>
                <w:color w:val="FFFFFF" w:themeColor="background2"/>
                <w:lang w:val="en-IN"/>
              </w:rPr>
              <w:t>Quarter</w:t>
            </w:r>
          </w:p>
        </w:tc>
        <w:tc>
          <w:tcPr>
            <w:tcW w:w="3520"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C60979" w:rsidRPr="00440EF3" w:rsidP="10A9F656" w14:paraId="555A3D84" w14:textId="77777777">
            <w:pPr>
              <w:pStyle w:val="NoSpacing"/>
              <w:jc w:val="center"/>
              <w:rPr>
                <w:b/>
                <w:bCs/>
                <w:color w:val="FFFFFF" w:themeColor="background2"/>
                <w:lang w:val="en-IN"/>
              </w:rPr>
            </w:pPr>
            <w:r w:rsidRPr="10A9F656">
              <w:rPr>
                <w:b/>
                <w:bCs/>
                <w:color w:val="FFFFFF" w:themeColor="background2"/>
                <w:lang w:val="en-IN"/>
              </w:rPr>
              <w:t>Period Covered</w:t>
            </w:r>
          </w:p>
        </w:tc>
        <w:tc>
          <w:tcPr>
            <w:tcW w:w="2430" w:type="dxa"/>
            <w:gridSpan w:val="2"/>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C60979" w:rsidRPr="00440EF3" w:rsidP="10A9F656" w14:paraId="01F6DAD5" w14:textId="205488FB">
            <w:pPr>
              <w:pStyle w:val="NoSpacing"/>
              <w:jc w:val="center"/>
              <w:rPr>
                <w:b/>
                <w:bCs/>
                <w:color w:val="FFFFFF" w:themeColor="background2"/>
                <w:lang w:val="en-IN"/>
              </w:rPr>
            </w:pPr>
            <w:r w:rsidRPr="10A9F656">
              <w:rPr>
                <w:b/>
                <w:bCs/>
                <w:color w:val="FFFFFF" w:themeColor="background2"/>
                <w:lang w:val="en-IN"/>
              </w:rPr>
              <w:t>Due Date</w:t>
            </w:r>
          </w:p>
        </w:tc>
      </w:tr>
      <w:tr w14:paraId="41A03EF4" w14:textId="77777777" w:rsidTr="002024EB">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637010FB" w14:textId="18B76FFC">
            <w:pPr>
              <w:pStyle w:val="NoSpacing"/>
              <w:jc w:val="center"/>
              <w:rPr>
                <w:lang w:val="en-IN"/>
              </w:rPr>
            </w:pPr>
            <w:r w:rsidRPr="10A9F656">
              <w:rPr>
                <w:lang w:val="en-IN"/>
              </w:rPr>
              <w:t>1</w:t>
            </w:r>
          </w:p>
        </w:tc>
        <w:tc>
          <w:tcPr>
            <w:tcW w:w="1070" w:type="dxa"/>
            <w:tcBorders>
              <w:top w:val="nil"/>
              <w:left w:val="single" w:sz="8" w:space="0" w:color="auto"/>
              <w:bottom w:val="single" w:sz="8" w:space="0" w:color="auto"/>
              <w:right w:val="single" w:sz="8" w:space="0" w:color="auto"/>
            </w:tcBorders>
          </w:tcPr>
          <w:p w:rsidR="000873EE" w:rsidRPr="00E21798" w:rsidP="10A9F656" w14:paraId="1CB0ECDD" w14:textId="3B7DC80B">
            <w:pPr>
              <w:pStyle w:val="NoSpacing"/>
              <w:jc w:val="center"/>
              <w:rPr>
                <w:lang w:val="en-IN"/>
              </w:rPr>
            </w:pPr>
            <w:r w:rsidRPr="10A9F656">
              <w:rPr>
                <w:lang w:val="en-IN"/>
              </w:rPr>
              <w:t>2021</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5905955F" w14:textId="41C900CB">
            <w:pPr>
              <w:pStyle w:val="NoSpacing"/>
              <w:jc w:val="center"/>
              <w:rPr>
                <w:lang w:val="en-IN"/>
              </w:rPr>
            </w:pPr>
            <w:r w:rsidRPr="10A9F656">
              <w:rPr>
                <w:lang w:val="en-IN"/>
              </w:rPr>
              <w:t xml:space="preserve">2 </w:t>
            </w:r>
            <w:r w:rsidR="007561E8">
              <w:rPr>
                <w:lang w:val="en-IN"/>
              </w:rPr>
              <w:t>–</w:t>
            </w:r>
            <w:r w:rsidRPr="10A9F656">
              <w:rPr>
                <w:lang w:val="en-IN"/>
              </w:rPr>
              <w:t xml:space="preserve"> 4</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464048E2" w14:textId="5D5C7CE3">
            <w:pPr>
              <w:pStyle w:val="NoSpacing"/>
              <w:jc w:val="center"/>
              <w:rPr>
                <w:lang w:val="en-IN"/>
              </w:rPr>
            </w:pPr>
            <w:r w:rsidRPr="10A9F656">
              <w:rPr>
                <w:lang w:val="en-IN"/>
              </w:rPr>
              <w:t xml:space="preserve">March 3 – December 31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2B38EB1B" w14:textId="6BD26189">
            <w:pPr>
              <w:pStyle w:val="NoSpacing"/>
              <w:jc w:val="center"/>
              <w:rPr>
                <w:lang w:val="en-IN"/>
              </w:rPr>
            </w:pPr>
            <w:r w:rsidRPr="10A9F656">
              <w:rPr>
                <w:lang w:val="en-IN"/>
              </w:rPr>
              <w:t>January 31, 2022</w:t>
            </w:r>
          </w:p>
        </w:tc>
      </w:tr>
      <w:tr w14:paraId="2FCB342E" w14:textId="77777777" w:rsidTr="002024EB">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3B12A93F" w14:textId="40300115">
            <w:pPr>
              <w:pStyle w:val="NoSpacing"/>
              <w:jc w:val="center"/>
              <w:rPr>
                <w:lang w:val="en-IN"/>
              </w:rPr>
            </w:pPr>
            <w:r w:rsidRPr="10A9F656">
              <w:rPr>
                <w:lang w:val="en-IN"/>
              </w:rPr>
              <w:t>2</w:t>
            </w:r>
          </w:p>
        </w:tc>
        <w:tc>
          <w:tcPr>
            <w:tcW w:w="1070" w:type="dxa"/>
            <w:tcBorders>
              <w:top w:val="nil"/>
              <w:left w:val="single" w:sz="8" w:space="0" w:color="auto"/>
              <w:bottom w:val="single" w:sz="8" w:space="0" w:color="auto"/>
              <w:right w:val="single" w:sz="8" w:space="0" w:color="auto"/>
            </w:tcBorders>
          </w:tcPr>
          <w:p w:rsidR="000873EE" w:rsidRPr="00E21798" w:rsidP="10A9F656" w14:paraId="028CB169" w14:textId="372D98B7">
            <w:pPr>
              <w:pStyle w:val="NoSpacing"/>
              <w:jc w:val="center"/>
              <w:rPr>
                <w:lang w:val="en-IN"/>
              </w:rPr>
            </w:pPr>
            <w:r w:rsidRPr="10A9F656">
              <w:rPr>
                <w:lang w:val="en-IN"/>
              </w:rPr>
              <w:t>2022</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3B9BEFCE" w14:textId="43267CEE">
            <w:pPr>
              <w:pStyle w:val="NoSpacing"/>
              <w:jc w:val="center"/>
              <w:rPr>
                <w:lang w:val="en-IN"/>
              </w:rPr>
            </w:pPr>
            <w:r w:rsidRPr="10A9F656">
              <w:rPr>
                <w:lang w:val="en-IN"/>
              </w:rPr>
              <w:t>1</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684B9184" w14:textId="505EEFEB">
            <w:pPr>
              <w:pStyle w:val="NoSpacing"/>
              <w:jc w:val="center"/>
              <w:rPr>
                <w:lang w:val="en-IN"/>
              </w:rPr>
            </w:pPr>
            <w:r w:rsidRPr="10A9F656">
              <w:rPr>
                <w:lang w:val="en-IN"/>
              </w:rPr>
              <w:t>January 1 – March 31</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361A736F" w14:textId="271D92A1">
            <w:pPr>
              <w:pStyle w:val="NoSpacing"/>
              <w:jc w:val="center"/>
              <w:rPr>
                <w:lang w:val="en-IN"/>
              </w:rPr>
            </w:pPr>
            <w:r w:rsidRPr="10A9F656">
              <w:rPr>
                <w:lang w:val="en-IN"/>
              </w:rPr>
              <w:t>April 30, 2022</w:t>
            </w:r>
          </w:p>
        </w:tc>
      </w:tr>
      <w:tr w14:paraId="29E3C830" w14:textId="77777777" w:rsidTr="002024EB">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7F0B56DD" w14:textId="0CA65CB2">
            <w:pPr>
              <w:pStyle w:val="NoSpacing"/>
              <w:jc w:val="center"/>
              <w:rPr>
                <w:lang w:val="en-IN"/>
              </w:rPr>
            </w:pPr>
            <w:r w:rsidRPr="10A9F656">
              <w:rPr>
                <w:lang w:val="en-IN"/>
              </w:rPr>
              <w:t>3</w:t>
            </w:r>
          </w:p>
        </w:tc>
        <w:tc>
          <w:tcPr>
            <w:tcW w:w="1070" w:type="dxa"/>
            <w:tcBorders>
              <w:top w:val="nil"/>
              <w:left w:val="single" w:sz="8" w:space="0" w:color="auto"/>
              <w:bottom w:val="single" w:sz="8" w:space="0" w:color="auto"/>
              <w:right w:val="single" w:sz="8" w:space="0" w:color="auto"/>
            </w:tcBorders>
          </w:tcPr>
          <w:p w:rsidR="000873EE" w:rsidRPr="00E21798" w:rsidP="10A9F656" w14:paraId="1ACC34CD" w14:textId="58D051D6">
            <w:pPr>
              <w:pStyle w:val="NoSpacing"/>
              <w:jc w:val="center"/>
              <w:rPr>
                <w:lang w:val="en-IN"/>
              </w:rPr>
            </w:pPr>
            <w:r w:rsidRPr="10A9F656">
              <w:rPr>
                <w:lang w:val="en-IN"/>
              </w:rPr>
              <w:t>2022</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219D8DCC" w14:textId="5586D1FB">
            <w:pPr>
              <w:pStyle w:val="NoSpacing"/>
              <w:jc w:val="center"/>
              <w:rPr>
                <w:lang w:val="en-IN"/>
              </w:rPr>
            </w:pPr>
            <w:r w:rsidRPr="10A9F656">
              <w:rPr>
                <w:lang w:val="en-IN"/>
              </w:rPr>
              <w:t>2</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345590B8" w14:textId="27AB0832">
            <w:pPr>
              <w:pStyle w:val="NoSpacing"/>
              <w:jc w:val="center"/>
              <w:rPr>
                <w:lang w:val="en-IN"/>
              </w:rPr>
            </w:pPr>
            <w:r w:rsidRPr="10A9F656">
              <w:rPr>
                <w:lang w:val="en-IN"/>
              </w:rPr>
              <w:t>April 1 – June 30</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519DB2DE" w14:textId="33588D85">
            <w:pPr>
              <w:pStyle w:val="NoSpacing"/>
              <w:jc w:val="center"/>
              <w:rPr>
                <w:lang w:val="en-IN"/>
              </w:rPr>
            </w:pPr>
            <w:r w:rsidRPr="10A9F656">
              <w:rPr>
                <w:lang w:val="en-IN"/>
              </w:rPr>
              <w:t>July 31, 2022</w:t>
            </w:r>
          </w:p>
        </w:tc>
      </w:tr>
      <w:tr w14:paraId="6491EA45" w14:textId="77777777" w:rsidTr="002024EB">
        <w:tblPrEx>
          <w:tblW w:w="9170" w:type="dxa"/>
          <w:tblCellMar>
            <w:left w:w="0" w:type="dxa"/>
            <w:right w:w="0" w:type="dxa"/>
          </w:tblCellMar>
          <w:tblLook w:val="04A0"/>
        </w:tblPrEx>
        <w:trPr>
          <w:gridAfter w:val="1"/>
          <w:wAfter w:w="10" w:type="dxa"/>
        </w:trPr>
        <w:tc>
          <w:tcPr>
            <w:tcW w:w="1070" w:type="dxa"/>
            <w:tcBorders>
              <w:top w:val="nil"/>
              <w:left w:val="single" w:sz="8" w:space="0" w:color="auto"/>
              <w:bottom w:val="single" w:sz="8" w:space="0" w:color="auto"/>
              <w:right w:val="single" w:sz="8" w:space="0" w:color="auto"/>
            </w:tcBorders>
          </w:tcPr>
          <w:p w:rsidR="000873EE" w:rsidRPr="00E21798" w:rsidP="10A9F656" w14:paraId="1899DD1D" w14:textId="653ED8E0">
            <w:pPr>
              <w:pStyle w:val="NoSpacing"/>
              <w:jc w:val="center"/>
              <w:rPr>
                <w:lang w:val="en-IN"/>
              </w:rPr>
            </w:pPr>
            <w:r w:rsidRPr="10A9F656">
              <w:rPr>
                <w:lang w:val="en-IN"/>
              </w:rPr>
              <w:t>4</w:t>
            </w:r>
          </w:p>
        </w:tc>
        <w:tc>
          <w:tcPr>
            <w:tcW w:w="1070" w:type="dxa"/>
            <w:tcBorders>
              <w:top w:val="nil"/>
              <w:left w:val="single" w:sz="8" w:space="0" w:color="auto"/>
              <w:bottom w:val="single" w:sz="8" w:space="0" w:color="auto"/>
              <w:right w:val="single" w:sz="8" w:space="0" w:color="auto"/>
            </w:tcBorders>
          </w:tcPr>
          <w:p w:rsidR="000873EE" w:rsidRPr="00E21798" w:rsidP="10A9F656" w14:paraId="06C275BC" w14:textId="52714EF0">
            <w:pPr>
              <w:pStyle w:val="NoSpacing"/>
              <w:jc w:val="center"/>
              <w:rPr>
                <w:lang w:val="en-IN"/>
              </w:rPr>
            </w:pPr>
            <w:r w:rsidRPr="10A9F656">
              <w:rPr>
                <w:lang w:val="en-IN"/>
              </w:rPr>
              <w:t>2022</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873EE" w:rsidRPr="00E21798" w:rsidP="10A9F656" w14:paraId="2283B59A" w14:textId="19A6DB2C">
            <w:pPr>
              <w:pStyle w:val="NoSpacing"/>
              <w:jc w:val="center"/>
              <w:rPr>
                <w:lang w:val="en-IN"/>
              </w:rPr>
            </w:pPr>
            <w:r w:rsidRPr="10A9F656">
              <w:rPr>
                <w:lang w:val="en-IN"/>
              </w:rPr>
              <w:t>3</w:t>
            </w:r>
          </w:p>
        </w:tc>
        <w:tc>
          <w:tcPr>
            <w:tcW w:w="352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31DA9875" w14:textId="0FD580F0">
            <w:pPr>
              <w:pStyle w:val="NoSpacing"/>
              <w:jc w:val="center"/>
              <w:rPr>
                <w:lang w:val="en-IN"/>
              </w:rPr>
            </w:pPr>
            <w:r w:rsidRPr="10A9F656">
              <w:rPr>
                <w:lang w:val="en-IN"/>
              </w:rPr>
              <w:t>July 1 – September 30</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rsidR="000873EE" w:rsidRPr="00E21798" w:rsidP="10A9F656" w14:paraId="2A178D3B" w14:textId="5079FEBE">
            <w:pPr>
              <w:pStyle w:val="NoSpacing"/>
              <w:jc w:val="center"/>
              <w:rPr>
                <w:lang w:val="en-IN"/>
              </w:rPr>
            </w:pPr>
            <w:r w:rsidRPr="10A9F656">
              <w:rPr>
                <w:lang w:val="en-IN"/>
              </w:rPr>
              <w:t>October 31, 2022</w:t>
            </w:r>
          </w:p>
        </w:tc>
      </w:tr>
      <w:tr w14:paraId="15A168A6"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2A160E1" w14:textId="3712FCC4">
            <w:pPr>
              <w:pStyle w:val="NoSpacing"/>
              <w:jc w:val="center"/>
              <w:rPr>
                <w:lang w:val="en-IN"/>
              </w:rPr>
            </w:pPr>
            <w:r w:rsidRPr="10A9F656">
              <w:rPr>
                <w:lang w:val="en-IN"/>
              </w:rPr>
              <w:t>5</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140E813E" w14:textId="69020DF6">
            <w:pPr>
              <w:pStyle w:val="NoSpacing"/>
              <w:jc w:val="center"/>
              <w:rPr>
                <w:lang w:val="en-IN"/>
              </w:rPr>
            </w:pPr>
            <w:r w:rsidRPr="10A9F656">
              <w:rPr>
                <w:lang w:val="en-IN"/>
              </w:rPr>
              <w:t>2022</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0B80D169" w14:textId="3632E834">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67EE7139" w14:textId="5A02E4DC">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17A8DDF" w14:textId="081300F4">
            <w:pPr>
              <w:pStyle w:val="NoSpacing"/>
              <w:jc w:val="center"/>
              <w:rPr>
                <w:lang w:val="en-IN"/>
              </w:rPr>
            </w:pPr>
            <w:r w:rsidRPr="10A9F656">
              <w:rPr>
                <w:lang w:val="en-IN"/>
              </w:rPr>
              <w:t>January 31, 2023</w:t>
            </w:r>
          </w:p>
        </w:tc>
      </w:tr>
      <w:tr w14:paraId="69A9B8AA"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0FC3A73B" w14:textId="6E77BA8D">
            <w:pPr>
              <w:pStyle w:val="NoSpacing"/>
              <w:jc w:val="center"/>
              <w:rPr>
                <w:lang w:val="en-IN"/>
              </w:rPr>
            </w:pPr>
            <w:r w:rsidRPr="10A9F656">
              <w:rPr>
                <w:lang w:val="en-IN"/>
              </w:rPr>
              <w:t>6</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FF34BC9" w14:textId="3AD59F4B">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13AF578E" w14:textId="1114B19C">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8BEADE3" w14:textId="61EE5B00">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621CC5C" w14:textId="5FBEEC10">
            <w:pPr>
              <w:pStyle w:val="NoSpacing"/>
              <w:jc w:val="center"/>
              <w:rPr>
                <w:lang w:val="en-IN"/>
              </w:rPr>
            </w:pPr>
            <w:r w:rsidRPr="10A9F656">
              <w:rPr>
                <w:lang w:val="en-IN"/>
              </w:rPr>
              <w:t>April 30, 2023</w:t>
            </w:r>
          </w:p>
        </w:tc>
      </w:tr>
      <w:tr w14:paraId="0B4E247D"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B7A1832" w14:textId="023C9AC7">
            <w:pPr>
              <w:pStyle w:val="NoSpacing"/>
              <w:jc w:val="center"/>
              <w:rPr>
                <w:lang w:val="en-IN"/>
              </w:rPr>
            </w:pPr>
            <w:r w:rsidRPr="10A9F656">
              <w:rPr>
                <w:lang w:val="en-IN"/>
              </w:rPr>
              <w:t>7</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5FF19BE" w14:textId="0FA4EC2D">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568B7739" w14:textId="479B20B7">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F69A072" w14:textId="2542EC77">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23D0DFB" w14:textId="6C90F4C5">
            <w:pPr>
              <w:pStyle w:val="NoSpacing"/>
              <w:jc w:val="center"/>
              <w:rPr>
                <w:lang w:val="en-IN"/>
              </w:rPr>
            </w:pPr>
            <w:r w:rsidRPr="10A9F656">
              <w:rPr>
                <w:lang w:val="en-IN"/>
              </w:rPr>
              <w:t>July 31, 2023</w:t>
            </w:r>
          </w:p>
        </w:tc>
      </w:tr>
      <w:tr w14:paraId="7DD30BD6"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E1D010B" w14:textId="6A0A78F7">
            <w:pPr>
              <w:pStyle w:val="NoSpacing"/>
              <w:jc w:val="center"/>
              <w:rPr>
                <w:lang w:val="en-IN"/>
              </w:rPr>
            </w:pPr>
            <w:r w:rsidRPr="10A9F656">
              <w:rPr>
                <w:lang w:val="en-IN"/>
              </w:rPr>
              <w:t>8</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9BDF1BE" w14:textId="733D2380">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6EFCB7B" w14:textId="10737BD5">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85E1621" w14:textId="396251E7">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C83F822" w14:textId="173A1D25">
            <w:pPr>
              <w:pStyle w:val="NoSpacing"/>
              <w:jc w:val="center"/>
              <w:rPr>
                <w:lang w:val="en-IN"/>
              </w:rPr>
            </w:pPr>
            <w:r w:rsidRPr="10A9F656">
              <w:rPr>
                <w:lang w:val="en-IN"/>
              </w:rPr>
              <w:t>October 31, 2023</w:t>
            </w:r>
          </w:p>
        </w:tc>
      </w:tr>
      <w:tr w14:paraId="5BF68DC7"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5812E36" w14:textId="2ECF902C">
            <w:pPr>
              <w:pStyle w:val="NoSpacing"/>
              <w:jc w:val="center"/>
              <w:rPr>
                <w:lang w:val="en-IN"/>
              </w:rPr>
            </w:pPr>
            <w:r w:rsidRPr="10A9F656">
              <w:rPr>
                <w:lang w:val="en-IN"/>
              </w:rPr>
              <w:t>9</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7D69F37" w14:textId="786711FE">
            <w:pPr>
              <w:pStyle w:val="NoSpacing"/>
              <w:jc w:val="center"/>
              <w:rPr>
                <w:lang w:val="en-IN"/>
              </w:rPr>
            </w:pPr>
            <w:r w:rsidRPr="10A9F656">
              <w:rPr>
                <w:lang w:val="en-IN"/>
              </w:rPr>
              <w:t>2023</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3FA6D367" w14:textId="6385C3D3">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E08E8C3" w14:textId="1DB6696B">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6D67295" w14:textId="714FC307">
            <w:pPr>
              <w:pStyle w:val="NoSpacing"/>
              <w:jc w:val="center"/>
              <w:rPr>
                <w:lang w:val="en-IN"/>
              </w:rPr>
            </w:pPr>
            <w:r w:rsidRPr="10A9F656">
              <w:rPr>
                <w:lang w:val="en-IN"/>
              </w:rPr>
              <w:t>January 31, 2024</w:t>
            </w:r>
          </w:p>
        </w:tc>
      </w:tr>
      <w:tr w14:paraId="52A17F0C"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3334A76" w14:textId="6BDABCCD">
            <w:pPr>
              <w:pStyle w:val="NoSpacing"/>
              <w:jc w:val="center"/>
              <w:rPr>
                <w:lang w:val="en-IN"/>
              </w:rPr>
            </w:pPr>
            <w:r w:rsidRPr="10A9F656">
              <w:rPr>
                <w:lang w:val="en-IN"/>
              </w:rPr>
              <w:t>10</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1BC4F35" w14:textId="5ED3B9B6">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03782E3" w14:textId="4E641770">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CA5281E" w14:textId="70E40132">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700BEB8" w14:textId="444F9A3B">
            <w:pPr>
              <w:pStyle w:val="NoSpacing"/>
              <w:jc w:val="center"/>
              <w:rPr>
                <w:lang w:val="en-IN"/>
              </w:rPr>
            </w:pPr>
            <w:r w:rsidRPr="10A9F656">
              <w:rPr>
                <w:lang w:val="en-IN"/>
              </w:rPr>
              <w:t>April 30, 2024</w:t>
            </w:r>
          </w:p>
        </w:tc>
      </w:tr>
      <w:tr w14:paraId="6DCC69F0"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6598E95" w14:textId="4189F5FD">
            <w:pPr>
              <w:pStyle w:val="NoSpacing"/>
              <w:jc w:val="center"/>
              <w:rPr>
                <w:lang w:val="en-IN"/>
              </w:rPr>
            </w:pPr>
            <w:r w:rsidRPr="10A9F656">
              <w:rPr>
                <w:lang w:val="en-IN"/>
              </w:rPr>
              <w:t>11</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4BFC52B" w14:textId="3A88D1A6">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6BFBD0B2" w14:textId="1495E11F">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68220D8" w14:textId="54EA1DC1">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932D2C4" w14:textId="758ABBF4">
            <w:pPr>
              <w:pStyle w:val="NoSpacing"/>
              <w:jc w:val="center"/>
              <w:rPr>
                <w:lang w:val="en-IN"/>
              </w:rPr>
            </w:pPr>
            <w:r w:rsidRPr="10A9F656">
              <w:rPr>
                <w:lang w:val="en-IN"/>
              </w:rPr>
              <w:t>July 31, 2024</w:t>
            </w:r>
          </w:p>
        </w:tc>
      </w:tr>
      <w:tr w14:paraId="5C384849"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5E7807D1" w14:textId="64AECBF1">
            <w:pPr>
              <w:pStyle w:val="NoSpacing"/>
              <w:jc w:val="center"/>
              <w:rPr>
                <w:lang w:val="en-IN"/>
              </w:rPr>
            </w:pPr>
            <w:r w:rsidRPr="10A9F656">
              <w:rPr>
                <w:lang w:val="en-IN"/>
              </w:rPr>
              <w:t>12</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DD0B5DE" w14:textId="7575A6A2">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0ADDD06E" w14:textId="0767D5FE">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A91CA13" w14:textId="35891D7B">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6022AFF" w14:textId="135C29B4">
            <w:pPr>
              <w:pStyle w:val="NoSpacing"/>
              <w:jc w:val="center"/>
              <w:rPr>
                <w:lang w:val="en-IN"/>
              </w:rPr>
            </w:pPr>
            <w:r w:rsidRPr="10A9F656">
              <w:rPr>
                <w:lang w:val="en-IN"/>
              </w:rPr>
              <w:t>October 31, 2024</w:t>
            </w:r>
          </w:p>
        </w:tc>
      </w:tr>
      <w:tr w14:paraId="3411DFA2"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1FE715C" w14:textId="20D2BF02">
            <w:pPr>
              <w:pStyle w:val="NoSpacing"/>
              <w:jc w:val="center"/>
              <w:rPr>
                <w:lang w:val="en-IN"/>
              </w:rPr>
            </w:pPr>
            <w:r w:rsidRPr="10A9F656">
              <w:rPr>
                <w:lang w:val="en-IN"/>
              </w:rPr>
              <w:t>13</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94F913E" w14:textId="6B45778B">
            <w:pPr>
              <w:pStyle w:val="NoSpacing"/>
              <w:jc w:val="center"/>
              <w:rPr>
                <w:lang w:val="en-IN"/>
              </w:rPr>
            </w:pPr>
            <w:r w:rsidRPr="10A9F656">
              <w:rPr>
                <w:lang w:val="en-IN"/>
              </w:rPr>
              <w:t>2024</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3C83C18E" w14:textId="10E68FAF">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5A529BF" w14:textId="7822F4A7">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4C3F50F7" w14:textId="3198599F">
            <w:pPr>
              <w:pStyle w:val="NoSpacing"/>
              <w:jc w:val="center"/>
              <w:rPr>
                <w:lang w:val="en-IN"/>
              </w:rPr>
            </w:pPr>
            <w:r w:rsidRPr="10A9F656">
              <w:rPr>
                <w:lang w:val="en-IN"/>
              </w:rPr>
              <w:t>January 31, 2025</w:t>
            </w:r>
          </w:p>
        </w:tc>
      </w:tr>
      <w:tr w14:paraId="34886407"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06ED128F" w14:textId="4FF67D20">
            <w:pPr>
              <w:pStyle w:val="NoSpacing"/>
              <w:jc w:val="center"/>
              <w:rPr>
                <w:lang w:val="en-IN"/>
              </w:rPr>
            </w:pPr>
            <w:r w:rsidRPr="10A9F656">
              <w:rPr>
                <w:lang w:val="en-IN"/>
              </w:rPr>
              <w:t>14</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4FEDB517" w14:textId="5D67CC40">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6D491596" w14:textId="2A9888A7">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7CDFA5A" w14:textId="38BF33E7">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40A270A" w14:textId="1E685E22">
            <w:pPr>
              <w:pStyle w:val="NoSpacing"/>
              <w:jc w:val="center"/>
              <w:rPr>
                <w:lang w:val="en-IN"/>
              </w:rPr>
            </w:pPr>
            <w:r w:rsidRPr="10A9F656">
              <w:rPr>
                <w:lang w:val="en-IN"/>
              </w:rPr>
              <w:t>April 30, 2025</w:t>
            </w:r>
          </w:p>
        </w:tc>
      </w:tr>
      <w:tr w14:paraId="4CAF6D3E"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498E452F" w14:textId="3E2B26D1">
            <w:pPr>
              <w:pStyle w:val="NoSpacing"/>
              <w:jc w:val="center"/>
              <w:rPr>
                <w:lang w:val="en-IN"/>
              </w:rPr>
            </w:pPr>
            <w:r w:rsidRPr="10A9F656">
              <w:rPr>
                <w:lang w:val="en-IN"/>
              </w:rPr>
              <w:t>15</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200E6A0" w14:textId="7817A379">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279C7E10" w14:textId="32BB0E61">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99D020E" w14:textId="4D23745B">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5764AF8C" w14:textId="26256C48">
            <w:pPr>
              <w:pStyle w:val="NoSpacing"/>
              <w:jc w:val="center"/>
              <w:rPr>
                <w:lang w:val="en-IN"/>
              </w:rPr>
            </w:pPr>
            <w:r w:rsidRPr="10A9F656">
              <w:rPr>
                <w:lang w:val="en-IN"/>
              </w:rPr>
              <w:t>July 31, 2025</w:t>
            </w:r>
          </w:p>
        </w:tc>
      </w:tr>
      <w:tr w14:paraId="207917DE"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D496D6E" w14:textId="187CF2E0">
            <w:pPr>
              <w:pStyle w:val="NoSpacing"/>
              <w:jc w:val="center"/>
              <w:rPr>
                <w:lang w:val="en-IN"/>
              </w:rPr>
            </w:pPr>
            <w:r w:rsidRPr="10A9F656">
              <w:rPr>
                <w:lang w:val="en-IN"/>
              </w:rPr>
              <w:t>16</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74F7D76B" w14:textId="70683F39">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6310287E" w14:textId="7A2A7C37">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DEE5717" w14:textId="4AEC33C7">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B900E15" w14:textId="1A7B4972">
            <w:pPr>
              <w:pStyle w:val="NoSpacing"/>
              <w:jc w:val="center"/>
              <w:rPr>
                <w:lang w:val="en-IN"/>
              </w:rPr>
            </w:pPr>
            <w:r w:rsidRPr="10A9F656">
              <w:rPr>
                <w:lang w:val="en-IN"/>
              </w:rPr>
              <w:t>October 31, 2025</w:t>
            </w:r>
          </w:p>
        </w:tc>
      </w:tr>
      <w:tr w14:paraId="7BFE5736"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6307A5E8" w14:textId="0C7E31C7">
            <w:pPr>
              <w:pStyle w:val="NoSpacing"/>
              <w:jc w:val="center"/>
              <w:rPr>
                <w:lang w:val="en-IN"/>
              </w:rPr>
            </w:pPr>
            <w:r w:rsidRPr="10A9F656">
              <w:rPr>
                <w:lang w:val="en-IN"/>
              </w:rPr>
              <w:t>17</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77495DD" w14:textId="5D097EE8">
            <w:pPr>
              <w:pStyle w:val="NoSpacing"/>
              <w:jc w:val="center"/>
              <w:rPr>
                <w:lang w:val="en-IN"/>
              </w:rPr>
            </w:pPr>
            <w:r w:rsidRPr="10A9F656">
              <w:rPr>
                <w:lang w:val="en-IN"/>
              </w:rPr>
              <w:t>2025</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0EA61E4C" w14:textId="655AB9E4">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15E50960" w14:textId="649A3CBD">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0EA57175" w14:textId="277BD456">
            <w:pPr>
              <w:pStyle w:val="NoSpacing"/>
              <w:jc w:val="center"/>
              <w:rPr>
                <w:lang w:val="en-IN"/>
              </w:rPr>
            </w:pPr>
            <w:r w:rsidRPr="10A9F656">
              <w:rPr>
                <w:lang w:val="en-IN"/>
              </w:rPr>
              <w:t>January 31, 2026</w:t>
            </w:r>
          </w:p>
        </w:tc>
      </w:tr>
      <w:tr w14:paraId="19AF0248"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AC1B61B" w14:textId="60484DD2">
            <w:pPr>
              <w:pStyle w:val="NoSpacing"/>
              <w:jc w:val="center"/>
              <w:rPr>
                <w:lang w:val="en-IN"/>
              </w:rPr>
            </w:pPr>
            <w:r w:rsidRPr="10A9F656">
              <w:rPr>
                <w:lang w:val="en-IN"/>
              </w:rPr>
              <w:t>18</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6473F675" w14:textId="6A8D1758">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FC2DFBD" w14:textId="20913DCD">
            <w:pPr>
              <w:pStyle w:val="NoSpacing"/>
              <w:jc w:val="center"/>
              <w:rPr>
                <w:lang w:val="en-IN"/>
              </w:rPr>
            </w:pPr>
            <w:r w:rsidRPr="10A9F656">
              <w:rPr>
                <w:lang w:val="en-IN"/>
              </w:rPr>
              <w:t>1</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020E2B75" w14:textId="7EFCB3E4">
            <w:pPr>
              <w:pStyle w:val="NoSpacing"/>
              <w:jc w:val="center"/>
              <w:rPr>
                <w:lang w:val="en-IN"/>
              </w:rPr>
            </w:pPr>
            <w:r w:rsidRPr="10A9F656">
              <w:rPr>
                <w:lang w:val="en-IN"/>
              </w:rPr>
              <w:t>January 1 – March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74A5DA27" w14:textId="14071A2B">
            <w:pPr>
              <w:pStyle w:val="NoSpacing"/>
              <w:jc w:val="center"/>
              <w:rPr>
                <w:lang w:val="en-IN"/>
              </w:rPr>
            </w:pPr>
            <w:r w:rsidRPr="10A9F656">
              <w:rPr>
                <w:lang w:val="en-IN"/>
              </w:rPr>
              <w:t>April 30, 2026</w:t>
            </w:r>
          </w:p>
        </w:tc>
      </w:tr>
      <w:tr w14:paraId="1E385F03"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639A26DC" w14:textId="50DE69C6">
            <w:pPr>
              <w:pStyle w:val="NoSpacing"/>
              <w:jc w:val="center"/>
              <w:rPr>
                <w:lang w:val="en-IN"/>
              </w:rPr>
            </w:pPr>
            <w:r w:rsidRPr="10A9F656">
              <w:rPr>
                <w:lang w:val="en-IN"/>
              </w:rPr>
              <w:t>19</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2BD1A7B4" w14:textId="5042A222">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251B7FCE" w14:textId="1FE33FF6">
            <w:pPr>
              <w:pStyle w:val="NoSpacing"/>
              <w:jc w:val="center"/>
              <w:rPr>
                <w:lang w:val="en-IN"/>
              </w:rPr>
            </w:pPr>
            <w:r w:rsidRPr="10A9F656">
              <w:rPr>
                <w:lang w:val="en-IN"/>
              </w:rPr>
              <w:t>2</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B02CC64" w14:textId="6C198B5E">
            <w:pPr>
              <w:pStyle w:val="NoSpacing"/>
              <w:jc w:val="center"/>
              <w:rPr>
                <w:lang w:val="en-IN"/>
              </w:rPr>
            </w:pPr>
            <w:r w:rsidRPr="10A9F656">
              <w:rPr>
                <w:lang w:val="en-IN"/>
              </w:rPr>
              <w:t>April 1 – June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567E7E7" w14:textId="25F50F82">
            <w:pPr>
              <w:pStyle w:val="NoSpacing"/>
              <w:jc w:val="center"/>
              <w:rPr>
                <w:lang w:val="en-IN"/>
              </w:rPr>
            </w:pPr>
            <w:r w:rsidRPr="10A9F656">
              <w:rPr>
                <w:lang w:val="en-IN"/>
              </w:rPr>
              <w:t>July 31, 2026</w:t>
            </w:r>
          </w:p>
        </w:tc>
      </w:tr>
      <w:tr w14:paraId="72C3E352"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4F9B15AC" w14:textId="7F8CADC3">
            <w:pPr>
              <w:pStyle w:val="NoSpacing"/>
              <w:jc w:val="center"/>
              <w:rPr>
                <w:lang w:val="en-IN"/>
              </w:rPr>
            </w:pPr>
            <w:r w:rsidRPr="10A9F656">
              <w:rPr>
                <w:lang w:val="en-IN"/>
              </w:rPr>
              <w:t>20</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0B9B368A" w14:textId="2F4D9B84">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5C87F172" w14:textId="7BCF9E7C">
            <w:pPr>
              <w:pStyle w:val="NoSpacing"/>
              <w:jc w:val="center"/>
              <w:rPr>
                <w:lang w:val="en-IN"/>
              </w:rPr>
            </w:pPr>
            <w:r w:rsidRPr="10A9F656">
              <w:rPr>
                <w:lang w:val="en-IN"/>
              </w:rPr>
              <w:t>3</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66468DC9" w14:textId="66FFF3E7">
            <w:pPr>
              <w:pStyle w:val="NoSpacing"/>
              <w:jc w:val="center"/>
              <w:rPr>
                <w:lang w:val="en-IN"/>
              </w:rPr>
            </w:pPr>
            <w:r w:rsidRPr="10A9F656">
              <w:rPr>
                <w:lang w:val="en-IN"/>
              </w:rPr>
              <w:t>July 1 – September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3BBA3D06" w14:textId="27C38115">
            <w:pPr>
              <w:pStyle w:val="NoSpacing"/>
              <w:jc w:val="center"/>
              <w:rPr>
                <w:lang w:val="en-IN"/>
              </w:rPr>
            </w:pPr>
            <w:r w:rsidRPr="10A9F656">
              <w:rPr>
                <w:lang w:val="en-IN"/>
              </w:rPr>
              <w:t>October 31, 2026</w:t>
            </w:r>
          </w:p>
        </w:tc>
      </w:tr>
      <w:tr w14:paraId="1605C512" w14:textId="77777777" w:rsidTr="002024EB">
        <w:tblPrEx>
          <w:tblW w:w="9170" w:type="dxa"/>
          <w:tblCellMar>
            <w:left w:w="0" w:type="dxa"/>
            <w:right w:w="0" w:type="dxa"/>
          </w:tblCellMar>
          <w:tblLook w:val="04A0"/>
        </w:tblPrEx>
        <w:trPr>
          <w:gridAfter w:val="1"/>
          <w:wAfter w:w="10" w:type="dxa"/>
        </w:trPr>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1CFD5C9B" w14:textId="52F31410">
            <w:pPr>
              <w:pStyle w:val="NoSpacing"/>
              <w:jc w:val="center"/>
              <w:rPr>
                <w:lang w:val="en-IN"/>
              </w:rPr>
            </w:pPr>
            <w:r w:rsidRPr="10A9F656">
              <w:rPr>
                <w:lang w:val="en-IN"/>
              </w:rPr>
              <w:t>21</w:t>
            </w:r>
          </w:p>
        </w:tc>
        <w:tc>
          <w:tcPr>
            <w:tcW w:w="1070" w:type="dxa"/>
            <w:tcBorders>
              <w:top w:val="single" w:sz="8" w:space="0" w:color="auto"/>
              <w:left w:val="single" w:sz="8" w:space="0" w:color="auto"/>
              <w:bottom w:val="single" w:sz="8" w:space="0" w:color="auto"/>
              <w:right w:val="single" w:sz="8" w:space="0" w:color="auto"/>
            </w:tcBorders>
          </w:tcPr>
          <w:p w:rsidR="000873EE" w:rsidRPr="00E21798" w:rsidP="10A9F656" w14:paraId="3ED66F5D" w14:textId="60A8A02B">
            <w:pPr>
              <w:pStyle w:val="NoSpacing"/>
              <w:jc w:val="center"/>
              <w:rPr>
                <w:lang w:val="en-IN"/>
              </w:rPr>
            </w:pPr>
            <w:r w:rsidRPr="10A9F656">
              <w:rPr>
                <w:lang w:val="en-IN"/>
              </w:rPr>
              <w:t>2026</w:t>
            </w:r>
          </w:p>
        </w:tc>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873EE" w:rsidRPr="00E21798" w:rsidP="10A9F656" w14:paraId="437B2072" w14:textId="1646D9DF">
            <w:pPr>
              <w:pStyle w:val="NoSpacing"/>
              <w:jc w:val="center"/>
              <w:rPr>
                <w:lang w:val="en-IN"/>
              </w:rPr>
            </w:pPr>
            <w:r w:rsidRPr="10A9F656">
              <w:rPr>
                <w:lang w:val="en-IN"/>
              </w:rPr>
              <w:t>4</w:t>
            </w:r>
          </w:p>
        </w:tc>
        <w:tc>
          <w:tcPr>
            <w:tcW w:w="3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65989133" w14:textId="37210BFD">
            <w:pPr>
              <w:pStyle w:val="NoSpacing"/>
              <w:jc w:val="center"/>
              <w:rPr>
                <w:lang w:val="en-IN"/>
              </w:rPr>
            </w:pPr>
            <w:r w:rsidRPr="10A9F656">
              <w:rPr>
                <w:lang w:val="en-IN"/>
              </w:rPr>
              <w:t>October 1 – December 31</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0873EE" w:rsidRPr="00E21798" w:rsidP="10A9F656" w14:paraId="29073EED" w14:textId="079F72B6">
            <w:pPr>
              <w:pStyle w:val="NoSpacing"/>
              <w:jc w:val="center"/>
              <w:rPr>
                <w:lang w:val="en-IN"/>
              </w:rPr>
            </w:pPr>
            <w:r>
              <w:rPr>
                <w:lang w:val="en-IN"/>
              </w:rPr>
              <w:t>April</w:t>
            </w:r>
            <w:r w:rsidRPr="10A9F656" w:rsidR="10A9F656">
              <w:rPr>
                <w:lang w:val="en-IN"/>
              </w:rPr>
              <w:t xml:space="preserve"> 3</w:t>
            </w:r>
            <w:r>
              <w:rPr>
                <w:lang w:val="en-IN"/>
              </w:rPr>
              <w:t>0</w:t>
            </w:r>
            <w:r w:rsidRPr="10A9F656" w:rsidR="10A9F656">
              <w:rPr>
                <w:lang w:val="en-IN"/>
              </w:rPr>
              <w:t>, 2027</w:t>
            </w:r>
          </w:p>
        </w:tc>
      </w:tr>
    </w:tbl>
    <w:p w:rsidR="0060613F" w:rsidP="00FD6A50" w14:paraId="7A011992" w14:textId="77777777">
      <w:pPr>
        <w:pStyle w:val="NoSpacing"/>
        <w:jc w:val="both"/>
        <w:rPr>
          <w:b/>
          <w:bCs/>
        </w:rPr>
      </w:pPr>
    </w:p>
    <w:p w:rsidR="00612176" w:rsidP="00CE5331" w14:paraId="743693E4" w14:textId="0639FE74">
      <w:pPr>
        <w:pStyle w:val="ListParagraph"/>
        <w:numPr>
          <w:ilvl w:val="0"/>
          <w:numId w:val="26"/>
        </w:numPr>
        <w:spacing w:after="0" w:line="240" w:lineRule="auto"/>
        <w:jc w:val="both"/>
      </w:pPr>
      <w:r w:rsidRPr="10A9F656">
        <w:rPr>
          <w:b/>
          <w:bCs/>
        </w:rPr>
        <w:t>Annual Reporting</w:t>
      </w:r>
    </w:p>
    <w:p w:rsidR="00864F4E" w:rsidP="00FD6A50" w14:paraId="23E8A011" w14:textId="77777777">
      <w:pPr>
        <w:pStyle w:val="ListParagraph"/>
        <w:spacing w:after="0" w:line="240" w:lineRule="auto"/>
        <w:ind w:left="360"/>
        <w:jc w:val="both"/>
      </w:pPr>
    </w:p>
    <w:p w:rsidR="00E64A47" w:rsidP="00BD678B" w14:paraId="37D58A02" w14:textId="20D17E7F">
      <w:pPr>
        <w:pStyle w:val="ListParagraph"/>
        <w:spacing w:after="0" w:line="240" w:lineRule="auto"/>
        <w:ind w:left="0"/>
      </w:pPr>
      <w:r>
        <w:t xml:space="preserve">The following recipients are required to submit annual Project and Expenditure Reports: </w:t>
      </w:r>
    </w:p>
    <w:p w:rsidR="00E15F11" w:rsidRPr="00585E0F" w:rsidP="00CE5331" w14:paraId="28082F34" w14:textId="57303314">
      <w:pPr>
        <w:pStyle w:val="NoSpacing"/>
        <w:numPr>
          <w:ilvl w:val="0"/>
          <w:numId w:val="28"/>
        </w:numPr>
        <w:ind w:left="360"/>
        <w:jc w:val="both"/>
      </w:pPr>
      <w:r>
        <w:t xml:space="preserve">Tribal governments that </w:t>
      </w:r>
      <w:r w:rsidR="002B572A">
        <w:t xml:space="preserve">are allocated </w:t>
      </w:r>
      <w:r>
        <w:t>less than $30 million in SLFRF funding</w:t>
      </w:r>
    </w:p>
    <w:p w:rsidR="00E64A47" w:rsidP="00CE5331" w14:paraId="55581D03" w14:textId="385113E8">
      <w:pPr>
        <w:pStyle w:val="NoSpacing"/>
        <w:numPr>
          <w:ilvl w:val="0"/>
          <w:numId w:val="28"/>
        </w:numPr>
        <w:ind w:left="360"/>
        <w:jc w:val="both"/>
      </w:pPr>
      <w:r>
        <w:t>Metropolitan cities and counties</w:t>
      </w:r>
      <w:r w:rsidR="00D11C24">
        <w:t xml:space="preserve"> </w:t>
      </w:r>
      <w:r>
        <w:t>with a population below 250,000 residents that are allocated less than $10 million in SLFRF funding</w:t>
      </w:r>
      <w:r w:rsidR="00D11C24">
        <w:t xml:space="preserve"> and NEUs that are allocated less than $10 million in SLFRF funding.</w:t>
      </w:r>
    </w:p>
    <w:p w:rsidR="000C0369" w:rsidP="00FD6A50" w14:paraId="01F21760" w14:textId="77777777">
      <w:pPr>
        <w:pStyle w:val="NoSpacing"/>
        <w:jc w:val="both"/>
      </w:pPr>
    </w:p>
    <w:p w:rsidR="00E64A47" w:rsidP="00FD6A50" w14:paraId="063E07C1" w14:textId="2AE519C7">
      <w:pPr>
        <w:pStyle w:val="NoSpacing"/>
        <w:jc w:val="both"/>
      </w:pPr>
      <w:r>
        <w:t>For these recipients, the initial Project and Expenditure Report cover</w:t>
      </w:r>
      <w:r w:rsidR="00317A13">
        <w:t>ed</w:t>
      </w:r>
      <w:r>
        <w:t xml:space="preserve"> from March 3, 2021 to March 31, 2022 and </w:t>
      </w:r>
      <w:r w:rsidR="00A14C93">
        <w:t>was</w:t>
      </w:r>
      <w:r w:rsidR="00317A13">
        <w:t xml:space="preserve"> required to </w:t>
      </w:r>
      <w:r>
        <w:t xml:space="preserve">be submitted to Treasury by April 30, 2022. The subsequent annual reports will cover one </w:t>
      </w:r>
      <w:r w:rsidRPr="00CF70F6">
        <w:t>calendar year and must be submitted to Treasury by April 30.</w:t>
      </w:r>
      <w:r w:rsidRPr="00CF70F6" w:rsidR="00CF70F6">
        <w:t xml:space="preserve">  </w:t>
      </w:r>
      <w:r w:rsidRPr="00CF70F6" w:rsidR="00CF70F6">
        <w:rPr>
          <w:b/>
          <w:bCs/>
        </w:rPr>
        <w:t>Table 4</w:t>
      </w:r>
      <w:r w:rsidRPr="007777CF" w:rsidR="00CF70F6">
        <w:rPr>
          <w:b/>
        </w:rPr>
        <w:t xml:space="preserve"> </w:t>
      </w:r>
      <w:r w:rsidRPr="00CF70F6">
        <w:t xml:space="preserve">summarizes the </w:t>
      </w:r>
      <w:r w:rsidRPr="00CF70F6" w:rsidR="00CF70F6">
        <w:t>annual r</w:t>
      </w:r>
      <w:r w:rsidRPr="00CF70F6">
        <w:t>eport timelines:</w:t>
      </w:r>
    </w:p>
    <w:p w:rsidR="00F22713" w:rsidP="00FD6A50" w14:paraId="5DABE297" w14:textId="77777777">
      <w:pPr>
        <w:pStyle w:val="NoSpacing"/>
        <w:jc w:val="both"/>
      </w:pPr>
    </w:p>
    <w:p w:rsidR="00F22713" w:rsidP="00FD6A50" w14:paraId="4A572973" w14:textId="77777777">
      <w:pPr>
        <w:pStyle w:val="NoSpacing"/>
        <w:jc w:val="both"/>
      </w:pPr>
    </w:p>
    <w:p w:rsidR="00F22713" w:rsidP="00FD6A50" w14:paraId="3A4BF7ED" w14:textId="77777777">
      <w:pPr>
        <w:pStyle w:val="NoSpacing"/>
        <w:jc w:val="both"/>
      </w:pPr>
    </w:p>
    <w:p w:rsidR="00F22713" w:rsidP="00FD6A50" w14:paraId="4BBBF5F0" w14:textId="77777777">
      <w:pPr>
        <w:pStyle w:val="NoSpacing"/>
        <w:jc w:val="both"/>
      </w:pPr>
    </w:p>
    <w:p w:rsidR="000C0369" w:rsidP="00FD6A50" w14:paraId="53E7F609" w14:textId="77777777">
      <w:pPr>
        <w:pStyle w:val="NoSpacing"/>
        <w:jc w:val="both"/>
      </w:pPr>
    </w:p>
    <w:p w:rsidR="00CF70F6" w:rsidRPr="0052725B" w:rsidP="00F22713" w14:paraId="312AB9E9" w14:textId="643BD43B">
      <w:pPr>
        <w:pStyle w:val="Caption"/>
        <w:keepNext/>
        <w:spacing w:after="0"/>
        <w:jc w:val="center"/>
        <w:rPr>
          <w:b/>
          <w:bCs/>
        </w:rPr>
      </w:pPr>
      <w:r w:rsidRPr="0052725B">
        <w:rPr>
          <w:b/>
          <w:bCs/>
          <w:i w:val="0"/>
          <w:iCs w:val="0"/>
          <w:color w:val="auto"/>
          <w:sz w:val="22"/>
          <w:szCs w:val="22"/>
        </w:rPr>
        <w:t xml:space="preserve">Table </w:t>
      </w:r>
      <w:r w:rsidRPr="0052725B">
        <w:rPr>
          <w:b/>
          <w:bCs/>
          <w:i w:val="0"/>
          <w:iCs w:val="0"/>
          <w:color w:val="auto"/>
          <w:sz w:val="22"/>
          <w:szCs w:val="22"/>
        </w:rPr>
        <w:fldChar w:fldCharType="begin"/>
      </w:r>
      <w:r w:rsidRPr="0052725B">
        <w:rPr>
          <w:b/>
          <w:bCs/>
          <w:i w:val="0"/>
          <w:iCs w:val="0"/>
          <w:color w:val="auto"/>
          <w:sz w:val="22"/>
          <w:szCs w:val="22"/>
        </w:rPr>
        <w:instrText xml:space="preserve"> SEQ Table \* ARABIC </w:instrText>
      </w:r>
      <w:r w:rsidRPr="0052725B">
        <w:rPr>
          <w:b/>
          <w:bCs/>
          <w:i w:val="0"/>
          <w:iCs w:val="0"/>
          <w:color w:val="auto"/>
          <w:sz w:val="22"/>
          <w:szCs w:val="22"/>
        </w:rPr>
        <w:fldChar w:fldCharType="separate"/>
      </w:r>
      <w:r w:rsidR="000A2643">
        <w:rPr>
          <w:b/>
          <w:bCs/>
          <w:i w:val="0"/>
          <w:iCs w:val="0"/>
          <w:noProof/>
          <w:color w:val="auto"/>
          <w:sz w:val="22"/>
          <w:szCs w:val="22"/>
        </w:rPr>
        <w:t>4</w:t>
      </w:r>
      <w:r w:rsidRPr="0052725B">
        <w:rPr>
          <w:b/>
          <w:bCs/>
          <w:i w:val="0"/>
          <w:iCs w:val="0"/>
          <w:color w:val="auto"/>
          <w:sz w:val="22"/>
          <w:szCs w:val="22"/>
        </w:rPr>
        <w:fldChar w:fldCharType="end"/>
      </w:r>
      <w:r w:rsidRPr="0052725B">
        <w:rPr>
          <w:b/>
          <w:bCs/>
          <w:i w:val="0"/>
          <w:iCs w:val="0"/>
          <w:color w:val="auto"/>
          <w:sz w:val="22"/>
          <w:szCs w:val="22"/>
        </w:rPr>
        <w:t>: Annual Project and Expenditure Report timeline</w:t>
      </w:r>
    </w:p>
    <w:tbl>
      <w:tblPr>
        <w:tblW w:w="9170" w:type="dxa"/>
        <w:tblCellMar>
          <w:left w:w="0" w:type="dxa"/>
          <w:right w:w="0" w:type="dxa"/>
        </w:tblCellMar>
        <w:tblLook w:val="04A0"/>
      </w:tblPr>
      <w:tblGrid>
        <w:gridCol w:w="1070"/>
        <w:gridCol w:w="5040"/>
        <w:gridCol w:w="3060"/>
      </w:tblGrid>
      <w:tr w14:paraId="5472F6BE" w14:textId="77777777" w:rsidTr="00A96CE3">
        <w:tblPrEx>
          <w:tblW w:w="9170" w:type="dxa"/>
          <w:tblCellMar>
            <w:left w:w="0" w:type="dxa"/>
            <w:right w:w="0" w:type="dxa"/>
          </w:tblCellMar>
          <w:tblLook w:val="04A0"/>
        </w:tblPrEx>
        <w:tc>
          <w:tcPr>
            <w:tcW w:w="1070" w:type="dxa"/>
            <w:tcBorders>
              <w:top w:val="single" w:sz="8" w:space="0" w:color="auto"/>
              <w:left w:val="single" w:sz="8" w:space="0" w:color="auto"/>
              <w:bottom w:val="single" w:sz="8" w:space="0" w:color="auto"/>
              <w:right w:val="single" w:sz="8" w:space="0" w:color="auto"/>
            </w:tcBorders>
            <w:shd w:val="clear" w:color="auto" w:fill="004E7D" w:themeFill="accent6" w:themeFillShade="BF"/>
          </w:tcPr>
          <w:p w:rsidR="00E64A47" w:rsidRPr="00440EF3" w:rsidP="10A9F656" w14:paraId="14BC2FD6" w14:textId="77777777">
            <w:pPr>
              <w:pStyle w:val="NoSpacing"/>
              <w:jc w:val="center"/>
              <w:rPr>
                <w:b/>
                <w:bCs/>
                <w:color w:val="FFFFFF" w:themeColor="background2"/>
                <w:lang w:val="en-IN"/>
              </w:rPr>
            </w:pPr>
            <w:r w:rsidRPr="10A9F656">
              <w:rPr>
                <w:b/>
                <w:bCs/>
                <w:color w:val="FFFFFF" w:themeColor="background2"/>
                <w:lang w:val="en-IN"/>
              </w:rPr>
              <w:t>Report</w:t>
            </w:r>
          </w:p>
        </w:tc>
        <w:tc>
          <w:tcPr>
            <w:tcW w:w="5040"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E64A47" w:rsidRPr="00440EF3" w:rsidP="10A9F656" w14:paraId="1283EB7A" w14:textId="77777777">
            <w:pPr>
              <w:pStyle w:val="NoSpacing"/>
              <w:jc w:val="center"/>
              <w:rPr>
                <w:b/>
                <w:bCs/>
                <w:color w:val="FFFFFF" w:themeColor="background2"/>
                <w:lang w:val="en-IN"/>
              </w:rPr>
            </w:pPr>
            <w:r w:rsidRPr="10A9F656">
              <w:rPr>
                <w:b/>
                <w:bCs/>
                <w:color w:val="FFFFFF" w:themeColor="background2"/>
                <w:lang w:val="en-IN"/>
              </w:rPr>
              <w:t>Period Covered</w:t>
            </w:r>
          </w:p>
        </w:tc>
        <w:tc>
          <w:tcPr>
            <w:tcW w:w="3060" w:type="dxa"/>
            <w:tcBorders>
              <w:top w:val="single" w:sz="8" w:space="0" w:color="auto"/>
              <w:left w:val="nil"/>
              <w:bottom w:val="single" w:sz="8" w:space="0" w:color="auto"/>
              <w:right w:val="single" w:sz="8" w:space="0" w:color="auto"/>
            </w:tcBorders>
            <w:shd w:val="clear" w:color="auto" w:fill="004E7D" w:themeFill="accent6" w:themeFillShade="BF"/>
            <w:tcMar>
              <w:top w:w="0" w:type="dxa"/>
              <w:left w:w="108" w:type="dxa"/>
              <w:bottom w:w="0" w:type="dxa"/>
              <w:right w:w="108" w:type="dxa"/>
            </w:tcMar>
            <w:hideMark/>
          </w:tcPr>
          <w:p w:rsidR="00E64A47" w:rsidRPr="00440EF3" w:rsidP="10A9F656" w14:paraId="69ED6CC7" w14:textId="77777777">
            <w:pPr>
              <w:pStyle w:val="NoSpacing"/>
              <w:jc w:val="center"/>
              <w:rPr>
                <w:b/>
                <w:bCs/>
                <w:color w:val="FFFFFF" w:themeColor="background2"/>
                <w:lang w:val="en-IN"/>
              </w:rPr>
            </w:pPr>
            <w:r w:rsidRPr="10A9F656">
              <w:rPr>
                <w:b/>
                <w:bCs/>
                <w:color w:val="FFFFFF" w:themeColor="background2"/>
                <w:lang w:val="en-IN"/>
              </w:rPr>
              <w:t>Due Date</w:t>
            </w:r>
          </w:p>
        </w:tc>
      </w:tr>
      <w:tr w14:paraId="1F4D8D69"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CE0889" w:rsidP="00AA64B9" w14:paraId="5970B8CE" w14:textId="77777777">
            <w:pPr>
              <w:pStyle w:val="NoSpacing"/>
              <w:jc w:val="center"/>
            </w:pPr>
            <w:r>
              <w:t>1</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546E923F" w14:textId="253EBBCE">
            <w:pPr>
              <w:pStyle w:val="NoSpacing"/>
              <w:jc w:val="center"/>
              <w:rPr>
                <w:lang w:val="en-IN"/>
              </w:rPr>
            </w:pPr>
            <w:r w:rsidRPr="10A9F656">
              <w:rPr>
                <w:lang w:val="en-IN"/>
              </w:rPr>
              <w:t>March 3, 2021 – March 31, 2022</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30ED6BCE" w14:textId="72B7A041">
            <w:pPr>
              <w:pStyle w:val="NoSpacing"/>
              <w:jc w:val="center"/>
              <w:rPr>
                <w:lang w:val="en-IN"/>
              </w:rPr>
            </w:pPr>
            <w:r w:rsidRPr="10A9F656">
              <w:rPr>
                <w:lang w:val="en-IN"/>
              </w:rPr>
              <w:t>April 30, 2022</w:t>
            </w:r>
          </w:p>
        </w:tc>
      </w:tr>
      <w:tr w14:paraId="5EC07C62"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7D36CB3C" w14:textId="77777777">
            <w:pPr>
              <w:pStyle w:val="NoSpacing"/>
              <w:jc w:val="center"/>
              <w:rPr>
                <w:lang w:val="en-IN"/>
              </w:rPr>
            </w:pPr>
            <w:r w:rsidRPr="10A9F656">
              <w:rPr>
                <w:lang w:val="en-IN"/>
              </w:rPr>
              <w:t>2</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3A1FB1B0" w14:textId="098BD654">
            <w:pPr>
              <w:pStyle w:val="NoSpacing"/>
              <w:jc w:val="center"/>
              <w:rPr>
                <w:lang w:val="en-IN"/>
              </w:rPr>
            </w:pPr>
            <w:r w:rsidRPr="10A9F656">
              <w:rPr>
                <w:lang w:val="en-IN"/>
              </w:rPr>
              <w:t>April 1, 2022 – March 31, 2023</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6CF06E33" w14:textId="54A9F99B">
            <w:pPr>
              <w:pStyle w:val="NoSpacing"/>
              <w:jc w:val="center"/>
              <w:rPr>
                <w:lang w:val="en-IN"/>
              </w:rPr>
            </w:pPr>
            <w:r w:rsidRPr="10A9F656">
              <w:rPr>
                <w:lang w:val="en-IN"/>
              </w:rPr>
              <w:t>April 30, 2023</w:t>
            </w:r>
          </w:p>
        </w:tc>
      </w:tr>
      <w:tr w14:paraId="40D7C654"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19709E23" w14:textId="77777777">
            <w:pPr>
              <w:pStyle w:val="NoSpacing"/>
              <w:jc w:val="center"/>
              <w:rPr>
                <w:lang w:val="en-IN"/>
              </w:rPr>
            </w:pPr>
            <w:r w:rsidRPr="10A9F656">
              <w:rPr>
                <w:lang w:val="en-IN"/>
              </w:rPr>
              <w:t>3</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106F52B9" w14:textId="17D985C7">
            <w:pPr>
              <w:pStyle w:val="NoSpacing"/>
              <w:jc w:val="center"/>
              <w:rPr>
                <w:lang w:val="en-IN"/>
              </w:rPr>
            </w:pPr>
            <w:r w:rsidRPr="10A9F656">
              <w:rPr>
                <w:lang w:val="en-IN"/>
              </w:rPr>
              <w:t>April 1, 2023 – March 31, 2024</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19C54AEB" w14:textId="0EEDEE4D">
            <w:pPr>
              <w:pStyle w:val="NoSpacing"/>
              <w:jc w:val="center"/>
              <w:rPr>
                <w:lang w:val="en-IN"/>
              </w:rPr>
            </w:pPr>
            <w:r w:rsidRPr="10A9F656">
              <w:rPr>
                <w:lang w:val="en-IN"/>
              </w:rPr>
              <w:t>April 30, 2024</w:t>
            </w:r>
          </w:p>
        </w:tc>
      </w:tr>
      <w:tr w14:paraId="02E4A9C2"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30E05DC2" w14:textId="77777777">
            <w:pPr>
              <w:pStyle w:val="NoSpacing"/>
              <w:jc w:val="center"/>
              <w:rPr>
                <w:lang w:val="en-IN"/>
              </w:rPr>
            </w:pPr>
            <w:r w:rsidRPr="10A9F656">
              <w:rPr>
                <w:lang w:val="en-IN"/>
              </w:rPr>
              <w:t>4</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2A799BC4" w14:textId="58DBACA1">
            <w:pPr>
              <w:pStyle w:val="NoSpacing"/>
              <w:jc w:val="center"/>
              <w:rPr>
                <w:lang w:val="en-IN"/>
              </w:rPr>
            </w:pPr>
            <w:r w:rsidRPr="10A9F656">
              <w:rPr>
                <w:lang w:val="en-IN"/>
              </w:rPr>
              <w:t>April 1, 2024 – March 31, 2025</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16598233" w14:textId="7E7A8037">
            <w:pPr>
              <w:pStyle w:val="NoSpacing"/>
              <w:jc w:val="center"/>
              <w:rPr>
                <w:lang w:val="en-IN"/>
              </w:rPr>
            </w:pPr>
            <w:r w:rsidRPr="10A9F656">
              <w:rPr>
                <w:lang w:val="en-IN"/>
              </w:rPr>
              <w:t>April 30, 2025</w:t>
            </w:r>
          </w:p>
        </w:tc>
      </w:tr>
      <w:tr w14:paraId="04EB10C9" w14:textId="77777777" w:rsidTr="002024EB">
        <w:tblPrEx>
          <w:tblW w:w="9170" w:type="dxa"/>
          <w:tblCellMar>
            <w:left w:w="0" w:type="dxa"/>
            <w:right w:w="0" w:type="dxa"/>
          </w:tblCellMar>
          <w:tblLook w:val="04A0"/>
        </w:tblPrEx>
        <w:tc>
          <w:tcPr>
            <w:tcW w:w="1070" w:type="dxa"/>
            <w:tcBorders>
              <w:top w:val="nil"/>
              <w:left w:val="single" w:sz="8" w:space="0" w:color="auto"/>
              <w:bottom w:val="single" w:sz="8" w:space="0" w:color="auto"/>
              <w:right w:val="single" w:sz="8" w:space="0" w:color="auto"/>
            </w:tcBorders>
          </w:tcPr>
          <w:p w:rsidR="00AA64B9" w:rsidRPr="00E21798" w:rsidP="10A9F656" w14:paraId="1951390B" w14:textId="77777777">
            <w:pPr>
              <w:pStyle w:val="NoSpacing"/>
              <w:jc w:val="center"/>
              <w:rPr>
                <w:lang w:val="en-IN"/>
              </w:rPr>
            </w:pPr>
            <w:r w:rsidRPr="10A9F656">
              <w:rPr>
                <w:lang w:val="en-IN"/>
              </w:rPr>
              <w:t>5</w:t>
            </w:r>
          </w:p>
        </w:tc>
        <w:tc>
          <w:tcPr>
            <w:tcW w:w="504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5C060C00" w14:textId="3C95B51E">
            <w:pPr>
              <w:pStyle w:val="NoSpacing"/>
              <w:jc w:val="center"/>
              <w:rPr>
                <w:lang w:val="en-IN"/>
              </w:rPr>
            </w:pPr>
            <w:r w:rsidRPr="10A9F656">
              <w:rPr>
                <w:lang w:val="en-IN"/>
              </w:rPr>
              <w:t>April 1, 2025 – March 31, 2026</w:t>
            </w:r>
          </w:p>
        </w:tc>
        <w:tc>
          <w:tcPr>
            <w:tcW w:w="3060" w:type="dxa"/>
            <w:tcBorders>
              <w:top w:val="nil"/>
              <w:left w:val="nil"/>
              <w:bottom w:val="single" w:sz="8" w:space="0" w:color="auto"/>
              <w:right w:val="single" w:sz="8" w:space="0" w:color="auto"/>
            </w:tcBorders>
            <w:tcMar>
              <w:top w:w="0" w:type="dxa"/>
              <w:left w:w="108" w:type="dxa"/>
              <w:bottom w:w="0" w:type="dxa"/>
              <w:right w:w="108" w:type="dxa"/>
            </w:tcMar>
          </w:tcPr>
          <w:p w:rsidR="00AA64B9" w:rsidRPr="00E21798" w:rsidP="10A9F656" w14:paraId="6F0744E6" w14:textId="5652128B">
            <w:pPr>
              <w:pStyle w:val="NoSpacing"/>
              <w:jc w:val="center"/>
              <w:rPr>
                <w:lang w:val="en-IN"/>
              </w:rPr>
            </w:pPr>
            <w:r w:rsidRPr="10A9F656">
              <w:rPr>
                <w:lang w:val="en-IN"/>
              </w:rPr>
              <w:t>April 30, 2026</w:t>
            </w:r>
          </w:p>
        </w:tc>
      </w:tr>
      <w:tr w14:paraId="7D4B8971" w14:textId="77777777" w:rsidTr="002024EB">
        <w:tblPrEx>
          <w:tblW w:w="9170" w:type="dxa"/>
          <w:tblCellMar>
            <w:left w:w="0" w:type="dxa"/>
            <w:right w:w="0" w:type="dxa"/>
          </w:tblCellMar>
          <w:tblLook w:val="04A0"/>
        </w:tblPrEx>
        <w:tc>
          <w:tcPr>
            <w:tcW w:w="1070" w:type="dxa"/>
            <w:tcBorders>
              <w:top w:val="single" w:sz="8" w:space="0" w:color="auto"/>
              <w:left w:val="single" w:sz="8" w:space="0" w:color="auto"/>
              <w:bottom w:val="single" w:sz="8" w:space="0" w:color="auto"/>
              <w:right w:val="single" w:sz="8" w:space="0" w:color="auto"/>
            </w:tcBorders>
          </w:tcPr>
          <w:p w:rsidR="00AA64B9" w:rsidRPr="00E21798" w:rsidP="10A9F656" w14:paraId="48EFB1C8" w14:textId="77777777">
            <w:pPr>
              <w:pStyle w:val="NoSpacing"/>
              <w:jc w:val="center"/>
              <w:rPr>
                <w:lang w:val="en-IN"/>
              </w:rPr>
            </w:pPr>
            <w:r w:rsidRPr="10A9F656">
              <w:rPr>
                <w:lang w:val="en-IN"/>
              </w:rPr>
              <w:t>6</w:t>
            </w:r>
          </w:p>
        </w:tc>
        <w:tc>
          <w:tcPr>
            <w:tcW w:w="5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A64B9" w:rsidRPr="00E21798" w:rsidP="10A9F656" w14:paraId="2E84196D" w14:textId="259E45C0">
            <w:pPr>
              <w:pStyle w:val="NoSpacing"/>
              <w:jc w:val="center"/>
              <w:rPr>
                <w:lang w:val="en-IN"/>
              </w:rPr>
            </w:pPr>
            <w:r w:rsidRPr="10A9F656">
              <w:rPr>
                <w:lang w:val="en-IN"/>
              </w:rPr>
              <w:t>April 1, 2026 – December 31, 2026</w:t>
            </w:r>
          </w:p>
        </w:tc>
        <w:tc>
          <w:tcPr>
            <w:tcW w:w="30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A64B9" w:rsidRPr="00E21798" w:rsidP="10A9F656" w14:paraId="1CD04749" w14:textId="73859992">
            <w:pPr>
              <w:pStyle w:val="NoSpacing"/>
              <w:jc w:val="center"/>
              <w:rPr>
                <w:lang w:val="en-IN"/>
              </w:rPr>
            </w:pPr>
            <w:r w:rsidRPr="10A9F656">
              <w:rPr>
                <w:lang w:val="en-IN"/>
              </w:rPr>
              <w:t>April 30, 2027</w:t>
            </w:r>
          </w:p>
        </w:tc>
      </w:tr>
    </w:tbl>
    <w:p w:rsidR="00F22713" w:rsidRPr="00F22713" w:rsidP="00F22713" w14:paraId="4321273D" w14:textId="77777777">
      <w:pPr>
        <w:pStyle w:val="ListParagraph"/>
        <w:spacing w:after="0" w:line="240" w:lineRule="auto"/>
        <w:ind w:left="360"/>
        <w:jc w:val="both"/>
      </w:pPr>
    </w:p>
    <w:p w:rsidR="00864F4E" w:rsidP="00CE5331" w14:paraId="357941DE" w14:textId="04D6E523">
      <w:pPr>
        <w:pStyle w:val="ListParagraph"/>
        <w:numPr>
          <w:ilvl w:val="0"/>
          <w:numId w:val="26"/>
        </w:numPr>
        <w:spacing w:after="0" w:line="240" w:lineRule="auto"/>
        <w:jc w:val="both"/>
      </w:pPr>
      <w:r w:rsidRPr="10A9F656">
        <w:rPr>
          <w:b/>
          <w:bCs/>
        </w:rPr>
        <w:t xml:space="preserve">Required Information </w:t>
      </w:r>
    </w:p>
    <w:p w:rsidR="00864F4E" w:rsidP="00FD6A50" w14:paraId="49D96EB7" w14:textId="77777777">
      <w:pPr>
        <w:pStyle w:val="NoSpacing"/>
        <w:jc w:val="both"/>
      </w:pPr>
    </w:p>
    <w:p w:rsidR="00FE21DB" w:rsidP="00FD6A50" w14:paraId="26A9DA2B" w14:textId="321AB286">
      <w:pPr>
        <w:pStyle w:val="NoSpacing"/>
        <w:jc w:val="both"/>
      </w:pPr>
      <w:r>
        <w:t xml:space="preserve">The following information </w:t>
      </w:r>
      <w:r w:rsidR="005F40EA">
        <w:t>is</w:t>
      </w:r>
      <w:r>
        <w:t xml:space="preserve"> required in Project and Expenditure Reports for both quarterly and annual reporting:</w:t>
      </w:r>
    </w:p>
    <w:p w:rsidR="0066318A" w:rsidP="00FD6A50" w14:paraId="2E656C3F" w14:textId="77777777">
      <w:pPr>
        <w:pStyle w:val="NoSpacing"/>
        <w:jc w:val="both"/>
        <w:rPr>
          <w:b/>
          <w:bCs/>
        </w:rPr>
      </w:pPr>
    </w:p>
    <w:p w:rsidR="0066318A" w:rsidP="00CE5331" w14:paraId="0EF52E09" w14:textId="7B7A79B9">
      <w:pPr>
        <w:pStyle w:val="NoSpacing"/>
        <w:numPr>
          <w:ilvl w:val="0"/>
          <w:numId w:val="29"/>
        </w:numPr>
        <w:ind w:hanging="270"/>
        <w:jc w:val="both"/>
      </w:pPr>
      <w:r w:rsidRPr="10A9F656">
        <w:rPr>
          <w:u w:val="single"/>
        </w:rPr>
        <w:t>Projects</w:t>
      </w:r>
      <w:r>
        <w:t>: Provide information on all SLFRF funded projects. Projects are</w:t>
      </w:r>
      <w:r w:rsidR="00C4143D">
        <w:t xml:space="preserve"> defined as a grouping of closely related activities that together are intended to achieve a specific goal or are directed toward a common purpose. </w:t>
      </w:r>
      <w:r w:rsidR="00C4143D">
        <w:rPr>
          <w:rFonts w:ascii="Arial" w:hAnsi="Arial" w:cs="Arial"/>
        </w:rPr>
        <w:t>These activities can include</w:t>
      </w:r>
      <w:r>
        <w:t xml:space="preserve"> new or existing eligible government services or investments funded in whole or in part by SLFRF funding.  For each project, the recipient </w:t>
      </w:r>
      <w:r w:rsidR="000A2E21">
        <w:t xml:space="preserve">is </w:t>
      </w:r>
      <w:r>
        <w:t xml:space="preserve">required to enter the project name, identification number (created by the recipient), project expenditure category (see Appendix 1), description, and status of completion. Project descriptions must describe the project in sufficient detail to provide </w:t>
      </w:r>
      <w:r w:rsidR="000A2E21">
        <w:t xml:space="preserve">an </w:t>
      </w:r>
      <w:r>
        <w:t xml:space="preserve">understanding of the major activities that will occur, and </w:t>
      </w:r>
      <w:r w:rsidR="000A2E21">
        <w:t>must</w:t>
      </w:r>
      <w:r>
        <w:t xml:space="preserve"> be between 50 and 250 words.  Projects should be defined to include only closely related activities directed toward a common purpose.  Recipients should review the Required Programmatic Data described in 3.g. below and define their projects at a sufficient level of granularity. </w:t>
      </w:r>
    </w:p>
    <w:p w:rsidR="0088156E" w:rsidP="00FD6A50" w14:paraId="42F4BF6F" w14:textId="4260EB3A">
      <w:pPr>
        <w:pStyle w:val="NoSpacing"/>
        <w:jc w:val="both"/>
      </w:pPr>
    </w:p>
    <w:p w:rsidR="0088156E" w:rsidRPr="00601927" w:rsidP="10A9F656" w14:paraId="1B2CEB1C" w14:textId="7B372672">
      <w:pPr>
        <w:spacing w:after="0" w:line="240" w:lineRule="auto"/>
        <w:ind w:left="270"/>
        <w:jc w:val="both"/>
        <w:rPr>
          <w:rFonts w:eastAsia="Times New Roman" w:cs="Arial"/>
        </w:rPr>
      </w:pPr>
      <w:r w:rsidRPr="10A9F656">
        <w:rPr>
          <w:rFonts w:eastAsia="Times New Roman" w:cs="Arial"/>
        </w:rPr>
        <w:t>Note:</w:t>
      </w:r>
      <w:r w:rsidRPr="10A9F656">
        <w:rPr>
          <w:rFonts w:eastAsia="Times New Roman" w:cs="Arial"/>
          <w:b/>
          <w:bCs/>
        </w:rPr>
        <w:t xml:space="preserve"> </w:t>
      </w:r>
      <w:r w:rsidRPr="10A9F656">
        <w:rPr>
          <w:rFonts w:eastAsia="Times New Roman" w:cs="Arial"/>
        </w:rPr>
        <w:t xml:space="preserve">For each project, the recipient </w:t>
      </w:r>
      <w:r w:rsidR="004B5977">
        <w:rPr>
          <w:rFonts w:eastAsia="Times New Roman" w:cs="Arial"/>
        </w:rPr>
        <w:t>is</w:t>
      </w:r>
      <w:r w:rsidRPr="10A9F656">
        <w:rPr>
          <w:rFonts w:eastAsia="Times New Roman" w:cs="Arial"/>
        </w:rPr>
        <w:t xml:space="preserve"> asked to select the appropriate Expenditure Category based on the scope of the project (see Appendix 1). Projects should be scoped to align to a single Expenditure Category. For select Expenditure Categories, the recipient also </w:t>
      </w:r>
      <w:r w:rsidR="004B5977">
        <w:rPr>
          <w:rFonts w:eastAsia="Times New Roman" w:cs="Arial"/>
        </w:rPr>
        <w:t xml:space="preserve">is </w:t>
      </w:r>
      <w:r w:rsidRPr="10A9F656">
        <w:rPr>
          <w:rFonts w:eastAsia="Times New Roman" w:cs="Arial"/>
        </w:rPr>
        <w:t xml:space="preserve">asked to provide additional programmatic data (described further below). </w:t>
      </w:r>
    </w:p>
    <w:p w:rsidR="00C04E7D" w:rsidP="00FD6A50" w14:paraId="0B82A981" w14:textId="77777777">
      <w:pPr>
        <w:pStyle w:val="NoSpacing"/>
        <w:jc w:val="both"/>
        <w:rPr>
          <w:b/>
          <w:bCs/>
        </w:rPr>
      </w:pPr>
    </w:p>
    <w:p w:rsidR="00A41F3C" w:rsidP="00CE5331" w14:paraId="50FFD828" w14:textId="38672DC9">
      <w:pPr>
        <w:pStyle w:val="NoSpacing"/>
        <w:numPr>
          <w:ilvl w:val="0"/>
          <w:numId w:val="29"/>
        </w:numPr>
        <w:jc w:val="both"/>
      </w:pPr>
      <w:r>
        <w:rPr>
          <w:u w:val="single"/>
        </w:rPr>
        <w:t>Obligations and E</w:t>
      </w:r>
      <w:r w:rsidRPr="10A9F656" w:rsidR="10A9F656">
        <w:rPr>
          <w:u w:val="single"/>
        </w:rPr>
        <w:t>xpenditures</w:t>
      </w:r>
      <w:r w:rsidR="10A9F656">
        <w:t>: Once a project is entered the recipient will be able to report on the project’s obligations and expenditures. Recipients will be asked to report:</w:t>
      </w:r>
    </w:p>
    <w:p w:rsidR="00A41F3C" w:rsidP="00012B59" w14:paraId="496D8A8B" w14:textId="2DADDDE2">
      <w:pPr>
        <w:pStyle w:val="NoSpacing"/>
        <w:numPr>
          <w:ilvl w:val="0"/>
          <w:numId w:val="5"/>
        </w:numPr>
        <w:jc w:val="both"/>
      </w:pPr>
      <w:r>
        <w:t>Current period obligation</w:t>
      </w:r>
    </w:p>
    <w:p w:rsidR="00A41F3C" w:rsidP="00012B59" w14:paraId="0A68D403" w14:textId="5653B61D">
      <w:pPr>
        <w:pStyle w:val="NoSpacing"/>
        <w:numPr>
          <w:ilvl w:val="0"/>
          <w:numId w:val="5"/>
        </w:numPr>
        <w:jc w:val="both"/>
      </w:pPr>
      <w:r>
        <w:t>Cumulative obligation</w:t>
      </w:r>
    </w:p>
    <w:p w:rsidR="00A41F3C" w:rsidP="00012B59" w14:paraId="729A1E93" w14:textId="04E2878A">
      <w:pPr>
        <w:pStyle w:val="NoSpacing"/>
        <w:numPr>
          <w:ilvl w:val="0"/>
          <w:numId w:val="5"/>
        </w:numPr>
        <w:jc w:val="both"/>
      </w:pPr>
      <w:r>
        <w:t>Current period expenditure</w:t>
      </w:r>
    </w:p>
    <w:p w:rsidR="00BD678B" w:rsidP="00012B59" w14:paraId="4E7D4017" w14:textId="068161D1">
      <w:pPr>
        <w:pStyle w:val="NoSpacing"/>
        <w:numPr>
          <w:ilvl w:val="0"/>
          <w:numId w:val="5"/>
        </w:numPr>
        <w:jc w:val="both"/>
      </w:pPr>
      <w:r>
        <w:t>Cumulative expenditure</w:t>
      </w:r>
    </w:p>
    <w:p w:rsidR="000842F9" w:rsidRPr="000842F9" w:rsidP="00C62066" w14:paraId="7B262801" w14:textId="77777777">
      <w:pPr>
        <w:pStyle w:val="NoSpacing"/>
        <w:jc w:val="both"/>
      </w:pPr>
    </w:p>
    <w:p w:rsidR="00291AE2" w:rsidP="00CE5331" w14:paraId="72C291D2" w14:textId="58A61CAA">
      <w:pPr>
        <w:pStyle w:val="NoSpacing"/>
        <w:numPr>
          <w:ilvl w:val="0"/>
          <w:numId w:val="29"/>
        </w:numPr>
        <w:jc w:val="both"/>
      </w:pPr>
      <w:r w:rsidRPr="10A9F656">
        <w:rPr>
          <w:u w:val="single"/>
        </w:rPr>
        <w:t>Project Status</w:t>
      </w:r>
      <w:r>
        <w:t>: Once a project is entered the recipient will be asked to report on project status each reporting period, in four categories:</w:t>
      </w:r>
    </w:p>
    <w:p w:rsidR="00291AE2" w:rsidP="00012B59" w14:paraId="07A3553D" w14:textId="689718B9">
      <w:pPr>
        <w:pStyle w:val="NoSpacing"/>
        <w:numPr>
          <w:ilvl w:val="0"/>
          <w:numId w:val="9"/>
        </w:numPr>
        <w:jc w:val="both"/>
      </w:pPr>
      <w:r>
        <w:t>Not Started</w:t>
      </w:r>
    </w:p>
    <w:p w:rsidR="008947AC" w:rsidP="00012B59" w14:paraId="079C69FF" w14:textId="23468C17">
      <w:pPr>
        <w:pStyle w:val="NoSpacing"/>
        <w:numPr>
          <w:ilvl w:val="0"/>
          <w:numId w:val="9"/>
        </w:numPr>
        <w:jc w:val="both"/>
      </w:pPr>
      <w:r>
        <w:t>Completed less than 50 percent</w:t>
      </w:r>
    </w:p>
    <w:p w:rsidR="00291AE2" w:rsidP="00012B59" w14:paraId="70723E57" w14:textId="4CDD9F38">
      <w:pPr>
        <w:pStyle w:val="NoSpacing"/>
        <w:numPr>
          <w:ilvl w:val="0"/>
          <w:numId w:val="9"/>
        </w:numPr>
        <w:jc w:val="both"/>
      </w:pPr>
      <w:r>
        <w:t>Completed 50 percent or more</w:t>
      </w:r>
    </w:p>
    <w:p w:rsidR="008947AC" w:rsidP="00012B59" w14:paraId="7DC98404" w14:textId="5A5FA6E1">
      <w:pPr>
        <w:pStyle w:val="NoSpacing"/>
        <w:numPr>
          <w:ilvl w:val="0"/>
          <w:numId w:val="9"/>
        </w:numPr>
        <w:jc w:val="both"/>
      </w:pPr>
      <w:r>
        <w:t>Completed</w:t>
      </w:r>
    </w:p>
    <w:p w:rsidR="006F1AFE" w:rsidP="00FD6A50" w14:paraId="2291FB87" w14:textId="7831322D">
      <w:pPr>
        <w:pStyle w:val="NoSpacing"/>
        <w:jc w:val="both"/>
      </w:pPr>
    </w:p>
    <w:p w:rsidR="00940AED" w:rsidP="00CE5331" w14:paraId="7AA6DD40" w14:textId="417C9829">
      <w:pPr>
        <w:pStyle w:val="NoSpacing"/>
        <w:numPr>
          <w:ilvl w:val="0"/>
          <w:numId w:val="29"/>
        </w:numPr>
        <w:jc w:val="both"/>
      </w:pPr>
      <w:bookmarkStart w:id="10" w:name="_Hlk74301662"/>
      <w:r w:rsidRPr="00EE3B62">
        <w:rPr>
          <w:u w:val="single"/>
        </w:rPr>
        <w:t>Program Income</w:t>
      </w:r>
      <w:r>
        <w:t>: Recipients should report the program income earned and expen</w:t>
      </w:r>
      <w:r w:rsidR="00760ED3">
        <w:t>d</w:t>
      </w:r>
      <w:r>
        <w:t xml:space="preserve">ed to cover eligible project costs, if applicable. </w:t>
      </w:r>
    </w:p>
    <w:p w:rsidR="00940AED" w:rsidP="00EE3B62" w14:paraId="0E061A4F" w14:textId="77777777">
      <w:pPr>
        <w:pStyle w:val="NoSpacing"/>
        <w:ind w:left="270"/>
        <w:jc w:val="both"/>
      </w:pPr>
    </w:p>
    <w:p w:rsidR="00346F02" w:rsidP="00CE5331" w14:paraId="369C5E65" w14:textId="6114C2A7">
      <w:pPr>
        <w:pStyle w:val="NoSpacing"/>
        <w:numPr>
          <w:ilvl w:val="0"/>
          <w:numId w:val="29"/>
        </w:numPr>
        <w:jc w:val="both"/>
      </w:pPr>
      <w:r w:rsidRPr="10A9F656">
        <w:rPr>
          <w:u w:val="single"/>
        </w:rPr>
        <w:t xml:space="preserve">Adopted Budget </w:t>
      </w:r>
      <w:r w:rsidRPr="007777CF">
        <w:rPr>
          <w:i/>
          <w:u w:val="single"/>
        </w:rPr>
        <w:t>(States, U.S. territories, metropolitan cities and counties with a population that exceeds 250,000 residents only</w:t>
      </w:r>
      <w:r w:rsidRPr="10A9F656">
        <w:rPr>
          <w:u w:val="single"/>
        </w:rPr>
        <w:t>)</w:t>
      </w:r>
      <w:r>
        <w:t xml:space="preserve">: Each state, territory and metropolitan city and county with a population that exceeds 250,000 residents will provide the budget adopted for each project by its jurisdiction associated with SLFRF funds. Treasury will use this information to better understand the intended impact, identify opportunities for </w:t>
      </w:r>
      <w:r w:rsidR="007D1BB0">
        <w:t xml:space="preserve">outreach, </w:t>
      </w:r>
      <w:r>
        <w:t xml:space="preserve">and understand the recipient’s progress in program implementation.  Treasury is not approving or pre-approving projects or budgets.  </w:t>
      </w:r>
    </w:p>
    <w:p w:rsidR="00346F02" w:rsidP="00012B59" w14:paraId="27DE17E4" w14:textId="628B3A4C">
      <w:pPr>
        <w:pStyle w:val="ListParagraph"/>
        <w:numPr>
          <w:ilvl w:val="0"/>
          <w:numId w:val="11"/>
        </w:numPr>
        <w:spacing w:after="0" w:line="240" w:lineRule="auto"/>
      </w:pPr>
      <w:r>
        <w:t xml:space="preserve">Recipients will enter the Adopted Budget based on information that exists currently in the recipient’s financial systems and the recipient’s established budget process. Treasury understands that recipients may use different budget processes. For example, a recipient may consider a project budgeted once a legislature has appropriated funds; whereas another recipient may consider a project budgeted </w:t>
      </w:r>
      <w:r>
        <w:t>at the moment</w:t>
      </w:r>
      <w:r>
        <w:t xml:space="preserve"> when the funds have been obligated.</w:t>
      </w:r>
    </w:p>
    <w:p w:rsidR="0036448D" w:rsidP="00012B59" w14:paraId="50905A70" w14:textId="63526BC2">
      <w:pPr>
        <w:pStyle w:val="ListParagraph"/>
        <w:numPr>
          <w:ilvl w:val="0"/>
          <w:numId w:val="11"/>
        </w:numPr>
        <w:spacing w:after="0" w:line="240" w:lineRule="auto"/>
      </w:pPr>
      <w:r>
        <w:t xml:space="preserve">Additional information </w:t>
      </w:r>
      <w:r w:rsidR="00232BC7">
        <w:t>is</w:t>
      </w:r>
      <w:r>
        <w:t xml:space="preserve"> provided on the differences between Adopted Budget, Obligations, and Expenditures as part of the </w:t>
      </w:r>
      <w:r w:rsidR="00C948A8">
        <w:t>u</w:t>
      </w:r>
      <w:r>
        <w:t xml:space="preserve">ser </w:t>
      </w:r>
      <w:r w:rsidR="00C948A8">
        <w:t>g</w:t>
      </w:r>
      <w:r>
        <w:t>uide</w:t>
      </w:r>
      <w:r w:rsidR="00C948A8">
        <w:t xml:space="preserve"> posted at </w:t>
      </w:r>
      <w:hyperlink r:id="rId25" w:history="1">
        <w:r w:rsidRPr="00E444F8" w:rsidR="00C948A8">
          <w:rPr>
            <w:rStyle w:val="Hyperlink"/>
          </w:rPr>
          <w:t>www.treasury.gov/SLFRPReporting</w:t>
        </w:r>
      </w:hyperlink>
      <w:r w:rsidR="00C948A8">
        <w:t xml:space="preserve">. </w:t>
      </w:r>
      <w:r>
        <w:t xml:space="preserve"> </w:t>
      </w:r>
    </w:p>
    <w:p w:rsidR="0089675C" w:rsidP="009373B0" w14:paraId="666F7440" w14:textId="048378D6">
      <w:pPr>
        <w:pStyle w:val="NoSpacing"/>
        <w:ind w:left="270"/>
        <w:jc w:val="both"/>
        <w:rPr>
          <w:u w:val="single"/>
        </w:rPr>
      </w:pPr>
    </w:p>
    <w:p w:rsidR="00EE3B62" w:rsidRPr="00EE3B62" w:rsidP="00CE5331" w14:paraId="632B059E" w14:textId="0DCACB31">
      <w:pPr>
        <w:pStyle w:val="NoSpacing"/>
        <w:numPr>
          <w:ilvl w:val="0"/>
          <w:numId w:val="29"/>
        </w:numPr>
        <w:jc w:val="both"/>
        <w:rPr>
          <w:rFonts w:ascii="ArialMT" w:hAnsi="ArialMT" w:cs="ArialMT"/>
        </w:rPr>
      </w:pPr>
      <w:bookmarkStart w:id="11" w:name="_Hlk86827196"/>
      <w:r w:rsidRPr="002D70C8">
        <w:rPr>
          <w:u w:val="single"/>
        </w:rPr>
        <w:t xml:space="preserve">Project </w:t>
      </w:r>
      <w:r w:rsidRPr="002D70C8" w:rsidR="0023385C">
        <w:rPr>
          <w:u w:val="single"/>
        </w:rPr>
        <w:t>Demographic Distribution</w:t>
      </w:r>
      <w:r w:rsidR="00A960F9">
        <w:rPr>
          <w:u w:val="single"/>
        </w:rPr>
        <w:t xml:space="preserve"> (applicable to Public Health and Negative Economic Impact</w:t>
      </w:r>
      <w:r w:rsidR="00F72786">
        <w:rPr>
          <w:u w:val="single"/>
        </w:rPr>
        <w:t xml:space="preserve"> ECs</w:t>
      </w:r>
      <w:r w:rsidR="00203FF7">
        <w:rPr>
          <w:u w:val="single"/>
        </w:rPr>
        <w:t>: EC</w:t>
      </w:r>
      <w:r w:rsidR="009C4B78">
        <w:rPr>
          <w:u w:val="single"/>
        </w:rPr>
        <w:t xml:space="preserve"> 1.1-</w:t>
      </w:r>
      <w:r w:rsidR="004F7185">
        <w:rPr>
          <w:u w:val="single"/>
        </w:rPr>
        <w:t>2.3</w:t>
      </w:r>
      <w:r w:rsidR="003026E8">
        <w:rPr>
          <w:u w:val="single"/>
        </w:rPr>
        <w:t>7</w:t>
      </w:r>
      <w:r w:rsidR="009C4B78">
        <w:rPr>
          <w:u w:val="single"/>
        </w:rPr>
        <w:t>)</w:t>
      </w:r>
      <w:r w:rsidRPr="00EE3B62" w:rsidR="0036448D">
        <w:t>–</w:t>
      </w:r>
      <w:r w:rsidRPr="007777CF" w:rsidR="00F23127">
        <w:t xml:space="preserve"> </w:t>
      </w:r>
      <w:r w:rsidR="004736CF">
        <w:rPr>
          <w:i/>
          <w:iCs/>
        </w:rPr>
        <w:t xml:space="preserve">Collection </w:t>
      </w:r>
      <w:r w:rsidR="00BB6A4F">
        <w:rPr>
          <w:i/>
          <w:iCs/>
        </w:rPr>
        <w:t xml:space="preserve">began </w:t>
      </w:r>
      <w:r w:rsidR="004736CF">
        <w:rPr>
          <w:i/>
          <w:iCs/>
        </w:rPr>
        <w:t>April 2022</w:t>
      </w:r>
    </w:p>
    <w:p w:rsidR="00EE3B62" w:rsidP="00EE3B62" w14:paraId="66AC70FB" w14:textId="77777777">
      <w:pPr>
        <w:pStyle w:val="NoSpacing"/>
        <w:ind w:left="270"/>
        <w:jc w:val="both"/>
      </w:pPr>
    </w:p>
    <w:p w:rsidR="001D1E3E" w:rsidRPr="00647F4B" w:rsidP="00AE229A" w14:paraId="3EA85671" w14:textId="3EA22AF1">
      <w:pPr>
        <w:pStyle w:val="NoSpacing"/>
        <w:ind w:left="270"/>
        <w:jc w:val="both"/>
      </w:pPr>
      <w:r>
        <w:t xml:space="preserve">Recognizing </w:t>
      </w:r>
      <w:r w:rsidRPr="002306F3" w:rsidR="00CC65BF">
        <w:t>the disproportionate</w:t>
      </w:r>
      <w:r w:rsidR="00AE229A">
        <w:t xml:space="preserve"> public health and negative economic</w:t>
      </w:r>
      <w:r w:rsidRPr="002306F3" w:rsidR="00CC65BF">
        <w:t xml:space="preserve"> impact</w:t>
      </w:r>
      <w:r w:rsidR="00AE229A">
        <w:t>s</w:t>
      </w:r>
      <w:r w:rsidRPr="002306F3" w:rsidR="00CC65BF">
        <w:t xml:space="preserve"> of the </w:t>
      </w:r>
      <w:r w:rsidRPr="002306F3" w:rsidR="00CC39AE">
        <w:t>pan</w:t>
      </w:r>
      <w:r w:rsidRPr="002306F3" w:rsidR="00CC65BF">
        <w:t>demic</w:t>
      </w:r>
      <w:r w:rsidR="00AE229A">
        <w:t xml:space="preserve"> </w:t>
      </w:r>
      <w:r w:rsidRPr="002306F3" w:rsidR="00CC65BF">
        <w:t xml:space="preserve">on </w:t>
      </w:r>
      <w:r w:rsidR="00AE229A">
        <w:t>many households, communities, and other entities</w:t>
      </w:r>
      <w:r w:rsidRPr="0026105D" w:rsidR="00CC65BF">
        <w:t>,</w:t>
      </w:r>
      <w:r>
        <w:t xml:space="preserve"> </w:t>
      </w:r>
      <w:r w:rsidR="0021588D">
        <w:t xml:space="preserve">recipients must report whether </w:t>
      </w:r>
      <w:r w:rsidR="007E37BA">
        <w:t xml:space="preserve">certain types of projects are targeted </w:t>
      </w:r>
      <w:r w:rsidR="00737FF2">
        <w:t xml:space="preserve">to impacted and </w:t>
      </w:r>
      <w:r w:rsidR="00A74A9F">
        <w:t>disproportionately</w:t>
      </w:r>
      <w:r w:rsidR="007E37BA">
        <w:t xml:space="preserve"> </w:t>
      </w:r>
      <w:r w:rsidR="00352164">
        <w:t xml:space="preserve">impacted </w:t>
      </w:r>
      <w:r w:rsidR="007E37BA">
        <w:t>communities.</w:t>
      </w:r>
      <w:r w:rsidR="00E70B8C">
        <w:t xml:space="preserve">  </w:t>
      </w:r>
      <w:r w:rsidRPr="007777CF" w:rsidR="00E70B8C">
        <w:rPr>
          <w:rFonts w:ascii="ArialMT" w:hAnsi="ArialMT"/>
        </w:rPr>
        <w:t xml:space="preserve">Recipients </w:t>
      </w:r>
      <w:r w:rsidR="00E70B8C">
        <w:rPr>
          <w:rFonts w:ascii="ArialMT" w:hAnsi="ArialMT" w:cs="ArialMT"/>
        </w:rPr>
        <w:t>will be asked t</w:t>
      </w:r>
      <w:r w:rsidR="0023065A">
        <w:rPr>
          <w:rFonts w:ascii="ArialMT" w:hAnsi="ArialMT" w:cs="ArialMT"/>
        </w:rPr>
        <w:t xml:space="preserve">o respond to the following:  </w:t>
      </w:r>
      <w:r>
        <w:rPr>
          <w:rFonts w:ascii="ArialMT" w:hAnsi="ArialMT" w:cs="ArialMT"/>
        </w:rPr>
        <w:t xml:space="preserve"> </w:t>
      </w:r>
    </w:p>
    <w:p w:rsidR="004136A9" w:rsidRPr="007777CF" w:rsidP="00CE5331" w14:paraId="7DEC3CFA" w14:textId="2044C1CE">
      <w:pPr>
        <w:pStyle w:val="NoSpacing"/>
        <w:numPr>
          <w:ilvl w:val="1"/>
          <w:numId w:val="29"/>
        </w:numPr>
        <w:jc w:val="both"/>
      </w:pPr>
      <w:r>
        <w:t xml:space="preserve">What Impacted and/or </w:t>
      </w:r>
      <w:r w:rsidR="00940AED">
        <w:t>Disproportionally</w:t>
      </w:r>
      <w:r>
        <w:t xml:space="preserve"> </w:t>
      </w:r>
      <w:r>
        <w:t>Impacted population does this project primarily serve? Please select the population primarily served.</w:t>
      </w:r>
    </w:p>
    <w:p w:rsidR="00FF4E77" w:rsidP="00CE5331" w14:paraId="776F631F" w14:textId="08CBBD1A">
      <w:pPr>
        <w:pStyle w:val="NoSpacing"/>
        <w:numPr>
          <w:ilvl w:val="1"/>
          <w:numId w:val="29"/>
        </w:numPr>
        <w:jc w:val="both"/>
      </w:pPr>
      <w:r>
        <w:t>I</w:t>
      </w:r>
      <w:r w:rsidR="00737FF2">
        <w:t>f</w:t>
      </w:r>
      <w:r>
        <w:t xml:space="preserve"> th</w:t>
      </w:r>
      <w:r w:rsidR="00E93804">
        <w:t xml:space="preserve">is </w:t>
      </w:r>
      <w:r>
        <w:t xml:space="preserve">project primarily </w:t>
      </w:r>
      <w:r w:rsidR="00E93804">
        <w:t xml:space="preserve">serves more than one Impacted and/or Disproportionately Impacted population, please select up to two additional populations served.  </w:t>
      </w:r>
    </w:p>
    <w:p w:rsidR="00E303CD" w:rsidP="00237933" w14:paraId="3A09357A" w14:textId="77777777">
      <w:pPr>
        <w:pStyle w:val="NoSpacing"/>
        <w:jc w:val="both"/>
      </w:pPr>
    </w:p>
    <w:p w:rsidR="001D1E3E" w:rsidP="00237933" w14:paraId="6BA24590" w14:textId="62C231A5">
      <w:pPr>
        <w:pStyle w:val="NoSpacing"/>
        <w:ind w:left="270"/>
        <w:jc w:val="both"/>
      </w:pPr>
      <w:r>
        <w:t>Recipients will select</w:t>
      </w:r>
      <w:r w:rsidR="005C0CE3">
        <w:t xml:space="preserve"> </w:t>
      </w:r>
      <w:r>
        <w:t xml:space="preserve">from the following options: </w:t>
      </w:r>
      <w:r w:rsidRPr="00237933">
        <w:t xml:space="preserve">  </w:t>
      </w:r>
    </w:p>
    <w:p w:rsidR="00E00324" w:rsidP="00E00324" w14:paraId="43D98C76" w14:textId="55A17497">
      <w:pPr>
        <w:pStyle w:val="NoSpacing"/>
        <w:ind w:left="990"/>
        <w:jc w:val="both"/>
      </w:pPr>
    </w:p>
    <w:tbl>
      <w:tblPr>
        <w:tblW w:w="9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84"/>
        <w:gridCol w:w="4176"/>
        <w:gridCol w:w="4176"/>
      </w:tblGrid>
      <w:tr w14:paraId="2890AD07" w14:textId="77777777" w:rsidTr="00415027">
        <w:tblPrEx>
          <w:tblW w:w="99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blHeader/>
        </w:trPr>
        <w:tc>
          <w:tcPr>
            <w:tcW w:w="1584" w:type="dxa"/>
            <w:shd w:val="clear" w:color="auto" w:fill="004E7D" w:themeFill="accent6" w:themeFillShade="BF"/>
          </w:tcPr>
          <w:p w:rsidR="00B47209" w:rsidRPr="00A36200" w:rsidP="0007568C" w14:paraId="632A8AFE" w14:textId="0D4776F3">
            <w:pPr>
              <w:pStyle w:val="NoSpacing"/>
              <w:rPr>
                <w:rFonts w:ascii="Arial" w:hAnsi="Arial" w:cs="Arial"/>
                <w:b/>
                <w:bCs/>
                <w:color w:val="FFFFFF" w:themeColor="background2"/>
                <w:lang w:val="en-IN"/>
              </w:rPr>
            </w:pPr>
          </w:p>
        </w:tc>
        <w:tc>
          <w:tcPr>
            <w:tcW w:w="4176" w:type="dxa"/>
            <w:shd w:val="clear" w:color="auto" w:fill="004E7D"/>
            <w:tcMar>
              <w:top w:w="0" w:type="dxa"/>
              <w:left w:w="108" w:type="dxa"/>
              <w:bottom w:w="0" w:type="dxa"/>
              <w:right w:w="108" w:type="dxa"/>
            </w:tcMar>
            <w:hideMark/>
          </w:tcPr>
          <w:p w:rsidR="00B47209" w:rsidRPr="00A36200" w:rsidP="0007568C" w14:paraId="72231DB8" w14:textId="77777777">
            <w:pPr>
              <w:pStyle w:val="NoSpacing"/>
              <w:jc w:val="center"/>
              <w:rPr>
                <w:rFonts w:ascii="Arial" w:hAnsi="Arial" w:cs="Arial"/>
                <w:b/>
                <w:bCs/>
                <w:color w:val="FFFFFF" w:themeColor="background2"/>
                <w:lang w:val="en-IN"/>
              </w:rPr>
            </w:pPr>
            <w:r w:rsidRPr="00A36200">
              <w:rPr>
                <w:rFonts w:ascii="Arial" w:hAnsi="Arial" w:cs="Arial"/>
                <w:b/>
                <w:bCs/>
                <w:color w:val="FFFFFF" w:themeColor="background2"/>
                <w:lang w:val="en-IN"/>
              </w:rPr>
              <w:t>Impacted</w:t>
            </w:r>
          </w:p>
        </w:tc>
        <w:tc>
          <w:tcPr>
            <w:tcW w:w="4176" w:type="dxa"/>
            <w:shd w:val="clear" w:color="auto" w:fill="004E7D" w:themeFill="accent6" w:themeFillShade="BF"/>
            <w:tcMar>
              <w:top w:w="0" w:type="dxa"/>
              <w:left w:w="108" w:type="dxa"/>
              <w:bottom w:w="0" w:type="dxa"/>
              <w:right w:w="108" w:type="dxa"/>
            </w:tcMar>
            <w:hideMark/>
          </w:tcPr>
          <w:p w:rsidR="00B47209" w:rsidRPr="00A36200" w:rsidP="0007568C" w14:paraId="483807D1" w14:textId="65BFB489">
            <w:pPr>
              <w:pStyle w:val="NoSpacing"/>
              <w:jc w:val="center"/>
              <w:rPr>
                <w:rFonts w:ascii="Arial" w:hAnsi="Arial" w:cs="Arial"/>
                <w:b/>
                <w:bCs/>
                <w:color w:val="FFFFFF" w:themeColor="background2"/>
                <w:lang w:val="en-IN"/>
              </w:rPr>
            </w:pPr>
            <w:r w:rsidRPr="00A36200">
              <w:rPr>
                <w:rFonts w:ascii="Arial" w:hAnsi="Arial" w:cs="Arial"/>
                <w:b/>
                <w:bCs/>
                <w:color w:val="FFFFFF" w:themeColor="background2"/>
                <w:lang w:val="en-IN"/>
              </w:rPr>
              <w:t>Disproport</w:t>
            </w:r>
            <w:r w:rsidR="00737FF2">
              <w:rPr>
                <w:rFonts w:ascii="Arial" w:hAnsi="Arial" w:cs="Arial"/>
                <w:b/>
                <w:bCs/>
                <w:color w:val="FFFFFF" w:themeColor="background2"/>
                <w:lang w:val="en-IN"/>
              </w:rPr>
              <w:t>ionate</w:t>
            </w:r>
            <w:r w:rsidR="001641C2">
              <w:rPr>
                <w:rFonts w:ascii="Arial" w:hAnsi="Arial" w:cs="Arial"/>
                <w:b/>
                <w:bCs/>
                <w:color w:val="FFFFFF" w:themeColor="background2"/>
                <w:lang w:val="en-IN"/>
              </w:rPr>
              <w:t>l</w:t>
            </w:r>
            <w:r w:rsidRPr="00A36200">
              <w:rPr>
                <w:rFonts w:ascii="Arial" w:hAnsi="Arial" w:cs="Arial"/>
                <w:b/>
                <w:bCs/>
                <w:color w:val="FFFFFF" w:themeColor="background2"/>
                <w:lang w:val="en-IN"/>
              </w:rPr>
              <w:t>y Impacted</w:t>
            </w:r>
          </w:p>
        </w:tc>
      </w:tr>
      <w:tr w14:paraId="34D502BF" w14:textId="77777777" w:rsidTr="00737FF2">
        <w:tblPrEx>
          <w:tblW w:w="9936" w:type="dxa"/>
          <w:tblInd w:w="10" w:type="dxa"/>
          <w:tblCellMar>
            <w:left w:w="0" w:type="dxa"/>
            <w:right w:w="0" w:type="dxa"/>
          </w:tblCellMar>
          <w:tblLook w:val="04A0"/>
        </w:tblPrEx>
        <w:tc>
          <w:tcPr>
            <w:tcW w:w="1584" w:type="dxa"/>
          </w:tcPr>
          <w:p w:rsidR="00B47209" w:rsidRPr="00A36200" w:rsidP="0007568C" w14:paraId="514A9FB0" w14:textId="77777777">
            <w:pPr>
              <w:pStyle w:val="NoSpacing"/>
              <w:jc w:val="both"/>
              <w:rPr>
                <w:rFonts w:ascii="Arial" w:hAnsi="Arial" w:cs="Arial"/>
              </w:rPr>
            </w:pPr>
            <w:r w:rsidRPr="00A36200">
              <w:rPr>
                <w:rFonts w:ascii="Arial" w:hAnsi="Arial" w:cs="Arial"/>
              </w:rPr>
              <w:t>Public Health</w:t>
            </w:r>
          </w:p>
        </w:tc>
        <w:tc>
          <w:tcPr>
            <w:tcW w:w="4176" w:type="dxa"/>
            <w:tcMar>
              <w:top w:w="0" w:type="dxa"/>
              <w:left w:w="108" w:type="dxa"/>
              <w:bottom w:w="0" w:type="dxa"/>
              <w:right w:w="108" w:type="dxa"/>
            </w:tcMar>
          </w:tcPr>
          <w:p w:rsidR="00B47209" w:rsidRPr="00A36200" w:rsidP="00CE5331" w14:paraId="36DCFAFB" w14:textId="77777777">
            <w:pPr>
              <w:pStyle w:val="NoSpacing"/>
              <w:numPr>
                <w:ilvl w:val="0"/>
                <w:numId w:val="50"/>
              </w:numPr>
              <w:rPr>
                <w:rFonts w:ascii="Arial" w:hAnsi="Arial" w:cs="Arial"/>
                <w:lang w:val="en-IN"/>
              </w:rPr>
            </w:pPr>
            <w:r w:rsidRPr="00A36200">
              <w:rPr>
                <w:rFonts w:ascii="Arial" w:hAnsi="Arial" w:cs="Arial"/>
              </w:rPr>
              <w:t>General Public</w:t>
            </w:r>
          </w:p>
        </w:tc>
        <w:tc>
          <w:tcPr>
            <w:tcW w:w="4176" w:type="dxa"/>
            <w:tcMar>
              <w:top w:w="0" w:type="dxa"/>
              <w:left w:w="108" w:type="dxa"/>
              <w:bottom w:w="0" w:type="dxa"/>
              <w:right w:w="108" w:type="dxa"/>
            </w:tcMar>
          </w:tcPr>
          <w:p w:rsidR="00B47209" w:rsidRPr="00A36200" w:rsidP="0007568C" w14:paraId="56953311" w14:textId="77777777">
            <w:pPr>
              <w:pStyle w:val="NoSpacing"/>
              <w:jc w:val="center"/>
              <w:rPr>
                <w:rFonts w:ascii="Arial" w:hAnsi="Arial" w:cs="Arial"/>
                <w:lang w:val="en-IN"/>
              </w:rPr>
            </w:pPr>
          </w:p>
        </w:tc>
      </w:tr>
      <w:tr w14:paraId="7530778C" w14:textId="77777777" w:rsidTr="00737FF2">
        <w:tblPrEx>
          <w:tblW w:w="9936" w:type="dxa"/>
          <w:tblInd w:w="10" w:type="dxa"/>
          <w:tblCellMar>
            <w:left w:w="0" w:type="dxa"/>
            <w:right w:w="0" w:type="dxa"/>
          </w:tblCellMar>
          <w:tblLook w:val="04A0"/>
        </w:tblPrEx>
        <w:tc>
          <w:tcPr>
            <w:tcW w:w="1584" w:type="dxa"/>
          </w:tcPr>
          <w:p w:rsidR="00B47209" w:rsidRPr="00A36200" w:rsidP="0007568C" w14:paraId="6AD71E9E" w14:textId="77777777">
            <w:pPr>
              <w:pStyle w:val="NoSpacing"/>
              <w:rPr>
                <w:rFonts w:ascii="Arial" w:hAnsi="Arial" w:cs="Arial"/>
                <w:lang w:val="en-IN"/>
              </w:rPr>
            </w:pPr>
            <w:r w:rsidRPr="00A36200">
              <w:rPr>
                <w:rFonts w:ascii="Arial" w:hAnsi="Arial" w:cs="Arial"/>
                <w:lang w:val="en-IN"/>
              </w:rPr>
              <w:t>Assistance to Households</w:t>
            </w:r>
          </w:p>
        </w:tc>
        <w:tc>
          <w:tcPr>
            <w:tcW w:w="4176" w:type="dxa"/>
            <w:tcMar>
              <w:top w:w="0" w:type="dxa"/>
              <w:left w:w="108" w:type="dxa"/>
              <w:bottom w:w="0" w:type="dxa"/>
              <w:right w:w="108" w:type="dxa"/>
            </w:tcMar>
          </w:tcPr>
          <w:p w:rsidR="00B47209" w:rsidRPr="00A36200" w:rsidP="00CE5331" w14:paraId="59BE8D4E" w14:textId="6ED4DA70">
            <w:pPr>
              <w:pStyle w:val="NoSpacing"/>
              <w:numPr>
                <w:ilvl w:val="0"/>
                <w:numId w:val="48"/>
              </w:numPr>
              <w:rPr>
                <w:rFonts w:ascii="Arial" w:hAnsi="Arial" w:cs="Arial"/>
                <w:lang w:val="en-IN"/>
              </w:rPr>
            </w:pPr>
            <w:r w:rsidRPr="00A36200">
              <w:rPr>
                <w:rFonts w:ascii="Arial" w:hAnsi="Arial" w:cs="Arial"/>
                <w:lang w:val="en-IN"/>
              </w:rPr>
              <w:t xml:space="preserve">Low- or-moderate income households or </w:t>
            </w:r>
            <w:r w:rsidR="00400B61">
              <w:rPr>
                <w:rFonts w:ascii="Arial" w:hAnsi="Arial" w:cs="Arial"/>
                <w:lang w:val="en-IN"/>
              </w:rPr>
              <w:t>populations</w:t>
            </w:r>
            <w:r>
              <w:rPr>
                <w:rStyle w:val="FootnoteReference"/>
                <w:rFonts w:ascii="Arial" w:hAnsi="Arial" w:cs="Arial"/>
                <w:lang w:val="en-IN"/>
              </w:rPr>
              <w:footnoteReference w:id="11"/>
            </w:r>
            <w:r w:rsidRPr="00A36200">
              <w:rPr>
                <w:rFonts w:ascii="Arial" w:hAnsi="Arial" w:cs="Arial"/>
                <w:lang w:val="en-IN"/>
              </w:rPr>
              <w:t xml:space="preserve"> </w:t>
            </w:r>
          </w:p>
          <w:p w:rsidR="00B47209" w:rsidRPr="00A36200" w:rsidP="00CE5331" w14:paraId="7E3FD78D" w14:textId="314BC85E">
            <w:pPr>
              <w:pStyle w:val="NoSpacing"/>
              <w:numPr>
                <w:ilvl w:val="0"/>
                <w:numId w:val="48"/>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that experienced unemployment</w:t>
            </w:r>
          </w:p>
          <w:p w:rsidR="00B47209" w:rsidRPr="00A36200" w:rsidP="00CE5331" w14:paraId="723D43D7" w14:textId="52B4958C">
            <w:pPr>
              <w:pStyle w:val="NoSpacing"/>
              <w:numPr>
                <w:ilvl w:val="0"/>
                <w:numId w:val="48"/>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that experienced increased food or housing insecurity</w:t>
            </w:r>
          </w:p>
          <w:p w:rsidR="00B47209" w:rsidRPr="00A36200" w:rsidP="00CE5331" w14:paraId="3360869E" w14:textId="70EB34E8">
            <w:pPr>
              <w:pStyle w:val="NoSpacing"/>
              <w:numPr>
                <w:ilvl w:val="0"/>
                <w:numId w:val="48"/>
              </w:numPr>
              <w:rPr>
                <w:rFonts w:ascii="Arial" w:hAnsi="Arial" w:cs="Arial"/>
                <w:lang w:val="en-IN"/>
              </w:rPr>
            </w:pPr>
            <w:r w:rsidRPr="00A36200">
              <w:rPr>
                <w:rFonts w:ascii="Arial" w:hAnsi="Arial" w:cs="Arial"/>
                <w:lang w:val="en-IN"/>
              </w:rPr>
              <w:t>Households</w:t>
            </w:r>
            <w:r w:rsidR="00400B61">
              <w:rPr>
                <w:rFonts w:ascii="Arial" w:hAnsi="Arial" w:cs="Arial"/>
                <w:lang w:val="en-IN"/>
              </w:rPr>
              <w:t xml:space="preserve"> </w:t>
            </w:r>
            <w:r w:rsidRPr="00A36200">
              <w:rPr>
                <w:rFonts w:ascii="Arial" w:hAnsi="Arial" w:cs="Arial"/>
                <w:lang w:val="en-IN"/>
              </w:rPr>
              <w:t xml:space="preserve">that qualify for </w:t>
            </w:r>
            <w:r w:rsidR="00400B61">
              <w:rPr>
                <w:rFonts w:ascii="Arial" w:hAnsi="Arial" w:cs="Arial"/>
                <w:lang w:val="en-IN"/>
              </w:rPr>
              <w:t>certain federal programs</w:t>
            </w:r>
            <w:r>
              <w:rPr>
                <w:rStyle w:val="FootnoteReference"/>
                <w:rFonts w:ascii="Arial" w:hAnsi="Arial" w:cs="Arial"/>
                <w:lang w:val="en-IN"/>
              </w:rPr>
              <w:footnoteReference w:id="12"/>
            </w:r>
          </w:p>
          <w:p w:rsidR="00B47209" w:rsidP="00CE5331" w14:paraId="3E10F559" w14:textId="77777777">
            <w:pPr>
              <w:pStyle w:val="NoSpacing"/>
              <w:numPr>
                <w:ilvl w:val="0"/>
                <w:numId w:val="48"/>
              </w:numPr>
              <w:rPr>
                <w:rFonts w:ascii="Arial" w:hAnsi="Arial" w:cs="Arial"/>
                <w:lang w:val="en-IN"/>
              </w:rPr>
            </w:pPr>
            <w:r w:rsidRPr="00A36200">
              <w:rPr>
                <w:rFonts w:ascii="Arial" w:hAnsi="Arial" w:cs="Arial"/>
                <w:lang w:val="en-IN"/>
              </w:rPr>
              <w:t xml:space="preserve">For services to address lost instructional time in K-12 schools: any students that lost access to in-person instruction for a significant </w:t>
            </w:r>
            <w:r w:rsidRPr="00A36200">
              <w:rPr>
                <w:rFonts w:ascii="Arial" w:hAnsi="Arial" w:cs="Arial"/>
                <w:lang w:val="en-IN"/>
              </w:rPr>
              <w:t>period of time</w:t>
            </w:r>
          </w:p>
          <w:p w:rsidR="00B47209" w:rsidRPr="00A36200" w:rsidP="00CE5331" w14:paraId="757E4974" w14:textId="389B1F8C">
            <w:pPr>
              <w:pStyle w:val="NoSpacing"/>
              <w:numPr>
                <w:ilvl w:val="0"/>
                <w:numId w:val="48"/>
              </w:numPr>
              <w:rPr>
                <w:rFonts w:ascii="Arial" w:hAnsi="Arial" w:cs="Arial"/>
                <w:lang w:val="en-IN"/>
              </w:rPr>
            </w:pPr>
            <w:r>
              <w:rPr>
                <w:rFonts w:ascii="Arial" w:hAnsi="Arial" w:cs="Arial"/>
                <w:lang w:val="en-IN"/>
              </w:rPr>
              <w:t xml:space="preserve">Other </w:t>
            </w:r>
            <w:r w:rsidR="001F4213">
              <w:rPr>
                <w:rFonts w:ascii="Arial" w:hAnsi="Arial" w:cs="Arial"/>
                <w:lang w:val="en-IN"/>
              </w:rPr>
              <w:t>h</w:t>
            </w:r>
            <w:r w:rsidR="00E12B26">
              <w:rPr>
                <w:rFonts w:ascii="Arial" w:hAnsi="Arial" w:cs="Arial"/>
                <w:lang w:val="en-IN"/>
              </w:rPr>
              <w:t>ouseholds or populations that experienced a negative economic impact of the pandemic other than those listed above (please specify)</w:t>
            </w:r>
          </w:p>
        </w:tc>
        <w:tc>
          <w:tcPr>
            <w:tcW w:w="4176" w:type="dxa"/>
            <w:tcMar>
              <w:top w:w="0" w:type="dxa"/>
              <w:left w:w="108" w:type="dxa"/>
              <w:bottom w:w="0" w:type="dxa"/>
              <w:right w:w="108" w:type="dxa"/>
            </w:tcMar>
          </w:tcPr>
          <w:p w:rsidR="00B47209" w:rsidRPr="00A36200" w:rsidP="00CE5331" w14:paraId="08D4D284" w14:textId="321600EC">
            <w:pPr>
              <w:pStyle w:val="NoSpacing"/>
              <w:numPr>
                <w:ilvl w:val="0"/>
                <w:numId w:val="49"/>
              </w:numPr>
              <w:rPr>
                <w:rFonts w:ascii="Arial" w:hAnsi="Arial" w:cs="Arial"/>
                <w:lang w:val="en-IN"/>
              </w:rPr>
            </w:pPr>
            <w:r w:rsidRPr="00A36200">
              <w:rPr>
                <w:rFonts w:ascii="Arial" w:hAnsi="Arial" w:cs="Arial"/>
                <w:lang w:val="en-IN"/>
              </w:rPr>
              <w:t xml:space="preserve">Low-income households and </w:t>
            </w:r>
            <w:r w:rsidR="00F32ED4">
              <w:rPr>
                <w:rFonts w:ascii="Arial" w:hAnsi="Arial" w:cs="Arial"/>
                <w:lang w:val="en-IN"/>
              </w:rPr>
              <w:t>populations</w:t>
            </w:r>
            <w:r>
              <w:rPr>
                <w:rStyle w:val="FootnoteReference"/>
                <w:rFonts w:ascii="Arial" w:hAnsi="Arial" w:cs="Arial"/>
                <w:lang w:val="en-IN"/>
              </w:rPr>
              <w:footnoteReference w:id="13"/>
            </w:r>
          </w:p>
          <w:p w:rsidR="00B47209" w:rsidRPr="00A36200" w:rsidP="00CE5331" w14:paraId="679CD0AB" w14:textId="1FF1B634">
            <w:pPr>
              <w:pStyle w:val="NoSpacing"/>
              <w:numPr>
                <w:ilvl w:val="0"/>
                <w:numId w:val="49"/>
              </w:numPr>
              <w:rPr>
                <w:rFonts w:ascii="Arial" w:hAnsi="Arial" w:cs="Arial"/>
                <w:lang w:val="en-IN"/>
              </w:rPr>
            </w:pPr>
            <w:r w:rsidRPr="00A36200">
              <w:rPr>
                <w:rFonts w:ascii="Arial" w:hAnsi="Arial" w:cs="Arial"/>
                <w:lang w:val="en-IN"/>
              </w:rPr>
              <w:t>Households</w:t>
            </w:r>
            <w:r w:rsidR="00F32ED4">
              <w:rPr>
                <w:rFonts w:ascii="Arial" w:hAnsi="Arial" w:cs="Arial"/>
                <w:lang w:val="en-IN"/>
              </w:rPr>
              <w:t xml:space="preserve"> and populations</w:t>
            </w:r>
            <w:r w:rsidRPr="00A36200">
              <w:rPr>
                <w:rFonts w:ascii="Arial" w:hAnsi="Arial" w:cs="Arial"/>
                <w:lang w:val="en-IN"/>
              </w:rPr>
              <w:t xml:space="preserve"> residing in Qualified Census Tracts</w:t>
            </w:r>
          </w:p>
          <w:p w:rsidR="00B47209" w:rsidRPr="00A36200" w:rsidP="00CE5331" w14:paraId="05FE0B3D" w14:textId="0A07960A">
            <w:pPr>
              <w:pStyle w:val="NoSpacing"/>
              <w:numPr>
                <w:ilvl w:val="0"/>
                <w:numId w:val="49"/>
              </w:numPr>
              <w:rPr>
                <w:rFonts w:ascii="Arial" w:hAnsi="Arial" w:cs="Arial"/>
                <w:lang w:val="en-IN"/>
              </w:rPr>
            </w:pPr>
            <w:r w:rsidRPr="00A36200">
              <w:rPr>
                <w:rFonts w:ascii="Arial" w:hAnsi="Arial" w:cs="Arial"/>
                <w:lang w:val="en-IN"/>
              </w:rPr>
              <w:t xml:space="preserve">Households that qualify for certain federal </w:t>
            </w:r>
            <w:r w:rsidR="00400B61">
              <w:rPr>
                <w:rFonts w:ascii="Arial" w:hAnsi="Arial" w:cs="Arial"/>
                <w:lang w:val="en-IN"/>
              </w:rPr>
              <w:t>programs</w:t>
            </w:r>
            <w:r>
              <w:rPr>
                <w:rStyle w:val="FootnoteReference"/>
                <w:rFonts w:ascii="Arial" w:hAnsi="Arial" w:cs="Arial"/>
                <w:lang w:val="en-IN"/>
              </w:rPr>
              <w:footnoteReference w:id="14"/>
            </w:r>
          </w:p>
          <w:p w:rsidR="00B47209" w:rsidRPr="00A36200" w:rsidP="00CE5331" w14:paraId="7E01D1D6" w14:textId="15094C75">
            <w:pPr>
              <w:pStyle w:val="NoSpacing"/>
              <w:numPr>
                <w:ilvl w:val="0"/>
                <w:numId w:val="49"/>
              </w:numPr>
              <w:rPr>
                <w:rFonts w:ascii="Arial" w:hAnsi="Arial" w:cs="Arial"/>
                <w:lang w:val="en-IN"/>
              </w:rPr>
            </w:pPr>
            <w:r w:rsidRPr="00A36200">
              <w:rPr>
                <w:rFonts w:ascii="Arial" w:hAnsi="Arial" w:cs="Arial"/>
                <w:lang w:val="en-IN"/>
              </w:rPr>
              <w:t>Households</w:t>
            </w:r>
            <w:r w:rsidR="00F32ED4">
              <w:rPr>
                <w:rFonts w:ascii="Arial" w:hAnsi="Arial" w:cs="Arial"/>
                <w:lang w:val="en-IN"/>
              </w:rPr>
              <w:t xml:space="preserve"> </w:t>
            </w:r>
            <w:r w:rsidRPr="00A36200">
              <w:rPr>
                <w:rFonts w:ascii="Arial" w:hAnsi="Arial" w:cs="Arial"/>
                <w:lang w:val="en-IN"/>
              </w:rPr>
              <w:t>receiving services provided by Tribal governments</w:t>
            </w:r>
          </w:p>
          <w:p w:rsidR="00B47209" w:rsidP="00CE5331" w14:paraId="26DC052A" w14:textId="6C9E253D">
            <w:pPr>
              <w:pStyle w:val="NoSpacing"/>
              <w:numPr>
                <w:ilvl w:val="0"/>
                <w:numId w:val="49"/>
              </w:numPr>
              <w:rPr>
                <w:rFonts w:ascii="Arial" w:hAnsi="Arial" w:cs="Arial"/>
                <w:lang w:val="en-IN"/>
              </w:rPr>
            </w:pPr>
            <w:r w:rsidRPr="00A36200">
              <w:rPr>
                <w:rFonts w:ascii="Arial" w:hAnsi="Arial" w:cs="Arial"/>
                <w:lang w:val="en-IN"/>
              </w:rPr>
              <w:t>Households residing in the U.S. territories or receiving services from these governments</w:t>
            </w:r>
          </w:p>
          <w:p w:rsidR="00F32ED4" w:rsidRPr="00A36200" w:rsidP="00CE5331" w14:paraId="76684C0A" w14:textId="1DDFBE67">
            <w:pPr>
              <w:pStyle w:val="NoSpacing"/>
              <w:numPr>
                <w:ilvl w:val="0"/>
                <w:numId w:val="49"/>
              </w:numPr>
              <w:rPr>
                <w:rFonts w:ascii="Arial" w:hAnsi="Arial" w:cs="Arial"/>
                <w:lang w:val="en-IN"/>
              </w:rPr>
            </w:pPr>
            <w:r>
              <w:rPr>
                <w:rFonts w:ascii="Arial" w:hAnsi="Arial" w:cs="Arial"/>
                <w:lang w:val="en-IN"/>
              </w:rPr>
              <w:t>For services to address educational disparities, Title I eligible school</w:t>
            </w:r>
            <w:r w:rsidR="00232BC7">
              <w:rPr>
                <w:rFonts w:ascii="Arial" w:hAnsi="Arial" w:cs="Arial"/>
                <w:lang w:val="en-IN"/>
              </w:rPr>
              <w:t>s</w:t>
            </w:r>
            <w:r>
              <w:rPr>
                <w:rStyle w:val="FootnoteReference"/>
                <w:rFonts w:ascii="Arial" w:hAnsi="Arial" w:cs="Arial"/>
                <w:lang w:val="en-IN"/>
              </w:rPr>
              <w:footnoteReference w:id="15"/>
            </w:r>
          </w:p>
          <w:p w:rsidR="00B47209" w:rsidRPr="00A36200" w:rsidP="00CE5331" w14:paraId="61BEF100" w14:textId="260825BF">
            <w:pPr>
              <w:pStyle w:val="NoSpacing"/>
              <w:numPr>
                <w:ilvl w:val="0"/>
                <w:numId w:val="49"/>
              </w:numPr>
              <w:rPr>
                <w:rFonts w:ascii="Arial" w:hAnsi="Arial" w:cs="Arial"/>
                <w:lang w:val="en-IN"/>
              </w:rPr>
            </w:pPr>
            <w:r>
              <w:rPr>
                <w:rFonts w:ascii="Arial" w:hAnsi="Arial" w:cs="Arial"/>
                <w:lang w:val="en-IN"/>
              </w:rPr>
              <w:t>Other households or populations that experienced a disproportionate</w:t>
            </w:r>
            <w:r w:rsidR="006C13CC">
              <w:rPr>
                <w:rFonts w:ascii="Arial" w:hAnsi="Arial" w:cs="Arial"/>
                <w:lang w:val="en-IN"/>
              </w:rPr>
              <w:t xml:space="preserve"> </w:t>
            </w:r>
            <w:r>
              <w:rPr>
                <w:rFonts w:ascii="Arial" w:hAnsi="Arial" w:cs="Arial"/>
                <w:lang w:val="en-IN"/>
              </w:rPr>
              <w:t>negative economic impact of the pandemic other than those listed above (please specify)</w:t>
            </w:r>
          </w:p>
        </w:tc>
      </w:tr>
      <w:tr w14:paraId="7082FD0D" w14:textId="77777777" w:rsidTr="00737FF2">
        <w:tblPrEx>
          <w:tblW w:w="9936" w:type="dxa"/>
          <w:tblInd w:w="10" w:type="dxa"/>
          <w:tblCellMar>
            <w:left w:w="0" w:type="dxa"/>
            <w:right w:w="0" w:type="dxa"/>
          </w:tblCellMar>
          <w:tblLook w:val="04A0"/>
        </w:tblPrEx>
        <w:tc>
          <w:tcPr>
            <w:tcW w:w="1584" w:type="dxa"/>
          </w:tcPr>
          <w:p w:rsidR="00B47209" w:rsidRPr="00A36200" w:rsidP="0007568C" w14:paraId="5F671AF0" w14:textId="77777777">
            <w:pPr>
              <w:pStyle w:val="NoSpacing"/>
              <w:rPr>
                <w:rFonts w:ascii="Arial" w:hAnsi="Arial" w:cs="Arial"/>
                <w:lang w:val="en-IN"/>
              </w:rPr>
            </w:pPr>
            <w:r w:rsidRPr="00A36200">
              <w:rPr>
                <w:rFonts w:ascii="Arial" w:hAnsi="Arial" w:cs="Arial"/>
                <w:lang w:val="en-IN"/>
              </w:rPr>
              <w:t>Assistance to Small Businesses</w:t>
            </w:r>
          </w:p>
        </w:tc>
        <w:tc>
          <w:tcPr>
            <w:tcW w:w="4176" w:type="dxa"/>
            <w:tcMar>
              <w:top w:w="0" w:type="dxa"/>
              <w:left w:w="108" w:type="dxa"/>
              <w:bottom w:w="0" w:type="dxa"/>
              <w:right w:w="108" w:type="dxa"/>
            </w:tcMar>
          </w:tcPr>
          <w:p w:rsidR="006C13CC" w:rsidP="00CE5331" w14:paraId="22E2A5FB" w14:textId="77777777">
            <w:pPr>
              <w:pStyle w:val="NoSpacing"/>
              <w:numPr>
                <w:ilvl w:val="0"/>
                <w:numId w:val="49"/>
              </w:numPr>
              <w:rPr>
                <w:rFonts w:ascii="Arial" w:hAnsi="Arial" w:cs="Arial"/>
                <w:lang w:val="en-IN"/>
              </w:rPr>
            </w:pPr>
            <w:r w:rsidRPr="00A36200">
              <w:rPr>
                <w:rFonts w:ascii="Arial" w:hAnsi="Arial" w:cs="Arial"/>
                <w:lang w:val="en-IN"/>
              </w:rPr>
              <w:t>Small businesses that experienced a negative economic impact of the pandemic</w:t>
            </w:r>
            <w:r w:rsidR="0084283B">
              <w:rPr>
                <w:rFonts w:ascii="Arial" w:hAnsi="Arial" w:cs="Arial"/>
                <w:lang w:val="en-IN"/>
              </w:rPr>
              <w:t xml:space="preserve"> </w:t>
            </w:r>
          </w:p>
          <w:p w:rsidR="00B47209" w:rsidRPr="006C13CC" w:rsidP="00CE5331" w14:paraId="11814461" w14:textId="3112375D">
            <w:pPr>
              <w:pStyle w:val="NoSpacing"/>
              <w:numPr>
                <w:ilvl w:val="0"/>
                <w:numId w:val="49"/>
              </w:numPr>
              <w:rPr>
                <w:rFonts w:ascii="Arial" w:hAnsi="Arial" w:cs="Arial"/>
                <w:lang w:val="en-IN"/>
              </w:rPr>
            </w:pPr>
            <w:r w:rsidRPr="006C13CC">
              <w:rPr>
                <w:rFonts w:ascii="Arial" w:hAnsi="Arial" w:cs="Arial"/>
                <w:lang w:val="en-IN"/>
              </w:rPr>
              <w:t>Classes of small businesses designated as negatively economically impacted by the pandemic (please specify)</w:t>
            </w:r>
          </w:p>
        </w:tc>
        <w:tc>
          <w:tcPr>
            <w:tcW w:w="4176" w:type="dxa"/>
            <w:tcMar>
              <w:top w:w="0" w:type="dxa"/>
              <w:left w:w="108" w:type="dxa"/>
              <w:bottom w:w="0" w:type="dxa"/>
              <w:right w:w="108" w:type="dxa"/>
            </w:tcMar>
          </w:tcPr>
          <w:p w:rsidR="00B47209" w:rsidRPr="00A36200" w:rsidP="00CE5331" w14:paraId="2728F2E4" w14:textId="77777777">
            <w:pPr>
              <w:pStyle w:val="NoSpacing"/>
              <w:numPr>
                <w:ilvl w:val="0"/>
                <w:numId w:val="49"/>
              </w:numPr>
              <w:rPr>
                <w:rFonts w:ascii="Arial" w:hAnsi="Arial" w:cs="Arial"/>
                <w:lang w:val="en-IN"/>
              </w:rPr>
            </w:pPr>
            <w:r w:rsidRPr="00A36200">
              <w:rPr>
                <w:rFonts w:ascii="Arial" w:hAnsi="Arial" w:cs="Arial"/>
                <w:lang w:val="en-IN"/>
              </w:rPr>
              <w:t>Small businesses operating in Qualified Census Tracts</w:t>
            </w:r>
          </w:p>
          <w:p w:rsidR="00B47209" w:rsidRPr="00A36200" w:rsidP="00CE5331" w14:paraId="68FACA66" w14:textId="77777777">
            <w:pPr>
              <w:pStyle w:val="NoSpacing"/>
              <w:numPr>
                <w:ilvl w:val="0"/>
                <w:numId w:val="49"/>
              </w:numPr>
              <w:rPr>
                <w:rFonts w:ascii="Arial" w:hAnsi="Arial" w:cs="Arial"/>
                <w:lang w:val="en-IN"/>
              </w:rPr>
            </w:pPr>
            <w:r w:rsidRPr="00A36200">
              <w:rPr>
                <w:rFonts w:ascii="Arial" w:hAnsi="Arial" w:cs="Arial"/>
                <w:lang w:val="en-IN"/>
              </w:rPr>
              <w:t>Small businesses operated by Tribal governments or on Tribal lands</w:t>
            </w:r>
          </w:p>
          <w:p w:rsidR="00B47209" w:rsidP="00CE5331" w14:paraId="4A985E32" w14:textId="77777777">
            <w:pPr>
              <w:pStyle w:val="NoSpacing"/>
              <w:numPr>
                <w:ilvl w:val="0"/>
                <w:numId w:val="49"/>
              </w:numPr>
              <w:rPr>
                <w:rFonts w:ascii="Arial" w:hAnsi="Arial" w:cs="Arial"/>
                <w:lang w:val="en-IN"/>
              </w:rPr>
            </w:pPr>
            <w:r w:rsidRPr="00A36200">
              <w:rPr>
                <w:rFonts w:ascii="Arial" w:hAnsi="Arial" w:cs="Arial"/>
                <w:lang w:val="en-IN"/>
              </w:rPr>
              <w:t>Small businesses operating in the U.S. territories</w:t>
            </w:r>
          </w:p>
          <w:p w:rsidR="00B47209" w:rsidRPr="00A36200" w:rsidP="00CE5331" w14:paraId="7833A662" w14:textId="0C45417C">
            <w:pPr>
              <w:pStyle w:val="NoSpacing"/>
              <w:numPr>
                <w:ilvl w:val="0"/>
                <w:numId w:val="49"/>
              </w:numPr>
              <w:rPr>
                <w:rFonts w:ascii="Arial" w:hAnsi="Arial" w:cs="Arial"/>
                <w:lang w:val="en-IN"/>
              </w:rPr>
            </w:pPr>
            <w:r>
              <w:rPr>
                <w:rFonts w:ascii="Arial" w:hAnsi="Arial" w:cs="Arial"/>
                <w:lang w:val="en-IN"/>
              </w:rPr>
              <w:t xml:space="preserve">Other </w:t>
            </w:r>
            <w:r w:rsidR="001F4213">
              <w:rPr>
                <w:rFonts w:ascii="Arial" w:hAnsi="Arial" w:cs="Arial"/>
                <w:lang w:val="en-IN"/>
              </w:rPr>
              <w:t xml:space="preserve">small businesses disproportionately impacted by the pandemic </w:t>
            </w:r>
            <w:r>
              <w:rPr>
                <w:rFonts w:ascii="Arial" w:hAnsi="Arial" w:cs="Arial"/>
                <w:lang w:val="en-IN"/>
              </w:rPr>
              <w:t>(please specify)</w:t>
            </w:r>
          </w:p>
        </w:tc>
      </w:tr>
      <w:tr w14:paraId="0CA58431" w14:textId="77777777" w:rsidTr="00737FF2">
        <w:tblPrEx>
          <w:tblW w:w="9936" w:type="dxa"/>
          <w:tblInd w:w="10" w:type="dxa"/>
          <w:tblCellMar>
            <w:left w:w="0" w:type="dxa"/>
            <w:right w:w="0" w:type="dxa"/>
          </w:tblCellMar>
          <w:tblLook w:val="04A0"/>
        </w:tblPrEx>
        <w:tc>
          <w:tcPr>
            <w:tcW w:w="1584" w:type="dxa"/>
          </w:tcPr>
          <w:p w:rsidR="00B47209" w:rsidRPr="00A36200" w:rsidP="0007568C" w14:paraId="6C32DAE0" w14:textId="77777777">
            <w:pPr>
              <w:pStyle w:val="NoSpacing"/>
              <w:rPr>
                <w:rFonts w:ascii="Arial" w:hAnsi="Arial" w:cs="Arial"/>
                <w:lang w:val="en-IN"/>
              </w:rPr>
            </w:pPr>
            <w:r w:rsidRPr="00A36200">
              <w:rPr>
                <w:rFonts w:ascii="Arial" w:hAnsi="Arial" w:cs="Arial"/>
                <w:lang w:val="en-IN"/>
              </w:rPr>
              <w:t>Assistance to Non-Profits</w:t>
            </w:r>
          </w:p>
        </w:tc>
        <w:tc>
          <w:tcPr>
            <w:tcW w:w="4176" w:type="dxa"/>
            <w:tcMar>
              <w:top w:w="0" w:type="dxa"/>
              <w:left w:w="108" w:type="dxa"/>
              <w:bottom w:w="0" w:type="dxa"/>
              <w:right w:w="108" w:type="dxa"/>
            </w:tcMar>
          </w:tcPr>
          <w:p w:rsidR="00B47209" w:rsidP="00CE5331" w14:paraId="7F0EE164" w14:textId="37E1E04E">
            <w:pPr>
              <w:pStyle w:val="NoSpacing"/>
              <w:numPr>
                <w:ilvl w:val="0"/>
                <w:numId w:val="49"/>
              </w:numPr>
              <w:rPr>
                <w:rFonts w:ascii="Arial" w:hAnsi="Arial" w:cs="Arial"/>
                <w:lang w:val="en-IN"/>
              </w:rPr>
            </w:pPr>
            <w:r w:rsidRPr="00A36200">
              <w:rPr>
                <w:rFonts w:ascii="Arial" w:hAnsi="Arial" w:cs="Arial"/>
                <w:lang w:val="en-IN"/>
              </w:rPr>
              <w:t>Non-</w:t>
            </w:r>
            <w:r w:rsidR="00074E73">
              <w:rPr>
                <w:rFonts w:ascii="Arial" w:hAnsi="Arial" w:cs="Arial"/>
                <w:lang w:val="en-IN"/>
              </w:rPr>
              <w:t>p</w:t>
            </w:r>
            <w:r w:rsidRPr="00A36200">
              <w:rPr>
                <w:rFonts w:ascii="Arial" w:hAnsi="Arial" w:cs="Arial"/>
                <w:lang w:val="en-IN"/>
              </w:rPr>
              <w:t xml:space="preserve">rofits that experienced a negative economic impact of the pandemic </w:t>
            </w:r>
            <w:r w:rsidR="0084283B">
              <w:rPr>
                <w:rFonts w:ascii="Arial" w:hAnsi="Arial" w:cs="Arial"/>
                <w:lang w:val="en-IN"/>
              </w:rPr>
              <w:t>(please specify)</w:t>
            </w:r>
          </w:p>
          <w:p w:rsidR="00B47209" w:rsidRPr="00A36200" w:rsidP="00CE5331" w14:paraId="7603A6A7" w14:textId="58C90551">
            <w:pPr>
              <w:pStyle w:val="NoSpacing"/>
              <w:numPr>
                <w:ilvl w:val="0"/>
                <w:numId w:val="49"/>
              </w:numPr>
              <w:rPr>
                <w:rFonts w:ascii="Arial" w:hAnsi="Arial" w:cs="Arial"/>
                <w:lang w:val="en-IN"/>
              </w:rPr>
            </w:pPr>
            <w:r>
              <w:rPr>
                <w:rFonts w:ascii="Arial" w:hAnsi="Arial" w:cs="Arial"/>
                <w:lang w:val="en-IN"/>
              </w:rPr>
              <w:t>Classes of non-profits designated as negatively economically impacted by the pandemic (please specify)</w:t>
            </w:r>
          </w:p>
        </w:tc>
        <w:tc>
          <w:tcPr>
            <w:tcW w:w="4176" w:type="dxa"/>
            <w:tcMar>
              <w:top w:w="0" w:type="dxa"/>
              <w:left w:w="108" w:type="dxa"/>
              <w:bottom w:w="0" w:type="dxa"/>
              <w:right w:w="108" w:type="dxa"/>
            </w:tcMar>
          </w:tcPr>
          <w:p w:rsidR="00B47209" w:rsidRPr="00A36200" w:rsidP="00CE5331" w14:paraId="051D4870" w14:textId="77777777">
            <w:pPr>
              <w:pStyle w:val="NoSpacing"/>
              <w:numPr>
                <w:ilvl w:val="0"/>
                <w:numId w:val="49"/>
              </w:numPr>
              <w:rPr>
                <w:rFonts w:ascii="Arial" w:hAnsi="Arial" w:cs="Arial"/>
                <w:lang w:val="en-IN"/>
              </w:rPr>
            </w:pPr>
            <w:r w:rsidRPr="00A36200">
              <w:rPr>
                <w:rFonts w:ascii="Arial" w:hAnsi="Arial" w:cs="Arial"/>
                <w:lang w:val="en-IN"/>
              </w:rPr>
              <w:t>Non-profits operating in Qualified Census Tracts</w:t>
            </w:r>
          </w:p>
          <w:p w:rsidR="00B47209" w:rsidRPr="00A36200" w:rsidP="00CE5331" w14:paraId="4F70963A" w14:textId="77777777">
            <w:pPr>
              <w:pStyle w:val="NoSpacing"/>
              <w:numPr>
                <w:ilvl w:val="0"/>
                <w:numId w:val="49"/>
              </w:numPr>
              <w:rPr>
                <w:rFonts w:ascii="Arial" w:hAnsi="Arial" w:cs="Arial"/>
                <w:lang w:val="en-IN"/>
              </w:rPr>
            </w:pPr>
            <w:r w:rsidRPr="00A36200">
              <w:rPr>
                <w:rFonts w:ascii="Arial" w:hAnsi="Arial" w:cs="Arial"/>
                <w:lang w:val="en-IN"/>
              </w:rPr>
              <w:t>Non-profits operated by Tribal governments or on Tribal lands</w:t>
            </w:r>
          </w:p>
          <w:p w:rsidR="00B47209" w:rsidP="00CE5331" w14:paraId="4AC7AF37" w14:textId="77777777">
            <w:pPr>
              <w:pStyle w:val="NoSpacing"/>
              <w:numPr>
                <w:ilvl w:val="0"/>
                <w:numId w:val="49"/>
              </w:numPr>
              <w:rPr>
                <w:rFonts w:ascii="Arial" w:hAnsi="Arial" w:cs="Arial"/>
                <w:lang w:val="en-IN"/>
              </w:rPr>
            </w:pPr>
            <w:r w:rsidRPr="00A36200">
              <w:rPr>
                <w:rFonts w:ascii="Arial" w:hAnsi="Arial" w:cs="Arial"/>
                <w:lang w:val="en-IN"/>
              </w:rPr>
              <w:t>Non-profits operating in the U.S. territories</w:t>
            </w:r>
          </w:p>
          <w:p w:rsidR="00B47209" w:rsidRPr="00A36200" w:rsidP="00CE5331" w14:paraId="2D4008FC" w14:textId="5D7E96A1">
            <w:pPr>
              <w:pStyle w:val="NoSpacing"/>
              <w:numPr>
                <w:ilvl w:val="0"/>
                <w:numId w:val="49"/>
              </w:numPr>
              <w:rPr>
                <w:rFonts w:ascii="Arial" w:hAnsi="Arial" w:cs="Arial"/>
                <w:lang w:val="en-IN"/>
              </w:rPr>
            </w:pPr>
            <w:r>
              <w:rPr>
                <w:rFonts w:ascii="Arial" w:hAnsi="Arial" w:cs="Arial"/>
                <w:lang w:val="en-IN"/>
              </w:rPr>
              <w:t xml:space="preserve">Other </w:t>
            </w:r>
            <w:r w:rsidR="001F4213">
              <w:rPr>
                <w:rFonts w:ascii="Arial" w:hAnsi="Arial" w:cs="Arial"/>
                <w:lang w:val="en-IN"/>
              </w:rPr>
              <w:t xml:space="preserve">non-profits disproportionately impacted by the pandemic </w:t>
            </w:r>
            <w:r>
              <w:rPr>
                <w:rFonts w:ascii="Arial" w:hAnsi="Arial" w:cs="Arial"/>
                <w:lang w:val="en-IN"/>
              </w:rPr>
              <w:t>(please specify)</w:t>
            </w:r>
          </w:p>
        </w:tc>
      </w:tr>
      <w:tr w14:paraId="6672F727" w14:textId="77777777" w:rsidTr="00737FF2">
        <w:tblPrEx>
          <w:tblW w:w="9936" w:type="dxa"/>
          <w:tblInd w:w="10" w:type="dxa"/>
          <w:tblCellMar>
            <w:left w:w="0" w:type="dxa"/>
            <w:right w:w="0" w:type="dxa"/>
          </w:tblCellMar>
          <w:tblLook w:val="04A0"/>
        </w:tblPrEx>
        <w:tc>
          <w:tcPr>
            <w:tcW w:w="1584" w:type="dxa"/>
          </w:tcPr>
          <w:p w:rsidR="00B47209" w:rsidRPr="00A36200" w:rsidP="0007568C" w14:paraId="44CCFAB5" w14:textId="77777777">
            <w:pPr>
              <w:pStyle w:val="NoSpacing"/>
              <w:rPr>
                <w:rFonts w:ascii="Arial" w:hAnsi="Arial" w:cs="Arial"/>
                <w:lang w:val="en-IN"/>
              </w:rPr>
            </w:pPr>
            <w:r w:rsidRPr="00A36200">
              <w:rPr>
                <w:rFonts w:ascii="Arial" w:hAnsi="Arial" w:cs="Arial"/>
                <w:lang w:val="en-IN"/>
              </w:rPr>
              <w:t>Aid to Impacted Industries</w:t>
            </w:r>
          </w:p>
        </w:tc>
        <w:tc>
          <w:tcPr>
            <w:tcW w:w="4176" w:type="dxa"/>
            <w:tcMar>
              <w:top w:w="0" w:type="dxa"/>
              <w:left w:w="108" w:type="dxa"/>
              <w:bottom w:w="0" w:type="dxa"/>
              <w:right w:w="108" w:type="dxa"/>
            </w:tcMar>
          </w:tcPr>
          <w:p w:rsidR="00B47209" w:rsidRPr="00A36200" w:rsidP="00CE5331" w14:paraId="06BAC05C" w14:textId="77777777">
            <w:pPr>
              <w:pStyle w:val="NoSpacing"/>
              <w:numPr>
                <w:ilvl w:val="0"/>
                <w:numId w:val="51"/>
              </w:numPr>
              <w:rPr>
                <w:rFonts w:ascii="Arial" w:hAnsi="Arial" w:cs="Arial"/>
                <w:lang w:val="en-IN"/>
              </w:rPr>
            </w:pPr>
            <w:r w:rsidRPr="00A36200">
              <w:rPr>
                <w:rFonts w:ascii="Arial" w:hAnsi="Arial" w:cs="Arial"/>
                <w:lang w:val="en-IN"/>
              </w:rPr>
              <w:t>Travel, tourism, or hospitality sectors (including Tribal development districts)</w:t>
            </w:r>
          </w:p>
          <w:p w:rsidR="00B47209" w:rsidRPr="00A36200" w:rsidP="00CE5331" w14:paraId="45722B4A" w14:textId="352299F7">
            <w:pPr>
              <w:pStyle w:val="NoSpacing"/>
              <w:numPr>
                <w:ilvl w:val="0"/>
                <w:numId w:val="51"/>
              </w:numPr>
              <w:rPr>
                <w:rFonts w:ascii="Arial" w:hAnsi="Arial" w:cs="Arial"/>
                <w:lang w:val="en-IN"/>
              </w:rPr>
            </w:pPr>
            <w:r w:rsidRPr="00A36200">
              <w:rPr>
                <w:rFonts w:ascii="Arial" w:hAnsi="Arial" w:cs="Arial"/>
                <w:lang w:val="en-IN"/>
              </w:rPr>
              <w:t xml:space="preserve">Industry outside the travel, tourism, or hospitality sectors </w:t>
            </w:r>
            <w:r w:rsidR="00B83077">
              <w:rPr>
                <w:rFonts w:ascii="Arial" w:hAnsi="Arial" w:cs="Arial"/>
                <w:lang w:val="en-IN"/>
              </w:rPr>
              <w:t>that experienced a negative economic impact of the pandemic (please specify)</w:t>
            </w:r>
          </w:p>
        </w:tc>
        <w:tc>
          <w:tcPr>
            <w:tcW w:w="4176" w:type="dxa"/>
            <w:tcMar>
              <w:top w:w="0" w:type="dxa"/>
              <w:left w:w="108" w:type="dxa"/>
              <w:bottom w:w="0" w:type="dxa"/>
              <w:right w:w="108" w:type="dxa"/>
            </w:tcMar>
          </w:tcPr>
          <w:p w:rsidR="00B47209" w:rsidRPr="00A36200" w:rsidP="00737FF2" w14:paraId="47F3939E" w14:textId="77777777">
            <w:pPr>
              <w:pStyle w:val="NoSpacing"/>
              <w:rPr>
                <w:rFonts w:ascii="Arial" w:hAnsi="Arial" w:cs="Arial"/>
                <w:lang w:val="en-IN"/>
              </w:rPr>
            </w:pPr>
            <w:r w:rsidRPr="00A36200">
              <w:rPr>
                <w:rFonts w:ascii="Arial" w:hAnsi="Arial" w:cs="Arial"/>
                <w:lang w:val="en-IN"/>
              </w:rPr>
              <w:t>N/A</w:t>
            </w:r>
          </w:p>
        </w:tc>
      </w:tr>
    </w:tbl>
    <w:p w:rsidR="00B47209" w:rsidP="00E00324" w14:paraId="62F7901B" w14:textId="1298E6F1">
      <w:pPr>
        <w:pStyle w:val="NoSpacing"/>
        <w:ind w:left="990"/>
        <w:jc w:val="both"/>
      </w:pPr>
    </w:p>
    <w:p w:rsidR="0055463D" w:rsidP="0055463D" w14:paraId="10251308" w14:textId="7957E26F">
      <w:pPr>
        <w:pStyle w:val="NoSpacing"/>
        <w:jc w:val="both"/>
        <w:rPr>
          <w:rFonts w:ascii="ArialMT" w:hAnsi="ArialMT" w:cs="ArialMT"/>
        </w:rPr>
      </w:pPr>
    </w:p>
    <w:bookmarkEnd w:id="10"/>
    <w:bookmarkEnd w:id="11"/>
    <w:p w:rsidR="008947AC" w:rsidP="00CE5331" w14:paraId="56ECBCD7" w14:textId="0DF66F61">
      <w:pPr>
        <w:pStyle w:val="NoSpacing"/>
        <w:numPr>
          <w:ilvl w:val="0"/>
          <w:numId w:val="29"/>
        </w:numPr>
        <w:jc w:val="both"/>
      </w:pPr>
      <w:r w:rsidRPr="10A9F656">
        <w:rPr>
          <w:u w:val="single"/>
        </w:rPr>
        <w:t>Subawards</w:t>
      </w:r>
      <w:r w:rsidR="007F5216">
        <w:rPr>
          <w:u w:val="single"/>
        </w:rPr>
        <w:t>, Contracts, Grants, Loans, Transfers, and Direct Payments</w:t>
      </w:r>
      <w:r>
        <w:t>:</w:t>
      </w:r>
      <w:r w:rsidR="00653989">
        <w:t xml:space="preserve"> </w:t>
      </w:r>
      <w:r>
        <w:t xml:space="preserve">Each recipient shall also provide detailed obligation and expenditure information for any contracts and grants awarded, loans issued, transfers made to other government entities, and direct payments made by the recipient that are </w:t>
      </w:r>
      <w:r w:rsidR="001028EE">
        <w:t xml:space="preserve">equal to or </w:t>
      </w:r>
      <w:r>
        <w:t xml:space="preserve">greater than $50,000.  </w:t>
      </w:r>
      <w:r w:rsidR="009748DD">
        <w:t>As noted in</w:t>
      </w:r>
      <w:r w:rsidRPr="009748DD" w:rsidR="009748DD">
        <w:t xml:space="preserve"> </w:t>
      </w:r>
      <w:r w:rsidR="009748DD">
        <w:t xml:space="preserve">Treasury’s Project &amp; Expenditure User Guides, </w:t>
      </w:r>
      <w:r w:rsidRPr="009748DD" w:rsidR="009748DD">
        <w:t>subaward reporting for funds spent under the revenue loss eligible use category has not been required in past reporting periods</w:t>
      </w:r>
      <w:r w:rsidR="009748DD">
        <w:t xml:space="preserve">. Please note that as outlined in </w:t>
      </w:r>
      <w:r w:rsidR="00480D68">
        <w:t xml:space="preserve">Final Rule </w:t>
      </w:r>
      <w:r w:rsidR="009748DD">
        <w:t xml:space="preserve">FAQ 13.14, Treasury is not collecting subaward data for projects categorized under the revenue loss eligible use category. </w:t>
      </w:r>
    </w:p>
    <w:p w:rsidR="008947AC" w:rsidP="00FD6A50" w14:paraId="1D3B6766" w14:textId="77777777">
      <w:pPr>
        <w:pStyle w:val="NoSpacing"/>
        <w:ind w:left="360"/>
        <w:jc w:val="both"/>
      </w:pPr>
    </w:p>
    <w:p w:rsidR="008947AC" w:rsidP="00BD678B" w14:paraId="20BECCF0" w14:textId="0B2249F1">
      <w:pPr>
        <w:pStyle w:val="NoSpacing"/>
        <w:ind w:left="270"/>
        <w:jc w:val="both"/>
      </w:pPr>
      <w:r>
        <w:t xml:space="preserve">Recipients do </w:t>
      </w:r>
      <w:r w:rsidRPr="10A9F656">
        <w:rPr>
          <w:u w:val="single"/>
        </w:rPr>
        <w:t>not</w:t>
      </w:r>
      <w:r>
        <w:t xml:space="preserve"> need to submit separate monthly subaward reports to FSRS.gov as required pursuant to the 2 CFR Part 170, Appendix A award term regarding reporting subaward and executive compensation, which is included in the SLFRF Award Terms and Conditions. Treasury </w:t>
      </w:r>
      <w:r>
        <w:t xml:space="preserve">will submit this reporting on behalf of recipients using the $50,000 reporting threshold, timing, and data elements discussed in this guidance.  If recipients choose to continue reporting to FSRS.gov in addition to reporting directly to Treasury on these funds, they may do so and will be asked to notify Treasury as part of their quarterly submission.   </w:t>
      </w:r>
    </w:p>
    <w:p w:rsidR="00CC65BF" w:rsidP="00FD6A50" w14:paraId="21985585" w14:textId="77777777">
      <w:pPr>
        <w:pStyle w:val="NoSpacing"/>
        <w:ind w:firstLine="720"/>
        <w:jc w:val="both"/>
      </w:pPr>
    </w:p>
    <w:p w:rsidR="00965F06" w:rsidP="00BD678B" w14:paraId="791C1A34" w14:textId="13225C69">
      <w:pPr>
        <w:pStyle w:val="NoSpacing"/>
        <w:ind w:left="270"/>
        <w:jc w:val="both"/>
      </w:pPr>
      <w:r>
        <w:t xml:space="preserve">In general, recipients will be asked to provide the following information for each Contract, Grant, Loan, Transfer, or Direct Payment </w:t>
      </w:r>
      <w:r w:rsidR="001028EE">
        <w:t xml:space="preserve">equal to or </w:t>
      </w:r>
      <w:r>
        <w:t>greater than $50,000:</w:t>
      </w:r>
    </w:p>
    <w:p w:rsidR="00965F06" w:rsidP="00CE5331" w14:paraId="19E4C92B" w14:textId="5B496579">
      <w:pPr>
        <w:pStyle w:val="NoSpacing"/>
        <w:numPr>
          <w:ilvl w:val="0"/>
          <w:numId w:val="30"/>
        </w:numPr>
        <w:ind w:left="630"/>
        <w:jc w:val="both"/>
      </w:pPr>
      <w:r>
        <w:t xml:space="preserve">Subrecipient identifying and demographic information (e.g., </w:t>
      </w:r>
      <w:r w:rsidR="006646D0">
        <w:t>UEI/TIN</w:t>
      </w:r>
      <w:r>
        <w:t xml:space="preserve"> number and location)</w:t>
      </w:r>
    </w:p>
    <w:p w:rsidR="00965F06" w:rsidP="00CE5331" w14:paraId="79063F00" w14:textId="73C6F579">
      <w:pPr>
        <w:pStyle w:val="NoSpacing"/>
        <w:numPr>
          <w:ilvl w:val="0"/>
          <w:numId w:val="30"/>
        </w:numPr>
        <w:ind w:left="630"/>
        <w:jc w:val="both"/>
      </w:pPr>
      <w:r>
        <w:t>Award number (e.g., Award number, Contract number, Loan number)</w:t>
      </w:r>
    </w:p>
    <w:p w:rsidR="00CC653F" w:rsidP="00CE5331" w14:paraId="52DDCD65" w14:textId="1CD9FC98">
      <w:pPr>
        <w:pStyle w:val="NoSpacing"/>
        <w:numPr>
          <w:ilvl w:val="0"/>
          <w:numId w:val="30"/>
        </w:numPr>
        <w:ind w:left="630"/>
        <w:jc w:val="both"/>
      </w:pPr>
      <w:r>
        <w:t>Award date, type, amount, and description</w:t>
      </w:r>
    </w:p>
    <w:p w:rsidR="005E5C3E" w:rsidP="00CE5331" w14:paraId="46BB8ABC" w14:textId="71BC02DF">
      <w:pPr>
        <w:pStyle w:val="NoSpacing"/>
        <w:numPr>
          <w:ilvl w:val="0"/>
          <w:numId w:val="30"/>
        </w:numPr>
        <w:ind w:left="630"/>
        <w:jc w:val="both"/>
      </w:pPr>
      <w:r>
        <w:t>Award payment method (reimbursable or lump sum payment(s))</w:t>
      </w:r>
    </w:p>
    <w:p w:rsidR="005E5C3E" w:rsidP="00CE5331" w14:paraId="6C02E4E9" w14:textId="54C712EE">
      <w:pPr>
        <w:pStyle w:val="NoSpacing"/>
        <w:numPr>
          <w:ilvl w:val="0"/>
          <w:numId w:val="30"/>
        </w:numPr>
        <w:ind w:left="630"/>
        <w:jc w:val="both"/>
      </w:pPr>
      <w:r>
        <w:t>For loans, expiration date (date when loan expected to be paid in full)</w:t>
      </w:r>
    </w:p>
    <w:p w:rsidR="00965F06" w:rsidP="00CE5331" w14:paraId="7D247712" w14:textId="742E2048">
      <w:pPr>
        <w:pStyle w:val="NoSpacing"/>
        <w:numPr>
          <w:ilvl w:val="0"/>
          <w:numId w:val="30"/>
        </w:numPr>
        <w:ind w:left="630"/>
        <w:jc w:val="both"/>
      </w:pPr>
      <w:r>
        <w:t>Primary place of performance</w:t>
      </w:r>
    </w:p>
    <w:p w:rsidR="00965F06" w:rsidP="00CE5331" w14:paraId="7AF8DE9A" w14:textId="2899529C">
      <w:pPr>
        <w:pStyle w:val="NoSpacing"/>
        <w:numPr>
          <w:ilvl w:val="0"/>
          <w:numId w:val="30"/>
        </w:numPr>
        <w:ind w:left="630"/>
        <w:jc w:val="both"/>
      </w:pPr>
      <w:r>
        <w:t>Related project name(s)</w:t>
      </w:r>
    </w:p>
    <w:p w:rsidR="005504E3" w:rsidP="00CE5331" w14:paraId="4BF51BFF" w14:textId="0F1C4EC4">
      <w:pPr>
        <w:pStyle w:val="NoSpacing"/>
        <w:numPr>
          <w:ilvl w:val="0"/>
          <w:numId w:val="30"/>
        </w:numPr>
        <w:ind w:left="630"/>
        <w:jc w:val="both"/>
      </w:pPr>
      <w:r>
        <w:t>Related project identification number(s) (created by the recipient)</w:t>
      </w:r>
    </w:p>
    <w:p w:rsidR="00965F06" w:rsidP="00CE5331" w14:paraId="3880BDE5" w14:textId="1D02E63E">
      <w:pPr>
        <w:pStyle w:val="NoSpacing"/>
        <w:numPr>
          <w:ilvl w:val="0"/>
          <w:numId w:val="30"/>
        </w:numPr>
        <w:ind w:left="630"/>
        <w:jc w:val="both"/>
      </w:pPr>
      <w:r>
        <w:t>Period of performance start date</w:t>
      </w:r>
    </w:p>
    <w:p w:rsidR="00965F06" w:rsidP="00CE5331" w14:paraId="3E01CF16" w14:textId="13479B83">
      <w:pPr>
        <w:pStyle w:val="NoSpacing"/>
        <w:numPr>
          <w:ilvl w:val="0"/>
          <w:numId w:val="30"/>
        </w:numPr>
        <w:ind w:left="630"/>
        <w:jc w:val="both"/>
      </w:pPr>
      <w:r>
        <w:t>Period of performance end date</w:t>
      </w:r>
    </w:p>
    <w:p w:rsidR="00965F06" w:rsidP="00CE5331" w14:paraId="6672511D" w14:textId="3D25B2E7">
      <w:pPr>
        <w:pStyle w:val="NoSpacing"/>
        <w:numPr>
          <w:ilvl w:val="0"/>
          <w:numId w:val="30"/>
        </w:numPr>
        <w:ind w:left="630"/>
        <w:jc w:val="both"/>
      </w:pPr>
      <w:r>
        <w:t>Quarterly obligation amount</w:t>
      </w:r>
    </w:p>
    <w:p w:rsidR="00965F06" w:rsidP="00CE5331" w14:paraId="4A9EA25F" w14:textId="6A4D183D">
      <w:pPr>
        <w:pStyle w:val="NoSpacing"/>
        <w:numPr>
          <w:ilvl w:val="0"/>
          <w:numId w:val="30"/>
        </w:numPr>
        <w:ind w:left="630"/>
        <w:jc w:val="both"/>
      </w:pPr>
      <w:r>
        <w:t>Quarterly expenditure amount</w:t>
      </w:r>
    </w:p>
    <w:p w:rsidR="00152073" w:rsidP="00CE5331" w14:paraId="6FA4F084" w14:textId="7418AAA3">
      <w:pPr>
        <w:pStyle w:val="NoSpacing"/>
        <w:numPr>
          <w:ilvl w:val="0"/>
          <w:numId w:val="30"/>
        </w:numPr>
        <w:ind w:left="630"/>
        <w:jc w:val="both"/>
      </w:pPr>
      <w:r>
        <w:t>Project(s)</w:t>
      </w:r>
    </w:p>
    <w:p w:rsidR="00F71A4E" w:rsidRPr="0023385C" w:rsidP="00CE5331" w14:paraId="1BA808DF" w14:textId="47385234">
      <w:pPr>
        <w:pStyle w:val="NoSpacing"/>
        <w:numPr>
          <w:ilvl w:val="0"/>
          <w:numId w:val="30"/>
        </w:numPr>
        <w:ind w:left="630"/>
        <w:jc w:val="both"/>
      </w:pPr>
      <w:r>
        <w:t>Additional programmatic performance indicators for select Expenditure Categories (see below)</w:t>
      </w:r>
    </w:p>
    <w:p w:rsidR="0066318A" w:rsidP="00FD6A50" w14:paraId="07340B90" w14:textId="77777777">
      <w:pPr>
        <w:pStyle w:val="NoSpacing"/>
        <w:ind w:left="360"/>
        <w:jc w:val="both"/>
      </w:pPr>
    </w:p>
    <w:p w:rsidR="0066318A" w:rsidRPr="003825FA" w:rsidP="10A9F656" w14:paraId="0B6D5BB4" w14:textId="2B059C41">
      <w:pPr>
        <w:pStyle w:val="NoSpacing"/>
        <w:ind w:left="270"/>
        <w:jc w:val="both"/>
        <w:rPr>
          <w:rFonts w:eastAsia="Times New Roman" w:cs="Arial"/>
        </w:rPr>
      </w:pPr>
      <w:r>
        <w:t xml:space="preserve">Aggregate reporting is required for contracts, grants, transfers made to other government entities, loans, </w:t>
      </w:r>
      <w:r w:rsidR="000A2E21">
        <w:t xml:space="preserve">and </w:t>
      </w:r>
      <w:r>
        <w:t>direct payments</w:t>
      </w:r>
      <w:r w:rsidR="00452F60">
        <w:t xml:space="preserve"> that are below $50,000.</w:t>
      </w:r>
      <w:r>
        <w:t xml:space="preserve"> </w:t>
      </w:r>
      <w:r w:rsidRPr="10A9F656">
        <w:rPr>
          <w:rFonts w:eastAsia="Times New Roman" w:cs="Arial"/>
        </w:rPr>
        <w:t xml:space="preserve">This information will be accounted for by </w:t>
      </w:r>
      <w:r w:rsidR="00AC7B97">
        <w:rPr>
          <w:rFonts w:eastAsia="Times New Roman" w:cs="Arial"/>
        </w:rPr>
        <w:t>E</w:t>
      </w:r>
      <w:r w:rsidRPr="10A9F656">
        <w:rPr>
          <w:rFonts w:eastAsia="Times New Roman" w:cs="Arial"/>
        </w:rPr>
        <w:t xml:space="preserve">xpenditure </w:t>
      </w:r>
      <w:r w:rsidR="00AC7B97">
        <w:rPr>
          <w:rFonts w:eastAsia="Times New Roman" w:cs="Arial"/>
        </w:rPr>
        <w:t>C</w:t>
      </w:r>
      <w:r w:rsidRPr="10A9F656">
        <w:rPr>
          <w:rFonts w:eastAsia="Times New Roman" w:cs="Arial"/>
        </w:rPr>
        <w:t xml:space="preserve">ategory at the project level. </w:t>
      </w:r>
      <w:r w:rsidR="007F5216">
        <w:rPr>
          <w:rFonts w:eastAsia="Times New Roman" w:cs="Arial"/>
        </w:rPr>
        <w:t xml:space="preserve">Note that all </w:t>
      </w:r>
      <w:r w:rsidR="00452F60">
        <w:rPr>
          <w:rFonts w:eastAsia="Times New Roman" w:cs="Arial"/>
        </w:rPr>
        <w:t xml:space="preserve">obligations and expenditures </w:t>
      </w:r>
      <w:r w:rsidR="007F5216">
        <w:rPr>
          <w:rFonts w:eastAsia="Times New Roman" w:cs="Arial"/>
        </w:rPr>
        <w:t xml:space="preserve">made </w:t>
      </w:r>
      <w:r w:rsidR="00452F60">
        <w:rPr>
          <w:rFonts w:eastAsia="Times New Roman" w:cs="Arial"/>
        </w:rPr>
        <w:t xml:space="preserve">directly </w:t>
      </w:r>
      <w:r w:rsidR="007F5216">
        <w:rPr>
          <w:rFonts w:eastAsia="Times New Roman" w:cs="Arial"/>
        </w:rPr>
        <w:t xml:space="preserve">to </w:t>
      </w:r>
      <w:r w:rsidR="00452F60">
        <w:rPr>
          <w:rFonts w:eastAsia="Times New Roman" w:cs="Arial"/>
        </w:rPr>
        <w:t>individuals</w:t>
      </w:r>
      <w:r w:rsidR="007F5216">
        <w:rPr>
          <w:rFonts w:eastAsia="Times New Roman" w:cs="Arial"/>
        </w:rPr>
        <w:t>, regardless of dollar amount, should be included in aggregate reporting.</w:t>
      </w:r>
    </w:p>
    <w:p w:rsidR="00621176" w:rsidP="00FD6A50" w14:paraId="10F0AD02" w14:textId="7C29E124">
      <w:pPr>
        <w:pStyle w:val="NoSpacing"/>
        <w:jc w:val="both"/>
      </w:pPr>
    </w:p>
    <w:p w:rsidR="00CC65BF" w:rsidRPr="00BD678B" w:rsidP="10A9F656" w14:paraId="4BC8C849" w14:textId="4DF9CB61">
      <w:pPr>
        <w:pStyle w:val="NoSpacing"/>
        <w:ind w:left="270"/>
        <w:jc w:val="both"/>
        <w:rPr>
          <w:rFonts w:ascii="Arial" w:hAnsi="Arial"/>
        </w:rPr>
      </w:pPr>
      <w:r w:rsidRPr="10A9F656">
        <w:rPr>
          <w:rFonts w:ascii="Arial" w:hAnsi="Arial"/>
        </w:rPr>
        <w:t xml:space="preserve">As required by </w:t>
      </w:r>
      <w:r>
        <w:t>the 2 CFR Part 170, Appendix A award term regarding reporting subaward and executive compensation</w:t>
      </w:r>
      <w:r w:rsidRPr="10A9F656">
        <w:rPr>
          <w:rFonts w:ascii="Arial" w:hAnsi="Arial"/>
        </w:rPr>
        <w:t xml:space="preserve">, recipients must also report </w:t>
      </w:r>
      <w:r w:rsidRPr="10A9F656">
        <w:rPr>
          <w:rFonts w:ascii="Arial" w:hAnsi="Arial" w:cs="Arial"/>
          <w:lang w:val="en"/>
        </w:rPr>
        <w:t xml:space="preserve">the names and total compensation of their five most highly compensated executives and their subrecipients’ executives for the preceding completed fiscal year if (1) the recipient received 80 percent or more of its annual gross revenues from Federal procurement contracts (and subcontracts) and Federal financial assistance subject to the Transparency Act, as provided by 2 CFR 170.320 (and subawards), and received $25,000,000 or more in annual gross revenues from Federal procurement contracts (and subcontracts) and Federal financial assistance subject to the Transparency Act (and subawards), and (2) </w:t>
      </w:r>
      <w:r w:rsidRPr="10A9F656">
        <w:rPr>
          <w:rFonts w:ascii="Arial" w:hAnsi="Arial"/>
        </w:rPr>
        <w:t xml:space="preserve">if the information is not otherwise public.  In general, most SLFRF </w:t>
      </w:r>
      <w:r w:rsidR="00C14349">
        <w:rPr>
          <w:rFonts w:ascii="Arial" w:hAnsi="Arial"/>
        </w:rPr>
        <w:t>r</w:t>
      </w:r>
      <w:r w:rsidRPr="10A9F656">
        <w:rPr>
          <w:rFonts w:ascii="Arial" w:hAnsi="Arial"/>
        </w:rPr>
        <w:t xml:space="preserve">ecipients are governmental entities with executive salaries that are already disclosed, so no additional information </w:t>
      </w:r>
      <w:r w:rsidR="00C14349">
        <w:rPr>
          <w:rFonts w:ascii="Arial" w:hAnsi="Arial"/>
        </w:rPr>
        <w:t>would be required to</w:t>
      </w:r>
      <w:r w:rsidRPr="10A9F656" w:rsidR="00C14349">
        <w:rPr>
          <w:rFonts w:ascii="Arial" w:hAnsi="Arial"/>
        </w:rPr>
        <w:t xml:space="preserve"> </w:t>
      </w:r>
      <w:r w:rsidRPr="10A9F656">
        <w:rPr>
          <w:rFonts w:ascii="Arial" w:hAnsi="Arial"/>
        </w:rPr>
        <w:t>be reported</w:t>
      </w:r>
      <w:r w:rsidR="000A2E21">
        <w:rPr>
          <w:rFonts w:ascii="Arial" w:hAnsi="Arial"/>
        </w:rPr>
        <w:t xml:space="preserve"> for them</w:t>
      </w:r>
      <w:r w:rsidRPr="10A9F656">
        <w:rPr>
          <w:rFonts w:ascii="Arial" w:hAnsi="Arial"/>
        </w:rPr>
        <w:t>. The recipient is responsible for the subrecipients’ compliance with registering and maintaining an updated profile on SAM.gov.</w:t>
      </w:r>
    </w:p>
    <w:p w:rsidR="00857209" w:rsidP="00FD6A50" w14:paraId="35696F4B" w14:textId="77777777">
      <w:pPr>
        <w:pStyle w:val="NoSpacing"/>
        <w:ind w:left="360"/>
        <w:jc w:val="both"/>
        <w:rPr>
          <w:b/>
          <w:bCs/>
        </w:rPr>
      </w:pPr>
    </w:p>
    <w:p w:rsidR="10A9F656" w:rsidP="00CE5331" w14:paraId="13FA57D1" w14:textId="0910204F">
      <w:pPr>
        <w:pStyle w:val="ListParagraph"/>
        <w:numPr>
          <w:ilvl w:val="0"/>
          <w:numId w:val="29"/>
        </w:numPr>
        <w:spacing w:after="0" w:line="240" w:lineRule="auto"/>
        <w:jc w:val="both"/>
      </w:pPr>
      <w:r w:rsidRPr="031E305F">
        <w:rPr>
          <w:u w:val="single"/>
        </w:rPr>
        <w:t>Civil Rights Compliance</w:t>
      </w:r>
      <w:r>
        <w:t xml:space="preserve">: Treasury will request information on recipients’ compliance with Title VI of the Civil Rights Act of 1964, as applicable, on an annual basis. This information may include a narrative describing the recipient’s compliance with Title VI, along with other questions and assurances. </w:t>
      </w:r>
      <w:r w:rsidRPr="031E305F">
        <w:rPr>
          <w:rFonts w:eastAsiaTheme="minorEastAsia"/>
        </w:rPr>
        <w:t xml:space="preserve"> This collection does not apply to Tribal </w:t>
      </w:r>
      <w:r w:rsidR="00017297">
        <w:rPr>
          <w:rFonts w:eastAsiaTheme="minorEastAsia"/>
        </w:rPr>
        <w:t>g</w:t>
      </w:r>
      <w:r w:rsidRPr="031E305F">
        <w:rPr>
          <w:rFonts w:eastAsiaTheme="minorEastAsia"/>
        </w:rPr>
        <w:t>overnments</w:t>
      </w:r>
      <w:r>
        <w:rPr>
          <w:rStyle w:val="FootnoteReference"/>
          <w:rFonts w:eastAsiaTheme="minorEastAsia"/>
        </w:rPr>
        <w:footnoteReference w:id="16"/>
      </w:r>
      <w:r>
        <w:t xml:space="preserve"> </w:t>
      </w:r>
    </w:p>
    <w:p w:rsidR="00DD25D4" w:rsidP="002C1B16" w14:paraId="5B091E32" w14:textId="77777777">
      <w:pPr>
        <w:pStyle w:val="NoSpacing"/>
        <w:ind w:left="270"/>
        <w:jc w:val="both"/>
      </w:pPr>
    </w:p>
    <w:p w:rsidR="00885A0B" w:rsidRPr="00985D66" w:rsidP="00CE5331" w14:paraId="041E7F58" w14:textId="3FBF40C7">
      <w:pPr>
        <w:pStyle w:val="ListParagraph"/>
        <w:numPr>
          <w:ilvl w:val="0"/>
          <w:numId w:val="29"/>
        </w:numPr>
        <w:spacing w:after="0" w:line="240" w:lineRule="auto"/>
        <w:rPr>
          <w:rFonts w:eastAsia="Times New Roman" w:cstheme="minorHAnsi"/>
          <w:color w:val="000000"/>
        </w:rPr>
      </w:pPr>
      <w:r w:rsidRPr="000A2E21">
        <w:rPr>
          <w:u w:val="single"/>
        </w:rPr>
        <w:t>Ineligible Activities: Tax Offset Provision (States and territories only)</w:t>
      </w:r>
      <w:r>
        <w:t xml:space="preserve">: </w:t>
      </w:r>
      <w:r w:rsidRPr="00985D66">
        <w:rPr>
          <w:rFonts w:eastAsia="Times New Roman" w:cstheme="minorHAnsi"/>
          <w:color w:val="000000"/>
        </w:rPr>
        <w:t xml:space="preserve">Section 602(c)(2)(A) of the Social Security Act prohibits a State or territory from using SLFRF funds to </w:t>
      </w:r>
      <w:r w:rsidRPr="00985D66">
        <w:rPr>
          <w:rFonts w:eastAsia="Times New Roman" w:cstheme="minorHAnsi"/>
          <w:color w:val="000000"/>
        </w:rPr>
        <w:t>directly or indirectly offset a reduction</w:t>
      </w:r>
      <w:r w:rsidRPr="00985D66">
        <w:rPr>
          <w:rFonts w:eastAsia="Times New Roman" w:cstheme="minorHAnsi"/>
          <w:color w:val="000000"/>
        </w:rPr>
        <w:t xml:space="preserve"> in the net tax revenue of the State or territory resulting from a change in law, regulation, or administrative interpretation during the covered period (the “Tax Offset Provision”). The Final Rule implements the Tax Offset Provision at 31 CFR § 35.8. </w:t>
      </w:r>
      <w:r w:rsidRPr="00985D66" w:rsidR="00212261">
        <w:rPr>
          <w:rFonts w:eastAsia="Times New Roman" w:cstheme="minorHAnsi"/>
          <w:color w:val="000000"/>
        </w:rPr>
        <w:t xml:space="preserve">Violations of the Tax </w:t>
      </w:r>
      <w:r w:rsidRPr="00985D66" w:rsidR="00212261">
        <w:rPr>
          <w:rFonts w:eastAsia="Times New Roman" w:cstheme="minorHAnsi"/>
          <w:color w:val="000000"/>
        </w:rPr>
        <w:t xml:space="preserve">Offset Provision may be subject to recoupment. </w:t>
      </w:r>
      <w:r w:rsidRPr="00985D66">
        <w:rPr>
          <w:rFonts w:eastAsia="Times New Roman" w:cstheme="minorHAnsi"/>
          <w:color w:val="000000"/>
        </w:rPr>
        <w:t xml:space="preserve">The following information is required for Treasury to ensure SLFRF funding is not used for ineligible activities related to the Tax Offset Provision. </w:t>
      </w:r>
    </w:p>
    <w:p w:rsidR="00885A0B" w:rsidRPr="00885A0B" w:rsidP="00885A0B" w14:paraId="2108119C" w14:textId="77777777">
      <w:pPr>
        <w:spacing w:after="0" w:line="240" w:lineRule="auto"/>
        <w:rPr>
          <w:rFonts w:eastAsia="Times New Roman" w:cstheme="minorHAnsi"/>
          <w:color w:val="000000"/>
        </w:rPr>
      </w:pPr>
    </w:p>
    <w:p w:rsidR="00885A0B" w:rsidRPr="00885A0B" w:rsidP="00FA4703" w14:paraId="4D9861D1" w14:textId="3EE5564C">
      <w:pPr>
        <w:spacing w:after="0" w:line="240" w:lineRule="auto"/>
        <w:ind w:left="270"/>
        <w:rPr>
          <w:rFonts w:eastAsia="Times New Roman" w:cstheme="minorHAnsi"/>
          <w:color w:val="000000"/>
        </w:rPr>
      </w:pPr>
      <w:r w:rsidRPr="00885A0B">
        <w:rPr>
          <w:rFonts w:eastAsia="Times New Roman" w:cstheme="minorHAnsi"/>
          <w:color w:val="000000"/>
        </w:rPr>
        <w:t xml:space="preserve">For each reporting year, in the quarterly reporting cycle occurring 90 days after the end of the recipient’s fiscal year, States and territories will report certain items related to the Tax Offset Provision, as detailed below. For example, if a recipient’s fiscal year ends June 30, 2022, reporting on the Tax Offset Provision for fiscal year 2022 will be due in October 2022. All States and territories </w:t>
      </w:r>
      <w:r w:rsidR="000E19EA">
        <w:rPr>
          <w:rFonts w:eastAsia="Times New Roman" w:cstheme="minorHAnsi"/>
          <w:color w:val="000000"/>
        </w:rPr>
        <w:t xml:space="preserve">reported </w:t>
      </w:r>
      <w:r w:rsidRPr="00885A0B">
        <w:rPr>
          <w:rFonts w:eastAsia="Times New Roman" w:cstheme="minorHAnsi"/>
          <w:color w:val="000000"/>
        </w:rPr>
        <w:t xml:space="preserve">on the Tax Offset Provision for fiscal year 2021 in July 2022. </w:t>
      </w:r>
    </w:p>
    <w:p w:rsidR="00885A0B" w:rsidRPr="00885A0B" w:rsidP="00885A0B" w14:paraId="69ED6817" w14:textId="77777777">
      <w:pPr>
        <w:spacing w:after="0" w:line="240" w:lineRule="auto"/>
        <w:rPr>
          <w:rFonts w:eastAsia="Times New Roman" w:cstheme="minorHAnsi"/>
          <w:color w:val="000000"/>
        </w:rPr>
      </w:pPr>
    </w:p>
    <w:p w:rsidR="00885A0B" w:rsidRPr="00885A0B" w:rsidP="00FA4703" w14:paraId="53BF1A0A" w14:textId="33019961">
      <w:pPr>
        <w:spacing w:after="0" w:line="240" w:lineRule="auto"/>
        <w:ind w:left="270"/>
        <w:rPr>
          <w:rFonts w:eastAsia="Times New Roman" w:cstheme="minorHAnsi"/>
          <w:color w:val="000000"/>
        </w:rPr>
      </w:pPr>
      <w:r w:rsidRPr="00885A0B">
        <w:rPr>
          <w:rFonts w:eastAsia="Times New Roman" w:cstheme="minorHAnsi"/>
          <w:color w:val="000000"/>
        </w:rPr>
        <w:t xml:space="preserve">As indicated in the </w:t>
      </w:r>
      <w:r w:rsidR="009A79C9">
        <w:rPr>
          <w:rFonts w:eastAsia="Times New Roman" w:cstheme="minorHAnsi"/>
          <w:color w:val="000000"/>
        </w:rPr>
        <w:t>f</w:t>
      </w:r>
      <w:r w:rsidRPr="00885A0B">
        <w:rPr>
          <w:rFonts w:eastAsia="Times New Roman" w:cstheme="minorHAnsi"/>
          <w:color w:val="000000"/>
        </w:rPr>
        <w:t xml:space="preserve">inal </w:t>
      </w:r>
      <w:r w:rsidR="009A79C9">
        <w:rPr>
          <w:rFonts w:eastAsia="Times New Roman" w:cstheme="minorHAnsi"/>
          <w:color w:val="000000"/>
        </w:rPr>
        <w:t>r</w:t>
      </w:r>
      <w:r w:rsidRPr="00885A0B">
        <w:rPr>
          <w:rFonts w:eastAsia="Times New Roman" w:cstheme="minorHAnsi"/>
          <w:color w:val="000000"/>
        </w:rPr>
        <w:t xml:space="preserve">ule, Treasury is implementing a tiered approach to reporting on the Tax Offset Provision, which is described below.  Although Treasury is implementing a tiered approach to reporting, recipients should maintain records to support their compliance with the </w:t>
      </w:r>
      <w:r w:rsidR="009A79C9">
        <w:rPr>
          <w:rFonts w:eastAsia="Times New Roman" w:cstheme="minorHAnsi"/>
          <w:color w:val="000000"/>
        </w:rPr>
        <w:t>T</w:t>
      </w:r>
      <w:r w:rsidRPr="00885A0B">
        <w:rPr>
          <w:rFonts w:eastAsia="Times New Roman" w:cstheme="minorHAnsi"/>
          <w:color w:val="000000"/>
        </w:rPr>
        <w:t xml:space="preserve">ax </w:t>
      </w:r>
      <w:r w:rsidR="009A79C9">
        <w:rPr>
          <w:rFonts w:eastAsia="Times New Roman" w:cstheme="minorHAnsi"/>
          <w:color w:val="000000"/>
        </w:rPr>
        <w:t>O</w:t>
      </w:r>
      <w:r w:rsidRPr="00885A0B">
        <w:rPr>
          <w:rFonts w:eastAsia="Times New Roman" w:cstheme="minorHAnsi"/>
          <w:color w:val="000000"/>
        </w:rPr>
        <w:t xml:space="preserve">ffset </w:t>
      </w:r>
      <w:r w:rsidR="009A79C9">
        <w:rPr>
          <w:rFonts w:eastAsia="Times New Roman" w:cstheme="minorHAnsi"/>
          <w:color w:val="000000"/>
        </w:rPr>
        <w:t>P</w:t>
      </w:r>
      <w:r w:rsidRPr="00885A0B">
        <w:rPr>
          <w:rFonts w:eastAsia="Times New Roman" w:cstheme="minorHAnsi"/>
          <w:color w:val="000000"/>
        </w:rPr>
        <w:t xml:space="preserve">rovision.  </w:t>
      </w:r>
    </w:p>
    <w:p w:rsidR="00885A0B" w:rsidRPr="00885A0B" w:rsidP="00885A0B" w14:paraId="6556C9BF" w14:textId="7BE2EC92">
      <w:pPr>
        <w:spacing w:after="0" w:line="240" w:lineRule="auto"/>
        <w:rPr>
          <w:rFonts w:eastAsia="Times New Roman" w:cstheme="minorHAnsi"/>
          <w:color w:val="000000"/>
        </w:rPr>
      </w:pPr>
    </w:p>
    <w:p w:rsidR="00885A0B" w:rsidRPr="00885A0B" w:rsidP="00FA4703" w14:paraId="4D86959A" w14:textId="4CCCEDBD">
      <w:pPr>
        <w:spacing w:after="0" w:line="240" w:lineRule="auto"/>
        <w:ind w:left="270"/>
        <w:rPr>
          <w:rFonts w:eastAsia="Times New Roman" w:cstheme="minorHAnsi"/>
          <w:color w:val="000000"/>
        </w:rPr>
      </w:pPr>
      <w:r w:rsidRPr="00885A0B">
        <w:rPr>
          <w:rFonts w:eastAsia="Times New Roman" w:cstheme="minorHAnsi"/>
          <w:color w:val="000000"/>
        </w:rPr>
        <w:t>The terms “reporting year,” “baseline,” “covered change,” “covered period,” “net reduction in total spending,” and “tax revenue” are defined in the Final Rule, 31 CFR § 35.3. For purposes of calculating a net reduction in total spending, total spending for the fiscal year ending 2019 should be reported on an inflation-adjusted basis, consistent with the Final Rule. Similarly, for purposes of calculating baseline</w:t>
      </w:r>
      <w:r w:rsidR="00D908A4">
        <w:rPr>
          <w:rFonts w:eastAsia="Times New Roman" w:cstheme="minorHAnsi"/>
          <w:color w:val="000000"/>
        </w:rPr>
        <w:t xml:space="preserve"> </w:t>
      </w:r>
      <w:r w:rsidR="00C739BA">
        <w:rPr>
          <w:rFonts w:eastAsia="Times New Roman" w:cstheme="minorHAnsi"/>
          <w:color w:val="000000"/>
        </w:rPr>
        <w:t xml:space="preserve">tax </w:t>
      </w:r>
      <w:r w:rsidR="00D908A4">
        <w:rPr>
          <w:rFonts w:eastAsia="Times New Roman" w:cstheme="minorHAnsi"/>
          <w:color w:val="000000"/>
        </w:rPr>
        <w:t>revenue</w:t>
      </w:r>
      <w:r w:rsidRPr="00885A0B">
        <w:rPr>
          <w:rFonts w:eastAsia="Times New Roman" w:cstheme="minorHAnsi"/>
          <w:color w:val="000000"/>
        </w:rPr>
        <w:t>, tax revenue for the fiscal year 2019 should be reported on an inflation-adjusted basis, consistent with the Final Rule.</w:t>
      </w:r>
    </w:p>
    <w:p w:rsidR="00885A0B" w:rsidRPr="00885A0B" w:rsidP="00885A0B" w14:paraId="3F262065" w14:textId="77777777">
      <w:pPr>
        <w:spacing w:after="0" w:line="240" w:lineRule="auto"/>
        <w:rPr>
          <w:rFonts w:eastAsia="Times New Roman" w:cstheme="minorHAnsi"/>
          <w:color w:val="000000"/>
        </w:rPr>
      </w:pPr>
    </w:p>
    <w:p w:rsidR="00885A0B" w:rsidRPr="00885A0B" w:rsidP="00FA4703" w14:paraId="34B5884D" w14:textId="455D865D">
      <w:pPr>
        <w:spacing w:after="0" w:line="240" w:lineRule="auto"/>
        <w:ind w:left="270"/>
        <w:rPr>
          <w:rFonts w:eastAsia="Times New Roman" w:cstheme="minorHAnsi"/>
          <w:color w:val="000000"/>
        </w:rPr>
      </w:pPr>
      <w:r w:rsidRPr="00885A0B">
        <w:rPr>
          <w:rFonts w:eastAsia="Times New Roman" w:cstheme="minorHAnsi"/>
          <w:color w:val="000000"/>
        </w:rPr>
        <w:t xml:space="preserve">For purposes of reporting actual tax revenue </w:t>
      </w:r>
      <w:r w:rsidR="004D1FC3">
        <w:rPr>
          <w:rFonts w:eastAsia="Times New Roman" w:cstheme="minorHAnsi"/>
          <w:color w:val="000000"/>
        </w:rPr>
        <w:t xml:space="preserve">for the requested fiscal year </w:t>
      </w:r>
      <w:r w:rsidRPr="00885A0B">
        <w:rPr>
          <w:rFonts w:eastAsia="Times New Roman" w:cstheme="minorHAnsi"/>
          <w:color w:val="000000"/>
        </w:rPr>
        <w:t xml:space="preserve">and </w:t>
      </w:r>
      <w:r w:rsidR="004D1FC3">
        <w:rPr>
          <w:rFonts w:eastAsia="Times New Roman" w:cstheme="minorHAnsi"/>
          <w:color w:val="000000"/>
        </w:rPr>
        <w:t xml:space="preserve">baseline </w:t>
      </w:r>
      <w:r w:rsidRPr="00885A0B">
        <w:rPr>
          <w:rFonts w:eastAsia="Times New Roman" w:cstheme="minorHAnsi"/>
          <w:color w:val="000000"/>
        </w:rPr>
        <w:t>tax revenue for the fiscal year ending 2019</w:t>
      </w:r>
      <w:r w:rsidR="00D908A4">
        <w:rPr>
          <w:rFonts w:eastAsia="Times New Roman" w:cstheme="minorHAnsi"/>
          <w:color w:val="000000"/>
        </w:rPr>
        <w:t>,</w:t>
      </w:r>
      <w:r>
        <w:rPr>
          <w:rStyle w:val="FootnoteReference"/>
          <w:rFonts w:eastAsia="Times New Roman" w:cstheme="minorHAnsi"/>
          <w:color w:val="000000"/>
        </w:rPr>
        <w:footnoteReference w:id="17"/>
      </w:r>
      <w:r w:rsidRPr="00885A0B">
        <w:rPr>
          <w:rFonts w:eastAsia="Times New Roman" w:cstheme="minorHAnsi"/>
          <w:color w:val="000000"/>
        </w:rPr>
        <w:t xml:space="preserve"> (a) if available, recipients should report information using audited financials and (b) recipients may provide data on a cash, accrual, or modified accrual basis, but must be consistent in their approach across all reporting periods. Similarly, for purposes of calculating a net reduction in total spending, recipients should report data using audited financials where available.</w:t>
      </w:r>
    </w:p>
    <w:p w:rsidR="00885A0B" w:rsidRPr="00885A0B" w:rsidP="00885A0B" w14:paraId="333AC1FF" w14:textId="77777777">
      <w:pPr>
        <w:spacing w:after="0" w:line="240" w:lineRule="auto"/>
        <w:rPr>
          <w:rFonts w:eastAsia="Times New Roman" w:cstheme="minorHAnsi"/>
          <w:color w:val="000000"/>
        </w:rPr>
      </w:pPr>
    </w:p>
    <w:p w:rsidR="00885A0B" w:rsidRPr="00885A0B" w:rsidP="00FA4703" w14:paraId="70312D2C" w14:textId="77777777">
      <w:pPr>
        <w:spacing w:after="0" w:line="240" w:lineRule="auto"/>
        <w:ind w:left="270"/>
        <w:rPr>
          <w:rFonts w:eastAsia="Times New Roman" w:cstheme="minorHAnsi"/>
          <w:color w:val="000000"/>
        </w:rPr>
      </w:pPr>
      <w:r w:rsidRPr="00885A0B">
        <w:rPr>
          <w:rFonts w:eastAsia="Times New Roman" w:cstheme="minorHAnsi"/>
          <w:color w:val="000000"/>
        </w:rPr>
        <w:t xml:space="preserve">Recipients will first answer a series of summary questions to determine the tiering of their tax offset reporting: </w:t>
      </w:r>
    </w:p>
    <w:p w:rsidR="00885A0B" w:rsidRPr="00885A0B" w:rsidP="00885A0B" w14:paraId="299EF383" w14:textId="77777777">
      <w:pPr>
        <w:spacing w:after="0" w:line="240" w:lineRule="auto"/>
        <w:rPr>
          <w:rFonts w:eastAsia="Times New Roman" w:cstheme="minorHAnsi"/>
          <w:color w:val="000000"/>
        </w:rPr>
      </w:pPr>
    </w:p>
    <w:p w:rsidR="00885A0B" w:rsidRPr="00885A0B" w:rsidP="00FA4703" w14:paraId="51F0AC40" w14:textId="77777777">
      <w:pPr>
        <w:spacing w:after="0" w:line="240" w:lineRule="auto"/>
        <w:ind w:firstLine="270"/>
        <w:rPr>
          <w:rFonts w:eastAsia="Times New Roman" w:cstheme="minorHAnsi"/>
          <w:b/>
          <w:bCs/>
          <w:color w:val="000000"/>
        </w:rPr>
      </w:pPr>
      <w:r w:rsidRPr="00885A0B">
        <w:rPr>
          <w:rFonts w:eastAsia="Times New Roman" w:cstheme="minorHAnsi"/>
          <w:b/>
          <w:bCs/>
          <w:color w:val="000000"/>
        </w:rPr>
        <w:t xml:space="preserve">Summary Questions </w:t>
      </w:r>
    </w:p>
    <w:p w:rsidR="00885A0B" w:rsidRPr="00885A0B" w:rsidP="00CE5331" w14:paraId="190CEDEA" w14:textId="77777777">
      <w:pPr>
        <w:pStyle w:val="ListParagraph"/>
        <w:numPr>
          <w:ilvl w:val="0"/>
          <w:numId w:val="58"/>
        </w:numPr>
        <w:spacing w:after="0" w:line="240" w:lineRule="auto"/>
        <w:rPr>
          <w:rFonts w:eastAsia="Times New Roman" w:cstheme="minorHAnsi"/>
          <w:color w:val="000000"/>
        </w:rPr>
      </w:pPr>
      <w:bookmarkStart w:id="12" w:name="_Hlk100916845"/>
      <w:r w:rsidRPr="00885A0B">
        <w:rPr>
          <w:rFonts w:eastAsia="Times New Roman" w:cstheme="minorHAnsi"/>
          <w:color w:val="000000"/>
        </w:rPr>
        <w:t>Do you have revenue-reducing covered change(s) to report for the requested fiscal year and for future fiscal years? Yes/No</w:t>
      </w:r>
    </w:p>
    <w:bookmarkEnd w:id="12"/>
    <w:p w:rsidR="00885A0B" w:rsidRPr="00885A0B" w:rsidP="00CE5331" w14:paraId="200FFB9B"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If no, recipients have no further reporting requirements in the tax offset section. (Remaining summary questions will be greyed out).</w:t>
      </w:r>
    </w:p>
    <w:p w:rsidR="00885A0B" w:rsidRPr="00885A0B" w:rsidP="00CE5331" w14:paraId="20343BBB"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 xml:space="preserve">If yes, recipients will complete part 1 and additional fields. </w:t>
      </w:r>
    </w:p>
    <w:p w:rsidR="00885A0B" w:rsidRPr="00885A0B" w:rsidP="00CE5331" w14:paraId="0EE44748" w14:textId="7E5D74E7">
      <w:pPr>
        <w:pStyle w:val="ListParagraph"/>
        <w:numPr>
          <w:ilvl w:val="0"/>
          <w:numId w:val="58"/>
        </w:numPr>
        <w:spacing w:after="0" w:line="240" w:lineRule="auto"/>
        <w:rPr>
          <w:rFonts w:eastAsia="Times New Roman" w:cstheme="minorHAnsi"/>
          <w:color w:val="000000"/>
        </w:rPr>
      </w:pPr>
      <w:r w:rsidRPr="00885A0B">
        <w:rPr>
          <w:rFonts w:eastAsia="Times New Roman" w:cstheme="minorHAnsi"/>
          <w:color w:val="000000"/>
        </w:rPr>
        <w:t xml:space="preserve">Is the </w:t>
      </w:r>
      <w:r w:rsidR="00212261">
        <w:rPr>
          <w:rFonts w:eastAsia="Times New Roman" w:cstheme="minorHAnsi"/>
          <w:color w:val="000000"/>
        </w:rPr>
        <w:t>aggregate</w:t>
      </w:r>
      <w:r w:rsidRPr="00885A0B">
        <w:rPr>
          <w:rFonts w:eastAsia="Times New Roman" w:cstheme="minorHAnsi"/>
          <w:color w:val="000000"/>
        </w:rPr>
        <w:t xml:space="preserve"> value of your revenue-reducing covered change(s) for the requested fiscal year less than the de minimis? Yes/No.</w:t>
      </w:r>
    </w:p>
    <w:p w:rsidR="00885A0B" w:rsidRPr="00885A0B" w:rsidP="00CE5331" w14:paraId="668F6088"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If yes, recipients will complete parts 1 and 2, and no further reporting is required in the tax offset section. (Remaining summary questions will be greyed out).</w:t>
      </w:r>
    </w:p>
    <w:p w:rsidR="00885A0B" w:rsidRPr="00885A0B" w:rsidP="00CE5331" w14:paraId="25773745"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 xml:space="preserve">If no, recipients will complete parts 1, 2 and additional fields. </w:t>
      </w:r>
    </w:p>
    <w:p w:rsidR="00885A0B" w:rsidRPr="00885A0B" w:rsidP="00CE5331" w14:paraId="69902130" w14:textId="77777777">
      <w:pPr>
        <w:pStyle w:val="ListParagraph"/>
        <w:numPr>
          <w:ilvl w:val="0"/>
          <w:numId w:val="58"/>
        </w:numPr>
        <w:spacing w:after="0" w:line="240" w:lineRule="auto"/>
        <w:rPr>
          <w:rFonts w:eastAsia="Times New Roman" w:cstheme="minorHAnsi"/>
          <w:color w:val="000000"/>
        </w:rPr>
      </w:pPr>
      <w:r w:rsidRPr="00885A0B">
        <w:rPr>
          <w:rFonts w:eastAsia="Times New Roman" w:cstheme="minorHAnsi"/>
          <w:color w:val="000000"/>
        </w:rPr>
        <w:t xml:space="preserve">Do you have a reduction in net tax revenue for the requested fiscal year, meaning that actual tax revenue for the requested fiscal year is less than baseline tax revenue? Yes/No. </w:t>
      </w:r>
    </w:p>
    <w:p w:rsidR="00885A0B" w:rsidRPr="00885A0B" w:rsidP="00CE5331" w14:paraId="59562772"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If yes, recipients will complete parts 1, 2, and 3 and additional fields.</w:t>
      </w:r>
    </w:p>
    <w:p w:rsidR="00885A0B" w:rsidRPr="00885A0B" w:rsidP="00CE5331" w14:paraId="593427AA"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If no, recipients will complete parts 1, 2, and 3, and no further reporting is required in the tax offset section. (Remaining summary questions will be greyed out).</w:t>
      </w:r>
    </w:p>
    <w:p w:rsidR="00885A0B" w:rsidRPr="00885A0B" w:rsidP="00CE5331" w14:paraId="40E28A23" w14:textId="77777777">
      <w:pPr>
        <w:pStyle w:val="ListParagraph"/>
        <w:numPr>
          <w:ilvl w:val="0"/>
          <w:numId w:val="58"/>
        </w:numPr>
        <w:spacing w:after="0" w:line="240" w:lineRule="auto"/>
        <w:rPr>
          <w:rFonts w:eastAsia="Times New Roman" w:cstheme="minorHAnsi"/>
          <w:color w:val="000000"/>
        </w:rPr>
      </w:pPr>
      <w:r w:rsidRPr="00885A0B">
        <w:rPr>
          <w:rFonts w:eastAsia="Times New Roman" w:cstheme="minorHAnsi"/>
          <w:color w:val="000000"/>
        </w:rPr>
        <w:t>Do you have revenue-increasing covered change(s) and/or covered spending cuts to report for the requested fiscal year? Yes/No</w:t>
      </w:r>
    </w:p>
    <w:p w:rsidR="00885A0B" w:rsidRPr="00885A0B" w:rsidP="00CE5331" w14:paraId="4DDA3156"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 xml:space="preserve">If yes, recipients will complete parts 1, 2, 3, and 4. </w:t>
      </w:r>
    </w:p>
    <w:p w:rsidR="00885A0B" w:rsidRPr="00885A0B" w:rsidP="00CE5331" w14:paraId="46A39B2A" w14:textId="77777777">
      <w:pPr>
        <w:pStyle w:val="ListParagraph"/>
        <w:numPr>
          <w:ilvl w:val="1"/>
          <w:numId w:val="58"/>
        </w:numPr>
        <w:spacing w:after="0" w:line="240" w:lineRule="auto"/>
        <w:rPr>
          <w:rFonts w:eastAsia="Times New Roman" w:cstheme="minorHAnsi"/>
          <w:color w:val="000000"/>
        </w:rPr>
      </w:pPr>
      <w:r w:rsidRPr="00885A0B">
        <w:rPr>
          <w:rFonts w:eastAsia="Times New Roman" w:cstheme="minorHAnsi"/>
          <w:color w:val="000000"/>
        </w:rPr>
        <w:t xml:space="preserve">If no, recipients will complete the revenue reduction cap. </w:t>
      </w:r>
    </w:p>
    <w:p w:rsidR="00885A0B" w:rsidRPr="00885A0B" w:rsidP="00885A0B" w14:paraId="0D847BD1" w14:textId="77777777">
      <w:pPr>
        <w:spacing w:after="0" w:line="240" w:lineRule="auto"/>
        <w:rPr>
          <w:rFonts w:eastAsia="Times New Roman" w:cstheme="minorHAnsi"/>
        </w:rPr>
      </w:pPr>
    </w:p>
    <w:p w:rsidR="00885A0B" w:rsidRPr="00885A0B" w:rsidP="00FA4703" w14:paraId="2E8EC76F" w14:textId="77777777">
      <w:pPr>
        <w:spacing w:after="0" w:line="240" w:lineRule="auto"/>
        <w:ind w:firstLine="360"/>
        <w:rPr>
          <w:rFonts w:eastAsia="Times New Roman" w:cstheme="minorHAnsi"/>
          <w:b/>
          <w:bCs/>
          <w:color w:val="000000"/>
        </w:rPr>
      </w:pPr>
      <w:r w:rsidRPr="00885A0B">
        <w:rPr>
          <w:rFonts w:eastAsia="Times New Roman" w:cstheme="minorHAnsi"/>
          <w:b/>
          <w:bCs/>
          <w:color w:val="000000"/>
        </w:rPr>
        <w:t>Reporting Part 1: Revenue-reducing Covered Changes</w:t>
      </w:r>
    </w:p>
    <w:p w:rsidR="00885A0B" w:rsidRPr="00885A0B" w:rsidP="00CE5331" w14:paraId="3685C43E" w14:textId="77777777">
      <w:pPr>
        <w:pStyle w:val="ListParagraph"/>
        <w:numPr>
          <w:ilvl w:val="0"/>
          <w:numId w:val="53"/>
        </w:numPr>
        <w:spacing w:after="0" w:line="240" w:lineRule="auto"/>
        <w:rPr>
          <w:rFonts w:eastAsia="Times New Roman" w:cstheme="minorHAnsi"/>
          <w:color w:val="000000"/>
        </w:rPr>
      </w:pPr>
      <w:bookmarkStart w:id="13" w:name="_Hlk100916896"/>
      <w:r w:rsidRPr="00885A0B">
        <w:rPr>
          <w:rFonts w:eastAsia="Times New Roman" w:cstheme="minorHAnsi"/>
          <w:color w:val="000000"/>
        </w:rPr>
        <w:t xml:space="preserve">Do you have revenue-reducing covered change(s) to report for the requested fiscal year and for future fiscal years? Yes/No </w:t>
      </w:r>
    </w:p>
    <w:p w:rsidR="00885A0B" w:rsidRPr="00885A0B" w:rsidP="00CE5331" w14:paraId="44C64CF9" w14:textId="50AB0F35">
      <w:pPr>
        <w:pStyle w:val="ListParagraph"/>
        <w:numPr>
          <w:ilvl w:val="1"/>
          <w:numId w:val="53"/>
        </w:numPr>
        <w:spacing w:after="0" w:line="240" w:lineRule="auto"/>
        <w:rPr>
          <w:rFonts w:eastAsia="Times New Roman" w:cstheme="minorHAnsi"/>
          <w:color w:val="000000"/>
        </w:rPr>
      </w:pPr>
      <w:r w:rsidRPr="00885A0B">
        <w:rPr>
          <w:rFonts w:eastAsia="Times New Roman" w:cstheme="minorHAnsi"/>
          <w:color w:val="000000"/>
        </w:rPr>
        <w:t xml:space="preserve">If yes, complete grid or upload spreadsheet with the name of each revenue-reducing covered change and the value of the revenue-reducing covered change for </w:t>
      </w:r>
      <w:r w:rsidR="00AB6403">
        <w:rPr>
          <w:rFonts w:eastAsia="Times New Roman" w:cstheme="minorHAnsi"/>
          <w:color w:val="000000"/>
        </w:rPr>
        <w:t>the requested fiscal year and for future fiscal years</w:t>
      </w:r>
      <w:r w:rsidRPr="00885A0B">
        <w:rPr>
          <w:rFonts w:eastAsia="Times New Roman" w:cstheme="minorHAnsi"/>
          <w:color w:val="000000"/>
        </w:rPr>
        <w:t xml:space="preserve">. </w:t>
      </w:r>
    </w:p>
    <w:bookmarkEnd w:id="13"/>
    <w:p w:rsidR="00885A0B" w:rsidRPr="00885A0B" w:rsidP="00CE5331" w14:paraId="0683CD1E" w14:textId="77777777">
      <w:pPr>
        <w:pStyle w:val="ListParagraph"/>
        <w:numPr>
          <w:ilvl w:val="1"/>
          <w:numId w:val="53"/>
        </w:numPr>
        <w:spacing w:after="0" w:line="240" w:lineRule="auto"/>
        <w:rPr>
          <w:rFonts w:eastAsia="Times New Roman" w:cstheme="minorHAnsi"/>
          <w:color w:val="000000"/>
        </w:rPr>
      </w:pPr>
      <w:r w:rsidRPr="00885A0B">
        <w:rPr>
          <w:rFonts w:eastAsia="Times New Roman" w:cstheme="minorHAnsi"/>
          <w:color w:val="000000"/>
        </w:rPr>
        <w:t xml:space="preserve">If no, a recipient has no revenue-reducing covered changes to report, no additional reporting is required. </w:t>
      </w:r>
    </w:p>
    <w:p w:rsidR="00885A0B" w:rsidRPr="00885A0B" w:rsidP="00CE5331" w14:paraId="0960B784" w14:textId="1781E32B">
      <w:pPr>
        <w:pStyle w:val="ListParagraph"/>
        <w:numPr>
          <w:ilvl w:val="0"/>
          <w:numId w:val="53"/>
        </w:numPr>
        <w:spacing w:after="0" w:line="240" w:lineRule="auto"/>
        <w:rPr>
          <w:rFonts w:eastAsia="Times New Roman" w:cstheme="minorHAnsi"/>
          <w:color w:val="000000"/>
        </w:rPr>
      </w:pPr>
      <w:r w:rsidRPr="00885A0B">
        <w:rPr>
          <w:rFonts w:eastAsia="Times New Roman" w:cstheme="minorHAnsi"/>
          <w:color w:val="000000"/>
        </w:rPr>
        <w:t xml:space="preserve">Enter in the </w:t>
      </w:r>
      <w:r w:rsidR="00212261">
        <w:rPr>
          <w:rFonts w:eastAsia="Times New Roman" w:cstheme="minorHAnsi"/>
          <w:color w:val="000000"/>
        </w:rPr>
        <w:t>aggregate</w:t>
      </w:r>
      <w:r w:rsidRPr="00885A0B">
        <w:rPr>
          <w:rFonts w:eastAsia="Times New Roman" w:cstheme="minorHAnsi"/>
          <w:color w:val="000000"/>
        </w:rPr>
        <w:t xml:space="preserve"> value of all revenue-reducing covered change(s) for the requested fiscal year.</w:t>
      </w:r>
      <w:r>
        <w:rPr>
          <w:rStyle w:val="FootnoteReference"/>
          <w:rFonts w:eastAsia="Times New Roman" w:cstheme="minorHAnsi"/>
          <w:color w:val="000000"/>
        </w:rPr>
        <w:footnoteReference w:id="18"/>
      </w:r>
      <w:r w:rsidRPr="00885A0B">
        <w:rPr>
          <w:rFonts w:eastAsia="Times New Roman" w:cstheme="minorHAnsi"/>
          <w:color w:val="000000"/>
        </w:rPr>
        <w:t> </w:t>
      </w:r>
    </w:p>
    <w:p w:rsidR="00885A0B" w:rsidRPr="00885A0B" w:rsidP="00885A0B" w14:paraId="5E6CFE98" w14:textId="77777777">
      <w:pPr>
        <w:pStyle w:val="ListParagraph"/>
        <w:spacing w:after="0" w:line="240" w:lineRule="auto"/>
        <w:rPr>
          <w:rFonts w:eastAsia="Times New Roman" w:cstheme="minorHAnsi"/>
          <w:color w:val="000000"/>
        </w:rPr>
      </w:pPr>
    </w:p>
    <w:p w:rsidR="00885A0B" w:rsidRPr="00885A0B" w:rsidP="00FA4703" w14:paraId="166FFD8A" w14:textId="77777777">
      <w:pPr>
        <w:spacing w:after="0" w:line="240" w:lineRule="auto"/>
        <w:ind w:firstLine="360"/>
        <w:textAlignment w:val="center"/>
        <w:rPr>
          <w:rFonts w:eastAsia="Times New Roman" w:cstheme="minorHAnsi"/>
          <w:color w:val="000000"/>
        </w:rPr>
      </w:pPr>
      <w:r w:rsidRPr="00885A0B">
        <w:rPr>
          <w:rFonts w:eastAsia="Times New Roman" w:cstheme="minorHAnsi"/>
          <w:color w:val="000000"/>
        </w:rPr>
        <w:t>Revenue-reducing Covered Changes: Guidance</w:t>
      </w:r>
    </w:p>
    <w:p w:rsidR="00885A0B" w:rsidRPr="00885A0B" w:rsidP="00FA4703" w14:paraId="615E5552" w14:textId="1EAA8F07">
      <w:pPr>
        <w:spacing w:after="0" w:line="240" w:lineRule="auto"/>
        <w:ind w:left="360"/>
        <w:rPr>
          <w:rFonts w:eastAsia="Times New Roman" w:cstheme="minorHAnsi"/>
          <w:color w:val="000000"/>
        </w:rPr>
      </w:pPr>
      <w:r w:rsidRPr="002D1FB8">
        <w:rPr>
          <w:color w:val="000000"/>
        </w:rPr>
        <w:t xml:space="preserve">For each reporting year, a recipient must report the value of covered changes that the recipient predicts will have the effect of reducing tax revenue in a given reporting year (revenue-reducing covered changes), </w:t>
      </w:r>
      <w:r w:rsidRPr="002D1FB8">
        <w:rPr>
          <w:color w:val="000000"/>
        </w:rPr>
        <w:t>similar to</w:t>
      </w:r>
      <w:r w:rsidRPr="002D1FB8">
        <w:rPr>
          <w:color w:val="000000"/>
        </w:rPr>
        <w:t xml:space="preserve"> the way it would in the ordinary course of its budgeting process. </w:t>
      </w:r>
      <w:r w:rsidRPr="00885A0B">
        <w:rPr>
          <w:rFonts w:eastAsia="Times New Roman" w:cstheme="minorHAnsi"/>
          <w:color w:val="000000"/>
        </w:rPr>
        <w:t xml:space="preserve">The value of these revenue-reducing covered changes may be reported based on estimated values produced by a budget model, incorporating reasonable assumptions, that aligns with the recipient government’s existing approach for measuring the effects of fiscal policies, and that measures relative to a current law baseline. The revenue-reducing covered changes may also be reported based on actual values using a statistical methodology to isolate the change in year-over-year revenue attributable to the covered change(s), relative to the current law baseline prior to the change(s). Estimation approaches should not use dynamic methodologies that incorporate the projected effects of the policies on macroeconomic growth. In </w:t>
      </w:r>
      <w:r w:rsidRPr="00885A0B">
        <w:rPr>
          <w:rFonts w:eastAsia="Times New Roman" w:cstheme="minorHAnsi"/>
          <w:color w:val="000000"/>
        </w:rPr>
        <w:t>general</w:t>
      </w:r>
      <w:r w:rsidRPr="00885A0B">
        <w:rPr>
          <w:rFonts w:eastAsia="Times New Roman" w:cstheme="minorHAnsi"/>
          <w:color w:val="000000"/>
        </w:rPr>
        <w:t xml:space="preserve"> and where possible, reported values should be produced by the agency of the recipient government responsible for estimating the costs and effects of fiscal policy changes. </w:t>
      </w:r>
      <w:r w:rsidRPr="002D1FB8">
        <w:rPr>
          <w:color w:val="000000"/>
        </w:rPr>
        <w:t>Recipients must maintain records regarding the identification and predicted effects of revenue-reducing covered changes.</w:t>
      </w:r>
    </w:p>
    <w:p w:rsidR="00885A0B" w:rsidRPr="00885A0B" w:rsidP="00885A0B" w14:paraId="7AFC21D9" w14:textId="77777777">
      <w:pPr>
        <w:spacing w:after="0" w:line="240" w:lineRule="auto"/>
        <w:rPr>
          <w:rFonts w:eastAsia="Times New Roman" w:cstheme="minorHAnsi"/>
          <w:color w:val="000000"/>
        </w:rPr>
      </w:pPr>
    </w:p>
    <w:p w:rsidR="00885A0B" w:rsidRPr="00885A0B" w:rsidP="00FA4703" w14:paraId="35AB73B9" w14:textId="77777777">
      <w:pPr>
        <w:spacing w:after="0" w:line="240" w:lineRule="auto"/>
        <w:ind w:firstLine="360"/>
        <w:rPr>
          <w:rFonts w:eastAsia="Times New Roman" w:cstheme="minorHAnsi"/>
          <w:color w:val="000000"/>
        </w:rPr>
      </w:pPr>
      <w:r w:rsidRPr="00885A0B">
        <w:rPr>
          <w:rFonts w:eastAsia="Times New Roman" w:cstheme="minorHAnsi"/>
          <w:b/>
          <w:bCs/>
          <w:color w:val="000000"/>
        </w:rPr>
        <w:t xml:space="preserve">Reporting Part 2: Baseline Revenue and De Minimis Threshold </w:t>
      </w:r>
    </w:p>
    <w:p w:rsidR="00885A0B" w:rsidRPr="00885A0B" w:rsidP="00CE5331" w14:paraId="0D835DA5" w14:textId="77777777">
      <w:pPr>
        <w:pStyle w:val="ListParagraph"/>
        <w:numPr>
          <w:ilvl w:val="0"/>
          <w:numId w:val="54"/>
        </w:numPr>
        <w:spacing w:after="0" w:line="240" w:lineRule="auto"/>
        <w:rPr>
          <w:rFonts w:eastAsia="Times New Roman" w:cstheme="minorHAnsi"/>
          <w:color w:val="000000"/>
        </w:rPr>
      </w:pPr>
      <w:r w:rsidRPr="00885A0B">
        <w:rPr>
          <w:rFonts w:eastAsia="Times New Roman" w:cstheme="minorHAnsi"/>
          <w:color w:val="000000"/>
        </w:rPr>
        <w:t xml:space="preserve">Enter Baseline Revenue: </w:t>
      </w:r>
    </w:p>
    <w:p w:rsidR="00885A0B" w:rsidRPr="00885A0B" w:rsidP="00CE5331" w14:paraId="03AC49D4" w14:textId="77777777">
      <w:pPr>
        <w:pStyle w:val="ListParagraph"/>
        <w:numPr>
          <w:ilvl w:val="0"/>
          <w:numId w:val="54"/>
        </w:numPr>
        <w:spacing w:after="0" w:line="240" w:lineRule="auto"/>
        <w:rPr>
          <w:rFonts w:cstheme="minorHAnsi"/>
        </w:rPr>
      </w:pPr>
      <w:r w:rsidRPr="00885A0B">
        <w:rPr>
          <w:rFonts w:eastAsia="Times New Roman" w:cstheme="minorHAnsi"/>
          <w:color w:val="000000"/>
        </w:rPr>
        <w:t xml:space="preserve">Enter in the aggregate value of the revenue-reducing covered change(s) for the requested fiscal year as a percentage of baseline revenue: </w:t>
      </w:r>
    </w:p>
    <w:p w:rsidR="00885A0B" w:rsidRPr="00885A0B" w:rsidP="00CE5331" w14:paraId="0398F70D" w14:textId="77777777">
      <w:pPr>
        <w:pStyle w:val="ListParagraph"/>
        <w:numPr>
          <w:ilvl w:val="0"/>
          <w:numId w:val="54"/>
        </w:numPr>
        <w:spacing w:after="0" w:line="240" w:lineRule="auto"/>
        <w:rPr>
          <w:rFonts w:cstheme="minorHAnsi"/>
        </w:rPr>
      </w:pPr>
      <w:r w:rsidRPr="00885A0B">
        <w:rPr>
          <w:rFonts w:eastAsia="Times New Roman" w:cstheme="minorHAnsi"/>
          <w:color w:val="000000"/>
        </w:rPr>
        <w:t xml:space="preserve">Is the aggregate value of the revenue-reducing covered change(s) for the requested fiscal year less than </w:t>
      </w:r>
      <w:r w:rsidRPr="00885A0B">
        <w:rPr>
          <w:rFonts w:cstheme="minorHAnsi"/>
        </w:rPr>
        <w:t>one percent of baseline revenue? Y/N</w:t>
      </w:r>
    </w:p>
    <w:p w:rsidR="00885A0B" w:rsidRPr="00885A0B" w:rsidP="00CE5331" w14:paraId="1E4A6792" w14:textId="77777777">
      <w:pPr>
        <w:pStyle w:val="ListParagraph"/>
        <w:numPr>
          <w:ilvl w:val="1"/>
          <w:numId w:val="54"/>
        </w:numPr>
        <w:spacing w:after="0" w:line="240" w:lineRule="auto"/>
        <w:rPr>
          <w:rFonts w:cstheme="minorHAnsi"/>
        </w:rPr>
      </w:pPr>
      <w:r w:rsidRPr="00885A0B">
        <w:rPr>
          <w:rFonts w:cstheme="minorHAnsi"/>
        </w:rPr>
        <w:t xml:space="preserve">If yes, a recipient’s aggregate value of the revenue-reducing covered changes in the reporting year is less than the </w:t>
      </w:r>
      <w:r w:rsidRPr="00885A0B">
        <w:rPr>
          <w:rFonts w:cstheme="minorHAnsi"/>
          <w:i/>
          <w:iCs/>
        </w:rPr>
        <w:t>de minimis</w:t>
      </w:r>
      <w:r w:rsidRPr="00885A0B">
        <w:rPr>
          <w:rFonts w:cstheme="minorHAnsi"/>
          <w:i/>
        </w:rPr>
        <w:t xml:space="preserve"> </w:t>
      </w:r>
      <w:r w:rsidRPr="00885A0B">
        <w:rPr>
          <w:rFonts w:cstheme="minorHAnsi"/>
          <w:i/>
          <w:iCs/>
        </w:rPr>
        <w:t>threshold</w:t>
      </w:r>
      <w:r w:rsidRPr="00885A0B">
        <w:rPr>
          <w:rFonts w:cstheme="minorHAnsi"/>
        </w:rPr>
        <w:t xml:space="preserve">, and no additional reporting is required. </w:t>
      </w:r>
    </w:p>
    <w:p w:rsidR="00885A0B" w:rsidRPr="00885A0B" w:rsidP="00885A0B" w14:paraId="27740835" w14:textId="4B9AAA21">
      <w:pPr>
        <w:spacing w:after="0" w:line="240" w:lineRule="auto"/>
        <w:rPr>
          <w:rFonts w:eastAsia="Times New Roman" w:cstheme="minorHAnsi"/>
          <w:color w:val="000000"/>
        </w:rPr>
      </w:pPr>
    </w:p>
    <w:p w:rsidR="00885A0B" w:rsidRPr="00885A0B" w:rsidP="00FA4703" w14:paraId="296BADA0" w14:textId="77777777">
      <w:pPr>
        <w:spacing w:after="0" w:line="240" w:lineRule="auto"/>
        <w:ind w:left="360"/>
        <w:rPr>
          <w:rFonts w:eastAsia="Times New Roman" w:cstheme="minorHAnsi"/>
          <w:color w:val="000000"/>
        </w:rPr>
      </w:pPr>
      <w:r w:rsidRPr="00885A0B">
        <w:rPr>
          <w:rFonts w:eastAsia="Times New Roman" w:cstheme="minorHAnsi"/>
          <w:color w:val="000000"/>
        </w:rPr>
        <w:t>Baseline Revenue: Guidance</w:t>
      </w:r>
    </w:p>
    <w:p w:rsidR="00885A0B" w:rsidRPr="00885A0B" w:rsidP="00FA4703" w14:paraId="22F09AD5" w14:textId="77777777">
      <w:pPr>
        <w:spacing w:after="0" w:line="240" w:lineRule="auto"/>
        <w:ind w:left="360"/>
        <w:rPr>
          <w:rFonts w:eastAsia="Times New Roman" w:cstheme="minorHAnsi"/>
          <w:color w:val="000000"/>
        </w:rPr>
      </w:pPr>
      <w:r w:rsidRPr="00885A0B">
        <w:rPr>
          <w:rFonts w:eastAsia="Times New Roman" w:cstheme="minorHAnsi"/>
          <w:color w:val="000000"/>
        </w:rPr>
        <w:t>Baseline has the meaning defined in the Final Rule, 31 CFR 35.3.</w:t>
      </w:r>
    </w:p>
    <w:p w:rsidR="00885A0B" w:rsidRPr="00885A0B" w:rsidP="00FA4703" w14:paraId="0370B0B4" w14:textId="77777777">
      <w:pPr>
        <w:spacing w:after="0" w:line="240" w:lineRule="auto"/>
        <w:ind w:left="360"/>
        <w:rPr>
          <w:rFonts w:eastAsia="Times New Roman" w:cstheme="minorHAnsi"/>
          <w:color w:val="000000"/>
        </w:rPr>
      </w:pPr>
    </w:p>
    <w:p w:rsidR="00885A0B" w:rsidRPr="00885A0B" w:rsidP="00FA4703" w14:paraId="15379C45" w14:textId="77777777">
      <w:pPr>
        <w:spacing w:after="0" w:line="240" w:lineRule="auto"/>
        <w:ind w:left="360"/>
        <w:rPr>
          <w:rFonts w:eastAsia="Times New Roman" w:cstheme="minorHAnsi"/>
          <w:color w:val="000000"/>
        </w:rPr>
      </w:pPr>
      <w:r w:rsidRPr="00885A0B">
        <w:rPr>
          <w:rFonts w:eastAsia="Times New Roman" w:cstheme="minorHAnsi"/>
          <w:color w:val="000000"/>
        </w:rPr>
        <w:t>Recipients must determine whether the aggregate value of the revenue-reducing covered changes in the reporting year is less than one percent of baseline revenue (the de minimis threshold).</w:t>
      </w:r>
    </w:p>
    <w:p w:rsidR="00885A0B" w:rsidRPr="00885A0B" w:rsidP="00885A0B" w14:paraId="1172C35C" w14:textId="77777777">
      <w:pPr>
        <w:spacing w:after="0" w:line="240" w:lineRule="auto"/>
        <w:rPr>
          <w:rFonts w:eastAsia="Times New Roman" w:cstheme="minorHAnsi"/>
          <w:color w:val="000000"/>
        </w:rPr>
      </w:pPr>
    </w:p>
    <w:p w:rsidR="00885A0B" w:rsidRPr="00885A0B" w:rsidP="00FA4703" w14:paraId="7ABD4E0D" w14:textId="77777777">
      <w:pPr>
        <w:spacing w:after="0" w:line="240" w:lineRule="auto"/>
        <w:ind w:firstLine="360"/>
        <w:rPr>
          <w:rFonts w:eastAsia="Times New Roman" w:cstheme="minorHAnsi"/>
          <w:color w:val="000000"/>
        </w:rPr>
      </w:pPr>
      <w:r w:rsidRPr="00885A0B">
        <w:rPr>
          <w:rFonts w:eastAsia="Times New Roman" w:cstheme="minorHAnsi"/>
          <w:b/>
          <w:bCs/>
          <w:color w:val="000000"/>
        </w:rPr>
        <w:t xml:space="preserve">Reporting Part 3: Actual Tax Revenue and Reduction in Net Tax Revenue </w:t>
      </w:r>
    </w:p>
    <w:p w:rsidR="00885A0B" w:rsidRPr="00885A0B" w:rsidP="00CE5331" w14:paraId="4B683A50" w14:textId="4D734C7B">
      <w:pPr>
        <w:pStyle w:val="ListParagraph"/>
        <w:numPr>
          <w:ilvl w:val="0"/>
          <w:numId w:val="55"/>
        </w:numPr>
        <w:spacing w:after="0" w:line="240" w:lineRule="auto"/>
        <w:rPr>
          <w:rFonts w:eastAsia="Times New Roman" w:cstheme="minorHAnsi"/>
          <w:color w:val="000000"/>
        </w:rPr>
      </w:pPr>
      <w:r w:rsidRPr="00885A0B">
        <w:rPr>
          <w:rFonts w:eastAsia="Times New Roman" w:cstheme="minorHAnsi"/>
          <w:color w:val="000000"/>
        </w:rPr>
        <w:t xml:space="preserve">Enter Actual Tax Revenue </w:t>
      </w:r>
      <w:r w:rsidR="00AB6403">
        <w:rPr>
          <w:rFonts w:eastAsia="Times New Roman" w:cstheme="minorHAnsi"/>
          <w:color w:val="000000"/>
        </w:rPr>
        <w:t>for the requested fiscal year</w:t>
      </w:r>
      <w:r w:rsidRPr="00885A0B">
        <w:rPr>
          <w:rFonts w:eastAsia="Times New Roman" w:cstheme="minorHAnsi"/>
          <w:color w:val="000000"/>
        </w:rPr>
        <w:t xml:space="preserve">: </w:t>
      </w:r>
    </w:p>
    <w:p w:rsidR="00885A0B" w:rsidRPr="00885A0B" w:rsidP="00CE5331" w14:paraId="7891F6FC" w14:textId="77777777">
      <w:pPr>
        <w:pStyle w:val="ListParagraph"/>
        <w:numPr>
          <w:ilvl w:val="0"/>
          <w:numId w:val="55"/>
        </w:numPr>
        <w:spacing w:after="0" w:line="240" w:lineRule="auto"/>
        <w:rPr>
          <w:rFonts w:eastAsia="Times New Roman" w:cstheme="minorHAnsi"/>
          <w:color w:val="000000"/>
        </w:rPr>
      </w:pPr>
      <w:r w:rsidRPr="00885A0B">
        <w:rPr>
          <w:rFonts w:eastAsia="Times New Roman" w:cstheme="minorHAnsi"/>
          <w:color w:val="000000"/>
        </w:rPr>
        <w:t>Enter Reduction in Net Tax Revenue: baseline revenue minus actual tax revenue</w:t>
      </w:r>
    </w:p>
    <w:p w:rsidR="00885A0B" w:rsidRPr="00885A0B" w:rsidP="00CE5331" w14:paraId="12BD1F48" w14:textId="77777777">
      <w:pPr>
        <w:pStyle w:val="ListParagraph"/>
        <w:numPr>
          <w:ilvl w:val="1"/>
          <w:numId w:val="53"/>
        </w:numPr>
        <w:spacing w:after="0" w:line="240" w:lineRule="auto"/>
        <w:rPr>
          <w:rFonts w:eastAsia="Times New Roman" w:cstheme="minorHAnsi"/>
          <w:color w:val="000000"/>
        </w:rPr>
      </w:pPr>
      <w:r w:rsidRPr="00885A0B">
        <w:rPr>
          <w:rFonts w:eastAsia="Times New Roman" w:cstheme="minorHAnsi"/>
          <w:color w:val="000000"/>
        </w:rPr>
        <w:t xml:space="preserve">If the value of the reduction in net tax revenue is zero or negative (meaning that actual tax revenue is equal to or greater than baseline revenue), no additional reporting is required. </w:t>
      </w:r>
    </w:p>
    <w:p w:rsidR="00885A0B" w:rsidRPr="00885A0B" w:rsidP="00885A0B" w14:paraId="7C65B8D6" w14:textId="42B10A94">
      <w:pPr>
        <w:spacing w:after="0" w:line="240" w:lineRule="auto"/>
        <w:rPr>
          <w:rFonts w:eastAsia="Times New Roman" w:cstheme="minorHAnsi"/>
          <w:color w:val="000000"/>
        </w:rPr>
      </w:pPr>
    </w:p>
    <w:p w:rsidR="00885A0B" w:rsidRPr="00885A0B" w:rsidP="00FA4703" w14:paraId="6570E5F9" w14:textId="77777777">
      <w:pPr>
        <w:spacing w:after="0" w:line="240" w:lineRule="auto"/>
        <w:ind w:left="360"/>
        <w:rPr>
          <w:rFonts w:eastAsia="Times New Roman" w:cstheme="minorHAnsi"/>
          <w:color w:val="000000"/>
        </w:rPr>
      </w:pPr>
      <w:r w:rsidRPr="00885A0B">
        <w:rPr>
          <w:rFonts w:eastAsia="Times New Roman" w:cstheme="minorHAnsi"/>
          <w:color w:val="000000"/>
        </w:rPr>
        <w:t>Actual Tax Revenue: Guidance</w:t>
      </w:r>
    </w:p>
    <w:p w:rsidR="00885A0B" w:rsidRPr="00885A0B" w:rsidP="00FA4703" w14:paraId="37336197" w14:textId="77777777">
      <w:pPr>
        <w:spacing w:after="0" w:line="240" w:lineRule="auto"/>
        <w:ind w:left="360"/>
        <w:rPr>
          <w:rFonts w:eastAsia="Times New Roman" w:cstheme="minorHAnsi"/>
          <w:color w:val="000000"/>
        </w:rPr>
      </w:pPr>
      <w:r w:rsidRPr="00885A0B">
        <w:rPr>
          <w:rFonts w:eastAsia="Times New Roman" w:cstheme="minorHAnsi"/>
          <w:color w:val="000000"/>
        </w:rPr>
        <w:t>Actual tax revenue means the tax revenue received by the recipient government in the reporting year. Tax revenue has the meaning defined in the Final Rule, 31 CFR 35.3.</w:t>
      </w:r>
    </w:p>
    <w:p w:rsidR="00885A0B" w:rsidRPr="00885A0B" w:rsidP="00FA4703" w14:paraId="4933B96B" w14:textId="77777777">
      <w:pPr>
        <w:spacing w:after="0" w:line="240" w:lineRule="auto"/>
        <w:ind w:left="360"/>
        <w:rPr>
          <w:rFonts w:eastAsia="Times New Roman" w:cstheme="minorHAnsi"/>
          <w:color w:val="000000"/>
        </w:rPr>
      </w:pPr>
    </w:p>
    <w:p w:rsidR="00885A0B" w:rsidRPr="00885A0B" w:rsidP="00FA4703" w14:paraId="605D165C" w14:textId="77777777">
      <w:pPr>
        <w:spacing w:after="0" w:line="240" w:lineRule="auto"/>
        <w:ind w:left="360"/>
        <w:rPr>
          <w:rFonts w:eastAsia="Times New Roman" w:cstheme="minorHAnsi"/>
          <w:color w:val="000000"/>
        </w:rPr>
      </w:pPr>
      <w:r w:rsidRPr="00885A0B">
        <w:rPr>
          <w:rFonts w:eastAsia="Times New Roman" w:cstheme="minorHAnsi"/>
          <w:color w:val="000000"/>
        </w:rPr>
        <w:t>Reduction in Net Tax Revenue: Guidance</w:t>
      </w:r>
    </w:p>
    <w:p w:rsidR="00885A0B" w:rsidRPr="00885A0B" w:rsidP="00FA4703" w14:paraId="6E2FB51D" w14:textId="5525FDF0">
      <w:pPr>
        <w:spacing w:after="0" w:line="240" w:lineRule="auto"/>
        <w:ind w:left="360"/>
        <w:rPr>
          <w:rFonts w:eastAsia="Times New Roman" w:cstheme="minorHAnsi"/>
          <w:color w:val="000000"/>
        </w:rPr>
      </w:pPr>
      <w:r w:rsidRPr="00885A0B">
        <w:rPr>
          <w:rFonts w:eastAsia="Times New Roman" w:cstheme="minorHAnsi"/>
          <w:color w:val="000000"/>
        </w:rPr>
        <w:t>The reduction in net tax revenue is equal to baseline revenue minus actual tax revenue in each reporting year. If this value is zero or negative, there is no reduction in net tax revenue.</w:t>
      </w:r>
    </w:p>
    <w:p w:rsidR="00885A0B" w:rsidRPr="00885A0B" w:rsidP="00FA4703" w14:paraId="374416BE" w14:textId="77777777">
      <w:pPr>
        <w:spacing w:after="0" w:line="240" w:lineRule="auto"/>
        <w:ind w:left="360"/>
        <w:rPr>
          <w:rFonts w:eastAsia="Times New Roman" w:cstheme="minorHAnsi"/>
          <w:color w:val="000000"/>
        </w:rPr>
      </w:pPr>
    </w:p>
    <w:p w:rsidR="00885A0B" w:rsidRPr="00885A0B" w:rsidP="00FA4703" w14:paraId="4A293E94" w14:textId="77777777">
      <w:pPr>
        <w:spacing w:after="0" w:line="240" w:lineRule="auto"/>
        <w:ind w:firstLine="360"/>
        <w:rPr>
          <w:rFonts w:eastAsia="Times New Roman" w:cstheme="minorHAnsi"/>
          <w:b/>
          <w:bCs/>
          <w:color w:val="000000"/>
        </w:rPr>
      </w:pPr>
      <w:r w:rsidRPr="00885A0B">
        <w:rPr>
          <w:rFonts w:eastAsia="Times New Roman" w:cstheme="minorHAnsi"/>
          <w:b/>
          <w:bCs/>
          <w:color w:val="000000"/>
        </w:rPr>
        <w:t>Reporting Part 4: Revenue-increasing Covered Changes and Covered Spending Cuts</w:t>
      </w:r>
    </w:p>
    <w:p w:rsidR="00885A0B" w:rsidRPr="00885A0B" w:rsidP="00CE5331" w14:paraId="2B529F84" w14:textId="77777777">
      <w:pPr>
        <w:pStyle w:val="ListParagraph"/>
        <w:numPr>
          <w:ilvl w:val="0"/>
          <w:numId w:val="56"/>
        </w:numPr>
        <w:spacing w:after="0" w:line="240" w:lineRule="auto"/>
        <w:rPr>
          <w:rFonts w:eastAsia="Times New Roman" w:cstheme="minorHAnsi"/>
          <w:color w:val="000000"/>
        </w:rPr>
      </w:pPr>
      <w:r w:rsidRPr="00885A0B">
        <w:rPr>
          <w:rFonts w:eastAsia="Times New Roman" w:cstheme="minorHAnsi"/>
          <w:color w:val="000000"/>
        </w:rPr>
        <w:t xml:space="preserve">Do you have revenue-increasing covered change(s) and/or covered spending cuts to report for the requested fiscal year? Yes/No. </w:t>
      </w:r>
    </w:p>
    <w:p w:rsidR="00885A0B" w:rsidRPr="00885A0B" w:rsidP="00CE5331" w14:paraId="1BBE4613" w14:textId="77777777">
      <w:pPr>
        <w:pStyle w:val="ListParagraph"/>
        <w:numPr>
          <w:ilvl w:val="0"/>
          <w:numId w:val="53"/>
        </w:numPr>
        <w:spacing w:after="0" w:line="240" w:lineRule="auto"/>
        <w:rPr>
          <w:rFonts w:eastAsia="Times New Roman" w:cstheme="minorHAnsi"/>
          <w:color w:val="000000"/>
        </w:rPr>
      </w:pPr>
      <w:r w:rsidRPr="00885A0B">
        <w:rPr>
          <w:rFonts w:eastAsia="Times New Roman" w:cstheme="minorHAnsi"/>
          <w:color w:val="000000"/>
        </w:rPr>
        <w:t xml:space="preserve">If yes, complete grid or upload spreadsheet with the name of each revenue-increasing covered change and the value. </w:t>
      </w:r>
    </w:p>
    <w:p w:rsidR="00885A0B" w:rsidRPr="00885A0B" w:rsidP="00CE5331" w14:paraId="6D930670" w14:textId="356121B8">
      <w:pPr>
        <w:pStyle w:val="ListParagraph"/>
        <w:numPr>
          <w:ilvl w:val="0"/>
          <w:numId w:val="53"/>
        </w:numPr>
        <w:spacing w:after="0" w:line="240" w:lineRule="auto"/>
        <w:rPr>
          <w:rFonts w:eastAsia="Times New Roman" w:cstheme="minorHAnsi"/>
          <w:color w:val="000000"/>
        </w:rPr>
      </w:pPr>
      <w:r w:rsidRPr="00885A0B">
        <w:rPr>
          <w:rFonts w:eastAsia="Times New Roman" w:cstheme="minorHAnsi"/>
          <w:color w:val="000000"/>
        </w:rPr>
        <w:t xml:space="preserve">Enter in the </w:t>
      </w:r>
      <w:r w:rsidR="00212261">
        <w:rPr>
          <w:rFonts w:eastAsia="Times New Roman" w:cstheme="minorHAnsi"/>
          <w:color w:val="000000"/>
        </w:rPr>
        <w:t>aggregate</w:t>
      </w:r>
      <w:r w:rsidRPr="00885A0B">
        <w:rPr>
          <w:rFonts w:eastAsia="Times New Roman" w:cstheme="minorHAnsi"/>
          <w:color w:val="000000"/>
        </w:rPr>
        <w:t xml:space="preserve"> value of revenue-increasing covered change(s):</w:t>
      </w:r>
    </w:p>
    <w:p w:rsidR="00885A0B" w:rsidRPr="00885A0B" w:rsidP="00885A0B" w14:paraId="3C6AF817" w14:textId="77777777">
      <w:pPr>
        <w:pStyle w:val="ListParagraph"/>
        <w:spacing w:after="0" w:line="240" w:lineRule="auto"/>
        <w:rPr>
          <w:rFonts w:eastAsia="Times New Roman" w:cstheme="minorHAnsi"/>
          <w:color w:val="000000"/>
        </w:rPr>
      </w:pPr>
    </w:p>
    <w:p w:rsidR="00885A0B" w:rsidRPr="00885A0B" w:rsidP="00CE5331" w14:paraId="6EBC5881" w14:textId="77777777">
      <w:pPr>
        <w:pStyle w:val="ListParagraph"/>
        <w:numPr>
          <w:ilvl w:val="0"/>
          <w:numId w:val="53"/>
        </w:numPr>
        <w:spacing w:after="0" w:line="240" w:lineRule="auto"/>
        <w:rPr>
          <w:rFonts w:eastAsia="Times New Roman" w:cstheme="minorHAnsi"/>
          <w:color w:val="000000"/>
        </w:rPr>
      </w:pPr>
      <w:r w:rsidRPr="00885A0B">
        <w:rPr>
          <w:rFonts w:eastAsia="Times New Roman" w:cstheme="minorHAnsi"/>
          <w:color w:val="000000"/>
        </w:rPr>
        <w:t xml:space="preserve">Enter net reduction in total spending for the requested fiscal year: </w:t>
      </w:r>
    </w:p>
    <w:p w:rsidR="00885A0B" w:rsidRPr="00885A0B" w:rsidP="00CE5331" w14:paraId="4A9C3803" w14:textId="77777777">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Complete grid or upload spreadsheet of specific spending cuts and the corresponding “reporting unit”, including the name of the reporting unit, description of the spending cut,</w:t>
      </w:r>
      <w:r w:rsidRPr="00885A0B">
        <w:rPr>
          <w:rFonts w:cstheme="minorHAnsi"/>
        </w:rPr>
        <w:t xml:space="preserve"> </w:t>
      </w:r>
      <w:r w:rsidRPr="00885A0B">
        <w:rPr>
          <w:rFonts w:eastAsia="Times New Roman" w:cstheme="minorHAnsi"/>
          <w:color w:val="000000"/>
        </w:rPr>
        <w:t>the amount of the reduction in spending in the reporting unit for the reporting year relative to its inflation-adjusted FY 2019 level, the amount of any Fiscal Recovery Funds spent in the reporting unit in the reporting year, and the amount by which the reduction in spending in the reporting unit in the reporting year exceeds the Fiscal Recovery Funds spent in the reporting unit in the reporting year, if at all.</w:t>
      </w:r>
    </w:p>
    <w:p w:rsidR="00885A0B" w:rsidRPr="00885A0B" w:rsidP="00CE5331" w14:paraId="661D9B56" w14:textId="5AEA14DF">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Enter the aggregate</w:t>
      </w:r>
      <w:r w:rsidR="00212261">
        <w:rPr>
          <w:rFonts w:eastAsia="Times New Roman" w:cstheme="minorHAnsi"/>
          <w:color w:val="000000"/>
        </w:rPr>
        <w:t xml:space="preserve"> value of</w:t>
      </w:r>
      <w:r w:rsidRPr="00885A0B">
        <w:rPr>
          <w:rFonts w:eastAsia="Times New Roman" w:cstheme="minorHAnsi"/>
          <w:color w:val="000000"/>
        </w:rPr>
        <w:t xml:space="preserve"> covered spending cuts.</w:t>
      </w:r>
    </w:p>
    <w:p w:rsidR="00885A0B" w:rsidRPr="00885A0B" w:rsidP="00885A0B" w14:paraId="18DD20B0" w14:textId="77777777">
      <w:pPr>
        <w:pStyle w:val="ListParagraph"/>
        <w:spacing w:after="0" w:line="240" w:lineRule="auto"/>
        <w:rPr>
          <w:rFonts w:eastAsia="Times New Roman" w:cstheme="minorHAnsi"/>
          <w:color w:val="000000"/>
        </w:rPr>
      </w:pPr>
    </w:p>
    <w:p w:rsidR="00885A0B" w:rsidRPr="00885A0B" w:rsidP="00CE5331" w14:paraId="763BCFBC" w14:textId="3020F114">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 xml:space="preserve">Enter the </w:t>
      </w:r>
      <w:r w:rsidR="00212261">
        <w:rPr>
          <w:rFonts w:eastAsia="Times New Roman" w:cstheme="minorHAnsi"/>
          <w:color w:val="000000"/>
        </w:rPr>
        <w:t>aggr</w:t>
      </w:r>
      <w:r w:rsidR="00104A38">
        <w:rPr>
          <w:rFonts w:eastAsia="Times New Roman" w:cstheme="minorHAnsi"/>
          <w:color w:val="000000"/>
        </w:rPr>
        <w:t>e</w:t>
      </w:r>
      <w:r w:rsidR="00212261">
        <w:rPr>
          <w:rFonts w:eastAsia="Times New Roman" w:cstheme="minorHAnsi"/>
          <w:color w:val="000000"/>
        </w:rPr>
        <w:t>gate</w:t>
      </w:r>
      <w:r w:rsidRPr="00885A0B">
        <w:rPr>
          <w:rFonts w:eastAsia="Times New Roman" w:cstheme="minorHAnsi"/>
          <w:color w:val="000000"/>
        </w:rPr>
        <w:t xml:space="preserve"> value of revenue-increasing covered changes + the aggregate </w:t>
      </w:r>
      <w:r w:rsidR="00212261">
        <w:rPr>
          <w:rFonts w:eastAsia="Times New Roman" w:cstheme="minorHAnsi"/>
          <w:color w:val="000000"/>
        </w:rPr>
        <w:t xml:space="preserve">value of </w:t>
      </w:r>
      <w:r w:rsidRPr="00885A0B">
        <w:rPr>
          <w:rFonts w:eastAsia="Times New Roman" w:cstheme="minorHAnsi"/>
          <w:color w:val="000000"/>
        </w:rPr>
        <w:t>covered spending cuts.</w:t>
      </w:r>
    </w:p>
    <w:p w:rsidR="00885A0B" w:rsidRPr="00885A0B" w:rsidP="00CE5331" w14:paraId="6F9D4A4B" w14:textId="12FC45F1">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Enter the total value of revenue-reducing covered changes minus the total</w:t>
      </w:r>
      <w:r w:rsidR="00104A38">
        <w:rPr>
          <w:rFonts w:eastAsia="Times New Roman" w:cstheme="minorHAnsi"/>
          <w:color w:val="000000"/>
        </w:rPr>
        <w:t xml:space="preserve"> of </w:t>
      </w:r>
      <w:r w:rsidRPr="00885A0B">
        <w:rPr>
          <w:rFonts w:eastAsia="Times New Roman" w:cstheme="minorHAnsi"/>
          <w:color w:val="000000"/>
        </w:rPr>
        <w:t>(</w:t>
      </w:r>
      <w:r w:rsidR="00212261">
        <w:rPr>
          <w:rFonts w:eastAsia="Times New Roman" w:cstheme="minorHAnsi"/>
          <w:color w:val="000000"/>
        </w:rPr>
        <w:t xml:space="preserve">aggregate value of </w:t>
      </w:r>
      <w:r w:rsidRPr="00885A0B">
        <w:rPr>
          <w:rFonts w:eastAsia="Times New Roman" w:cstheme="minorHAnsi"/>
          <w:color w:val="000000"/>
        </w:rPr>
        <w:t xml:space="preserve">revenue-increasing covered changes + aggregate </w:t>
      </w:r>
      <w:r w:rsidR="00212261">
        <w:rPr>
          <w:rFonts w:eastAsia="Times New Roman" w:cstheme="minorHAnsi"/>
          <w:color w:val="000000"/>
        </w:rPr>
        <w:t xml:space="preserve">value of </w:t>
      </w:r>
      <w:r w:rsidRPr="00885A0B">
        <w:rPr>
          <w:rFonts w:eastAsia="Times New Roman" w:cstheme="minorHAnsi"/>
          <w:color w:val="000000"/>
        </w:rPr>
        <w:t>covered spending cuts).</w:t>
      </w:r>
    </w:p>
    <w:p w:rsidR="00885A0B" w:rsidRPr="00885A0B" w:rsidP="00CE5331" w14:paraId="003807C6" w14:textId="66CEF3BB">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 xml:space="preserve">Is the </w:t>
      </w:r>
      <w:r w:rsidR="00212261">
        <w:rPr>
          <w:rFonts w:eastAsia="Times New Roman" w:cstheme="minorHAnsi"/>
          <w:color w:val="000000"/>
        </w:rPr>
        <w:t>aggregate</w:t>
      </w:r>
      <w:r w:rsidRPr="00885A0B">
        <w:rPr>
          <w:rFonts w:eastAsia="Times New Roman" w:cstheme="minorHAnsi"/>
          <w:color w:val="000000"/>
        </w:rPr>
        <w:t xml:space="preserve"> value of revenue-reducing covered changes minus the total of (</w:t>
      </w:r>
      <w:r w:rsidR="00212261">
        <w:rPr>
          <w:rFonts w:eastAsia="Times New Roman" w:cstheme="minorHAnsi"/>
          <w:color w:val="000000"/>
        </w:rPr>
        <w:t xml:space="preserve">aggregate value of </w:t>
      </w:r>
      <w:r w:rsidRPr="00885A0B">
        <w:rPr>
          <w:rFonts w:eastAsia="Times New Roman" w:cstheme="minorHAnsi"/>
          <w:color w:val="000000"/>
        </w:rPr>
        <w:t>revenue-increasing changes + aggregate</w:t>
      </w:r>
      <w:r w:rsidR="00212261">
        <w:rPr>
          <w:rFonts w:eastAsia="Times New Roman" w:cstheme="minorHAnsi"/>
          <w:color w:val="000000"/>
        </w:rPr>
        <w:t xml:space="preserve"> value of</w:t>
      </w:r>
      <w:r w:rsidRPr="00885A0B">
        <w:rPr>
          <w:rFonts w:eastAsia="Times New Roman" w:cstheme="minorHAnsi"/>
          <w:color w:val="000000"/>
        </w:rPr>
        <w:t xml:space="preserve"> covered spending cuts) negative or equal to zero? (Yes/No)</w:t>
      </w:r>
    </w:p>
    <w:p w:rsidR="00885A0B" w:rsidRPr="00885A0B" w:rsidP="00CE5331" w14:paraId="008EF965" w14:textId="77777777">
      <w:pPr>
        <w:pStyle w:val="ListParagraph"/>
        <w:numPr>
          <w:ilvl w:val="1"/>
          <w:numId w:val="57"/>
        </w:numPr>
        <w:spacing w:after="0" w:line="240" w:lineRule="auto"/>
        <w:rPr>
          <w:rFonts w:eastAsia="Times New Roman" w:cstheme="minorHAnsi"/>
          <w:color w:val="000000"/>
        </w:rPr>
      </w:pPr>
      <w:r w:rsidRPr="00885A0B">
        <w:rPr>
          <w:rFonts w:eastAsia="Times New Roman" w:cstheme="minorHAnsi"/>
          <w:color w:val="000000"/>
        </w:rPr>
        <w:t>If yes, recipients have no further reporting requirements related to the Tax Offset Provision.</w:t>
      </w:r>
    </w:p>
    <w:p w:rsidR="00885A0B" w:rsidRPr="00885A0B" w:rsidP="00CE5331" w14:paraId="08024F98" w14:textId="77777777">
      <w:pPr>
        <w:pStyle w:val="ListParagraph"/>
        <w:numPr>
          <w:ilvl w:val="1"/>
          <w:numId w:val="57"/>
        </w:numPr>
        <w:spacing w:after="0" w:line="240" w:lineRule="auto"/>
        <w:rPr>
          <w:rFonts w:eastAsia="Times New Roman" w:cstheme="minorHAnsi"/>
          <w:color w:val="000000"/>
        </w:rPr>
      </w:pPr>
      <w:r w:rsidRPr="00885A0B">
        <w:rPr>
          <w:rFonts w:eastAsia="Times New Roman" w:cstheme="minorHAnsi"/>
          <w:color w:val="000000"/>
        </w:rPr>
        <w:t xml:space="preserve">If no, recipients must move on to the calculation of the revenue reduction cap. </w:t>
      </w:r>
    </w:p>
    <w:p w:rsidR="00885A0B" w:rsidRPr="00885A0B" w:rsidP="00885A0B" w14:paraId="5BB42909" w14:textId="77777777">
      <w:pPr>
        <w:spacing w:after="0" w:line="240" w:lineRule="auto"/>
        <w:rPr>
          <w:rFonts w:eastAsia="Times New Roman" w:cstheme="minorHAnsi"/>
          <w:color w:val="000000"/>
        </w:rPr>
      </w:pPr>
    </w:p>
    <w:p w:rsidR="00885A0B" w:rsidRPr="00885A0B" w:rsidP="00FA4703" w14:paraId="299720E0" w14:textId="77777777">
      <w:pPr>
        <w:spacing w:after="0" w:line="240" w:lineRule="auto"/>
        <w:ind w:left="360"/>
        <w:rPr>
          <w:rFonts w:eastAsia="Times New Roman" w:cstheme="minorHAnsi"/>
          <w:color w:val="000000"/>
        </w:rPr>
      </w:pPr>
      <w:r w:rsidRPr="00885A0B">
        <w:rPr>
          <w:rFonts w:eastAsia="Times New Roman" w:cstheme="minorHAnsi"/>
          <w:color w:val="000000"/>
        </w:rPr>
        <w:t>Revenue-increasing covered changes: Guidance</w:t>
      </w:r>
    </w:p>
    <w:p w:rsidR="00885A0B" w:rsidRPr="00885A0B" w:rsidP="00FA4703" w14:paraId="25D50CB7" w14:textId="1CE7828F">
      <w:pPr>
        <w:spacing w:after="0" w:line="240" w:lineRule="auto"/>
        <w:ind w:left="360"/>
        <w:rPr>
          <w:rFonts w:eastAsia="Times New Roman" w:cstheme="minorHAnsi"/>
          <w:color w:val="000000"/>
        </w:rPr>
      </w:pPr>
      <w:r w:rsidRPr="00885A0B">
        <w:rPr>
          <w:rFonts w:eastAsia="Times New Roman" w:cstheme="minorHAnsi"/>
          <w:color w:val="000000"/>
        </w:rPr>
        <w:t xml:space="preserve">If a recipient has revenue-reducing covered changes, the </w:t>
      </w:r>
      <w:r w:rsidR="00212261">
        <w:rPr>
          <w:rFonts w:eastAsia="Times New Roman" w:cstheme="minorHAnsi"/>
          <w:color w:val="000000"/>
        </w:rPr>
        <w:t>aggregate</w:t>
      </w:r>
      <w:r w:rsidRPr="00885A0B">
        <w:rPr>
          <w:rFonts w:eastAsia="Times New Roman" w:cstheme="minorHAnsi"/>
          <w:color w:val="000000"/>
        </w:rPr>
        <w:t xml:space="preserve"> value of which exceed the de minimis threshold, and its actual tax revenue does not exceed baseline tax revenue, a recipient must report the value of covered changes that have had or that the recipient predicts will have the effect of increasing tax revenue in a given reporting year (revenue-increasing covered changes), similar to the way it would in the ordinary course of its budgeting process. The value of these revenue-increasing covered changes may be reported based on estimated values produced by a budget model, incorporating reasonable assumptions, that aligns with the recipient’s existing approach for measuring the effects of fiscal policies, and that measures relative to a current law baseline. The revenue-increasing covered changes may also be reported based on actual values using a statistical methodology to isolate the change in year-over-year revenue attributable to the revenue-increasing covered change(s), relative to the current law baseline prior to the change(s).</w:t>
      </w:r>
      <w:r w:rsidRPr="002D1FB8">
        <w:rPr>
          <w:color w:val="000000"/>
        </w:rPr>
        <w:t xml:space="preserve"> Estimation approaches should not use dynamic methodologies that incorporate the projected effects of the policies on macroeconomic growth. </w:t>
      </w:r>
      <w:r w:rsidRPr="00885A0B">
        <w:rPr>
          <w:rFonts w:eastAsia="Times New Roman" w:cstheme="minorHAnsi"/>
          <w:color w:val="000000"/>
        </w:rPr>
        <w:t xml:space="preserve">In </w:t>
      </w:r>
      <w:r w:rsidRPr="00885A0B">
        <w:rPr>
          <w:rFonts w:eastAsia="Times New Roman" w:cstheme="minorHAnsi"/>
          <w:color w:val="000000"/>
        </w:rPr>
        <w:t>general</w:t>
      </w:r>
      <w:r w:rsidRPr="00885A0B">
        <w:rPr>
          <w:rFonts w:eastAsia="Times New Roman" w:cstheme="minorHAnsi"/>
          <w:color w:val="000000"/>
        </w:rPr>
        <w:t xml:space="preserve"> and where possible, reporting should be produced by the agency of the recipient responsible for estimating the costs and effects of fiscal policy changes. Recipients should maintain records regarding revenue-increasing covered changes and estimates of such changes.</w:t>
      </w:r>
    </w:p>
    <w:p w:rsidR="00885A0B" w:rsidRPr="00885A0B" w:rsidP="00885A0B" w14:paraId="79558C10" w14:textId="77777777">
      <w:pPr>
        <w:spacing w:after="0" w:line="240" w:lineRule="auto"/>
        <w:rPr>
          <w:rFonts w:eastAsia="Times New Roman" w:cstheme="minorHAnsi"/>
          <w:color w:val="000000"/>
        </w:rPr>
      </w:pPr>
    </w:p>
    <w:p w:rsidR="00885A0B" w:rsidRPr="00885A0B" w:rsidP="00FA4703" w14:paraId="61EB3BDE" w14:textId="77777777">
      <w:pPr>
        <w:spacing w:after="0" w:line="240" w:lineRule="auto"/>
        <w:ind w:firstLine="360"/>
        <w:textAlignment w:val="center"/>
        <w:rPr>
          <w:rFonts w:eastAsia="Times New Roman" w:cstheme="minorHAnsi"/>
          <w:color w:val="000000"/>
        </w:rPr>
      </w:pPr>
      <w:r w:rsidRPr="00885A0B">
        <w:rPr>
          <w:rFonts w:eastAsia="Times New Roman" w:cstheme="minorHAnsi"/>
          <w:color w:val="000000"/>
        </w:rPr>
        <w:t>Net reduction in total spending, and tables of specific spending cuts: Guidance</w:t>
      </w:r>
    </w:p>
    <w:p w:rsidR="00885A0B" w:rsidRPr="00885A0B" w:rsidP="00FA4703" w14:paraId="1864AFCF" w14:textId="77777777">
      <w:pPr>
        <w:spacing w:after="0" w:line="240" w:lineRule="auto"/>
        <w:ind w:left="360"/>
        <w:rPr>
          <w:rFonts w:eastAsia="Times New Roman" w:cstheme="minorHAnsi"/>
          <w:color w:val="000000"/>
        </w:rPr>
      </w:pPr>
      <w:r w:rsidRPr="00885A0B">
        <w:rPr>
          <w:rFonts w:eastAsia="Times New Roman" w:cstheme="minorHAnsi"/>
          <w:color w:val="000000"/>
        </w:rPr>
        <w:t>Recipients may cut spending in certain areas to pay for revenue-reducing covered changes, up to the amount of the recipient’s net reduction in total spending. To calculate the amount of spending cuts that are available to offset a reduction in tax revenue, the recipient must first consider whether there has been a reduction in total net spending, excluding Fiscal Recovery Funds (net reduction in total spending). As defined in the Final Rule, 35 CFR 35.3, net reduction in total spending is measured as the recipient government’s total spending for a given reporting year excluding Fiscal Recovery Funds, subtracted from its total spending for its fiscal year ending in 2019, adjusted for inflation using the Bureau of Economic Analysis’s Implicit Price Deflator for the gross domestic product of the United States for that reporting year. If that calculation yields a positive value, there has been a net reduction in total spending; if it yields zero or a negative value, there has not been a net reduction in total spending. If there has been no net reduction in total spending, a recipient will have no spending cuts to offset a reduction in net tax revenue.</w:t>
      </w:r>
    </w:p>
    <w:p w:rsidR="00885A0B" w:rsidRPr="00885A0B" w:rsidP="00885A0B" w14:paraId="69B94AD9" w14:textId="3246F26E">
      <w:pPr>
        <w:spacing w:after="0" w:line="240" w:lineRule="auto"/>
        <w:rPr>
          <w:rFonts w:eastAsia="Times New Roman" w:cstheme="minorHAnsi"/>
          <w:color w:val="000000"/>
        </w:rPr>
      </w:pPr>
    </w:p>
    <w:p w:rsidR="00885A0B" w:rsidRPr="00885A0B" w:rsidP="00FA4703" w14:paraId="04795EF2" w14:textId="21CF3E5D">
      <w:pPr>
        <w:spacing w:after="0" w:line="240" w:lineRule="auto"/>
        <w:ind w:left="360"/>
        <w:rPr>
          <w:rFonts w:eastAsia="Times New Roman" w:cstheme="minorHAnsi"/>
          <w:color w:val="000000"/>
        </w:rPr>
      </w:pPr>
      <w:r w:rsidRPr="00885A0B">
        <w:rPr>
          <w:rFonts w:eastAsia="Times New Roman" w:cstheme="minorHAnsi"/>
          <w:color w:val="000000"/>
        </w:rPr>
        <w:t>Next, a recipient must determine and aggregate the value of spending cuts in each “reporting unit.”</w:t>
      </w:r>
      <w:r w:rsidR="000A2E21">
        <w:rPr>
          <w:rFonts w:eastAsia="Times New Roman" w:cstheme="minorHAnsi"/>
          <w:color w:val="000000"/>
        </w:rPr>
        <w:t xml:space="preserve"> </w:t>
      </w:r>
      <w:r w:rsidRPr="00885A0B">
        <w:rPr>
          <w:rFonts w:eastAsia="Times New Roman" w:cstheme="minorHAnsi"/>
          <w:color w:val="000000"/>
        </w:rPr>
        <w:t xml:space="preserve">“Reporting units” are departments, agencies, or authorities of the recipient’s government. For each reporting unit, the recipient must report (1) the amount of the reduction in spending in the reporting unit for the reporting year relative to its inflation-adjusted FY 2019 level, (2) the amount of any Fiscal Recovery Funds spent in the reporting unit in the reporting year, and (3) the amount by which the reduction in spending in the reporting year exceeds the Fiscal Recovery funds spent in the reporting unit in the reporting year. If a recipient has not spent amounts received from the Fiscal Recovery Funds in a reporting unit, the full amount of the reduction in spending counts as a covered spending cut and may be included in </w:t>
      </w:r>
      <w:r w:rsidR="00212261">
        <w:rPr>
          <w:rFonts w:eastAsia="Times New Roman" w:cstheme="minorHAnsi"/>
          <w:color w:val="000000"/>
        </w:rPr>
        <w:t xml:space="preserve">the </w:t>
      </w:r>
      <w:r w:rsidRPr="00885A0B">
        <w:rPr>
          <w:rFonts w:eastAsia="Times New Roman" w:cstheme="minorHAnsi"/>
          <w:color w:val="000000"/>
        </w:rPr>
        <w:t>aggregate</w:t>
      </w:r>
      <w:r w:rsidR="00212261">
        <w:rPr>
          <w:rFonts w:eastAsia="Times New Roman" w:cstheme="minorHAnsi"/>
          <w:color w:val="000000"/>
        </w:rPr>
        <w:t xml:space="preserve"> value of</w:t>
      </w:r>
      <w:r w:rsidRPr="00885A0B">
        <w:rPr>
          <w:rFonts w:eastAsia="Times New Roman" w:cstheme="minorHAnsi"/>
          <w:color w:val="000000"/>
        </w:rPr>
        <w:t xml:space="preserve"> spending cuts. If the recipient has spent amounts received from the Fiscal Recovery Funds, such amounts generally would be deemed to have replaced the amount of spending cut, and only reductions in spending above the amount of Fiscal Recovery Funds spent on the reporting unit would be eligible to offset a reduction in net tax revenue. Only such amounts above the amount of Fiscal Recovery Funds spent on the reporting unit should be included in the aggregate </w:t>
      </w:r>
      <w:r w:rsidR="00212261">
        <w:rPr>
          <w:rFonts w:eastAsia="Times New Roman" w:cstheme="minorHAnsi"/>
          <w:color w:val="000000"/>
        </w:rPr>
        <w:t xml:space="preserve">value of </w:t>
      </w:r>
      <w:r w:rsidRPr="00885A0B">
        <w:rPr>
          <w:rFonts w:eastAsia="Times New Roman" w:cstheme="minorHAnsi"/>
          <w:color w:val="000000"/>
        </w:rPr>
        <w:t>spending cuts.</w:t>
      </w:r>
    </w:p>
    <w:p w:rsidR="00885A0B" w:rsidRPr="00885A0B" w:rsidP="00885A0B" w14:paraId="3F3C23E9" w14:textId="66CF4258">
      <w:pPr>
        <w:spacing w:after="0" w:line="240" w:lineRule="auto"/>
        <w:rPr>
          <w:rFonts w:eastAsia="Times New Roman" w:cstheme="minorHAnsi"/>
          <w:color w:val="000000"/>
        </w:rPr>
      </w:pPr>
    </w:p>
    <w:p w:rsidR="00885A0B" w:rsidRPr="00885A0B" w:rsidP="00FA4703" w14:paraId="013A6BC1" w14:textId="5EB3788C">
      <w:pPr>
        <w:spacing w:after="0" w:line="240" w:lineRule="auto"/>
        <w:ind w:left="360"/>
        <w:rPr>
          <w:rFonts w:eastAsia="Times New Roman" w:cstheme="minorHAnsi"/>
          <w:color w:val="000000"/>
        </w:rPr>
      </w:pPr>
      <w:bookmarkStart w:id="14" w:name="_Hlk100834985"/>
      <w:r w:rsidRPr="00885A0B">
        <w:rPr>
          <w:rFonts w:eastAsia="Times New Roman" w:cstheme="minorHAnsi"/>
          <w:color w:val="000000"/>
        </w:rPr>
        <w:t xml:space="preserve">To align with existing reporting and accounting, the Final Rule considers the department, agency, or authority from which spending has been cut and whether the recipient government has spent amounts received from the Fiscal Recovery Funds on that same department, agency, or authority. </w:t>
      </w:r>
      <w:r w:rsidRPr="00885A0B">
        <w:rPr>
          <w:rFonts w:cstheme="minorHAnsi"/>
        </w:rPr>
        <w:t xml:space="preserve">Some commenters on the interim final rule argued that the methodology for identifying offsetting spending cuts at the department, agency, or authority level was too restrictive, but as discussed in the final rule, Treasury maintained the approach of requiring this reporting at the department, agency, or authority level. </w:t>
      </w:r>
      <w:r w:rsidRPr="00885A0B">
        <w:rPr>
          <w:rFonts w:eastAsia="Times New Roman" w:cstheme="minorHAnsi"/>
          <w:color w:val="000000"/>
        </w:rPr>
        <w:t>Recipients are encouraged to define reporting units in a manner consistent with their existing budget process and should, to the extent possible, report using the same reporting unit in each reporting year. Spending cuts must be reported relative to FY 2019 spending levels, adjusted for inflation, and excluding Fiscal Recovery Funds from reporting year spending levels.</w:t>
      </w:r>
    </w:p>
    <w:bookmarkEnd w:id="14"/>
    <w:p w:rsidR="00885A0B" w:rsidRPr="00885A0B" w:rsidP="00885A0B" w14:paraId="394470E1" w14:textId="383128C0">
      <w:pPr>
        <w:spacing w:after="0" w:line="240" w:lineRule="auto"/>
        <w:rPr>
          <w:rFonts w:eastAsia="Times New Roman" w:cstheme="minorHAnsi"/>
          <w:color w:val="000000"/>
        </w:rPr>
      </w:pPr>
    </w:p>
    <w:p w:rsidR="00885A0B" w:rsidRPr="00885A0B" w:rsidP="00FA4703" w14:paraId="11AB3033" w14:textId="5A4BF3BB">
      <w:pPr>
        <w:spacing w:after="0" w:line="240" w:lineRule="auto"/>
        <w:ind w:left="360"/>
        <w:rPr>
          <w:rFonts w:eastAsia="Times New Roman" w:cstheme="minorHAnsi"/>
          <w:color w:val="000000"/>
        </w:rPr>
      </w:pPr>
      <w:r w:rsidRPr="00885A0B">
        <w:rPr>
          <w:rFonts w:eastAsia="Times New Roman" w:cstheme="minorHAnsi"/>
          <w:color w:val="000000"/>
        </w:rPr>
        <w:t xml:space="preserve">Recipients should maintain records regarding spending cuts. </w:t>
      </w:r>
    </w:p>
    <w:p w:rsidR="00885A0B" w:rsidRPr="00885A0B" w:rsidP="00885A0B" w14:paraId="6F64C5E7" w14:textId="77777777">
      <w:pPr>
        <w:spacing w:after="0" w:line="240" w:lineRule="auto"/>
        <w:rPr>
          <w:rFonts w:eastAsia="Times New Roman" w:cstheme="minorHAnsi"/>
          <w:color w:val="000000"/>
        </w:rPr>
      </w:pPr>
    </w:p>
    <w:p w:rsidR="00885A0B" w:rsidRPr="00885A0B" w:rsidP="00FA4703" w14:paraId="080923A9" w14:textId="439FB758">
      <w:pPr>
        <w:spacing w:after="0" w:line="240" w:lineRule="auto"/>
        <w:ind w:firstLine="360"/>
        <w:rPr>
          <w:rFonts w:eastAsia="Times New Roman" w:cstheme="minorHAnsi"/>
          <w:color w:val="000000"/>
        </w:rPr>
      </w:pPr>
      <w:r w:rsidRPr="00885A0B">
        <w:rPr>
          <w:rFonts w:eastAsia="Times New Roman" w:cstheme="minorHAnsi"/>
          <w:b/>
          <w:bCs/>
          <w:color w:val="000000"/>
        </w:rPr>
        <w:t>Reporting Part 5: Revenue Reduction Cap</w:t>
      </w:r>
    </w:p>
    <w:p w:rsidR="00885A0B" w:rsidRPr="00885A0B" w:rsidP="00FA4703" w14:paraId="61A9BDDE" w14:textId="327E325F">
      <w:pPr>
        <w:spacing w:after="0" w:line="240" w:lineRule="auto"/>
        <w:ind w:left="360"/>
        <w:rPr>
          <w:rFonts w:eastAsia="Times New Roman" w:cstheme="minorHAnsi"/>
          <w:color w:val="000000"/>
        </w:rPr>
      </w:pPr>
      <w:r w:rsidRPr="00885A0B">
        <w:rPr>
          <w:rFonts w:eastAsia="Times New Roman" w:cstheme="minorHAnsi"/>
          <w:color w:val="000000"/>
        </w:rPr>
        <w:t xml:space="preserve">The “revenue reduction cap,” together with Part 3, ensures that recipient governments can use organic revenue growth to offset the cost of revenue-reducing covered changes. If, based on the calculations completed so far, a recipient has not yet demonstrated how its revenue-reducing </w:t>
      </w:r>
      <w:r w:rsidRPr="00885A0B">
        <w:rPr>
          <w:rFonts w:eastAsia="Times New Roman" w:cstheme="minorHAnsi"/>
          <w:color w:val="000000"/>
        </w:rPr>
        <w:t xml:space="preserve">covered changes were </w:t>
      </w:r>
      <w:r w:rsidR="00212261">
        <w:rPr>
          <w:rFonts w:eastAsia="Times New Roman" w:cstheme="minorHAnsi"/>
          <w:color w:val="000000"/>
        </w:rPr>
        <w:t>offset by</w:t>
      </w:r>
      <w:r w:rsidR="00104A38">
        <w:rPr>
          <w:rFonts w:eastAsia="Times New Roman" w:cstheme="minorHAnsi"/>
          <w:color w:val="000000"/>
        </w:rPr>
        <w:t xml:space="preserve"> </w:t>
      </w:r>
      <w:r w:rsidRPr="00885A0B">
        <w:rPr>
          <w:rFonts w:eastAsia="Times New Roman" w:cstheme="minorHAnsi"/>
          <w:color w:val="000000"/>
        </w:rPr>
        <w:t>non-SLFRF sources, the reporting portal will auto-calculate the revenue reduction cap, which will be the lesser of the following two amounts:</w:t>
      </w:r>
    </w:p>
    <w:p w:rsidR="00885A0B" w:rsidRPr="00885A0B" w:rsidP="00CE5331" w14:paraId="47E5E5AF" w14:textId="77777777">
      <w:pPr>
        <w:pStyle w:val="ListParagraph"/>
        <w:numPr>
          <w:ilvl w:val="0"/>
          <w:numId w:val="57"/>
        </w:numPr>
        <w:spacing w:after="0" w:line="240" w:lineRule="auto"/>
        <w:rPr>
          <w:rFonts w:eastAsia="Times New Roman" w:cstheme="minorHAnsi"/>
          <w:color w:val="000000"/>
        </w:rPr>
      </w:pPr>
      <w:r w:rsidRPr="00885A0B">
        <w:rPr>
          <w:rFonts w:eastAsia="Times New Roman" w:cstheme="minorHAnsi"/>
          <w:color w:val="000000"/>
        </w:rPr>
        <w:t>Reduction in Net Tax Revenue (baseline tax revenue minus actual tax revenue) [pre-populated from Part 3] and</w:t>
      </w:r>
    </w:p>
    <w:p w:rsidR="00885A0B" w:rsidRPr="00885A0B" w:rsidP="00CE5331" w14:paraId="59A943F6" w14:textId="1AA6B4FB">
      <w:pPr>
        <w:pStyle w:val="ListParagraph"/>
        <w:numPr>
          <w:ilvl w:val="0"/>
          <w:numId w:val="57"/>
        </w:numPr>
        <w:spacing w:after="0" w:line="240" w:lineRule="auto"/>
        <w:rPr>
          <w:rFonts w:eastAsia="Times New Roman" w:cstheme="minorHAnsi"/>
          <w:color w:val="000000"/>
        </w:rPr>
      </w:pPr>
      <w:r>
        <w:rPr>
          <w:rFonts w:eastAsia="Times New Roman" w:cstheme="minorHAnsi"/>
          <w:color w:val="000000"/>
        </w:rPr>
        <w:t>Aggregate Value of r</w:t>
      </w:r>
      <w:r w:rsidRPr="00885A0B">
        <w:rPr>
          <w:rFonts w:eastAsia="Times New Roman" w:cstheme="minorHAnsi"/>
          <w:color w:val="000000"/>
        </w:rPr>
        <w:t>evenue-reducing covered changes minus (total of (</w:t>
      </w:r>
      <w:r>
        <w:rPr>
          <w:rFonts w:eastAsia="Times New Roman" w:cstheme="minorHAnsi"/>
          <w:color w:val="000000"/>
        </w:rPr>
        <w:t xml:space="preserve">aggregate value of </w:t>
      </w:r>
      <w:r w:rsidRPr="00885A0B">
        <w:rPr>
          <w:rFonts w:eastAsia="Times New Roman" w:cstheme="minorHAnsi"/>
          <w:color w:val="000000"/>
        </w:rPr>
        <w:t xml:space="preserve">revenue-increasing changes + aggregate </w:t>
      </w:r>
      <w:r>
        <w:rPr>
          <w:rFonts w:eastAsia="Times New Roman" w:cstheme="minorHAnsi"/>
          <w:color w:val="000000"/>
        </w:rPr>
        <w:t xml:space="preserve">value of </w:t>
      </w:r>
      <w:r w:rsidRPr="00885A0B">
        <w:rPr>
          <w:rFonts w:eastAsia="Times New Roman" w:cstheme="minorHAnsi"/>
          <w:color w:val="000000"/>
        </w:rPr>
        <w:t>covered spending cuts) [pre-populated from Part 4].</w:t>
      </w:r>
    </w:p>
    <w:p w:rsidR="00885A0B" w:rsidRPr="00885A0B" w:rsidP="004F4EBC" w14:paraId="2D4F987B" w14:textId="77777777">
      <w:pPr>
        <w:pStyle w:val="NoSpacing"/>
        <w:ind w:left="270"/>
        <w:jc w:val="both"/>
        <w:rPr>
          <w:rFonts w:cstheme="minorHAnsi"/>
        </w:rPr>
      </w:pPr>
    </w:p>
    <w:p w:rsidR="00A90EB7" w:rsidP="00CE5331" w14:paraId="62A0E58D" w14:textId="224ED729">
      <w:pPr>
        <w:pStyle w:val="ListParagraph"/>
        <w:numPr>
          <w:ilvl w:val="0"/>
          <w:numId w:val="29"/>
        </w:numPr>
        <w:spacing w:after="0" w:line="240" w:lineRule="auto"/>
      </w:pPr>
      <w:r w:rsidRPr="031E305F">
        <w:rPr>
          <w:u w:val="single"/>
        </w:rPr>
        <w:t>Required Programmatic Data (other than infrastructure projects)</w:t>
      </w:r>
      <w:r>
        <w:t>:</w:t>
      </w:r>
      <w:r w:rsidRPr="031E305F">
        <w:rPr>
          <w:b/>
          <w:bCs/>
        </w:rPr>
        <w:t xml:space="preserve"> </w:t>
      </w:r>
      <w:r>
        <w:t>For all projects listed under the following Expenditure Categories (see Appendix 1), the information listed must be provided in each report.</w:t>
      </w:r>
    </w:p>
    <w:p w:rsidR="00B2265B" w:rsidP="007777CF" w14:paraId="4EB8C63D" w14:textId="77777777">
      <w:pPr>
        <w:pStyle w:val="ListParagraph"/>
      </w:pPr>
    </w:p>
    <w:p w:rsidR="00B2265B" w:rsidP="00CE5331" w14:paraId="45A10E92" w14:textId="1E03238D">
      <w:pPr>
        <w:pStyle w:val="ListParagraph"/>
        <w:keepNext/>
        <w:numPr>
          <w:ilvl w:val="0"/>
          <w:numId w:val="31"/>
        </w:numPr>
        <w:spacing w:after="0" w:line="240" w:lineRule="auto"/>
        <w:ind w:left="630" w:hanging="270"/>
        <w:jc w:val="both"/>
      </w:pPr>
      <w:r w:rsidRPr="00237933">
        <w:rPr>
          <w:u w:val="single"/>
        </w:rPr>
        <w:t>Public Health and Negative Economic Impact (EC 1.1-</w:t>
      </w:r>
      <w:r w:rsidR="008B549A">
        <w:rPr>
          <w:u w:val="single"/>
        </w:rPr>
        <w:t>3.5</w:t>
      </w:r>
      <w:r w:rsidR="002E293D">
        <w:rPr>
          <w:u w:val="single"/>
        </w:rPr>
        <w:t xml:space="preserve">) </w:t>
      </w:r>
      <w:r w:rsidRPr="00EE3B62">
        <w:t>-</w:t>
      </w:r>
      <w:r>
        <w:t xml:space="preserve"> </w:t>
      </w:r>
      <w:r>
        <w:rPr>
          <w:i/>
          <w:iCs/>
        </w:rPr>
        <w:t>Collection beg</w:t>
      </w:r>
      <w:r w:rsidR="007B2C7E">
        <w:rPr>
          <w:i/>
          <w:iCs/>
        </w:rPr>
        <w:t>a</w:t>
      </w:r>
      <w:r>
        <w:rPr>
          <w:i/>
          <w:iCs/>
        </w:rPr>
        <w:t xml:space="preserve">n in </w:t>
      </w:r>
      <w:r w:rsidR="004C1704">
        <w:rPr>
          <w:i/>
          <w:iCs/>
        </w:rPr>
        <w:t xml:space="preserve">April </w:t>
      </w:r>
      <w:r>
        <w:rPr>
          <w:i/>
          <w:iCs/>
        </w:rPr>
        <w:t>2022</w:t>
      </w:r>
    </w:p>
    <w:p w:rsidR="004C1704" w:rsidP="00012B59" w14:paraId="0E7CF9B9" w14:textId="0174EBC9">
      <w:pPr>
        <w:pStyle w:val="ListParagraph"/>
        <w:keepNext/>
        <w:numPr>
          <w:ilvl w:val="0"/>
          <w:numId w:val="15"/>
        </w:numPr>
        <w:spacing w:after="0" w:line="240" w:lineRule="auto"/>
        <w:ind w:left="1080" w:hanging="270"/>
        <w:jc w:val="both"/>
      </w:pPr>
      <w:r>
        <w:t xml:space="preserve">Brief description of structure and objectives of assistance program(s), including public health or negative economic impact experienced </w:t>
      </w:r>
    </w:p>
    <w:p w:rsidR="004145F5" w:rsidP="00012B59" w14:paraId="1765ED32" w14:textId="79779D3A">
      <w:pPr>
        <w:pStyle w:val="ListParagraph"/>
        <w:keepNext/>
        <w:numPr>
          <w:ilvl w:val="0"/>
          <w:numId w:val="15"/>
        </w:numPr>
        <w:spacing w:after="0" w:line="240" w:lineRule="auto"/>
        <w:ind w:left="1080" w:hanging="270"/>
        <w:jc w:val="both"/>
      </w:pPr>
      <w:r>
        <w:t xml:space="preserve">Brief description of </w:t>
      </w:r>
      <w:r w:rsidR="008C2561">
        <w:t xml:space="preserve">how </w:t>
      </w:r>
      <w:r w:rsidR="00437782">
        <w:t xml:space="preserve">a </w:t>
      </w:r>
      <w:r>
        <w:t>recipient’s response is</w:t>
      </w:r>
      <w:r w:rsidR="00F11E41">
        <w:t xml:space="preserve"> related and</w:t>
      </w:r>
      <w:r>
        <w:t xml:space="preserve"> reasonabl</w:t>
      </w:r>
      <w:r w:rsidR="00F11E41">
        <w:t>y</w:t>
      </w:r>
      <w:r>
        <w:t xml:space="preserve"> proportional to a public health or negative economic impact of C</w:t>
      </w:r>
      <w:r w:rsidR="00F11E41">
        <w:t>OVID</w:t>
      </w:r>
      <w:r>
        <w:t>-19</w:t>
      </w:r>
      <w:r w:rsidR="008C2561">
        <w:t>.</w:t>
      </w:r>
      <w:r>
        <w:rPr>
          <w:rStyle w:val="FootnoteReference"/>
        </w:rPr>
        <w:footnoteReference w:id="19"/>
      </w:r>
      <w:r>
        <w:t> </w:t>
      </w:r>
    </w:p>
    <w:p w:rsidR="00E91C5D" w:rsidP="00E91C5D" w14:paraId="5D8788D4" w14:textId="3399056F">
      <w:pPr>
        <w:pStyle w:val="ListParagraph"/>
        <w:keepNext/>
        <w:spacing w:after="0" w:line="240" w:lineRule="auto"/>
        <w:ind w:left="1080"/>
        <w:jc w:val="both"/>
      </w:pPr>
    </w:p>
    <w:p w:rsidR="00E91C5D" w:rsidP="00E91C5D" w14:paraId="3C99DCD9" w14:textId="01A94DF4">
      <w:pPr>
        <w:pStyle w:val="ListParagraph"/>
        <w:keepNext/>
        <w:spacing w:after="0" w:line="240" w:lineRule="auto"/>
        <w:ind w:left="1080"/>
        <w:jc w:val="both"/>
      </w:pPr>
      <w:r>
        <w:rPr>
          <w:i/>
          <w:iCs/>
        </w:rPr>
        <w:t>Note:</w:t>
      </w:r>
      <w:r>
        <w:t xml:space="preserve"> T</w:t>
      </w:r>
      <w:r w:rsidRPr="00E91C5D">
        <w:t>he final rule presumes that all enumerated eligible uses for programs and services, including COVID-19 mitigation and prevention programs and services, are reasonably proportional responses to the harm identified unless a response is grossly disproportionate to the type or extent of harm experienced.</w:t>
      </w:r>
      <w:r>
        <w:t xml:space="preserve"> Many of the Eligibility Categories encompass multiple specific enumerated </w:t>
      </w:r>
      <w:r w:rsidR="00E87A05">
        <w:t xml:space="preserve">eligible </w:t>
      </w:r>
      <w:r>
        <w:t xml:space="preserve">uses and may be provided to a variety of populations.  </w:t>
      </w:r>
      <w:r w:rsidR="0009243E">
        <w:t xml:space="preserve">For example, EC </w:t>
      </w:r>
      <w:r w:rsidR="00EB0F24">
        <w:t xml:space="preserve">2.13 </w:t>
      </w:r>
      <w:r w:rsidRPr="00161531" w:rsidR="0009243E">
        <w:rPr>
          <w:i/>
          <w:iCs/>
        </w:rPr>
        <w:t>Healthy Childhood Environments: Services to Foster Youth or Families Involved in Child Welfare System</w:t>
      </w:r>
      <w:r w:rsidR="0009243E">
        <w:t xml:space="preserve"> includes</w:t>
      </w:r>
      <w:r w:rsidRPr="00E91C5D" w:rsidR="0009243E">
        <w:t xml:space="preserve"> </w:t>
      </w:r>
      <w:r w:rsidR="00E87A05">
        <w:t>a</w:t>
      </w:r>
      <w:r w:rsidRPr="00E91C5D" w:rsidR="0009243E">
        <w:t xml:space="preserve"> </w:t>
      </w:r>
      <w:r w:rsidR="0009243E">
        <w:t>wide array of financial, educational, child development, or health supports, or other supports necessary, including supports for kinship care</w:t>
      </w:r>
      <w:r w:rsidR="007E2C60">
        <w:t>,</w:t>
      </w:r>
      <w:r w:rsidR="0009243E">
        <w:t xml:space="preserve"> and may be provided to foster youth and/or families involved in the child welfare system. </w:t>
      </w:r>
      <w:r>
        <w:t>Between these two fields</w:t>
      </w:r>
      <w:r w:rsidR="00B50F56">
        <w:t xml:space="preserve"> above</w:t>
      </w:r>
      <w:r>
        <w:t xml:space="preserve">, recipients should provide enough information to identify the type of enumerated </w:t>
      </w:r>
      <w:r w:rsidR="00E87A05">
        <w:t>eligible</w:t>
      </w:r>
      <w:r>
        <w:t xml:space="preserve"> use being provided within the EC</w:t>
      </w:r>
      <w:r w:rsidR="0009243E">
        <w:t xml:space="preserve"> (e.g.</w:t>
      </w:r>
      <w:r w:rsidR="00037B22">
        <w:t>,</w:t>
      </w:r>
      <w:r w:rsidR="0009243E">
        <w:t xml:space="preserve"> kinship care support services)</w:t>
      </w:r>
      <w:r>
        <w:t xml:space="preserve">, </w:t>
      </w:r>
      <w:r w:rsidR="00773912">
        <w:t xml:space="preserve">the public health or economic impact experienced, </w:t>
      </w:r>
      <w:r>
        <w:t xml:space="preserve">who </w:t>
      </w:r>
      <w:r w:rsidR="00773912">
        <w:t>the program and/or service</w:t>
      </w:r>
      <w:r>
        <w:t xml:space="preserve"> is being provided to, and what </w:t>
      </w:r>
      <w:r w:rsidR="0009243E">
        <w:t xml:space="preserve">services are </w:t>
      </w:r>
      <w:r>
        <w:t>being provided</w:t>
      </w:r>
      <w:r w:rsidR="0009243E">
        <w:t xml:space="preserve"> (e.g.</w:t>
      </w:r>
      <w:r w:rsidR="00037B22">
        <w:t>,</w:t>
      </w:r>
      <w:r w:rsidR="0009243E">
        <w:t xml:space="preserve"> respite resources)</w:t>
      </w:r>
      <w:r>
        <w:t>.</w:t>
      </w:r>
      <w:r w:rsidR="0009243E">
        <w:t xml:space="preserve"> For enumerated </w:t>
      </w:r>
      <w:r w:rsidR="00E87A05">
        <w:t>eligible</w:t>
      </w:r>
      <w:r w:rsidR="0009243E">
        <w:t xml:space="preserve"> uses, recipients are not required to provide substantive documentation that the response is related and reasonably proportional in the Project and Expenditure Report.</w:t>
      </w:r>
    </w:p>
    <w:p w:rsidR="00EE3B62" w:rsidP="00EE3B62" w14:paraId="47BA1681" w14:textId="724DBC4F">
      <w:pPr>
        <w:keepNext/>
        <w:spacing w:after="0" w:line="240" w:lineRule="auto"/>
        <w:jc w:val="both"/>
      </w:pPr>
    </w:p>
    <w:p w:rsidR="00D23EFA" w:rsidRPr="00625DCD" w:rsidP="00CE5331" w14:paraId="23C7B62A" w14:textId="1E0C2F97">
      <w:pPr>
        <w:pStyle w:val="ListParagraph"/>
        <w:numPr>
          <w:ilvl w:val="0"/>
          <w:numId w:val="31"/>
        </w:numPr>
        <w:spacing w:after="0" w:line="240" w:lineRule="auto"/>
        <w:ind w:left="634" w:hanging="274"/>
        <w:jc w:val="both"/>
      </w:pPr>
      <w:r w:rsidRPr="00625DCD">
        <w:rPr>
          <w:u w:val="single"/>
        </w:rPr>
        <w:t>Capital Expenditures (EC 1.1-3.5)</w:t>
      </w:r>
      <w:r>
        <w:t xml:space="preserve"> </w:t>
      </w:r>
      <w:r w:rsidR="002E293D">
        <w:t xml:space="preserve">- </w:t>
      </w:r>
      <w:r>
        <w:rPr>
          <w:i/>
          <w:iCs/>
        </w:rPr>
        <w:t xml:space="preserve">Collection </w:t>
      </w:r>
      <w:r w:rsidR="00AE5D94">
        <w:rPr>
          <w:i/>
          <w:iCs/>
        </w:rPr>
        <w:t xml:space="preserve">began </w:t>
      </w:r>
      <w:r>
        <w:rPr>
          <w:i/>
          <w:iCs/>
        </w:rPr>
        <w:t xml:space="preserve">in January 2022, with additional </w:t>
      </w:r>
      <w:r w:rsidR="00E26801">
        <w:rPr>
          <w:i/>
          <w:iCs/>
        </w:rPr>
        <w:t xml:space="preserve">fields </w:t>
      </w:r>
      <w:r w:rsidR="00CE7591">
        <w:rPr>
          <w:i/>
          <w:iCs/>
        </w:rPr>
        <w:t>required</w:t>
      </w:r>
      <w:r w:rsidR="00326104">
        <w:rPr>
          <w:i/>
          <w:iCs/>
        </w:rPr>
        <w:t xml:space="preserve"> starting</w:t>
      </w:r>
      <w:r w:rsidR="00CE7591">
        <w:rPr>
          <w:i/>
          <w:iCs/>
        </w:rPr>
        <w:t xml:space="preserve"> in July 2022</w:t>
      </w:r>
    </w:p>
    <w:p w:rsidR="00D23EFA" w:rsidRPr="00625DCD" w:rsidP="002E02A5" w14:paraId="3FA431F0" w14:textId="266E2D48">
      <w:pPr>
        <w:pStyle w:val="ListParagraph"/>
        <w:numPr>
          <w:ilvl w:val="0"/>
          <w:numId w:val="15"/>
        </w:numPr>
        <w:spacing w:after="0" w:line="240" w:lineRule="auto"/>
        <w:ind w:left="1080" w:hanging="270"/>
        <w:jc w:val="both"/>
      </w:pPr>
      <w:r w:rsidRPr="00625DCD">
        <w:t>Does this project include a capital expenditure?</w:t>
      </w:r>
      <w:r>
        <w:t xml:space="preserve"> </w:t>
      </w:r>
      <w:r w:rsidR="00AE5D94">
        <w:rPr>
          <w:i/>
          <w:iCs/>
        </w:rPr>
        <w:t>(Collection began in January 2022)</w:t>
      </w:r>
    </w:p>
    <w:p w:rsidR="00AE5D94" w:rsidRPr="00625DCD" w:rsidP="002E02A5" w14:paraId="43A1F3F6" w14:textId="532361CA">
      <w:pPr>
        <w:pStyle w:val="ListParagraph"/>
        <w:numPr>
          <w:ilvl w:val="0"/>
          <w:numId w:val="15"/>
        </w:numPr>
        <w:spacing w:after="0" w:line="240" w:lineRule="auto"/>
        <w:ind w:left="1080" w:hanging="270"/>
        <w:jc w:val="both"/>
      </w:pPr>
      <w:r>
        <w:t>T</w:t>
      </w:r>
      <w:r w:rsidRPr="00625DCD">
        <w:t>otal expected capital expenditure, including pre-development cost</w:t>
      </w:r>
      <w:r>
        <w:t>s, if applicable</w:t>
      </w:r>
      <w:r>
        <w:t xml:space="preserve"> </w:t>
      </w:r>
      <w:r>
        <w:rPr>
          <w:i/>
          <w:iCs/>
        </w:rPr>
        <w:t>(Collection began in January 2022)</w:t>
      </w:r>
    </w:p>
    <w:p w:rsidR="00D23EFA" w:rsidP="002E02A5" w14:paraId="7B00F78A" w14:textId="58B4CBA0">
      <w:pPr>
        <w:pStyle w:val="ListParagraph"/>
        <w:numPr>
          <w:ilvl w:val="0"/>
          <w:numId w:val="15"/>
        </w:numPr>
        <w:spacing w:after="0" w:line="240" w:lineRule="auto"/>
        <w:ind w:left="1080" w:hanging="270"/>
        <w:jc w:val="both"/>
      </w:pPr>
      <w:r>
        <w:t>T</w:t>
      </w:r>
      <w:r w:rsidRPr="00625DCD">
        <w:t>ype of capital expenditure</w:t>
      </w:r>
      <w:r>
        <w:t>, based on the following e</w:t>
      </w:r>
      <w:r w:rsidRPr="00625DCD">
        <w:t>numerated uses</w:t>
      </w:r>
      <w:r>
        <w:t xml:space="preserve"> (</w:t>
      </w:r>
      <w:r w:rsidRPr="00927AB1" w:rsidR="000E19EA">
        <w:rPr>
          <w:i/>
        </w:rPr>
        <w:t>Collection began in</w:t>
      </w:r>
      <w:r w:rsidR="000E19EA">
        <w:t xml:space="preserve"> </w:t>
      </w:r>
      <w:r w:rsidRPr="00FC5473" w:rsidR="002938B6">
        <w:rPr>
          <w:i/>
          <w:iCs/>
        </w:rPr>
        <w:t>July</w:t>
      </w:r>
      <w:r w:rsidR="00FC5473">
        <w:rPr>
          <w:i/>
          <w:iCs/>
        </w:rPr>
        <w:t xml:space="preserve"> 2022</w:t>
      </w:r>
      <w:r>
        <w:t xml:space="preserve">): </w:t>
      </w:r>
    </w:p>
    <w:p w:rsidR="00D0221F" w:rsidP="002E02A5" w14:paraId="05FB14A8" w14:textId="37017D08">
      <w:pPr>
        <w:pStyle w:val="ListParagraph"/>
        <w:numPr>
          <w:ilvl w:val="2"/>
          <w:numId w:val="15"/>
        </w:numPr>
        <w:spacing w:after="0" w:line="240" w:lineRule="auto"/>
        <w:jc w:val="both"/>
      </w:pPr>
      <w:r>
        <w:t>COVID-19 testing sites and laboratories, and</w:t>
      </w:r>
      <w:r w:rsidR="002A5229">
        <w:t xml:space="preserve"> </w:t>
      </w:r>
      <w:r>
        <w:t>acquisition of related equipment</w:t>
      </w:r>
    </w:p>
    <w:p w:rsidR="00D0221F" w:rsidP="002E02A5" w14:paraId="0C541287" w14:textId="0DEDDB30">
      <w:pPr>
        <w:pStyle w:val="ListParagraph"/>
        <w:numPr>
          <w:ilvl w:val="2"/>
          <w:numId w:val="15"/>
        </w:numPr>
        <w:spacing w:after="0" w:line="240" w:lineRule="auto"/>
        <w:jc w:val="both"/>
      </w:pPr>
      <w:r>
        <w:t>COVID-19 vaccination sites</w:t>
      </w:r>
    </w:p>
    <w:p w:rsidR="00D0221F" w:rsidP="002E02A5" w14:paraId="67F25179" w14:textId="7BAEC170">
      <w:pPr>
        <w:pStyle w:val="ListParagraph"/>
        <w:numPr>
          <w:ilvl w:val="2"/>
          <w:numId w:val="15"/>
        </w:numPr>
        <w:spacing w:after="0" w:line="240" w:lineRule="auto"/>
        <w:jc w:val="both"/>
      </w:pPr>
      <w:r>
        <w:t>M</w:t>
      </w:r>
      <w:r>
        <w:t>edical facilities generally dedicated to COVID-19 treatment and mitigation (e.g., emergency rooms, intensive care units, telemedicine capabilities for COVID-19 related treatment</w:t>
      </w:r>
      <w:r>
        <w:t>)</w:t>
      </w:r>
    </w:p>
    <w:p w:rsidR="00D0221F" w:rsidP="002E02A5" w14:paraId="6FE7A60D" w14:textId="761359BF">
      <w:pPr>
        <w:pStyle w:val="ListParagraph"/>
        <w:numPr>
          <w:ilvl w:val="2"/>
          <w:numId w:val="15"/>
        </w:numPr>
        <w:spacing w:after="0" w:line="240" w:lineRule="auto"/>
        <w:jc w:val="both"/>
      </w:pPr>
      <w:r>
        <w:t>T</w:t>
      </w:r>
      <w:r>
        <w:t>emporary medical facilities and other measures to increase COVID-19 treatment capacity, including related construction costs</w:t>
      </w:r>
    </w:p>
    <w:p w:rsidR="00D0221F" w:rsidP="002E02A5" w14:paraId="24DA38AF" w14:textId="46450008">
      <w:pPr>
        <w:pStyle w:val="ListParagraph"/>
        <w:numPr>
          <w:ilvl w:val="2"/>
          <w:numId w:val="15"/>
        </w:numPr>
        <w:spacing w:after="0" w:line="240" w:lineRule="auto"/>
        <w:jc w:val="both"/>
      </w:pPr>
      <w:r>
        <w:t>Acquisition of equipment for COVID-19 prevention and treatment, including</w:t>
      </w:r>
    </w:p>
    <w:p w:rsidR="00D0221F" w:rsidP="002E02A5" w14:paraId="62BD6412" w14:textId="039724E1">
      <w:pPr>
        <w:pStyle w:val="ListParagraph"/>
        <w:spacing w:after="0" w:line="240" w:lineRule="auto"/>
        <w:ind w:left="1710"/>
        <w:jc w:val="both"/>
      </w:pPr>
      <w:r>
        <w:t>ventilators, ambulances, and other medical or emergency services equipment</w:t>
      </w:r>
    </w:p>
    <w:p w:rsidR="003444F4" w:rsidP="002E02A5" w14:paraId="2D153861" w14:textId="201E0330">
      <w:pPr>
        <w:pStyle w:val="ListParagraph"/>
        <w:numPr>
          <w:ilvl w:val="2"/>
          <w:numId w:val="15"/>
        </w:numPr>
        <w:spacing w:after="0" w:line="240" w:lineRule="auto"/>
        <w:jc w:val="both"/>
      </w:pPr>
      <w:r>
        <w:t>E</w:t>
      </w:r>
      <w:r w:rsidR="00D0221F">
        <w:t>mergency operations centers and acquisition of emergency response equipment (e.g., emergency response radio systems)</w:t>
      </w:r>
    </w:p>
    <w:p w:rsidR="00D0221F" w:rsidP="002E02A5" w14:paraId="7CF270CC" w14:textId="1071DE3F">
      <w:pPr>
        <w:pStyle w:val="ListParagraph"/>
        <w:numPr>
          <w:ilvl w:val="2"/>
          <w:numId w:val="15"/>
        </w:numPr>
        <w:spacing w:after="0" w:line="240" w:lineRule="auto"/>
        <w:jc w:val="both"/>
      </w:pPr>
      <w:r>
        <w:t>Installation and improvement</w:t>
      </w:r>
      <w:r w:rsidR="003026E8">
        <w:t xml:space="preserve"> of ventilation systems in congregate settings, health facilities, or other public facilities</w:t>
      </w:r>
      <w:r w:rsidR="003026E8">
        <w:t xml:space="preserve"> </w:t>
      </w:r>
    </w:p>
    <w:p w:rsidR="00D0221F" w:rsidP="002E02A5" w14:paraId="7BDE3412" w14:textId="57EE2321">
      <w:pPr>
        <w:pStyle w:val="ListParagraph"/>
        <w:numPr>
          <w:ilvl w:val="2"/>
          <w:numId w:val="15"/>
        </w:numPr>
        <w:spacing w:after="0" w:line="240" w:lineRule="auto"/>
        <w:jc w:val="both"/>
      </w:pPr>
      <w:r>
        <w:t>P</w:t>
      </w:r>
      <w:r>
        <w:t>ublic health data systems, including technology infrastructure</w:t>
      </w:r>
    </w:p>
    <w:p w:rsidR="00D0221F" w:rsidP="002E02A5" w14:paraId="1680A162" w14:textId="027B34A9">
      <w:pPr>
        <w:pStyle w:val="ListParagraph"/>
        <w:numPr>
          <w:ilvl w:val="2"/>
          <w:numId w:val="15"/>
        </w:numPr>
        <w:spacing w:after="0" w:line="240" w:lineRule="auto"/>
        <w:jc w:val="both"/>
      </w:pPr>
      <w:r>
        <w:t>Adaptations to congregate living facilities, including skilled nursing facilities, other</w:t>
      </w:r>
    </w:p>
    <w:p w:rsidR="00D0221F" w:rsidP="002E02A5" w14:paraId="5FBBF668" w14:textId="77777777">
      <w:pPr>
        <w:pStyle w:val="ListParagraph"/>
        <w:spacing w:after="0" w:line="240" w:lineRule="auto"/>
        <w:ind w:left="1710"/>
        <w:jc w:val="both"/>
      </w:pPr>
      <w:r>
        <w:t>long-term care facilities, incarceration settings, homeless shelters, residential foster</w:t>
      </w:r>
    </w:p>
    <w:p w:rsidR="00D0221F" w:rsidP="002E02A5" w14:paraId="48E8CA66" w14:textId="77777777">
      <w:pPr>
        <w:pStyle w:val="ListParagraph"/>
        <w:spacing w:after="0" w:line="240" w:lineRule="auto"/>
        <w:ind w:left="1710"/>
        <w:jc w:val="both"/>
      </w:pPr>
      <w:r>
        <w:t xml:space="preserve">care facilities, residential behavioral health treatment, and </w:t>
      </w:r>
      <w:r>
        <w:t>other</w:t>
      </w:r>
      <w:r>
        <w:t xml:space="preserve"> group living</w:t>
      </w:r>
    </w:p>
    <w:p w:rsidR="00D0221F" w:rsidP="002E02A5" w14:paraId="25A983FF" w14:textId="77777777">
      <w:pPr>
        <w:pStyle w:val="ListParagraph"/>
        <w:spacing w:after="0" w:line="240" w:lineRule="auto"/>
        <w:ind w:left="1710"/>
        <w:jc w:val="both"/>
      </w:pPr>
      <w:r>
        <w:t>facilities, as well as public facilities and schools (excluding construction of new</w:t>
      </w:r>
    </w:p>
    <w:p w:rsidR="00D0221F" w:rsidP="002E02A5" w14:paraId="7339986A" w14:textId="38731897">
      <w:pPr>
        <w:pStyle w:val="ListParagraph"/>
        <w:spacing w:after="0" w:line="240" w:lineRule="auto"/>
        <w:ind w:left="1710"/>
        <w:jc w:val="both"/>
      </w:pPr>
      <w:r>
        <w:t>facilities for the purpose of mitigating spread of COVID-19 in the facility)</w:t>
      </w:r>
    </w:p>
    <w:p w:rsidR="00D0221F" w:rsidP="002E02A5" w14:paraId="0398FEFE" w14:textId="7B6DBB90">
      <w:pPr>
        <w:pStyle w:val="ListParagraph"/>
        <w:numPr>
          <w:ilvl w:val="2"/>
          <w:numId w:val="15"/>
        </w:numPr>
        <w:spacing w:after="0" w:line="240" w:lineRule="auto"/>
        <w:jc w:val="both"/>
      </w:pPr>
      <w:r>
        <w:t>Mitigation measures in small businesses, nonprofits, and impacted industries (e.g.,</w:t>
      </w:r>
    </w:p>
    <w:p w:rsidR="003444F4" w:rsidP="002E02A5" w14:paraId="5B798E29" w14:textId="100D0063">
      <w:pPr>
        <w:pStyle w:val="ListParagraph"/>
        <w:spacing w:after="0" w:line="240" w:lineRule="auto"/>
        <w:ind w:left="1710"/>
        <w:jc w:val="both"/>
      </w:pPr>
      <w:r>
        <w:t>developing outdoor spaces)</w:t>
      </w:r>
      <w:r>
        <w:t xml:space="preserve"> </w:t>
      </w:r>
    </w:p>
    <w:p w:rsidR="003444F4" w:rsidP="002E02A5" w14:paraId="4D4CA2C3" w14:textId="4F764A6B">
      <w:pPr>
        <w:pStyle w:val="ListParagraph"/>
        <w:numPr>
          <w:ilvl w:val="2"/>
          <w:numId w:val="15"/>
        </w:numPr>
        <w:spacing w:after="0" w:line="240" w:lineRule="auto"/>
        <w:jc w:val="both"/>
      </w:pPr>
      <w:r>
        <w:t>Behavioral health facilities and equipment (e.g., inpatient or outpatient mental health or substance use treatment facilities, crisis centers, diversion centers)</w:t>
      </w:r>
    </w:p>
    <w:p w:rsidR="003444F4" w:rsidP="002E02A5" w14:paraId="0811D3B3" w14:textId="4C80FDF3">
      <w:pPr>
        <w:pStyle w:val="ListParagraph"/>
        <w:numPr>
          <w:ilvl w:val="2"/>
          <w:numId w:val="15"/>
        </w:numPr>
        <w:spacing w:after="0" w:line="240" w:lineRule="auto"/>
        <w:jc w:val="both"/>
      </w:pPr>
      <w:r>
        <w:t xml:space="preserve">Technology and equipment to allow law enforcement to </w:t>
      </w:r>
      <w:r>
        <w:t>efficiently and effectively respond to the rise</w:t>
      </w:r>
      <w:r>
        <w:t xml:space="preserve"> in gun violence resulting from the pandemic </w:t>
      </w:r>
    </w:p>
    <w:p w:rsidR="0096444B" w:rsidP="002E02A5" w14:paraId="665C3175" w14:textId="65C6835A">
      <w:pPr>
        <w:pStyle w:val="ListParagraph"/>
        <w:numPr>
          <w:ilvl w:val="2"/>
          <w:numId w:val="15"/>
        </w:numPr>
        <w:spacing w:after="0" w:line="240" w:lineRule="auto"/>
        <w:jc w:val="both"/>
      </w:pPr>
      <w:r w:rsidRPr="002A5229">
        <w:t>Affordable</w:t>
      </w:r>
      <w:r w:rsidRPr="00EE3B62" w:rsidR="002A5229">
        <w:t xml:space="preserve"> housing, supportive housing, or recovery housing </w:t>
      </w:r>
      <w:r w:rsidR="002A5229">
        <w:t>development</w:t>
      </w:r>
    </w:p>
    <w:p w:rsidR="00D0221F" w:rsidP="002E02A5" w14:paraId="0B6392A8" w14:textId="1160AE91">
      <w:pPr>
        <w:pStyle w:val="ListParagraph"/>
        <w:numPr>
          <w:ilvl w:val="2"/>
          <w:numId w:val="15"/>
        </w:numPr>
        <w:spacing w:after="0" w:line="240" w:lineRule="auto"/>
        <w:jc w:val="both"/>
      </w:pPr>
      <w:r>
        <w:t xml:space="preserve">Food banks and other facilities primarily dedicated to addressing food insecurity </w:t>
      </w:r>
    </w:p>
    <w:p w:rsidR="00D0221F" w:rsidP="002E02A5" w14:paraId="6BC724A8" w14:textId="1358308D">
      <w:pPr>
        <w:pStyle w:val="ListParagraph"/>
        <w:numPr>
          <w:ilvl w:val="2"/>
          <w:numId w:val="15"/>
        </w:numPr>
        <w:spacing w:after="0" w:line="240" w:lineRule="auto"/>
        <w:jc w:val="both"/>
      </w:pPr>
      <w:r>
        <w:t>Transitional shelters (e.g., temporary residences for people experiencing homelessness)</w:t>
      </w:r>
    </w:p>
    <w:p w:rsidR="00D0221F" w:rsidP="007777CF" w14:paraId="3E65AFD3" w14:textId="61060F42">
      <w:pPr>
        <w:pStyle w:val="ListParagraph"/>
        <w:numPr>
          <w:ilvl w:val="2"/>
          <w:numId w:val="15"/>
        </w:numPr>
        <w:spacing w:after="0" w:line="240" w:lineRule="auto"/>
        <w:jc w:val="both"/>
      </w:pPr>
      <w:r>
        <w:t>D</w:t>
      </w:r>
      <w:r>
        <w:t xml:space="preserve">evices and equipment </w:t>
      </w:r>
      <w:r>
        <w:t>that assist households in accessing</w:t>
      </w:r>
      <w:r>
        <w:t xml:space="preserve"> the internet (e.g., tablets, computers, or routers) </w:t>
      </w:r>
    </w:p>
    <w:p w:rsidR="00D0221F" w:rsidP="002E02A5" w14:paraId="17B755B5" w14:textId="2AD8AD85">
      <w:pPr>
        <w:pStyle w:val="ListParagraph"/>
        <w:numPr>
          <w:ilvl w:val="2"/>
          <w:numId w:val="15"/>
        </w:numPr>
        <w:spacing w:after="0" w:line="240" w:lineRule="auto"/>
        <w:jc w:val="both"/>
      </w:pPr>
      <w:r>
        <w:t>C</w:t>
      </w:r>
      <w:r>
        <w:t>hildcare, daycare, and early learning facilities</w:t>
      </w:r>
    </w:p>
    <w:p w:rsidR="00D0221F" w:rsidP="002E02A5" w14:paraId="04DB2FA8" w14:textId="53E2C136">
      <w:pPr>
        <w:pStyle w:val="ListParagraph"/>
        <w:numPr>
          <w:ilvl w:val="2"/>
          <w:numId w:val="15"/>
        </w:numPr>
        <w:spacing w:after="0" w:line="240" w:lineRule="auto"/>
        <w:jc w:val="both"/>
      </w:pPr>
      <w:r>
        <w:t>Job and workforce training centers</w:t>
      </w:r>
    </w:p>
    <w:p w:rsidR="00D0221F" w:rsidP="002E02A5" w14:paraId="3D1B1B32" w14:textId="6B32683D">
      <w:pPr>
        <w:pStyle w:val="ListParagraph"/>
        <w:numPr>
          <w:ilvl w:val="2"/>
          <w:numId w:val="15"/>
        </w:numPr>
        <w:spacing w:after="0" w:line="240" w:lineRule="auto"/>
        <w:jc w:val="both"/>
      </w:pPr>
      <w:r>
        <w:t>Improvements to existing facilities to remediate lead contaminants (e.g., removal of lead paint)</w:t>
      </w:r>
    </w:p>
    <w:p w:rsidR="00D0221F" w:rsidP="002E02A5" w14:paraId="07D5EDB7" w14:textId="6724D099">
      <w:pPr>
        <w:pStyle w:val="ListParagraph"/>
        <w:numPr>
          <w:ilvl w:val="2"/>
          <w:numId w:val="15"/>
        </w:numPr>
        <w:spacing w:after="0" w:line="240" w:lineRule="auto"/>
        <w:jc w:val="both"/>
      </w:pPr>
      <w:r>
        <w:t>Medical equipment and facilities designed to address disparities in public health outcomes (includes primary care clinics, hospitals, or integrations of health services into other settings)</w:t>
      </w:r>
    </w:p>
    <w:p w:rsidR="00D0221F" w:rsidP="002E02A5" w14:paraId="0A637672" w14:textId="510E2010">
      <w:pPr>
        <w:pStyle w:val="ListParagraph"/>
        <w:numPr>
          <w:ilvl w:val="2"/>
          <w:numId w:val="15"/>
        </w:numPr>
        <w:spacing w:after="0" w:line="240" w:lineRule="auto"/>
        <w:jc w:val="both"/>
      </w:pPr>
      <w:r>
        <w:t>Parks, green spaces, recreational facilities, sidewalks, pedestrian safety features like crosswalks, streetlights,</w:t>
      </w:r>
      <w:r w:rsidR="002A5229">
        <w:t xml:space="preserve"> neighborhood cleanup, and other projects to revitalize public spaces</w:t>
      </w:r>
    </w:p>
    <w:p w:rsidR="002A5229" w:rsidP="002E02A5" w14:paraId="25F0DEAE" w14:textId="022B3137">
      <w:pPr>
        <w:pStyle w:val="ListParagraph"/>
        <w:numPr>
          <w:ilvl w:val="2"/>
          <w:numId w:val="15"/>
        </w:numPr>
        <w:spacing w:after="0" w:line="240" w:lineRule="auto"/>
        <w:jc w:val="both"/>
      </w:pPr>
      <w:r>
        <w:t>Rehabilitations, renovation, remediation, cleanup</w:t>
      </w:r>
      <w:r w:rsidR="001D76B7">
        <w:t xml:space="preserve">, or conversions </w:t>
      </w:r>
      <w:r>
        <w:t xml:space="preserve">of vacant or abandoned properties </w:t>
      </w:r>
    </w:p>
    <w:p w:rsidR="00D0221F" w:rsidP="002E02A5" w14:paraId="5D890144" w14:textId="62399C91">
      <w:pPr>
        <w:pStyle w:val="ListParagraph"/>
        <w:numPr>
          <w:ilvl w:val="2"/>
          <w:numId w:val="15"/>
        </w:numPr>
        <w:spacing w:after="0" w:line="240" w:lineRule="auto"/>
        <w:jc w:val="both"/>
      </w:pPr>
      <w:r>
        <w:t>S</w:t>
      </w:r>
      <w:r>
        <w:t>chools and other educational facilities or equipment</w:t>
      </w:r>
      <w:r w:rsidR="001D76B7">
        <w:t xml:space="preserve"> to address educational disparities</w:t>
      </w:r>
    </w:p>
    <w:p w:rsidR="000E19F0" w:rsidP="002E02A5" w14:paraId="64A22D73" w14:textId="785B9E59">
      <w:pPr>
        <w:pStyle w:val="ListParagraph"/>
        <w:numPr>
          <w:ilvl w:val="2"/>
          <w:numId w:val="15"/>
        </w:numPr>
        <w:spacing w:after="0" w:line="240" w:lineRule="auto"/>
        <w:jc w:val="both"/>
      </w:pPr>
      <w:r>
        <w:t>Technology and tools to effectively develop, execute, and evaluate government programs</w:t>
      </w:r>
    </w:p>
    <w:p w:rsidR="00D0221F" w:rsidP="002E02A5" w14:paraId="6F1622E6" w14:textId="1E6A072E">
      <w:pPr>
        <w:pStyle w:val="ListParagraph"/>
        <w:numPr>
          <w:ilvl w:val="2"/>
          <w:numId w:val="15"/>
        </w:numPr>
        <w:spacing w:after="0" w:line="240" w:lineRule="auto"/>
        <w:jc w:val="both"/>
      </w:pPr>
      <w:r>
        <w:t>Technology infrastructure to adapt government operations to the pandemic (e.g., video-conferencing software, improvements to case management systems or data sharing resources), reduce government backlogs, or meet increased maintenance needs</w:t>
      </w:r>
    </w:p>
    <w:p w:rsidR="004E608B" w:rsidP="002E02A5" w14:paraId="16E07364" w14:textId="4C76FB1F">
      <w:pPr>
        <w:pStyle w:val="ListParagraph"/>
        <w:numPr>
          <w:ilvl w:val="2"/>
          <w:numId w:val="15"/>
        </w:numPr>
        <w:spacing w:after="0" w:line="240" w:lineRule="auto"/>
        <w:jc w:val="both"/>
      </w:pPr>
      <w:r>
        <w:t>Other (please specify)</w:t>
      </w:r>
    </w:p>
    <w:p w:rsidR="00D23EFA" w:rsidRPr="00625DCD" w:rsidP="002E02A5" w14:paraId="1A3B7586" w14:textId="54A86E48">
      <w:pPr>
        <w:pStyle w:val="ListParagraph"/>
        <w:numPr>
          <w:ilvl w:val="0"/>
          <w:numId w:val="15"/>
        </w:numPr>
        <w:spacing w:after="0" w:line="240" w:lineRule="auto"/>
        <w:ind w:left="1080" w:hanging="270"/>
        <w:jc w:val="both"/>
      </w:pPr>
      <w:r>
        <w:t xml:space="preserve">For </w:t>
      </w:r>
      <w:r w:rsidR="00992DB3">
        <w:t xml:space="preserve">recipients (other than Tribal governments) investing in </w:t>
      </w:r>
      <w:r w:rsidR="0070180B">
        <w:t>projects with total expected</w:t>
      </w:r>
      <w:r>
        <w:t xml:space="preserve"> </w:t>
      </w:r>
      <w:r w:rsidRPr="00625DCD">
        <w:t>capital expenditure</w:t>
      </w:r>
      <w:r>
        <w:t xml:space="preserve">s </w:t>
      </w:r>
      <w:r w:rsidRPr="00625DCD">
        <w:t>for an enumerated</w:t>
      </w:r>
      <w:r w:rsidR="00992DB3">
        <w:t xml:space="preserve"> eligible</w:t>
      </w:r>
      <w:r w:rsidRPr="00625DCD">
        <w:t xml:space="preserve"> use </w:t>
      </w:r>
      <w:r w:rsidR="0070180B">
        <w:t xml:space="preserve">of </w:t>
      </w:r>
      <w:r w:rsidRPr="00625DCD">
        <w:t xml:space="preserve">$10 million or </w:t>
      </w:r>
      <w:r w:rsidR="0070180B">
        <w:t xml:space="preserve">more, as well as projects with total expected capital expenditures for </w:t>
      </w:r>
      <w:r w:rsidR="0070180B">
        <w:t>an “other”</w:t>
      </w:r>
      <w:r w:rsidR="0070180B">
        <w:t xml:space="preserve"> use of $1 million or more, provide a written justification </w:t>
      </w:r>
      <w:r>
        <w:t>(</w:t>
      </w:r>
      <w:r w:rsidRPr="00927AB1" w:rsidR="000E19EA">
        <w:rPr>
          <w:i/>
        </w:rPr>
        <w:t>Collection began in</w:t>
      </w:r>
      <w:r w:rsidR="000E19EA">
        <w:t xml:space="preserve"> </w:t>
      </w:r>
      <w:r w:rsidRPr="00717AC3" w:rsidR="002938B6">
        <w:rPr>
          <w:i/>
          <w:iCs/>
        </w:rPr>
        <w:t>July</w:t>
      </w:r>
      <w:r w:rsidRPr="00717AC3" w:rsidR="00FC5473">
        <w:rPr>
          <w:i/>
          <w:iCs/>
        </w:rPr>
        <w:t xml:space="preserve"> 2022</w:t>
      </w:r>
      <w:r w:rsidRPr="00717AC3" w:rsidR="00717AC3">
        <w:rPr>
          <w:i/>
          <w:iCs/>
        </w:rPr>
        <w:t>)</w:t>
      </w:r>
    </w:p>
    <w:p w:rsidR="00D23EFA" w:rsidRPr="00625DCD" w:rsidP="002E02A5" w14:paraId="76184C13" w14:textId="5E1798F6">
      <w:pPr>
        <w:pStyle w:val="ListParagraph"/>
        <w:numPr>
          <w:ilvl w:val="0"/>
          <w:numId w:val="15"/>
        </w:numPr>
        <w:spacing w:after="0" w:line="240" w:lineRule="auto"/>
        <w:ind w:left="1080" w:hanging="270"/>
        <w:jc w:val="both"/>
      </w:pPr>
      <w:r w:rsidRPr="00625DCD">
        <w:t xml:space="preserve">For projects </w:t>
      </w:r>
      <w:r w:rsidR="0070180B">
        <w:t xml:space="preserve">with total expected capital expenditures of </w:t>
      </w:r>
      <w:r w:rsidRPr="00625DCD">
        <w:t xml:space="preserve">over $10 million, provide </w:t>
      </w:r>
      <w:r w:rsidR="00DE1738">
        <w:t xml:space="preserve">labor reporting as outlined for infrastructure projects on </w:t>
      </w:r>
      <w:r w:rsidR="000177D4">
        <w:t>p</w:t>
      </w:r>
      <w:r w:rsidR="009B3CFC">
        <w:t xml:space="preserve">ages </w:t>
      </w:r>
      <w:r w:rsidR="004D45F6">
        <w:t xml:space="preserve">26 and 27 </w:t>
      </w:r>
      <w:r>
        <w:t>(</w:t>
      </w:r>
      <w:r w:rsidRPr="00927AB1" w:rsidR="000E19EA">
        <w:rPr>
          <w:i/>
        </w:rPr>
        <w:t xml:space="preserve">Collection began </w:t>
      </w:r>
      <w:r w:rsidRPr="00FC5473" w:rsidR="002938B6">
        <w:rPr>
          <w:i/>
          <w:iCs/>
        </w:rPr>
        <w:t>July</w:t>
      </w:r>
      <w:r w:rsidR="00FC5473">
        <w:rPr>
          <w:i/>
          <w:iCs/>
        </w:rPr>
        <w:t xml:space="preserve"> 2022</w:t>
      </w:r>
      <w:r>
        <w:t>)</w:t>
      </w:r>
    </w:p>
    <w:p w:rsidR="004C2AE6" w:rsidRPr="002D1FB8" w:rsidP="002D1FB8" w14:paraId="630B4832" w14:textId="067D5071">
      <w:pPr>
        <w:spacing w:after="0" w:line="240" w:lineRule="auto"/>
        <w:ind w:left="810" w:hanging="270"/>
        <w:jc w:val="both"/>
        <w:rPr>
          <w:u w:val="single"/>
        </w:rPr>
      </w:pPr>
    </w:p>
    <w:p w:rsidR="00230C07" w:rsidRPr="00AF27E7" w:rsidP="00CE5331" w14:paraId="77A98AA6" w14:textId="586E788B">
      <w:pPr>
        <w:pStyle w:val="ListParagraph"/>
        <w:keepNext/>
        <w:numPr>
          <w:ilvl w:val="0"/>
          <w:numId w:val="31"/>
        </w:numPr>
        <w:spacing w:after="0" w:line="240" w:lineRule="auto"/>
        <w:ind w:left="630" w:hanging="270"/>
        <w:jc w:val="both"/>
        <w:rPr>
          <w:u w:val="single"/>
        </w:rPr>
      </w:pPr>
      <w:r w:rsidRPr="10A9F656">
        <w:rPr>
          <w:u w:val="single"/>
        </w:rPr>
        <w:t>Household Assistance (EC 2.1-2.</w:t>
      </w:r>
      <w:r w:rsidR="00EF30E1">
        <w:rPr>
          <w:u w:val="single"/>
        </w:rPr>
        <w:t>8</w:t>
      </w:r>
      <w:r w:rsidRPr="10A9F656">
        <w:rPr>
          <w:u w:val="single"/>
        </w:rPr>
        <w:t xml:space="preserve">) </w:t>
      </w:r>
      <w:r w:rsidRPr="00E50A8E">
        <w:t xml:space="preserve">– </w:t>
      </w:r>
      <w:r w:rsidRPr="00E50A8E">
        <w:rPr>
          <w:i/>
          <w:iCs/>
        </w:rPr>
        <w:t xml:space="preserve">Collection </w:t>
      </w:r>
      <w:r w:rsidR="003373D0">
        <w:rPr>
          <w:i/>
          <w:iCs/>
        </w:rPr>
        <w:t xml:space="preserve">began </w:t>
      </w:r>
      <w:r w:rsidRPr="00E50A8E">
        <w:rPr>
          <w:i/>
          <w:iCs/>
        </w:rPr>
        <w:t>January 2022</w:t>
      </w:r>
      <w:r>
        <w:t>:</w:t>
      </w:r>
    </w:p>
    <w:p w:rsidR="00F84E19" w:rsidP="00CE5331" w14:paraId="3D017138" w14:textId="25F883A4">
      <w:pPr>
        <w:pStyle w:val="ListParagraph"/>
        <w:keepNext/>
        <w:numPr>
          <w:ilvl w:val="1"/>
          <w:numId w:val="44"/>
        </w:numPr>
        <w:spacing w:after="0" w:line="240" w:lineRule="auto"/>
        <w:ind w:left="1080" w:hanging="270"/>
        <w:jc w:val="both"/>
      </w:pPr>
      <w:r>
        <w:t>Number of households served (by program if recipient establishes multiple separate household assistance programs)</w:t>
      </w:r>
    </w:p>
    <w:p w:rsidR="00010A7D" w:rsidRPr="00D20820" w:rsidP="004E272F" w14:paraId="1F42C6F9" w14:textId="233CCE41">
      <w:pPr>
        <w:pStyle w:val="ListParagraph"/>
        <w:keepNext/>
        <w:spacing w:after="0" w:line="240" w:lineRule="auto"/>
        <w:ind w:left="810" w:hanging="270"/>
        <w:jc w:val="both"/>
      </w:pPr>
    </w:p>
    <w:p w:rsidR="00230C07" w:rsidRPr="00B15C72" w:rsidP="00CE5331" w14:paraId="2062700B" w14:textId="1083A531">
      <w:pPr>
        <w:pStyle w:val="ListParagraph"/>
        <w:keepNext/>
        <w:numPr>
          <w:ilvl w:val="0"/>
          <w:numId w:val="31"/>
        </w:numPr>
        <w:spacing w:after="0" w:line="240" w:lineRule="auto"/>
        <w:ind w:left="630" w:hanging="270"/>
        <w:jc w:val="both"/>
      </w:pPr>
      <w:r w:rsidRPr="00AF27E7">
        <w:rPr>
          <w:u w:val="single"/>
        </w:rPr>
        <w:t>Small Business</w:t>
      </w:r>
      <w:r>
        <w:rPr>
          <w:u w:val="single"/>
        </w:rPr>
        <w:t xml:space="preserve"> Economic Assistance (</w:t>
      </w:r>
      <w:r w:rsidR="006A2CD4">
        <w:rPr>
          <w:u w:val="single"/>
        </w:rPr>
        <w:t xml:space="preserve">EC </w:t>
      </w:r>
      <w:r w:rsidR="00DB60F3">
        <w:rPr>
          <w:u w:val="single"/>
        </w:rPr>
        <w:t>1.8, 2.2</w:t>
      </w:r>
      <w:r w:rsidR="003026E8">
        <w:rPr>
          <w:u w:val="single"/>
        </w:rPr>
        <w:t>9</w:t>
      </w:r>
      <w:r w:rsidR="00DB60F3">
        <w:rPr>
          <w:u w:val="single"/>
        </w:rPr>
        <w:t>-2.</w:t>
      </w:r>
      <w:r w:rsidR="00EF30E1">
        <w:rPr>
          <w:u w:val="single"/>
        </w:rPr>
        <w:t>3</w:t>
      </w:r>
      <w:r w:rsidR="003026E8">
        <w:rPr>
          <w:u w:val="single"/>
        </w:rPr>
        <w:t>3</w:t>
      </w:r>
      <w:r>
        <w:rPr>
          <w:u w:val="single"/>
        </w:rPr>
        <w:t>)</w:t>
      </w:r>
      <w:r w:rsidR="0052731B">
        <w:t xml:space="preserve"> </w:t>
      </w:r>
      <w:r w:rsidRPr="001E745B" w:rsidR="0052731B">
        <w:t xml:space="preserve">– </w:t>
      </w:r>
      <w:r w:rsidRPr="00B15C72" w:rsidR="0052731B">
        <w:rPr>
          <w:i/>
          <w:iCs/>
        </w:rPr>
        <w:t xml:space="preserve">Collection </w:t>
      </w:r>
      <w:r w:rsidR="00BB6A4F">
        <w:rPr>
          <w:i/>
          <w:iCs/>
        </w:rPr>
        <w:t xml:space="preserve">began </w:t>
      </w:r>
      <w:r w:rsidR="00DB60F3">
        <w:rPr>
          <w:i/>
          <w:iCs/>
        </w:rPr>
        <w:t>April 2022</w:t>
      </w:r>
      <w:r w:rsidRPr="00B15C72" w:rsidR="00703B1B">
        <w:tab/>
      </w:r>
    </w:p>
    <w:p w:rsidR="00230C07" w:rsidP="00012B59" w14:paraId="3BC72A25" w14:textId="25650DBD">
      <w:pPr>
        <w:pStyle w:val="ListParagraph"/>
        <w:keepNext/>
        <w:numPr>
          <w:ilvl w:val="0"/>
          <w:numId w:val="22"/>
        </w:numPr>
        <w:spacing w:after="0" w:line="240" w:lineRule="auto"/>
        <w:ind w:left="1080" w:hanging="270"/>
        <w:jc w:val="both"/>
      </w:pPr>
      <w:r>
        <w:t>Number of small businesses served (by program if recipient establishes multiple separate small business assistance programs)</w:t>
      </w:r>
    </w:p>
    <w:p w:rsidR="00230C07" w:rsidRPr="00010A7D" w:rsidP="00230C07" w14:paraId="68F7C697" w14:textId="77777777">
      <w:pPr>
        <w:pStyle w:val="ListParagraph"/>
        <w:keepNext/>
        <w:spacing w:after="0" w:line="240" w:lineRule="auto"/>
        <w:ind w:left="1080"/>
        <w:jc w:val="both"/>
      </w:pPr>
    </w:p>
    <w:p w:rsidR="00B27982" w:rsidRPr="00237933" w:rsidP="00CE5331" w14:paraId="2CDBB0C5" w14:textId="30CCC355">
      <w:pPr>
        <w:pStyle w:val="ListParagraph"/>
        <w:keepNext/>
        <w:numPr>
          <w:ilvl w:val="0"/>
          <w:numId w:val="31"/>
        </w:numPr>
        <w:spacing w:after="0" w:line="240" w:lineRule="auto"/>
        <w:ind w:left="630" w:hanging="270"/>
        <w:jc w:val="both"/>
      </w:pPr>
      <w:r>
        <w:rPr>
          <w:u w:val="single"/>
        </w:rPr>
        <w:t>Assistance to Non-Profits (EC 1.9, 2.3</w:t>
      </w:r>
      <w:r w:rsidR="003026E8">
        <w:rPr>
          <w:u w:val="single"/>
        </w:rPr>
        <w:t>4</w:t>
      </w:r>
      <w:r>
        <w:rPr>
          <w:u w:val="single"/>
        </w:rPr>
        <w:t>)</w:t>
      </w:r>
      <w:r>
        <w:t xml:space="preserve">- </w:t>
      </w:r>
      <w:r>
        <w:rPr>
          <w:i/>
          <w:iCs/>
        </w:rPr>
        <w:t xml:space="preserve">Collection </w:t>
      </w:r>
      <w:r w:rsidR="00BB6A4F">
        <w:rPr>
          <w:i/>
          <w:iCs/>
        </w:rPr>
        <w:t xml:space="preserve">began </w:t>
      </w:r>
      <w:r>
        <w:rPr>
          <w:i/>
          <w:iCs/>
        </w:rPr>
        <w:t>April 2022</w:t>
      </w:r>
    </w:p>
    <w:p w:rsidR="005C3A12" w:rsidP="00012B59" w14:paraId="36066AA1" w14:textId="545D454B">
      <w:pPr>
        <w:pStyle w:val="ListParagraph"/>
        <w:keepNext/>
        <w:numPr>
          <w:ilvl w:val="0"/>
          <w:numId w:val="22"/>
        </w:numPr>
        <w:spacing w:after="0" w:line="240" w:lineRule="auto"/>
        <w:ind w:left="1080" w:hanging="270"/>
        <w:jc w:val="both"/>
      </w:pPr>
      <w:r w:rsidRPr="005C3A12">
        <w:t xml:space="preserve">Number of Non-Profits served (by program if recipient </w:t>
      </w:r>
      <w:r w:rsidRPr="005C3A12" w:rsidR="00917000">
        <w:t>establishes</w:t>
      </w:r>
      <w:r w:rsidRPr="005C3A12">
        <w:t xml:space="preserve"> multiple separate non-profit assistance programs)</w:t>
      </w:r>
    </w:p>
    <w:p w:rsidR="005C3A12" w:rsidRPr="00237933" w:rsidP="00237933" w14:paraId="68B3C1CF" w14:textId="77777777">
      <w:pPr>
        <w:pStyle w:val="ListParagraph"/>
        <w:keepNext/>
        <w:spacing w:after="0" w:line="240" w:lineRule="auto"/>
        <w:ind w:left="1080"/>
        <w:jc w:val="both"/>
      </w:pPr>
    </w:p>
    <w:p w:rsidR="00010A7D" w:rsidRPr="00B15C72" w:rsidP="00CE5331" w14:paraId="3EF9FD93" w14:textId="3A6E6C25">
      <w:pPr>
        <w:pStyle w:val="ListParagraph"/>
        <w:keepNext/>
        <w:numPr>
          <w:ilvl w:val="0"/>
          <w:numId w:val="31"/>
        </w:numPr>
        <w:spacing w:after="0" w:line="240" w:lineRule="auto"/>
        <w:ind w:left="630" w:hanging="270"/>
        <w:jc w:val="both"/>
      </w:pPr>
      <w:r w:rsidRPr="10A9F656">
        <w:rPr>
          <w:u w:val="single"/>
        </w:rPr>
        <w:t xml:space="preserve">Aid to Travel, Tourism, and Hospitality or Other Impacted Industries (EC </w:t>
      </w:r>
      <w:r w:rsidR="005C3A12">
        <w:rPr>
          <w:u w:val="single"/>
        </w:rPr>
        <w:t>1.10, 2.3</w:t>
      </w:r>
      <w:r w:rsidR="003026E8">
        <w:rPr>
          <w:u w:val="single"/>
        </w:rPr>
        <w:t>5</w:t>
      </w:r>
      <w:r w:rsidR="005C3A12">
        <w:rPr>
          <w:u w:val="single"/>
        </w:rPr>
        <w:t>-2.3</w:t>
      </w:r>
      <w:r w:rsidR="003026E8">
        <w:rPr>
          <w:u w:val="single"/>
        </w:rPr>
        <w:t>6</w:t>
      </w:r>
      <w:r w:rsidRPr="10A9F656">
        <w:rPr>
          <w:u w:val="single"/>
        </w:rPr>
        <w:t>)</w:t>
      </w:r>
      <w:r>
        <w:t xml:space="preserve"> – </w:t>
      </w:r>
      <w:r w:rsidRPr="00B15C72">
        <w:rPr>
          <w:i/>
          <w:iCs/>
        </w:rPr>
        <w:t xml:space="preserve">Collection </w:t>
      </w:r>
      <w:r w:rsidR="00BB6A4F">
        <w:rPr>
          <w:i/>
          <w:iCs/>
        </w:rPr>
        <w:t xml:space="preserve">began </w:t>
      </w:r>
      <w:r w:rsidRPr="00B15C72">
        <w:rPr>
          <w:i/>
          <w:iCs/>
        </w:rPr>
        <w:t>April 2022</w:t>
      </w:r>
      <w:r w:rsidRPr="00B15C72">
        <w:t>:</w:t>
      </w:r>
    </w:p>
    <w:p w:rsidR="00010A7D" w:rsidRPr="00A86FEA" w:rsidP="00012B59" w14:paraId="1781D422" w14:textId="3937A03B">
      <w:pPr>
        <w:numPr>
          <w:ilvl w:val="0"/>
          <w:numId w:val="8"/>
        </w:numPr>
        <w:spacing w:after="0" w:line="240" w:lineRule="auto"/>
        <w:ind w:left="1080" w:hanging="270"/>
        <w:rPr>
          <w:rFonts w:eastAsia="Times New Roman" w:asciiTheme="majorHAnsi" w:hAnsiTheme="majorHAnsi" w:cstheme="majorBidi"/>
        </w:rPr>
      </w:pPr>
      <w:r w:rsidRPr="10A9F656">
        <w:rPr>
          <w:rFonts w:eastAsia="Times New Roman" w:asciiTheme="majorHAnsi" w:hAnsiTheme="majorHAnsi" w:cstheme="majorBidi"/>
        </w:rPr>
        <w:t>If aid is provided to industries other than travel, tourism, and hospitality (EC 2.</w:t>
      </w:r>
      <w:r w:rsidR="00EF30E1">
        <w:rPr>
          <w:rFonts w:eastAsia="Times New Roman" w:asciiTheme="majorHAnsi" w:hAnsiTheme="majorHAnsi" w:cstheme="majorBidi"/>
        </w:rPr>
        <w:t>36</w:t>
      </w:r>
      <w:r w:rsidRPr="10A9F656">
        <w:rPr>
          <w:rFonts w:eastAsia="Times New Roman" w:asciiTheme="majorHAnsi" w:hAnsiTheme="majorHAnsi" w:cstheme="majorBidi"/>
        </w:rPr>
        <w:t xml:space="preserve">), </w:t>
      </w:r>
      <w:r w:rsidRPr="00A36200" w:rsidR="002C035A">
        <w:rPr>
          <w:rFonts w:ascii="Arial" w:hAnsi="Arial" w:cs="Arial"/>
          <w:lang w:val="en-IN"/>
        </w:rPr>
        <w:t>describe if</w:t>
      </w:r>
      <w:r w:rsidRPr="007777CF" w:rsidR="002C035A">
        <w:rPr>
          <w:rFonts w:ascii="Arial" w:hAnsi="Arial"/>
          <w:lang w:val="en-IN"/>
        </w:rPr>
        <w:t xml:space="preserve"> the industry </w:t>
      </w:r>
      <w:r w:rsidRPr="00A36200" w:rsidR="002C035A">
        <w:rPr>
          <w:rFonts w:ascii="Arial" w:hAnsi="Arial" w:cs="Arial"/>
          <w:lang w:val="en-IN"/>
        </w:rPr>
        <w:t xml:space="preserve">experienced at least </w:t>
      </w:r>
      <w:r w:rsidR="00D20614">
        <w:rPr>
          <w:rFonts w:ascii="Arial" w:hAnsi="Arial" w:cs="Arial"/>
          <w:lang w:val="en-IN"/>
        </w:rPr>
        <w:t>8</w:t>
      </w:r>
      <w:r w:rsidRPr="00A36200" w:rsidR="002C035A">
        <w:rPr>
          <w:rFonts w:ascii="Arial" w:hAnsi="Arial" w:cs="Arial"/>
          <w:lang w:val="en-IN"/>
        </w:rPr>
        <w:t xml:space="preserve"> percent employment loss from pre-pandemic levels, or the industry is experiencing comparable or worse economic impacts as the national tourism, travel, and hospitality industries as of the date of the </w:t>
      </w:r>
      <w:r w:rsidR="00970478">
        <w:rPr>
          <w:rFonts w:ascii="Arial" w:hAnsi="Arial" w:cs="Arial"/>
          <w:lang w:val="en-IN"/>
        </w:rPr>
        <w:t>f</w:t>
      </w:r>
      <w:r w:rsidRPr="00A36200" w:rsidR="002C035A">
        <w:rPr>
          <w:rFonts w:ascii="Arial" w:hAnsi="Arial" w:cs="Arial"/>
          <w:lang w:val="en-IN"/>
        </w:rPr>
        <w:t xml:space="preserve">inal </w:t>
      </w:r>
      <w:r w:rsidR="00970478">
        <w:rPr>
          <w:rFonts w:ascii="Arial" w:hAnsi="Arial" w:cs="Arial"/>
          <w:lang w:val="en-IN"/>
        </w:rPr>
        <w:t>r</w:t>
      </w:r>
      <w:r w:rsidRPr="00A36200" w:rsidR="002C035A">
        <w:rPr>
          <w:rFonts w:ascii="Arial" w:hAnsi="Arial" w:cs="Arial"/>
          <w:lang w:val="en-IN"/>
        </w:rPr>
        <w:t>ule</w:t>
      </w:r>
      <w:r w:rsidR="002C035A">
        <w:rPr>
          <w:rFonts w:ascii="Arial" w:hAnsi="Arial" w:cs="Arial"/>
          <w:lang w:val="en-IN"/>
        </w:rPr>
        <w:t xml:space="preserve">, </w:t>
      </w:r>
      <w:r w:rsidRPr="007777CF" w:rsidR="002C035A">
        <w:rPr>
          <w:rFonts w:ascii="Arial" w:hAnsi="Arial"/>
          <w:lang w:val="en-IN"/>
        </w:rPr>
        <w:t xml:space="preserve">and rationale for providing </w:t>
      </w:r>
      <w:r w:rsidR="002C035A">
        <w:rPr>
          <w:rFonts w:ascii="Arial" w:hAnsi="Arial" w:cs="Arial"/>
          <w:lang w:val="en-IN"/>
        </w:rPr>
        <w:t>aid</w:t>
      </w:r>
      <w:r w:rsidRPr="007777CF" w:rsidR="002C035A">
        <w:rPr>
          <w:rFonts w:ascii="Arial" w:hAnsi="Arial"/>
          <w:lang w:val="en-IN"/>
        </w:rPr>
        <w:t xml:space="preserve"> to the industry</w:t>
      </w:r>
    </w:p>
    <w:p w:rsidR="00010A7D" w:rsidRPr="00A86FEA" w:rsidP="00012B59" w14:paraId="139CB720" w14:textId="77777777">
      <w:pPr>
        <w:numPr>
          <w:ilvl w:val="0"/>
          <w:numId w:val="8"/>
        </w:numPr>
        <w:spacing w:after="0" w:line="240" w:lineRule="auto"/>
        <w:ind w:left="1080" w:hanging="270"/>
        <w:rPr>
          <w:rFonts w:eastAsia="Times New Roman" w:asciiTheme="majorHAnsi" w:hAnsiTheme="majorHAnsi" w:cstheme="majorBidi"/>
        </w:rPr>
      </w:pPr>
      <w:r w:rsidRPr="10A9F656">
        <w:rPr>
          <w:rFonts w:eastAsia="Times New Roman" w:asciiTheme="majorHAnsi" w:hAnsiTheme="majorHAnsi" w:cstheme="majorBidi"/>
        </w:rPr>
        <w:t>For each subaward:</w:t>
      </w:r>
    </w:p>
    <w:p w:rsidR="00010A7D" w:rsidRPr="00A86FEA" w:rsidP="00012B59" w14:paraId="7E29F993" w14:textId="0E84181C">
      <w:pPr>
        <w:numPr>
          <w:ilvl w:val="1"/>
          <w:numId w:val="8"/>
        </w:numPr>
        <w:spacing w:after="0" w:line="240" w:lineRule="auto"/>
        <w:ind w:left="1350" w:hanging="270"/>
        <w:rPr>
          <w:rFonts w:eastAsia="Times New Roman" w:asciiTheme="majorHAnsi" w:hAnsiTheme="majorHAnsi" w:cstheme="majorBidi"/>
        </w:rPr>
      </w:pPr>
      <w:r w:rsidRPr="10A9F656">
        <w:rPr>
          <w:rFonts w:eastAsia="Times New Roman" w:asciiTheme="majorHAnsi" w:hAnsiTheme="majorHAnsi" w:cstheme="majorBidi"/>
        </w:rPr>
        <w:t>Sector of employer (Note: additional detail, including list of sectors</w:t>
      </w:r>
      <w:r w:rsidR="00F26867">
        <w:rPr>
          <w:rFonts w:eastAsia="Times New Roman" w:asciiTheme="majorHAnsi" w:hAnsiTheme="majorHAnsi" w:cstheme="majorBidi"/>
        </w:rPr>
        <w:t>,</w:t>
      </w:r>
      <w:r w:rsidR="00E728C7">
        <w:rPr>
          <w:rFonts w:eastAsia="Times New Roman" w:asciiTheme="majorHAnsi" w:hAnsiTheme="majorHAnsi" w:cstheme="majorBidi"/>
        </w:rPr>
        <w:t xml:space="preserve"> </w:t>
      </w:r>
      <w:r w:rsidRPr="10A9F656">
        <w:rPr>
          <w:rFonts w:eastAsia="Times New Roman" w:asciiTheme="majorHAnsi" w:hAnsiTheme="majorHAnsi" w:cstheme="majorBidi"/>
        </w:rPr>
        <w:t xml:space="preserve">to be provided in </w:t>
      </w:r>
      <w:r w:rsidR="00B1589F">
        <w:rPr>
          <w:rFonts w:eastAsia="Times New Roman" w:asciiTheme="majorHAnsi" w:hAnsiTheme="majorHAnsi" w:cstheme="majorBidi"/>
        </w:rPr>
        <w:t xml:space="preserve">the user guide </w:t>
      </w:r>
      <w:r w:rsidR="00F26867">
        <w:rPr>
          <w:rFonts w:eastAsia="Times New Roman" w:asciiTheme="majorHAnsi" w:hAnsiTheme="majorHAnsi" w:cstheme="majorBidi"/>
        </w:rPr>
        <w:t xml:space="preserve">posted to </w:t>
      </w:r>
      <w:hyperlink r:id="rId26" w:history="1">
        <w:r w:rsidRPr="00E444F8" w:rsidR="00F26867">
          <w:rPr>
            <w:rStyle w:val="Hyperlink"/>
            <w:rFonts w:eastAsia="Times New Roman" w:asciiTheme="majorHAnsi" w:hAnsiTheme="majorHAnsi" w:cstheme="majorBidi"/>
          </w:rPr>
          <w:t>www.treasury.gov/SLFRP</w:t>
        </w:r>
      </w:hyperlink>
      <w:r w:rsidRPr="10A9F656">
        <w:rPr>
          <w:rFonts w:eastAsia="Times New Roman" w:asciiTheme="majorHAnsi" w:hAnsiTheme="majorHAnsi" w:cstheme="majorBidi"/>
        </w:rPr>
        <w:t>)</w:t>
      </w:r>
    </w:p>
    <w:p w:rsidR="00010A7D" w:rsidP="00012B59" w14:paraId="2B586A06" w14:textId="2FB03B9A">
      <w:pPr>
        <w:numPr>
          <w:ilvl w:val="1"/>
          <w:numId w:val="8"/>
        </w:numPr>
        <w:spacing w:after="0" w:line="240" w:lineRule="auto"/>
        <w:ind w:left="1350" w:hanging="270"/>
        <w:rPr>
          <w:rFonts w:eastAsia="Times New Roman" w:asciiTheme="majorHAnsi" w:hAnsiTheme="majorHAnsi" w:cstheme="majorBidi"/>
        </w:rPr>
      </w:pPr>
      <w:r w:rsidRPr="10A9F656">
        <w:rPr>
          <w:rFonts w:eastAsia="Times New Roman" w:asciiTheme="majorHAnsi" w:hAnsiTheme="majorHAnsi" w:cstheme="majorBidi"/>
        </w:rPr>
        <w:t>Purpose of funds (e.g., payroll support, safety measure implementation)</w:t>
      </w:r>
    </w:p>
    <w:p w:rsidR="00982F44" w:rsidP="00982F44" w14:paraId="16EB4050" w14:textId="77777777">
      <w:pPr>
        <w:spacing w:after="0" w:line="240" w:lineRule="auto"/>
        <w:ind w:left="1350"/>
        <w:rPr>
          <w:rFonts w:eastAsia="Times New Roman" w:asciiTheme="majorHAnsi" w:hAnsiTheme="majorHAnsi" w:cstheme="majorBidi"/>
        </w:rPr>
      </w:pPr>
    </w:p>
    <w:p w:rsidR="00C83B60" w:rsidRPr="00103AA9" w:rsidP="00CE5331" w14:paraId="19FB2BD6" w14:textId="225A73DB">
      <w:pPr>
        <w:pStyle w:val="ListParagraph"/>
        <w:keepNext/>
        <w:numPr>
          <w:ilvl w:val="0"/>
          <w:numId w:val="31"/>
        </w:numPr>
        <w:spacing w:after="0" w:line="240" w:lineRule="auto"/>
        <w:ind w:left="630" w:hanging="270"/>
        <w:jc w:val="both"/>
      </w:pPr>
      <w:r w:rsidRPr="10A9F656">
        <w:rPr>
          <w:u w:val="single"/>
        </w:rPr>
        <w:t xml:space="preserve">Education Assistance (EC </w:t>
      </w:r>
      <w:r>
        <w:rPr>
          <w:u w:val="single"/>
        </w:rPr>
        <w:t>2.</w:t>
      </w:r>
      <w:r w:rsidR="00FE04CE">
        <w:rPr>
          <w:u w:val="single"/>
        </w:rPr>
        <w:t>14, 2.24-</w:t>
      </w:r>
      <w:r w:rsidRPr="10A9F656">
        <w:rPr>
          <w:u w:val="single"/>
        </w:rPr>
        <w:t>.</w:t>
      </w:r>
      <w:r>
        <w:rPr>
          <w:u w:val="single"/>
        </w:rPr>
        <w:t>2.2</w:t>
      </w:r>
      <w:r w:rsidR="003026E8">
        <w:rPr>
          <w:u w:val="single"/>
        </w:rPr>
        <w:t>7</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C83B60" w:rsidP="00012B59" w14:paraId="53CD6108" w14:textId="77777777">
      <w:pPr>
        <w:pStyle w:val="NoSpacing"/>
        <w:numPr>
          <w:ilvl w:val="0"/>
          <w:numId w:val="19"/>
        </w:numPr>
        <w:ind w:left="1080" w:hanging="270"/>
        <w:jc w:val="both"/>
      </w:pPr>
      <w:r>
        <w:t>The N</w:t>
      </w:r>
      <w:r w:rsidRPr="00440EF3">
        <w:t>ational Center for Education Statistics</w:t>
      </w:r>
      <w:r w:rsidRPr="007542F6">
        <w:t xml:space="preserve"> </w:t>
      </w:r>
      <w:r>
        <w:t>(“</w:t>
      </w:r>
      <w:r w:rsidRPr="007542F6">
        <w:t>NCES</w:t>
      </w:r>
      <w:r>
        <w:t>”)</w:t>
      </w:r>
      <w:r w:rsidRPr="007542F6">
        <w:t xml:space="preserve"> School ID </w:t>
      </w:r>
      <w:r>
        <w:t>or</w:t>
      </w:r>
      <w:r w:rsidRPr="007542F6">
        <w:t xml:space="preserve"> NCES District ID</w:t>
      </w:r>
      <w:r>
        <w:t>.</w:t>
      </w:r>
      <w:r w:rsidRPr="00502F25">
        <w:t xml:space="preserve"> </w:t>
      </w:r>
      <w:r>
        <w:t>List the School District if all schools within the school district received some funds. If not all schools within the school district received funds, list the School ID of the schools that received funds. These can allow evaluators to link data from the NCES to look at school-level demographics and, eventually, student performance.</w:t>
      </w:r>
      <w:r>
        <w:rPr>
          <w:rStyle w:val="FootnoteReference"/>
        </w:rPr>
        <w:footnoteReference w:id="20"/>
      </w:r>
      <w:r>
        <w:t xml:space="preserve"> </w:t>
      </w:r>
    </w:p>
    <w:p w:rsidR="00C83B60" w:rsidRPr="007777CF" w:rsidP="007777CF" w14:paraId="2DD9DCDF" w14:textId="5D773024">
      <w:pPr>
        <w:pStyle w:val="ListParagraph"/>
        <w:keepNext/>
        <w:spacing w:after="0" w:line="240" w:lineRule="auto"/>
        <w:ind w:left="630"/>
        <w:jc w:val="both"/>
      </w:pPr>
    </w:p>
    <w:p w:rsidR="00504233" w:rsidRPr="00A40CD3" w:rsidP="00CE5331" w14:paraId="7F3FD482" w14:textId="564F5704">
      <w:pPr>
        <w:pStyle w:val="ListParagraph"/>
        <w:keepNext/>
        <w:numPr>
          <w:ilvl w:val="0"/>
          <w:numId w:val="31"/>
        </w:numPr>
        <w:spacing w:after="0" w:line="240" w:lineRule="auto"/>
        <w:ind w:left="630" w:hanging="270"/>
        <w:jc w:val="both"/>
      </w:pPr>
      <w:r w:rsidRPr="10A9F656">
        <w:rPr>
          <w:u w:val="single"/>
        </w:rPr>
        <w:t xml:space="preserve">Payroll for Public Health and Safety Employees (EC </w:t>
      </w:r>
      <w:r>
        <w:rPr>
          <w:u w:val="single"/>
        </w:rPr>
        <w:t>3</w:t>
      </w:r>
      <w:r w:rsidRPr="10A9F656">
        <w:rPr>
          <w:u w:val="single"/>
        </w:rPr>
        <w:t>.</w:t>
      </w:r>
      <w:r w:rsidR="00B50F56">
        <w:rPr>
          <w:u w:val="single"/>
        </w:rPr>
        <w:t>1</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504233" w:rsidP="00012B59" w14:paraId="4EC8716B" w14:textId="77777777">
      <w:pPr>
        <w:pStyle w:val="ListParagraph"/>
        <w:keepNext/>
        <w:numPr>
          <w:ilvl w:val="0"/>
          <w:numId w:val="15"/>
        </w:numPr>
        <w:spacing w:after="0" w:line="240" w:lineRule="auto"/>
        <w:ind w:left="1080" w:hanging="270"/>
        <w:jc w:val="both"/>
      </w:pPr>
      <w:r>
        <w:t>Number of government FTEs responding to COVID-19 supported under this authority</w:t>
      </w:r>
    </w:p>
    <w:p w:rsidR="00504233" w:rsidP="007777CF" w14:paraId="4594F9CC" w14:textId="77777777">
      <w:pPr>
        <w:pStyle w:val="ListParagraph"/>
        <w:keepNext/>
        <w:spacing w:after="0" w:line="240" w:lineRule="auto"/>
        <w:ind w:left="630"/>
        <w:jc w:val="both"/>
        <w:rPr>
          <w:u w:val="single"/>
        </w:rPr>
      </w:pPr>
    </w:p>
    <w:p w:rsidR="00230C07" w:rsidRPr="00527353" w:rsidP="00CE5331" w14:paraId="228539C4" w14:textId="2B5162E7">
      <w:pPr>
        <w:pStyle w:val="ListParagraph"/>
        <w:keepNext/>
        <w:numPr>
          <w:ilvl w:val="0"/>
          <w:numId w:val="31"/>
        </w:numPr>
        <w:spacing w:after="0" w:line="240" w:lineRule="auto"/>
        <w:ind w:left="630" w:hanging="270"/>
        <w:jc w:val="both"/>
        <w:rPr>
          <w:u w:val="single"/>
        </w:rPr>
      </w:pPr>
      <w:r w:rsidRPr="10A9F656">
        <w:rPr>
          <w:u w:val="single"/>
        </w:rPr>
        <w:t xml:space="preserve">Rehiring Public Sector Staff (EC </w:t>
      </w:r>
      <w:r w:rsidR="0065408A">
        <w:rPr>
          <w:u w:val="single"/>
        </w:rPr>
        <w:t>3.2</w:t>
      </w:r>
      <w:r w:rsidRPr="10A9F656">
        <w:rPr>
          <w:u w:val="single"/>
        </w:rPr>
        <w:t>)</w:t>
      </w:r>
      <w:r>
        <w:t xml:space="preserve"> – </w:t>
      </w:r>
      <w:r w:rsidRPr="10A9F656">
        <w:rPr>
          <w:i/>
          <w:iCs/>
        </w:rPr>
        <w:t xml:space="preserve">Collection </w:t>
      </w:r>
      <w:r w:rsidR="003373D0">
        <w:rPr>
          <w:i/>
          <w:iCs/>
        </w:rPr>
        <w:t xml:space="preserve">began </w:t>
      </w:r>
      <w:r w:rsidRPr="10A9F656">
        <w:rPr>
          <w:i/>
          <w:iCs/>
        </w:rPr>
        <w:t>in January 2022</w:t>
      </w:r>
      <w:r>
        <w:t>:</w:t>
      </w:r>
    </w:p>
    <w:p w:rsidR="00230C07" w:rsidRPr="00230C07" w:rsidP="00012B59" w14:paraId="6C05D95C" w14:textId="1109EE12">
      <w:pPr>
        <w:pStyle w:val="ListParagraph"/>
        <w:keepNext/>
        <w:numPr>
          <w:ilvl w:val="0"/>
          <w:numId w:val="16"/>
        </w:numPr>
        <w:spacing w:after="0" w:line="240" w:lineRule="auto"/>
        <w:ind w:left="1080" w:hanging="270"/>
        <w:jc w:val="both"/>
      </w:pPr>
      <w:r>
        <w:t>Number of FTEs rehired by governments under this authority</w:t>
      </w:r>
    </w:p>
    <w:p w:rsidR="00010A7D" w:rsidP="004E272F" w14:paraId="2286DF9E" w14:textId="77777777">
      <w:pPr>
        <w:pStyle w:val="NoSpacing"/>
        <w:ind w:left="810" w:hanging="270"/>
        <w:jc w:val="both"/>
        <w:rPr>
          <w:u w:val="single"/>
        </w:rPr>
      </w:pPr>
    </w:p>
    <w:p w:rsidR="00010A7D" w:rsidRPr="003C5176" w:rsidP="00CE5331" w14:paraId="7150BD19" w14:textId="0A6F3F2C">
      <w:pPr>
        <w:pStyle w:val="ListParagraph"/>
        <w:keepNext/>
        <w:numPr>
          <w:ilvl w:val="0"/>
          <w:numId w:val="31"/>
        </w:numPr>
        <w:spacing w:after="0" w:line="240" w:lineRule="auto"/>
        <w:ind w:left="630" w:hanging="270"/>
        <w:jc w:val="both"/>
        <w:rPr>
          <w:u w:val="single"/>
        </w:rPr>
      </w:pPr>
      <w:r w:rsidRPr="10A9F656">
        <w:rPr>
          <w:u w:val="single"/>
        </w:rPr>
        <w:t>Premium Pay (both Public Sector EC 4.1 and Private Sector EC 4.2)</w:t>
      </w:r>
      <w:r>
        <w:t xml:space="preserve"> – </w:t>
      </w:r>
      <w:r w:rsidRPr="10A9F656">
        <w:rPr>
          <w:i/>
          <w:iCs/>
        </w:rPr>
        <w:t xml:space="preserve">Collection </w:t>
      </w:r>
      <w:r w:rsidR="003373D0">
        <w:rPr>
          <w:i/>
          <w:iCs/>
        </w:rPr>
        <w:t xml:space="preserve">began </w:t>
      </w:r>
      <w:r w:rsidRPr="10A9F656">
        <w:rPr>
          <w:i/>
          <w:iCs/>
        </w:rPr>
        <w:t>in January 2022</w:t>
      </w:r>
      <w:r w:rsidR="00FB4312">
        <w:t xml:space="preserve">; </w:t>
      </w:r>
      <w:r w:rsidR="00FB4312">
        <w:rPr>
          <w:i/>
          <w:iCs/>
        </w:rPr>
        <w:t>additional field beg</w:t>
      </w:r>
      <w:r w:rsidR="003E37E5">
        <w:rPr>
          <w:i/>
          <w:iCs/>
        </w:rPr>
        <w:t>a</w:t>
      </w:r>
      <w:r w:rsidR="00FB4312">
        <w:rPr>
          <w:i/>
          <w:iCs/>
        </w:rPr>
        <w:t>n</w:t>
      </w:r>
      <w:r w:rsidR="003E37E5">
        <w:rPr>
          <w:i/>
          <w:iCs/>
        </w:rPr>
        <w:t xml:space="preserve"> in</w:t>
      </w:r>
      <w:r w:rsidR="00FB4312">
        <w:rPr>
          <w:i/>
          <w:iCs/>
        </w:rPr>
        <w:t xml:space="preserve"> April 2022</w:t>
      </w:r>
    </w:p>
    <w:p w:rsidR="00111183" w:rsidP="00CE5331" w14:paraId="45F72AA8" w14:textId="27EFF46F">
      <w:pPr>
        <w:pStyle w:val="NoSpacing"/>
        <w:numPr>
          <w:ilvl w:val="1"/>
          <w:numId w:val="41"/>
        </w:numPr>
        <w:jc w:val="both"/>
        <w:rPr>
          <w:rFonts w:eastAsia="Times New Roman" w:asciiTheme="majorHAnsi" w:hAnsiTheme="majorHAnsi" w:cstheme="majorBidi"/>
        </w:rPr>
      </w:pPr>
      <w:r w:rsidRPr="002D70C8">
        <w:rPr>
          <w:rFonts w:eastAsia="Times New Roman" w:asciiTheme="majorHAnsi" w:hAnsiTheme="majorHAnsi" w:cstheme="majorBidi"/>
        </w:rPr>
        <w:t xml:space="preserve">List of sectors designated as critical to </w:t>
      </w:r>
      <w:r w:rsidR="000B77AE">
        <w:rPr>
          <w:rFonts w:eastAsia="Times New Roman" w:asciiTheme="majorHAnsi" w:hAnsiTheme="majorHAnsi" w:cstheme="majorBidi"/>
        </w:rPr>
        <w:t xml:space="preserve">protecting </w:t>
      </w:r>
      <w:r w:rsidRPr="002D70C8">
        <w:rPr>
          <w:rFonts w:eastAsia="Times New Roman" w:asciiTheme="majorHAnsi" w:hAnsiTheme="majorHAnsi" w:cstheme="majorBidi"/>
        </w:rPr>
        <w:t xml:space="preserve">the health and well-being of residents by the chief executive of the jurisdiction, if beyond those included in the </w:t>
      </w:r>
      <w:r w:rsidR="00CE652B">
        <w:rPr>
          <w:rFonts w:eastAsia="Times New Roman" w:asciiTheme="majorHAnsi" w:hAnsiTheme="majorHAnsi" w:cstheme="majorBidi"/>
        </w:rPr>
        <w:t>f</w:t>
      </w:r>
      <w:r w:rsidRPr="002D70C8">
        <w:rPr>
          <w:rFonts w:eastAsia="Times New Roman" w:asciiTheme="majorHAnsi" w:hAnsiTheme="majorHAnsi" w:cstheme="majorBidi"/>
        </w:rPr>
        <w:t xml:space="preserve">inal </w:t>
      </w:r>
      <w:r w:rsidR="00CE652B">
        <w:rPr>
          <w:rFonts w:eastAsia="Times New Roman" w:asciiTheme="majorHAnsi" w:hAnsiTheme="majorHAnsi" w:cstheme="majorBidi"/>
        </w:rPr>
        <w:t>r</w:t>
      </w:r>
      <w:r w:rsidRPr="002D70C8">
        <w:rPr>
          <w:rFonts w:eastAsia="Times New Roman" w:asciiTheme="majorHAnsi" w:hAnsiTheme="majorHAnsi" w:cstheme="majorBidi"/>
        </w:rPr>
        <w:t xml:space="preserve">ule </w:t>
      </w:r>
      <w:r w:rsidR="00FB4312">
        <w:rPr>
          <w:rFonts w:eastAsia="Times New Roman" w:asciiTheme="majorHAnsi" w:hAnsiTheme="majorHAnsi" w:cstheme="majorBidi"/>
          <w:i/>
          <w:iCs/>
        </w:rPr>
        <w:t>(Collection began January 2022)</w:t>
      </w:r>
    </w:p>
    <w:p w:rsidR="00FB4312" w:rsidP="00CE5331" w14:paraId="3A42040A" w14:textId="61D6EC26">
      <w:pPr>
        <w:pStyle w:val="NoSpacing"/>
        <w:numPr>
          <w:ilvl w:val="1"/>
          <w:numId w:val="41"/>
        </w:numPr>
        <w:jc w:val="both"/>
        <w:rPr>
          <w:rFonts w:eastAsia="Times New Roman" w:asciiTheme="majorHAnsi" w:hAnsiTheme="majorHAnsi" w:cstheme="majorBidi"/>
        </w:rPr>
      </w:pPr>
      <w:r w:rsidRPr="002D70C8">
        <w:rPr>
          <w:rFonts w:eastAsia="Times New Roman" w:asciiTheme="majorHAnsi" w:hAnsiTheme="majorHAnsi" w:cstheme="majorBidi"/>
        </w:rPr>
        <w:t>Number of workers to be served</w:t>
      </w:r>
      <w:r>
        <w:rPr>
          <w:rFonts w:eastAsia="Times New Roman" w:asciiTheme="majorHAnsi" w:hAnsiTheme="majorHAnsi" w:cstheme="majorBidi"/>
        </w:rPr>
        <w:t xml:space="preserve"> (</w:t>
      </w:r>
      <w:r>
        <w:rPr>
          <w:rFonts w:eastAsia="Times New Roman" w:asciiTheme="majorHAnsi" w:hAnsiTheme="majorHAnsi" w:cstheme="majorBidi"/>
          <w:i/>
          <w:iCs/>
        </w:rPr>
        <w:t>Collection began January 2022)</w:t>
      </w:r>
    </w:p>
    <w:p w:rsidR="00FB4312" w:rsidP="00CE5331" w14:paraId="7127262F" w14:textId="3B8103B1">
      <w:pPr>
        <w:pStyle w:val="NoSpacing"/>
        <w:numPr>
          <w:ilvl w:val="1"/>
          <w:numId w:val="41"/>
        </w:numPr>
        <w:jc w:val="both"/>
        <w:rPr>
          <w:rFonts w:eastAsia="Times New Roman" w:asciiTheme="majorHAnsi" w:hAnsiTheme="majorHAnsi" w:cstheme="majorBidi"/>
        </w:rPr>
      </w:pPr>
      <w:r w:rsidRPr="00111183">
        <w:rPr>
          <w:rFonts w:eastAsia="Times New Roman" w:asciiTheme="majorHAnsi" w:hAnsiTheme="majorHAnsi" w:cstheme="majorBidi"/>
        </w:rPr>
        <w:t xml:space="preserve">Employer sector for all subawards to third-party employers (i.e., employers other than the State, local, or Tribal government) </w:t>
      </w:r>
      <w:r>
        <w:rPr>
          <w:rFonts w:eastAsia="Times New Roman" w:asciiTheme="majorHAnsi" w:hAnsiTheme="majorHAnsi" w:cstheme="majorBidi"/>
        </w:rPr>
        <w:t>(</w:t>
      </w:r>
      <w:r>
        <w:rPr>
          <w:rFonts w:eastAsia="Times New Roman" w:asciiTheme="majorHAnsi" w:hAnsiTheme="majorHAnsi" w:cstheme="majorBidi"/>
          <w:i/>
          <w:iCs/>
        </w:rPr>
        <w:t>Collection began January 2022)</w:t>
      </w:r>
    </w:p>
    <w:p w:rsidR="00111183" w:rsidRPr="00111183" w:rsidP="00CE5331" w14:paraId="4CC95325" w14:textId="6B64A3DD">
      <w:pPr>
        <w:numPr>
          <w:ilvl w:val="1"/>
          <w:numId w:val="41"/>
        </w:numPr>
        <w:spacing w:after="0" w:line="240" w:lineRule="auto"/>
        <w:rPr>
          <w:rFonts w:eastAsia="Times New Roman" w:asciiTheme="majorHAnsi" w:hAnsiTheme="majorHAnsi" w:cstheme="majorBidi"/>
        </w:rPr>
      </w:pPr>
      <w:r w:rsidRPr="00111183">
        <w:rPr>
          <w:rFonts w:eastAsia="Times New Roman" w:asciiTheme="majorHAnsi" w:hAnsiTheme="majorHAnsi" w:cstheme="majorBidi"/>
        </w:rPr>
        <w:t xml:space="preserve">For groups of workers (e.g., an operating unit, a classification of worker, etc.) or, to the extent applicable, individual workers, </w:t>
      </w:r>
      <w:r w:rsidR="00E53520">
        <w:rPr>
          <w:rFonts w:eastAsia="Times New Roman" w:asciiTheme="majorHAnsi" w:hAnsiTheme="majorHAnsi" w:cstheme="majorBidi"/>
        </w:rPr>
        <w:t>other than those</w:t>
      </w:r>
      <w:r w:rsidRPr="00111183">
        <w:rPr>
          <w:rFonts w:eastAsia="Times New Roman" w:asciiTheme="majorHAnsi" w:hAnsiTheme="majorHAnsi" w:cstheme="majorBidi"/>
        </w:rPr>
        <w:t xml:space="preserve"> where the eligible worker receiving </w:t>
      </w:r>
      <w:r w:rsidRPr="007777CF">
        <w:rPr>
          <w:rFonts w:asciiTheme="majorHAnsi" w:hAnsiTheme="majorHAnsi"/>
        </w:rPr>
        <w:t xml:space="preserve">premium pay </w:t>
      </w:r>
      <w:r w:rsidRPr="00111183">
        <w:rPr>
          <w:rFonts w:eastAsia="Times New Roman" w:asciiTheme="majorHAnsi" w:hAnsiTheme="majorHAnsi" w:cstheme="majorBidi"/>
        </w:rPr>
        <w:t>is earning (with the premium</w:t>
      </w:r>
      <w:r w:rsidRPr="007777CF">
        <w:rPr>
          <w:rFonts w:asciiTheme="majorHAnsi" w:hAnsiTheme="majorHAnsi"/>
        </w:rPr>
        <w:t xml:space="preserve"> </w:t>
      </w:r>
      <w:r w:rsidRPr="007777CF" w:rsidR="000B77AE">
        <w:rPr>
          <w:rFonts w:asciiTheme="majorHAnsi" w:hAnsiTheme="majorHAnsi"/>
        </w:rPr>
        <w:t xml:space="preserve">pay </w:t>
      </w:r>
      <w:r w:rsidRPr="00111183">
        <w:rPr>
          <w:rFonts w:eastAsia="Times New Roman" w:asciiTheme="majorHAnsi" w:hAnsiTheme="majorHAnsi" w:cstheme="majorBidi"/>
        </w:rPr>
        <w:t>included) below</w:t>
      </w:r>
      <w:r w:rsidRPr="007777CF">
        <w:rPr>
          <w:rFonts w:asciiTheme="majorHAnsi" w:hAnsiTheme="majorHAnsi"/>
        </w:rPr>
        <w:t xml:space="preserve"> 150 percent of their residing </w:t>
      </w:r>
      <w:r w:rsidRPr="00111183">
        <w:rPr>
          <w:rFonts w:eastAsia="Times New Roman" w:asciiTheme="majorHAnsi" w:hAnsiTheme="majorHAnsi" w:cstheme="majorBidi"/>
        </w:rPr>
        <w:t>state or county’s</w:t>
      </w:r>
      <w:r w:rsidRPr="007777CF">
        <w:rPr>
          <w:rFonts w:asciiTheme="majorHAnsi" w:hAnsiTheme="majorHAnsi"/>
        </w:rPr>
        <w:t xml:space="preserve"> average annual wage</w:t>
      </w:r>
      <w:r w:rsidRPr="00111183">
        <w:rPr>
          <w:rFonts w:eastAsia="Times New Roman" w:asciiTheme="majorHAnsi" w:hAnsiTheme="majorHAnsi" w:cstheme="majorBidi"/>
        </w:rPr>
        <w:t xml:space="preserve"> for all occupations, as defined by the Bureau of Labor Statistics Occupational Employment and Wage Statistics</w:t>
      </w:r>
      <w:r w:rsidRPr="007777CF">
        <w:rPr>
          <w:rFonts w:asciiTheme="majorHAnsi" w:hAnsiTheme="majorHAnsi"/>
        </w:rPr>
        <w:t xml:space="preserve">, whichever is </w:t>
      </w:r>
      <w:r w:rsidRPr="007777CF">
        <w:rPr>
          <w:rFonts w:asciiTheme="majorHAnsi" w:hAnsiTheme="majorHAnsi"/>
        </w:rPr>
        <w:t>higher, on an annual basis</w:t>
      </w:r>
      <w:r w:rsidRPr="00111183">
        <w:rPr>
          <w:rFonts w:eastAsia="Times New Roman" w:asciiTheme="majorHAnsi" w:hAnsiTheme="majorHAnsi" w:cstheme="majorBidi"/>
        </w:rPr>
        <w:t>; OR the eligible worker receiving premium pay is not exempt from the Fair Labor Standards Act overtime provisions</w:t>
      </w:r>
      <w:r w:rsidRPr="007777CF">
        <w:rPr>
          <w:rFonts w:asciiTheme="majorHAnsi" w:hAnsiTheme="majorHAnsi"/>
        </w:rPr>
        <w:t xml:space="preserve">: </w:t>
      </w:r>
    </w:p>
    <w:p w:rsidR="00111183" w:rsidP="00CE5331" w14:paraId="37A216E0" w14:textId="0D3F7EB7">
      <w:pPr>
        <w:numPr>
          <w:ilvl w:val="2"/>
          <w:numId w:val="41"/>
        </w:numPr>
        <w:spacing w:after="0" w:line="240" w:lineRule="auto"/>
        <w:rPr>
          <w:rFonts w:eastAsia="Times New Roman" w:asciiTheme="majorHAnsi" w:hAnsiTheme="majorHAnsi" w:cstheme="majorBidi"/>
        </w:rPr>
      </w:pPr>
      <w:r w:rsidRPr="007777CF">
        <w:rPr>
          <w:rFonts w:asciiTheme="majorHAnsi" w:hAnsiTheme="majorHAnsi"/>
        </w:rPr>
        <w:t xml:space="preserve">A </w:t>
      </w:r>
      <w:r w:rsidRPr="007777CF">
        <w:rPr>
          <w:rFonts w:asciiTheme="majorHAnsi" w:hAnsiTheme="majorHAnsi"/>
        </w:rPr>
        <w:t xml:space="preserve">brief written narrative justification of how the premium pay or grant is responsive to workers performing essential work during the public health emergency. This could include a description of the essential workers’ duties, health or financial risks faced due to COVID-19, and why the recipient government determined that the premium pay was responsive to workers performing essential work during the pandemic. </w:t>
      </w:r>
      <w:r w:rsidRPr="00111183">
        <w:rPr>
          <w:rFonts w:eastAsia="Times New Roman" w:asciiTheme="majorHAnsi" w:hAnsiTheme="majorHAnsi" w:cstheme="majorBidi"/>
        </w:rPr>
        <w:t> </w:t>
      </w:r>
      <w:r w:rsidRPr="007777CF">
        <w:rPr>
          <w:rFonts w:asciiTheme="majorHAnsi" w:hAnsiTheme="majorHAnsi"/>
        </w:rPr>
        <w:t>This description should not include personally identifiable information; when addressing individual workers, recipients should be careful not to include this information. Recipients may consider describing the workers’ occupations and duties in a general manner as necessary to protect privacy</w:t>
      </w:r>
      <w:r w:rsidR="00FB4312">
        <w:rPr>
          <w:rFonts w:eastAsia="Times New Roman" w:asciiTheme="majorHAnsi" w:hAnsiTheme="majorHAnsi" w:cstheme="majorBidi"/>
        </w:rPr>
        <w:t xml:space="preserve"> (</w:t>
      </w:r>
      <w:r w:rsidR="00FB4312">
        <w:rPr>
          <w:rFonts w:eastAsia="Times New Roman" w:asciiTheme="majorHAnsi" w:hAnsiTheme="majorHAnsi" w:cstheme="majorBidi"/>
          <w:i/>
          <w:iCs/>
        </w:rPr>
        <w:t>Collection began January 2022)</w:t>
      </w:r>
    </w:p>
    <w:p w:rsidR="00DE1738" w:rsidP="00CE5331" w14:paraId="25F567C5" w14:textId="21A57BF9">
      <w:pPr>
        <w:numPr>
          <w:ilvl w:val="1"/>
          <w:numId w:val="41"/>
        </w:numPr>
        <w:spacing w:after="0" w:line="240" w:lineRule="auto"/>
        <w:rPr>
          <w:rFonts w:eastAsia="Times New Roman" w:asciiTheme="majorHAnsi" w:hAnsiTheme="majorHAnsi" w:cstheme="majorBidi"/>
        </w:rPr>
      </w:pPr>
      <w:r>
        <w:rPr>
          <w:rFonts w:eastAsia="Times New Roman" w:asciiTheme="majorHAnsi" w:hAnsiTheme="majorHAnsi" w:cstheme="majorBidi"/>
        </w:rPr>
        <w:t>Number of workers to be served with premium pay in K-12 schools</w:t>
      </w:r>
      <w:r w:rsidR="00FB4312">
        <w:rPr>
          <w:rFonts w:eastAsia="Times New Roman" w:asciiTheme="majorHAnsi" w:hAnsiTheme="majorHAnsi" w:cstheme="majorBidi"/>
        </w:rPr>
        <w:t xml:space="preserve"> (</w:t>
      </w:r>
      <w:r w:rsidRPr="0052725B" w:rsidR="00FB4312">
        <w:rPr>
          <w:rFonts w:eastAsia="Times New Roman" w:asciiTheme="majorHAnsi" w:hAnsiTheme="majorHAnsi" w:cstheme="majorBidi"/>
          <w:i/>
          <w:iCs/>
        </w:rPr>
        <w:t xml:space="preserve">Collection </w:t>
      </w:r>
      <w:r w:rsidR="00FB4312">
        <w:rPr>
          <w:rFonts w:eastAsia="Times New Roman" w:asciiTheme="majorHAnsi" w:hAnsiTheme="majorHAnsi" w:cstheme="majorBidi"/>
          <w:i/>
          <w:iCs/>
        </w:rPr>
        <w:t>beg</w:t>
      </w:r>
      <w:r w:rsidR="00C94B88">
        <w:rPr>
          <w:rFonts w:eastAsia="Times New Roman" w:asciiTheme="majorHAnsi" w:hAnsiTheme="majorHAnsi" w:cstheme="majorBidi"/>
          <w:i/>
          <w:iCs/>
        </w:rPr>
        <w:t>a</w:t>
      </w:r>
      <w:r w:rsidR="00FB4312">
        <w:rPr>
          <w:rFonts w:eastAsia="Times New Roman" w:asciiTheme="majorHAnsi" w:hAnsiTheme="majorHAnsi" w:cstheme="majorBidi"/>
          <w:i/>
          <w:iCs/>
        </w:rPr>
        <w:t>n April 2022)</w:t>
      </w:r>
    </w:p>
    <w:p w:rsidR="004A7617" w:rsidRPr="00B10613" w:rsidP="009447BF" w14:paraId="6C1EC5AB" w14:textId="77777777">
      <w:pPr>
        <w:spacing w:after="0" w:line="240" w:lineRule="auto"/>
        <w:ind w:left="990"/>
        <w:rPr>
          <w:rFonts w:eastAsia="Times New Roman" w:asciiTheme="majorHAnsi" w:hAnsiTheme="majorHAnsi" w:cstheme="majorBidi"/>
        </w:rPr>
      </w:pPr>
    </w:p>
    <w:p w:rsidR="00613FE2" w:rsidP="00CE5331" w14:paraId="04495AE8" w14:textId="22D39CE8">
      <w:pPr>
        <w:pStyle w:val="ListParagraph"/>
        <w:keepNext/>
        <w:numPr>
          <w:ilvl w:val="0"/>
          <w:numId w:val="31"/>
        </w:numPr>
        <w:spacing w:after="0" w:line="240" w:lineRule="auto"/>
        <w:ind w:left="630" w:hanging="270"/>
        <w:jc w:val="both"/>
      </w:pPr>
      <w:r w:rsidRPr="10A9F656">
        <w:rPr>
          <w:u w:val="single"/>
        </w:rPr>
        <w:t>Revenue replacement (EC 6.1)</w:t>
      </w:r>
      <w:r>
        <w:t xml:space="preserve"> – </w:t>
      </w:r>
      <w:r w:rsidRPr="10A9F656">
        <w:rPr>
          <w:i/>
          <w:iCs/>
        </w:rPr>
        <w:t>Collection began in August 2021</w:t>
      </w:r>
      <w:r>
        <w:t>:</w:t>
      </w:r>
    </w:p>
    <w:p w:rsidR="00332501" w:rsidP="000F11C9" w14:paraId="5FE5057C" w14:textId="6491C61D">
      <w:pPr>
        <w:ind w:left="690"/>
      </w:pPr>
      <w:r>
        <w:t xml:space="preserve">As outlined in the </w:t>
      </w:r>
      <w:r>
        <w:t>f</w:t>
      </w:r>
      <w:r>
        <w:t xml:space="preserve">inal </w:t>
      </w:r>
      <w:r>
        <w:t>ru</w:t>
      </w:r>
      <w:r>
        <w:t xml:space="preserve">le, </w:t>
      </w:r>
      <w:r w:rsidR="00F5124A">
        <w:t>r</w:t>
      </w:r>
      <w:r>
        <w:t xml:space="preserve">ecipients have the option to make a one-time decision to calculate revenue loss according to the formula </w:t>
      </w:r>
      <w:r>
        <w:t xml:space="preserve">outlined in the </w:t>
      </w:r>
      <w:r>
        <w:t>f</w:t>
      </w:r>
      <w:r>
        <w:t xml:space="preserve">inal </w:t>
      </w:r>
      <w:r>
        <w:t>r</w:t>
      </w:r>
      <w:r>
        <w:t xml:space="preserve">ule </w:t>
      </w:r>
      <w:r>
        <w:t>or elect a “Standard Allowance” of up to $10 million, not to exceed the award allocation, to spend on government services throughout the period of performance.</w:t>
      </w:r>
      <w:r w:rsidR="00E53520">
        <w:t xml:space="preserve"> </w:t>
      </w:r>
      <w:r w:rsidR="00C95310">
        <w:t>The option to make this one-time decision w</w:t>
      </w:r>
      <w:r w:rsidR="00C94B88">
        <w:t>as</w:t>
      </w:r>
      <w:r w:rsidR="00C95310">
        <w:t xml:space="preserve"> provided during the April 30, 202</w:t>
      </w:r>
      <w:r w:rsidR="00F60A28">
        <w:t>2</w:t>
      </w:r>
      <w:r w:rsidR="00C95310">
        <w:t xml:space="preserve"> reporting deadline.</w:t>
      </w:r>
    </w:p>
    <w:p w:rsidR="00E53520" w:rsidP="000F11C9" w14:paraId="65F0843C" w14:textId="4F0F6189">
      <w:pPr>
        <w:ind w:left="690"/>
      </w:pPr>
      <w:r>
        <w:t>For recipients electing the “Standard Allowance,” Treasury will presume that up to $10 million, not to exceed the award allocation, in revenue has been lost due to the public health emergency</w:t>
      </w:r>
      <w:r w:rsidR="00FF09BF">
        <w:t>.</w:t>
      </w:r>
      <w:r>
        <w:t xml:space="preserve"> </w:t>
      </w:r>
      <w:r w:rsidR="00FF09BF">
        <w:t>R</w:t>
      </w:r>
      <w:r>
        <w:t xml:space="preserve">ecipients are permitted to use that amount to fund “government services.” Please note that electing the standard allowance does not change a recipient’s total allocation. Recipients </w:t>
      </w:r>
      <w:r w:rsidR="003D2946">
        <w:t>that</w:t>
      </w:r>
      <w:r>
        <w:t xml:space="preserve"> elect to use this standard allowance </w:t>
      </w:r>
      <w:r w:rsidR="003D2946">
        <w:t>will make this election</w:t>
      </w:r>
      <w:r>
        <w:t xml:space="preserve"> instead of calculating lost revenue using the formula.  </w:t>
      </w:r>
    </w:p>
    <w:p w:rsidR="00332501" w:rsidP="000F11C9" w14:paraId="70105F34" w14:textId="58FB252A">
      <w:pPr>
        <w:ind w:left="690"/>
      </w:pPr>
      <w:r>
        <w:t>For recipients calculating revenue loss according to the formula</w:t>
      </w:r>
      <w:r w:rsidRPr="2210F28F">
        <w:t xml:space="preserve">, </w:t>
      </w:r>
      <w:r>
        <w:t xml:space="preserve">the </w:t>
      </w:r>
      <w:r>
        <w:t>f</w:t>
      </w:r>
      <w:r>
        <w:t xml:space="preserve">inal </w:t>
      </w:r>
      <w:r>
        <w:t>r</w:t>
      </w:r>
      <w:r>
        <w:t xml:space="preserve">ule permits </w:t>
      </w:r>
      <w:r>
        <w:t xml:space="preserve">recipients to </w:t>
      </w:r>
      <w:r w:rsidRPr="00B61057">
        <w:t xml:space="preserve">choose whether to use calendar or fiscal year </w:t>
      </w:r>
      <w:r>
        <w:t xml:space="preserve">calculation </w:t>
      </w:r>
      <w:r w:rsidRPr="00B61057">
        <w:t>dates</w:t>
      </w:r>
      <w:r w:rsidRPr="2210F28F">
        <w:t>.</w:t>
      </w:r>
      <w:r>
        <w:t xml:space="preserve"> Recipients must use the same calculation time frame (calendar or fiscal year) throughout the award period.</w:t>
      </w:r>
    </w:p>
    <w:p w:rsidR="0094175E" w:rsidP="000F11C9" w14:paraId="7CEA5E5B" w14:textId="42E80D43">
      <w:pPr>
        <w:ind w:left="360" w:firstLine="330"/>
      </w:pPr>
      <w:r>
        <w:t>Re</w:t>
      </w:r>
      <w:r w:rsidR="00E53520">
        <w:t xml:space="preserve">cipients calculating lost revenue using the formula should report the following: </w:t>
      </w:r>
      <w:r>
        <w:tab/>
      </w:r>
    </w:p>
    <w:p w:rsidR="0094175E" w:rsidRPr="007777CF" w:rsidP="007777CF" w14:paraId="2A70E4FA" w14:textId="2B68AA3B">
      <w:pPr>
        <w:numPr>
          <w:ilvl w:val="0"/>
          <w:numId w:val="8"/>
        </w:numPr>
        <w:spacing w:after="0" w:line="240" w:lineRule="auto"/>
        <w:ind w:left="990"/>
        <w:rPr>
          <w:rFonts w:asciiTheme="majorHAnsi" w:hAnsiTheme="majorHAnsi"/>
        </w:rPr>
      </w:pPr>
      <w:r w:rsidRPr="00DB40C7">
        <w:rPr>
          <w:rFonts w:eastAsia="Times New Roman" w:asciiTheme="majorHAnsi" w:hAnsiTheme="majorHAnsi" w:cstheme="majorBidi"/>
        </w:rPr>
        <w:t>Choice of fiscal or calendar year</w:t>
      </w:r>
      <w:r w:rsidRPr="007777CF">
        <w:rPr>
          <w:rFonts w:asciiTheme="majorHAnsi" w:hAnsiTheme="majorHAnsi"/>
        </w:rPr>
        <w:t xml:space="preserve"> revenue loss </w:t>
      </w:r>
      <w:r w:rsidRPr="00DB40C7">
        <w:rPr>
          <w:rFonts w:eastAsia="Times New Roman" w:asciiTheme="majorHAnsi" w:hAnsiTheme="majorHAnsi" w:cstheme="majorBidi"/>
        </w:rPr>
        <w:t xml:space="preserve">(choice must remain consistent throughout </w:t>
      </w:r>
      <w:r w:rsidR="000E6F64">
        <w:rPr>
          <w:rFonts w:eastAsia="Times New Roman" w:asciiTheme="majorHAnsi" w:hAnsiTheme="majorHAnsi" w:cstheme="majorBidi"/>
        </w:rPr>
        <w:t>award period</w:t>
      </w:r>
      <w:r w:rsidRPr="00DB40C7">
        <w:rPr>
          <w:rFonts w:eastAsia="Times New Roman" w:asciiTheme="majorHAnsi" w:hAnsiTheme="majorHAnsi" w:cstheme="majorBidi"/>
        </w:rPr>
        <w:t>)</w:t>
      </w:r>
    </w:p>
    <w:p w:rsidR="006224DA" w:rsidRPr="00A86FEA" w:rsidP="007777CF" w14:paraId="65A1353E" w14:textId="567EA92F">
      <w:pPr>
        <w:numPr>
          <w:ilvl w:val="0"/>
          <w:numId w:val="8"/>
        </w:numPr>
        <w:spacing w:after="0" w:line="240" w:lineRule="auto"/>
        <w:ind w:left="990"/>
        <w:rPr>
          <w:rFonts w:eastAsia="Times New Roman" w:asciiTheme="majorHAnsi" w:hAnsiTheme="majorHAnsi" w:cstheme="majorBidi"/>
        </w:rPr>
      </w:pPr>
      <w:r>
        <w:t xml:space="preserve">General revenue collected over the past 12 months as of the most recent </w:t>
      </w:r>
      <w:r w:rsidRPr="10A9F656">
        <w:rPr>
          <w:rFonts w:eastAsia="Times New Roman" w:asciiTheme="majorHAnsi" w:hAnsiTheme="majorHAnsi" w:cstheme="majorBidi"/>
        </w:rPr>
        <w:t xml:space="preserve">calculation date, as outlined in the </w:t>
      </w:r>
      <w:r w:rsidR="00F5124A">
        <w:rPr>
          <w:rFonts w:eastAsia="Times New Roman" w:asciiTheme="majorHAnsi" w:hAnsiTheme="majorHAnsi" w:cstheme="majorBidi"/>
        </w:rPr>
        <w:t>f</w:t>
      </w:r>
      <w:r w:rsidRPr="10A9F656">
        <w:rPr>
          <w:rFonts w:eastAsia="Times New Roman" w:asciiTheme="majorHAnsi" w:hAnsiTheme="majorHAnsi" w:cstheme="majorBidi"/>
        </w:rPr>
        <w:t xml:space="preserve">inal </w:t>
      </w:r>
      <w:r w:rsidR="00F5124A">
        <w:rPr>
          <w:rFonts w:eastAsia="Times New Roman" w:asciiTheme="majorHAnsi" w:hAnsiTheme="majorHAnsi" w:cstheme="majorBidi"/>
        </w:rPr>
        <w:t>r</w:t>
      </w:r>
      <w:r w:rsidRPr="10A9F656">
        <w:rPr>
          <w:rFonts w:eastAsia="Times New Roman" w:asciiTheme="majorHAnsi" w:hAnsiTheme="majorHAnsi" w:cstheme="majorBidi"/>
        </w:rPr>
        <w:t>ule.</w:t>
      </w:r>
    </w:p>
    <w:p w:rsidR="006224DA" w:rsidRPr="00A86FEA" w:rsidP="007777CF" w14:paraId="61DA3F14" w14:textId="258A1E13">
      <w:pPr>
        <w:numPr>
          <w:ilvl w:val="0"/>
          <w:numId w:val="8"/>
        </w:numPr>
        <w:spacing w:after="0" w:line="240" w:lineRule="auto"/>
        <w:ind w:left="990"/>
        <w:rPr>
          <w:rFonts w:eastAsia="Times New Roman" w:asciiTheme="majorHAnsi" w:hAnsiTheme="majorHAnsi" w:cstheme="majorBidi"/>
        </w:rPr>
      </w:pPr>
      <w:r w:rsidRPr="10A9F656">
        <w:rPr>
          <w:rFonts w:eastAsia="Times New Roman" w:asciiTheme="majorHAnsi" w:hAnsiTheme="majorHAnsi" w:cstheme="majorBidi"/>
        </w:rPr>
        <w:t>Calculated revenue loss due to the Covid-19 public health emergency; and</w:t>
      </w:r>
    </w:p>
    <w:p w:rsidR="00AD32F9" w:rsidRPr="00A86FEA" w:rsidP="007777CF" w14:paraId="0D627FA4" w14:textId="387CEB48">
      <w:pPr>
        <w:numPr>
          <w:ilvl w:val="0"/>
          <w:numId w:val="8"/>
        </w:numPr>
        <w:spacing w:after="0" w:line="240" w:lineRule="auto"/>
        <w:ind w:left="990"/>
        <w:rPr>
          <w:rFonts w:eastAsia="Times New Roman" w:asciiTheme="majorHAnsi" w:hAnsiTheme="majorHAnsi" w:cstheme="majorBidi"/>
        </w:rPr>
      </w:pPr>
      <w:r w:rsidRPr="10A9F656">
        <w:rPr>
          <w:rFonts w:eastAsia="Times New Roman" w:asciiTheme="majorHAnsi" w:hAnsiTheme="majorHAnsi" w:cstheme="majorBidi"/>
        </w:rPr>
        <w:t xml:space="preserve">An explanation of how the revenue replacement funds were allocated to government services (note: additional instructions and/or template provided in </w:t>
      </w:r>
      <w:r w:rsidR="00262F57">
        <w:rPr>
          <w:rFonts w:eastAsia="Times New Roman" w:asciiTheme="majorHAnsi" w:hAnsiTheme="majorHAnsi" w:cstheme="majorBidi"/>
        </w:rPr>
        <w:t xml:space="preserve">the </w:t>
      </w:r>
      <w:r w:rsidRPr="10A9F656">
        <w:rPr>
          <w:rFonts w:eastAsia="Times New Roman" w:asciiTheme="majorHAnsi" w:hAnsiTheme="majorHAnsi" w:cstheme="majorBidi"/>
        </w:rPr>
        <w:t>user guide</w:t>
      </w:r>
      <w:r w:rsidRPr="003D2946" w:rsidR="003D2946">
        <w:t xml:space="preserve"> </w:t>
      </w:r>
      <w:r w:rsidR="003D2946">
        <w:t xml:space="preserve">posted at </w:t>
      </w:r>
      <w:hyperlink r:id="rId25" w:history="1">
        <w:r w:rsidRPr="00E444F8" w:rsidR="003D2946">
          <w:rPr>
            <w:rStyle w:val="Hyperlink"/>
          </w:rPr>
          <w:t>www.treasury.gov/SLFRPReporting</w:t>
        </w:r>
      </w:hyperlink>
      <w:r w:rsidRPr="10A9F656">
        <w:rPr>
          <w:rFonts w:eastAsia="Times New Roman" w:asciiTheme="majorHAnsi" w:hAnsiTheme="majorHAnsi" w:cstheme="majorBidi"/>
        </w:rPr>
        <w:t>).</w:t>
      </w:r>
    </w:p>
    <w:p w:rsidR="004B4A81" w:rsidRPr="007777CF" w:rsidP="007777CF" w14:paraId="7B4C9A5F" w14:textId="77777777">
      <w:pPr>
        <w:spacing w:after="0" w:line="240" w:lineRule="auto"/>
        <w:ind w:left="1080"/>
        <w:rPr>
          <w:rFonts w:asciiTheme="majorHAnsi" w:hAnsiTheme="majorHAnsi"/>
        </w:rPr>
      </w:pPr>
    </w:p>
    <w:p w:rsidR="004B4A81" w:rsidRPr="004B4A81" w:rsidP="00647F4B" w14:paraId="416769BC" w14:textId="57C55BD0">
      <w:pPr>
        <w:spacing w:after="0" w:line="240" w:lineRule="auto"/>
        <w:ind w:left="1080"/>
        <w:rPr>
          <w:rFonts w:eastAsia="Times New Roman" w:asciiTheme="majorHAnsi" w:hAnsiTheme="majorHAnsi" w:cstheme="majorBidi"/>
        </w:rPr>
      </w:pPr>
      <w:r>
        <w:t>For information on treatment of future tax changes, please see</w:t>
      </w:r>
      <w:r w:rsidR="007F193B">
        <w:t xml:space="preserve"> the</w:t>
      </w:r>
      <w:r>
        <w:t xml:space="preserve"> </w:t>
      </w:r>
      <w:hyperlink r:id="rId11" w:history="1">
        <w:r w:rsidRPr="00E05FEF" w:rsidR="007F193B">
          <w:rPr>
            <w:rStyle w:val="Hyperlink"/>
            <w:i/>
            <w:iCs/>
          </w:rPr>
          <w:t>Statement Regarding Compliance with the Coronavirus State and Local Fiscal Recovery Funds Interim Final Rule and Final Rule</w:t>
        </w:r>
      </w:hyperlink>
      <w:r w:rsidR="007F193B">
        <w:rPr>
          <w:i/>
          <w:iCs/>
        </w:rPr>
        <w:t>.</w:t>
      </w:r>
    </w:p>
    <w:p w:rsidR="00E47B51" w:rsidRPr="007777CF" w:rsidP="007777CF" w14:paraId="5DD7685C" w14:textId="7CC05E42">
      <w:pPr>
        <w:spacing w:after="0" w:line="240" w:lineRule="auto"/>
        <w:ind w:left="810" w:hanging="270"/>
        <w:rPr>
          <w:rFonts w:asciiTheme="majorHAnsi" w:hAnsiTheme="majorHAnsi"/>
          <w:u w:val="single"/>
        </w:rPr>
      </w:pPr>
    </w:p>
    <w:p w:rsidR="009801BA" w:rsidP="00CE5331" w14:paraId="723BF0F1" w14:textId="44325F89">
      <w:pPr>
        <w:pStyle w:val="ListParagraph"/>
        <w:numPr>
          <w:ilvl w:val="0"/>
          <w:numId w:val="29"/>
        </w:numPr>
        <w:spacing w:after="0" w:line="240" w:lineRule="auto"/>
        <w:jc w:val="both"/>
      </w:pPr>
      <w:r w:rsidRPr="031E305F">
        <w:rPr>
          <w:u w:val="single"/>
        </w:rPr>
        <w:t>Required Programmatic Data for Infrastructure Projects (EC 5)</w:t>
      </w:r>
      <w:r>
        <w:t xml:space="preserve">: For all projects listed under the Water, Sewer, and Broadband Expenditure Categories (see Appendix 1), more detailed project-level information is required.  Each project will be required to report expenditure data as described above, but will also report the following information:  </w:t>
      </w:r>
    </w:p>
    <w:p w:rsidR="00D879A4" w:rsidP="00D879A4" w14:paraId="4ECB2DE5" w14:textId="5853E5A3">
      <w:pPr>
        <w:pStyle w:val="ListParagraph"/>
        <w:spacing w:after="0" w:line="240" w:lineRule="auto"/>
        <w:ind w:left="270"/>
        <w:jc w:val="both"/>
      </w:pPr>
    </w:p>
    <w:p w:rsidR="005056CC" w:rsidP="00CE5331" w14:paraId="0C909390" w14:textId="31AE4618">
      <w:pPr>
        <w:pStyle w:val="NoSpacing"/>
        <w:numPr>
          <w:ilvl w:val="0"/>
          <w:numId w:val="32"/>
        </w:numPr>
        <w:ind w:hanging="270"/>
        <w:jc w:val="both"/>
      </w:pPr>
      <w:r w:rsidRPr="10A9F656">
        <w:rPr>
          <w:u w:val="single"/>
        </w:rPr>
        <w:t>All infrastructure projects (EC 5)</w:t>
      </w:r>
      <w:r>
        <w:t xml:space="preserve"> – </w:t>
      </w:r>
      <w:r w:rsidRPr="10A9F656">
        <w:rPr>
          <w:i/>
          <w:iCs/>
        </w:rPr>
        <w:t xml:space="preserve">Collection </w:t>
      </w:r>
      <w:r w:rsidR="003373D0">
        <w:rPr>
          <w:i/>
          <w:iCs/>
        </w:rPr>
        <w:t xml:space="preserve">began </w:t>
      </w:r>
      <w:r w:rsidRPr="10A9F656">
        <w:rPr>
          <w:i/>
          <w:iCs/>
        </w:rPr>
        <w:t>in January 2022:</w:t>
      </w:r>
    </w:p>
    <w:p w:rsidR="005056CC" w:rsidP="00012B59" w14:paraId="2179AD5E" w14:textId="77777777">
      <w:pPr>
        <w:pStyle w:val="NoSpacing"/>
        <w:numPr>
          <w:ilvl w:val="0"/>
          <w:numId w:val="23"/>
        </w:numPr>
        <w:ind w:left="990"/>
        <w:jc w:val="both"/>
      </w:pPr>
      <w:r>
        <w:t>Projected/actual construction start date (month/year)</w:t>
      </w:r>
    </w:p>
    <w:p w:rsidR="005056CC" w:rsidP="00012B59" w14:paraId="53FCAF83" w14:textId="77777777">
      <w:pPr>
        <w:pStyle w:val="NoSpacing"/>
        <w:numPr>
          <w:ilvl w:val="0"/>
          <w:numId w:val="23"/>
        </w:numPr>
        <w:ind w:left="990"/>
        <w:jc w:val="both"/>
      </w:pPr>
      <w:r>
        <w:t>Projected/actual initiation of operations date (month/year)</w:t>
      </w:r>
    </w:p>
    <w:p w:rsidR="005056CC" w:rsidP="00012B59" w14:paraId="1FE60F8E" w14:textId="06DA5A8A">
      <w:pPr>
        <w:pStyle w:val="NoSpacing"/>
        <w:numPr>
          <w:ilvl w:val="0"/>
          <w:numId w:val="23"/>
        </w:numPr>
        <w:ind w:left="990"/>
        <w:jc w:val="both"/>
      </w:pPr>
      <w:r>
        <w:t xml:space="preserve">Location </w:t>
      </w:r>
    </w:p>
    <w:p w:rsidR="005056CC" w:rsidP="00012B59" w14:paraId="57EF81B1" w14:textId="2CB3FB02">
      <w:pPr>
        <w:pStyle w:val="NoSpacing"/>
        <w:numPr>
          <w:ilvl w:val="0"/>
          <w:numId w:val="23"/>
        </w:numPr>
        <w:ind w:left="990"/>
        <w:jc w:val="both"/>
      </w:pPr>
      <w:r>
        <w:t>For projects over $10 million (based on expected total cost):</w:t>
      </w:r>
    </w:p>
    <w:p w:rsidR="005056CC" w:rsidP="00012B59" w14:paraId="1A4F4B9B" w14:textId="524C83C4">
      <w:pPr>
        <w:pStyle w:val="NoSpacing"/>
        <w:numPr>
          <w:ilvl w:val="1"/>
          <w:numId w:val="23"/>
        </w:numPr>
        <w:jc w:val="both"/>
      </w:pPr>
      <w:r>
        <w:t xml:space="preserve">A recipient may provide a certification that, for the relevant project, all laborers and mechanics employed by contractors and subcontractors in the performance of such project are paid wages at rates not less than those prevailing,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 or by the appropriate State entity pursuant to a corollary State prevailing-wage-in-construction law (commonly known as “baby Davis-Bacon Acts”). If such certification is not provided, a recipient must provide a project employment and local impact report detailing: </w:t>
      </w:r>
    </w:p>
    <w:p w:rsidR="005056CC" w:rsidP="00012B59" w14:paraId="6F1426CA" w14:textId="77777777">
      <w:pPr>
        <w:pStyle w:val="NoSpacing"/>
        <w:numPr>
          <w:ilvl w:val="2"/>
          <w:numId w:val="23"/>
        </w:numPr>
        <w:ind w:left="1800"/>
        <w:jc w:val="both"/>
      </w:pPr>
      <w:r>
        <w:t>The number of employees of contractors and sub-contractors working on the project;</w:t>
      </w:r>
    </w:p>
    <w:p w:rsidR="005056CC" w:rsidP="00012B59" w14:paraId="7320F709" w14:textId="562C7C59">
      <w:pPr>
        <w:pStyle w:val="NoSpacing"/>
        <w:numPr>
          <w:ilvl w:val="2"/>
          <w:numId w:val="23"/>
        </w:numPr>
        <w:ind w:left="1800"/>
        <w:jc w:val="both"/>
      </w:pPr>
      <w:r>
        <w:t>The number of employees on the project hired directly and hired through a third party;</w:t>
      </w:r>
    </w:p>
    <w:p w:rsidR="005056CC" w:rsidP="00012B59" w14:paraId="52B20496" w14:textId="0B3EE9A4">
      <w:pPr>
        <w:pStyle w:val="NoSpacing"/>
        <w:numPr>
          <w:ilvl w:val="2"/>
          <w:numId w:val="23"/>
        </w:numPr>
        <w:ind w:left="1800"/>
        <w:jc w:val="both"/>
      </w:pPr>
      <w:r>
        <w:t>The wages and benefits of workers on the project by classification; and</w:t>
      </w:r>
    </w:p>
    <w:p w:rsidR="005056CC" w:rsidP="00012B59" w14:paraId="1266D320" w14:textId="77F277EA">
      <w:pPr>
        <w:pStyle w:val="NoSpacing"/>
        <w:numPr>
          <w:ilvl w:val="2"/>
          <w:numId w:val="23"/>
        </w:numPr>
        <w:ind w:left="1800"/>
        <w:jc w:val="both"/>
      </w:pPr>
      <w:r>
        <w:t>Whether those wages are at rates less than those prevailing</w:t>
      </w:r>
      <w:r w:rsidR="004A32A7">
        <w:t>.</w:t>
      </w:r>
      <w:r>
        <w:rPr>
          <w:rStyle w:val="FootnoteReference"/>
        </w:rPr>
        <w:footnoteReference w:id="21"/>
      </w:r>
      <w:r>
        <w:t xml:space="preserve"> </w:t>
      </w:r>
    </w:p>
    <w:p w:rsidR="00D879A4" w:rsidP="00386707" w14:paraId="6B6EE2CB" w14:textId="6E42E03B">
      <w:pPr>
        <w:pStyle w:val="NoSpacing"/>
        <w:ind w:left="1800"/>
        <w:jc w:val="both"/>
      </w:pPr>
      <w:r>
        <w:t xml:space="preserve">Recipients must maintain sufficient records to substantiate this information upon request.    </w:t>
      </w:r>
    </w:p>
    <w:p w:rsidR="005056CC" w:rsidP="00012B59" w14:paraId="6871343A" w14:textId="00920960">
      <w:pPr>
        <w:pStyle w:val="NoSpacing"/>
        <w:numPr>
          <w:ilvl w:val="1"/>
          <w:numId w:val="23"/>
        </w:numPr>
        <w:jc w:val="both"/>
      </w:pPr>
      <w:r>
        <w:t>A recipient may provide a certification that a project includes a project labor agreement, meaning a pre-hire collective bargaining agreement consistent with section 8(f) of the National Labor Relations Act (29 U.S.C. 158(f)). If the recipient does not provide such certification, the recipient must provide a project workforce continuity plan, detailing:</w:t>
      </w:r>
    </w:p>
    <w:p w:rsidR="005056CC" w:rsidP="00012B59" w14:paraId="59ED7A4C" w14:textId="05C3D8C5">
      <w:pPr>
        <w:pStyle w:val="NoSpacing"/>
        <w:numPr>
          <w:ilvl w:val="2"/>
          <w:numId w:val="23"/>
        </w:numPr>
        <w:ind w:left="1800"/>
        <w:jc w:val="both"/>
      </w:pPr>
      <w:r>
        <w:t>How the recipient will ensure the project has ready access to a sufficient supply of appropriately skilled and unskilled labor to ensure high-quality construction throughout the life of the project</w:t>
      </w:r>
      <w:r w:rsidR="004C7B9C">
        <w:t>,</w:t>
      </w:r>
      <w:r w:rsidRPr="004C7B9C" w:rsidR="004C7B9C">
        <w:t xml:space="preserve"> </w:t>
      </w:r>
      <w:r w:rsidR="004C7B9C">
        <w:t>including a description of any required professional certifications and/or in-house training</w:t>
      </w:r>
      <w:r>
        <w:t xml:space="preserve">; </w:t>
      </w:r>
    </w:p>
    <w:p w:rsidR="006F7710" w:rsidP="00012B59" w14:paraId="0C435E81" w14:textId="77777777">
      <w:pPr>
        <w:pStyle w:val="NoSpacing"/>
        <w:numPr>
          <w:ilvl w:val="2"/>
          <w:numId w:val="23"/>
        </w:numPr>
        <w:ind w:left="1800"/>
        <w:jc w:val="both"/>
      </w:pPr>
      <w:r>
        <w:t xml:space="preserve">How the recipient will minimize risks of labor disputes and disruptions that would jeopardize timeliness and cost-effectiveness of the project; </w:t>
      </w:r>
    </w:p>
    <w:p w:rsidR="005056CC" w:rsidP="00012B59" w14:paraId="02C88633" w14:textId="455FAD12">
      <w:pPr>
        <w:pStyle w:val="NoSpacing"/>
        <w:numPr>
          <w:ilvl w:val="2"/>
          <w:numId w:val="23"/>
        </w:numPr>
        <w:ind w:left="1800"/>
        <w:jc w:val="both"/>
      </w:pPr>
      <w:r>
        <w:t>How the recipient will provide a safe and healthy workplace that avoids delays and costs associated with workplace illnesses, injuries, and fatalities</w:t>
      </w:r>
      <w:r w:rsidR="004C7B9C">
        <w:t>, including descriptions of safety training, certification, and/or licensure requirements for all relevant workers (e.g., OSHA 10, OSHA 30)</w:t>
      </w:r>
      <w:r>
        <w:t>;</w:t>
      </w:r>
    </w:p>
    <w:p w:rsidR="005056CC" w:rsidP="00012B59" w14:paraId="61D10CF8" w14:textId="77777777">
      <w:pPr>
        <w:pStyle w:val="NoSpacing"/>
        <w:numPr>
          <w:ilvl w:val="2"/>
          <w:numId w:val="23"/>
        </w:numPr>
        <w:ind w:left="1800"/>
        <w:jc w:val="both"/>
      </w:pPr>
      <w:r>
        <w:t>Whether workers on the project will receive wages and benefits that will secure an appropriately skilled workforce in the context of the local or regional labor market; and</w:t>
      </w:r>
    </w:p>
    <w:p w:rsidR="005056CC" w:rsidP="00012B59" w14:paraId="2BEB7A03" w14:textId="77777777">
      <w:pPr>
        <w:pStyle w:val="NoSpacing"/>
        <w:numPr>
          <w:ilvl w:val="2"/>
          <w:numId w:val="23"/>
        </w:numPr>
        <w:ind w:left="1800"/>
        <w:jc w:val="both"/>
      </w:pPr>
      <w:r>
        <w:t>Whether the project has completed a project labor agreement.</w:t>
      </w:r>
    </w:p>
    <w:p w:rsidR="004A32A7" w:rsidP="00012B59" w14:paraId="31B2FF67" w14:textId="6EA619E9">
      <w:pPr>
        <w:pStyle w:val="NoSpacing"/>
        <w:numPr>
          <w:ilvl w:val="1"/>
          <w:numId w:val="10"/>
        </w:numPr>
        <w:jc w:val="both"/>
      </w:pPr>
      <w:r>
        <w:t>Whether the project prioritizes local hires.</w:t>
      </w:r>
    </w:p>
    <w:p w:rsidR="004A32A7" w:rsidP="00012B59" w14:paraId="3AFCE810" w14:textId="77777777">
      <w:pPr>
        <w:pStyle w:val="NoSpacing"/>
        <w:numPr>
          <w:ilvl w:val="1"/>
          <w:numId w:val="10"/>
        </w:numPr>
        <w:jc w:val="both"/>
      </w:pPr>
      <w:r>
        <w:t>Whether the project has a Community Benefit Agreement, with a description of any such agreement.</w:t>
      </w:r>
    </w:p>
    <w:p w:rsidR="004A32A7" w:rsidP="00FD6A50" w14:paraId="7384335A" w14:textId="272FEA72">
      <w:pPr>
        <w:pStyle w:val="NoSpacing"/>
        <w:jc w:val="both"/>
      </w:pPr>
    </w:p>
    <w:p w:rsidR="00E04517" w:rsidP="00CE5331" w14:paraId="73D2E541" w14:textId="34A0AE12">
      <w:pPr>
        <w:pStyle w:val="NoSpacing"/>
        <w:numPr>
          <w:ilvl w:val="0"/>
          <w:numId w:val="32"/>
        </w:numPr>
        <w:ind w:hanging="270"/>
        <w:jc w:val="both"/>
        <w:rPr>
          <w:u w:val="single"/>
        </w:rPr>
      </w:pPr>
      <w:r w:rsidRPr="10A9F656">
        <w:rPr>
          <w:u w:val="single"/>
        </w:rPr>
        <w:t>Water and sewer projects (EC 5.1-5.1</w:t>
      </w:r>
      <w:r w:rsidR="00231087">
        <w:rPr>
          <w:u w:val="single"/>
        </w:rPr>
        <w:t>8</w:t>
      </w:r>
      <w:r w:rsidRPr="10A9F656">
        <w:rPr>
          <w:u w:val="single"/>
        </w:rPr>
        <w:t>)</w:t>
      </w:r>
      <w:r>
        <w:t xml:space="preserve"> </w:t>
      </w:r>
      <w:r w:rsidR="00694B11">
        <w:rPr>
          <w:i/>
          <w:iCs/>
        </w:rPr>
        <w:t>R</w:t>
      </w:r>
      <w:r w:rsidRPr="10A9F656">
        <w:rPr>
          <w:i/>
          <w:iCs/>
        </w:rPr>
        <w:t>equired once the project starts:</w:t>
      </w:r>
    </w:p>
    <w:p w:rsidR="006412DE" w:rsidP="00012B59" w14:paraId="7C5338FF" w14:textId="459EED32">
      <w:pPr>
        <w:pStyle w:val="NoSpacing"/>
        <w:numPr>
          <w:ilvl w:val="0"/>
          <w:numId w:val="18"/>
        </w:numPr>
        <w:jc w:val="both"/>
      </w:pPr>
      <w:r>
        <w:t>National Pollutant Discharge Elimination System (NPDES) Permit Number (if applicable; for projects aligned with the Clean Water State Revolving Fund)</w:t>
      </w:r>
      <w:r w:rsidR="00694B11">
        <w:t xml:space="preserve"> (</w:t>
      </w:r>
      <w:r w:rsidRPr="10A9F656" w:rsidR="00694B11">
        <w:rPr>
          <w:i/>
          <w:iCs/>
        </w:rPr>
        <w:t>Collection beg</w:t>
      </w:r>
      <w:r w:rsidR="002C035A">
        <w:rPr>
          <w:i/>
          <w:iCs/>
        </w:rPr>
        <w:t>a</w:t>
      </w:r>
      <w:r w:rsidRPr="10A9F656" w:rsidR="00694B11">
        <w:rPr>
          <w:i/>
          <w:iCs/>
        </w:rPr>
        <w:t>n in January 2022</w:t>
      </w:r>
      <w:r w:rsidR="00694B11">
        <w:rPr>
          <w:i/>
          <w:iCs/>
        </w:rPr>
        <w:t>)</w:t>
      </w:r>
    </w:p>
    <w:p w:rsidR="00386707" w:rsidP="00012B59" w14:paraId="3DD288B9" w14:textId="7CFE6D67">
      <w:pPr>
        <w:pStyle w:val="NoSpacing"/>
        <w:numPr>
          <w:ilvl w:val="0"/>
          <w:numId w:val="18"/>
        </w:numPr>
        <w:jc w:val="both"/>
      </w:pPr>
      <w:r>
        <w:t xml:space="preserve">Public Water System (PWS) ID number (if applicable; for projects aligned with the Drinking Water State Revolving Fund) </w:t>
      </w:r>
      <w:r w:rsidR="00694B11">
        <w:t>(</w:t>
      </w:r>
      <w:r w:rsidRPr="10A9F656" w:rsidR="00694B11">
        <w:rPr>
          <w:i/>
          <w:iCs/>
        </w:rPr>
        <w:t xml:space="preserve">Collection </w:t>
      </w:r>
      <w:r w:rsidR="003373D0">
        <w:rPr>
          <w:i/>
          <w:iCs/>
        </w:rPr>
        <w:t xml:space="preserve">began </w:t>
      </w:r>
      <w:r w:rsidRPr="10A9F656" w:rsidR="00694B11">
        <w:rPr>
          <w:i/>
          <w:iCs/>
        </w:rPr>
        <w:t>January 2022</w:t>
      </w:r>
      <w:r w:rsidR="00694B11">
        <w:rPr>
          <w:i/>
          <w:iCs/>
        </w:rPr>
        <w:t>)</w:t>
      </w:r>
    </w:p>
    <w:p w:rsidR="00337C8C" w:rsidRPr="00EE3B62" w:rsidP="00012B59" w14:paraId="6B23D7B1" w14:textId="337F8D70">
      <w:pPr>
        <w:pStyle w:val="NoSpacing"/>
        <w:numPr>
          <w:ilvl w:val="0"/>
          <w:numId w:val="18"/>
        </w:numPr>
        <w:jc w:val="both"/>
        <w:rPr>
          <w:i/>
          <w:iCs/>
        </w:rPr>
      </w:pPr>
      <w:r>
        <w:t xml:space="preserve">Median Household Income of service area </w:t>
      </w:r>
      <w:r w:rsidRPr="00EE3B62" w:rsidR="00694B11">
        <w:rPr>
          <w:i/>
          <w:iCs/>
        </w:rPr>
        <w:t xml:space="preserve">(Collection </w:t>
      </w:r>
      <w:r w:rsidR="00C94B88">
        <w:rPr>
          <w:i/>
          <w:iCs/>
        </w:rPr>
        <w:t>began</w:t>
      </w:r>
      <w:r w:rsidR="004D48A3">
        <w:rPr>
          <w:i/>
          <w:iCs/>
        </w:rPr>
        <w:t xml:space="preserve"> </w:t>
      </w:r>
      <w:r w:rsidRPr="00EE3B62" w:rsidR="00694B11">
        <w:rPr>
          <w:i/>
          <w:iCs/>
        </w:rPr>
        <w:t>in April 2022)</w:t>
      </w:r>
    </w:p>
    <w:p w:rsidR="00337C8C" w:rsidRPr="00EE3B62" w:rsidP="00012B59" w14:paraId="4500C86D" w14:textId="3F61CE1D">
      <w:pPr>
        <w:pStyle w:val="NoSpacing"/>
        <w:numPr>
          <w:ilvl w:val="0"/>
          <w:numId w:val="18"/>
        </w:numPr>
        <w:jc w:val="both"/>
        <w:rPr>
          <w:i/>
          <w:iCs/>
        </w:rPr>
      </w:pPr>
      <w:r>
        <w:t>Lowest Quintile Income of the service area</w:t>
      </w:r>
      <w:r w:rsidR="00694B11">
        <w:t xml:space="preserve"> </w:t>
      </w:r>
      <w:r w:rsidRPr="00EE3B62" w:rsidR="00694B11">
        <w:rPr>
          <w:i/>
          <w:iCs/>
        </w:rPr>
        <w:t xml:space="preserve">(Collection </w:t>
      </w:r>
      <w:r w:rsidR="00C94B88">
        <w:rPr>
          <w:i/>
          <w:iCs/>
        </w:rPr>
        <w:t>began</w:t>
      </w:r>
      <w:r w:rsidR="004D48A3">
        <w:rPr>
          <w:i/>
          <w:iCs/>
        </w:rPr>
        <w:t xml:space="preserve"> </w:t>
      </w:r>
      <w:r w:rsidRPr="00EE3B62" w:rsidR="00694B11">
        <w:rPr>
          <w:i/>
          <w:iCs/>
        </w:rPr>
        <w:t>in April 2022)</w:t>
      </w:r>
    </w:p>
    <w:p w:rsidR="00386707" w:rsidP="00FD6A50" w14:paraId="7013645D" w14:textId="77777777">
      <w:pPr>
        <w:pStyle w:val="NoSpacing"/>
        <w:jc w:val="both"/>
        <w:rPr>
          <w:u w:val="single"/>
        </w:rPr>
      </w:pPr>
    </w:p>
    <w:p w:rsidR="00D37474" w:rsidRPr="00A86FEA" w:rsidP="00CE5331" w14:paraId="32BDA0F0" w14:textId="63B27DCF">
      <w:pPr>
        <w:pStyle w:val="NoSpacing"/>
        <w:numPr>
          <w:ilvl w:val="0"/>
          <w:numId w:val="32"/>
        </w:numPr>
        <w:ind w:hanging="270"/>
        <w:jc w:val="both"/>
        <w:rPr>
          <w:i/>
          <w:iCs/>
          <w:u w:val="single"/>
        </w:rPr>
      </w:pPr>
      <w:r w:rsidRPr="10A9F656">
        <w:rPr>
          <w:u w:val="single"/>
        </w:rPr>
        <w:t>Broadband projects (EC 5.1</w:t>
      </w:r>
      <w:r w:rsidR="005C0952">
        <w:rPr>
          <w:u w:val="single"/>
        </w:rPr>
        <w:t>9</w:t>
      </w:r>
      <w:r w:rsidRPr="10A9F656">
        <w:rPr>
          <w:u w:val="single"/>
        </w:rPr>
        <w:t>-5.</w:t>
      </w:r>
      <w:r w:rsidR="005C0952">
        <w:rPr>
          <w:u w:val="single"/>
        </w:rPr>
        <w:t>21</w:t>
      </w:r>
      <w:r w:rsidRPr="10A9F656">
        <w:rPr>
          <w:u w:val="single"/>
        </w:rPr>
        <w:t xml:space="preserve">) </w:t>
      </w:r>
      <w:r w:rsidRPr="00B15C72">
        <w:rPr>
          <w:i/>
          <w:iCs/>
        </w:rPr>
        <w:t xml:space="preserve">Collection </w:t>
      </w:r>
      <w:r w:rsidR="00452FD2">
        <w:rPr>
          <w:i/>
          <w:iCs/>
        </w:rPr>
        <w:t xml:space="preserve">includes new fields </w:t>
      </w:r>
      <w:r w:rsidR="008E0A6D">
        <w:rPr>
          <w:i/>
          <w:iCs/>
        </w:rPr>
        <w:t xml:space="preserve">that </w:t>
      </w:r>
      <w:r w:rsidR="00840003">
        <w:rPr>
          <w:i/>
          <w:iCs/>
        </w:rPr>
        <w:t xml:space="preserve">began </w:t>
      </w:r>
      <w:r w:rsidR="005676B1">
        <w:rPr>
          <w:i/>
          <w:iCs/>
        </w:rPr>
        <w:t>in July 2022</w:t>
      </w:r>
      <w:r w:rsidR="00AF7A93">
        <w:rPr>
          <w:i/>
          <w:iCs/>
        </w:rPr>
        <w:t>. Additional fields will be phased in through future reporting periods, as noted below.</w:t>
      </w:r>
      <w:r w:rsidR="004F696E">
        <w:rPr>
          <w:i/>
          <w:iCs/>
        </w:rPr>
        <w:t xml:space="preserve"> </w:t>
      </w:r>
    </w:p>
    <w:p w:rsidR="00452FD2" w:rsidP="007D166B" w14:paraId="4C93FE46" w14:textId="648EA2A9">
      <w:pPr>
        <w:spacing w:after="0" w:line="240" w:lineRule="auto"/>
        <w:ind w:left="360"/>
      </w:pPr>
    </w:p>
    <w:p w:rsidR="007D166B" w:rsidP="0022778D" w14:paraId="36D497DC" w14:textId="4832B0B7">
      <w:pPr>
        <w:spacing w:after="0" w:line="240" w:lineRule="auto"/>
        <w:ind w:firstLine="630"/>
      </w:pPr>
      <w:r>
        <w:rPr>
          <w:i/>
          <w:iCs/>
        </w:rPr>
        <w:t>Overall Project Information</w:t>
      </w:r>
      <w:r w:rsidR="00E27215">
        <w:rPr>
          <w:i/>
          <w:iCs/>
        </w:rPr>
        <w:t xml:space="preserve"> </w:t>
      </w:r>
    </w:p>
    <w:p w:rsidR="00452FD2" w:rsidP="00CE5331" w14:paraId="544618CD" w14:textId="77777777">
      <w:pPr>
        <w:pStyle w:val="NoSpacing"/>
        <w:numPr>
          <w:ilvl w:val="0"/>
          <w:numId w:val="47"/>
        </w:numPr>
        <w:jc w:val="both"/>
      </w:pPr>
      <w:r>
        <w:t xml:space="preserve">Confirm that the project is designed to, upon completion, reliably meet or exceed symmetrical 100 Mbps download and upload speeds. </w:t>
      </w:r>
    </w:p>
    <w:p w:rsidR="00452FD2" w:rsidP="00CE5331" w14:paraId="2032466B" w14:textId="77777777">
      <w:pPr>
        <w:pStyle w:val="NoSpacing"/>
        <w:numPr>
          <w:ilvl w:val="0"/>
          <w:numId w:val="52"/>
        </w:numPr>
        <w:jc w:val="both"/>
      </w:pPr>
      <w:r>
        <w:t xml:space="preserve">If the project is not designed to reliably meet or exceed symmetrical 100 Mbps download and upload speeds, explain why not, and </w:t>
      </w:r>
    </w:p>
    <w:p w:rsidR="00452FD2" w:rsidP="00CE5331" w14:paraId="67B8A61D" w14:textId="6D87922E">
      <w:pPr>
        <w:pStyle w:val="NoSpacing"/>
        <w:numPr>
          <w:ilvl w:val="0"/>
          <w:numId w:val="52"/>
        </w:numPr>
        <w:jc w:val="both"/>
      </w:pPr>
      <w:r>
        <w:t>Confirm that the project is designed to, upon completion, meet or exceed 100 Mbps download speed and between at least 20 Mbps and 100 Mbps upload speed, and be scalable to a minimum of 100 Mbps download speed and 100 Mbps upload speed.</w:t>
      </w:r>
    </w:p>
    <w:p w:rsidR="00452FD2" w:rsidP="00CE5331" w14:paraId="353FBD9F" w14:textId="35E65607">
      <w:pPr>
        <w:pStyle w:val="NoSpacing"/>
        <w:numPr>
          <w:ilvl w:val="0"/>
          <w:numId w:val="47"/>
        </w:numPr>
        <w:jc w:val="both"/>
      </w:pPr>
      <w:r>
        <w:t xml:space="preserve">Confirm that the service provider for the project has, or will upon completion of the project, either </w:t>
      </w:r>
      <w:r w:rsidR="002F5039">
        <w:t>participate</w:t>
      </w:r>
      <w:r w:rsidR="00335E1B">
        <w:t>d</w:t>
      </w:r>
      <w:r>
        <w:t xml:space="preserve"> in the Federal Communications Commission (FCC)’s Affordable Connectivity Program (ACP) or otherwise </w:t>
      </w:r>
      <w:r w:rsidR="002F5039">
        <w:t>provide</w:t>
      </w:r>
      <w:r w:rsidR="00335E1B">
        <w:t>d</w:t>
      </w:r>
      <w:r w:rsidR="002F5039">
        <w:t xml:space="preserve"> </w:t>
      </w:r>
      <w:r>
        <w:t xml:space="preserve">access to a broad-based affordability program that provides benefits to households commensurate with those provided under the ACP to low-income consumers in the proposed service area of the broadband infrastructure </w:t>
      </w:r>
      <w:r>
        <w:rPr>
          <w:i/>
          <w:iCs/>
        </w:rPr>
        <w:t>(applicable only to projects that provide service to households).</w:t>
      </w:r>
    </w:p>
    <w:p w:rsidR="00452FD2" w:rsidP="00452FD2" w14:paraId="6D0DC660" w14:textId="448254FC">
      <w:pPr>
        <w:spacing w:after="0" w:line="240" w:lineRule="auto"/>
      </w:pPr>
    </w:p>
    <w:p w:rsidR="00452FD2" w:rsidRPr="00994D27" w:rsidP="0022778D" w14:paraId="1BB044A4" w14:textId="5BB22B87">
      <w:pPr>
        <w:spacing w:after="0" w:line="240" w:lineRule="auto"/>
        <w:ind w:firstLine="720"/>
      </w:pPr>
      <w:r>
        <w:rPr>
          <w:i/>
          <w:iCs/>
        </w:rPr>
        <w:t>Detailed Project Information</w:t>
      </w:r>
    </w:p>
    <w:p w:rsidR="007D166B" w:rsidP="00CE5331" w14:paraId="14D2B049" w14:textId="25E58172">
      <w:pPr>
        <w:pStyle w:val="ListParagraph"/>
        <w:numPr>
          <w:ilvl w:val="0"/>
          <w:numId w:val="47"/>
        </w:numPr>
        <w:spacing w:after="0" w:line="240" w:lineRule="auto"/>
      </w:pPr>
      <w:r>
        <w:t>Project t</w:t>
      </w:r>
      <w:r w:rsidRPr="00801DEC">
        <w:t xml:space="preserve">echnology </w:t>
      </w:r>
      <w:r>
        <w:t>t</w:t>
      </w:r>
      <w:r w:rsidRPr="00801DEC">
        <w:t>ype</w:t>
      </w:r>
      <w:r>
        <w:t>(s)</w:t>
      </w:r>
      <w:r w:rsidRPr="00801DEC">
        <w:t xml:space="preserve"> (Planned/Actual)</w:t>
      </w:r>
    </w:p>
    <w:p w:rsidR="007D166B" w:rsidP="00CE5331" w14:paraId="71C1A06E" w14:textId="77777777">
      <w:pPr>
        <w:pStyle w:val="ListParagraph"/>
        <w:numPr>
          <w:ilvl w:val="1"/>
          <w:numId w:val="47"/>
        </w:numPr>
        <w:spacing w:after="0" w:line="240" w:lineRule="auto"/>
      </w:pPr>
      <w:r w:rsidRPr="00801DEC">
        <w:t>Fiber</w:t>
      </w:r>
    </w:p>
    <w:p w:rsidR="007D166B" w:rsidP="00CE5331" w14:paraId="2C3499D8" w14:textId="77777777">
      <w:pPr>
        <w:pStyle w:val="ListParagraph"/>
        <w:numPr>
          <w:ilvl w:val="1"/>
          <w:numId w:val="47"/>
        </w:numPr>
        <w:spacing w:after="0" w:line="240" w:lineRule="auto"/>
      </w:pPr>
      <w:r>
        <w:t xml:space="preserve">Coaxial </w:t>
      </w:r>
      <w:r w:rsidRPr="00801DEC">
        <w:t>Cable</w:t>
      </w:r>
    </w:p>
    <w:p w:rsidR="007D166B" w:rsidRPr="00A2373D" w:rsidP="00CE5331" w14:paraId="78FEACF0" w14:textId="77777777">
      <w:pPr>
        <w:pStyle w:val="ListParagraph"/>
        <w:numPr>
          <w:ilvl w:val="1"/>
          <w:numId w:val="47"/>
        </w:numPr>
        <w:spacing w:after="0" w:line="240" w:lineRule="auto"/>
      </w:pPr>
      <w:r>
        <w:t xml:space="preserve">Terrestrial </w:t>
      </w:r>
      <w:r w:rsidRPr="00801DEC">
        <w:t>Fixed Wireless</w:t>
      </w:r>
    </w:p>
    <w:p w:rsidR="007D166B" w:rsidP="00CE5331" w14:paraId="5D3D593D" w14:textId="77777777">
      <w:pPr>
        <w:pStyle w:val="ListParagraph"/>
        <w:numPr>
          <w:ilvl w:val="1"/>
          <w:numId w:val="47"/>
        </w:numPr>
        <w:spacing w:after="0" w:line="240" w:lineRule="auto"/>
      </w:pPr>
      <w:r w:rsidRPr="00801DEC">
        <w:t>Other</w:t>
      </w:r>
      <w:r>
        <w:t xml:space="preserve"> (specify)</w:t>
      </w:r>
    </w:p>
    <w:p w:rsidR="007D166B" w:rsidP="00CE5331" w14:paraId="1595624A" w14:textId="77777777">
      <w:pPr>
        <w:pStyle w:val="ListParagraph"/>
        <w:numPr>
          <w:ilvl w:val="0"/>
          <w:numId w:val="47"/>
        </w:numPr>
        <w:spacing w:after="0" w:line="240" w:lineRule="auto"/>
      </w:pPr>
      <w:r w:rsidRPr="00801DEC">
        <w:t xml:space="preserve">Total </w:t>
      </w:r>
      <w:r>
        <w:t>m</w:t>
      </w:r>
      <w:r w:rsidRPr="00801DEC">
        <w:t xml:space="preserve">iles of </w:t>
      </w:r>
      <w:r>
        <w:t>f</w:t>
      </w:r>
      <w:r w:rsidRPr="00801DEC">
        <w:t xml:space="preserve">iber </w:t>
      </w:r>
      <w:r>
        <w:t>d</w:t>
      </w:r>
      <w:r w:rsidRPr="00801DEC">
        <w:t>eployed (Planned/Actual)</w:t>
      </w:r>
    </w:p>
    <w:p w:rsidR="007D166B" w:rsidRPr="00C5101E" w:rsidP="00CE5331" w14:paraId="1EE85E4B" w14:textId="3354BAD9">
      <w:pPr>
        <w:pStyle w:val="ListParagraph"/>
        <w:numPr>
          <w:ilvl w:val="0"/>
          <w:numId w:val="47"/>
        </w:numPr>
        <w:spacing w:after="0" w:line="240" w:lineRule="auto"/>
      </w:pPr>
      <w:r>
        <w:t xml:space="preserve">Total number of </w:t>
      </w:r>
      <w:r w:rsidR="005F5C98">
        <w:t xml:space="preserve">funded </w:t>
      </w:r>
      <w:r>
        <w:t>l</w:t>
      </w:r>
      <w:r w:rsidRPr="00801DEC">
        <w:t xml:space="preserve">ocations </w:t>
      </w:r>
      <w:r>
        <w:t>s</w:t>
      </w:r>
      <w:r w:rsidRPr="00801DEC">
        <w:t>erved (Planned/Actual)</w:t>
      </w:r>
    </w:p>
    <w:p w:rsidR="007D166B" w:rsidRPr="00C5101E" w:rsidP="00CE5331" w14:paraId="53761991" w14:textId="1CD2CC3C">
      <w:pPr>
        <w:pStyle w:val="ListParagraph"/>
        <w:numPr>
          <w:ilvl w:val="1"/>
          <w:numId w:val="47"/>
        </w:numPr>
        <w:spacing w:after="0" w:line="240" w:lineRule="auto"/>
      </w:pPr>
      <w:r w:rsidRPr="00801DEC">
        <w:t xml:space="preserve">Total </w:t>
      </w:r>
      <w:r>
        <w:t>n</w:t>
      </w:r>
      <w:r w:rsidRPr="00801DEC">
        <w:t xml:space="preserve">umber of </w:t>
      </w:r>
      <w:r w:rsidR="005324D8">
        <w:t xml:space="preserve">funded </w:t>
      </w:r>
      <w:r>
        <w:t>l</w:t>
      </w:r>
      <w:r w:rsidRPr="00801DEC">
        <w:t xml:space="preserve">ocations </w:t>
      </w:r>
      <w:r>
        <w:t>s</w:t>
      </w:r>
      <w:r w:rsidRPr="00801DEC">
        <w:t>erved</w:t>
      </w:r>
      <w:r>
        <w:t xml:space="preserve">, </w:t>
      </w:r>
      <w:r w:rsidRPr="00801DEC">
        <w:t>broken out by speeds</w:t>
      </w:r>
      <w:r>
        <w:t>:</w:t>
      </w:r>
    </w:p>
    <w:p w:rsidR="007D166B" w:rsidRPr="000E0615" w:rsidP="00CE5331" w14:paraId="74BFC3F6" w14:textId="5D3CCC15">
      <w:pPr>
        <w:pStyle w:val="ListParagraph"/>
        <w:numPr>
          <w:ilvl w:val="2"/>
          <w:numId w:val="47"/>
        </w:numPr>
        <w:spacing w:after="0" w:line="240" w:lineRule="auto"/>
      </w:pPr>
      <w:r w:rsidRPr="00801DEC">
        <w:t>Pre-</w:t>
      </w:r>
      <w:r w:rsidR="00583103">
        <w:t xml:space="preserve">SLFRF </w:t>
      </w:r>
      <w:r w:rsidRPr="00801DEC">
        <w:t>Investment:</w:t>
      </w:r>
    </w:p>
    <w:p w:rsidR="007D166B" w:rsidP="00CE5331" w14:paraId="7BCDB0F8" w14:textId="77777777">
      <w:pPr>
        <w:pStyle w:val="ListParagraph"/>
        <w:numPr>
          <w:ilvl w:val="3"/>
          <w:numId w:val="47"/>
        </w:numPr>
      </w:pPr>
      <w:r w:rsidRPr="00801DEC">
        <w:t xml:space="preserve">Number receiving 25/3 Mbps or below </w:t>
      </w:r>
    </w:p>
    <w:p w:rsidR="007D166B" w:rsidP="00CE5331" w14:paraId="1D0B1CFF" w14:textId="77777777">
      <w:pPr>
        <w:pStyle w:val="ListParagraph"/>
        <w:numPr>
          <w:ilvl w:val="3"/>
          <w:numId w:val="47"/>
        </w:numPr>
        <w:spacing w:after="0" w:line="240" w:lineRule="auto"/>
      </w:pPr>
      <w:r w:rsidRPr="00801DEC">
        <w:t>Number receiving between 25/3 Mbps and 100/20 Mbps</w:t>
      </w:r>
    </w:p>
    <w:p w:rsidR="007D166B" w:rsidP="00CE5331" w14:paraId="4E6422B3" w14:textId="006E2D01">
      <w:pPr>
        <w:pStyle w:val="ListParagraph"/>
        <w:numPr>
          <w:ilvl w:val="2"/>
          <w:numId w:val="47"/>
        </w:numPr>
        <w:spacing w:after="0" w:line="240" w:lineRule="auto"/>
      </w:pPr>
      <w:r w:rsidRPr="00801DEC">
        <w:t>Post-</w:t>
      </w:r>
      <w:r w:rsidR="00583103">
        <w:t xml:space="preserve">SLFRF </w:t>
      </w:r>
      <w:r w:rsidRPr="00801DEC">
        <w:t>Investment (Planned/Actual):</w:t>
      </w:r>
    </w:p>
    <w:p w:rsidR="007D166B" w:rsidRPr="004C22D1" w:rsidP="00CE5331" w14:paraId="7294127A" w14:textId="77777777">
      <w:pPr>
        <w:pStyle w:val="ListParagraph"/>
        <w:numPr>
          <w:ilvl w:val="3"/>
          <w:numId w:val="47"/>
        </w:numPr>
        <w:spacing w:after="0" w:line="240" w:lineRule="auto"/>
      </w:pPr>
      <w:r w:rsidRPr="00801DEC">
        <w:t xml:space="preserve">Number receiving minimum 100/100 Mbps </w:t>
      </w:r>
    </w:p>
    <w:p w:rsidR="007D166B" w:rsidP="00CE5331" w14:paraId="3595D047" w14:textId="7F45CF08">
      <w:pPr>
        <w:pStyle w:val="ListParagraph"/>
        <w:numPr>
          <w:ilvl w:val="3"/>
          <w:numId w:val="47"/>
        </w:numPr>
      </w:pPr>
      <w:r w:rsidRPr="00801DEC">
        <w:t xml:space="preserve">Number receiving minimum 100/20 Mbps and scalable to </w:t>
      </w:r>
      <w:r w:rsidR="00F62A1A">
        <w:t xml:space="preserve">minimum </w:t>
      </w:r>
      <w:r w:rsidRPr="00801DEC">
        <w:t>100/100 Mbps</w:t>
      </w:r>
    </w:p>
    <w:p w:rsidR="007D166B" w:rsidRPr="009940D3" w:rsidP="00CE5331" w14:paraId="4F63F44E" w14:textId="77777777">
      <w:pPr>
        <w:pStyle w:val="ListParagraph"/>
        <w:numPr>
          <w:ilvl w:val="1"/>
          <w:numId w:val="47"/>
        </w:numPr>
        <w:spacing w:after="0" w:line="240" w:lineRule="auto"/>
      </w:pPr>
      <w:r w:rsidRPr="00801DEC">
        <w:t xml:space="preserve">Total </w:t>
      </w:r>
      <w:r>
        <w:t>n</w:t>
      </w:r>
      <w:r w:rsidRPr="00801DEC">
        <w:t xml:space="preserve">umber of </w:t>
      </w:r>
      <w:r>
        <w:t>funded l</w:t>
      </w:r>
      <w:r w:rsidRPr="00801DEC">
        <w:t xml:space="preserve">ocations </w:t>
      </w:r>
      <w:r>
        <w:t>s</w:t>
      </w:r>
      <w:r w:rsidRPr="00801DEC">
        <w:t>erved</w:t>
      </w:r>
      <w:r>
        <w:t>,</w:t>
      </w:r>
      <w:r w:rsidRPr="00801DEC">
        <w:t xml:space="preserve"> broken out by type (Planned/Actual):</w:t>
      </w:r>
    </w:p>
    <w:p w:rsidR="007D166B" w:rsidP="00CE5331" w14:paraId="48A03D3C" w14:textId="77777777">
      <w:pPr>
        <w:pStyle w:val="ListParagraph"/>
        <w:numPr>
          <w:ilvl w:val="2"/>
          <w:numId w:val="47"/>
        </w:numPr>
        <w:spacing w:after="0" w:line="240" w:lineRule="auto"/>
      </w:pPr>
      <w:r>
        <w:t>Residential</w:t>
      </w:r>
    </w:p>
    <w:p w:rsidR="007D166B" w:rsidP="00CE5331" w14:paraId="465A0C06" w14:textId="77777777">
      <w:pPr>
        <w:pStyle w:val="ListParagraph"/>
        <w:numPr>
          <w:ilvl w:val="3"/>
          <w:numId w:val="47"/>
        </w:numPr>
        <w:spacing w:after="0" w:line="240" w:lineRule="auto"/>
      </w:pPr>
      <w:r>
        <w:t>Total Housing Units</w:t>
      </w:r>
    </w:p>
    <w:p w:rsidR="007D166B" w:rsidP="00CE5331" w14:paraId="078C2B3C" w14:textId="77777777">
      <w:pPr>
        <w:pStyle w:val="ListParagraph"/>
        <w:numPr>
          <w:ilvl w:val="2"/>
          <w:numId w:val="47"/>
        </w:numPr>
        <w:spacing w:after="0" w:line="240" w:lineRule="auto"/>
      </w:pPr>
      <w:r w:rsidRPr="00801DEC">
        <w:t>Business</w:t>
      </w:r>
    </w:p>
    <w:p w:rsidR="007D166B" w:rsidRPr="00801DEC" w:rsidP="00CE5331" w14:paraId="2763433D" w14:textId="77777777">
      <w:pPr>
        <w:pStyle w:val="ListParagraph"/>
        <w:numPr>
          <w:ilvl w:val="2"/>
          <w:numId w:val="47"/>
        </w:numPr>
        <w:rPr>
          <w:lang w:val="en-IN"/>
        </w:rPr>
      </w:pPr>
      <w:r w:rsidRPr="00801DEC">
        <w:t>Community anchor institution</w:t>
      </w:r>
    </w:p>
    <w:p w:rsidR="007D166B" w:rsidP="00435717" w14:paraId="2617359B" w14:textId="4FADA039">
      <w:pPr>
        <w:pStyle w:val="ListParagraph"/>
        <w:numPr>
          <w:ilvl w:val="0"/>
          <w:numId w:val="15"/>
        </w:numPr>
        <w:spacing w:after="0" w:line="240" w:lineRule="auto"/>
        <w:ind w:left="1080" w:hanging="274"/>
        <w:jc w:val="both"/>
      </w:pPr>
      <w:r w:rsidRPr="00801DEC">
        <w:t>Speed tiers offered</w:t>
      </w:r>
      <w:r w:rsidR="00562895">
        <w:t xml:space="preserve">, </w:t>
      </w:r>
      <w:r w:rsidRPr="00801DEC">
        <w:t>corresponding non-promotional prices, including associated fees,</w:t>
      </w:r>
      <w:r w:rsidR="00562895">
        <w:t xml:space="preserve"> and data allowance</w:t>
      </w:r>
      <w:r w:rsidRPr="00801DEC">
        <w:t xml:space="preserve"> for each speed tier of broadband service</w:t>
      </w:r>
      <w:r w:rsidR="004F696E">
        <w:t xml:space="preserve"> (</w:t>
      </w:r>
      <w:r w:rsidR="00804EF0">
        <w:rPr>
          <w:i/>
          <w:iCs/>
        </w:rPr>
        <w:t>collection to be phased in a future reporting period</w:t>
      </w:r>
      <w:r w:rsidR="00840003">
        <w:rPr>
          <w:i/>
          <w:iCs/>
        </w:rPr>
        <w:t>)</w:t>
      </w:r>
    </w:p>
    <w:p w:rsidR="000663A7" w:rsidP="0022778D" w14:paraId="30DBC059" w14:textId="77777777">
      <w:pPr>
        <w:spacing w:after="0" w:line="240" w:lineRule="auto"/>
        <w:ind w:left="360" w:firstLine="360"/>
      </w:pPr>
    </w:p>
    <w:p w:rsidR="0022778D" w:rsidP="0022778D" w14:paraId="322F4FDD" w14:textId="77777777">
      <w:pPr>
        <w:spacing w:after="0" w:line="240" w:lineRule="auto"/>
        <w:ind w:left="360" w:firstLine="360"/>
        <w:rPr>
          <w:i/>
          <w:iCs/>
        </w:rPr>
      </w:pPr>
      <w:r>
        <w:rPr>
          <w:i/>
          <w:iCs/>
        </w:rPr>
        <w:t>Location-by-Location Project Information</w:t>
      </w:r>
    </w:p>
    <w:p w:rsidR="007D166B" w:rsidRPr="0072240C" w:rsidP="0022778D" w14:paraId="78229FA3" w14:textId="43BA889E">
      <w:pPr>
        <w:spacing w:after="0" w:line="240" w:lineRule="auto"/>
        <w:ind w:left="720"/>
      </w:pPr>
      <w:r>
        <w:t xml:space="preserve">For each </w:t>
      </w:r>
      <w:r w:rsidRPr="0072240C">
        <w:t xml:space="preserve">location served by a </w:t>
      </w:r>
      <w:r>
        <w:t>Project</w:t>
      </w:r>
      <w:r w:rsidRPr="0072240C">
        <w:t xml:space="preserve">, </w:t>
      </w:r>
      <w:r>
        <w:t>the</w:t>
      </w:r>
      <w:r w:rsidR="00147898">
        <w:t xml:space="preserve"> r</w:t>
      </w:r>
      <w:r>
        <w:t xml:space="preserve">ecipient must collect from the subrecipient </w:t>
      </w:r>
      <w:r w:rsidR="00562895">
        <w:t xml:space="preserve">or contractor </w:t>
      </w:r>
      <w:r>
        <w:t>and submit the following information to Treasury using a</w:t>
      </w:r>
      <w:r w:rsidRPr="0072240C">
        <w:t xml:space="preserve"> predetermined file format </w:t>
      </w:r>
      <w:r>
        <w:t xml:space="preserve">that will be provided </w:t>
      </w:r>
      <w:r w:rsidRPr="0072240C">
        <w:t>by Treasury</w:t>
      </w:r>
      <w:r w:rsidR="00927AB1">
        <w:t xml:space="preserve"> </w:t>
      </w:r>
      <w:r w:rsidR="004F696E">
        <w:t>(</w:t>
      </w:r>
      <w:r w:rsidR="007B63F5">
        <w:rPr>
          <w:i/>
          <w:iCs/>
        </w:rPr>
        <w:t xml:space="preserve">collection </w:t>
      </w:r>
      <w:r w:rsidR="008E0A6D">
        <w:rPr>
          <w:i/>
          <w:iCs/>
        </w:rPr>
        <w:t xml:space="preserve">of certain fields </w:t>
      </w:r>
      <w:r w:rsidR="007B63F5">
        <w:rPr>
          <w:i/>
          <w:iCs/>
        </w:rPr>
        <w:t xml:space="preserve">will begin in </w:t>
      </w:r>
      <w:r w:rsidRPr="004F696E" w:rsidR="004F696E">
        <w:rPr>
          <w:i/>
          <w:iCs/>
        </w:rPr>
        <w:t>October 2022</w:t>
      </w:r>
      <w:r w:rsidR="009C4C9B">
        <w:rPr>
          <w:i/>
          <w:iCs/>
        </w:rPr>
        <w:t>, as specified below</w:t>
      </w:r>
      <w:r w:rsidR="004F696E">
        <w:t>)</w:t>
      </w:r>
      <w:r w:rsidRPr="0072240C">
        <w:t>:</w:t>
      </w:r>
      <w:r w:rsidR="00562895">
        <w:br/>
      </w:r>
    </w:p>
    <w:p w:rsidR="007B63F5" w:rsidP="007B63F5" w14:paraId="77C423C4" w14:textId="59E87C36">
      <w:pPr>
        <w:pStyle w:val="ListParagraph"/>
        <w:numPr>
          <w:ilvl w:val="0"/>
          <w:numId w:val="15"/>
        </w:numPr>
        <w:spacing w:after="0" w:line="240" w:lineRule="auto"/>
        <w:ind w:left="1080" w:hanging="274"/>
        <w:jc w:val="both"/>
      </w:pPr>
      <w:r w:rsidRPr="00801DEC">
        <w:t xml:space="preserve">Latitude/longitude at the structure where service will be </w:t>
      </w:r>
      <w:r>
        <w:t xml:space="preserve">installed </w:t>
      </w:r>
      <w:r>
        <w:t>(</w:t>
      </w:r>
      <w:r>
        <w:rPr>
          <w:i/>
          <w:iCs/>
        </w:rPr>
        <w:t xml:space="preserve">required starting October </w:t>
      </w:r>
      <w:r>
        <w:rPr>
          <w:i/>
          <w:iCs/>
        </w:rPr>
        <w:t>2022)</w:t>
      </w:r>
      <w:r>
        <w:t>Technology</w:t>
      </w:r>
      <w:r>
        <w:t xml:space="preserve"> used to offer service at the location </w:t>
      </w:r>
      <w:r>
        <w:t>(</w:t>
      </w:r>
      <w:r>
        <w:rPr>
          <w:i/>
          <w:iCs/>
        </w:rPr>
        <w:t>required starting October 2022)</w:t>
      </w:r>
    </w:p>
    <w:p w:rsidR="007B63F5" w:rsidP="007B63F5" w14:paraId="364B9C8E" w14:textId="77777777">
      <w:pPr>
        <w:pStyle w:val="ListParagraph"/>
        <w:numPr>
          <w:ilvl w:val="0"/>
          <w:numId w:val="15"/>
        </w:numPr>
        <w:spacing w:after="0" w:line="240" w:lineRule="auto"/>
        <w:ind w:left="1080" w:hanging="274"/>
        <w:jc w:val="both"/>
      </w:pPr>
      <w:r>
        <w:t xml:space="preserve">Location </w:t>
      </w:r>
      <w:r w:rsidR="007252D4">
        <w:t>t</w:t>
      </w:r>
      <w:r>
        <w:t>ype</w:t>
      </w:r>
      <w:r>
        <w:t xml:space="preserve"> (</w:t>
      </w:r>
      <w:r>
        <w:rPr>
          <w:i/>
          <w:iCs/>
        </w:rPr>
        <w:t>required starting October 2022)</w:t>
      </w:r>
    </w:p>
    <w:p w:rsidR="007D166B" w:rsidP="00CE5331" w14:paraId="526D1FA0" w14:textId="77777777">
      <w:pPr>
        <w:pStyle w:val="ListParagraph"/>
        <w:numPr>
          <w:ilvl w:val="1"/>
          <w:numId w:val="47"/>
        </w:numPr>
      </w:pPr>
      <w:r>
        <w:t>Residential</w:t>
      </w:r>
    </w:p>
    <w:p w:rsidR="007D166B" w:rsidP="00CE5331" w14:paraId="3F631C22" w14:textId="77777777">
      <w:pPr>
        <w:pStyle w:val="ListParagraph"/>
        <w:numPr>
          <w:ilvl w:val="2"/>
          <w:numId w:val="47"/>
        </w:numPr>
      </w:pPr>
      <w:r>
        <w:t>If Residential, Number of Housing Units</w:t>
      </w:r>
    </w:p>
    <w:p w:rsidR="007D166B" w:rsidP="00CE5331" w14:paraId="583B2A7A" w14:textId="77777777">
      <w:pPr>
        <w:pStyle w:val="ListParagraph"/>
        <w:numPr>
          <w:ilvl w:val="1"/>
          <w:numId w:val="47"/>
        </w:numPr>
      </w:pPr>
      <w:r>
        <w:t>Business</w:t>
      </w:r>
    </w:p>
    <w:p w:rsidR="007D166B" w:rsidP="00CE5331" w14:paraId="70D97A43" w14:textId="715DAB88">
      <w:pPr>
        <w:pStyle w:val="ListParagraph"/>
        <w:numPr>
          <w:ilvl w:val="1"/>
          <w:numId w:val="47"/>
        </w:numPr>
      </w:pPr>
      <w:r>
        <w:t>Community anchor institution</w:t>
      </w:r>
    </w:p>
    <w:p w:rsidR="007D166B" w:rsidP="0022778D" w14:paraId="6234446A" w14:textId="2E8891D8">
      <w:pPr>
        <w:pStyle w:val="ListParagraph"/>
        <w:numPr>
          <w:ilvl w:val="0"/>
          <w:numId w:val="15"/>
        </w:numPr>
        <w:spacing w:after="0" w:line="240" w:lineRule="auto"/>
        <w:ind w:left="1080" w:hanging="274"/>
        <w:jc w:val="both"/>
      </w:pPr>
      <w:r w:rsidRPr="00801DEC">
        <w:t xml:space="preserve">Speed </w:t>
      </w:r>
      <w:r>
        <w:t xml:space="preserve">tier </w:t>
      </w:r>
      <w:r w:rsidRPr="00801DEC">
        <w:t xml:space="preserve">at </w:t>
      </w:r>
      <w:r>
        <w:t>the l</w:t>
      </w:r>
      <w:r w:rsidRPr="00801DEC">
        <w:t xml:space="preserve">ocation </w:t>
      </w:r>
      <w:r>
        <w:t>p</w:t>
      </w:r>
      <w:r w:rsidRPr="00801DEC">
        <w:t>re-</w:t>
      </w:r>
      <w:r w:rsidR="00147898">
        <w:t xml:space="preserve">SLFRF </w:t>
      </w:r>
      <w:r>
        <w:t>i</w:t>
      </w:r>
      <w:r w:rsidRPr="00801DEC">
        <w:t>nvestment</w:t>
      </w:r>
      <w:r w:rsidR="007B63F5">
        <w:t xml:space="preserve"> (</w:t>
      </w:r>
      <w:r w:rsidR="007B63F5">
        <w:rPr>
          <w:i/>
          <w:iCs/>
        </w:rPr>
        <w:t>collection to be phased in)</w:t>
      </w:r>
    </w:p>
    <w:p w:rsidR="007D166B" w:rsidP="00CE5331" w14:paraId="0A317BE4" w14:textId="77777777">
      <w:pPr>
        <w:pStyle w:val="ListParagraph"/>
        <w:numPr>
          <w:ilvl w:val="1"/>
          <w:numId w:val="47"/>
        </w:numPr>
        <w:jc w:val="both"/>
      </w:pPr>
      <w:r w:rsidRPr="00801DEC">
        <w:t>25/3 Mbps or below</w:t>
      </w:r>
    </w:p>
    <w:p w:rsidR="007D166B" w:rsidP="00CE5331" w14:paraId="276A8417" w14:textId="77777777">
      <w:pPr>
        <w:pStyle w:val="ListParagraph"/>
        <w:numPr>
          <w:ilvl w:val="1"/>
          <w:numId w:val="47"/>
        </w:numPr>
        <w:jc w:val="both"/>
      </w:pPr>
      <w:r w:rsidRPr="00801DEC">
        <w:t>Between 25/3 Mbps and 100/20 Mbps</w:t>
      </w:r>
    </w:p>
    <w:p w:rsidR="007D166B" w:rsidRPr="00F56B1A" w:rsidP="0022778D" w14:paraId="3C5A2AEA" w14:textId="3C7BC37D">
      <w:pPr>
        <w:pStyle w:val="ListParagraph"/>
        <w:numPr>
          <w:ilvl w:val="0"/>
          <w:numId w:val="15"/>
        </w:numPr>
        <w:spacing w:after="0" w:line="240" w:lineRule="auto"/>
        <w:ind w:left="1080" w:hanging="274"/>
        <w:jc w:val="both"/>
      </w:pPr>
      <w:r w:rsidRPr="00801DEC">
        <w:t>Speed</w:t>
      </w:r>
      <w:r>
        <w:t xml:space="preserve"> and latency</w:t>
      </w:r>
      <w:r w:rsidRPr="00801DEC">
        <w:t xml:space="preserve"> at </w:t>
      </w:r>
      <w:r>
        <w:t>the l</w:t>
      </w:r>
      <w:r w:rsidRPr="00801DEC">
        <w:t xml:space="preserve">ocation </w:t>
      </w:r>
      <w:r>
        <w:t>p</w:t>
      </w:r>
      <w:r w:rsidRPr="00801DEC">
        <w:t>ost-</w:t>
      </w:r>
      <w:r w:rsidR="00147898">
        <w:t xml:space="preserve">SLFRF </w:t>
      </w:r>
      <w:r>
        <w:t>i</w:t>
      </w:r>
      <w:r w:rsidRPr="00801DEC">
        <w:t xml:space="preserve">nvestment </w:t>
      </w:r>
      <w:r w:rsidR="007B63F5">
        <w:t>(</w:t>
      </w:r>
      <w:r w:rsidR="007B63F5">
        <w:rPr>
          <w:i/>
          <w:iCs/>
        </w:rPr>
        <w:t>collection to be phased in)</w:t>
      </w:r>
    </w:p>
    <w:p w:rsidR="007D166B" w:rsidP="00CE5331" w14:paraId="6A2D3490" w14:textId="77777777">
      <w:pPr>
        <w:pStyle w:val="ListParagraph"/>
        <w:numPr>
          <w:ilvl w:val="1"/>
          <w:numId w:val="47"/>
        </w:numPr>
        <w:jc w:val="both"/>
      </w:pPr>
      <w:r>
        <w:t xml:space="preserve">Maximum download speed </w:t>
      </w:r>
      <w:r w:rsidRPr="00162774">
        <w:t xml:space="preserve">offered </w:t>
      </w:r>
    </w:p>
    <w:p w:rsidR="007D166B" w:rsidP="00CE5331" w14:paraId="6346652E" w14:textId="77777777">
      <w:pPr>
        <w:pStyle w:val="ListParagraph"/>
        <w:numPr>
          <w:ilvl w:val="1"/>
          <w:numId w:val="47"/>
        </w:numPr>
        <w:jc w:val="both"/>
      </w:pPr>
      <w:r>
        <w:t>Maximum download speed delivered</w:t>
      </w:r>
    </w:p>
    <w:p w:rsidR="007D166B" w:rsidP="00CE5331" w14:paraId="1EA492FE" w14:textId="7FB8C416">
      <w:pPr>
        <w:pStyle w:val="ListParagraph"/>
        <w:numPr>
          <w:ilvl w:val="1"/>
          <w:numId w:val="47"/>
        </w:numPr>
        <w:jc w:val="both"/>
      </w:pPr>
      <w:r>
        <w:t>Maximum upload speed offered</w:t>
      </w:r>
    </w:p>
    <w:p w:rsidR="007D166B" w:rsidP="00CE5331" w14:paraId="2AA7E8BA" w14:textId="24077568">
      <w:pPr>
        <w:pStyle w:val="ListParagraph"/>
        <w:numPr>
          <w:ilvl w:val="1"/>
          <w:numId w:val="47"/>
        </w:numPr>
        <w:jc w:val="both"/>
      </w:pPr>
      <w:r>
        <w:t>Maximum upload speed delivered</w:t>
      </w:r>
    </w:p>
    <w:p w:rsidR="007D166B" w:rsidP="00CE5331" w14:paraId="1426FD6A" w14:textId="289724FD">
      <w:pPr>
        <w:pStyle w:val="ListParagraph"/>
        <w:numPr>
          <w:ilvl w:val="1"/>
          <w:numId w:val="47"/>
        </w:numPr>
        <w:jc w:val="both"/>
      </w:pPr>
      <w:r>
        <w:t>Latency</w:t>
      </w:r>
    </w:p>
    <w:p w:rsidR="00290E47" w:rsidP="00290E47" w14:paraId="3D7ACDF1" w14:textId="77777777">
      <w:pPr>
        <w:pStyle w:val="ListParagraph"/>
        <w:numPr>
          <w:ilvl w:val="0"/>
          <w:numId w:val="15"/>
        </w:numPr>
        <w:spacing w:after="0" w:line="240" w:lineRule="auto"/>
        <w:ind w:left="1080" w:hanging="274"/>
        <w:jc w:val="both"/>
      </w:pPr>
      <w:r>
        <w:t>Standardized FCC Identifiers</w:t>
      </w:r>
    </w:p>
    <w:p w:rsidR="00290E47" w:rsidRPr="00C0150C" w:rsidP="00290E47" w14:paraId="2B3B665A" w14:textId="77777777">
      <w:pPr>
        <w:pStyle w:val="ListParagraph"/>
        <w:numPr>
          <w:ilvl w:val="0"/>
          <w:numId w:val="65"/>
        </w:numPr>
        <w:spacing w:after="0" w:line="240" w:lineRule="auto"/>
        <w:jc w:val="both"/>
      </w:pPr>
      <w:r w:rsidRPr="00AF01C1">
        <w:rPr>
          <w:rFonts w:eastAsia="Times New Roman"/>
        </w:rPr>
        <w:t>Fabric ID # (Broadband Serviceable Fabric Locations)</w:t>
      </w:r>
    </w:p>
    <w:p w:rsidR="00290E47" w:rsidP="00FF6D9D" w14:paraId="4972B4AF" w14:textId="7D789EEE">
      <w:pPr>
        <w:pStyle w:val="ListParagraph"/>
        <w:numPr>
          <w:ilvl w:val="0"/>
          <w:numId w:val="65"/>
        </w:numPr>
        <w:jc w:val="both"/>
      </w:pPr>
      <w:r>
        <w:rPr>
          <w:rFonts w:eastAsia="Times New Roman"/>
        </w:rPr>
        <w:t>FCC Issued Provider ID #</w:t>
      </w:r>
    </w:p>
    <w:p w:rsidR="00307B54" w:rsidP="00307B54" w14:paraId="53B260BB" w14:textId="77777777">
      <w:pPr>
        <w:pStyle w:val="NoSpacing"/>
        <w:jc w:val="both"/>
      </w:pPr>
    </w:p>
    <w:p w:rsidR="00885A0B" w:rsidP="00CE5331" w14:paraId="1593ECA8" w14:textId="7AC17F24">
      <w:pPr>
        <w:pStyle w:val="ListParagraph"/>
        <w:numPr>
          <w:ilvl w:val="0"/>
          <w:numId w:val="29"/>
        </w:numPr>
        <w:spacing w:after="0" w:line="240" w:lineRule="auto"/>
      </w:pPr>
      <w:r w:rsidRPr="000875AD">
        <w:rPr>
          <w:u w:val="single"/>
        </w:rPr>
        <w:t xml:space="preserve">Additional Required Programmatic Data for </w:t>
      </w:r>
      <w:r w:rsidRPr="000875AD" w:rsidR="00FA4703">
        <w:rPr>
          <w:iCs/>
          <w:u w:val="single"/>
        </w:rPr>
        <w:t>States, U.S. territories, and metropolitan cities and counties with a population that exceeds 250,000 residents only</w:t>
      </w:r>
      <w:r>
        <w:t xml:space="preserve">: As noted in the Recovery Plan section of this guidance, </w:t>
      </w:r>
      <w:r w:rsidR="00FA4703">
        <w:t>s</w:t>
      </w:r>
      <w:r>
        <w:t xml:space="preserve">tates, </w:t>
      </w:r>
      <w:r w:rsidR="00FA4703">
        <w:t>U.S. t</w:t>
      </w:r>
      <w:r>
        <w:t xml:space="preserve">erritories, and </w:t>
      </w:r>
      <w:r w:rsidR="00FA4703">
        <w:t>m</w:t>
      </w:r>
      <w:r>
        <w:t xml:space="preserve">etropolitan </w:t>
      </w:r>
      <w:r w:rsidR="00FA4703">
        <w:t>c</w:t>
      </w:r>
      <w:r>
        <w:t xml:space="preserve">ities and </w:t>
      </w:r>
      <w:r w:rsidR="00FA4703">
        <w:t>c</w:t>
      </w:r>
      <w:r>
        <w:t xml:space="preserve">ounties with a population over 250,000 are required to provide additional data </w:t>
      </w:r>
      <w:r w:rsidR="000875AD">
        <w:t xml:space="preserve">in the Project and Expenditure report </w:t>
      </w:r>
      <w:r>
        <w:t xml:space="preserve">for </w:t>
      </w:r>
      <w:r w:rsidR="00FA4703">
        <w:t xml:space="preserve">projects in the following expenditure categories: </w:t>
      </w:r>
    </w:p>
    <w:p w:rsidR="000875AD" w:rsidRPr="00CC5FF8" w:rsidP="00CC5FF8" w14:paraId="5B9F7048" w14:textId="77777777">
      <w:pPr>
        <w:pStyle w:val="ListParagraph"/>
        <w:spacing w:after="0" w:line="240" w:lineRule="auto"/>
        <w:ind w:left="270"/>
      </w:pPr>
    </w:p>
    <w:p w:rsidR="000875AD" w:rsidRPr="00EE3B62" w:rsidP="00CE5331" w14:paraId="18BD9A79" w14:textId="12A1BA8D">
      <w:pPr>
        <w:pStyle w:val="ListParagraph"/>
        <w:numPr>
          <w:ilvl w:val="0"/>
          <w:numId w:val="59"/>
        </w:numPr>
        <w:spacing w:after="0" w:line="240" w:lineRule="auto"/>
        <w:jc w:val="both"/>
        <w:rPr>
          <w:u w:val="single"/>
        </w:rPr>
      </w:pPr>
      <w:r>
        <w:rPr>
          <w:u w:val="single"/>
        </w:rPr>
        <w:t xml:space="preserve">Use of Evidence </w:t>
      </w:r>
      <w:r>
        <w:t>(for relevant ECs noted in Appendix 1)—</w:t>
      </w:r>
      <w:r>
        <w:rPr>
          <w:i/>
          <w:iCs/>
        </w:rPr>
        <w:t xml:space="preserve">Collection </w:t>
      </w:r>
      <w:r w:rsidR="00BB6A4F">
        <w:rPr>
          <w:i/>
          <w:iCs/>
        </w:rPr>
        <w:t xml:space="preserve">began </w:t>
      </w:r>
      <w:r>
        <w:rPr>
          <w:i/>
          <w:iCs/>
        </w:rPr>
        <w:t>April 2022</w:t>
      </w:r>
    </w:p>
    <w:p w:rsidR="000875AD" w:rsidRPr="004C7B9C" w:rsidP="000875AD" w14:paraId="3CDBC0D7" w14:textId="77777777">
      <w:pPr>
        <w:pStyle w:val="ListParagraph"/>
        <w:numPr>
          <w:ilvl w:val="0"/>
          <w:numId w:val="15"/>
        </w:numPr>
        <w:spacing w:after="0" w:line="240" w:lineRule="auto"/>
        <w:ind w:left="1080" w:hanging="274"/>
        <w:jc w:val="both"/>
      </w:pPr>
      <w:r>
        <w:t>The dollar amount of the total project spending that is allocated towards evidence-based interventions</w:t>
      </w:r>
    </w:p>
    <w:p w:rsidR="000875AD" w:rsidP="00E6321A" w14:paraId="03C3A718" w14:textId="16F831BD">
      <w:pPr>
        <w:pStyle w:val="ListParagraph"/>
        <w:numPr>
          <w:ilvl w:val="0"/>
          <w:numId w:val="15"/>
        </w:numPr>
        <w:spacing w:after="0" w:line="240" w:lineRule="auto"/>
        <w:ind w:left="1080" w:hanging="274"/>
        <w:jc w:val="both"/>
      </w:pPr>
      <w:r>
        <w:t>W</w:t>
      </w:r>
      <w:r w:rsidR="00C94B88">
        <w:t xml:space="preserve">hether </w:t>
      </w:r>
      <w:r>
        <w:t>a program evaluation of the project is being conducted</w:t>
      </w:r>
    </w:p>
    <w:p w:rsidR="009217CB" w:rsidRPr="004C7B9C" w:rsidP="009217CB" w14:paraId="4A98EFC2" w14:textId="77777777">
      <w:pPr>
        <w:pStyle w:val="ListParagraph"/>
        <w:spacing w:after="0" w:line="240" w:lineRule="auto"/>
        <w:ind w:left="1080"/>
        <w:jc w:val="both"/>
      </w:pPr>
    </w:p>
    <w:p w:rsidR="000875AD" w:rsidRPr="000875AD" w:rsidP="00CE5331" w14:paraId="1857052F" w14:textId="77777777">
      <w:pPr>
        <w:pStyle w:val="ListParagraph"/>
        <w:numPr>
          <w:ilvl w:val="0"/>
          <w:numId w:val="59"/>
        </w:numPr>
        <w:spacing w:after="0" w:line="240" w:lineRule="auto"/>
        <w:jc w:val="both"/>
        <w:rPr>
          <w:rFonts w:ascii="Arial" w:hAnsi="Arial" w:cs="Arial"/>
        </w:rPr>
      </w:pPr>
      <w:r w:rsidRPr="000875AD">
        <w:rPr>
          <w:rFonts w:ascii="Arial" w:hAnsi="Arial" w:cs="Arial"/>
          <w:u w:val="single"/>
        </w:rPr>
        <w:t xml:space="preserve">Household </w:t>
      </w:r>
      <w:r w:rsidRPr="000875AD">
        <w:rPr>
          <w:u w:val="single"/>
        </w:rPr>
        <w:t>Assistance</w:t>
      </w:r>
      <w:r w:rsidRPr="000875AD">
        <w:rPr>
          <w:rFonts w:ascii="Arial" w:hAnsi="Arial" w:cs="Arial"/>
          <w:u w:val="single"/>
        </w:rPr>
        <w:t xml:space="preserve"> (EC 2.2, Long-Term Housing Security (EC 2.15-2.16) and Housing Support (EC 2.17-2.18)</w:t>
      </w:r>
      <w:r w:rsidRPr="000875AD">
        <w:rPr>
          <w:rFonts w:ascii="Arial" w:hAnsi="Arial" w:cs="Arial"/>
        </w:rPr>
        <w:t>:</w:t>
      </w:r>
    </w:p>
    <w:p w:rsidR="000875AD" w:rsidRPr="000875AD" w:rsidP="00C77BB7" w14:paraId="5D6E892E" w14:textId="7FC1D36C">
      <w:pPr>
        <w:pStyle w:val="ListParagraph"/>
        <w:numPr>
          <w:ilvl w:val="0"/>
          <w:numId w:val="15"/>
        </w:numPr>
        <w:spacing w:after="0" w:line="240" w:lineRule="auto"/>
        <w:ind w:left="1080" w:hanging="274"/>
        <w:jc w:val="both"/>
      </w:pPr>
      <w:r w:rsidRPr="000875AD">
        <w:t xml:space="preserve">Number of households receiving eviction prevention services (including legal representation) </w:t>
      </w:r>
    </w:p>
    <w:p w:rsidR="000875AD" w:rsidRPr="00C77BB7" w:rsidP="00C77BB7" w14:paraId="749190E2" w14:textId="77777777">
      <w:pPr>
        <w:pStyle w:val="ListParagraph"/>
        <w:numPr>
          <w:ilvl w:val="0"/>
          <w:numId w:val="15"/>
        </w:numPr>
        <w:spacing w:after="0" w:line="240" w:lineRule="auto"/>
        <w:ind w:left="1080" w:hanging="274"/>
        <w:jc w:val="both"/>
        <w:rPr>
          <w:rFonts w:ascii="Arial" w:hAnsi="Arial"/>
        </w:rPr>
      </w:pPr>
      <w:r w:rsidRPr="000875AD">
        <w:t>Number</w:t>
      </w:r>
      <w:r w:rsidRPr="00C77BB7">
        <w:rPr>
          <w:rFonts w:ascii="Arial" w:hAnsi="Arial"/>
        </w:rPr>
        <w:t xml:space="preserve"> of affordable housing units preserved or developed</w:t>
      </w:r>
    </w:p>
    <w:p w:rsidR="000875AD" w:rsidRPr="00C77BB7" w:rsidP="000875AD" w14:paraId="0F7032E1" w14:textId="77777777">
      <w:pPr>
        <w:pStyle w:val="ListParagraph"/>
        <w:spacing w:after="0" w:line="240" w:lineRule="auto"/>
        <w:ind w:left="360"/>
        <w:jc w:val="both"/>
        <w:rPr>
          <w:rFonts w:ascii="Arial" w:hAnsi="Arial"/>
        </w:rPr>
      </w:pPr>
    </w:p>
    <w:p w:rsidR="000875AD" w:rsidRPr="00C77BB7" w:rsidP="00CE5331" w14:paraId="5E5C901E" w14:textId="77777777">
      <w:pPr>
        <w:pStyle w:val="ListParagraph"/>
        <w:numPr>
          <w:ilvl w:val="0"/>
          <w:numId w:val="59"/>
        </w:numPr>
        <w:spacing w:after="0" w:line="240" w:lineRule="auto"/>
        <w:jc w:val="both"/>
        <w:rPr>
          <w:rFonts w:ascii="Arial" w:hAnsi="Arial"/>
          <w:u w:val="single"/>
        </w:rPr>
      </w:pPr>
      <w:r w:rsidRPr="00085BCE">
        <w:rPr>
          <w:rFonts w:ascii="Arial" w:hAnsi="Arial" w:cs="Arial"/>
          <w:u w:val="single"/>
        </w:rPr>
        <w:t>Assistance to Unemployed or Underemployed Workers</w:t>
      </w:r>
      <w:r w:rsidRPr="00085BCE">
        <w:rPr>
          <w:rFonts w:ascii="Arial" w:hAnsi="Arial" w:cs="Arial"/>
          <w:u w:val="single"/>
        </w:rPr>
        <w:t xml:space="preserve"> </w:t>
      </w:r>
      <w:r w:rsidRPr="00E95275">
        <w:rPr>
          <w:rFonts w:ascii="Arial" w:hAnsi="Arial" w:cs="Arial"/>
          <w:u w:val="single"/>
        </w:rPr>
        <w:t>(EC 2</w:t>
      </w:r>
      <w:r>
        <w:rPr>
          <w:rFonts w:ascii="Arial" w:hAnsi="Arial" w:cs="Arial"/>
          <w:u w:val="single"/>
        </w:rPr>
        <w:t>.10</w:t>
      </w:r>
      <w:r w:rsidRPr="00E95275">
        <w:rPr>
          <w:rFonts w:ascii="Arial" w:hAnsi="Arial" w:cs="Arial"/>
          <w:u w:val="single"/>
        </w:rPr>
        <w:t>)</w:t>
      </w:r>
      <w:r>
        <w:rPr>
          <w:rFonts w:ascii="Arial" w:hAnsi="Arial" w:cs="Arial"/>
          <w:u w:val="single"/>
        </w:rPr>
        <w:t xml:space="preserve"> and </w:t>
      </w:r>
      <w:r w:rsidRPr="00C07A60">
        <w:rPr>
          <w:rFonts w:ascii="Arial" w:hAnsi="Arial" w:cs="Arial"/>
          <w:u w:val="single"/>
        </w:rPr>
        <w:t>Community Violence Interventions</w:t>
      </w:r>
      <w:r>
        <w:rPr>
          <w:rFonts w:ascii="Arial" w:hAnsi="Arial" w:cs="Arial"/>
          <w:u w:val="single"/>
        </w:rPr>
        <w:t xml:space="preserve"> (EC 1.11)</w:t>
      </w:r>
      <w:r w:rsidRPr="00E95275">
        <w:rPr>
          <w:rFonts w:ascii="Arial" w:hAnsi="Arial" w:cs="Arial"/>
        </w:rPr>
        <w:t>:</w:t>
      </w:r>
      <w:r w:rsidRPr="00C77BB7">
        <w:rPr>
          <w:rFonts w:ascii="Arial" w:hAnsi="Arial"/>
          <w:u w:val="single"/>
        </w:rPr>
        <w:t xml:space="preserve">     </w:t>
      </w:r>
    </w:p>
    <w:p w:rsidR="000875AD" w:rsidRPr="000875AD" w:rsidP="006065E2" w14:paraId="2011B973" w14:textId="77777777">
      <w:pPr>
        <w:pStyle w:val="ListParagraph"/>
        <w:numPr>
          <w:ilvl w:val="0"/>
          <w:numId w:val="15"/>
        </w:numPr>
        <w:spacing w:after="0" w:line="240" w:lineRule="auto"/>
        <w:ind w:left="1080" w:hanging="274"/>
        <w:jc w:val="both"/>
      </w:pPr>
      <w:r w:rsidRPr="000875AD">
        <w:t>Number of workers enrolled in sectoral job training programs</w:t>
      </w:r>
    </w:p>
    <w:p w:rsidR="000875AD" w:rsidRPr="000875AD" w:rsidP="006065E2" w14:paraId="63042F7E" w14:textId="77777777">
      <w:pPr>
        <w:pStyle w:val="ListParagraph"/>
        <w:numPr>
          <w:ilvl w:val="0"/>
          <w:numId w:val="15"/>
        </w:numPr>
        <w:spacing w:after="0" w:line="240" w:lineRule="auto"/>
        <w:ind w:left="1080" w:hanging="274"/>
        <w:jc w:val="both"/>
      </w:pPr>
      <w:r w:rsidRPr="000875AD">
        <w:t>Number of workers completing sectoral job training programs</w:t>
      </w:r>
    </w:p>
    <w:p w:rsidR="000875AD" w:rsidRPr="006065E2" w:rsidP="006065E2" w14:paraId="329ECFE3" w14:textId="77777777">
      <w:pPr>
        <w:pStyle w:val="ListParagraph"/>
        <w:numPr>
          <w:ilvl w:val="0"/>
          <w:numId w:val="15"/>
        </w:numPr>
        <w:spacing w:after="0" w:line="240" w:lineRule="auto"/>
        <w:ind w:left="1080" w:hanging="274"/>
        <w:jc w:val="both"/>
        <w:rPr>
          <w:rFonts w:ascii="Arial" w:hAnsi="Arial"/>
        </w:rPr>
      </w:pPr>
      <w:r w:rsidRPr="000875AD">
        <w:t>Number of</w:t>
      </w:r>
      <w:r w:rsidRPr="006065E2">
        <w:rPr>
          <w:rFonts w:ascii="Arial" w:hAnsi="Arial"/>
        </w:rPr>
        <w:t xml:space="preserve"> people participating in summer youth employment programs</w:t>
      </w:r>
    </w:p>
    <w:p w:rsidR="000875AD" w:rsidRPr="006065E2" w:rsidP="000875AD" w14:paraId="119A0C83" w14:textId="77777777">
      <w:pPr>
        <w:spacing w:after="0" w:line="240" w:lineRule="auto"/>
        <w:jc w:val="both"/>
        <w:rPr>
          <w:rFonts w:ascii="Arial" w:hAnsi="Arial"/>
        </w:rPr>
      </w:pPr>
    </w:p>
    <w:p w:rsidR="000875AD" w:rsidRPr="00E95275" w:rsidP="00CE5331" w14:paraId="5DDEB748" w14:textId="77777777">
      <w:pPr>
        <w:pStyle w:val="ListParagraph"/>
        <w:numPr>
          <w:ilvl w:val="0"/>
          <w:numId w:val="59"/>
        </w:numPr>
        <w:spacing w:after="0" w:line="240" w:lineRule="auto"/>
        <w:jc w:val="both"/>
        <w:rPr>
          <w:rFonts w:ascii="Arial" w:hAnsi="Arial" w:cs="Arial"/>
        </w:rPr>
      </w:pPr>
      <w:r w:rsidRPr="00E95275">
        <w:rPr>
          <w:rFonts w:ascii="Arial" w:hAnsi="Arial" w:cs="Arial"/>
          <w:u w:val="single"/>
        </w:rPr>
        <w:t>Addressing Educational Disparities (EC 2.24-2.26)</w:t>
      </w:r>
      <w:r>
        <w:rPr>
          <w:rFonts w:ascii="Arial" w:hAnsi="Arial" w:cs="Arial"/>
          <w:u w:val="single"/>
        </w:rPr>
        <w:t xml:space="preserve"> and Addressing Impacts of Lost Instructional Time (EC 2.27)</w:t>
      </w:r>
      <w:r w:rsidRPr="00E95275">
        <w:rPr>
          <w:rFonts w:ascii="Arial" w:hAnsi="Arial" w:cs="Arial"/>
        </w:rPr>
        <w:t xml:space="preserve">: </w:t>
      </w:r>
    </w:p>
    <w:p w:rsidR="000875AD" w:rsidRPr="00E95275" w:rsidP="000875AD" w14:paraId="442A401D" w14:textId="77777777">
      <w:pPr>
        <w:pStyle w:val="ListParagraph"/>
        <w:numPr>
          <w:ilvl w:val="0"/>
          <w:numId w:val="15"/>
        </w:numPr>
        <w:spacing w:after="0" w:line="240" w:lineRule="auto"/>
        <w:ind w:left="1080" w:hanging="274"/>
        <w:jc w:val="both"/>
        <w:rPr>
          <w:rFonts w:ascii="Arial" w:hAnsi="Arial" w:cs="Arial"/>
        </w:rPr>
      </w:pPr>
      <w:r w:rsidRPr="00E95275">
        <w:rPr>
          <w:rFonts w:ascii="Arial" w:hAnsi="Arial" w:cs="Arial"/>
        </w:rPr>
        <w:t xml:space="preserve">Number </w:t>
      </w:r>
      <w:r w:rsidRPr="000875AD">
        <w:t>of</w:t>
      </w:r>
      <w:r w:rsidRPr="00E95275">
        <w:rPr>
          <w:rFonts w:ascii="Arial" w:hAnsi="Arial" w:cs="Arial"/>
        </w:rPr>
        <w:t xml:space="preserve"> students participating in evidence-based tutoring programs</w:t>
      </w:r>
      <w:r>
        <w:rPr>
          <w:rStyle w:val="FootnoteReference"/>
          <w:rFonts w:ascii="Arial" w:hAnsi="Arial" w:cs="Arial"/>
        </w:rPr>
        <w:footnoteReference w:id="22"/>
      </w:r>
    </w:p>
    <w:p w:rsidR="000875AD" w:rsidRPr="00E95275" w:rsidP="000875AD" w14:paraId="23EA7526" w14:textId="77777777">
      <w:pPr>
        <w:spacing w:after="0" w:line="240" w:lineRule="auto"/>
        <w:contextualSpacing/>
        <w:jc w:val="both"/>
        <w:rPr>
          <w:rFonts w:ascii="Arial" w:hAnsi="Arial" w:cs="Arial"/>
        </w:rPr>
      </w:pPr>
    </w:p>
    <w:p w:rsidR="000875AD" w:rsidRPr="00E95275" w:rsidP="00CE5331" w14:paraId="749CF9C2" w14:textId="77777777">
      <w:pPr>
        <w:pStyle w:val="ListParagraph"/>
        <w:numPr>
          <w:ilvl w:val="0"/>
          <w:numId w:val="59"/>
        </w:numPr>
        <w:spacing w:after="0" w:line="240" w:lineRule="auto"/>
        <w:jc w:val="both"/>
        <w:rPr>
          <w:rFonts w:ascii="Arial" w:hAnsi="Arial" w:cs="Arial"/>
        </w:rPr>
      </w:pPr>
      <w:r w:rsidRPr="00E95275">
        <w:rPr>
          <w:rFonts w:ascii="Arial" w:hAnsi="Arial" w:cs="Arial"/>
          <w:u w:val="single"/>
        </w:rPr>
        <w:t>Healthy Childhood Environments (EC 2.11-2.1</w:t>
      </w:r>
      <w:r>
        <w:rPr>
          <w:rFonts w:ascii="Arial" w:hAnsi="Arial" w:cs="Arial"/>
          <w:u w:val="single"/>
        </w:rPr>
        <w:t>4</w:t>
      </w:r>
      <w:r w:rsidRPr="00E95275">
        <w:rPr>
          <w:rFonts w:ascii="Arial" w:hAnsi="Arial" w:cs="Arial"/>
          <w:u w:val="single"/>
        </w:rPr>
        <w:t>)</w:t>
      </w:r>
      <w:r w:rsidRPr="00E95275">
        <w:rPr>
          <w:rFonts w:ascii="Arial" w:hAnsi="Arial" w:cs="Arial"/>
        </w:rPr>
        <w:t>:</w:t>
      </w:r>
    </w:p>
    <w:p w:rsidR="000875AD" w:rsidRPr="00E95275" w:rsidP="000875AD" w14:paraId="45268834" w14:textId="32AF092D">
      <w:pPr>
        <w:pStyle w:val="ListParagraph"/>
        <w:numPr>
          <w:ilvl w:val="0"/>
          <w:numId w:val="15"/>
        </w:numPr>
        <w:spacing w:after="0" w:line="240" w:lineRule="auto"/>
        <w:ind w:left="1080" w:hanging="274"/>
        <w:jc w:val="both"/>
        <w:rPr>
          <w:rFonts w:ascii="Arial" w:hAnsi="Arial" w:cs="Arial"/>
        </w:rPr>
      </w:pPr>
      <w:r w:rsidRPr="00E95275">
        <w:rPr>
          <w:rFonts w:ascii="Arial" w:hAnsi="Arial" w:cs="Arial"/>
        </w:rPr>
        <w:t xml:space="preserve">Number of children served by childcare and early learning </w:t>
      </w:r>
      <w:r w:rsidR="00130752">
        <w:rPr>
          <w:rFonts w:ascii="Arial" w:hAnsi="Arial" w:cs="Arial"/>
        </w:rPr>
        <w:t>services</w:t>
      </w:r>
      <w:r w:rsidRPr="00E95275">
        <w:rPr>
          <w:rFonts w:ascii="Arial" w:hAnsi="Arial" w:cs="Arial"/>
        </w:rPr>
        <w:t xml:space="preserve"> (pre-school/pre-K/ages 3-5) </w:t>
      </w:r>
    </w:p>
    <w:p w:rsidR="000875AD" w:rsidRPr="000875AD" w:rsidP="000875AD" w14:paraId="7D1138D1" w14:textId="71052744">
      <w:pPr>
        <w:pStyle w:val="ListParagraph"/>
        <w:numPr>
          <w:ilvl w:val="0"/>
          <w:numId w:val="15"/>
        </w:numPr>
        <w:spacing w:after="0" w:line="240" w:lineRule="auto"/>
        <w:ind w:left="1080" w:hanging="274"/>
        <w:jc w:val="both"/>
        <w:rPr>
          <w:rFonts w:ascii="Arial" w:hAnsi="Arial" w:cs="Arial"/>
        </w:rPr>
      </w:pPr>
      <w:r w:rsidRPr="00E95275">
        <w:rPr>
          <w:rFonts w:ascii="Arial" w:hAnsi="Arial" w:cs="Arial"/>
        </w:rPr>
        <w:t>Number of families served by home visiting</w:t>
      </w:r>
    </w:p>
    <w:p w:rsidR="000875AD" w:rsidRPr="000875AD" w:rsidP="000875AD" w14:paraId="6B135A85" w14:textId="77777777">
      <w:pPr>
        <w:spacing w:after="0" w:line="240" w:lineRule="auto"/>
      </w:pPr>
    </w:p>
    <w:p w:rsidR="0038437C" w:rsidP="00CE5331" w14:paraId="0B36BE6A" w14:textId="7ABEF53A">
      <w:pPr>
        <w:pStyle w:val="ListParagraph"/>
        <w:numPr>
          <w:ilvl w:val="0"/>
          <w:numId w:val="29"/>
        </w:numPr>
        <w:spacing w:after="0" w:line="240" w:lineRule="auto"/>
      </w:pPr>
      <w:r w:rsidRPr="031E305F">
        <w:rPr>
          <w:u w:val="single"/>
        </w:rPr>
        <w:t>NEU Documentation (NEUs only)</w:t>
      </w:r>
      <w:r>
        <w:t xml:space="preserve">: Each NEU </w:t>
      </w:r>
      <w:r w:rsidR="001B339F">
        <w:t>is</w:t>
      </w:r>
      <w:r w:rsidR="00262F57">
        <w:t xml:space="preserve"> also required</w:t>
      </w:r>
      <w:r>
        <w:t xml:space="preserve"> to provide the following information once </w:t>
      </w:r>
      <w:r w:rsidR="00791400">
        <w:t xml:space="preserve">its </w:t>
      </w:r>
      <w:r>
        <w:t xml:space="preserve">accounts </w:t>
      </w:r>
      <w:r w:rsidR="001B339F">
        <w:t>are</w:t>
      </w:r>
      <w:r>
        <w:t xml:space="preserve"> established in Treasury’s Reporting Portal and prior to the due date for their first Project and Expenditure Report (due April 30, 2022):</w:t>
      </w:r>
    </w:p>
    <w:p w:rsidR="0038437C" w:rsidRPr="00A86FEA" w:rsidP="00012B59" w14:paraId="4E33AAAB" w14:textId="77777777">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Copy of the signed award terms and conditions agreement (which was signed and submitted to the State as part of the request for funding)</w:t>
      </w:r>
    </w:p>
    <w:p w:rsidR="0038437C" w:rsidRPr="00A86FEA" w:rsidP="00012B59" w14:paraId="2F274ADF" w14:textId="77777777">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Copy of the signed assurances of compliance with Title VI of the Civil Rights Act of 1964 (which was signed and submitted to the State as part of the request for funding)</w:t>
      </w:r>
    </w:p>
    <w:p w:rsidR="0038437C" w:rsidRPr="00A86FEA" w:rsidP="00012B59" w14:paraId="1170244E" w14:textId="23F40C0E">
      <w:pPr>
        <w:pStyle w:val="ListParagraph"/>
        <w:numPr>
          <w:ilvl w:val="0"/>
          <w:numId w:val="11"/>
        </w:numPr>
        <w:spacing w:after="0" w:line="240" w:lineRule="auto"/>
        <w:rPr>
          <w:rFonts w:asciiTheme="majorHAnsi" w:hAnsiTheme="majorHAnsi" w:cstheme="majorBidi"/>
        </w:rPr>
      </w:pPr>
      <w:r w:rsidRPr="10A9F656">
        <w:rPr>
          <w:rFonts w:asciiTheme="majorHAnsi" w:hAnsiTheme="majorHAnsi" w:cstheme="majorBidi"/>
        </w:rPr>
        <w:t xml:space="preserve">Copy of actual budget documents validating the top-line budget total provided to the State as part of the request for funding </w:t>
      </w:r>
    </w:p>
    <w:p w:rsidR="008775AA" w:rsidP="0055390A" w14:paraId="57AD448D" w14:textId="7FA49DC4">
      <w:pPr>
        <w:pStyle w:val="NoSpacing"/>
        <w:jc w:val="both"/>
      </w:pPr>
    </w:p>
    <w:p w:rsidR="0055390A" w:rsidP="00046D95" w14:paraId="69456EFF" w14:textId="0AD2BE74">
      <w:pPr>
        <w:pStyle w:val="NoSpacing"/>
        <w:ind w:left="270"/>
        <w:jc w:val="both"/>
      </w:pPr>
      <w:r>
        <w:t xml:space="preserve">NEU accounts </w:t>
      </w:r>
      <w:r w:rsidR="00262F57">
        <w:t>are</w:t>
      </w:r>
      <w:r>
        <w:t xml:space="preserve"> established in Treasury’s Portal based on information provided by the States or territories, as further described in Section Part 2 D below. </w:t>
      </w:r>
    </w:p>
    <w:p w:rsidR="005E05E7" w:rsidP="00FD6A50" w14:paraId="55D753EE" w14:textId="77777777">
      <w:pPr>
        <w:pStyle w:val="NoSpacing"/>
        <w:ind w:left="360"/>
        <w:jc w:val="both"/>
      </w:pPr>
    </w:p>
    <w:p w:rsidR="00814517" w:rsidRPr="00E21798" w:rsidP="10A9F656" w14:paraId="254AB6D5" w14:textId="0A8E9C60">
      <w:pPr>
        <w:pStyle w:val="NoSpacing"/>
        <w:shd w:val="clear" w:color="auto" w:fill="D9D9D9" w:themeFill="background2" w:themeFillShade="D9"/>
        <w:jc w:val="both"/>
        <w:rPr>
          <w:b/>
          <w:bCs/>
        </w:rPr>
      </w:pPr>
      <w:r w:rsidRPr="10A9F656">
        <w:rPr>
          <w:b/>
          <w:bCs/>
        </w:rPr>
        <w:t>C.  Recovery Plan Performance Report</w:t>
      </w:r>
    </w:p>
    <w:p w:rsidR="00EE3B62" w:rsidRPr="007777CF" w:rsidP="00FD6A50" w14:paraId="1981276C" w14:textId="77777777">
      <w:pPr>
        <w:pStyle w:val="NoSpacing"/>
        <w:jc w:val="both"/>
        <w:rPr>
          <w:i/>
        </w:rPr>
      </w:pPr>
    </w:p>
    <w:p w:rsidR="008D152B" w:rsidRPr="006D1C4E" w:rsidP="008D152B" w14:paraId="7768B5F8" w14:textId="3CD54751">
      <w:pPr>
        <w:pStyle w:val="NoSpacing"/>
        <w:jc w:val="both"/>
        <w:rPr>
          <w:rFonts w:ascii="Arial" w:hAnsi="Arial"/>
        </w:rPr>
      </w:pPr>
      <w:r w:rsidRPr="006D1C4E">
        <w:rPr>
          <w:rFonts w:ascii="Arial" w:hAnsi="Arial"/>
        </w:rPr>
        <w:t xml:space="preserve">States, territories, </w:t>
      </w:r>
      <w:r>
        <w:rPr>
          <w:rFonts w:ascii="Arial" w:hAnsi="Arial" w:cs="Arial"/>
        </w:rPr>
        <w:t xml:space="preserve">and </w:t>
      </w:r>
      <w:r w:rsidRPr="006D1C4E">
        <w:rPr>
          <w:rFonts w:ascii="Arial" w:hAnsi="Arial"/>
        </w:rPr>
        <w:t>metropolitan cities and counties with a population that exceeds 250,000 residents</w:t>
      </w:r>
      <w:r w:rsidRPr="00E95275">
        <w:rPr>
          <w:rFonts w:ascii="Arial" w:hAnsi="Arial" w:cs="Arial"/>
        </w:rPr>
        <w:t xml:space="preserve"> (i.e., Tier 1 recipients)</w:t>
      </w:r>
      <w:r w:rsidRPr="006D1C4E">
        <w:t xml:space="preserve"> will also be required to publish and submit to Treasury a Recovery Plan performance report (“Recovery Plan”). Each Recovery Plan must be posted on </w:t>
      </w:r>
      <w:r>
        <w:rPr>
          <w:rFonts w:ascii="Arial" w:hAnsi="Arial" w:cs="Arial"/>
        </w:rPr>
        <w:t>an easily discoverable webpage</w:t>
      </w:r>
      <w:r w:rsidRPr="00E95275">
        <w:rPr>
          <w:rFonts w:ascii="Arial" w:hAnsi="Arial" w:cs="Arial"/>
        </w:rPr>
        <w:t xml:space="preserve"> on </w:t>
      </w:r>
      <w:r w:rsidRPr="006D1C4E">
        <w:rPr>
          <w:rFonts w:ascii="Arial" w:hAnsi="Arial"/>
        </w:rPr>
        <w:t xml:space="preserve">the public-facing website of the recipient by the same date the recipient submits the report to Treasury.  </w:t>
      </w:r>
      <w:r w:rsidRPr="00CE42E3">
        <w:rPr>
          <w:rFonts w:ascii="Arial" w:hAnsi="Arial" w:cs="Arial"/>
        </w:rPr>
        <w:t xml:space="preserve">Treasury recommends that Recovery Plans be accessible within three clicks or </w:t>
      </w:r>
      <w:r w:rsidR="00392CE4">
        <w:rPr>
          <w:rFonts w:ascii="Arial" w:hAnsi="Arial" w:cs="Arial"/>
        </w:rPr>
        <w:t>fewer</w:t>
      </w:r>
      <w:r w:rsidRPr="00CE42E3">
        <w:rPr>
          <w:rFonts w:ascii="Arial" w:hAnsi="Arial" w:cs="Arial"/>
        </w:rPr>
        <w:t xml:space="preserve"> from the homepage of </w:t>
      </w:r>
      <w:r>
        <w:rPr>
          <w:rFonts w:ascii="Arial" w:hAnsi="Arial" w:cs="Arial"/>
        </w:rPr>
        <w:t>the recipient’s</w:t>
      </w:r>
      <w:r w:rsidRPr="00CE42E3">
        <w:rPr>
          <w:rFonts w:ascii="Arial" w:hAnsi="Arial" w:cs="Arial"/>
        </w:rPr>
        <w:t xml:space="preserve"> website</w:t>
      </w:r>
      <w:r>
        <w:rPr>
          <w:rFonts w:ascii="Arial" w:hAnsi="Arial" w:cs="Arial"/>
        </w:rPr>
        <w:t xml:space="preserve">. </w:t>
      </w:r>
      <w:r w:rsidR="00C11AEB">
        <w:rPr>
          <w:rFonts w:ascii="Arial" w:hAnsi="Arial" w:cs="Arial"/>
        </w:rPr>
        <w:t>Within Treasury’s reporting porta</w:t>
      </w:r>
      <w:r w:rsidR="0001556D">
        <w:rPr>
          <w:rFonts w:ascii="Arial" w:hAnsi="Arial" w:cs="Arial"/>
        </w:rPr>
        <w:t>l</w:t>
      </w:r>
      <w:r w:rsidR="00C11AEB">
        <w:rPr>
          <w:rFonts w:ascii="Arial" w:hAnsi="Arial" w:cs="Arial"/>
        </w:rPr>
        <w:t xml:space="preserve">, recipients must </w:t>
      </w:r>
      <w:r w:rsidRPr="00E95275">
        <w:rPr>
          <w:rFonts w:ascii="Arial" w:hAnsi="Arial" w:cs="Arial"/>
        </w:rPr>
        <w:t>upload</w:t>
      </w:r>
      <w:r w:rsidRPr="006D1C4E">
        <w:rPr>
          <w:rFonts w:ascii="Arial" w:hAnsi="Arial"/>
        </w:rPr>
        <w:t xml:space="preserve"> a link to the publicly available </w:t>
      </w:r>
      <w:r>
        <w:rPr>
          <w:rFonts w:ascii="Arial" w:hAnsi="Arial" w:cs="Arial"/>
        </w:rPr>
        <w:t>Recovery Plan</w:t>
      </w:r>
      <w:r w:rsidRPr="00E95275">
        <w:rPr>
          <w:rFonts w:ascii="Arial" w:hAnsi="Arial" w:cs="Arial"/>
        </w:rPr>
        <w:t xml:space="preserve"> </w:t>
      </w:r>
      <w:r w:rsidR="00C11AEB">
        <w:rPr>
          <w:rFonts w:ascii="Arial" w:hAnsi="Arial" w:cs="Arial"/>
        </w:rPr>
        <w:t>and</w:t>
      </w:r>
      <w:r w:rsidRPr="00E95275">
        <w:rPr>
          <w:rFonts w:ascii="Arial" w:hAnsi="Arial" w:cs="Arial"/>
        </w:rPr>
        <w:t xml:space="preserve"> provid</w:t>
      </w:r>
      <w:r w:rsidR="00C11AEB">
        <w:rPr>
          <w:rFonts w:ascii="Arial" w:hAnsi="Arial" w:cs="Arial"/>
        </w:rPr>
        <w:t>e required</w:t>
      </w:r>
      <w:r w:rsidRPr="006D1C4E">
        <w:rPr>
          <w:rFonts w:ascii="Arial" w:hAnsi="Arial"/>
        </w:rPr>
        <w:t xml:space="preserve"> data. </w:t>
      </w:r>
    </w:p>
    <w:p w:rsidR="008D152B" w:rsidRPr="006D1C4E" w:rsidP="008D152B" w14:paraId="0719D68B" w14:textId="77777777">
      <w:pPr>
        <w:pStyle w:val="NoSpacing"/>
        <w:jc w:val="both"/>
        <w:rPr>
          <w:rFonts w:ascii="Arial" w:hAnsi="Arial"/>
        </w:rPr>
      </w:pPr>
    </w:p>
    <w:p w:rsidR="008D152B" w:rsidRPr="006D1C4E" w:rsidP="008D152B" w14:paraId="05485842" w14:textId="7110D9F0">
      <w:pPr>
        <w:pStyle w:val="NoSpacing"/>
        <w:jc w:val="both"/>
        <w:rPr>
          <w:rFonts w:ascii="Arial" w:hAnsi="Arial"/>
        </w:rPr>
      </w:pPr>
      <w:r w:rsidRPr="006D1C4E">
        <w:rPr>
          <w:rFonts w:ascii="Arial" w:hAnsi="Arial"/>
        </w:rPr>
        <w:t xml:space="preserve">The Recovery Plan </w:t>
      </w:r>
      <w:r w:rsidRPr="00E95275">
        <w:rPr>
          <w:rFonts w:ascii="Arial" w:hAnsi="Arial" w:cs="Arial"/>
        </w:rPr>
        <w:t>provide</w:t>
      </w:r>
      <w:r>
        <w:rPr>
          <w:rFonts w:ascii="Arial" w:hAnsi="Arial" w:cs="Arial"/>
        </w:rPr>
        <w:t>s</w:t>
      </w:r>
      <w:r w:rsidRPr="006D1C4E">
        <w:rPr>
          <w:rFonts w:ascii="Arial" w:hAnsi="Arial"/>
        </w:rPr>
        <w:t xml:space="preserve"> the public and Treasury </w:t>
      </w:r>
      <w:r>
        <w:rPr>
          <w:rFonts w:ascii="Arial" w:hAnsi="Arial" w:cs="Arial"/>
        </w:rPr>
        <w:t>both retrospective and prospective</w:t>
      </w:r>
      <w:r w:rsidRPr="00E95275">
        <w:rPr>
          <w:rFonts w:ascii="Arial" w:hAnsi="Arial" w:cs="Arial"/>
        </w:rPr>
        <w:t xml:space="preserve"> </w:t>
      </w:r>
      <w:r w:rsidRPr="006D1C4E">
        <w:rPr>
          <w:rFonts w:ascii="Arial" w:hAnsi="Arial"/>
        </w:rPr>
        <w:t>information on the projects recipients are undertaking</w:t>
      </w:r>
      <w:r>
        <w:rPr>
          <w:rFonts w:ascii="Arial" w:hAnsi="Arial" w:cs="Arial"/>
        </w:rPr>
        <w:t xml:space="preserve"> or planning to undertake</w:t>
      </w:r>
      <w:r w:rsidRPr="006D1C4E">
        <w:rPr>
          <w:rFonts w:ascii="Arial" w:hAnsi="Arial"/>
        </w:rPr>
        <w:t xml:space="preserve"> with program funding and how they are planning to ensure program outcomes are achieved in an effective, efficient, and equitable manner. While this guidance outlines some minimum requirements for the Recovery Plan, each recipient is encouraged to add information to the plan </w:t>
      </w:r>
      <w:r w:rsidR="00392CE4">
        <w:rPr>
          <w:rFonts w:ascii="Arial" w:hAnsi="Arial" w:cs="Arial"/>
        </w:rPr>
        <w:t xml:space="preserve">that </w:t>
      </w:r>
      <w:r w:rsidRPr="006D1C4E">
        <w:t xml:space="preserve">they feel is appropriate to provide information to their constituents on efforts they are taking to respond to the pandemic and promote economic recovery.  Each jurisdiction may determine the general form and content of the Recovery Plan, </w:t>
      </w:r>
      <w:r w:rsidRPr="006D1C4E">
        <w:t>as long as</w:t>
      </w:r>
      <w:r w:rsidRPr="006D1C4E">
        <w:t xml:space="preserve"> it includes the minimum information </w:t>
      </w:r>
      <w:r w:rsidR="00C11AEB">
        <w:rPr>
          <w:rFonts w:ascii="Arial" w:hAnsi="Arial" w:cs="Arial"/>
        </w:rPr>
        <w:t>required</w:t>
      </w:r>
      <w:r w:rsidRPr="006D1C4E" w:rsidR="00C11AEB">
        <w:rPr>
          <w:rFonts w:ascii="Arial" w:hAnsi="Arial"/>
        </w:rPr>
        <w:t xml:space="preserve"> </w:t>
      </w:r>
      <w:r w:rsidRPr="006D1C4E">
        <w:rPr>
          <w:rFonts w:ascii="Arial" w:hAnsi="Arial"/>
        </w:rPr>
        <w:t xml:space="preserve">by Treasury. Treasury provided a template (located at </w:t>
      </w:r>
      <w:hyperlink r:id="rId26" w:history="1">
        <w:r w:rsidRPr="006D1C4E">
          <w:rPr>
            <w:rStyle w:val="Hyperlink"/>
            <w:rFonts w:ascii="Arial" w:hAnsi="Arial"/>
          </w:rPr>
          <w:t>www.treasury.gov/SLFRP</w:t>
        </w:r>
      </w:hyperlink>
      <w:r w:rsidRPr="006D1C4E">
        <w:rPr>
          <w:rFonts w:ascii="Arial" w:hAnsi="Arial"/>
        </w:rPr>
        <w:t>) but recipients may modify this template as appropriate for their jurisdiction</w:t>
      </w:r>
      <w:r w:rsidRPr="00E95275">
        <w:rPr>
          <w:rFonts w:ascii="Arial" w:hAnsi="Arial" w:cs="Arial"/>
        </w:rPr>
        <w:t xml:space="preserve">, provided the modified template meets Treasury’s requirements, outlined below. </w:t>
      </w:r>
      <w:r>
        <w:rPr>
          <w:rFonts w:ascii="Arial" w:hAnsi="Arial" w:cs="Arial"/>
        </w:rPr>
        <w:t xml:space="preserve">Through the Recovery Plan, recipients </w:t>
      </w:r>
      <w:r w:rsidR="00262F57">
        <w:rPr>
          <w:rFonts w:ascii="Arial" w:hAnsi="Arial" w:cs="Arial"/>
        </w:rPr>
        <w:t>may</w:t>
      </w:r>
      <w:r>
        <w:rPr>
          <w:rFonts w:ascii="Arial" w:hAnsi="Arial" w:cs="Arial"/>
        </w:rPr>
        <w:t xml:space="preserve"> link to public documents, including, but not limited to, legislation, dashboards, survey results, community engagement reports, and equity frameworks to support the Recovery Plan narrative.  T</w:t>
      </w:r>
      <w:r w:rsidRPr="00E95275">
        <w:rPr>
          <w:rFonts w:ascii="Arial" w:hAnsi="Arial" w:cs="Arial"/>
        </w:rPr>
        <w:t xml:space="preserve">he Recovery Plan </w:t>
      </w:r>
      <w:r>
        <w:rPr>
          <w:rFonts w:ascii="Arial" w:hAnsi="Arial" w:cs="Arial"/>
        </w:rPr>
        <w:t>should</w:t>
      </w:r>
      <w:r w:rsidRPr="006D1C4E">
        <w:rPr>
          <w:rFonts w:ascii="Arial" w:hAnsi="Arial"/>
        </w:rPr>
        <w:t xml:space="preserve"> include key performance indicators identified by the recipient and some mandatory indicators identified by Treasury</w:t>
      </w:r>
      <w:r>
        <w:rPr>
          <w:rFonts w:ascii="Arial" w:hAnsi="Arial" w:cs="Arial"/>
        </w:rPr>
        <w:t>, as noted below</w:t>
      </w:r>
      <w:r w:rsidRPr="006D1C4E">
        <w:rPr>
          <w:rFonts w:ascii="Arial" w:hAnsi="Arial"/>
        </w:rPr>
        <w:t xml:space="preserve">.  </w:t>
      </w:r>
    </w:p>
    <w:p w:rsidR="008D152B" w:rsidRPr="006D1C4E" w:rsidP="008D152B" w14:paraId="436E9393" w14:textId="77777777">
      <w:pPr>
        <w:pStyle w:val="NoSpacing"/>
        <w:jc w:val="both"/>
        <w:rPr>
          <w:rFonts w:ascii="Arial" w:hAnsi="Arial"/>
        </w:rPr>
      </w:pPr>
    </w:p>
    <w:p w:rsidR="008D152B" w:rsidRPr="006D1C4E" w:rsidP="008D152B" w14:paraId="04203FB4" w14:textId="1B190077">
      <w:pPr>
        <w:pStyle w:val="NoSpacing"/>
        <w:jc w:val="both"/>
        <w:rPr>
          <w:rFonts w:ascii="Arial" w:hAnsi="Arial"/>
        </w:rPr>
      </w:pPr>
      <w:r w:rsidRPr="006D1C4E">
        <w:rPr>
          <w:rFonts w:ascii="Arial" w:hAnsi="Arial"/>
        </w:rPr>
        <w:t xml:space="preserve">The initial Recovery Plan </w:t>
      </w:r>
      <w:r w:rsidRPr="00E95275">
        <w:rPr>
          <w:rFonts w:ascii="Arial" w:hAnsi="Arial" w:cs="Arial"/>
        </w:rPr>
        <w:t>cover</w:t>
      </w:r>
      <w:r>
        <w:rPr>
          <w:rFonts w:ascii="Arial" w:hAnsi="Arial" w:cs="Arial"/>
        </w:rPr>
        <w:t>ed</w:t>
      </w:r>
      <w:r w:rsidRPr="006D1C4E">
        <w:rPr>
          <w:rFonts w:ascii="Arial" w:hAnsi="Arial"/>
        </w:rPr>
        <w:t xml:space="preserve"> the period from the date of award to July 31, 2021 and </w:t>
      </w:r>
      <w:r>
        <w:rPr>
          <w:rFonts w:ascii="Arial" w:hAnsi="Arial" w:cs="Arial"/>
        </w:rPr>
        <w:t>was required to</w:t>
      </w:r>
      <w:r w:rsidRPr="006D1C4E">
        <w:rPr>
          <w:rFonts w:ascii="Arial" w:hAnsi="Arial"/>
        </w:rPr>
        <w:t xml:space="preserve"> be submitted to Treasury by August 31, 2021, or 60 days after receiving funding.   Thereafter, the Recovery Plan will cover a 12-month period and recipients </w:t>
      </w:r>
      <w:r w:rsidR="00C11AEB">
        <w:rPr>
          <w:rFonts w:ascii="Arial" w:hAnsi="Arial" w:cs="Arial"/>
        </w:rPr>
        <w:t>are</w:t>
      </w:r>
      <w:r w:rsidRPr="006D1C4E">
        <w:rPr>
          <w:rFonts w:ascii="Arial" w:hAnsi="Arial"/>
        </w:rPr>
        <w:t xml:space="preserve"> required to submit the report to Treasury after the end of the 12-month period by July 31</w:t>
      </w:r>
      <w:r w:rsidRPr="00E95275">
        <w:rPr>
          <w:rFonts w:ascii="Arial" w:hAnsi="Arial" w:cs="Arial"/>
          <w:b/>
          <w:bCs/>
        </w:rPr>
        <w:t>.</w:t>
      </w:r>
      <w:r w:rsidR="001056E0">
        <w:rPr>
          <w:rFonts w:ascii="Arial" w:hAnsi="Arial" w:cs="Arial"/>
          <w:b/>
          <w:bCs/>
        </w:rPr>
        <w:t xml:space="preserve"> </w:t>
      </w:r>
      <w:r>
        <w:rPr>
          <w:rFonts w:ascii="Arial" w:hAnsi="Arial" w:cs="Arial"/>
        </w:rPr>
        <w:t xml:space="preserve">The Recovery Plan should include both retrospective information covering the </w:t>
      </w:r>
      <w:r>
        <w:rPr>
          <w:rFonts w:ascii="Arial" w:hAnsi="Arial" w:cs="Arial"/>
        </w:rPr>
        <w:t>time period</w:t>
      </w:r>
      <w:r>
        <w:rPr>
          <w:rFonts w:ascii="Arial" w:hAnsi="Arial" w:cs="Arial"/>
        </w:rPr>
        <w:t xml:space="preserve"> of the Recovery Plan along with prospective information on future work to be undertaken with SLFRF funds or on the planning that has been undertaken during the covered period.</w:t>
      </w:r>
      <w:r w:rsidRPr="006D1C4E">
        <w:rPr>
          <w:rFonts w:ascii="Arial" w:hAnsi="Arial"/>
        </w:rPr>
        <w:t xml:space="preserve"> </w:t>
      </w:r>
      <w:r w:rsidRPr="006D1C4E">
        <w:rPr>
          <w:rFonts w:ascii="Arial" w:hAnsi="Arial"/>
          <w:b/>
        </w:rPr>
        <w:t xml:space="preserve">Table 5 </w:t>
      </w:r>
      <w:r w:rsidRPr="006D1C4E">
        <w:rPr>
          <w:rFonts w:ascii="Arial" w:hAnsi="Arial"/>
        </w:rPr>
        <w:t>summarizes the report timelines:</w:t>
      </w:r>
    </w:p>
    <w:p w:rsidR="008D152B" w:rsidRPr="006D1C4E" w:rsidP="008D152B" w14:paraId="643892F0" w14:textId="77777777">
      <w:pPr>
        <w:pStyle w:val="NoSpacing"/>
        <w:jc w:val="both"/>
        <w:rPr>
          <w:rFonts w:ascii="Arial" w:hAnsi="Arial"/>
        </w:rPr>
      </w:pPr>
    </w:p>
    <w:p w:rsidR="008D152B" w:rsidRPr="006D1C4E" w:rsidP="008D152B" w14:paraId="6969E404" w14:textId="4E51277F">
      <w:pPr>
        <w:pStyle w:val="Caption"/>
        <w:keepNext/>
        <w:spacing w:after="0"/>
        <w:rPr>
          <w:rFonts w:ascii="Arial" w:hAnsi="Arial"/>
          <w:b/>
          <w:sz w:val="22"/>
        </w:rPr>
      </w:pPr>
      <w:r w:rsidRPr="006D1C4E">
        <w:rPr>
          <w:rFonts w:ascii="Arial" w:hAnsi="Arial"/>
          <w:b/>
          <w:i w:val="0"/>
          <w:color w:val="auto"/>
          <w:sz w:val="22"/>
        </w:rPr>
        <w:t xml:space="preserve">Table </w:t>
      </w:r>
      <w:r w:rsidRPr="006D1C4E">
        <w:rPr>
          <w:rFonts w:ascii="Arial" w:hAnsi="Arial"/>
          <w:sz w:val="22"/>
        </w:rPr>
        <w:fldChar w:fldCharType="begin"/>
      </w:r>
      <w:r w:rsidRPr="006D1C4E">
        <w:rPr>
          <w:rFonts w:ascii="Arial" w:hAnsi="Arial"/>
          <w:b/>
          <w:i w:val="0"/>
          <w:color w:val="auto"/>
          <w:sz w:val="22"/>
        </w:rPr>
        <w:instrText xml:space="preserve"> SEQ Table \* ARABIC </w:instrText>
      </w:r>
      <w:r w:rsidRPr="006D1C4E">
        <w:rPr>
          <w:rFonts w:ascii="Arial" w:hAnsi="Arial"/>
          <w:b/>
          <w:i w:val="0"/>
          <w:color w:val="auto"/>
          <w:sz w:val="22"/>
        </w:rPr>
        <w:fldChar w:fldCharType="separate"/>
      </w:r>
      <w:r w:rsidR="000A2643">
        <w:rPr>
          <w:rFonts w:ascii="Arial" w:hAnsi="Arial"/>
          <w:b/>
          <w:i w:val="0"/>
          <w:noProof/>
          <w:color w:val="auto"/>
          <w:sz w:val="22"/>
        </w:rPr>
        <w:t>5</w:t>
      </w:r>
      <w:r w:rsidRPr="006D1C4E">
        <w:rPr>
          <w:rFonts w:ascii="Arial" w:hAnsi="Arial"/>
          <w:sz w:val="22"/>
        </w:rPr>
        <w:fldChar w:fldCharType="end"/>
      </w:r>
      <w:r w:rsidRPr="006D1C4E">
        <w:rPr>
          <w:rFonts w:ascii="Arial" w:hAnsi="Arial"/>
          <w:b/>
          <w:i w:val="0"/>
          <w:color w:val="auto"/>
          <w:sz w:val="22"/>
        </w:rPr>
        <w:t xml:space="preserve"> Recovery Plan Timeline</w:t>
      </w:r>
    </w:p>
    <w:tbl>
      <w:tblPr>
        <w:tblW w:w="9135" w:type="dxa"/>
        <w:tblCellMar>
          <w:left w:w="0" w:type="dxa"/>
          <w:right w:w="0" w:type="dxa"/>
        </w:tblCellMar>
        <w:tblLook w:val="04A0"/>
      </w:tblPr>
      <w:tblGrid>
        <w:gridCol w:w="1711"/>
        <w:gridCol w:w="4401"/>
        <w:gridCol w:w="3023"/>
      </w:tblGrid>
      <w:tr w14:paraId="6EA4E4B1" w14:textId="77777777" w:rsidTr="00415027">
        <w:tblPrEx>
          <w:tblW w:w="9135" w:type="dxa"/>
          <w:tblCellMar>
            <w:left w:w="0" w:type="dxa"/>
            <w:right w:w="0" w:type="dxa"/>
          </w:tblCellMar>
          <w:tblLook w:val="04A0"/>
        </w:tblPrEx>
        <w:trPr>
          <w:tblHeader/>
        </w:trPr>
        <w:tc>
          <w:tcPr>
            <w:tcW w:w="1711" w:type="dxa"/>
            <w:tcBorders>
              <w:top w:val="single" w:sz="8" w:space="0" w:color="auto"/>
              <w:left w:val="single" w:sz="8" w:space="0" w:color="auto"/>
              <w:bottom w:val="single" w:sz="8" w:space="0" w:color="auto"/>
              <w:right w:val="single" w:sz="8" w:space="0" w:color="auto"/>
            </w:tcBorders>
            <w:shd w:val="clear" w:color="auto" w:fill="004E7D"/>
            <w:tcMar>
              <w:top w:w="0" w:type="dxa"/>
              <w:left w:w="108" w:type="dxa"/>
              <w:bottom w:w="0" w:type="dxa"/>
              <w:right w:w="108" w:type="dxa"/>
            </w:tcMar>
            <w:hideMark/>
          </w:tcPr>
          <w:p w:rsidR="008D152B" w:rsidRPr="006D1C4E" w:rsidP="00286C4E" w14:paraId="1E5D5DB3" w14:textId="77777777">
            <w:pPr>
              <w:pStyle w:val="NoSpacing"/>
              <w:jc w:val="center"/>
              <w:rPr>
                <w:rFonts w:ascii="Arial" w:hAnsi="Arial"/>
                <w:b/>
                <w:color w:val="FFFFFF" w:themeColor="background2"/>
                <w:lang w:val="en-IN"/>
              </w:rPr>
            </w:pPr>
            <w:r w:rsidRPr="006D1C4E">
              <w:rPr>
                <w:rFonts w:ascii="Arial" w:hAnsi="Arial"/>
                <w:b/>
                <w:color w:val="FFFFFF" w:themeColor="background2"/>
                <w:lang w:val="en-IN"/>
              </w:rPr>
              <w:t>Annual Report</w:t>
            </w:r>
          </w:p>
        </w:tc>
        <w:tc>
          <w:tcPr>
            <w:tcW w:w="4401" w:type="dxa"/>
            <w:tcBorders>
              <w:top w:val="single" w:sz="8" w:space="0" w:color="auto"/>
              <w:left w:val="nil"/>
              <w:bottom w:val="single" w:sz="8" w:space="0" w:color="auto"/>
              <w:right w:val="single" w:sz="8" w:space="0" w:color="auto"/>
            </w:tcBorders>
            <w:shd w:val="clear" w:color="auto" w:fill="004E7D"/>
            <w:tcMar>
              <w:top w:w="0" w:type="dxa"/>
              <w:left w:w="108" w:type="dxa"/>
              <w:bottom w:w="0" w:type="dxa"/>
              <w:right w:w="108" w:type="dxa"/>
            </w:tcMar>
            <w:hideMark/>
          </w:tcPr>
          <w:p w:rsidR="008D152B" w:rsidRPr="006D1C4E" w:rsidP="00286C4E" w14:paraId="7EE0533F" w14:textId="77777777">
            <w:pPr>
              <w:pStyle w:val="NoSpacing"/>
              <w:jc w:val="center"/>
              <w:rPr>
                <w:rFonts w:ascii="Arial" w:hAnsi="Arial"/>
                <w:b/>
                <w:color w:val="FFFFFF" w:themeColor="background2"/>
                <w:lang w:val="en-IN"/>
              </w:rPr>
            </w:pPr>
            <w:r w:rsidRPr="006D1C4E">
              <w:rPr>
                <w:rFonts w:ascii="Arial" w:hAnsi="Arial"/>
                <w:b/>
                <w:color w:val="FFFFFF" w:themeColor="background2"/>
                <w:lang w:val="en-IN"/>
              </w:rPr>
              <w:t>Period Covered</w:t>
            </w:r>
          </w:p>
        </w:tc>
        <w:tc>
          <w:tcPr>
            <w:tcW w:w="3023" w:type="dxa"/>
            <w:tcBorders>
              <w:top w:val="single" w:sz="8" w:space="0" w:color="auto"/>
              <w:left w:val="nil"/>
              <w:bottom w:val="single" w:sz="8" w:space="0" w:color="auto"/>
              <w:right w:val="single" w:sz="8" w:space="0" w:color="auto"/>
            </w:tcBorders>
            <w:shd w:val="clear" w:color="auto" w:fill="004E7D"/>
            <w:tcMar>
              <w:top w:w="0" w:type="dxa"/>
              <w:left w:w="108" w:type="dxa"/>
              <w:bottom w:w="0" w:type="dxa"/>
              <w:right w:w="108" w:type="dxa"/>
            </w:tcMar>
            <w:hideMark/>
          </w:tcPr>
          <w:p w:rsidR="008D152B" w:rsidRPr="006D1C4E" w:rsidP="00286C4E" w14:paraId="7EE69311" w14:textId="77777777">
            <w:pPr>
              <w:pStyle w:val="NoSpacing"/>
              <w:jc w:val="center"/>
              <w:rPr>
                <w:rFonts w:ascii="Arial" w:hAnsi="Arial"/>
                <w:b/>
                <w:color w:val="FFFFFF" w:themeColor="background2"/>
                <w:lang w:val="en-IN"/>
              </w:rPr>
            </w:pPr>
            <w:r w:rsidRPr="006D1C4E">
              <w:rPr>
                <w:rFonts w:ascii="Arial" w:hAnsi="Arial"/>
                <w:b/>
                <w:color w:val="FFFFFF" w:themeColor="background2"/>
                <w:lang w:val="en-IN"/>
              </w:rPr>
              <w:t>Due Date</w:t>
            </w:r>
          </w:p>
        </w:tc>
      </w:tr>
      <w:tr w14:paraId="65F8DDA8"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46E63B55" w14:textId="77777777">
            <w:pPr>
              <w:pStyle w:val="NoSpacing"/>
              <w:jc w:val="center"/>
              <w:rPr>
                <w:rFonts w:ascii="Arial" w:hAnsi="Arial"/>
                <w:lang w:val="en-IN"/>
              </w:rPr>
            </w:pPr>
            <w:r w:rsidRPr="006D1C4E">
              <w:rPr>
                <w:rFonts w:ascii="Arial" w:hAnsi="Arial"/>
                <w:lang w:val="en-IN"/>
              </w:rPr>
              <w:t>1</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097F0E6A" w14:textId="77777777">
            <w:pPr>
              <w:pStyle w:val="NoSpacing"/>
              <w:jc w:val="center"/>
              <w:rPr>
                <w:rFonts w:ascii="Arial" w:hAnsi="Arial"/>
                <w:lang w:val="en-IN"/>
              </w:rPr>
            </w:pPr>
            <w:r w:rsidRPr="006D1C4E">
              <w:rPr>
                <w:rFonts w:ascii="Arial" w:hAnsi="Arial"/>
                <w:lang w:val="en-IN"/>
              </w:rPr>
              <w:t>Award Date – July 31, 2021</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A58A683" w14:textId="77777777">
            <w:pPr>
              <w:pStyle w:val="NoSpacing"/>
              <w:jc w:val="center"/>
              <w:rPr>
                <w:rFonts w:ascii="Arial" w:hAnsi="Arial"/>
                <w:lang w:val="en-IN"/>
              </w:rPr>
            </w:pPr>
            <w:r w:rsidRPr="006D1C4E">
              <w:rPr>
                <w:rFonts w:ascii="Arial" w:hAnsi="Arial"/>
                <w:lang w:val="en-IN"/>
              </w:rPr>
              <w:t xml:space="preserve">August 31, </w:t>
            </w:r>
            <w:r w:rsidRPr="006D1C4E">
              <w:rPr>
                <w:rFonts w:ascii="Arial" w:hAnsi="Arial"/>
                <w:lang w:val="en-IN"/>
              </w:rPr>
              <w:t>2021</w:t>
            </w:r>
            <w:r>
              <w:rPr>
                <w:rFonts w:ascii="Arial" w:hAnsi="Arial" w:cs="Arial"/>
                <w:lang w:val="en-IN"/>
              </w:rPr>
              <w:t xml:space="preserve"> or 60 days after receiving funding</w:t>
            </w:r>
          </w:p>
        </w:tc>
      </w:tr>
      <w:tr w14:paraId="2BDF2922"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175C6FB8" w14:textId="77777777">
            <w:pPr>
              <w:pStyle w:val="NoSpacing"/>
              <w:jc w:val="center"/>
              <w:rPr>
                <w:rFonts w:ascii="Arial" w:hAnsi="Arial"/>
                <w:lang w:val="en-IN"/>
              </w:rPr>
            </w:pPr>
            <w:r w:rsidRPr="006D1C4E">
              <w:rPr>
                <w:rFonts w:ascii="Arial" w:hAnsi="Arial"/>
                <w:lang w:val="en-IN"/>
              </w:rPr>
              <w:t>2</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503698B8" w14:textId="77777777">
            <w:pPr>
              <w:pStyle w:val="NoSpacing"/>
              <w:jc w:val="center"/>
              <w:rPr>
                <w:rFonts w:ascii="Arial" w:hAnsi="Arial"/>
                <w:lang w:val="en-IN"/>
              </w:rPr>
            </w:pPr>
            <w:r w:rsidRPr="006D1C4E">
              <w:rPr>
                <w:rFonts w:ascii="Arial" w:hAnsi="Arial"/>
                <w:lang w:val="en-IN"/>
              </w:rPr>
              <w:t>July 1, 2021 – June 30, 2022</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598DB17F" w14:textId="77777777">
            <w:pPr>
              <w:pStyle w:val="NoSpacing"/>
              <w:jc w:val="center"/>
              <w:rPr>
                <w:rFonts w:ascii="Arial" w:hAnsi="Arial"/>
                <w:lang w:val="en-IN"/>
              </w:rPr>
            </w:pPr>
            <w:r w:rsidRPr="006D1C4E">
              <w:rPr>
                <w:rFonts w:ascii="Arial" w:hAnsi="Arial"/>
                <w:lang w:val="en-IN"/>
              </w:rPr>
              <w:t>July 31, 2022</w:t>
            </w:r>
          </w:p>
        </w:tc>
      </w:tr>
      <w:tr w14:paraId="04AEA006"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2B39C895" w14:textId="77777777">
            <w:pPr>
              <w:pStyle w:val="NoSpacing"/>
              <w:jc w:val="center"/>
              <w:rPr>
                <w:rFonts w:ascii="Arial" w:hAnsi="Arial"/>
                <w:b/>
                <w:lang w:val="en-IN"/>
              </w:rPr>
            </w:pPr>
            <w:r w:rsidRPr="006D1C4E">
              <w:rPr>
                <w:rFonts w:ascii="Arial" w:hAnsi="Arial"/>
                <w:lang w:val="en-IN"/>
              </w:rPr>
              <w:t>3</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2D0BDB0" w14:textId="77777777">
            <w:pPr>
              <w:pStyle w:val="NoSpacing"/>
              <w:jc w:val="center"/>
              <w:rPr>
                <w:rFonts w:ascii="Arial" w:hAnsi="Arial"/>
                <w:lang w:val="en-IN"/>
              </w:rPr>
            </w:pPr>
            <w:r w:rsidRPr="006D1C4E">
              <w:rPr>
                <w:rFonts w:ascii="Arial" w:hAnsi="Arial"/>
                <w:lang w:val="en-IN"/>
              </w:rPr>
              <w:t>July 1, 2022 – June 30, 2023</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7D0A06AA" w14:textId="77777777">
            <w:pPr>
              <w:pStyle w:val="NoSpacing"/>
              <w:jc w:val="center"/>
              <w:rPr>
                <w:rFonts w:ascii="Arial" w:hAnsi="Arial"/>
                <w:lang w:val="en-IN"/>
              </w:rPr>
            </w:pPr>
            <w:r w:rsidRPr="006D1C4E">
              <w:rPr>
                <w:rFonts w:ascii="Arial" w:hAnsi="Arial"/>
                <w:lang w:val="en-IN"/>
              </w:rPr>
              <w:t>July 31, 2023</w:t>
            </w:r>
          </w:p>
        </w:tc>
      </w:tr>
      <w:tr w14:paraId="06F28BA0"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3A3DA7D3" w14:textId="77777777">
            <w:pPr>
              <w:pStyle w:val="NoSpacing"/>
              <w:jc w:val="center"/>
              <w:rPr>
                <w:rFonts w:ascii="Arial" w:hAnsi="Arial"/>
                <w:lang w:val="en-IN"/>
              </w:rPr>
            </w:pPr>
            <w:r w:rsidRPr="006D1C4E">
              <w:rPr>
                <w:rFonts w:ascii="Arial" w:hAnsi="Arial"/>
                <w:lang w:val="en-IN"/>
              </w:rPr>
              <w:t>4</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A5C127B" w14:textId="77777777">
            <w:pPr>
              <w:pStyle w:val="NoSpacing"/>
              <w:jc w:val="center"/>
              <w:rPr>
                <w:rFonts w:ascii="Arial" w:hAnsi="Arial"/>
                <w:lang w:val="en-IN"/>
              </w:rPr>
            </w:pPr>
            <w:r w:rsidRPr="006D1C4E">
              <w:rPr>
                <w:rFonts w:ascii="Arial" w:hAnsi="Arial"/>
                <w:lang w:val="en-IN"/>
              </w:rPr>
              <w:t>July 1, 2023 – June 30, 2024</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93DE7CD" w14:textId="77777777">
            <w:pPr>
              <w:pStyle w:val="NoSpacing"/>
              <w:jc w:val="center"/>
              <w:rPr>
                <w:rFonts w:ascii="Arial" w:hAnsi="Arial"/>
                <w:lang w:val="en-IN"/>
              </w:rPr>
            </w:pPr>
            <w:r w:rsidRPr="006D1C4E">
              <w:rPr>
                <w:rFonts w:ascii="Arial" w:hAnsi="Arial"/>
                <w:lang w:val="en-IN"/>
              </w:rPr>
              <w:t>July 31, 2024</w:t>
            </w:r>
          </w:p>
        </w:tc>
      </w:tr>
      <w:tr w14:paraId="20B87C7E"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21E33F09" w14:textId="77777777">
            <w:pPr>
              <w:pStyle w:val="NoSpacing"/>
              <w:jc w:val="center"/>
              <w:rPr>
                <w:rFonts w:ascii="Arial" w:hAnsi="Arial"/>
                <w:lang w:val="en-IN"/>
              </w:rPr>
            </w:pPr>
            <w:r w:rsidRPr="006D1C4E">
              <w:rPr>
                <w:rFonts w:ascii="Arial" w:hAnsi="Arial"/>
                <w:lang w:val="en-IN"/>
              </w:rPr>
              <w:t>5</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25F601CE" w14:textId="77777777">
            <w:pPr>
              <w:pStyle w:val="NoSpacing"/>
              <w:jc w:val="center"/>
              <w:rPr>
                <w:rFonts w:ascii="Arial" w:hAnsi="Arial"/>
                <w:lang w:val="en-IN"/>
              </w:rPr>
            </w:pPr>
            <w:r w:rsidRPr="006D1C4E">
              <w:rPr>
                <w:rFonts w:ascii="Arial" w:hAnsi="Arial"/>
                <w:lang w:val="en-IN"/>
              </w:rPr>
              <w:t>July 1, 2024 – June 30, 2025</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69B004E4" w14:textId="77777777">
            <w:pPr>
              <w:pStyle w:val="NoSpacing"/>
              <w:jc w:val="center"/>
              <w:rPr>
                <w:rFonts w:ascii="Arial" w:hAnsi="Arial"/>
                <w:lang w:val="en-IN"/>
              </w:rPr>
            </w:pPr>
            <w:r w:rsidRPr="006D1C4E">
              <w:rPr>
                <w:rFonts w:ascii="Arial" w:hAnsi="Arial"/>
                <w:lang w:val="en-IN"/>
              </w:rPr>
              <w:t>July 31, 2025</w:t>
            </w:r>
          </w:p>
        </w:tc>
      </w:tr>
      <w:tr w14:paraId="5466871F"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608CA332" w14:textId="77777777">
            <w:pPr>
              <w:pStyle w:val="NoSpacing"/>
              <w:jc w:val="center"/>
              <w:rPr>
                <w:rFonts w:ascii="Arial" w:hAnsi="Arial"/>
                <w:lang w:val="en-IN"/>
              </w:rPr>
            </w:pPr>
            <w:r w:rsidRPr="006D1C4E">
              <w:rPr>
                <w:rFonts w:ascii="Arial" w:hAnsi="Arial"/>
                <w:lang w:val="en-IN"/>
              </w:rPr>
              <w:t>6</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0E5DA290" w14:textId="77777777">
            <w:pPr>
              <w:pStyle w:val="NoSpacing"/>
              <w:jc w:val="center"/>
              <w:rPr>
                <w:rFonts w:ascii="Arial" w:hAnsi="Arial"/>
                <w:lang w:val="en-IN"/>
              </w:rPr>
            </w:pPr>
            <w:r w:rsidRPr="006D1C4E">
              <w:rPr>
                <w:rFonts w:ascii="Arial" w:hAnsi="Arial"/>
                <w:lang w:val="en-IN"/>
              </w:rPr>
              <w:t>July 1, 2025 – June 30, 2026</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39322948" w14:textId="77777777">
            <w:pPr>
              <w:pStyle w:val="NoSpacing"/>
              <w:jc w:val="center"/>
              <w:rPr>
                <w:rFonts w:ascii="Arial" w:hAnsi="Arial"/>
                <w:lang w:val="en-IN"/>
              </w:rPr>
            </w:pPr>
            <w:r w:rsidRPr="006D1C4E">
              <w:rPr>
                <w:rFonts w:ascii="Arial" w:hAnsi="Arial"/>
                <w:lang w:val="en-IN"/>
              </w:rPr>
              <w:t>July 31, 2026</w:t>
            </w:r>
          </w:p>
        </w:tc>
      </w:tr>
      <w:tr w14:paraId="2AD3B7A8" w14:textId="77777777" w:rsidTr="00286C4E">
        <w:tblPrEx>
          <w:tblW w:w="9135" w:type="dxa"/>
          <w:tblCellMar>
            <w:left w:w="0" w:type="dxa"/>
            <w:right w:w="0" w:type="dxa"/>
          </w:tblCellMar>
          <w:tblLook w:val="04A0"/>
        </w:tblPrEx>
        <w:tc>
          <w:tcPr>
            <w:tcW w:w="171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152B" w:rsidRPr="006D1C4E" w:rsidP="00286C4E" w14:paraId="7C5A938A" w14:textId="77777777">
            <w:pPr>
              <w:pStyle w:val="NoSpacing"/>
              <w:jc w:val="center"/>
              <w:rPr>
                <w:rFonts w:ascii="Arial" w:hAnsi="Arial"/>
                <w:lang w:val="en-IN"/>
              </w:rPr>
            </w:pPr>
            <w:r w:rsidRPr="006D1C4E">
              <w:rPr>
                <w:rFonts w:ascii="Arial" w:hAnsi="Arial"/>
                <w:lang w:val="en-IN"/>
              </w:rPr>
              <w:t>7</w:t>
            </w:r>
          </w:p>
        </w:tc>
        <w:tc>
          <w:tcPr>
            <w:tcW w:w="4401"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39DB08D3" w14:textId="77777777">
            <w:pPr>
              <w:pStyle w:val="NoSpacing"/>
              <w:jc w:val="center"/>
              <w:rPr>
                <w:rFonts w:ascii="Arial" w:hAnsi="Arial"/>
                <w:lang w:val="en-IN"/>
              </w:rPr>
            </w:pPr>
            <w:r w:rsidRPr="006D1C4E">
              <w:rPr>
                <w:rFonts w:ascii="Arial" w:hAnsi="Arial"/>
                <w:lang w:val="en-IN"/>
              </w:rPr>
              <w:t>July 1, 2026 – December 31, 2026</w:t>
            </w:r>
          </w:p>
        </w:tc>
        <w:tc>
          <w:tcPr>
            <w:tcW w:w="3023" w:type="dxa"/>
            <w:tcBorders>
              <w:top w:val="nil"/>
              <w:left w:val="nil"/>
              <w:bottom w:val="single" w:sz="8" w:space="0" w:color="auto"/>
              <w:right w:val="single" w:sz="8" w:space="0" w:color="auto"/>
            </w:tcBorders>
            <w:tcMar>
              <w:top w:w="0" w:type="dxa"/>
              <w:left w:w="108" w:type="dxa"/>
              <w:bottom w:w="0" w:type="dxa"/>
              <w:right w:w="108" w:type="dxa"/>
            </w:tcMar>
            <w:hideMark/>
          </w:tcPr>
          <w:p w:rsidR="008D152B" w:rsidRPr="006D1C4E" w:rsidP="00286C4E" w14:paraId="22EE4B83" w14:textId="29338855">
            <w:pPr>
              <w:pStyle w:val="NoSpacing"/>
              <w:jc w:val="center"/>
              <w:rPr>
                <w:rFonts w:ascii="Arial" w:hAnsi="Arial"/>
                <w:lang w:val="en-IN"/>
              </w:rPr>
            </w:pPr>
            <w:r>
              <w:rPr>
                <w:rFonts w:ascii="Arial" w:hAnsi="Arial" w:cs="Arial"/>
                <w:lang w:val="en-IN"/>
              </w:rPr>
              <w:t>April 30</w:t>
            </w:r>
            <w:r w:rsidRPr="006D1C4E">
              <w:rPr>
                <w:rFonts w:ascii="Arial" w:hAnsi="Arial"/>
                <w:lang w:val="en-IN"/>
              </w:rPr>
              <w:t>, 2027</w:t>
            </w:r>
          </w:p>
        </w:tc>
      </w:tr>
    </w:tbl>
    <w:p w:rsidR="008D152B" w:rsidRPr="006D1C4E" w:rsidP="008D152B" w14:paraId="1739846C" w14:textId="77777777">
      <w:pPr>
        <w:pStyle w:val="NoSpacing"/>
        <w:jc w:val="both"/>
        <w:rPr>
          <w:rFonts w:ascii="Arial" w:hAnsi="Arial"/>
        </w:rPr>
      </w:pPr>
    </w:p>
    <w:p w:rsidR="008D152B" w:rsidP="008D152B" w14:paraId="1499D54A" w14:textId="204545D0">
      <w:pPr>
        <w:pStyle w:val="NoSpacing"/>
        <w:jc w:val="both"/>
        <w:rPr>
          <w:rFonts w:ascii="Arial" w:hAnsi="Arial" w:cs="Arial"/>
        </w:rPr>
      </w:pPr>
      <w:r>
        <w:rPr>
          <w:rFonts w:ascii="Arial" w:hAnsi="Arial" w:cs="Arial"/>
        </w:rPr>
        <w:t xml:space="preserve">Recovery Plans submitted as part of reporting are used by Treasury, third party organizations, the public, and other stakeholders to obtain a comprehensive understanding of SLFRF’s largest </w:t>
      </w:r>
      <w:r>
        <w:rPr>
          <w:rFonts w:ascii="Arial" w:hAnsi="Arial" w:cs="Arial"/>
        </w:rPr>
        <w:t>recipients’</w:t>
      </w:r>
      <w:r>
        <w:rPr>
          <w:rFonts w:ascii="Arial" w:hAnsi="Arial" w:cs="Arial"/>
        </w:rPr>
        <w:t xml:space="preserve"> planned and actual usage of SLFRF funding, including the jurisdiction’s policy goals, its strategy for achieving them, and specific projects or initiatives underway. Alignment of data reported in Project and Expenditure reports and Recovery Plans is expected by both Treasury and SLFRF’s many stakeholders. Finally, Recovery Plans will be posted publicly by Treasury to provide transparency about how program funds are being used by recipient governments. </w:t>
      </w:r>
    </w:p>
    <w:p w:rsidR="008D152B" w:rsidP="008D152B" w14:paraId="6C98383E" w14:textId="77777777">
      <w:pPr>
        <w:pStyle w:val="NoSpacing"/>
        <w:jc w:val="both"/>
        <w:rPr>
          <w:rFonts w:ascii="Arial" w:hAnsi="Arial" w:cs="Arial"/>
        </w:rPr>
      </w:pPr>
    </w:p>
    <w:p w:rsidR="008D152B" w:rsidRPr="006D1C4E" w:rsidP="008D152B" w14:paraId="26B2A3DA" w14:textId="3901FA13">
      <w:pPr>
        <w:pStyle w:val="NoSpacing"/>
        <w:jc w:val="both"/>
        <w:rPr>
          <w:rFonts w:ascii="Arial" w:hAnsi="Arial"/>
        </w:rPr>
      </w:pPr>
      <w:r w:rsidRPr="00713943">
        <w:rPr>
          <w:rFonts w:ascii="Arial" w:hAnsi="Arial"/>
        </w:rPr>
        <w:t xml:space="preserve">The Recovery Plan </w:t>
      </w:r>
      <w:r>
        <w:rPr>
          <w:rFonts w:ascii="Arial" w:hAnsi="Arial" w:cs="Arial"/>
        </w:rPr>
        <w:t>must</w:t>
      </w:r>
      <w:r w:rsidRPr="006D1C4E">
        <w:rPr>
          <w:rFonts w:ascii="Arial" w:hAnsi="Arial"/>
        </w:rPr>
        <w:t xml:space="preserve"> include, at a minimum, the following information: </w:t>
      </w:r>
    </w:p>
    <w:p w:rsidR="008D152B" w:rsidRPr="006D1C4E" w:rsidP="008D152B" w14:paraId="2E44A974" w14:textId="77777777">
      <w:pPr>
        <w:spacing w:after="0" w:line="240" w:lineRule="auto"/>
        <w:jc w:val="both"/>
        <w:rPr>
          <w:rFonts w:ascii="Arial" w:hAnsi="Arial"/>
          <w:b/>
        </w:rPr>
      </w:pPr>
    </w:p>
    <w:p w:rsidR="008D152B" w:rsidRPr="006D1C4E" w:rsidP="00CE5331" w14:paraId="1B259704" w14:textId="77777777">
      <w:pPr>
        <w:pStyle w:val="ListParagraph"/>
        <w:numPr>
          <w:ilvl w:val="0"/>
          <w:numId w:val="39"/>
        </w:numPr>
        <w:spacing w:after="0" w:line="240" w:lineRule="auto"/>
        <w:jc w:val="both"/>
        <w:rPr>
          <w:rFonts w:ascii="Arial" w:hAnsi="Arial"/>
          <w:b/>
        </w:rPr>
      </w:pPr>
      <w:r w:rsidRPr="006D1C4E">
        <w:rPr>
          <w:rFonts w:ascii="Arial" w:hAnsi="Arial"/>
          <w:b/>
        </w:rPr>
        <w:t>Executive Summary</w:t>
      </w:r>
    </w:p>
    <w:p w:rsidR="008D152B" w:rsidRPr="00713943" w:rsidP="008D152B" w14:paraId="0C1F400F" w14:textId="4763889F">
      <w:pPr>
        <w:pStyle w:val="ListParagraph"/>
        <w:spacing w:after="0" w:line="240" w:lineRule="auto"/>
        <w:ind w:left="0"/>
        <w:jc w:val="both"/>
        <w:rPr>
          <w:rFonts w:ascii="Arial" w:hAnsi="Arial"/>
        </w:rPr>
      </w:pPr>
      <w:r>
        <w:rPr>
          <w:rFonts w:ascii="Arial" w:hAnsi="Arial" w:cs="Arial"/>
        </w:rPr>
        <w:t>In this section, recipient</w:t>
      </w:r>
      <w:r w:rsidR="003B6CB9">
        <w:rPr>
          <w:rFonts w:ascii="Arial" w:hAnsi="Arial" w:cs="Arial"/>
        </w:rPr>
        <w:t>s</w:t>
      </w:r>
      <w:r>
        <w:rPr>
          <w:rFonts w:ascii="Arial" w:hAnsi="Arial" w:cs="Arial"/>
        </w:rPr>
        <w:t xml:space="preserve"> should p</w:t>
      </w:r>
      <w:r w:rsidRPr="00E95275">
        <w:rPr>
          <w:rFonts w:ascii="Arial" w:hAnsi="Arial" w:cs="Arial"/>
        </w:rPr>
        <w:t>rovide</w:t>
      </w:r>
      <w:r w:rsidRPr="00713943">
        <w:rPr>
          <w:rFonts w:ascii="Arial" w:hAnsi="Arial"/>
        </w:rPr>
        <w:t xml:space="preserve"> a high-level overview of the jurisdiction’s intended and actual uses of funding including, but not limited </w:t>
      </w:r>
      <w:r w:rsidRPr="00713943">
        <w:rPr>
          <w:rFonts w:ascii="Arial" w:hAnsi="Arial"/>
        </w:rPr>
        <w:t>to:</w:t>
      </w:r>
      <w:r w:rsidRPr="00713943">
        <w:rPr>
          <w:rFonts w:ascii="Arial" w:hAnsi="Arial"/>
        </w:rPr>
        <w:t xml:space="preserve"> the jurisdiction’s </w:t>
      </w:r>
      <w:r>
        <w:rPr>
          <w:rFonts w:ascii="Arial" w:hAnsi="Arial" w:cs="Arial"/>
        </w:rPr>
        <w:t xml:space="preserve">strategy, goals, and </w:t>
      </w:r>
      <w:r w:rsidRPr="00713943">
        <w:rPr>
          <w:rFonts w:ascii="Arial" w:hAnsi="Arial"/>
        </w:rPr>
        <w:t xml:space="preserve">plan for </w:t>
      </w:r>
      <w:r w:rsidRPr="00E95275">
        <w:rPr>
          <w:rFonts w:ascii="Arial" w:hAnsi="Arial" w:cs="Arial"/>
        </w:rPr>
        <w:t>us</w:t>
      </w:r>
      <w:r>
        <w:rPr>
          <w:rFonts w:ascii="Arial" w:hAnsi="Arial" w:cs="Arial"/>
        </w:rPr>
        <w:t xml:space="preserve">ing </w:t>
      </w:r>
      <w:r w:rsidR="003B6CB9">
        <w:rPr>
          <w:rFonts w:ascii="Arial" w:hAnsi="Arial" w:cs="Arial"/>
        </w:rPr>
        <w:t>F</w:t>
      </w:r>
      <w:r>
        <w:rPr>
          <w:rFonts w:ascii="Arial" w:hAnsi="Arial" w:cs="Arial"/>
        </w:rPr>
        <w:t xml:space="preserve">iscal </w:t>
      </w:r>
      <w:r w:rsidR="003B6CB9">
        <w:rPr>
          <w:rFonts w:ascii="Arial" w:hAnsi="Arial" w:cs="Arial"/>
        </w:rPr>
        <w:t>R</w:t>
      </w:r>
      <w:r>
        <w:rPr>
          <w:rFonts w:ascii="Arial" w:hAnsi="Arial" w:cs="Arial"/>
        </w:rPr>
        <w:t>ecovery</w:t>
      </w:r>
      <w:r w:rsidRPr="00E95275">
        <w:rPr>
          <w:rFonts w:ascii="Arial" w:hAnsi="Arial" w:cs="Arial"/>
        </w:rPr>
        <w:t xml:space="preserve"> </w:t>
      </w:r>
      <w:r w:rsidR="003B6CB9">
        <w:rPr>
          <w:rFonts w:ascii="Arial" w:hAnsi="Arial" w:cs="Arial"/>
        </w:rPr>
        <w:t>F</w:t>
      </w:r>
      <w:r w:rsidRPr="00E95275">
        <w:rPr>
          <w:rFonts w:ascii="Arial" w:hAnsi="Arial" w:cs="Arial"/>
        </w:rPr>
        <w:t>unds</w:t>
      </w:r>
      <w:r w:rsidRPr="00713943">
        <w:t xml:space="preserve"> to </w:t>
      </w:r>
      <w:r w:rsidR="00392CE4">
        <w:rPr>
          <w:rFonts w:ascii="Arial" w:hAnsi="Arial" w:cs="Arial"/>
        </w:rPr>
        <w:t>respond</w:t>
      </w:r>
      <w:r w:rsidRPr="00713943">
        <w:rPr>
          <w:rFonts w:ascii="Arial" w:hAnsi="Arial"/>
        </w:rPr>
        <w:t xml:space="preserve"> to the pandemic and</w:t>
      </w:r>
      <w:r w:rsidRPr="00E95275">
        <w:rPr>
          <w:rFonts w:ascii="Arial" w:hAnsi="Arial" w:cs="Arial"/>
        </w:rPr>
        <w:t xml:space="preserve"> </w:t>
      </w:r>
      <w:r w:rsidR="00392CE4">
        <w:rPr>
          <w:rFonts w:ascii="Arial" w:hAnsi="Arial" w:cs="Arial"/>
        </w:rPr>
        <w:t>promote</w:t>
      </w:r>
      <w:r w:rsidRPr="00713943" w:rsidR="00392CE4">
        <w:rPr>
          <w:rFonts w:ascii="Arial" w:hAnsi="Arial"/>
        </w:rPr>
        <w:t xml:space="preserve"> </w:t>
      </w:r>
      <w:r w:rsidRPr="00713943">
        <w:rPr>
          <w:rFonts w:ascii="Arial" w:hAnsi="Arial"/>
        </w:rPr>
        <w:t xml:space="preserve">economic recovery, key outcome goals, progress to date on those outcomes, and any noteworthy challenges or opportunities identified during the reporting period.  </w:t>
      </w:r>
    </w:p>
    <w:p w:rsidR="008D152B" w:rsidRPr="00713943" w:rsidP="008D152B" w14:paraId="25E93D7E" w14:textId="77777777">
      <w:pPr>
        <w:pStyle w:val="ListParagraph"/>
        <w:spacing w:after="0" w:line="240" w:lineRule="auto"/>
        <w:ind w:left="0"/>
        <w:jc w:val="both"/>
        <w:rPr>
          <w:rFonts w:ascii="Arial" w:hAnsi="Arial"/>
        </w:rPr>
      </w:pPr>
    </w:p>
    <w:p w:rsidR="008D152B" w:rsidRPr="00713943" w:rsidP="00CE5331" w14:paraId="7FE8CD88" w14:textId="77777777">
      <w:pPr>
        <w:pStyle w:val="ListParagraph"/>
        <w:numPr>
          <w:ilvl w:val="0"/>
          <w:numId w:val="39"/>
        </w:numPr>
        <w:spacing w:after="0" w:line="240" w:lineRule="auto"/>
        <w:jc w:val="both"/>
        <w:rPr>
          <w:rFonts w:ascii="Arial" w:hAnsi="Arial"/>
          <w:b/>
        </w:rPr>
      </w:pPr>
      <w:r w:rsidRPr="00713943">
        <w:rPr>
          <w:rFonts w:ascii="Arial" w:hAnsi="Arial"/>
          <w:b/>
        </w:rPr>
        <w:t>Uses of Funds</w:t>
      </w:r>
    </w:p>
    <w:p w:rsidR="008D152B" w:rsidRPr="00B612CC" w:rsidP="008D152B" w14:paraId="2121D48B" w14:textId="63763ED0">
      <w:pPr>
        <w:spacing w:after="0" w:line="240" w:lineRule="auto"/>
        <w:jc w:val="both"/>
        <w:rPr>
          <w:rFonts w:ascii="Arial" w:hAnsi="Arial"/>
        </w:rPr>
      </w:pPr>
      <w:r>
        <w:rPr>
          <w:rFonts w:ascii="Arial" w:hAnsi="Arial" w:cs="Arial"/>
        </w:rPr>
        <w:t>In this section, recipients should d</w:t>
      </w:r>
      <w:r w:rsidRPr="00E95275">
        <w:rPr>
          <w:rFonts w:ascii="Arial" w:hAnsi="Arial" w:cs="Arial"/>
        </w:rPr>
        <w:t>escribe</w:t>
      </w:r>
      <w:r w:rsidRPr="00713943">
        <w:rPr>
          <w:rFonts w:ascii="Arial" w:hAnsi="Arial"/>
        </w:rPr>
        <w:t xml:space="preserve"> in further detail </w:t>
      </w:r>
      <w:r>
        <w:rPr>
          <w:rFonts w:ascii="Arial" w:hAnsi="Arial" w:cs="Arial"/>
        </w:rPr>
        <w:t>the strategy and goals of their</w:t>
      </w:r>
      <w:r w:rsidRPr="00713943">
        <w:rPr>
          <w:rFonts w:ascii="Arial" w:hAnsi="Arial"/>
        </w:rPr>
        <w:t xml:space="preserve"> jurisdiction’s </w:t>
      </w:r>
      <w:r>
        <w:rPr>
          <w:rFonts w:ascii="Arial" w:hAnsi="Arial" w:cs="Arial"/>
        </w:rPr>
        <w:t>SLFRF program</w:t>
      </w:r>
      <w:r w:rsidRPr="00713943">
        <w:rPr>
          <w:rFonts w:ascii="Arial" w:hAnsi="Arial"/>
        </w:rPr>
        <w:t xml:space="preserve">, such as how </w:t>
      </w:r>
      <w:r>
        <w:rPr>
          <w:rFonts w:ascii="Arial" w:hAnsi="Arial" w:cs="Arial"/>
        </w:rPr>
        <w:t>thei</w:t>
      </w:r>
      <w:r w:rsidRPr="00E95275">
        <w:rPr>
          <w:rFonts w:ascii="Arial" w:hAnsi="Arial" w:cs="Arial"/>
        </w:rPr>
        <w:t>r</w:t>
      </w:r>
      <w:r w:rsidRPr="00713943">
        <w:rPr>
          <w:rFonts w:ascii="Arial" w:hAnsi="Arial"/>
        </w:rPr>
        <w:t xml:space="preserve"> jurisdiction’s approach would help support a strong and equitable</w:t>
      </w:r>
      <w:r w:rsidRPr="00E95275">
        <w:rPr>
          <w:rFonts w:ascii="Arial" w:eastAsia="Arial" w:hAnsi="Arial" w:cs="Arial"/>
        </w:rPr>
        <w:t xml:space="preserve"> recovery from the COVID-19 pandemic and economic downturn.</w:t>
      </w:r>
      <w:r>
        <w:rPr>
          <w:rFonts w:ascii="Arial" w:eastAsia="Arial" w:hAnsi="Arial" w:cs="Arial"/>
        </w:rPr>
        <w:t xml:space="preserve"> Recipients should describe how their intended</w:t>
      </w:r>
      <w:r w:rsidRPr="00713943">
        <w:rPr>
          <w:rFonts w:ascii="Arial" w:hAnsi="Arial"/>
        </w:rPr>
        <w:t xml:space="preserve"> and </w:t>
      </w:r>
      <w:r>
        <w:rPr>
          <w:rFonts w:ascii="Arial" w:eastAsia="Arial" w:hAnsi="Arial" w:cs="Arial"/>
        </w:rPr>
        <w:t>actual uses of funds will achieve their goals</w:t>
      </w:r>
      <w:r w:rsidRPr="00E95275">
        <w:rPr>
          <w:rFonts w:ascii="Arial" w:hAnsi="Arial" w:cs="Arial"/>
        </w:rPr>
        <w:t>.</w:t>
      </w:r>
      <w:r w:rsidRPr="00713943">
        <w:rPr>
          <w:rFonts w:ascii="Arial" w:hAnsi="Arial"/>
        </w:rPr>
        <w:t xml:space="preserve"> Given the broad eligible uses of funds </w:t>
      </w:r>
      <w:r w:rsidRPr="00E95275">
        <w:rPr>
          <w:rFonts w:ascii="Arial" w:hAnsi="Arial" w:cs="Arial"/>
        </w:rPr>
        <w:t xml:space="preserve">established by the final rule and </w:t>
      </w:r>
      <w:r w:rsidRPr="00713943">
        <w:rPr>
          <w:rFonts w:ascii="Arial" w:hAnsi="Arial"/>
        </w:rPr>
        <w:t xml:space="preserve">the specific needs of </w:t>
      </w:r>
      <w:r w:rsidR="00392CE4">
        <w:rPr>
          <w:rFonts w:ascii="Arial" w:hAnsi="Arial" w:cs="Arial"/>
        </w:rPr>
        <w:t>diff</w:t>
      </w:r>
      <w:r w:rsidR="00C94B88">
        <w:rPr>
          <w:rFonts w:ascii="Arial" w:hAnsi="Arial" w:cs="Arial"/>
        </w:rPr>
        <w:t>e</w:t>
      </w:r>
      <w:r w:rsidR="00392CE4">
        <w:rPr>
          <w:rFonts w:ascii="Arial" w:hAnsi="Arial" w:cs="Arial"/>
        </w:rPr>
        <w:t>rent</w:t>
      </w:r>
      <w:r w:rsidRPr="00E95275">
        <w:rPr>
          <w:rFonts w:ascii="Arial" w:hAnsi="Arial" w:cs="Arial"/>
        </w:rPr>
        <w:t xml:space="preserve"> jurisdiction</w:t>
      </w:r>
      <w:r w:rsidR="00392CE4">
        <w:rPr>
          <w:rFonts w:ascii="Arial" w:hAnsi="Arial" w:cs="Arial"/>
        </w:rPr>
        <w:t>s</w:t>
      </w:r>
      <w:r w:rsidRPr="00E95275">
        <w:rPr>
          <w:rFonts w:ascii="Arial" w:hAnsi="Arial" w:cs="Arial"/>
        </w:rPr>
        <w:t xml:space="preserve">, </w:t>
      </w:r>
      <w:r>
        <w:rPr>
          <w:rFonts w:ascii="Arial" w:hAnsi="Arial" w:cs="Arial"/>
        </w:rPr>
        <w:t>recipients should</w:t>
      </w:r>
      <w:r w:rsidRPr="006D1C4E">
        <w:rPr>
          <w:rFonts w:ascii="Arial" w:hAnsi="Arial"/>
        </w:rPr>
        <w:t xml:space="preserve"> also explain how the funds would support the communities, populations, or individuals in </w:t>
      </w:r>
      <w:r>
        <w:rPr>
          <w:rFonts w:ascii="Arial" w:hAnsi="Arial" w:cs="Arial"/>
        </w:rPr>
        <w:t>their</w:t>
      </w:r>
      <w:r w:rsidRPr="006D1C4E">
        <w:rPr>
          <w:rFonts w:ascii="Arial" w:hAnsi="Arial"/>
        </w:rPr>
        <w:t xml:space="preserve"> jurisdiction. </w:t>
      </w:r>
      <w:r>
        <w:rPr>
          <w:rFonts w:ascii="Arial" w:hAnsi="Arial" w:cs="Arial"/>
        </w:rPr>
        <w:t>Recipients</w:t>
      </w:r>
      <w:r w:rsidRPr="006D1C4E">
        <w:rPr>
          <w:rFonts w:ascii="Arial" w:hAnsi="Arial"/>
        </w:rPr>
        <w:t xml:space="preserve"> should </w:t>
      </w:r>
      <w:r>
        <w:rPr>
          <w:rFonts w:ascii="Arial" w:hAnsi="Arial" w:cs="Arial"/>
        </w:rPr>
        <w:t>describe</w:t>
      </w:r>
      <w:r w:rsidRPr="006D1C4E">
        <w:rPr>
          <w:rFonts w:ascii="Arial" w:hAnsi="Arial"/>
        </w:rPr>
        <w:t xml:space="preserve"> how </w:t>
      </w:r>
      <w:r>
        <w:rPr>
          <w:rFonts w:ascii="Arial" w:hAnsi="Arial" w:cs="Arial"/>
        </w:rPr>
        <w:t>their use</w:t>
      </w:r>
      <w:r w:rsidRPr="00B612CC">
        <w:rPr>
          <w:rFonts w:ascii="Arial" w:hAnsi="Arial"/>
        </w:rPr>
        <w:t xml:space="preserve"> of</w:t>
      </w:r>
      <w:r>
        <w:rPr>
          <w:rFonts w:ascii="Arial" w:hAnsi="Arial" w:cs="Arial"/>
        </w:rPr>
        <w:t xml:space="preserve"> funds supports their overall strategy and goals in</w:t>
      </w:r>
      <w:r w:rsidRPr="00B612CC">
        <w:rPr>
          <w:rFonts w:ascii="Arial" w:hAnsi="Arial"/>
        </w:rPr>
        <w:t xml:space="preserve"> the following</w:t>
      </w:r>
      <w:r>
        <w:rPr>
          <w:rFonts w:ascii="Arial" w:hAnsi="Arial" w:cs="Arial"/>
        </w:rPr>
        <w:t xml:space="preserve"> areas:</w:t>
      </w:r>
      <w:r w:rsidRPr="00B612CC">
        <w:rPr>
          <w:rFonts w:ascii="Arial" w:hAnsi="Arial"/>
        </w:rPr>
        <w:t xml:space="preserve"> </w:t>
      </w:r>
    </w:p>
    <w:p w:rsidR="008D152B" w:rsidRPr="00B612CC" w:rsidP="008D152B" w14:paraId="29E38EF8" w14:textId="4A54A733">
      <w:pPr>
        <w:pStyle w:val="ListParagraph"/>
        <w:numPr>
          <w:ilvl w:val="0"/>
          <w:numId w:val="12"/>
        </w:numPr>
        <w:spacing w:after="0" w:line="240" w:lineRule="auto"/>
        <w:jc w:val="both"/>
        <w:rPr>
          <w:rFonts w:ascii="Arial" w:hAnsi="Arial"/>
        </w:rPr>
      </w:pPr>
      <w:r w:rsidRPr="00B612CC">
        <w:rPr>
          <w:rFonts w:ascii="Arial" w:hAnsi="Arial"/>
          <w:u w:val="single"/>
        </w:rPr>
        <w:t>Public Health (EC 1)</w:t>
      </w:r>
      <w:r w:rsidRPr="00B612CC">
        <w:rPr>
          <w:rFonts w:ascii="Arial" w:hAnsi="Arial"/>
        </w:rPr>
        <w:t>: As relevant, describe how funds are being used to respond to COVID-19</w:t>
      </w:r>
      <w:r>
        <w:rPr>
          <w:rFonts w:ascii="Arial" w:hAnsi="Arial" w:cs="Arial"/>
        </w:rPr>
        <w:t>,</w:t>
      </w:r>
      <w:r w:rsidRPr="00B612CC">
        <w:rPr>
          <w:rFonts w:ascii="Arial" w:hAnsi="Arial"/>
        </w:rPr>
        <w:t xml:space="preserve"> the broader health impacts of COVID-19</w:t>
      </w:r>
      <w:r>
        <w:rPr>
          <w:rFonts w:ascii="Arial" w:hAnsi="Arial" w:cs="Arial"/>
        </w:rPr>
        <w:t>,</w:t>
      </w:r>
      <w:r w:rsidRPr="00B612CC">
        <w:rPr>
          <w:rFonts w:ascii="Arial" w:hAnsi="Arial"/>
        </w:rPr>
        <w:t xml:space="preserve"> and the COVID-19 public health emergency</w:t>
      </w:r>
      <w:r w:rsidRPr="00E95275">
        <w:rPr>
          <w:rFonts w:ascii="Arial" w:hAnsi="Arial" w:cs="Arial"/>
        </w:rPr>
        <w:t>, including community violence interventions</w:t>
      </w:r>
      <w:r>
        <w:rPr>
          <w:rFonts w:ascii="Arial" w:hAnsi="Arial" w:cs="Arial"/>
        </w:rPr>
        <w:t xml:space="preserve"> and</w:t>
      </w:r>
      <w:r w:rsidRPr="00E95275">
        <w:rPr>
          <w:rFonts w:ascii="Arial" w:hAnsi="Arial" w:cs="Arial"/>
        </w:rPr>
        <w:t xml:space="preserve"> behavioral health</w:t>
      </w:r>
      <w:r w:rsidRPr="00B612CC">
        <w:rPr>
          <w:rFonts w:ascii="Arial" w:hAnsi="Arial"/>
        </w:rPr>
        <w:t>.</w:t>
      </w:r>
    </w:p>
    <w:p w:rsidR="008D152B" w:rsidRPr="00B612CC" w:rsidP="008D152B" w14:paraId="19F09BF5" w14:textId="608CFF74">
      <w:pPr>
        <w:pStyle w:val="ListParagraph"/>
        <w:numPr>
          <w:ilvl w:val="0"/>
          <w:numId w:val="12"/>
        </w:numPr>
        <w:spacing w:after="0" w:line="240" w:lineRule="auto"/>
        <w:jc w:val="both"/>
        <w:rPr>
          <w:rFonts w:ascii="Arial" w:hAnsi="Arial"/>
        </w:rPr>
      </w:pPr>
      <w:r w:rsidRPr="00B612CC">
        <w:rPr>
          <w:rFonts w:ascii="Arial" w:hAnsi="Arial"/>
          <w:u w:val="single"/>
        </w:rPr>
        <w:t>Negative Economic Impacts (EC 2)</w:t>
      </w:r>
      <w:r w:rsidRPr="00B612CC">
        <w:rPr>
          <w:rFonts w:ascii="Arial" w:hAnsi="Arial"/>
        </w:rPr>
        <w:t xml:space="preserve">: As relevant, describe how funds are being used to respond to negative economic impacts of the COVID-19 public health emergency, including </w:t>
      </w:r>
      <w:r>
        <w:rPr>
          <w:rFonts w:ascii="Arial" w:hAnsi="Arial" w:cs="Arial"/>
        </w:rPr>
        <w:t xml:space="preserve">services </w:t>
      </w:r>
      <w:r w:rsidRPr="00B612CC">
        <w:rPr>
          <w:rFonts w:ascii="Arial" w:hAnsi="Arial"/>
        </w:rPr>
        <w:t xml:space="preserve">to households </w:t>
      </w:r>
      <w:r>
        <w:rPr>
          <w:rFonts w:ascii="Arial" w:hAnsi="Arial" w:cs="Arial"/>
        </w:rPr>
        <w:t xml:space="preserve">(such as affordable housing, job training, </w:t>
      </w:r>
      <w:r w:rsidRPr="00B612CC">
        <w:rPr>
          <w:rFonts w:ascii="Arial" w:hAnsi="Arial"/>
        </w:rPr>
        <w:t xml:space="preserve">and </w:t>
      </w:r>
      <w:r>
        <w:rPr>
          <w:rFonts w:ascii="Arial" w:hAnsi="Arial" w:cs="Arial"/>
        </w:rPr>
        <w:t>childcare)</w:t>
      </w:r>
      <w:r w:rsidRPr="00E95275">
        <w:rPr>
          <w:rFonts w:ascii="Arial" w:hAnsi="Arial" w:cs="Arial"/>
        </w:rPr>
        <w:t xml:space="preserve">, </w:t>
      </w:r>
      <w:r w:rsidRPr="00B612CC">
        <w:rPr>
          <w:rFonts w:ascii="Arial" w:hAnsi="Arial"/>
        </w:rPr>
        <w:t>small businesses</w:t>
      </w:r>
      <w:r w:rsidRPr="00E95275">
        <w:rPr>
          <w:rFonts w:ascii="Arial" w:hAnsi="Arial" w:cs="Arial"/>
        </w:rPr>
        <w:t>, non-profits</w:t>
      </w:r>
      <w:r>
        <w:rPr>
          <w:rFonts w:ascii="Arial" w:hAnsi="Arial" w:cs="Arial"/>
        </w:rPr>
        <w:t>,</w:t>
      </w:r>
      <w:r w:rsidRPr="00E95275">
        <w:rPr>
          <w:rFonts w:ascii="Arial" w:hAnsi="Arial" w:cs="Arial"/>
        </w:rPr>
        <w:t xml:space="preserve"> </w:t>
      </w:r>
      <w:r w:rsidR="004F31CF">
        <w:rPr>
          <w:rFonts w:ascii="Arial" w:hAnsi="Arial" w:cs="Arial"/>
        </w:rPr>
        <w:t xml:space="preserve">and </w:t>
      </w:r>
      <w:r w:rsidRPr="00E95275">
        <w:rPr>
          <w:rFonts w:ascii="Arial" w:hAnsi="Arial" w:cs="Arial"/>
        </w:rPr>
        <w:t>impacted industries</w:t>
      </w:r>
      <w:r w:rsidRPr="00B612CC">
        <w:rPr>
          <w:rFonts w:ascii="Arial" w:hAnsi="Arial"/>
        </w:rPr>
        <w:t>.</w:t>
      </w:r>
    </w:p>
    <w:p w:rsidR="008D152B" w:rsidRPr="00B556C5" w:rsidP="008D152B" w14:paraId="3E9BD401" w14:textId="6D34387F">
      <w:pPr>
        <w:pStyle w:val="ListParagraph"/>
        <w:numPr>
          <w:ilvl w:val="0"/>
          <w:numId w:val="12"/>
        </w:numPr>
        <w:spacing w:after="0" w:line="240" w:lineRule="auto"/>
        <w:jc w:val="both"/>
        <w:rPr>
          <w:rFonts w:ascii="Arial" w:hAnsi="Arial"/>
        </w:rPr>
      </w:pPr>
      <w:r>
        <w:rPr>
          <w:rFonts w:ascii="Arial" w:hAnsi="Arial" w:cs="Arial"/>
          <w:u w:val="single"/>
        </w:rPr>
        <w:t>P</w:t>
      </w:r>
      <w:r w:rsidR="00A25EFC">
        <w:rPr>
          <w:rFonts w:ascii="Arial" w:hAnsi="Arial" w:cs="Arial"/>
          <w:u w:val="single"/>
        </w:rPr>
        <w:t xml:space="preserve">ublic </w:t>
      </w:r>
      <w:r>
        <w:rPr>
          <w:rFonts w:ascii="Arial" w:hAnsi="Arial" w:cs="Arial"/>
          <w:u w:val="single"/>
        </w:rPr>
        <w:t>H</w:t>
      </w:r>
      <w:r w:rsidR="00A25EFC">
        <w:rPr>
          <w:rFonts w:ascii="Arial" w:hAnsi="Arial" w:cs="Arial"/>
          <w:u w:val="single"/>
        </w:rPr>
        <w:t>ealth</w:t>
      </w:r>
      <w:r>
        <w:rPr>
          <w:rFonts w:ascii="Arial" w:hAnsi="Arial" w:cs="Arial"/>
          <w:u w:val="single"/>
        </w:rPr>
        <w:t>-N</w:t>
      </w:r>
      <w:r w:rsidR="00A25EFC">
        <w:rPr>
          <w:rFonts w:ascii="Arial" w:hAnsi="Arial" w:cs="Arial"/>
          <w:u w:val="single"/>
        </w:rPr>
        <w:t xml:space="preserve">egative </w:t>
      </w:r>
      <w:r>
        <w:rPr>
          <w:rFonts w:ascii="Arial" w:hAnsi="Arial" w:cs="Arial"/>
          <w:u w:val="single"/>
        </w:rPr>
        <w:t>E</w:t>
      </w:r>
      <w:r w:rsidR="00A25EFC">
        <w:rPr>
          <w:rFonts w:ascii="Arial" w:hAnsi="Arial" w:cs="Arial"/>
          <w:u w:val="single"/>
        </w:rPr>
        <w:t xml:space="preserve">conomic </w:t>
      </w:r>
      <w:r>
        <w:rPr>
          <w:rFonts w:ascii="Arial" w:hAnsi="Arial" w:cs="Arial"/>
          <w:u w:val="single"/>
        </w:rPr>
        <w:t>I</w:t>
      </w:r>
      <w:r w:rsidR="00A25EFC">
        <w:rPr>
          <w:rFonts w:ascii="Arial" w:hAnsi="Arial" w:cs="Arial"/>
          <w:u w:val="single"/>
        </w:rPr>
        <w:t>mpact</w:t>
      </w:r>
      <w:r>
        <w:rPr>
          <w:rFonts w:ascii="Arial" w:hAnsi="Arial" w:cs="Arial"/>
          <w:u w:val="single"/>
        </w:rPr>
        <w:t xml:space="preserve">: </w:t>
      </w:r>
      <w:r w:rsidRPr="00E95275">
        <w:rPr>
          <w:rFonts w:ascii="Arial" w:hAnsi="Arial" w:cs="Arial"/>
          <w:u w:val="single"/>
        </w:rPr>
        <w:t>Public Sector Capacity</w:t>
      </w:r>
      <w:r w:rsidRPr="00B556C5">
        <w:rPr>
          <w:rFonts w:ascii="Arial" w:hAnsi="Arial"/>
          <w:u w:val="single"/>
        </w:rPr>
        <w:t xml:space="preserve"> (EC 3)</w:t>
      </w:r>
      <w:r w:rsidRPr="00B556C5">
        <w:rPr>
          <w:rFonts w:ascii="Arial" w:hAnsi="Arial"/>
        </w:rPr>
        <w:t xml:space="preserve">: As relevant, describe how funds are being used to </w:t>
      </w:r>
      <w:r>
        <w:rPr>
          <w:rFonts w:ascii="Arial" w:hAnsi="Arial" w:cs="Arial"/>
        </w:rPr>
        <w:t>support</w:t>
      </w:r>
      <w:r w:rsidRPr="00B556C5" w:rsidR="0097473D">
        <w:rPr>
          <w:rFonts w:ascii="Arial" w:hAnsi="Arial"/>
        </w:rPr>
        <w:t xml:space="preserve"> public </w:t>
      </w:r>
      <w:r w:rsidR="0097473D">
        <w:rPr>
          <w:rFonts w:ascii="Arial" w:hAnsi="Arial" w:cs="Arial"/>
        </w:rPr>
        <w:t>sector workforce and capacity, including</w:t>
      </w:r>
      <w:r>
        <w:rPr>
          <w:rFonts w:ascii="Arial" w:hAnsi="Arial" w:cs="Arial"/>
        </w:rPr>
        <w:t xml:space="preserve"> public sector payroll,</w:t>
      </w:r>
      <w:r w:rsidRPr="00E95275">
        <w:rPr>
          <w:rFonts w:ascii="Arial" w:hAnsi="Arial" w:cs="Arial"/>
        </w:rPr>
        <w:t xml:space="preserve"> </w:t>
      </w:r>
      <w:r>
        <w:rPr>
          <w:rFonts w:ascii="Arial" w:hAnsi="Arial" w:cs="Arial"/>
        </w:rPr>
        <w:t>rehir</w:t>
      </w:r>
      <w:r w:rsidR="00205E7C">
        <w:rPr>
          <w:rFonts w:ascii="Arial" w:hAnsi="Arial" w:cs="Arial"/>
        </w:rPr>
        <w:t>ing</w:t>
      </w:r>
      <w:r w:rsidR="00C905AD">
        <w:rPr>
          <w:rFonts w:ascii="Arial" w:hAnsi="Arial" w:cs="Arial"/>
        </w:rPr>
        <w:t xml:space="preserve"> </w:t>
      </w:r>
      <w:r w:rsidR="00205E7C">
        <w:rPr>
          <w:rFonts w:ascii="Arial" w:hAnsi="Arial" w:cs="Arial"/>
        </w:rPr>
        <w:t>of</w:t>
      </w:r>
      <w:r>
        <w:rPr>
          <w:rFonts w:ascii="Arial" w:hAnsi="Arial" w:cs="Arial"/>
        </w:rPr>
        <w:t xml:space="preserve"> </w:t>
      </w:r>
      <w:r w:rsidRPr="00E95275">
        <w:rPr>
          <w:rFonts w:ascii="Arial" w:hAnsi="Arial" w:cs="Arial"/>
        </w:rPr>
        <w:t>public sector worke</w:t>
      </w:r>
      <w:r>
        <w:rPr>
          <w:rFonts w:ascii="Arial" w:hAnsi="Arial" w:cs="Arial"/>
        </w:rPr>
        <w:t>rs, and build</w:t>
      </w:r>
      <w:r w:rsidR="00205E7C">
        <w:rPr>
          <w:rFonts w:ascii="Arial" w:hAnsi="Arial" w:cs="Arial"/>
        </w:rPr>
        <w:t>ing of</w:t>
      </w:r>
      <w:r>
        <w:rPr>
          <w:rFonts w:ascii="Arial" w:hAnsi="Arial" w:cs="Arial"/>
        </w:rPr>
        <w:t xml:space="preserve"> public sector capacity</w:t>
      </w:r>
      <w:r w:rsidRPr="00B556C5">
        <w:rPr>
          <w:rFonts w:ascii="Arial" w:hAnsi="Arial"/>
        </w:rPr>
        <w:t xml:space="preserve">. </w:t>
      </w:r>
    </w:p>
    <w:p w:rsidR="008D152B" w:rsidRPr="00B556C5" w:rsidP="008D152B" w14:paraId="7B210792" w14:textId="07685088">
      <w:pPr>
        <w:pStyle w:val="ListParagraph"/>
        <w:numPr>
          <w:ilvl w:val="0"/>
          <w:numId w:val="12"/>
        </w:numPr>
        <w:spacing w:after="0" w:line="240" w:lineRule="auto"/>
        <w:jc w:val="both"/>
        <w:rPr>
          <w:rFonts w:ascii="Arial" w:hAnsi="Arial"/>
        </w:rPr>
      </w:pPr>
      <w:r w:rsidRPr="00B556C5">
        <w:rPr>
          <w:rFonts w:ascii="Arial" w:hAnsi="Arial"/>
          <w:u w:val="single"/>
        </w:rPr>
        <w:t>Premium Pay (EC 4)</w:t>
      </w:r>
      <w:r w:rsidRPr="00B556C5">
        <w:rPr>
          <w:rFonts w:ascii="Arial" w:hAnsi="Arial"/>
        </w:rPr>
        <w:t xml:space="preserve">: As relevant, describe the approach, goals, and sectors or occupations served in any premium pay program. Describe how </w:t>
      </w:r>
      <w:r>
        <w:rPr>
          <w:rFonts w:ascii="Arial" w:hAnsi="Arial" w:cs="Arial"/>
        </w:rPr>
        <w:t>the</w:t>
      </w:r>
      <w:r w:rsidRPr="00B556C5">
        <w:rPr>
          <w:rFonts w:ascii="Arial" w:hAnsi="Arial"/>
        </w:rPr>
        <w:t xml:space="preserve"> approach prioritizes low-income</w:t>
      </w:r>
      <w:r>
        <w:rPr>
          <w:rFonts w:ascii="Arial" w:hAnsi="Arial" w:cs="Arial"/>
        </w:rPr>
        <w:t xml:space="preserve"> </w:t>
      </w:r>
      <w:r w:rsidR="0097473D">
        <w:rPr>
          <w:rFonts w:ascii="Arial" w:hAnsi="Arial" w:cs="Arial"/>
        </w:rPr>
        <w:t xml:space="preserve">workers </w:t>
      </w:r>
      <w:r>
        <w:rPr>
          <w:rFonts w:ascii="Arial" w:hAnsi="Arial" w:cs="Arial"/>
        </w:rPr>
        <w:t>and</w:t>
      </w:r>
      <w:r w:rsidR="0097473D">
        <w:rPr>
          <w:rFonts w:ascii="Arial" w:hAnsi="Arial" w:cs="Arial"/>
        </w:rPr>
        <w:t xml:space="preserve">/or any </w:t>
      </w:r>
      <w:r w:rsidR="0097473D">
        <w:rPr>
          <w:rFonts w:ascii="Arial" w:hAnsi="Arial" w:cs="Arial"/>
        </w:rPr>
        <w:t>particular group</w:t>
      </w:r>
      <w:r w:rsidR="0097473D">
        <w:rPr>
          <w:rFonts w:ascii="Arial" w:hAnsi="Arial" w:cs="Arial"/>
        </w:rPr>
        <w:t xml:space="preserve"> of</w:t>
      </w:r>
      <w:r>
        <w:rPr>
          <w:rFonts w:ascii="Arial" w:hAnsi="Arial" w:cs="Arial"/>
        </w:rPr>
        <w:t xml:space="preserve"> eligible</w:t>
      </w:r>
      <w:r w:rsidRPr="00B556C5">
        <w:rPr>
          <w:rFonts w:ascii="Arial" w:hAnsi="Arial"/>
        </w:rPr>
        <w:t xml:space="preserve"> workers.</w:t>
      </w:r>
      <w:r w:rsidRPr="00B556C5">
        <w:rPr>
          <w:rFonts w:ascii="Arial" w:hAnsi="Arial"/>
          <w:i/>
        </w:rPr>
        <w:t xml:space="preserve"> </w:t>
      </w:r>
    </w:p>
    <w:p w:rsidR="008D152B" w:rsidRPr="00B556C5" w:rsidP="008D152B" w14:paraId="3D2C6ABE" w14:textId="65C82540">
      <w:pPr>
        <w:pStyle w:val="ListParagraph"/>
        <w:numPr>
          <w:ilvl w:val="0"/>
          <w:numId w:val="12"/>
        </w:numPr>
        <w:spacing w:after="0" w:line="240" w:lineRule="auto"/>
        <w:jc w:val="both"/>
        <w:rPr>
          <w:rFonts w:ascii="Arial" w:hAnsi="Arial"/>
        </w:rPr>
      </w:pPr>
      <w:r w:rsidRPr="00B556C5">
        <w:rPr>
          <w:rFonts w:ascii="Arial" w:hAnsi="Arial"/>
          <w:u w:val="single"/>
        </w:rPr>
        <w:t>Water, sewer, and broadband infrastructure (EC 5)</w:t>
      </w:r>
      <w:r w:rsidRPr="00B556C5">
        <w:rPr>
          <w:rFonts w:ascii="Arial" w:hAnsi="Arial"/>
        </w:rPr>
        <w:t xml:space="preserve">:  </w:t>
      </w:r>
      <w:r>
        <w:rPr>
          <w:rFonts w:ascii="Arial" w:hAnsi="Arial" w:cs="Arial"/>
        </w:rPr>
        <w:t>As relevant, d</w:t>
      </w:r>
      <w:r w:rsidRPr="00E95275">
        <w:rPr>
          <w:rFonts w:ascii="Arial" w:hAnsi="Arial" w:cs="Arial"/>
        </w:rPr>
        <w:t>escribe</w:t>
      </w:r>
      <w:r w:rsidRPr="00B556C5">
        <w:rPr>
          <w:rFonts w:ascii="Arial" w:hAnsi="Arial"/>
        </w:rPr>
        <w:t xml:space="preserve"> the approach, goals, and types of projects being pursued</w:t>
      </w:r>
      <w:r w:rsidRPr="00E95275">
        <w:rPr>
          <w:rFonts w:ascii="Arial" w:hAnsi="Arial" w:cs="Arial"/>
        </w:rPr>
        <w:t xml:space="preserve">. </w:t>
      </w:r>
      <w:r>
        <w:rPr>
          <w:rFonts w:ascii="Arial" w:eastAsia="Arial" w:hAnsi="Arial" w:cs="Arial"/>
        </w:rPr>
        <w:t xml:space="preserve">Where relevant, recipients should note </w:t>
      </w:r>
      <w:r w:rsidRPr="00E95275">
        <w:rPr>
          <w:rFonts w:ascii="Arial" w:eastAsia="Arial" w:hAnsi="Arial" w:cs="Arial"/>
        </w:rPr>
        <w:t>how project</w:t>
      </w:r>
      <w:r>
        <w:rPr>
          <w:rFonts w:ascii="Arial" w:eastAsia="Arial" w:hAnsi="Arial" w:cs="Arial"/>
        </w:rPr>
        <w:t>s</w:t>
      </w:r>
      <w:r w:rsidRPr="00E95275">
        <w:rPr>
          <w:rFonts w:ascii="Arial" w:eastAsia="Arial" w:hAnsi="Arial" w:cs="Arial"/>
        </w:rPr>
        <w:t xml:space="preserve"> </w:t>
      </w:r>
      <w:r w:rsidRPr="00E95275">
        <w:rPr>
          <w:rFonts w:ascii="Arial" w:eastAsia="Arial" w:hAnsi="Arial" w:cs="Arial"/>
        </w:rPr>
        <w:t>contribute to addressing climate change</w:t>
      </w:r>
      <w:r>
        <w:rPr>
          <w:rFonts w:ascii="Arial" w:eastAsia="Arial" w:hAnsi="Arial" w:cs="Arial"/>
        </w:rPr>
        <w:t xml:space="preserve"> and/or how projects benefit disadvantaged communities in line with </w:t>
      </w:r>
      <w:r w:rsidRPr="00C84A57">
        <w:rPr>
          <w:rFonts w:ascii="Arial" w:eastAsia="Arial" w:hAnsi="Arial" w:cs="Arial"/>
        </w:rPr>
        <w:t>the Justice40 Initiative</w:t>
      </w:r>
      <w:r>
        <w:rPr>
          <w:rFonts w:ascii="Arial" w:eastAsia="Arial" w:hAnsi="Arial" w:cs="Arial"/>
        </w:rPr>
        <w:t>.</w:t>
      </w:r>
      <w:r>
        <w:rPr>
          <w:rStyle w:val="FootnoteReference"/>
          <w:rFonts w:ascii="Arial" w:eastAsia="Arial" w:hAnsi="Arial" w:cs="Arial"/>
        </w:rPr>
        <w:footnoteReference w:id="23"/>
      </w:r>
    </w:p>
    <w:p w:rsidR="008D152B" w:rsidRPr="00B556C5" w:rsidP="008D152B" w14:paraId="6C07DADB" w14:textId="4A49FA84">
      <w:pPr>
        <w:pStyle w:val="ListParagraph"/>
        <w:numPr>
          <w:ilvl w:val="0"/>
          <w:numId w:val="12"/>
        </w:numPr>
        <w:spacing w:after="0" w:line="240" w:lineRule="auto"/>
        <w:jc w:val="both"/>
        <w:rPr>
          <w:rFonts w:ascii="Arial" w:hAnsi="Arial"/>
        </w:rPr>
      </w:pPr>
      <w:r w:rsidRPr="00B556C5">
        <w:rPr>
          <w:rFonts w:ascii="Arial" w:hAnsi="Arial"/>
          <w:u w:val="single"/>
        </w:rPr>
        <w:t>Revenue Replacement (EC 6)</w:t>
      </w:r>
      <w:r w:rsidRPr="00B556C5">
        <w:rPr>
          <w:rFonts w:ascii="Arial" w:hAnsi="Arial"/>
        </w:rPr>
        <w:t>: Describe the loss in revenue</w:t>
      </w:r>
      <w:r>
        <w:rPr>
          <w:rFonts w:ascii="Arial" w:hAnsi="Arial" w:cs="Arial"/>
        </w:rPr>
        <w:t>, including if electing the standard allowance,</w:t>
      </w:r>
      <w:r w:rsidRPr="00B556C5">
        <w:rPr>
          <w:rFonts w:ascii="Arial" w:hAnsi="Arial"/>
        </w:rPr>
        <w:t xml:space="preserve"> due to the COVID-19 public health emergency</w:t>
      </w:r>
      <w:r w:rsidR="00205E7C">
        <w:rPr>
          <w:rFonts w:ascii="Arial" w:hAnsi="Arial" w:cs="Arial"/>
        </w:rPr>
        <w:t>,</w:t>
      </w:r>
      <w:r w:rsidRPr="00B556C5">
        <w:rPr>
          <w:rFonts w:ascii="Arial" w:hAnsi="Arial"/>
        </w:rPr>
        <w:t xml:space="preserve"> and how funds have been used to provide government services</w:t>
      </w:r>
      <w:r>
        <w:rPr>
          <w:rFonts w:ascii="Arial" w:hAnsi="Arial" w:cs="Arial"/>
        </w:rPr>
        <w:t>, including any funds used under revenue loss for non-federal cost-share or matching requirements of other federal programs</w:t>
      </w:r>
      <w:r w:rsidRPr="00E95275">
        <w:rPr>
          <w:rFonts w:ascii="Arial" w:hAnsi="Arial" w:cs="Arial"/>
        </w:rPr>
        <w:t xml:space="preserve">. </w:t>
      </w:r>
    </w:p>
    <w:p w:rsidR="008D152B" w:rsidRPr="00B556C5" w:rsidP="008D152B" w14:paraId="0463E99D" w14:textId="77777777">
      <w:pPr>
        <w:pStyle w:val="ListParagraph"/>
        <w:spacing w:after="0" w:line="240" w:lineRule="auto"/>
        <w:ind w:left="360"/>
        <w:jc w:val="both"/>
        <w:rPr>
          <w:rFonts w:ascii="Arial" w:hAnsi="Arial"/>
        </w:rPr>
      </w:pPr>
      <w:r w:rsidRPr="00B556C5">
        <w:rPr>
          <w:rFonts w:ascii="Arial" w:hAnsi="Arial"/>
        </w:rPr>
        <w:t xml:space="preserve"> </w:t>
      </w:r>
    </w:p>
    <w:p w:rsidR="008D152B" w:rsidRPr="00B556C5" w:rsidP="008D152B" w14:paraId="0805EECD" w14:textId="67CF66C4">
      <w:pPr>
        <w:spacing w:after="0" w:line="240" w:lineRule="auto"/>
        <w:jc w:val="both"/>
        <w:rPr>
          <w:rFonts w:ascii="Arial" w:hAnsi="Arial"/>
          <w:b/>
        </w:rPr>
      </w:pPr>
      <w:r>
        <w:rPr>
          <w:rFonts w:ascii="Arial" w:eastAsia="Arial" w:hAnsi="Arial" w:cs="Arial"/>
        </w:rPr>
        <w:t>If</w:t>
      </w:r>
      <w:r w:rsidRPr="00E95275">
        <w:rPr>
          <w:rFonts w:ascii="Arial" w:eastAsia="Arial" w:hAnsi="Arial" w:cs="Arial"/>
        </w:rPr>
        <w:t xml:space="preserve"> appropriate, recipients </w:t>
      </w:r>
      <w:r>
        <w:rPr>
          <w:rFonts w:ascii="Arial" w:eastAsia="Arial" w:hAnsi="Arial" w:cs="Arial"/>
        </w:rPr>
        <w:t>may</w:t>
      </w:r>
      <w:r w:rsidRPr="00E95275">
        <w:rPr>
          <w:rFonts w:ascii="Arial" w:eastAsia="Arial" w:hAnsi="Arial" w:cs="Arial"/>
        </w:rPr>
        <w:t xml:space="preserve"> also include information on </w:t>
      </w:r>
      <w:r>
        <w:rPr>
          <w:rFonts w:ascii="Arial" w:eastAsia="Arial" w:hAnsi="Arial" w:cs="Arial"/>
        </w:rPr>
        <w:t>thei</w:t>
      </w:r>
      <w:r w:rsidRPr="00E95275">
        <w:rPr>
          <w:rFonts w:ascii="Arial" w:eastAsia="Arial" w:hAnsi="Arial" w:cs="Arial"/>
        </w:rPr>
        <w:t>r jurisdiction’s use (or planned use) of other federal recovery funds</w:t>
      </w:r>
      <w:r w:rsidR="00205E7C">
        <w:rPr>
          <w:rFonts w:ascii="Arial" w:eastAsia="Arial" w:hAnsi="Arial" w:cs="Arial"/>
        </w:rPr>
        <w:t>,</w:t>
      </w:r>
      <w:r w:rsidRPr="00E95275">
        <w:rPr>
          <w:rFonts w:ascii="Arial" w:eastAsia="Arial" w:hAnsi="Arial" w:cs="Arial"/>
        </w:rPr>
        <w:t xml:space="preserve"> including other programs under the American Rescue Plan such as Emergency Rental Assistance, </w:t>
      </w:r>
      <w:r w:rsidR="00205E7C">
        <w:rPr>
          <w:rFonts w:ascii="Arial" w:eastAsia="Arial" w:hAnsi="Arial" w:cs="Arial"/>
        </w:rPr>
        <w:t xml:space="preserve">the </w:t>
      </w:r>
      <w:r w:rsidRPr="00E95275">
        <w:rPr>
          <w:rFonts w:ascii="Arial" w:eastAsia="Arial" w:hAnsi="Arial" w:cs="Arial"/>
        </w:rPr>
        <w:t>Ho</w:t>
      </w:r>
      <w:r>
        <w:rPr>
          <w:rFonts w:ascii="Arial" w:eastAsia="Arial" w:hAnsi="Arial" w:cs="Arial"/>
        </w:rPr>
        <w:t>meowner</w:t>
      </w:r>
      <w:r w:rsidRPr="00E95275">
        <w:rPr>
          <w:rFonts w:ascii="Arial" w:eastAsia="Arial" w:hAnsi="Arial" w:cs="Arial"/>
        </w:rPr>
        <w:t xml:space="preserve"> Assistance Fund, </w:t>
      </w:r>
      <w:r w:rsidR="00205E7C">
        <w:rPr>
          <w:rFonts w:ascii="Arial" w:eastAsia="Arial" w:hAnsi="Arial" w:cs="Arial"/>
        </w:rPr>
        <w:t xml:space="preserve">the </w:t>
      </w:r>
      <w:r w:rsidRPr="00E95275">
        <w:rPr>
          <w:rFonts w:ascii="Arial" w:eastAsia="Arial" w:hAnsi="Arial" w:cs="Arial"/>
        </w:rPr>
        <w:t xml:space="preserve">Capital Projects Fund, </w:t>
      </w:r>
      <w:r w:rsidR="00205E7C">
        <w:rPr>
          <w:rFonts w:ascii="Arial" w:eastAsia="Arial" w:hAnsi="Arial" w:cs="Arial"/>
        </w:rPr>
        <w:t xml:space="preserve">the </w:t>
      </w:r>
      <w:r>
        <w:rPr>
          <w:rFonts w:ascii="Arial" w:eastAsia="Arial" w:hAnsi="Arial" w:cs="Arial"/>
        </w:rPr>
        <w:t xml:space="preserve">State Small Business Credit Initiative, </w:t>
      </w:r>
      <w:r w:rsidRPr="00E95275">
        <w:rPr>
          <w:rFonts w:ascii="Arial" w:eastAsia="Arial" w:hAnsi="Arial" w:cs="Arial"/>
        </w:rPr>
        <w:t>and so forth, to provide broader context on the overall approach for pandemic recovery.</w:t>
      </w:r>
      <w:r w:rsidRPr="00B556C5">
        <w:rPr>
          <w:rFonts w:ascii="Arial" w:hAnsi="Arial"/>
        </w:rPr>
        <w:t xml:space="preserve"> </w:t>
      </w:r>
      <w:r>
        <w:rPr>
          <w:rFonts w:ascii="Arial" w:hAnsi="Arial" w:cs="Arial"/>
        </w:rPr>
        <w:t>Jurisdictions may also address use of SLFRF funds in coordination with, or in preparation for, funding available through the Infrastructure Investment and Jobs Act.</w:t>
      </w:r>
    </w:p>
    <w:p w:rsidR="008D152B" w:rsidRPr="00B556C5" w:rsidP="008D152B" w14:paraId="66A6DBE1" w14:textId="77777777">
      <w:pPr>
        <w:spacing w:after="0" w:line="240" w:lineRule="auto"/>
        <w:jc w:val="both"/>
        <w:rPr>
          <w:rFonts w:ascii="Arial" w:hAnsi="Arial"/>
          <w:b/>
        </w:rPr>
      </w:pPr>
    </w:p>
    <w:p w:rsidR="008D152B" w:rsidRPr="00B556C5" w:rsidP="00CE5331" w14:paraId="2A4E236D" w14:textId="5389F0B7">
      <w:pPr>
        <w:pStyle w:val="ListParagraph"/>
        <w:numPr>
          <w:ilvl w:val="0"/>
          <w:numId w:val="39"/>
        </w:numPr>
        <w:spacing w:after="0" w:line="240" w:lineRule="auto"/>
        <w:jc w:val="both"/>
        <w:rPr>
          <w:rFonts w:ascii="Arial" w:hAnsi="Arial"/>
          <w:b/>
        </w:rPr>
      </w:pPr>
      <w:r w:rsidRPr="00B556C5">
        <w:rPr>
          <w:rFonts w:ascii="Arial" w:hAnsi="Arial"/>
          <w:b/>
        </w:rPr>
        <w:t>Promoting equitable outcomes</w:t>
      </w:r>
    </w:p>
    <w:p w:rsidR="008D152B" w:rsidRPr="0041140A" w:rsidP="00B556C5" w14:paraId="12B1DA87" w14:textId="2C7C87F9">
      <w:pPr>
        <w:pStyle w:val="ListParagraph"/>
        <w:spacing w:after="0" w:line="240" w:lineRule="auto"/>
        <w:ind w:left="0"/>
        <w:jc w:val="both"/>
        <w:rPr>
          <w:rFonts w:ascii="Arial" w:hAnsi="Arial"/>
        </w:rPr>
      </w:pPr>
      <w:bookmarkStart w:id="15" w:name="_Hlk101790799"/>
    </w:p>
    <w:bookmarkEnd w:id="15"/>
    <w:p w:rsidR="00F610CF" w:rsidP="008D152B" w14:paraId="17A69FEB" w14:textId="025BB8B9">
      <w:pPr>
        <w:pStyle w:val="ListParagraph"/>
        <w:spacing w:after="0" w:line="240" w:lineRule="auto"/>
        <w:ind w:left="0"/>
        <w:jc w:val="both"/>
        <w:rPr>
          <w:rFonts w:ascii="Arial" w:hAnsi="Arial" w:cs="Arial"/>
        </w:rPr>
      </w:pPr>
      <w:r w:rsidRPr="00E95275">
        <w:rPr>
          <w:rFonts w:ascii="Arial" w:hAnsi="Arial" w:eastAsiaTheme="minorEastAsia" w:cs="Arial"/>
        </w:rPr>
        <w:t xml:space="preserve">Treasury encourages uses of funds that </w:t>
      </w:r>
      <w:r>
        <w:rPr>
          <w:rFonts w:ascii="Arial" w:hAnsi="Arial" w:eastAsiaTheme="minorEastAsia" w:cs="Arial"/>
        </w:rPr>
        <w:t xml:space="preserve">advance </w:t>
      </w:r>
      <w:r w:rsidRPr="00E95275">
        <w:rPr>
          <w:rFonts w:ascii="Arial" w:hAnsi="Arial" w:eastAsiaTheme="minorEastAsia" w:cs="Arial"/>
        </w:rPr>
        <w:t xml:space="preserve">strong, equitable growth, including </w:t>
      </w:r>
      <w:r>
        <w:rPr>
          <w:rFonts w:ascii="Arial" w:hAnsi="Arial" w:eastAsiaTheme="minorEastAsia" w:cs="Arial"/>
        </w:rPr>
        <w:t xml:space="preserve">economic and </w:t>
      </w:r>
      <w:r w:rsidRPr="00E95275">
        <w:rPr>
          <w:rFonts w:ascii="Arial" w:hAnsi="Arial" w:eastAsiaTheme="minorEastAsia" w:cs="Arial"/>
        </w:rPr>
        <w:t>racial equity.</w:t>
      </w:r>
      <w:r>
        <w:rPr>
          <w:rFonts w:ascii="Arial" w:hAnsi="Arial" w:eastAsiaTheme="minorEastAsia" w:cs="Arial"/>
        </w:rPr>
        <w:t xml:space="preserve"> </w:t>
      </w:r>
      <w:r w:rsidRPr="00E95275">
        <w:rPr>
          <w:rFonts w:ascii="Arial" w:hAnsi="Arial" w:cs="Arial"/>
        </w:rPr>
        <w:t xml:space="preserve">For the purposes of the SLFRF, equity is described in the </w:t>
      </w:r>
      <w:r>
        <w:fldChar w:fldCharType="begin"/>
      </w:r>
      <w:r w:rsidRPr="00E95275">
        <w:rPr>
          <w:rStyle w:val="Hyperlink"/>
          <w:rFonts w:ascii="Arial" w:hAnsi="Arial" w:cs="Arial"/>
        </w:rPr>
        <w:instrText xml:space="preserve"> HYPERLINK "https://www.whitehouse.gov/briefing-room/presidential-actions/2021/01/20/executive-order-advancing-racial-equity-and-support-for-underserved-communities-through-the-federal-government/"  \h </w:instrText>
      </w:r>
      <w:r>
        <w:fldChar w:fldCharType="separate"/>
      </w:r>
      <w:r w:rsidRPr="00E95275">
        <w:rPr>
          <w:rStyle w:val="Hyperlink"/>
          <w:rFonts w:ascii="Arial" w:hAnsi="Arial" w:cs="Arial"/>
        </w:rPr>
        <w:t>Executive Order 13985 On Advancing Racial Equity and Support for Underserved Communities Through the Federal Government</w:t>
      </w:r>
      <w:r>
        <w:fldChar w:fldCharType="end"/>
      </w:r>
      <w:r w:rsidRPr="00E95275">
        <w:rPr>
          <w:rFonts w:ascii="Arial" w:hAnsi="Arial" w:cs="Arial"/>
        </w:rPr>
        <w:t xml:space="preserve">, as issued on January 20, 2021.  </w:t>
      </w:r>
    </w:p>
    <w:p w:rsidR="00F610CF" w:rsidP="008D152B" w14:paraId="4ECC2C66" w14:textId="77777777">
      <w:pPr>
        <w:pStyle w:val="ListParagraph"/>
        <w:spacing w:after="0" w:line="240" w:lineRule="auto"/>
        <w:ind w:left="0"/>
        <w:jc w:val="both"/>
        <w:rPr>
          <w:rFonts w:ascii="Arial" w:hAnsi="Arial" w:cs="Arial"/>
        </w:rPr>
      </w:pPr>
    </w:p>
    <w:p w:rsidR="008D152B" w:rsidP="008D152B" w14:paraId="7A776631" w14:textId="5F8F0F8C">
      <w:pPr>
        <w:pStyle w:val="ListParagraph"/>
        <w:spacing w:after="0" w:line="240" w:lineRule="auto"/>
        <w:ind w:left="0"/>
        <w:jc w:val="both"/>
        <w:rPr>
          <w:rFonts w:ascii="Arial" w:hAnsi="Arial" w:cs="Arial"/>
        </w:rPr>
      </w:pPr>
      <w:r>
        <w:rPr>
          <w:rFonts w:ascii="Arial" w:hAnsi="Arial" w:cs="Arial"/>
        </w:rPr>
        <w:t>In this section, recipients should describe</w:t>
      </w:r>
      <w:r w:rsidR="00F1660E">
        <w:rPr>
          <w:rFonts w:ascii="Arial" w:hAnsi="Arial" w:cs="Arial"/>
        </w:rPr>
        <w:t>, as applicable,</w:t>
      </w:r>
      <w:r>
        <w:rPr>
          <w:rFonts w:ascii="Arial" w:hAnsi="Arial" w:cs="Arial"/>
        </w:rPr>
        <w:t xml:space="preserve"> their</w:t>
      </w:r>
      <w:r w:rsidRPr="0041140A">
        <w:rPr>
          <w:rFonts w:ascii="Arial" w:hAnsi="Arial"/>
        </w:rPr>
        <w:t xml:space="preserve"> efforts to promote equitable outcomes, including </w:t>
      </w:r>
      <w:r>
        <w:rPr>
          <w:rFonts w:ascii="Arial" w:hAnsi="Arial" w:cs="Arial"/>
        </w:rPr>
        <w:t xml:space="preserve">economic and racial equity, and </w:t>
      </w:r>
      <w:r w:rsidR="00A12DA5">
        <w:rPr>
          <w:rFonts w:ascii="Arial" w:hAnsi="Arial" w:cs="Arial"/>
        </w:rPr>
        <w:t>their efforts</w:t>
      </w:r>
      <w:r>
        <w:rPr>
          <w:rFonts w:ascii="Arial" w:hAnsi="Arial" w:cs="Arial"/>
        </w:rPr>
        <w:t xml:space="preserve"> </w:t>
      </w:r>
      <w:r w:rsidR="00A12DA5">
        <w:rPr>
          <w:rFonts w:ascii="Arial" w:hAnsi="Arial" w:cs="Arial"/>
        </w:rPr>
        <w:t>to</w:t>
      </w:r>
      <w:r w:rsidRPr="00E95275">
        <w:rPr>
          <w:rFonts w:ascii="Arial" w:hAnsi="Arial" w:cs="Arial"/>
        </w:rPr>
        <w:t xml:space="preserve"> design</w:t>
      </w:r>
      <w:r>
        <w:rPr>
          <w:rFonts w:ascii="Arial" w:hAnsi="Arial" w:cs="Arial"/>
        </w:rPr>
        <w:t>, implement, and measure</w:t>
      </w:r>
      <w:r w:rsidR="00A12DA5">
        <w:rPr>
          <w:rFonts w:ascii="Arial" w:hAnsi="Arial" w:cs="Arial"/>
        </w:rPr>
        <w:t xml:space="preserve"> their SLFRF</w:t>
      </w:r>
      <w:r w:rsidRPr="00E95275" w:rsidR="00A12DA5">
        <w:rPr>
          <w:rFonts w:ascii="Arial" w:hAnsi="Arial" w:cs="Arial"/>
        </w:rPr>
        <w:t xml:space="preserve"> program</w:t>
      </w:r>
      <w:r w:rsidR="00A12DA5">
        <w:rPr>
          <w:rFonts w:ascii="Arial" w:hAnsi="Arial" w:cs="Arial"/>
        </w:rPr>
        <w:t xml:space="preserve"> and projects</w:t>
      </w:r>
      <w:r w:rsidRPr="00866ECF" w:rsidR="00A12DA5">
        <w:rPr>
          <w:rFonts w:ascii="Arial" w:hAnsi="Arial"/>
        </w:rPr>
        <w:t xml:space="preserve"> </w:t>
      </w:r>
      <w:r w:rsidRPr="00866ECF">
        <w:rPr>
          <w:rFonts w:ascii="Arial" w:hAnsi="Arial"/>
        </w:rPr>
        <w:t xml:space="preserve">with equity in mind. </w:t>
      </w:r>
    </w:p>
    <w:p w:rsidR="008D152B" w:rsidP="008D152B" w14:paraId="51986B8C" w14:textId="77777777">
      <w:pPr>
        <w:pStyle w:val="ListParagraph"/>
        <w:spacing w:after="0" w:line="240" w:lineRule="auto"/>
        <w:ind w:left="0"/>
        <w:jc w:val="both"/>
        <w:rPr>
          <w:rFonts w:ascii="Arial" w:hAnsi="Arial" w:cs="Arial"/>
        </w:rPr>
      </w:pPr>
    </w:p>
    <w:p w:rsidR="008D152B" w:rsidRPr="00866ECF" w:rsidP="008D152B" w14:paraId="5F62BC8A" w14:textId="538E8158">
      <w:pPr>
        <w:pStyle w:val="ListParagraph"/>
        <w:spacing w:after="0" w:line="240" w:lineRule="auto"/>
        <w:ind w:left="0"/>
        <w:jc w:val="both"/>
        <w:rPr>
          <w:rFonts w:ascii="Arial" w:hAnsi="Arial"/>
          <w:b/>
        </w:rPr>
      </w:pPr>
      <w:r>
        <w:rPr>
          <w:rFonts w:ascii="Arial" w:hAnsi="Arial" w:cs="Arial"/>
        </w:rPr>
        <w:t xml:space="preserve">In describing </w:t>
      </w:r>
      <w:r w:rsidR="00A12DA5">
        <w:rPr>
          <w:rFonts w:ascii="Arial" w:hAnsi="Arial" w:cs="Arial"/>
        </w:rPr>
        <w:t xml:space="preserve">their efforts to </w:t>
      </w:r>
      <w:r w:rsidRPr="00400C77">
        <w:rPr>
          <w:rFonts w:ascii="Arial" w:hAnsi="Arial" w:cs="Arial"/>
          <w:b/>
          <w:bCs/>
        </w:rPr>
        <w:t>design</w:t>
      </w:r>
      <w:r w:rsidR="00A12DA5">
        <w:rPr>
          <w:rFonts w:ascii="Arial" w:hAnsi="Arial" w:cs="Arial"/>
          <w:b/>
          <w:bCs/>
        </w:rPr>
        <w:t xml:space="preserve"> </w:t>
      </w:r>
      <w:r w:rsidR="00A12DA5">
        <w:rPr>
          <w:rFonts w:ascii="Arial" w:hAnsi="Arial" w:cs="Arial"/>
        </w:rPr>
        <w:t>their SLFRF program and projects</w:t>
      </w:r>
      <w:r>
        <w:rPr>
          <w:rFonts w:ascii="Arial" w:hAnsi="Arial" w:cs="Arial"/>
        </w:rPr>
        <w:t xml:space="preserve"> with equity in mind, recipients </w:t>
      </w:r>
      <w:r w:rsidR="00A12DA5">
        <w:rPr>
          <w:rFonts w:ascii="Arial" w:hAnsi="Arial" w:cs="Arial"/>
        </w:rPr>
        <w:t>may</w:t>
      </w:r>
      <w:r w:rsidRPr="00866ECF" w:rsidR="00A12DA5">
        <w:rPr>
          <w:rFonts w:ascii="Arial" w:hAnsi="Arial"/>
        </w:rPr>
        <w:t xml:space="preserve"> </w:t>
      </w:r>
      <w:r w:rsidRPr="00866ECF">
        <w:rPr>
          <w:rFonts w:ascii="Arial" w:hAnsi="Arial"/>
        </w:rPr>
        <w:t xml:space="preserve">consider </w:t>
      </w:r>
      <w:r>
        <w:rPr>
          <w:rFonts w:ascii="Arial" w:hAnsi="Arial" w:cs="Arial"/>
        </w:rPr>
        <w:t>the following</w:t>
      </w:r>
      <w:r w:rsidRPr="00866ECF">
        <w:rPr>
          <w:rFonts w:ascii="Arial" w:hAnsi="Arial"/>
        </w:rPr>
        <w:t xml:space="preserve">: </w:t>
      </w:r>
    </w:p>
    <w:p w:rsidR="008D152B" w:rsidRPr="00866ECF" w:rsidP="008D152B" w14:paraId="69E7DC70" w14:textId="6076409A">
      <w:pPr>
        <w:pStyle w:val="ListParagraph"/>
        <w:numPr>
          <w:ilvl w:val="0"/>
          <w:numId w:val="7"/>
        </w:numPr>
        <w:spacing w:after="0" w:line="240" w:lineRule="auto"/>
        <w:jc w:val="both"/>
        <w:rPr>
          <w:rFonts w:ascii="Arial" w:hAnsi="Arial"/>
        </w:rPr>
      </w:pPr>
      <w:r w:rsidRPr="00866ECF">
        <w:rPr>
          <w:rFonts w:ascii="Arial" w:hAnsi="Arial"/>
          <w:u w:val="single"/>
        </w:rPr>
        <w:t>Goals</w:t>
      </w:r>
      <w:r w:rsidRPr="00866ECF">
        <w:rPr>
          <w:rFonts w:ascii="Arial" w:hAnsi="Arial"/>
        </w:rPr>
        <w:t xml:space="preserve">: Are there particular historically underserved, marginalized, or adversely affected groups that </w:t>
      </w:r>
      <w:r w:rsidR="00C905AD">
        <w:rPr>
          <w:rFonts w:ascii="Arial" w:hAnsi="Arial" w:cs="Arial"/>
        </w:rPr>
        <w:t>recipients</w:t>
      </w:r>
      <w:r w:rsidRPr="00866ECF">
        <w:rPr>
          <w:rFonts w:ascii="Arial" w:hAnsi="Arial"/>
        </w:rPr>
        <w:t xml:space="preserve"> intend to serve within </w:t>
      </w:r>
      <w:r w:rsidR="00C94B88">
        <w:rPr>
          <w:rFonts w:ascii="Arial" w:hAnsi="Arial" w:cs="Arial"/>
        </w:rPr>
        <w:t>the</w:t>
      </w:r>
      <w:r w:rsidR="00C905AD">
        <w:rPr>
          <w:rFonts w:ascii="Arial" w:hAnsi="Arial" w:cs="Arial"/>
        </w:rPr>
        <w:t>ir</w:t>
      </w:r>
      <w:r w:rsidRPr="00866ECF">
        <w:rPr>
          <w:rFonts w:ascii="Arial" w:hAnsi="Arial"/>
        </w:rPr>
        <w:t xml:space="preserve"> jurisdiction?</w:t>
      </w:r>
      <w:r>
        <w:rPr>
          <w:rFonts w:ascii="Arial" w:hAnsi="Arial" w:cs="Arial"/>
        </w:rPr>
        <w:t xml:space="preserve"> </w:t>
      </w:r>
    </w:p>
    <w:p w:rsidR="008D152B" w:rsidRPr="00866ECF" w:rsidP="008D152B" w14:paraId="7F009A83" w14:textId="190ACC56">
      <w:pPr>
        <w:pStyle w:val="ListParagraph"/>
        <w:numPr>
          <w:ilvl w:val="0"/>
          <w:numId w:val="7"/>
        </w:numPr>
        <w:spacing w:after="0" w:line="240" w:lineRule="auto"/>
        <w:jc w:val="both"/>
        <w:rPr>
          <w:rFonts w:ascii="Arial" w:hAnsi="Arial"/>
        </w:rPr>
      </w:pPr>
      <w:r w:rsidRPr="00866ECF">
        <w:rPr>
          <w:rFonts w:ascii="Arial" w:hAnsi="Arial"/>
          <w:u w:val="single"/>
        </w:rPr>
        <w:t>Awareness</w:t>
      </w:r>
      <w:r w:rsidRPr="00866ECF">
        <w:rPr>
          <w:rFonts w:ascii="Arial" w:hAnsi="Arial"/>
        </w:rPr>
        <w:t xml:space="preserve">: How </w:t>
      </w:r>
      <w:r w:rsidRPr="00E95275">
        <w:rPr>
          <w:rFonts w:ascii="Arial" w:hAnsi="Arial" w:cs="Arial"/>
        </w:rPr>
        <w:t>equ</w:t>
      </w:r>
      <w:r>
        <w:rPr>
          <w:rFonts w:ascii="Arial" w:hAnsi="Arial" w:cs="Arial"/>
        </w:rPr>
        <w:t>itable</w:t>
      </w:r>
      <w:r w:rsidRPr="00866ECF">
        <w:rPr>
          <w:rFonts w:ascii="Arial" w:hAnsi="Arial"/>
        </w:rPr>
        <w:t xml:space="preserve"> and practical is the ability for residents or businesses to become aware of the services funded by SLFRF? </w:t>
      </w:r>
    </w:p>
    <w:p w:rsidR="008D152B" w:rsidRPr="00866ECF" w:rsidP="008D152B" w14:paraId="55348E06" w14:textId="77777777">
      <w:pPr>
        <w:pStyle w:val="ListParagraph"/>
        <w:numPr>
          <w:ilvl w:val="0"/>
          <w:numId w:val="7"/>
        </w:numPr>
        <w:spacing w:after="0" w:line="240" w:lineRule="auto"/>
        <w:jc w:val="both"/>
        <w:rPr>
          <w:rFonts w:ascii="Arial" w:hAnsi="Arial"/>
        </w:rPr>
      </w:pPr>
      <w:r w:rsidRPr="00866ECF">
        <w:rPr>
          <w:rFonts w:ascii="Arial" w:hAnsi="Arial"/>
          <w:u w:val="single"/>
        </w:rPr>
        <w:t>Access and Distribution</w:t>
      </w:r>
      <w:r w:rsidRPr="00866ECF">
        <w:rPr>
          <w:rFonts w:ascii="Arial" w:hAnsi="Arial"/>
        </w:rPr>
        <w:t>: Are there differences in levels of access to benefits and services across groups? Are there administrative requirements that result in disparities in ability to complete applications or meet eligibility criteria?</w:t>
      </w:r>
    </w:p>
    <w:p w:rsidR="008D152B" w:rsidRPr="007A572C" w:rsidP="00866ECF" w14:paraId="5C394E86" w14:textId="7A1647D8">
      <w:pPr>
        <w:numPr>
          <w:ilvl w:val="0"/>
          <w:numId w:val="7"/>
        </w:numPr>
        <w:spacing w:after="0" w:line="240" w:lineRule="auto"/>
        <w:contextualSpacing/>
        <w:jc w:val="both"/>
        <w:rPr>
          <w:rFonts w:ascii="Arial" w:hAnsi="Arial"/>
        </w:rPr>
      </w:pPr>
      <w:r w:rsidRPr="00866ECF">
        <w:rPr>
          <w:rFonts w:ascii="Arial" w:hAnsi="Arial"/>
          <w:u w:val="single"/>
        </w:rPr>
        <w:t>Outcomes</w:t>
      </w:r>
      <w:r w:rsidRPr="00866ECF">
        <w:rPr>
          <w:rFonts w:ascii="Arial" w:hAnsi="Arial"/>
        </w:rPr>
        <w:t xml:space="preserve">: </w:t>
      </w:r>
      <w:r>
        <w:rPr>
          <w:rFonts w:ascii="Arial" w:hAnsi="Arial" w:cs="Arial"/>
        </w:rPr>
        <w:t>How a</w:t>
      </w:r>
      <w:r w:rsidRPr="00E95275">
        <w:rPr>
          <w:rFonts w:ascii="Arial" w:hAnsi="Arial" w:cs="Arial"/>
        </w:rPr>
        <w:t>re</w:t>
      </w:r>
      <w:r w:rsidRPr="00866ECF">
        <w:t xml:space="preserve"> intended outcomes focused on closing gaps</w:t>
      </w:r>
      <w:r>
        <w:rPr>
          <w:rFonts w:ascii="Arial" w:hAnsi="Arial" w:cs="Arial"/>
        </w:rPr>
        <w:t xml:space="preserve"> and/or</w:t>
      </w:r>
      <w:r w:rsidRPr="00866ECF">
        <w:rPr>
          <w:rFonts w:ascii="Arial" w:hAnsi="Arial"/>
        </w:rPr>
        <w:t xml:space="preserve"> reaching universal levels of service</w:t>
      </w:r>
      <w:r>
        <w:rPr>
          <w:rFonts w:ascii="Arial" w:hAnsi="Arial" w:cs="Arial"/>
        </w:rPr>
        <w:t xml:space="preserve">? How is </w:t>
      </w:r>
      <w:r w:rsidR="00C94B88">
        <w:rPr>
          <w:rFonts w:ascii="Arial" w:hAnsi="Arial" w:cs="Arial"/>
        </w:rPr>
        <w:t>the</w:t>
      </w:r>
      <w:r>
        <w:rPr>
          <w:rFonts w:ascii="Arial" w:hAnsi="Arial" w:cs="Arial"/>
        </w:rPr>
        <w:t xml:space="preserve"> considering</w:t>
      </w:r>
      <w:r w:rsidRPr="00866ECF">
        <w:rPr>
          <w:rFonts w:ascii="Arial" w:hAnsi="Arial"/>
        </w:rPr>
        <w:t xml:space="preserve"> disaggregating </w:t>
      </w:r>
      <w:r>
        <w:rPr>
          <w:rFonts w:ascii="Arial" w:hAnsi="Arial" w:cs="Arial"/>
        </w:rPr>
        <w:t>outcomes</w:t>
      </w:r>
      <w:r w:rsidRPr="007A572C">
        <w:rPr>
          <w:rFonts w:ascii="Arial" w:hAnsi="Arial"/>
        </w:rPr>
        <w:t xml:space="preserve"> by race, ethnicity, and other equity dimensions where relevant for the policy objective? </w:t>
      </w:r>
    </w:p>
    <w:p w:rsidR="008D152B" w:rsidRPr="007A572C" w:rsidP="008D152B" w14:paraId="1D865C6C" w14:textId="77777777">
      <w:pPr>
        <w:spacing w:after="0" w:line="240" w:lineRule="auto"/>
        <w:contextualSpacing/>
        <w:rPr>
          <w:rFonts w:ascii="Arial" w:hAnsi="Arial"/>
        </w:rPr>
      </w:pPr>
    </w:p>
    <w:p w:rsidR="008D152B" w:rsidP="008D152B" w14:paraId="46946ABC" w14:textId="7F084B6F">
      <w:pPr>
        <w:spacing w:after="0" w:line="240" w:lineRule="auto"/>
        <w:contextualSpacing/>
        <w:rPr>
          <w:rFonts w:ascii="Arial" w:hAnsi="Arial" w:eastAsiaTheme="minorEastAsia" w:cs="Arial"/>
        </w:rPr>
      </w:pPr>
      <w:r>
        <w:rPr>
          <w:rFonts w:ascii="Arial" w:hAnsi="Arial" w:eastAsiaTheme="minorEastAsia" w:cs="Arial"/>
        </w:rPr>
        <w:t xml:space="preserve">In describing </w:t>
      </w:r>
      <w:r w:rsidR="00A12DA5">
        <w:rPr>
          <w:rFonts w:ascii="Arial" w:hAnsi="Arial" w:eastAsiaTheme="minorEastAsia" w:cs="Arial"/>
        </w:rPr>
        <w:t xml:space="preserve">their efforts to </w:t>
      </w:r>
      <w:r>
        <w:rPr>
          <w:rFonts w:ascii="Arial" w:hAnsi="Arial" w:eastAsiaTheme="minorEastAsia" w:cs="Arial"/>
          <w:b/>
          <w:bCs/>
        </w:rPr>
        <w:t>implement</w:t>
      </w:r>
      <w:r w:rsidR="00A12DA5">
        <w:rPr>
          <w:rFonts w:ascii="Arial" w:hAnsi="Arial" w:eastAsiaTheme="minorEastAsia" w:cs="Arial"/>
          <w:b/>
          <w:bCs/>
        </w:rPr>
        <w:t xml:space="preserve"> </w:t>
      </w:r>
      <w:r w:rsidR="00A12DA5">
        <w:rPr>
          <w:rFonts w:ascii="Arial" w:hAnsi="Arial" w:eastAsiaTheme="minorEastAsia" w:cs="Arial"/>
        </w:rPr>
        <w:t>their SLFRF program and projects</w:t>
      </w:r>
      <w:r>
        <w:rPr>
          <w:rFonts w:ascii="Arial" w:hAnsi="Arial" w:eastAsiaTheme="minorEastAsia" w:cs="Arial"/>
          <w:b/>
          <w:bCs/>
        </w:rPr>
        <w:t xml:space="preserve"> </w:t>
      </w:r>
      <w:r>
        <w:rPr>
          <w:rFonts w:ascii="Arial" w:hAnsi="Arial" w:eastAsiaTheme="minorEastAsia" w:cs="Arial"/>
        </w:rPr>
        <w:t xml:space="preserve">with </w:t>
      </w:r>
      <w:r w:rsidRPr="007A572C">
        <w:rPr>
          <w:rFonts w:ascii="Arial" w:hAnsi="Arial"/>
        </w:rPr>
        <w:t>equity</w:t>
      </w:r>
      <w:r>
        <w:rPr>
          <w:rFonts w:ascii="Arial" w:hAnsi="Arial" w:eastAsiaTheme="minorEastAsia" w:cs="Arial"/>
        </w:rPr>
        <w:t xml:space="preserve"> in mind, </w:t>
      </w:r>
      <w:r w:rsidR="00A12DA5">
        <w:rPr>
          <w:rFonts w:ascii="Arial" w:hAnsi="Arial" w:eastAsiaTheme="minorEastAsia" w:cs="Arial"/>
        </w:rPr>
        <w:t xml:space="preserve">recipients may </w:t>
      </w:r>
      <w:r>
        <w:rPr>
          <w:rFonts w:ascii="Arial" w:hAnsi="Arial" w:eastAsiaTheme="minorEastAsia" w:cs="Arial"/>
        </w:rPr>
        <w:t xml:space="preserve">consider the following: </w:t>
      </w:r>
    </w:p>
    <w:p w:rsidR="008D152B" w:rsidP="008D152B" w14:paraId="46CF7D6C" w14:textId="77777777">
      <w:pPr>
        <w:spacing w:after="0" w:line="240" w:lineRule="auto"/>
        <w:contextualSpacing/>
        <w:rPr>
          <w:rFonts w:ascii="Arial" w:hAnsi="Arial" w:eastAsiaTheme="minorEastAsia" w:cs="Arial"/>
        </w:rPr>
      </w:pPr>
    </w:p>
    <w:p w:rsidR="008D152B" w:rsidP="008D152B" w14:paraId="210B6AE2" w14:textId="75BC35EB">
      <w:pPr>
        <w:pStyle w:val="ListParagraph"/>
        <w:numPr>
          <w:ilvl w:val="0"/>
          <w:numId w:val="20"/>
        </w:numPr>
        <w:spacing w:after="0" w:line="240" w:lineRule="auto"/>
        <w:jc w:val="both"/>
        <w:rPr>
          <w:rFonts w:ascii="Arial" w:hAnsi="Arial" w:eastAsiaTheme="minorEastAsia" w:cs="Arial"/>
        </w:rPr>
      </w:pPr>
      <w:r w:rsidRPr="00BE17B9">
        <w:rPr>
          <w:rFonts w:ascii="Arial" w:hAnsi="Arial" w:eastAsiaTheme="minorEastAsia" w:cs="Arial"/>
          <w:u w:val="single"/>
        </w:rPr>
        <w:t>Goals and Targets</w:t>
      </w:r>
      <w:r>
        <w:rPr>
          <w:rFonts w:ascii="Arial" w:hAnsi="Arial" w:eastAsiaTheme="minorEastAsia" w:cs="Arial"/>
        </w:rPr>
        <w:t>:</w:t>
      </w:r>
      <w:r w:rsidRPr="007A572C">
        <w:rPr>
          <w:rFonts w:ascii="Arial" w:hAnsi="Arial"/>
        </w:rPr>
        <w:t xml:space="preserve"> Please describe how planned or current </w:t>
      </w:r>
      <w:r w:rsidRPr="00400C77">
        <w:rPr>
          <w:rFonts w:ascii="Arial" w:hAnsi="Arial" w:eastAsiaTheme="minorEastAsia" w:cs="Arial"/>
        </w:rPr>
        <w:t>use</w:t>
      </w:r>
      <w:r>
        <w:rPr>
          <w:rFonts w:ascii="Arial" w:hAnsi="Arial" w:eastAsiaTheme="minorEastAsia" w:cs="Arial"/>
        </w:rPr>
        <w:t>s</w:t>
      </w:r>
      <w:r w:rsidRPr="007A572C">
        <w:rPr>
          <w:rFonts w:ascii="Arial" w:hAnsi="Arial"/>
        </w:rPr>
        <w:t xml:space="preserve"> of funds </w:t>
      </w:r>
      <w:r w:rsidRPr="00400C77">
        <w:rPr>
          <w:rFonts w:ascii="Arial" w:hAnsi="Arial" w:eastAsiaTheme="minorEastAsia" w:cs="Arial"/>
        </w:rPr>
        <w:t>prioritize</w:t>
      </w:r>
      <w:r w:rsidRPr="007A572C">
        <w:rPr>
          <w:rFonts w:ascii="Arial" w:hAnsi="Arial"/>
        </w:rPr>
        <w:t xml:space="preserve"> economic and racial equity as a goal, </w:t>
      </w:r>
      <w:r w:rsidRPr="00400C77">
        <w:rPr>
          <w:rFonts w:ascii="Arial" w:hAnsi="Arial" w:eastAsiaTheme="minorEastAsia" w:cs="Arial"/>
        </w:rPr>
        <w:t>name</w:t>
      </w:r>
      <w:r w:rsidRPr="007A572C">
        <w:rPr>
          <w:rFonts w:ascii="Arial" w:hAnsi="Arial"/>
        </w:rPr>
        <w:t xml:space="preserve"> specific targets intended to produce meaningful equity results at scale, and </w:t>
      </w:r>
      <w:r>
        <w:rPr>
          <w:rFonts w:ascii="Arial" w:hAnsi="Arial" w:eastAsiaTheme="minorEastAsia" w:cs="Arial"/>
        </w:rPr>
        <w:t>include initiatives</w:t>
      </w:r>
      <w:r w:rsidRPr="007A572C">
        <w:rPr>
          <w:rFonts w:ascii="Arial" w:hAnsi="Arial"/>
        </w:rPr>
        <w:t xml:space="preserve"> to achieve those targets.</w:t>
      </w:r>
    </w:p>
    <w:p w:rsidR="008D152B" w:rsidRPr="007A572C" w:rsidP="007A572C" w14:paraId="4E1020FD" w14:textId="3895A24F">
      <w:pPr>
        <w:pStyle w:val="ListParagraph"/>
        <w:numPr>
          <w:ilvl w:val="0"/>
          <w:numId w:val="20"/>
        </w:numPr>
        <w:spacing w:after="0" w:line="240" w:lineRule="auto"/>
        <w:jc w:val="both"/>
        <w:rPr>
          <w:rFonts w:ascii="Arial" w:hAnsi="Arial"/>
        </w:rPr>
      </w:pPr>
      <w:r w:rsidRPr="00BE17B9">
        <w:rPr>
          <w:rFonts w:ascii="Arial" w:hAnsi="Arial" w:eastAsiaTheme="minorEastAsia" w:cs="Arial"/>
          <w:u w:val="single"/>
        </w:rPr>
        <w:t>Project Implementation</w:t>
      </w:r>
      <w:r>
        <w:rPr>
          <w:rFonts w:ascii="Arial" w:hAnsi="Arial" w:eastAsiaTheme="minorEastAsia" w:cs="Arial"/>
        </w:rPr>
        <w:t>:</w:t>
      </w:r>
      <w:r w:rsidRPr="007A572C">
        <w:rPr>
          <w:rFonts w:ascii="Arial" w:hAnsi="Arial"/>
        </w:rPr>
        <w:t xml:space="preserve"> In addition, please explain how </w:t>
      </w:r>
      <w:r>
        <w:rPr>
          <w:rFonts w:ascii="Arial" w:hAnsi="Arial" w:eastAsiaTheme="minorEastAsia" w:cs="Arial"/>
        </w:rPr>
        <w:t>the</w:t>
      </w:r>
      <w:r w:rsidRPr="007A572C" w:rsidR="00C905AD">
        <w:rPr>
          <w:rFonts w:ascii="Arial" w:hAnsi="Arial"/>
        </w:rPr>
        <w:t xml:space="preserve"> </w:t>
      </w:r>
      <w:r w:rsidRPr="007A572C">
        <w:rPr>
          <w:rFonts w:ascii="Arial" w:hAnsi="Arial"/>
        </w:rPr>
        <w:t xml:space="preserve">jurisdiction’s overall equity strategy translates into </w:t>
      </w:r>
      <w:r>
        <w:rPr>
          <w:rFonts w:ascii="Arial" w:hAnsi="Arial" w:eastAsiaTheme="minorEastAsia" w:cs="Arial"/>
        </w:rPr>
        <w:t>focus areas for SLFRF projects and</w:t>
      </w:r>
      <w:r w:rsidRPr="00400C77">
        <w:rPr>
          <w:rFonts w:ascii="Arial" w:hAnsi="Arial" w:eastAsiaTheme="minorEastAsia" w:cs="Arial"/>
        </w:rPr>
        <w:t xml:space="preserve"> </w:t>
      </w:r>
      <w:r w:rsidRPr="007A572C">
        <w:rPr>
          <w:rFonts w:ascii="Arial" w:hAnsi="Arial"/>
        </w:rPr>
        <w:t xml:space="preserve">the specific services or programs offered by </w:t>
      </w:r>
      <w:r>
        <w:rPr>
          <w:rFonts w:ascii="Arial" w:hAnsi="Arial" w:eastAsiaTheme="minorEastAsia" w:cs="Arial"/>
        </w:rPr>
        <w:t>the</w:t>
      </w:r>
      <w:r w:rsidRPr="007A572C">
        <w:rPr>
          <w:rFonts w:ascii="Arial" w:hAnsi="Arial"/>
        </w:rPr>
        <w:t xml:space="preserve"> jurisdiction in the following Expenditure </w:t>
      </w:r>
      <w:r w:rsidRPr="00400C77">
        <w:rPr>
          <w:rFonts w:ascii="Arial" w:hAnsi="Arial" w:eastAsiaTheme="minorEastAsia" w:cs="Arial"/>
        </w:rPr>
        <w:t>Categor</w:t>
      </w:r>
      <w:r w:rsidR="00326104">
        <w:rPr>
          <w:rFonts w:ascii="Arial" w:hAnsi="Arial" w:eastAsiaTheme="minorEastAsia" w:cs="Arial"/>
        </w:rPr>
        <w:t>y</w:t>
      </w:r>
      <w:r w:rsidRPr="007A572C">
        <w:rPr>
          <w:rFonts w:ascii="Arial" w:hAnsi="Arial"/>
        </w:rPr>
        <w:t xml:space="preserve">, as indicated in the final rule. </w:t>
      </w:r>
    </w:p>
    <w:p w:rsidR="008D152B" w:rsidRPr="007A572C" w:rsidP="008D152B" w14:paraId="5BCE6F49" w14:textId="77777777">
      <w:pPr>
        <w:spacing w:after="0" w:line="240" w:lineRule="auto"/>
        <w:rPr>
          <w:rFonts w:ascii="Arial" w:hAnsi="Arial"/>
        </w:rPr>
      </w:pPr>
    </w:p>
    <w:p w:rsidR="008D152B" w:rsidRPr="007A572C" w:rsidP="007A572C" w14:paraId="19903A82" w14:textId="3158B9E2">
      <w:pPr>
        <w:pStyle w:val="ListParagraph"/>
        <w:spacing w:after="0" w:line="240" w:lineRule="auto"/>
        <w:jc w:val="both"/>
        <w:rPr>
          <w:rFonts w:ascii="Arial" w:hAnsi="Arial"/>
        </w:rPr>
      </w:pPr>
      <w:r w:rsidRPr="007A572C">
        <w:rPr>
          <w:rFonts w:ascii="Arial" w:hAnsi="Arial"/>
          <w:u w:val="single"/>
        </w:rPr>
        <w:t>Negative Economic Impacts (EC 2)</w:t>
      </w:r>
      <w:r w:rsidRPr="007A572C">
        <w:rPr>
          <w:rFonts w:ascii="Arial" w:hAnsi="Arial"/>
        </w:rPr>
        <w:t xml:space="preserve">: assistance to households, small businesses, and non-profits to address impacts of the pandemic, which have been most severe among low-income populations. This includes assistance with food, housing, and other needs; employment programs for people with barriers to employment who faced negative economic impacts from </w:t>
      </w:r>
      <w:r w:rsidRPr="007A572C">
        <w:rPr>
          <w:rFonts w:ascii="Arial" w:hAnsi="Arial"/>
        </w:rPr>
        <w:t xml:space="preserve">the pandemic (such as residents of low-income neighborhoods, minorities, disconnected youth, the unemployed, formerly incarcerated people, veterans, and people with disabilities); </w:t>
      </w:r>
      <w:r w:rsidRPr="00010F1A">
        <w:rPr>
          <w:rFonts w:ascii="Arial" w:hAnsi="Arial" w:eastAsiaTheme="minorEastAsia" w:cs="Arial"/>
        </w:rPr>
        <w:t>services</w:t>
      </w:r>
      <w:r w:rsidRPr="00200A11">
        <w:rPr>
          <w:rFonts w:ascii="Arial" w:hAnsi="Arial" w:eastAsiaTheme="minorEastAsia" w:cs="Arial"/>
        </w:rPr>
        <w:t xml:space="preserve"> </w:t>
      </w:r>
      <w:r w:rsidRPr="00400C77">
        <w:rPr>
          <w:rFonts w:ascii="Arial" w:hAnsi="Arial" w:eastAsiaTheme="minorEastAsia" w:cs="Arial"/>
        </w:rPr>
        <w:t>to provide long-term housing security and housing supports,</w:t>
      </w:r>
      <w:r w:rsidRPr="00010F1A">
        <w:rPr>
          <w:rFonts w:ascii="Arial" w:hAnsi="Arial" w:eastAsiaTheme="minorEastAsia" w:cs="Arial"/>
        </w:rPr>
        <w:t xml:space="preserve"> address educational disparities, or provide child care and early learning services; and other strategies that provide impacted and disproportionately impacted communities with services to address the negative economic impacts of the pandemic</w:t>
      </w:r>
      <w:r w:rsidRPr="007A572C">
        <w:rPr>
          <w:rFonts w:ascii="Arial" w:hAnsi="Arial"/>
        </w:rPr>
        <w:t xml:space="preserve"> </w:t>
      </w:r>
    </w:p>
    <w:p w:rsidR="008D152B" w:rsidP="008D152B" w14:paraId="72B78D45" w14:textId="77777777">
      <w:pPr>
        <w:spacing w:after="0" w:line="240" w:lineRule="auto"/>
        <w:rPr>
          <w:rFonts w:ascii="Arial" w:eastAsia="Arial" w:hAnsi="Arial" w:cs="Arial"/>
        </w:rPr>
      </w:pPr>
    </w:p>
    <w:p w:rsidR="008D152B" w:rsidRPr="00E95275" w:rsidP="007A572C" w14:paraId="06B38D5A" w14:textId="28956A3B">
      <w:pPr>
        <w:spacing w:after="0" w:line="240" w:lineRule="auto"/>
        <w:jc w:val="both"/>
        <w:rPr>
          <w:rFonts w:ascii="Arial" w:hAnsi="Arial" w:cs="Arial"/>
        </w:rPr>
      </w:pPr>
      <w:bookmarkStart w:id="16" w:name="_Hlk102467346"/>
      <w:r w:rsidRPr="00E95275">
        <w:rPr>
          <w:rFonts w:ascii="Arial" w:eastAsia="Arial" w:hAnsi="Arial" w:cs="Arial"/>
        </w:rPr>
        <w:t xml:space="preserve">The </w:t>
      </w:r>
      <w:r w:rsidR="001028EE">
        <w:rPr>
          <w:rFonts w:ascii="Arial" w:eastAsia="Arial" w:hAnsi="Arial" w:cs="Arial"/>
        </w:rPr>
        <w:t>first annual</w:t>
      </w:r>
      <w:r w:rsidRPr="00E95275">
        <w:rPr>
          <w:rFonts w:ascii="Arial" w:eastAsia="Arial" w:hAnsi="Arial" w:cs="Arial"/>
        </w:rPr>
        <w:t xml:space="preserve"> </w:t>
      </w:r>
      <w:r w:rsidR="00987FCE">
        <w:rPr>
          <w:rFonts w:ascii="Arial" w:eastAsia="Arial" w:hAnsi="Arial" w:cs="Arial"/>
        </w:rPr>
        <w:t>Recovery Plan</w:t>
      </w:r>
      <w:r>
        <w:rPr>
          <w:rFonts w:ascii="Arial" w:eastAsia="Arial" w:hAnsi="Arial" w:cs="Arial"/>
        </w:rPr>
        <w:t>, due in 2021, was required to</w:t>
      </w:r>
      <w:r w:rsidRPr="00E95275">
        <w:rPr>
          <w:rFonts w:ascii="Arial" w:eastAsia="Arial" w:hAnsi="Arial" w:cs="Arial"/>
        </w:rPr>
        <w:t xml:space="preserve"> describe </w:t>
      </w:r>
      <w:r>
        <w:rPr>
          <w:rFonts w:ascii="Arial" w:eastAsia="Arial" w:hAnsi="Arial" w:cs="Arial"/>
        </w:rPr>
        <w:t xml:space="preserve">initial </w:t>
      </w:r>
      <w:r w:rsidRPr="00E95275">
        <w:rPr>
          <w:rFonts w:ascii="Arial" w:eastAsia="Arial" w:hAnsi="Arial" w:cs="Arial"/>
        </w:rPr>
        <w:t>efforts and intended outcomes to promote equity</w:t>
      </w:r>
      <w:r w:rsidR="004A40F4">
        <w:rPr>
          <w:rFonts w:ascii="Arial" w:eastAsia="Arial" w:hAnsi="Arial" w:cs="Arial"/>
        </w:rPr>
        <w:t>, as applicable</w:t>
      </w:r>
      <w:r w:rsidRPr="00E95275">
        <w:rPr>
          <w:rFonts w:ascii="Arial" w:eastAsia="Arial" w:hAnsi="Arial" w:cs="Arial"/>
        </w:rPr>
        <w:t xml:space="preserve">. </w:t>
      </w:r>
      <w:r>
        <w:rPr>
          <w:rFonts w:ascii="Arial" w:eastAsia="Arial" w:hAnsi="Arial" w:cs="Arial"/>
        </w:rPr>
        <w:t>Beginning in 2022, e</w:t>
      </w:r>
      <w:r w:rsidRPr="00E95275">
        <w:rPr>
          <w:rFonts w:ascii="Arial" w:eastAsia="Arial" w:hAnsi="Arial" w:cs="Arial"/>
        </w:rPr>
        <w:t xml:space="preserve">ach annual </w:t>
      </w:r>
      <w:r w:rsidR="00987FCE">
        <w:rPr>
          <w:rFonts w:ascii="Arial" w:eastAsia="Arial" w:hAnsi="Arial" w:cs="Arial"/>
        </w:rPr>
        <w:t>Recovery Plan</w:t>
      </w:r>
      <w:r w:rsidRPr="00E95275">
        <w:rPr>
          <w:rFonts w:ascii="Arial" w:eastAsia="Arial" w:hAnsi="Arial" w:cs="Arial"/>
        </w:rPr>
        <w:t xml:space="preserve"> must provide an update</w:t>
      </w:r>
      <w:bookmarkEnd w:id="16"/>
      <w:r w:rsidRPr="007A572C">
        <w:rPr>
          <w:rFonts w:ascii="Arial" w:hAnsi="Arial"/>
        </w:rPr>
        <w:t>, using qualitative and quantitative data, on how the recipients’ approach achieved or promoted equitable outcomes or progressed against equity goals during the performance period</w:t>
      </w:r>
      <w:r w:rsidR="00952550">
        <w:rPr>
          <w:rFonts w:ascii="Arial" w:hAnsi="Arial" w:cs="Arial"/>
        </w:rPr>
        <w:t>, as applicable</w:t>
      </w:r>
      <w:r w:rsidRPr="00E95275">
        <w:rPr>
          <w:rFonts w:ascii="Arial" w:hAnsi="Arial" w:cs="Arial"/>
        </w:rPr>
        <w:t xml:space="preserve">. </w:t>
      </w:r>
      <w:r>
        <w:rPr>
          <w:rFonts w:ascii="Arial" w:hAnsi="Arial" w:cs="Arial"/>
        </w:rPr>
        <w:t>Each</w:t>
      </w:r>
      <w:r w:rsidRPr="00E95275">
        <w:rPr>
          <w:rFonts w:ascii="Arial" w:hAnsi="Arial" w:cs="Arial"/>
        </w:rPr>
        <w:t xml:space="preserve"> jurisdiction should</w:t>
      </w:r>
      <w:r w:rsidRPr="007A572C">
        <w:rPr>
          <w:rFonts w:ascii="Arial" w:hAnsi="Arial"/>
        </w:rPr>
        <w:t xml:space="preserve"> describe any constraints or challenges that impacted project success in terms of increasing equity. </w:t>
      </w:r>
      <w:r w:rsidRPr="007A572C">
        <w:rPr>
          <w:rFonts w:ascii="Arial" w:hAnsi="Arial"/>
        </w:rPr>
        <w:t>In particular, this</w:t>
      </w:r>
      <w:r w:rsidRPr="007A572C">
        <w:rPr>
          <w:rFonts w:ascii="Arial" w:hAnsi="Arial"/>
        </w:rPr>
        <w:t xml:space="preserve"> section </w:t>
      </w:r>
      <w:r w:rsidR="004A40F4">
        <w:rPr>
          <w:rFonts w:ascii="Arial" w:hAnsi="Arial" w:cs="Arial"/>
        </w:rPr>
        <w:t>should</w:t>
      </w:r>
      <w:r w:rsidRPr="007A572C">
        <w:rPr>
          <w:rFonts w:ascii="Arial" w:hAnsi="Arial"/>
        </w:rPr>
        <w:t xml:space="preserve"> describe the geographic and demographic distribution of funding, including whether it is targeted toward traditionally marginalized communities</w:t>
      </w:r>
      <w:r>
        <w:rPr>
          <w:rFonts w:ascii="Arial" w:hAnsi="Arial" w:cs="Arial"/>
        </w:rPr>
        <w:t xml:space="preserve"> (recipients may reference the demographic data information in their Project and Expenditure Reports as relevant)</w:t>
      </w:r>
      <w:r w:rsidRPr="00E95275">
        <w:rPr>
          <w:rFonts w:ascii="Arial" w:hAnsi="Arial" w:cs="Arial"/>
        </w:rPr>
        <w:t>.</w:t>
      </w:r>
    </w:p>
    <w:p w:rsidR="008D152B" w:rsidRPr="007A572C" w:rsidP="008D152B" w14:paraId="31425DC8" w14:textId="77777777">
      <w:pPr>
        <w:spacing w:after="0" w:line="240" w:lineRule="auto"/>
        <w:jc w:val="both"/>
        <w:rPr>
          <w:rFonts w:ascii="Arial" w:hAnsi="Arial"/>
        </w:rPr>
      </w:pPr>
    </w:p>
    <w:p w:rsidR="008D152B" w:rsidRPr="007A572C" w:rsidP="00CE5331" w14:paraId="5A14A250" w14:textId="77777777">
      <w:pPr>
        <w:pStyle w:val="ListParagraph"/>
        <w:numPr>
          <w:ilvl w:val="0"/>
          <w:numId w:val="39"/>
        </w:numPr>
        <w:spacing w:after="0" w:line="240" w:lineRule="auto"/>
        <w:jc w:val="both"/>
        <w:rPr>
          <w:rFonts w:ascii="Arial" w:hAnsi="Arial"/>
          <w:b/>
        </w:rPr>
      </w:pPr>
      <w:r w:rsidRPr="007A572C">
        <w:rPr>
          <w:rFonts w:ascii="Arial" w:hAnsi="Arial"/>
          <w:b/>
        </w:rPr>
        <w:t xml:space="preserve">Community Engagement </w:t>
      </w:r>
    </w:p>
    <w:p w:rsidR="008D152B" w:rsidRPr="007A572C" w:rsidP="008D152B" w14:paraId="64A3BD0A" w14:textId="36AE343A">
      <w:pPr>
        <w:spacing w:after="0" w:line="240" w:lineRule="auto"/>
        <w:jc w:val="both"/>
        <w:rPr>
          <w:rFonts w:ascii="Arial" w:hAnsi="Arial"/>
        </w:rPr>
      </w:pPr>
      <w:r>
        <w:rPr>
          <w:rFonts w:ascii="Arial" w:hAnsi="Arial" w:cs="Arial"/>
        </w:rPr>
        <w:t xml:space="preserve">In this section, recipients should </w:t>
      </w:r>
      <w:r w:rsidRPr="007A572C">
        <w:rPr>
          <w:rFonts w:ascii="Arial" w:hAnsi="Arial"/>
        </w:rPr>
        <w:t xml:space="preserve"> describe how </w:t>
      </w:r>
      <w:r>
        <w:rPr>
          <w:rFonts w:ascii="Arial" w:hAnsi="Arial" w:cs="Arial"/>
        </w:rPr>
        <w:t>their</w:t>
      </w:r>
      <w:r w:rsidRPr="007A572C">
        <w:rPr>
          <w:rFonts w:ascii="Arial" w:hAnsi="Arial"/>
        </w:rPr>
        <w:t xml:space="preserve"> jurisdiction’s planned or current use of funds incorporates </w:t>
      </w:r>
      <w:r>
        <w:rPr>
          <w:rFonts w:ascii="Arial" w:hAnsi="Arial" w:cs="Arial"/>
        </w:rPr>
        <w:t xml:space="preserve">community engagement strategies including </w:t>
      </w:r>
      <w:r w:rsidRPr="007A572C">
        <w:rPr>
          <w:rFonts w:ascii="Arial" w:hAnsi="Arial"/>
        </w:rPr>
        <w:t>written</w:t>
      </w:r>
      <w:r>
        <w:rPr>
          <w:rFonts w:ascii="Arial" w:hAnsi="Arial" w:cs="Arial"/>
        </w:rPr>
        <w:t xml:space="preserve"> feedback through surveys, project proposals</w:t>
      </w:r>
      <w:r w:rsidRPr="007A572C">
        <w:rPr>
          <w:rFonts w:ascii="Arial" w:hAnsi="Arial"/>
        </w:rPr>
        <w:t xml:space="preserve">, and </w:t>
      </w:r>
      <w:r>
        <w:rPr>
          <w:rFonts w:ascii="Arial" w:hAnsi="Arial" w:cs="Arial"/>
        </w:rPr>
        <w:t>related documents;</w:t>
      </w:r>
      <w:r w:rsidRPr="00E95275">
        <w:rPr>
          <w:rFonts w:ascii="Arial" w:hAnsi="Arial" w:cs="Arial"/>
        </w:rPr>
        <w:t xml:space="preserve"> oral</w:t>
      </w:r>
      <w:r>
        <w:rPr>
          <w:rFonts w:ascii="Arial" w:hAnsi="Arial" w:cs="Arial"/>
        </w:rPr>
        <w:t xml:space="preserve"> feedback through community meetings, issue-specific listening sessions, stakeholder interviews, focus groups, and </w:t>
      </w:r>
      <w:r w:rsidR="006A34E3">
        <w:rPr>
          <w:rFonts w:ascii="Arial" w:hAnsi="Arial" w:cs="Arial"/>
        </w:rPr>
        <w:t>additional</w:t>
      </w:r>
      <w:r>
        <w:rPr>
          <w:rFonts w:ascii="Arial" w:hAnsi="Arial" w:cs="Arial"/>
        </w:rPr>
        <w:t xml:space="preserve"> public engagement</w:t>
      </w:r>
      <w:r w:rsidR="00796BB8">
        <w:rPr>
          <w:rFonts w:ascii="Arial" w:hAnsi="Arial" w:cs="Arial"/>
        </w:rPr>
        <w:t>;</w:t>
      </w:r>
      <w:r w:rsidR="00A65629">
        <w:rPr>
          <w:rFonts w:ascii="Arial" w:hAnsi="Arial" w:cs="Arial"/>
        </w:rPr>
        <w:t xml:space="preserve"> </w:t>
      </w:r>
      <w:r w:rsidR="006A34E3">
        <w:rPr>
          <w:rFonts w:ascii="Arial" w:hAnsi="Arial" w:cs="Arial"/>
        </w:rPr>
        <w:t xml:space="preserve">as well as </w:t>
      </w:r>
      <w:r w:rsidRPr="007A572C">
        <w:rPr>
          <w:rFonts w:ascii="Arial" w:hAnsi="Arial"/>
        </w:rPr>
        <w:t>other forms of input</w:t>
      </w:r>
      <w:r>
        <w:rPr>
          <w:rFonts w:ascii="Arial" w:hAnsi="Arial" w:cs="Arial"/>
        </w:rPr>
        <w:t>, such as steering committees, taskforces, and digital campaigns</w:t>
      </w:r>
      <w:r w:rsidRPr="007A572C">
        <w:rPr>
          <w:rFonts w:ascii="Arial" w:hAnsi="Arial"/>
        </w:rPr>
        <w:t xml:space="preserve"> that capture diverse feedback from the </w:t>
      </w:r>
      <w:r w:rsidRPr="00E95275">
        <w:rPr>
          <w:rFonts w:ascii="Arial" w:hAnsi="Arial" w:cs="Arial"/>
        </w:rPr>
        <w:t xml:space="preserve">community. </w:t>
      </w:r>
      <w:r>
        <w:rPr>
          <w:rFonts w:ascii="Arial" w:hAnsi="Arial" w:cs="Arial"/>
        </w:rPr>
        <w:t xml:space="preserve">Recipients may describe completed or planned community engagement strategies specifically focused on their SLFRF program and projects or community engagement strategies that included SLFRF among other government programs. </w:t>
      </w:r>
      <w:bookmarkStart w:id="17" w:name="_Hlk102467617"/>
      <w:r>
        <w:rPr>
          <w:rFonts w:ascii="Arial" w:hAnsi="Arial" w:cs="Arial"/>
        </w:rPr>
        <w:t xml:space="preserve">Recipients should also describe how community engagement strategies support their equity goals, including engagement with </w:t>
      </w:r>
      <w:r w:rsidRPr="007A572C">
        <w:rPr>
          <w:rFonts w:ascii="Arial" w:hAnsi="Arial"/>
        </w:rPr>
        <w:t xml:space="preserve">communities </w:t>
      </w:r>
      <w:r>
        <w:rPr>
          <w:rFonts w:ascii="Arial" w:hAnsi="Arial" w:cs="Arial"/>
        </w:rPr>
        <w:t xml:space="preserve">that have </w:t>
      </w:r>
      <w:bookmarkEnd w:id="17"/>
      <w:r>
        <w:rPr>
          <w:rFonts w:ascii="Arial" w:hAnsi="Arial" w:cs="Arial"/>
        </w:rPr>
        <w:t xml:space="preserve">historically faced </w:t>
      </w:r>
      <w:r w:rsidRPr="007A572C">
        <w:rPr>
          <w:rFonts w:ascii="Arial" w:hAnsi="Arial"/>
        </w:rPr>
        <w:t xml:space="preserve">significant barriers to services, </w:t>
      </w:r>
      <w:r w:rsidR="006A34E3">
        <w:rPr>
          <w:rFonts w:ascii="Arial" w:eastAsia="Times New Roman" w:hAnsi="Arial" w:cs="Arial"/>
        </w:rPr>
        <w:t>such as</w:t>
      </w:r>
      <w:r w:rsidRPr="007A572C">
        <w:rPr>
          <w:rFonts w:ascii="Arial" w:hAnsi="Arial"/>
        </w:rPr>
        <w:t xml:space="preserve"> people of color, people with low incomes, limited English proficient populations, and other traditionally underserved groups. </w:t>
      </w:r>
    </w:p>
    <w:p w:rsidR="008D152B" w:rsidRPr="007A572C" w:rsidP="008D152B" w14:paraId="78980AA3" w14:textId="77777777">
      <w:pPr>
        <w:spacing w:after="0" w:line="240" w:lineRule="auto"/>
        <w:jc w:val="both"/>
        <w:rPr>
          <w:rFonts w:ascii="Arial" w:hAnsi="Arial"/>
        </w:rPr>
      </w:pPr>
    </w:p>
    <w:p w:rsidR="008D152B" w:rsidRPr="007A572C" w:rsidP="00CE5331" w14:paraId="7BDCFF87" w14:textId="77777777">
      <w:pPr>
        <w:pStyle w:val="ListParagraph"/>
        <w:numPr>
          <w:ilvl w:val="0"/>
          <w:numId w:val="39"/>
        </w:numPr>
        <w:spacing w:after="0" w:line="240" w:lineRule="auto"/>
        <w:jc w:val="both"/>
        <w:rPr>
          <w:rFonts w:ascii="Arial" w:hAnsi="Arial"/>
          <w:b/>
        </w:rPr>
      </w:pPr>
      <w:r w:rsidRPr="007A572C">
        <w:rPr>
          <w:rFonts w:ascii="Arial" w:hAnsi="Arial"/>
          <w:b/>
        </w:rPr>
        <w:t>Labor Practices</w:t>
      </w:r>
    </w:p>
    <w:p w:rsidR="008D152B" w:rsidRPr="007A572C" w:rsidP="008D152B" w14:paraId="6843E908" w14:textId="78373A04">
      <w:pPr>
        <w:spacing w:after="0" w:line="240" w:lineRule="auto"/>
        <w:jc w:val="both"/>
        <w:rPr>
          <w:rFonts w:ascii="Arial" w:hAnsi="Arial"/>
        </w:rPr>
      </w:pPr>
      <w:r>
        <w:rPr>
          <w:rFonts w:ascii="Arial" w:hAnsi="Arial" w:cs="Arial"/>
        </w:rPr>
        <w:t>In this section, recipients should d</w:t>
      </w:r>
      <w:r w:rsidRPr="00E95275">
        <w:rPr>
          <w:rFonts w:ascii="Arial" w:hAnsi="Arial" w:cs="Arial"/>
        </w:rPr>
        <w:t>escribe</w:t>
      </w:r>
      <w:r w:rsidRPr="007A572C">
        <w:rPr>
          <w:rFonts w:ascii="Arial" w:hAnsi="Arial"/>
        </w:rPr>
        <w:t xml:space="preserve"> workforce practices on any infrastructure projects </w:t>
      </w:r>
      <w:r>
        <w:rPr>
          <w:rFonts w:ascii="Arial" w:hAnsi="Arial" w:cs="Arial"/>
        </w:rPr>
        <w:t xml:space="preserve">or capital </w:t>
      </w:r>
      <w:r w:rsidR="00A65629">
        <w:rPr>
          <w:rFonts w:ascii="Arial" w:hAnsi="Arial" w:cs="Arial"/>
        </w:rPr>
        <w:t>expenditures</w:t>
      </w:r>
      <w:r w:rsidRPr="00E95275" w:rsidR="00A65629">
        <w:rPr>
          <w:rFonts w:ascii="Arial" w:hAnsi="Arial" w:cs="Arial"/>
        </w:rPr>
        <w:t xml:space="preserve"> </w:t>
      </w:r>
      <w:r w:rsidRPr="007A572C">
        <w:rPr>
          <w:rFonts w:ascii="Arial" w:hAnsi="Arial"/>
        </w:rPr>
        <w:t>being pursued</w:t>
      </w:r>
      <w:r w:rsidRPr="00E95275">
        <w:rPr>
          <w:rFonts w:ascii="Arial" w:hAnsi="Arial" w:cs="Arial"/>
        </w:rPr>
        <w:t>.</w:t>
      </w:r>
      <w:r w:rsidRPr="007A572C">
        <w:rPr>
          <w:rFonts w:ascii="Arial" w:hAnsi="Arial"/>
        </w:rPr>
        <w:t xml:space="preserve"> How are projects using strong labor standards to promote effective and efficient delivery of high-quality infrastructure projects while also supporting the economic recovery through strong employment opportunities for workers? For example, report whether any of the following practices are being utilized: project labor agreements, community benefits agreements, prevailing wage requirements, and local hiring.</w:t>
      </w:r>
    </w:p>
    <w:p w:rsidR="008D152B" w:rsidRPr="007A572C" w:rsidP="008D152B" w14:paraId="104FD604" w14:textId="77777777">
      <w:pPr>
        <w:spacing w:after="0" w:line="240" w:lineRule="auto"/>
        <w:jc w:val="both"/>
        <w:rPr>
          <w:rFonts w:ascii="Arial" w:hAnsi="Arial"/>
        </w:rPr>
      </w:pPr>
    </w:p>
    <w:p w:rsidR="008D152B" w:rsidRPr="007A572C" w:rsidP="00CE5331" w14:paraId="61D1FF77" w14:textId="77777777">
      <w:pPr>
        <w:pStyle w:val="ListParagraph"/>
        <w:numPr>
          <w:ilvl w:val="0"/>
          <w:numId w:val="39"/>
        </w:numPr>
        <w:spacing w:after="0" w:line="240" w:lineRule="auto"/>
        <w:jc w:val="both"/>
        <w:rPr>
          <w:rFonts w:ascii="Arial" w:hAnsi="Arial"/>
        </w:rPr>
      </w:pPr>
      <w:r w:rsidRPr="007A572C">
        <w:rPr>
          <w:rFonts w:ascii="Arial" w:hAnsi="Arial"/>
          <w:b/>
        </w:rPr>
        <w:t>Use of Evidence</w:t>
      </w:r>
    </w:p>
    <w:p w:rsidR="008D152B" w:rsidP="008D152B" w14:paraId="504251EB" w14:textId="79B9AA61">
      <w:pPr>
        <w:spacing w:after="0" w:line="240" w:lineRule="auto"/>
        <w:jc w:val="both"/>
        <w:rPr>
          <w:rFonts w:ascii="Arial" w:eastAsia="Arial" w:hAnsi="Arial" w:cs="Arial"/>
        </w:rPr>
      </w:pPr>
      <w:r>
        <w:rPr>
          <w:rFonts w:ascii="Arial" w:eastAsia="Arial" w:hAnsi="Arial" w:cs="Arial"/>
        </w:rPr>
        <w:t xml:space="preserve">In this section of the Recovery Plan, recipients should </w:t>
      </w:r>
      <w:bookmarkStart w:id="18" w:name="_Hlk102467742"/>
      <w:r>
        <w:rPr>
          <w:rFonts w:ascii="Arial" w:eastAsia="Arial" w:hAnsi="Arial" w:cs="Arial"/>
        </w:rPr>
        <w:t xml:space="preserve">describe </w:t>
      </w:r>
      <w:r w:rsidR="003711C6">
        <w:rPr>
          <w:rFonts w:ascii="Arial" w:eastAsia="Arial" w:hAnsi="Arial" w:cs="Arial"/>
        </w:rPr>
        <w:t xml:space="preserve">whether and </w:t>
      </w:r>
      <w:r>
        <w:rPr>
          <w:rFonts w:ascii="Arial" w:eastAsia="Arial" w:hAnsi="Arial" w:cs="Arial"/>
        </w:rPr>
        <w:t xml:space="preserve">how evidence-based interventions and/or program evaluation </w:t>
      </w:r>
      <w:r w:rsidR="00796BB8">
        <w:rPr>
          <w:rFonts w:ascii="Arial" w:eastAsia="Arial" w:hAnsi="Arial" w:cs="Arial"/>
        </w:rPr>
        <w:t>are</w:t>
      </w:r>
      <w:r>
        <w:rPr>
          <w:rFonts w:ascii="Arial" w:eastAsia="Arial" w:hAnsi="Arial" w:cs="Arial"/>
        </w:rPr>
        <w:t xml:space="preserve"> incorporated into their SLFRF program. Recipient</w:t>
      </w:r>
      <w:r w:rsidR="00A809F4">
        <w:rPr>
          <w:rFonts w:ascii="Arial" w:eastAsia="Arial" w:hAnsi="Arial" w:cs="Arial"/>
        </w:rPr>
        <w:t>s</w:t>
      </w:r>
      <w:r>
        <w:rPr>
          <w:rFonts w:ascii="Arial" w:eastAsia="Arial" w:hAnsi="Arial" w:cs="Arial"/>
        </w:rPr>
        <w:t xml:space="preserve"> </w:t>
      </w:r>
      <w:r w:rsidR="00A809F4">
        <w:rPr>
          <w:rFonts w:ascii="Arial" w:eastAsia="Arial" w:hAnsi="Arial" w:cs="Arial"/>
        </w:rPr>
        <w:t>may</w:t>
      </w:r>
      <w:r>
        <w:rPr>
          <w:rFonts w:ascii="Arial" w:eastAsia="Arial" w:hAnsi="Arial" w:cs="Arial"/>
        </w:rPr>
        <w:t xml:space="preserve"> include links to evidence standards, evidence dashboards, evaluation policies, and other public facing tools that are used to track and communicate the use of evidence and evaluation for </w:t>
      </w:r>
      <w:r w:rsidR="00995299">
        <w:rPr>
          <w:rFonts w:ascii="Arial" w:eastAsia="Arial" w:hAnsi="Arial" w:cs="Arial"/>
        </w:rPr>
        <w:t>F</w:t>
      </w:r>
      <w:r>
        <w:rPr>
          <w:rFonts w:ascii="Arial" w:eastAsia="Arial" w:hAnsi="Arial" w:cs="Arial"/>
        </w:rPr>
        <w:t xml:space="preserve">iscal </w:t>
      </w:r>
      <w:r w:rsidR="00995299">
        <w:rPr>
          <w:rFonts w:ascii="Arial" w:eastAsia="Arial" w:hAnsi="Arial" w:cs="Arial"/>
        </w:rPr>
        <w:t>R</w:t>
      </w:r>
      <w:r>
        <w:rPr>
          <w:rFonts w:ascii="Arial" w:eastAsia="Arial" w:hAnsi="Arial" w:cs="Arial"/>
        </w:rPr>
        <w:t xml:space="preserve">ecovery </w:t>
      </w:r>
      <w:r w:rsidR="00995299">
        <w:rPr>
          <w:rFonts w:ascii="Arial" w:eastAsia="Arial" w:hAnsi="Arial" w:cs="Arial"/>
        </w:rPr>
        <w:t>F</w:t>
      </w:r>
      <w:r>
        <w:rPr>
          <w:rFonts w:ascii="Arial" w:eastAsia="Arial" w:hAnsi="Arial" w:cs="Arial"/>
        </w:rPr>
        <w:t xml:space="preserve">unds. </w:t>
      </w:r>
      <w:r w:rsidRPr="00E95275">
        <w:rPr>
          <w:rFonts w:ascii="Arial" w:eastAsia="Arial" w:hAnsi="Arial" w:cs="Arial"/>
        </w:rPr>
        <w:t xml:space="preserve">Recipients are encouraged to consider how a </w:t>
      </w:r>
      <w:r w:rsidR="00796BB8">
        <w:rPr>
          <w:rFonts w:ascii="Arial" w:eastAsia="Arial" w:hAnsi="Arial" w:cs="Arial"/>
        </w:rPr>
        <w:t>l</w:t>
      </w:r>
      <w:r w:rsidRPr="00E95275">
        <w:rPr>
          <w:rFonts w:ascii="Arial" w:eastAsia="Arial" w:hAnsi="Arial" w:cs="Arial"/>
        </w:rPr>
        <w:t xml:space="preserve">earning </w:t>
      </w:r>
      <w:r w:rsidR="00796BB8">
        <w:rPr>
          <w:rFonts w:ascii="Arial" w:eastAsia="Arial" w:hAnsi="Arial" w:cs="Arial"/>
        </w:rPr>
        <w:t>a</w:t>
      </w:r>
      <w:r w:rsidRPr="00E95275">
        <w:rPr>
          <w:rFonts w:ascii="Arial" w:eastAsia="Arial" w:hAnsi="Arial" w:cs="Arial"/>
        </w:rPr>
        <w:t xml:space="preserve">genda, either narrowly focused on SLFRF or broadly focused on the recipient’s broader policy agenda, could support their overarching evaluation efforts </w:t>
      </w:r>
      <w:r w:rsidRPr="00E95275">
        <w:rPr>
          <w:rFonts w:ascii="Arial" w:eastAsia="Arial" w:hAnsi="Arial" w:cs="Arial"/>
        </w:rPr>
        <w:t>in order to</w:t>
      </w:r>
      <w:r w:rsidRPr="00E95275">
        <w:rPr>
          <w:rFonts w:ascii="Arial" w:eastAsia="Arial" w:hAnsi="Arial" w:cs="Arial"/>
        </w:rPr>
        <w:t xml:space="preserve"> create an evidence-building strategy for their jurisdiction</w:t>
      </w:r>
      <w:bookmarkEnd w:id="18"/>
      <w:r w:rsidRPr="00E95275">
        <w:rPr>
          <w:rFonts w:ascii="Arial" w:eastAsia="Arial" w:hAnsi="Arial" w:cs="Arial"/>
        </w:rPr>
        <w:t>.</w:t>
      </w:r>
      <w:r>
        <w:rPr>
          <w:rStyle w:val="FootnoteReference"/>
          <w:rFonts w:ascii="Arial" w:eastAsia="Arial" w:hAnsi="Arial" w:cs="Arial"/>
        </w:rPr>
        <w:footnoteReference w:id="24"/>
      </w:r>
    </w:p>
    <w:p w:rsidR="008D152B" w:rsidP="008D152B" w14:paraId="1B4D8E79" w14:textId="77777777">
      <w:pPr>
        <w:spacing w:after="0" w:line="240" w:lineRule="auto"/>
        <w:jc w:val="both"/>
        <w:rPr>
          <w:rFonts w:ascii="Arial" w:eastAsia="Arial" w:hAnsi="Arial" w:cs="Arial"/>
        </w:rPr>
      </w:pPr>
    </w:p>
    <w:p w:rsidR="008D152B" w:rsidRPr="00E95275" w:rsidP="008D152B" w14:paraId="095F733B" w14:textId="759AE444">
      <w:pPr>
        <w:spacing w:after="0" w:line="240" w:lineRule="auto"/>
        <w:jc w:val="both"/>
        <w:rPr>
          <w:rFonts w:ascii="Arial" w:eastAsia="Arial" w:hAnsi="Arial" w:cs="Arial"/>
        </w:rPr>
      </w:pPr>
      <w:bookmarkStart w:id="19" w:name="_Hlk102467773"/>
      <w:r>
        <w:rPr>
          <w:rFonts w:ascii="Arial" w:eastAsia="Arial" w:hAnsi="Arial" w:cs="Arial"/>
        </w:rPr>
        <w:t xml:space="preserve">In the Project Inventory section of the Recovery Plan (see Section 8 below), recipients </w:t>
      </w:r>
      <w:r w:rsidRPr="00E95275">
        <w:rPr>
          <w:rFonts w:ascii="Arial" w:eastAsia="Arial" w:hAnsi="Arial" w:cs="Arial"/>
        </w:rPr>
        <w:t>should identify whether SLFRF funds are being used for evidence-based interventions</w:t>
      </w:r>
      <w:r>
        <w:rPr>
          <w:rStyle w:val="FootnoteReference"/>
          <w:rFonts w:ascii="Arial" w:eastAsia="Arial" w:hAnsi="Arial" w:cs="Arial"/>
        </w:rPr>
        <w:footnoteReference w:id="25"/>
      </w:r>
      <w:r w:rsidRPr="00E95275">
        <w:rPr>
          <w:rFonts w:ascii="Arial" w:eastAsia="Arial" w:hAnsi="Arial" w:cs="Arial"/>
        </w:rPr>
        <w:t xml:space="preserve"> and/or if projects are being evaluated through rigorous program evaluations that are designed to build evidence.</w:t>
      </w:r>
      <w:r w:rsidR="006A34E3">
        <w:rPr>
          <w:rFonts w:ascii="Arial" w:eastAsia="Arial" w:hAnsi="Arial" w:cs="Arial"/>
        </w:rPr>
        <w:t xml:space="preserve"> </w:t>
      </w:r>
      <w:bookmarkEnd w:id="19"/>
      <w:r w:rsidR="006A34E3">
        <w:rPr>
          <w:rFonts w:ascii="Arial" w:eastAsia="Arial" w:hAnsi="Arial" w:cs="Arial"/>
        </w:rPr>
        <w:t xml:space="preserve">In the </w:t>
      </w:r>
      <w:r w:rsidR="00995299">
        <w:rPr>
          <w:rFonts w:ascii="Arial" w:eastAsia="Arial" w:hAnsi="Arial" w:cs="Arial"/>
        </w:rPr>
        <w:t>P</w:t>
      </w:r>
      <w:r w:rsidR="006A34E3">
        <w:rPr>
          <w:rFonts w:ascii="Arial" w:eastAsia="Arial" w:hAnsi="Arial" w:cs="Arial"/>
        </w:rPr>
        <w:t xml:space="preserve">roject </w:t>
      </w:r>
      <w:r w:rsidR="00995299">
        <w:rPr>
          <w:rFonts w:ascii="Arial" w:eastAsia="Arial" w:hAnsi="Arial" w:cs="Arial"/>
        </w:rPr>
        <w:t>I</w:t>
      </w:r>
      <w:r w:rsidR="006A34E3">
        <w:rPr>
          <w:rFonts w:ascii="Arial" w:eastAsia="Arial" w:hAnsi="Arial" w:cs="Arial"/>
        </w:rPr>
        <w:t>nventory,</w:t>
      </w:r>
      <w:r w:rsidRPr="00E95275">
        <w:rPr>
          <w:rFonts w:ascii="Arial" w:eastAsia="Arial" w:hAnsi="Arial" w:cs="Arial"/>
        </w:rPr>
        <w:t xml:space="preserve"> </w:t>
      </w:r>
      <w:r w:rsidR="006A34E3">
        <w:rPr>
          <w:rFonts w:ascii="Arial" w:eastAsia="Arial" w:hAnsi="Arial" w:cs="Arial"/>
        </w:rPr>
        <w:t>r</w:t>
      </w:r>
      <w:r w:rsidRPr="00E95275">
        <w:rPr>
          <w:rFonts w:ascii="Arial" w:eastAsia="Arial" w:hAnsi="Arial" w:cs="Arial"/>
        </w:rPr>
        <w:t xml:space="preserve">ecipients must briefly describe the goals of the project and the evidence base for the </w:t>
      </w:r>
      <w:r w:rsidRPr="00E95275">
        <w:rPr>
          <w:rFonts w:ascii="Arial" w:eastAsia="Arial" w:hAnsi="Arial" w:cs="Arial"/>
        </w:rPr>
        <w:t xml:space="preserve">interventions funded by the project. </w:t>
      </w:r>
      <w:r>
        <w:rPr>
          <w:rFonts w:ascii="Arial" w:eastAsia="Arial" w:hAnsi="Arial" w:cs="Arial"/>
        </w:rPr>
        <w:t>As part of the Project Inventory section, r</w:t>
      </w:r>
      <w:r w:rsidRPr="00E95275">
        <w:rPr>
          <w:rFonts w:ascii="Arial" w:eastAsia="Arial" w:hAnsi="Arial" w:cs="Arial"/>
        </w:rPr>
        <w:t xml:space="preserve">ecipients must </w:t>
      </w:r>
      <w:r w:rsidR="006A34E3">
        <w:rPr>
          <w:rFonts w:ascii="Arial" w:eastAsia="Arial" w:hAnsi="Arial" w:cs="Arial"/>
        </w:rPr>
        <w:t xml:space="preserve">also </w:t>
      </w:r>
      <w:r w:rsidRPr="00E95275">
        <w:rPr>
          <w:rFonts w:ascii="Arial" w:eastAsia="Arial" w:hAnsi="Arial" w:cs="Arial"/>
        </w:rPr>
        <w:t>specifically identify the dollar amount of the total project spending that is allocated towards evidence-based interventions for each project in</w:t>
      </w:r>
      <w:r>
        <w:rPr>
          <w:rFonts w:ascii="Arial" w:eastAsia="Arial" w:hAnsi="Arial" w:cs="Arial"/>
        </w:rPr>
        <w:t xml:space="preserve"> the Expenditure Categories noted with an asterisk in Appendix 1.</w:t>
      </w:r>
      <w:r w:rsidRPr="00E95275">
        <w:rPr>
          <w:rFonts w:ascii="Arial" w:eastAsia="Arial" w:hAnsi="Arial" w:cs="Arial"/>
        </w:rPr>
        <w:t xml:space="preserve"> </w:t>
      </w:r>
      <w:r w:rsidRPr="00470999">
        <w:rPr>
          <w:rFonts w:ascii="Arial" w:eastAsia="Arial" w:hAnsi="Arial" w:cs="Arial"/>
        </w:rPr>
        <w:t xml:space="preserve"> </w:t>
      </w:r>
      <w:r>
        <w:rPr>
          <w:rFonts w:ascii="Arial" w:eastAsia="Arial" w:hAnsi="Arial" w:cs="Arial"/>
        </w:rPr>
        <w:t xml:space="preserve">Please note that </w:t>
      </w:r>
      <w:r w:rsidR="006A34E3">
        <w:rPr>
          <w:rFonts w:ascii="Arial" w:eastAsia="Arial" w:hAnsi="Arial" w:cs="Arial"/>
        </w:rPr>
        <w:t xml:space="preserve">to increase consistency, </w:t>
      </w:r>
      <w:r>
        <w:rPr>
          <w:rFonts w:ascii="Arial" w:eastAsia="Arial" w:hAnsi="Arial" w:cs="Arial"/>
        </w:rPr>
        <w:t>the Project and Expenditure report now also includes fields for recipients to identify t</w:t>
      </w:r>
      <w:r w:rsidRPr="0081261B">
        <w:rPr>
          <w:rFonts w:ascii="Arial" w:eastAsia="Arial" w:hAnsi="Arial" w:cs="Arial"/>
        </w:rPr>
        <w:t>he dollar amount of the total project spending that is allocated</w:t>
      </w:r>
      <w:r w:rsidRPr="007A572C">
        <w:rPr>
          <w:rFonts w:ascii="Arial" w:hAnsi="Arial"/>
        </w:rPr>
        <w:t xml:space="preserve"> to </w:t>
      </w:r>
      <w:r w:rsidRPr="0081261B">
        <w:rPr>
          <w:rFonts w:ascii="Arial" w:eastAsia="Arial" w:hAnsi="Arial" w:cs="Arial"/>
        </w:rPr>
        <w:t>evidence-based</w:t>
      </w:r>
      <w:r>
        <w:rPr>
          <w:rFonts w:ascii="Arial" w:eastAsia="Arial" w:hAnsi="Arial" w:cs="Arial"/>
        </w:rPr>
        <w:t xml:space="preserve"> </w:t>
      </w:r>
      <w:r w:rsidRPr="0081261B">
        <w:rPr>
          <w:rFonts w:ascii="Arial" w:eastAsia="Arial" w:hAnsi="Arial" w:cs="Arial"/>
        </w:rPr>
        <w:t>interventions</w:t>
      </w:r>
      <w:r>
        <w:rPr>
          <w:rFonts w:ascii="Arial" w:eastAsia="Arial" w:hAnsi="Arial" w:cs="Arial"/>
        </w:rPr>
        <w:t xml:space="preserve"> and to i</w:t>
      </w:r>
      <w:r w:rsidRPr="0081261B">
        <w:rPr>
          <w:rFonts w:ascii="Arial" w:eastAsia="Arial" w:hAnsi="Arial" w:cs="Arial"/>
        </w:rPr>
        <w:t>ndicate if a program evaluation of the project is being conducted</w:t>
      </w:r>
      <w:r>
        <w:rPr>
          <w:rFonts w:ascii="Arial" w:eastAsia="Arial" w:hAnsi="Arial" w:cs="Arial"/>
        </w:rPr>
        <w:t>.</w:t>
      </w:r>
    </w:p>
    <w:p w:rsidR="008D152B" w:rsidRPr="00E95275" w:rsidP="008D152B" w14:paraId="2DD4458C" w14:textId="77777777">
      <w:pPr>
        <w:spacing w:after="0" w:line="240" w:lineRule="auto"/>
        <w:jc w:val="both"/>
        <w:rPr>
          <w:rFonts w:ascii="Arial" w:eastAsia="Arial" w:hAnsi="Arial" w:cs="Arial"/>
        </w:rPr>
      </w:pPr>
    </w:p>
    <w:p w:rsidR="008D152B" w:rsidP="008D152B" w14:paraId="437CDEA8" w14:textId="358D417C">
      <w:pPr>
        <w:spacing w:after="0" w:line="240" w:lineRule="auto"/>
        <w:jc w:val="both"/>
        <w:rPr>
          <w:rFonts w:ascii="Arial" w:eastAsia="Arial" w:hAnsi="Arial" w:cs="Arial"/>
        </w:rPr>
      </w:pPr>
      <w:r w:rsidRPr="00E95275">
        <w:rPr>
          <w:rFonts w:ascii="Arial" w:eastAsia="Arial" w:hAnsi="Arial" w:cs="Arial"/>
        </w:rPr>
        <w:t xml:space="preserve">Recipients are encouraged </w:t>
      </w:r>
      <w:r>
        <w:rPr>
          <w:rFonts w:ascii="Arial" w:eastAsia="Arial" w:hAnsi="Arial" w:cs="Arial"/>
        </w:rPr>
        <w:t>to reference</w:t>
      </w:r>
      <w:r w:rsidRPr="00E95275">
        <w:rPr>
          <w:rFonts w:ascii="Arial" w:eastAsia="Arial" w:hAnsi="Arial" w:cs="Arial"/>
        </w:rPr>
        <w:t xml:space="preserve"> relevant evidence </w:t>
      </w:r>
      <w:r w:rsidR="00796BB8">
        <w:rPr>
          <w:rFonts w:ascii="Arial" w:eastAsia="Arial" w:hAnsi="Arial" w:cs="Arial"/>
        </w:rPr>
        <w:t>c</w:t>
      </w:r>
      <w:r w:rsidRPr="00E95275">
        <w:rPr>
          <w:rFonts w:ascii="Arial" w:eastAsia="Arial" w:hAnsi="Arial" w:cs="Arial"/>
        </w:rPr>
        <w:t xml:space="preserve">learinghouses, among other sources, to assess the level of evidence for their interventions and identify evidence-based models that could be applied in their jurisdiction; such evidence clearinghouses include the U.S. Department of Education’s </w:t>
      </w:r>
      <w:hyperlink r:id="rId27" w:anchor=":~:text=The%20What%20Works%20Clearinghouse%20(WWC,to%20make%20evidence%2Dbased%20decisions." w:history="1">
        <w:r w:rsidRPr="00E95275">
          <w:rPr>
            <w:rStyle w:val="Hyperlink"/>
            <w:rFonts w:ascii="Arial" w:eastAsia="Arial" w:hAnsi="Arial" w:cs="Arial"/>
          </w:rPr>
          <w:t>What Works Clearinghouse</w:t>
        </w:r>
      </w:hyperlink>
      <w:r w:rsidRPr="00E95275">
        <w:rPr>
          <w:rFonts w:ascii="Arial" w:eastAsia="Arial" w:hAnsi="Arial" w:cs="Arial"/>
        </w:rPr>
        <w:t xml:space="preserve">, the U.S. Department of Labor’s </w:t>
      </w:r>
      <w:hyperlink r:id="rId28" w:history="1">
        <w:r w:rsidRPr="00E95275">
          <w:rPr>
            <w:rStyle w:val="Hyperlink"/>
            <w:rFonts w:ascii="Arial" w:eastAsia="Arial" w:hAnsi="Arial" w:cs="Arial"/>
          </w:rPr>
          <w:t>CLEAR</w:t>
        </w:r>
      </w:hyperlink>
      <w:r w:rsidRPr="00E95275">
        <w:rPr>
          <w:rFonts w:ascii="Arial" w:eastAsia="Arial" w:hAnsi="Arial" w:cs="Arial"/>
        </w:rPr>
        <w:t xml:space="preserve">, and the </w:t>
      </w:r>
      <w:hyperlink r:id="rId29" w:history="1">
        <w:r w:rsidRPr="00E95275">
          <w:rPr>
            <w:rStyle w:val="Hyperlink"/>
            <w:rFonts w:ascii="Arial" w:eastAsia="Arial" w:hAnsi="Arial" w:cs="Arial"/>
          </w:rPr>
          <w:t>Childcare &amp; Early Education Research Connections and the Home Visiting Evidence of Effectiveness</w:t>
        </w:r>
      </w:hyperlink>
      <w:r w:rsidRPr="00E95275">
        <w:rPr>
          <w:rFonts w:ascii="Arial" w:eastAsia="Arial" w:hAnsi="Arial" w:cs="Arial"/>
        </w:rPr>
        <w:t xml:space="preserve"> clearinghouses from Administration for Children and Families, as well as other clearinghouses relevant to particular projects conducted by the recipient. </w:t>
      </w:r>
    </w:p>
    <w:p w:rsidR="008D152B" w:rsidP="008D152B" w14:paraId="2876A1DC" w14:textId="77777777">
      <w:pPr>
        <w:spacing w:after="0" w:line="240" w:lineRule="auto"/>
        <w:jc w:val="both"/>
        <w:rPr>
          <w:rFonts w:ascii="Arial" w:eastAsia="Arial" w:hAnsi="Arial" w:cs="Arial"/>
        </w:rPr>
      </w:pPr>
    </w:p>
    <w:p w:rsidR="008D152B" w:rsidRPr="00E95275" w:rsidP="008D152B" w14:paraId="6A2C2BB1" w14:textId="727424E9">
      <w:pPr>
        <w:spacing w:after="0" w:line="240" w:lineRule="auto"/>
        <w:jc w:val="both"/>
        <w:rPr>
          <w:rFonts w:ascii="Arial" w:eastAsia="Arial" w:hAnsi="Arial" w:cs="Arial"/>
        </w:rPr>
      </w:pPr>
      <w:r w:rsidRPr="00E95275">
        <w:rPr>
          <w:rFonts w:ascii="Arial" w:eastAsia="Arial" w:hAnsi="Arial" w:cs="Arial"/>
        </w:rPr>
        <w:t xml:space="preserve">Recipients are exempt from reporting on evidence-based interventions in cases where a program evaluation is being conducted. </w:t>
      </w:r>
      <w:r w:rsidRPr="00E95275">
        <w:rPr>
          <w:rFonts w:ascii="Arial" w:eastAsia="Arial" w:hAnsi="Arial" w:cs="Arial"/>
        </w:rPr>
        <w:t>In such cases where a recipient is conducting a program evaluation</w:t>
      </w:r>
      <w:r>
        <w:rPr>
          <w:rFonts w:ascii="Arial" w:eastAsia="Arial" w:hAnsi="Arial" w:cs="Arial"/>
        </w:rPr>
        <w:t>,</w:t>
      </w:r>
      <w:r w:rsidRPr="00E95275">
        <w:rPr>
          <w:rFonts w:ascii="Arial" w:eastAsia="Arial" w:hAnsi="Arial" w:cs="Arial"/>
        </w:rPr>
        <w:t xml:space="preserve"> </w:t>
      </w:r>
      <w:r>
        <w:rPr>
          <w:rFonts w:ascii="Arial" w:eastAsia="Arial" w:hAnsi="Arial" w:cs="Arial"/>
        </w:rPr>
        <w:t>recipients</w:t>
      </w:r>
      <w:r w:rsidRPr="00E95275">
        <w:rPr>
          <w:rFonts w:ascii="Arial" w:eastAsia="Arial" w:hAnsi="Arial" w:cs="Arial"/>
        </w:rPr>
        <w:t xml:space="preserve"> must describe the evaluation design</w:t>
      </w:r>
      <w:r w:rsidR="00796BB8">
        <w:rPr>
          <w:rFonts w:ascii="Arial" w:eastAsia="Arial" w:hAnsi="Arial" w:cs="Arial"/>
        </w:rPr>
        <w:t>,</w:t>
      </w:r>
      <w:r w:rsidRPr="00E95275">
        <w:rPr>
          <w:rFonts w:ascii="Arial" w:eastAsia="Arial" w:hAnsi="Arial" w:cs="Arial"/>
        </w:rPr>
        <w:t xml:space="preserve"> including whether it is a randomized or quasi-experimental design; the key research questions being evaluated; whether the study has sufficient statistical power to disaggregate outcomes by demographics; and the timeframe for the completion of the evaluation (including a link to </w:t>
      </w:r>
      <w:r w:rsidR="00796BB8">
        <w:rPr>
          <w:rFonts w:ascii="Arial" w:eastAsia="Arial" w:hAnsi="Arial" w:cs="Arial"/>
        </w:rPr>
        <w:t xml:space="preserve">the </w:t>
      </w:r>
      <w:r w:rsidRPr="00E95275">
        <w:rPr>
          <w:rFonts w:ascii="Arial" w:eastAsia="Arial" w:hAnsi="Arial" w:cs="Arial"/>
        </w:rPr>
        <w:t>completed evaluation if relevant).</w:t>
      </w:r>
      <w:r>
        <w:rPr>
          <w:rStyle w:val="FootnoteReference"/>
          <w:rFonts w:ascii="Arial" w:eastAsia="Arial" w:hAnsi="Arial" w:cs="Arial"/>
        </w:rPr>
        <w:footnoteReference w:id="26"/>
      </w:r>
      <w:r w:rsidRPr="00E95275">
        <w:rPr>
          <w:rFonts w:ascii="Arial" w:eastAsia="Arial" w:hAnsi="Arial" w:cs="Arial"/>
        </w:rPr>
        <w:t xml:space="preserve"> Once the evaluation has been completed, recipients must post the evaluation publicly and link to the completed evaluation in the Recovery Plan. Once an evaluation has been completed (or has sufficient interim findings to determine the efficacy of the intervention), recipients should determine whether the spending for the evaluated interventions should be counted towards the dollar amount categorized as evidence-based for the relevant project.</w:t>
      </w:r>
      <w:r w:rsidRPr="00E95275">
        <w:rPr>
          <w:rFonts w:ascii="Arial" w:eastAsia="Arial" w:hAnsi="Arial" w:cs="Arial"/>
        </w:rPr>
        <w:t xml:space="preserve"> </w:t>
      </w:r>
    </w:p>
    <w:p w:rsidR="008D152B" w:rsidRPr="00E95275" w:rsidP="008D152B" w14:paraId="3B951D09" w14:textId="77777777">
      <w:pPr>
        <w:spacing w:after="0" w:line="240" w:lineRule="auto"/>
        <w:jc w:val="both"/>
        <w:rPr>
          <w:rFonts w:ascii="Arial" w:eastAsia="Arial" w:hAnsi="Arial" w:cs="Arial"/>
        </w:rPr>
      </w:pPr>
    </w:p>
    <w:p w:rsidR="008D152B" w:rsidRPr="00E95275" w:rsidP="008D152B" w14:paraId="6287C626" w14:textId="6CB90271">
      <w:pPr>
        <w:spacing w:after="0" w:line="240" w:lineRule="auto"/>
        <w:jc w:val="both"/>
        <w:rPr>
          <w:rFonts w:ascii="Arial" w:eastAsia="Arial" w:hAnsi="Arial" w:cs="Arial"/>
        </w:rPr>
      </w:pPr>
      <w:r w:rsidRPr="00E95275">
        <w:rPr>
          <w:rFonts w:ascii="Arial" w:eastAsia="Arial" w:hAnsi="Arial" w:cs="Arial"/>
        </w:rPr>
        <w:t xml:space="preserve">For all projects, recipients may be selected to participate in a national evaluation, which </w:t>
      </w:r>
      <w:r>
        <w:rPr>
          <w:rFonts w:ascii="Arial" w:eastAsia="Arial" w:hAnsi="Arial" w:cs="Arial"/>
        </w:rPr>
        <w:t xml:space="preserve">might, for example, </w:t>
      </w:r>
      <w:r w:rsidRPr="00E95275">
        <w:rPr>
          <w:rFonts w:ascii="Arial" w:eastAsia="Arial" w:hAnsi="Arial" w:cs="Arial"/>
        </w:rPr>
        <w:t xml:space="preserve">study their project along with similar projects in other jurisdictions that are focused on the same set of outcomes. In such cases, recipients may be asked to share information and data that is needed for the national evaluation. </w:t>
      </w:r>
    </w:p>
    <w:p w:rsidR="008D152B" w:rsidRPr="00E95275" w:rsidP="008D152B" w14:paraId="0DC97E84" w14:textId="77777777">
      <w:pPr>
        <w:spacing w:after="0" w:line="240" w:lineRule="auto"/>
        <w:jc w:val="both"/>
        <w:rPr>
          <w:rFonts w:ascii="Arial" w:eastAsia="Arial" w:hAnsi="Arial" w:cs="Arial"/>
        </w:rPr>
      </w:pPr>
    </w:p>
    <w:p w:rsidR="008D152B" w:rsidP="008D152B" w14:paraId="06075836" w14:textId="77777777">
      <w:pPr>
        <w:spacing w:after="0" w:line="240" w:lineRule="auto"/>
        <w:jc w:val="both"/>
        <w:rPr>
          <w:rFonts w:ascii="Arial" w:eastAsia="Arial" w:hAnsi="Arial" w:cs="Arial"/>
        </w:rPr>
      </w:pPr>
      <w:r w:rsidRPr="00E95275">
        <w:rPr>
          <w:rFonts w:ascii="Arial" w:eastAsia="Arial" w:hAnsi="Arial" w:cs="Arial"/>
        </w:rPr>
        <w:t>Appendix 2 contains additional information on evidence-based interventions for the purposes of the Recovery Plan.</w:t>
      </w:r>
    </w:p>
    <w:p w:rsidR="008D152B" w:rsidP="008D152B" w14:paraId="62CFC351" w14:textId="77777777">
      <w:pPr>
        <w:spacing w:after="0" w:line="240" w:lineRule="auto"/>
        <w:jc w:val="both"/>
        <w:rPr>
          <w:rFonts w:ascii="Arial" w:eastAsia="Arial" w:hAnsi="Arial" w:cs="Arial"/>
        </w:rPr>
      </w:pPr>
    </w:p>
    <w:p w:rsidR="008D152B" w:rsidRPr="007A572C" w:rsidP="00CE5331" w14:paraId="5784E100" w14:textId="77777777">
      <w:pPr>
        <w:pStyle w:val="ListParagraph"/>
        <w:numPr>
          <w:ilvl w:val="0"/>
          <w:numId w:val="39"/>
        </w:numPr>
        <w:spacing w:after="0" w:line="240" w:lineRule="auto"/>
        <w:jc w:val="both"/>
        <w:rPr>
          <w:rFonts w:ascii="Arial" w:hAnsi="Arial"/>
          <w:b/>
        </w:rPr>
      </w:pPr>
      <w:r w:rsidRPr="007A572C">
        <w:rPr>
          <w:rFonts w:ascii="Arial" w:hAnsi="Arial"/>
          <w:b/>
        </w:rPr>
        <w:t>Performance Report</w:t>
      </w:r>
    </w:p>
    <w:p w:rsidR="008D152B" w:rsidRPr="00E95275" w:rsidP="008D152B" w14:paraId="1FB8B064" w14:textId="067B8768">
      <w:pPr>
        <w:spacing w:after="0" w:line="240" w:lineRule="auto"/>
        <w:jc w:val="both"/>
        <w:rPr>
          <w:rFonts w:ascii="Arial" w:eastAsia="Arial" w:hAnsi="Arial" w:cs="Arial"/>
        </w:rPr>
      </w:pPr>
      <w:r>
        <w:rPr>
          <w:rFonts w:ascii="Arial" w:hAnsi="Arial" w:cs="Arial"/>
        </w:rPr>
        <w:t>In t</w:t>
      </w:r>
      <w:r w:rsidRPr="00E95275">
        <w:rPr>
          <w:rFonts w:ascii="Arial" w:hAnsi="Arial" w:cs="Arial"/>
        </w:rPr>
        <w:t>h</w:t>
      </w:r>
      <w:r>
        <w:rPr>
          <w:rFonts w:ascii="Arial" w:hAnsi="Arial" w:cs="Arial"/>
        </w:rPr>
        <w:t xml:space="preserve">is section, </w:t>
      </w:r>
      <w:r>
        <w:rPr>
          <w:rFonts w:ascii="Arial" w:eastAsia="Arial" w:hAnsi="Arial" w:cs="Arial"/>
        </w:rPr>
        <w:t xml:space="preserve">recipients should </w:t>
      </w:r>
      <w:bookmarkStart w:id="20" w:name="_Hlk102467839"/>
      <w:r>
        <w:rPr>
          <w:rFonts w:ascii="Arial" w:eastAsia="Arial" w:hAnsi="Arial" w:cs="Arial"/>
        </w:rPr>
        <w:t>describe how performance management is incorporated into their SLFRF program, including how they are tracking their overarching jurisdictional goals for these funds as well as measuring results for individual projects.</w:t>
      </w:r>
      <w:r w:rsidRPr="007A572C">
        <w:rPr>
          <w:rFonts w:ascii="Arial" w:hAnsi="Arial"/>
        </w:rPr>
        <w:t xml:space="preserve"> The recipient has</w:t>
      </w:r>
      <w:r w:rsidRPr="00E95275">
        <w:rPr>
          <w:rFonts w:ascii="Arial" w:eastAsia="Arial" w:hAnsi="Arial" w:cs="Arial"/>
        </w:rPr>
        <w:t xml:space="preserve"> flexibility in terms of how this information is presented in the Recovery Plan, and may report key performance indicators for each project, or may group projects with substantially similar goals and the same outcome measures. In some cases, the recipient may choose to include some indicators for each individual project as well as crosscutting indicators. </w:t>
      </w:r>
      <w:r>
        <w:rPr>
          <w:rFonts w:ascii="Arial" w:eastAsia="Arial" w:hAnsi="Arial" w:cs="Arial"/>
        </w:rPr>
        <w:t xml:space="preserve">Recipients </w:t>
      </w:r>
      <w:r w:rsidR="00A809F4">
        <w:rPr>
          <w:rFonts w:ascii="Arial" w:eastAsia="Arial" w:hAnsi="Arial" w:cs="Arial"/>
        </w:rPr>
        <w:t>may</w:t>
      </w:r>
      <w:r>
        <w:rPr>
          <w:rFonts w:ascii="Arial" w:eastAsia="Arial" w:hAnsi="Arial" w:cs="Arial"/>
        </w:rPr>
        <w:t xml:space="preserve"> include links to performance management dashboards, performance management policies, and other public facing tools that are used to track and communicate the performance of </w:t>
      </w:r>
      <w:r w:rsidR="00995299">
        <w:rPr>
          <w:rFonts w:ascii="Arial" w:eastAsia="Arial" w:hAnsi="Arial" w:cs="Arial"/>
        </w:rPr>
        <w:t>F</w:t>
      </w:r>
      <w:r>
        <w:rPr>
          <w:rFonts w:ascii="Arial" w:eastAsia="Arial" w:hAnsi="Arial" w:cs="Arial"/>
        </w:rPr>
        <w:t xml:space="preserve">iscal </w:t>
      </w:r>
      <w:r w:rsidR="00995299">
        <w:rPr>
          <w:rFonts w:ascii="Arial" w:eastAsia="Arial" w:hAnsi="Arial" w:cs="Arial"/>
        </w:rPr>
        <w:t>R</w:t>
      </w:r>
      <w:r>
        <w:rPr>
          <w:rFonts w:ascii="Arial" w:eastAsia="Arial" w:hAnsi="Arial" w:cs="Arial"/>
        </w:rPr>
        <w:t xml:space="preserve">ecovery </w:t>
      </w:r>
      <w:r w:rsidR="00995299">
        <w:rPr>
          <w:rFonts w:ascii="Arial" w:eastAsia="Arial" w:hAnsi="Arial" w:cs="Arial"/>
        </w:rPr>
        <w:t>F</w:t>
      </w:r>
      <w:r>
        <w:rPr>
          <w:rFonts w:ascii="Arial" w:eastAsia="Arial" w:hAnsi="Arial" w:cs="Arial"/>
        </w:rPr>
        <w:t xml:space="preserve">unds. </w:t>
      </w:r>
      <w:r>
        <w:rPr>
          <w:rFonts w:ascii="Arial" w:hAnsi="Arial" w:cs="Arial"/>
        </w:rPr>
        <w:t>In addition to outlining in this section their high</w:t>
      </w:r>
      <w:r w:rsidR="00796BB8">
        <w:rPr>
          <w:rFonts w:ascii="Arial" w:hAnsi="Arial" w:cs="Arial"/>
        </w:rPr>
        <w:t>-</w:t>
      </w:r>
      <w:r>
        <w:rPr>
          <w:rFonts w:ascii="Arial" w:hAnsi="Arial" w:cs="Arial"/>
        </w:rPr>
        <w:t>level approach to performance management, recipients</w:t>
      </w:r>
      <w:r w:rsidRPr="00E95275">
        <w:rPr>
          <w:rFonts w:ascii="Arial" w:hAnsi="Arial" w:cs="Arial"/>
        </w:rPr>
        <w:t xml:space="preserve"> must</w:t>
      </w:r>
      <w:r>
        <w:rPr>
          <w:rFonts w:ascii="Arial" w:hAnsi="Arial" w:cs="Arial"/>
        </w:rPr>
        <w:t xml:space="preserve"> also</w:t>
      </w:r>
      <w:r w:rsidRPr="00E95275">
        <w:rPr>
          <w:rFonts w:ascii="Arial" w:hAnsi="Arial" w:cs="Arial"/>
        </w:rPr>
        <w:t xml:space="preserve"> include key performance indicators for </w:t>
      </w:r>
      <w:r>
        <w:rPr>
          <w:rFonts w:ascii="Arial" w:hAnsi="Arial" w:cs="Arial"/>
        </w:rPr>
        <w:t>each</w:t>
      </w:r>
      <w:r w:rsidRPr="00E95275">
        <w:rPr>
          <w:rFonts w:ascii="Arial" w:hAnsi="Arial" w:cs="Arial"/>
        </w:rPr>
        <w:t xml:space="preserve"> SLFRF project </w:t>
      </w:r>
      <w:r>
        <w:rPr>
          <w:rFonts w:ascii="Arial" w:hAnsi="Arial" w:cs="Arial"/>
        </w:rPr>
        <w:t xml:space="preserve">in the Project Inventory section </w:t>
      </w:r>
      <w:bookmarkEnd w:id="20"/>
      <w:r>
        <w:rPr>
          <w:rFonts w:ascii="Arial" w:hAnsi="Arial" w:cs="Arial"/>
        </w:rPr>
        <w:t>(described below in #8)</w:t>
      </w:r>
      <w:r w:rsidRPr="00E95275">
        <w:rPr>
          <w:rFonts w:ascii="Arial" w:hAnsi="Arial" w:cs="Arial"/>
        </w:rPr>
        <w:t>.</w:t>
      </w:r>
    </w:p>
    <w:p w:rsidR="008D152B" w:rsidRPr="00E95275" w:rsidP="008D152B" w14:paraId="0B53BBAE" w14:textId="77777777">
      <w:pPr>
        <w:spacing w:after="0" w:line="240" w:lineRule="auto"/>
        <w:jc w:val="both"/>
        <w:rPr>
          <w:rFonts w:ascii="Arial" w:eastAsia="Arial" w:hAnsi="Arial" w:cs="Arial"/>
        </w:rPr>
      </w:pPr>
    </w:p>
    <w:p w:rsidR="008D152B" w:rsidP="008D152B" w14:paraId="2653C367" w14:textId="60B21992">
      <w:pPr>
        <w:spacing w:after="0" w:line="240" w:lineRule="auto"/>
        <w:jc w:val="both"/>
        <w:rPr>
          <w:rFonts w:ascii="Arial" w:eastAsia="Arial" w:hAnsi="Arial" w:cs="Arial"/>
        </w:rPr>
      </w:pPr>
      <w:r w:rsidRPr="00E95275">
        <w:rPr>
          <w:rFonts w:ascii="Arial" w:eastAsia="Arial" w:hAnsi="Arial" w:cs="Arial"/>
        </w:rPr>
        <w:t xml:space="preserve">Performance indicators should include both output and outcome measures. Output measures, such as </w:t>
      </w:r>
      <w:r w:rsidR="00796BB8">
        <w:rPr>
          <w:rFonts w:ascii="Arial" w:eastAsia="Arial" w:hAnsi="Arial" w:cs="Arial"/>
        </w:rPr>
        <w:t>the</w:t>
      </w:r>
      <w:r w:rsidRPr="00E95275">
        <w:rPr>
          <w:rFonts w:ascii="Arial" w:eastAsia="Arial" w:hAnsi="Arial" w:cs="Arial"/>
        </w:rPr>
        <w:t xml:space="preserve"> number of students enrolled in an early learning program, provide valuable information about the early implementation stages of a project. Outcome measures, such as the percent of students </w:t>
      </w:r>
      <w:r w:rsidRPr="00E95275">
        <w:rPr>
          <w:rFonts w:ascii="Arial" w:eastAsia="Arial" w:hAnsi="Arial" w:cs="Arial"/>
        </w:rPr>
        <w:t>reading on grade level, provide information about whether a project is achieving its overall goals. Recipients are encouraged to use logic models</w:t>
      </w:r>
      <w:r>
        <w:rPr>
          <w:rStyle w:val="FootnoteReference"/>
          <w:rFonts w:ascii="Arial" w:eastAsia="Arial" w:hAnsi="Arial" w:cs="Arial"/>
        </w:rPr>
        <w:footnoteReference w:id="27"/>
      </w:r>
      <w:r w:rsidRPr="00E95275">
        <w:rPr>
          <w:rFonts w:ascii="Arial" w:eastAsia="Arial" w:hAnsi="Arial" w:cs="Arial"/>
        </w:rPr>
        <w:t xml:space="preserve"> to identify their output and outcome measures. </w:t>
      </w:r>
    </w:p>
    <w:p w:rsidR="008D152B" w:rsidP="008D152B" w14:paraId="767BFAF1" w14:textId="77777777">
      <w:pPr>
        <w:spacing w:after="0" w:line="240" w:lineRule="auto"/>
        <w:jc w:val="both"/>
        <w:rPr>
          <w:rFonts w:ascii="Arial" w:eastAsia="Arial" w:hAnsi="Arial" w:cs="Arial"/>
        </w:rPr>
      </w:pPr>
    </w:p>
    <w:p w:rsidR="008D152B" w:rsidRPr="00E95275" w:rsidP="008D152B" w14:paraId="0D56D60E" w14:textId="01D8075B">
      <w:pPr>
        <w:spacing w:after="0" w:line="240" w:lineRule="auto"/>
        <w:jc w:val="both"/>
        <w:rPr>
          <w:rFonts w:ascii="Arial" w:eastAsia="Arial" w:hAnsi="Arial" w:cs="Arial"/>
        </w:rPr>
      </w:pPr>
      <w:r w:rsidRPr="00E95275">
        <w:rPr>
          <w:rFonts w:ascii="Arial" w:eastAsia="Arial" w:hAnsi="Arial" w:cs="Arial"/>
        </w:rPr>
        <w:t xml:space="preserve">While the initial </w:t>
      </w:r>
      <w:r w:rsidR="00475478">
        <w:rPr>
          <w:rFonts w:ascii="Arial" w:eastAsia="Arial" w:hAnsi="Arial" w:cs="Arial"/>
        </w:rPr>
        <w:t>Recovery Plan</w:t>
      </w:r>
      <w:r w:rsidRPr="00E95275">
        <w:rPr>
          <w:rFonts w:ascii="Arial" w:eastAsia="Arial" w:hAnsi="Arial" w:cs="Arial"/>
        </w:rPr>
        <w:t xml:space="preserve"> focus</w:t>
      </w:r>
      <w:r w:rsidR="00475478">
        <w:rPr>
          <w:rFonts w:ascii="Arial" w:eastAsia="Arial" w:hAnsi="Arial" w:cs="Arial"/>
        </w:rPr>
        <w:t>ed</w:t>
      </w:r>
      <w:r w:rsidRPr="00E95275">
        <w:rPr>
          <w:rFonts w:ascii="Arial" w:eastAsia="Arial" w:hAnsi="Arial" w:cs="Arial"/>
        </w:rPr>
        <w:t xml:space="preserve"> heavily on early output goals, recipients </w:t>
      </w:r>
      <w:r w:rsidR="003E37E5">
        <w:rPr>
          <w:rFonts w:ascii="Arial" w:eastAsia="Arial" w:hAnsi="Arial" w:cs="Arial"/>
        </w:rPr>
        <w:t>should</w:t>
      </w:r>
      <w:r w:rsidRPr="00E95275">
        <w:rPr>
          <w:rFonts w:ascii="Arial" w:eastAsia="Arial" w:hAnsi="Arial" w:cs="Arial"/>
        </w:rPr>
        <w:t xml:space="preserve"> include the related outcome goal for each project and provide updated information on achieving these outcome goals in</w:t>
      </w:r>
      <w:r w:rsidR="00475478">
        <w:rPr>
          <w:rFonts w:ascii="Arial" w:eastAsia="Arial" w:hAnsi="Arial" w:cs="Arial"/>
        </w:rPr>
        <w:t xml:space="preserve"> subsequent</w:t>
      </w:r>
      <w:r w:rsidRPr="00E95275">
        <w:rPr>
          <w:rFonts w:ascii="Arial" w:eastAsia="Arial" w:hAnsi="Arial" w:cs="Arial"/>
        </w:rPr>
        <w:t xml:space="preserve"> annual reports. In cases where recipients are conducting a program evaluation for a project (as described above), the outcome measures in the performance report should be aligned with those being evaluated in the program. </w:t>
      </w:r>
      <w:r>
        <w:rPr>
          <w:rFonts w:ascii="Arial" w:eastAsia="Arial" w:hAnsi="Arial" w:cs="Arial"/>
        </w:rPr>
        <w:t>As described in the final rule, t</w:t>
      </w:r>
      <w:r w:rsidRPr="00E95275">
        <w:rPr>
          <w:rFonts w:ascii="Arial" w:eastAsia="Arial" w:hAnsi="Arial" w:cs="Arial"/>
        </w:rPr>
        <w:t xml:space="preserve">o support their performance measurement and program improvement efforts, recipients are permitted to use funds to make </w:t>
      </w:r>
      <w:r w:rsidRPr="007A572C">
        <w:rPr>
          <w:rFonts w:ascii="Arial" w:hAnsi="Arial"/>
        </w:rPr>
        <w:t>improvements to data or technology infrastructure</w:t>
      </w:r>
      <w:r w:rsidRPr="00E95275">
        <w:rPr>
          <w:rFonts w:ascii="Arial" w:eastAsia="Arial" w:hAnsi="Arial" w:cs="Arial"/>
        </w:rPr>
        <w:t xml:space="preserve"> </w:t>
      </w:r>
      <w:r w:rsidRPr="00E95275">
        <w:rPr>
          <w:rFonts w:ascii="Arial" w:eastAsia="Arial" w:hAnsi="Arial" w:cs="Arial"/>
        </w:rPr>
        <w:t xml:space="preserve">and data analytics, as well as </w:t>
      </w:r>
      <w:r w:rsidR="00475478">
        <w:rPr>
          <w:rFonts w:ascii="Arial" w:eastAsia="Arial" w:hAnsi="Arial" w:cs="Arial"/>
        </w:rPr>
        <w:t xml:space="preserve">perform </w:t>
      </w:r>
      <w:r w:rsidRPr="00E95275">
        <w:rPr>
          <w:rFonts w:ascii="Arial" w:eastAsia="Arial" w:hAnsi="Arial" w:cs="Arial"/>
        </w:rPr>
        <w:t xml:space="preserve">program evaluations. </w:t>
      </w:r>
    </w:p>
    <w:p w:rsidR="008D152B" w:rsidRPr="007A572C" w:rsidP="007A572C" w14:paraId="575E9D25" w14:textId="078C5BF0">
      <w:pPr>
        <w:keepNext/>
        <w:spacing w:after="0" w:line="240" w:lineRule="auto"/>
        <w:jc w:val="both"/>
        <w:rPr>
          <w:rFonts w:ascii="Arial" w:hAnsi="Arial"/>
          <w:b/>
        </w:rPr>
      </w:pPr>
    </w:p>
    <w:p w:rsidR="008D152B" w:rsidRPr="007A572C" w:rsidP="008D152B" w14:paraId="63BF67E9" w14:textId="2D7EC85A">
      <w:pPr>
        <w:spacing w:after="0" w:line="240" w:lineRule="auto"/>
        <w:jc w:val="both"/>
        <w:rPr>
          <w:rFonts w:ascii="Arial" w:hAnsi="Arial"/>
        </w:rPr>
      </w:pPr>
      <w:r w:rsidRPr="007A572C">
        <w:rPr>
          <w:rFonts w:ascii="Arial" w:hAnsi="Arial"/>
        </w:rPr>
        <w:t xml:space="preserve">While recipients have discretion on the full suite of performance indicators to include, </w:t>
      </w:r>
      <w:r w:rsidRPr="007A572C">
        <w:rPr>
          <w:rFonts w:ascii="Arial" w:hAnsi="Arial"/>
        </w:rPr>
        <w:t>a number of</w:t>
      </w:r>
      <w:r w:rsidRPr="007A572C">
        <w:rPr>
          <w:rFonts w:ascii="Arial" w:hAnsi="Arial"/>
        </w:rPr>
        <w:t xml:space="preserve"> mandatory performance indicators and programmatic data must be included.  These are necessary to allow Treasury to conduct oversight as well as understand and aggregate program outcomes across recipients. This section provides an overview of the mandatory performance indicators and programmatic data. </w:t>
      </w:r>
      <w:bookmarkStart w:id="21" w:name="_Hlk102469580"/>
      <w:r w:rsidRPr="007A572C">
        <w:rPr>
          <w:rFonts w:ascii="Arial" w:hAnsi="Arial"/>
        </w:rPr>
        <w:t xml:space="preserve">This information </w:t>
      </w:r>
      <w:r>
        <w:rPr>
          <w:rFonts w:ascii="Arial" w:hAnsi="Arial" w:cs="Arial"/>
        </w:rPr>
        <w:t>should</w:t>
      </w:r>
      <w:r w:rsidRPr="007A572C">
        <w:rPr>
          <w:rFonts w:ascii="Arial" w:hAnsi="Arial"/>
        </w:rPr>
        <w:t xml:space="preserve"> be included in the </w:t>
      </w:r>
      <w:r>
        <w:rPr>
          <w:rFonts w:ascii="Arial" w:hAnsi="Arial" w:cs="Arial"/>
        </w:rPr>
        <w:t>Project Inventory</w:t>
      </w:r>
      <w:r w:rsidRPr="007A572C">
        <w:rPr>
          <w:rFonts w:ascii="Arial" w:hAnsi="Arial"/>
        </w:rPr>
        <w:t>, but this data will also need to be entered directly into the Treasury reporting portal</w:t>
      </w:r>
      <w:r>
        <w:rPr>
          <w:rFonts w:ascii="Arial" w:hAnsi="Arial" w:cs="Arial"/>
        </w:rPr>
        <w:t xml:space="preserve"> as part of the Project and Expenditure report, as Treasury has added these fields </w:t>
      </w:r>
      <w:r w:rsidR="00C86CA0">
        <w:rPr>
          <w:rFonts w:ascii="Arial" w:hAnsi="Arial" w:cs="Arial"/>
        </w:rPr>
        <w:t>(</w:t>
      </w:r>
      <w:r>
        <w:rPr>
          <w:rFonts w:ascii="Arial" w:hAnsi="Arial" w:cs="Arial"/>
        </w:rPr>
        <w:t>for Tier 1 recipients only</w:t>
      </w:r>
      <w:r w:rsidR="00C86CA0">
        <w:rPr>
          <w:rFonts w:ascii="Arial" w:hAnsi="Arial" w:cs="Arial"/>
        </w:rPr>
        <w:t>)</w:t>
      </w:r>
      <w:r>
        <w:rPr>
          <w:rFonts w:ascii="Arial" w:hAnsi="Arial" w:cs="Arial"/>
        </w:rPr>
        <w:t xml:space="preserve"> to the Project and Expenditure report</w:t>
      </w:r>
      <w:bookmarkEnd w:id="21"/>
      <w:r>
        <w:rPr>
          <w:rFonts w:ascii="Arial" w:hAnsi="Arial" w:cs="Arial"/>
        </w:rPr>
        <w:t>.</w:t>
      </w:r>
      <w:r w:rsidRPr="007A572C">
        <w:rPr>
          <w:rFonts w:ascii="Arial" w:hAnsi="Arial"/>
        </w:rPr>
        <w:t xml:space="preserve">  Below is a list of required data for each Expenditure Category</w:t>
      </w:r>
      <w:r>
        <w:rPr>
          <w:rFonts w:ascii="Arial" w:hAnsi="Arial" w:cs="Arial"/>
        </w:rPr>
        <w:t>, where relevant</w:t>
      </w:r>
      <w:r w:rsidRPr="007A572C">
        <w:rPr>
          <w:rFonts w:ascii="Arial" w:hAnsi="Arial"/>
        </w:rPr>
        <w:t xml:space="preserve">. </w:t>
      </w:r>
    </w:p>
    <w:p w:rsidR="008D152B" w:rsidRPr="007A572C" w:rsidP="008D152B" w14:paraId="41023CD2" w14:textId="77777777">
      <w:pPr>
        <w:spacing w:after="0" w:line="240" w:lineRule="auto"/>
        <w:jc w:val="both"/>
        <w:rPr>
          <w:rFonts w:ascii="Arial" w:hAnsi="Arial"/>
          <w:b/>
        </w:rPr>
      </w:pPr>
    </w:p>
    <w:p w:rsidR="008D152B" w:rsidRPr="00E95275" w:rsidP="00CE5331" w14:paraId="0DE422B4" w14:textId="7775B96C">
      <w:pPr>
        <w:pStyle w:val="ListParagraph"/>
        <w:numPr>
          <w:ilvl w:val="0"/>
          <w:numId w:val="40"/>
        </w:numPr>
        <w:spacing w:after="0" w:line="240" w:lineRule="auto"/>
        <w:jc w:val="both"/>
        <w:rPr>
          <w:rFonts w:ascii="Arial" w:hAnsi="Arial" w:cs="Arial"/>
        </w:rPr>
      </w:pPr>
      <w:r w:rsidRPr="007A572C">
        <w:rPr>
          <w:rFonts w:ascii="Arial" w:hAnsi="Arial"/>
          <w:u w:val="single"/>
        </w:rPr>
        <w:t>Household Assistance (EC 2.2</w:t>
      </w:r>
      <w:r w:rsidR="00131E6B">
        <w:rPr>
          <w:rFonts w:ascii="Arial" w:hAnsi="Arial" w:cs="Arial"/>
          <w:u w:val="single"/>
        </w:rPr>
        <w:t>)</w:t>
      </w:r>
      <w:r w:rsidRPr="00E95275">
        <w:rPr>
          <w:rFonts w:ascii="Arial" w:hAnsi="Arial" w:cs="Arial"/>
          <w:u w:val="single"/>
        </w:rPr>
        <w:t xml:space="preserve">, Long-Term Housing </w:t>
      </w:r>
      <w:r>
        <w:rPr>
          <w:rFonts w:ascii="Arial" w:hAnsi="Arial" w:cs="Arial"/>
          <w:u w:val="single"/>
        </w:rPr>
        <w:t>S</w:t>
      </w:r>
      <w:r w:rsidRPr="00E95275">
        <w:rPr>
          <w:rFonts w:ascii="Arial" w:hAnsi="Arial" w:cs="Arial"/>
          <w:u w:val="single"/>
        </w:rPr>
        <w:t xml:space="preserve">ecurity (EC </w:t>
      </w:r>
      <w:r w:rsidRPr="007A572C">
        <w:rPr>
          <w:rFonts w:ascii="Arial" w:hAnsi="Arial"/>
          <w:u w:val="single"/>
        </w:rPr>
        <w:t>2.</w:t>
      </w:r>
      <w:r w:rsidRPr="00E95275">
        <w:rPr>
          <w:rFonts w:ascii="Arial" w:hAnsi="Arial" w:cs="Arial"/>
          <w:u w:val="single"/>
        </w:rPr>
        <w:t>15-2.16</w:t>
      </w:r>
      <w:r w:rsidRPr="007A572C">
        <w:rPr>
          <w:rFonts w:ascii="Arial" w:hAnsi="Arial"/>
          <w:u w:val="single"/>
        </w:rPr>
        <w:t xml:space="preserve">) and Housing Support (EC </w:t>
      </w:r>
      <w:r w:rsidRPr="00E95275">
        <w:rPr>
          <w:rFonts w:ascii="Arial" w:hAnsi="Arial" w:cs="Arial"/>
          <w:u w:val="single"/>
        </w:rPr>
        <w:t>2.17-2.18)</w:t>
      </w:r>
      <w:r w:rsidRPr="00E95275">
        <w:rPr>
          <w:rFonts w:ascii="Arial" w:hAnsi="Arial" w:cs="Arial"/>
        </w:rPr>
        <w:t>:</w:t>
      </w:r>
    </w:p>
    <w:p w:rsidR="008D152B" w:rsidRPr="00E95275" w:rsidP="008D152B" w14:paraId="041401C6" w14:textId="1F284B87">
      <w:pPr>
        <w:pStyle w:val="ListParagraph"/>
        <w:numPr>
          <w:ilvl w:val="0"/>
          <w:numId w:val="13"/>
        </w:numPr>
        <w:spacing w:after="0" w:line="240" w:lineRule="auto"/>
        <w:jc w:val="both"/>
        <w:rPr>
          <w:rFonts w:ascii="Arial" w:hAnsi="Arial" w:cs="Arial"/>
        </w:rPr>
      </w:pPr>
      <w:r w:rsidRPr="00E95275">
        <w:rPr>
          <w:rFonts w:ascii="Arial" w:hAnsi="Arial" w:cs="Arial"/>
        </w:rPr>
        <w:t xml:space="preserve">Number of households receiving eviction prevention services (including legal representation) </w:t>
      </w:r>
    </w:p>
    <w:p w:rsidR="008D152B" w:rsidRPr="00E95275" w:rsidP="008D152B" w14:paraId="0E94CD1E" w14:textId="77777777">
      <w:pPr>
        <w:pStyle w:val="ListParagraph"/>
        <w:numPr>
          <w:ilvl w:val="0"/>
          <w:numId w:val="13"/>
        </w:numPr>
        <w:spacing w:after="0" w:line="240" w:lineRule="auto"/>
        <w:jc w:val="both"/>
        <w:rPr>
          <w:rFonts w:ascii="Arial" w:hAnsi="Arial" w:cs="Arial"/>
        </w:rPr>
      </w:pPr>
      <w:r w:rsidRPr="00E95275">
        <w:rPr>
          <w:rFonts w:ascii="Arial" w:hAnsi="Arial" w:cs="Arial"/>
        </w:rPr>
        <w:t>Number of affordable housing units preserved or developed</w:t>
      </w:r>
    </w:p>
    <w:p w:rsidR="008D152B" w:rsidRPr="00E95275" w:rsidP="008D152B" w14:paraId="7D8DB69C" w14:textId="77777777">
      <w:pPr>
        <w:pStyle w:val="ListParagraph"/>
        <w:spacing w:after="0" w:line="240" w:lineRule="auto"/>
        <w:ind w:left="360"/>
        <w:jc w:val="both"/>
        <w:rPr>
          <w:rFonts w:ascii="Arial" w:hAnsi="Arial" w:cs="Arial"/>
        </w:rPr>
      </w:pPr>
    </w:p>
    <w:p w:rsidR="008D152B" w:rsidRPr="00C847AC" w:rsidP="00CE5331" w14:paraId="40A38026" w14:textId="03704890">
      <w:pPr>
        <w:pStyle w:val="ListParagraph"/>
        <w:numPr>
          <w:ilvl w:val="0"/>
          <w:numId w:val="40"/>
        </w:numPr>
        <w:spacing w:after="0" w:line="240" w:lineRule="auto"/>
        <w:jc w:val="both"/>
        <w:rPr>
          <w:rFonts w:ascii="Arial" w:hAnsi="Arial"/>
          <w:u w:val="single"/>
        </w:rPr>
      </w:pPr>
      <w:r w:rsidRPr="00085BCE">
        <w:rPr>
          <w:rFonts w:ascii="Arial" w:hAnsi="Arial" w:cs="Arial"/>
          <w:u w:val="single"/>
        </w:rPr>
        <w:t>Assistance to Unemployed or Underemployed Workers</w:t>
      </w:r>
      <w:r w:rsidRPr="00085BCE">
        <w:rPr>
          <w:rFonts w:ascii="Arial" w:hAnsi="Arial" w:cs="Arial"/>
          <w:u w:val="single"/>
        </w:rPr>
        <w:t xml:space="preserve"> </w:t>
      </w:r>
      <w:r w:rsidRPr="00E95275">
        <w:rPr>
          <w:rFonts w:ascii="Arial" w:hAnsi="Arial" w:cs="Arial"/>
          <w:u w:val="single"/>
        </w:rPr>
        <w:t>(EC 2</w:t>
      </w:r>
      <w:r w:rsidRPr="00C847AC">
        <w:rPr>
          <w:rFonts w:ascii="Arial" w:hAnsi="Arial"/>
          <w:u w:val="single"/>
        </w:rPr>
        <w:t>.10</w:t>
      </w:r>
      <w:r w:rsidRPr="00E95275">
        <w:rPr>
          <w:rFonts w:ascii="Arial" w:hAnsi="Arial" w:cs="Arial"/>
          <w:u w:val="single"/>
        </w:rPr>
        <w:t>)</w:t>
      </w:r>
      <w:r>
        <w:rPr>
          <w:rFonts w:ascii="Arial" w:hAnsi="Arial" w:cs="Arial"/>
          <w:u w:val="single"/>
        </w:rPr>
        <w:t xml:space="preserve"> and </w:t>
      </w:r>
      <w:r w:rsidRPr="00C07A60">
        <w:rPr>
          <w:rFonts w:ascii="Arial" w:hAnsi="Arial" w:cs="Arial"/>
          <w:u w:val="single"/>
        </w:rPr>
        <w:t>Community Violence Interventions</w:t>
      </w:r>
      <w:r>
        <w:rPr>
          <w:rFonts w:ascii="Arial" w:hAnsi="Arial" w:cs="Arial"/>
          <w:u w:val="single"/>
        </w:rPr>
        <w:t xml:space="preserve"> (EC 1.11)</w:t>
      </w:r>
      <w:r w:rsidRPr="00E95275">
        <w:rPr>
          <w:rFonts w:ascii="Arial" w:hAnsi="Arial" w:cs="Arial"/>
        </w:rPr>
        <w:t>:</w:t>
      </w:r>
      <w:r w:rsidRPr="00E95275">
        <w:rPr>
          <w:rFonts w:ascii="Arial" w:hAnsi="Arial" w:cs="Arial"/>
          <w:u w:val="single"/>
        </w:rPr>
        <w:t xml:space="preserve">     </w:t>
      </w:r>
    </w:p>
    <w:p w:rsidR="008D152B" w:rsidRPr="00E95275" w:rsidP="008D152B" w14:paraId="5B7806D9" w14:textId="77777777">
      <w:pPr>
        <w:pStyle w:val="ListParagraph"/>
        <w:numPr>
          <w:ilvl w:val="0"/>
          <w:numId w:val="13"/>
        </w:numPr>
        <w:spacing w:after="0" w:line="240" w:lineRule="auto"/>
        <w:jc w:val="both"/>
        <w:rPr>
          <w:rFonts w:ascii="Arial" w:hAnsi="Arial" w:cs="Arial"/>
        </w:rPr>
      </w:pPr>
      <w:r w:rsidRPr="00E95275">
        <w:rPr>
          <w:rFonts w:ascii="Arial" w:hAnsi="Arial" w:cs="Arial"/>
        </w:rPr>
        <w:t>Number of workers enrolled in sectoral job training programs</w:t>
      </w:r>
    </w:p>
    <w:p w:rsidR="008D152B" w:rsidRPr="00E95275" w:rsidP="008D152B" w14:paraId="26AB92E4" w14:textId="77777777">
      <w:pPr>
        <w:pStyle w:val="ListParagraph"/>
        <w:numPr>
          <w:ilvl w:val="0"/>
          <w:numId w:val="13"/>
        </w:numPr>
        <w:spacing w:after="0" w:line="240" w:lineRule="auto"/>
        <w:jc w:val="both"/>
        <w:rPr>
          <w:rFonts w:ascii="Arial" w:hAnsi="Arial" w:cs="Arial"/>
        </w:rPr>
      </w:pPr>
      <w:r w:rsidRPr="00E95275">
        <w:rPr>
          <w:rFonts w:ascii="Arial" w:hAnsi="Arial" w:cs="Arial"/>
        </w:rPr>
        <w:t>Number of workers completing sectoral job training programs</w:t>
      </w:r>
    </w:p>
    <w:p w:rsidR="008D152B" w:rsidRPr="00E95275" w:rsidP="008D152B" w14:paraId="1F2F096D" w14:textId="77777777">
      <w:pPr>
        <w:pStyle w:val="ListParagraph"/>
        <w:numPr>
          <w:ilvl w:val="0"/>
          <w:numId w:val="13"/>
        </w:numPr>
        <w:spacing w:after="0" w:line="240" w:lineRule="auto"/>
        <w:jc w:val="both"/>
        <w:rPr>
          <w:rFonts w:ascii="Arial" w:hAnsi="Arial" w:cs="Arial"/>
        </w:rPr>
      </w:pPr>
      <w:r w:rsidRPr="00C847AC">
        <w:rPr>
          <w:rFonts w:ascii="Arial" w:hAnsi="Arial"/>
        </w:rPr>
        <w:t xml:space="preserve">Number of people </w:t>
      </w:r>
      <w:r w:rsidRPr="00E95275">
        <w:rPr>
          <w:rFonts w:ascii="Arial" w:hAnsi="Arial" w:cs="Arial"/>
        </w:rPr>
        <w:t>participating in summer youth employment programs</w:t>
      </w:r>
    </w:p>
    <w:p w:rsidR="008D152B" w:rsidRPr="00E95275" w:rsidP="008D152B" w14:paraId="6A8950D8" w14:textId="77777777">
      <w:pPr>
        <w:spacing w:after="0" w:line="240" w:lineRule="auto"/>
        <w:jc w:val="both"/>
        <w:rPr>
          <w:rFonts w:ascii="Arial" w:hAnsi="Arial" w:cs="Arial"/>
        </w:rPr>
      </w:pPr>
    </w:p>
    <w:p w:rsidR="008D152B" w:rsidRPr="00C847AC" w:rsidP="00CE5331" w14:paraId="30EF5BCA" w14:textId="77777777">
      <w:pPr>
        <w:pStyle w:val="ListParagraph"/>
        <w:numPr>
          <w:ilvl w:val="0"/>
          <w:numId w:val="40"/>
        </w:numPr>
        <w:spacing w:after="0" w:line="240" w:lineRule="auto"/>
        <w:jc w:val="both"/>
        <w:rPr>
          <w:rFonts w:ascii="Arial" w:hAnsi="Arial"/>
        </w:rPr>
      </w:pPr>
      <w:r w:rsidRPr="00E95275">
        <w:rPr>
          <w:rFonts w:ascii="Arial" w:hAnsi="Arial" w:cs="Arial"/>
          <w:u w:val="single"/>
        </w:rPr>
        <w:t>Addressing Educational Disparities (EC 2.24-2.26)</w:t>
      </w:r>
      <w:r>
        <w:rPr>
          <w:rFonts w:ascii="Arial" w:hAnsi="Arial" w:cs="Arial"/>
          <w:u w:val="single"/>
        </w:rPr>
        <w:t xml:space="preserve"> and Addressing Impacts of Lost Instructional Time (EC 2.27)</w:t>
      </w:r>
      <w:r w:rsidRPr="00E95275">
        <w:rPr>
          <w:rFonts w:ascii="Arial" w:hAnsi="Arial" w:cs="Arial"/>
        </w:rPr>
        <w:t>:</w:t>
      </w:r>
      <w:r w:rsidRPr="00C847AC">
        <w:rPr>
          <w:rFonts w:ascii="Arial" w:hAnsi="Arial"/>
        </w:rPr>
        <w:t xml:space="preserve"> </w:t>
      </w:r>
    </w:p>
    <w:p w:rsidR="008D152B" w:rsidRPr="00C847AC" w:rsidP="008D152B" w14:paraId="69A12EBE" w14:textId="77777777">
      <w:pPr>
        <w:pStyle w:val="ListParagraph"/>
        <w:numPr>
          <w:ilvl w:val="0"/>
          <w:numId w:val="13"/>
        </w:numPr>
        <w:spacing w:after="0" w:line="240" w:lineRule="auto"/>
        <w:jc w:val="both"/>
        <w:rPr>
          <w:rFonts w:ascii="Arial" w:hAnsi="Arial"/>
        </w:rPr>
      </w:pPr>
      <w:r w:rsidRPr="00C847AC">
        <w:rPr>
          <w:rFonts w:ascii="Arial" w:hAnsi="Arial"/>
        </w:rPr>
        <w:t>Number of students participating in evidence-based tutoring programs</w:t>
      </w:r>
      <w:r>
        <w:rPr>
          <w:rStyle w:val="FootnoteReference"/>
          <w:rFonts w:ascii="Arial" w:hAnsi="Arial"/>
        </w:rPr>
        <w:footnoteReference w:id="28"/>
      </w:r>
    </w:p>
    <w:p w:rsidR="008D152B" w:rsidRPr="00C847AC" w:rsidP="008D152B" w14:paraId="678B3179" w14:textId="77777777">
      <w:pPr>
        <w:spacing w:after="0" w:line="240" w:lineRule="auto"/>
        <w:contextualSpacing/>
        <w:jc w:val="both"/>
        <w:rPr>
          <w:rFonts w:ascii="Arial" w:hAnsi="Arial"/>
        </w:rPr>
      </w:pPr>
    </w:p>
    <w:p w:rsidR="008D152B" w:rsidRPr="00E95275" w:rsidP="00CE5331" w14:paraId="61F5D1DC" w14:textId="577FD06A">
      <w:pPr>
        <w:pStyle w:val="ListParagraph"/>
        <w:numPr>
          <w:ilvl w:val="0"/>
          <w:numId w:val="40"/>
        </w:numPr>
        <w:spacing w:after="0" w:line="240" w:lineRule="auto"/>
        <w:jc w:val="both"/>
        <w:rPr>
          <w:rFonts w:ascii="Arial" w:hAnsi="Arial" w:cs="Arial"/>
        </w:rPr>
      </w:pPr>
      <w:r w:rsidRPr="00C847AC">
        <w:rPr>
          <w:rFonts w:ascii="Arial" w:hAnsi="Arial"/>
          <w:u w:val="single"/>
        </w:rPr>
        <w:t xml:space="preserve">Healthy Childhood Environments (EC </w:t>
      </w:r>
      <w:r w:rsidRPr="00E95275">
        <w:rPr>
          <w:rFonts w:ascii="Arial" w:hAnsi="Arial" w:cs="Arial"/>
          <w:u w:val="single"/>
        </w:rPr>
        <w:t>2.11-2.1</w:t>
      </w:r>
      <w:r>
        <w:rPr>
          <w:rFonts w:ascii="Arial" w:hAnsi="Arial" w:cs="Arial"/>
          <w:u w:val="single"/>
        </w:rPr>
        <w:t>4</w:t>
      </w:r>
      <w:r w:rsidRPr="00E95275">
        <w:rPr>
          <w:rFonts w:ascii="Arial" w:hAnsi="Arial" w:cs="Arial"/>
          <w:u w:val="single"/>
        </w:rPr>
        <w:t>)</w:t>
      </w:r>
      <w:r w:rsidRPr="00E95275">
        <w:rPr>
          <w:rFonts w:ascii="Arial" w:hAnsi="Arial" w:cs="Arial"/>
        </w:rPr>
        <w:t>:</w:t>
      </w:r>
    </w:p>
    <w:p w:rsidR="008D152B" w:rsidRPr="00C847AC" w:rsidP="008D152B" w14:paraId="2E80DC22" w14:textId="7F7530BC">
      <w:pPr>
        <w:pStyle w:val="ListParagraph"/>
        <w:numPr>
          <w:ilvl w:val="0"/>
          <w:numId w:val="14"/>
        </w:numPr>
        <w:spacing w:after="0" w:line="240" w:lineRule="auto"/>
        <w:jc w:val="both"/>
        <w:rPr>
          <w:rFonts w:ascii="Arial" w:hAnsi="Arial"/>
        </w:rPr>
      </w:pPr>
      <w:r w:rsidRPr="00C847AC">
        <w:rPr>
          <w:rFonts w:ascii="Arial" w:hAnsi="Arial"/>
        </w:rPr>
        <w:t xml:space="preserve">Number of children served by childcare and early learning </w:t>
      </w:r>
      <w:r w:rsidR="00995299">
        <w:rPr>
          <w:rFonts w:ascii="Arial" w:hAnsi="Arial" w:cs="Arial"/>
        </w:rPr>
        <w:t xml:space="preserve">services </w:t>
      </w:r>
      <w:r w:rsidRPr="00C847AC">
        <w:rPr>
          <w:rFonts w:ascii="Arial" w:hAnsi="Arial"/>
        </w:rPr>
        <w:t xml:space="preserve">(pre-school/pre-K/ages 3-5) </w:t>
      </w:r>
    </w:p>
    <w:p w:rsidR="008D152B" w:rsidRPr="00C847AC" w:rsidP="008D152B" w14:paraId="2089DDD1" w14:textId="77777777">
      <w:pPr>
        <w:pStyle w:val="ListParagraph"/>
        <w:numPr>
          <w:ilvl w:val="0"/>
          <w:numId w:val="14"/>
        </w:numPr>
        <w:spacing w:after="0" w:line="240" w:lineRule="auto"/>
        <w:jc w:val="both"/>
        <w:rPr>
          <w:rFonts w:ascii="Arial" w:hAnsi="Arial"/>
        </w:rPr>
      </w:pPr>
      <w:r w:rsidRPr="00C847AC">
        <w:rPr>
          <w:rFonts w:ascii="Arial" w:hAnsi="Arial"/>
        </w:rPr>
        <w:t>Number of families served by home visiting</w:t>
      </w:r>
    </w:p>
    <w:p w:rsidR="008D152B" w:rsidRPr="00C847AC" w:rsidP="008D152B" w14:paraId="640F701E" w14:textId="77777777">
      <w:pPr>
        <w:keepNext/>
        <w:spacing w:after="0" w:line="240" w:lineRule="auto"/>
        <w:jc w:val="both"/>
        <w:rPr>
          <w:rFonts w:ascii="Arial" w:hAnsi="Arial"/>
          <w:b/>
        </w:rPr>
      </w:pPr>
    </w:p>
    <w:p w:rsidR="008D152B" w:rsidRPr="00E95275" w:rsidP="008D152B" w14:paraId="3F4D1CE5" w14:textId="5D8F1D23">
      <w:pPr>
        <w:spacing w:after="0" w:line="240" w:lineRule="auto"/>
        <w:jc w:val="both"/>
        <w:rPr>
          <w:rFonts w:ascii="Arial" w:eastAsia="Arial" w:hAnsi="Arial" w:cs="Arial"/>
        </w:rPr>
      </w:pPr>
      <w:r w:rsidRPr="00E95275">
        <w:rPr>
          <w:rFonts w:ascii="Arial" w:eastAsia="Arial" w:hAnsi="Arial" w:cs="Arial"/>
        </w:rPr>
        <w:t>The initial report should</w:t>
      </w:r>
      <w:r w:rsidR="00326104">
        <w:rPr>
          <w:rFonts w:ascii="Arial" w:eastAsia="Arial" w:hAnsi="Arial" w:cs="Arial"/>
        </w:rPr>
        <w:t xml:space="preserve"> have</w:t>
      </w:r>
      <w:r w:rsidRPr="00E95275">
        <w:rPr>
          <w:rFonts w:ascii="Arial" w:eastAsia="Arial" w:hAnsi="Arial" w:cs="Arial"/>
        </w:rPr>
        <w:t xml:space="preserve"> include</w:t>
      </w:r>
      <w:r w:rsidR="00326104">
        <w:rPr>
          <w:rFonts w:ascii="Arial" w:eastAsia="Arial" w:hAnsi="Arial" w:cs="Arial"/>
        </w:rPr>
        <w:t>d</w:t>
      </w:r>
      <w:r w:rsidRPr="00E95275">
        <w:rPr>
          <w:rFonts w:ascii="Arial" w:eastAsia="Arial" w:hAnsi="Arial" w:cs="Arial"/>
        </w:rPr>
        <w:t xml:space="preserve"> the key indicators above.  Each annual report thereafter should include updated data for the performance period as well as prior period data, and a brief narrative adding any additional context to help the reader interpret the results and understand any changes in performance indicators over time.  To the extent possible, Treasury also encourages recipients to provide data disaggregated by race, ethnicity, gender, income, and other relevant factors.</w:t>
      </w:r>
    </w:p>
    <w:p w:rsidR="008D152B" w:rsidRPr="00C847AC" w:rsidP="0097189B" w14:paraId="0C5A498C" w14:textId="77777777">
      <w:pPr>
        <w:spacing w:after="0" w:line="240" w:lineRule="auto"/>
        <w:jc w:val="both"/>
        <w:rPr>
          <w:rFonts w:ascii="Arial" w:hAnsi="Arial"/>
          <w:b/>
        </w:rPr>
      </w:pPr>
    </w:p>
    <w:p w:rsidR="008D152B" w:rsidRPr="00E95275" w:rsidP="00CE5331" w14:paraId="7EC436DA" w14:textId="77777777">
      <w:pPr>
        <w:pStyle w:val="ListParagraph"/>
        <w:numPr>
          <w:ilvl w:val="0"/>
          <w:numId w:val="39"/>
        </w:numPr>
        <w:spacing w:after="0" w:line="240" w:lineRule="auto"/>
        <w:jc w:val="both"/>
        <w:rPr>
          <w:rFonts w:ascii="Arial" w:hAnsi="Arial" w:cs="Arial"/>
          <w:b/>
          <w:bCs/>
        </w:rPr>
      </w:pPr>
      <w:r w:rsidRPr="00E95275">
        <w:rPr>
          <w:rFonts w:ascii="Arial" w:hAnsi="Arial" w:cs="Arial"/>
          <w:b/>
          <w:bCs/>
        </w:rPr>
        <w:t>Project Inventory</w:t>
      </w:r>
      <w:r>
        <w:rPr>
          <w:rFonts w:ascii="Arial" w:hAnsi="Arial" w:cs="Arial"/>
          <w:b/>
          <w:bCs/>
        </w:rPr>
        <w:t xml:space="preserve"> </w:t>
      </w:r>
    </w:p>
    <w:p w:rsidR="008D152B" w:rsidP="008D152B" w14:paraId="487955D6" w14:textId="77777777">
      <w:pPr>
        <w:pStyle w:val="ListParagraph"/>
        <w:spacing w:after="0" w:line="240" w:lineRule="auto"/>
        <w:ind w:left="0"/>
        <w:jc w:val="both"/>
        <w:rPr>
          <w:rFonts w:ascii="Arial" w:hAnsi="Arial" w:cs="Arial"/>
        </w:rPr>
      </w:pPr>
    </w:p>
    <w:p w:rsidR="001028EE" w:rsidP="008D152B" w14:paraId="1739E27E" w14:textId="72402854">
      <w:pPr>
        <w:spacing w:after="0" w:line="240" w:lineRule="auto"/>
        <w:jc w:val="both"/>
        <w:rPr>
          <w:rFonts w:ascii="Arial" w:hAnsi="Arial" w:cs="Arial"/>
        </w:rPr>
      </w:pPr>
      <w:r>
        <w:rPr>
          <w:rFonts w:ascii="Arial" w:hAnsi="Arial" w:cs="Arial"/>
        </w:rPr>
        <w:t>In this section, recipients should l</w:t>
      </w:r>
      <w:r w:rsidRPr="00E95275">
        <w:rPr>
          <w:rFonts w:ascii="Arial" w:hAnsi="Arial" w:cs="Arial"/>
        </w:rPr>
        <w:t xml:space="preserve">ist the name and provide a brief description of </w:t>
      </w:r>
      <w:r w:rsidR="004D40D1">
        <w:rPr>
          <w:rFonts w:ascii="Arial" w:hAnsi="Arial" w:cs="Arial"/>
        </w:rPr>
        <w:t>each</w:t>
      </w:r>
      <w:r w:rsidRPr="00E95275">
        <w:rPr>
          <w:rFonts w:ascii="Arial" w:hAnsi="Arial" w:cs="Arial"/>
        </w:rPr>
        <w:t xml:space="preserve"> SLFRF funded project. Projects are</w:t>
      </w:r>
      <w:r w:rsidRPr="0097473D" w:rsidR="0097473D">
        <w:t xml:space="preserve"> </w:t>
      </w:r>
      <w:r w:rsidR="0097473D">
        <w:t xml:space="preserve">defined as a grouping of closely related activities that together are intended to achieve a specific goal or are directed toward a common purpose. </w:t>
      </w:r>
      <w:r w:rsidRPr="00E95275">
        <w:rPr>
          <w:rFonts w:ascii="Arial" w:hAnsi="Arial" w:cs="Arial"/>
        </w:rPr>
        <w:t xml:space="preserve"> </w:t>
      </w:r>
      <w:r w:rsidR="0097473D">
        <w:rPr>
          <w:rFonts w:ascii="Arial" w:hAnsi="Arial" w:cs="Arial"/>
        </w:rPr>
        <w:t xml:space="preserve">These activities can include </w:t>
      </w:r>
      <w:r w:rsidRPr="00E95275">
        <w:rPr>
          <w:rFonts w:ascii="Arial" w:hAnsi="Arial" w:cs="Arial"/>
        </w:rPr>
        <w:t xml:space="preserve">new or existing eligible government services or investments funded in whole or in part by SLFRF funding.  </w:t>
      </w:r>
    </w:p>
    <w:p w:rsidR="001028EE" w:rsidP="008D152B" w14:paraId="40246BF1" w14:textId="77777777">
      <w:pPr>
        <w:spacing w:after="0" w:line="240" w:lineRule="auto"/>
        <w:jc w:val="both"/>
        <w:rPr>
          <w:rFonts w:ascii="Arial" w:hAnsi="Arial" w:cs="Arial"/>
        </w:rPr>
      </w:pPr>
    </w:p>
    <w:p w:rsidR="001028EE" w:rsidP="008D152B" w14:paraId="55ECE313" w14:textId="00AAC91A">
      <w:pPr>
        <w:spacing w:after="0" w:line="240" w:lineRule="auto"/>
        <w:jc w:val="both"/>
        <w:rPr>
          <w:rFonts w:ascii="Arial" w:hAnsi="Arial" w:cs="Arial"/>
        </w:rPr>
      </w:pPr>
      <w:r w:rsidRPr="00E95275">
        <w:rPr>
          <w:rFonts w:ascii="Arial" w:hAnsi="Arial" w:cs="Arial"/>
        </w:rPr>
        <w:t xml:space="preserve">For each project, </w:t>
      </w:r>
      <w:r>
        <w:rPr>
          <w:rFonts w:ascii="Arial" w:hAnsi="Arial" w:cs="Arial"/>
        </w:rPr>
        <w:t xml:space="preserve">recipients should </w:t>
      </w:r>
      <w:r w:rsidRPr="00E95275">
        <w:rPr>
          <w:rFonts w:ascii="Arial" w:hAnsi="Arial" w:cs="Arial"/>
        </w:rPr>
        <w:t>include the project name, funding amount, identification number (</w:t>
      </w:r>
      <w:r>
        <w:rPr>
          <w:rFonts w:ascii="Arial" w:hAnsi="Arial" w:cs="Arial"/>
        </w:rPr>
        <w:t xml:space="preserve">the same identification number </w:t>
      </w:r>
      <w:r w:rsidRPr="00E95275">
        <w:rPr>
          <w:rFonts w:ascii="Arial" w:hAnsi="Arial" w:cs="Arial"/>
        </w:rPr>
        <w:t xml:space="preserve">created by the recipient </w:t>
      </w:r>
      <w:r>
        <w:rPr>
          <w:rFonts w:ascii="Arial" w:hAnsi="Arial" w:cs="Arial"/>
        </w:rPr>
        <w:t>that matches the identification number used</w:t>
      </w:r>
      <w:r w:rsidRPr="00E95275">
        <w:rPr>
          <w:rFonts w:ascii="Arial" w:hAnsi="Arial" w:cs="Arial"/>
        </w:rPr>
        <w:t xml:space="preserve"> in the quarterly </w:t>
      </w:r>
      <w:r w:rsidR="00192488">
        <w:rPr>
          <w:rFonts w:ascii="Arial" w:hAnsi="Arial" w:cs="Arial"/>
        </w:rPr>
        <w:t>Project</w:t>
      </w:r>
      <w:r w:rsidRPr="00E95275" w:rsidR="00192488">
        <w:rPr>
          <w:rFonts w:ascii="Arial" w:hAnsi="Arial" w:cs="Arial"/>
        </w:rPr>
        <w:t xml:space="preserve"> </w:t>
      </w:r>
      <w:r w:rsidRPr="00E95275">
        <w:rPr>
          <w:rFonts w:ascii="Arial" w:hAnsi="Arial" w:cs="Arial"/>
        </w:rPr>
        <w:t xml:space="preserve">and Expenditure Report), project Expenditure Category (see Appendix 1), and a description of the project </w:t>
      </w:r>
      <w:r w:rsidR="00A809F4">
        <w:rPr>
          <w:rFonts w:ascii="Arial" w:hAnsi="Arial" w:cs="Arial"/>
        </w:rPr>
        <w:t>that</w:t>
      </w:r>
      <w:r w:rsidRPr="00E95275" w:rsidR="00A809F4">
        <w:rPr>
          <w:rFonts w:ascii="Arial" w:hAnsi="Arial" w:cs="Arial"/>
        </w:rPr>
        <w:t xml:space="preserve"> </w:t>
      </w:r>
      <w:r w:rsidRPr="00E95275">
        <w:rPr>
          <w:rFonts w:ascii="Arial" w:hAnsi="Arial" w:cs="Arial"/>
        </w:rPr>
        <w:t>includes an overview of the main activities of the project, approximate timeline, primary delivery mechanisms and partners</w:t>
      </w:r>
      <w:r w:rsidR="00CD51D0">
        <w:rPr>
          <w:rFonts w:ascii="Arial" w:hAnsi="Arial" w:cs="Arial"/>
        </w:rPr>
        <w:t>, and</w:t>
      </w:r>
      <w:r w:rsidR="00A407DD">
        <w:rPr>
          <w:rFonts w:ascii="Arial" w:hAnsi="Arial" w:cs="Arial"/>
        </w:rPr>
        <w:t xml:space="preserve"> </w:t>
      </w:r>
      <w:r w:rsidRPr="00E95275">
        <w:rPr>
          <w:rFonts w:ascii="Arial" w:hAnsi="Arial" w:cs="Arial"/>
        </w:rPr>
        <w:t>intended outcomes</w:t>
      </w:r>
      <w:r>
        <w:rPr>
          <w:rFonts w:ascii="Arial" w:hAnsi="Arial" w:cs="Arial"/>
        </w:rPr>
        <w:t xml:space="preserve">. </w:t>
      </w:r>
      <w:r w:rsidR="00C94B88">
        <w:rPr>
          <w:rFonts w:ascii="Arial" w:hAnsi="Arial" w:cs="Arial"/>
        </w:rPr>
        <w:t>Each jurisdiction should also i</w:t>
      </w:r>
      <w:r w:rsidRPr="00E95275" w:rsidR="00C94B88">
        <w:rPr>
          <w:rFonts w:ascii="Arial" w:hAnsi="Arial" w:cs="Arial"/>
        </w:rPr>
        <w:t>nclude a link to the website of the project if available.  This information will provide context and additional detail for the information reported quarterly in the Project and Expenditure Report</w:t>
      </w:r>
      <w:r w:rsidR="00C94B88">
        <w:rPr>
          <w:rFonts w:ascii="Arial" w:hAnsi="Arial" w:cs="Arial"/>
        </w:rPr>
        <w:t>.</w:t>
      </w:r>
    </w:p>
    <w:p w:rsidR="001028EE" w:rsidP="008D152B" w14:paraId="7F2E298A" w14:textId="77777777">
      <w:pPr>
        <w:spacing w:after="0" w:line="240" w:lineRule="auto"/>
        <w:jc w:val="both"/>
        <w:rPr>
          <w:rFonts w:ascii="Arial" w:hAnsi="Arial" w:cs="Arial"/>
        </w:rPr>
      </w:pPr>
    </w:p>
    <w:p w:rsidR="001028EE" w:rsidP="008D152B" w14:paraId="7E67C812" w14:textId="15873FE4">
      <w:pPr>
        <w:spacing w:after="0" w:line="240" w:lineRule="auto"/>
        <w:jc w:val="both"/>
        <w:rPr>
          <w:rFonts w:ascii="Arial" w:eastAsia="Arial" w:hAnsi="Arial" w:cs="Arial"/>
        </w:rPr>
      </w:pPr>
      <w:r w:rsidRPr="006D7688">
        <w:rPr>
          <w:rFonts w:ascii="Arial" w:hAnsi="Arial" w:cs="Arial"/>
        </w:rPr>
        <w:t>For infrastructure projects, where relevant, recipients should describe how the project contributes to addressing climate change and/or advances the Justice40 initiative</w:t>
      </w:r>
      <w:r>
        <w:rPr>
          <w:rStyle w:val="FootnoteReference"/>
          <w:rFonts w:ascii="Arial" w:hAnsi="Arial" w:cs="Arial"/>
        </w:rPr>
        <w:footnoteReference w:id="29"/>
      </w:r>
      <w:r>
        <w:rPr>
          <w:rFonts w:ascii="Arial" w:hAnsi="Arial" w:cs="Arial"/>
        </w:rPr>
        <w:t xml:space="preserve">, </w:t>
      </w:r>
      <w:r w:rsidRPr="006D7688">
        <w:rPr>
          <w:rFonts w:ascii="Arial" w:hAnsi="Arial" w:cs="Arial"/>
        </w:rPr>
        <w:t xml:space="preserve">which sets a target of providing 40 percent of the benefits of </w:t>
      </w:r>
      <w:r w:rsidR="003940B2">
        <w:rPr>
          <w:rFonts w:ascii="Arial" w:hAnsi="Arial" w:cs="Arial"/>
        </w:rPr>
        <w:t>certain federal investment</w:t>
      </w:r>
      <w:r w:rsidR="0061663B">
        <w:rPr>
          <w:rFonts w:ascii="Arial" w:hAnsi="Arial" w:cs="Arial"/>
        </w:rPr>
        <w:t xml:space="preserve">s, including </w:t>
      </w:r>
      <w:r w:rsidRPr="006D7688">
        <w:rPr>
          <w:rFonts w:ascii="Arial" w:hAnsi="Arial" w:cs="Arial"/>
        </w:rPr>
        <w:t>climate and clean energy investments to disadvantaged communities</w:t>
      </w:r>
      <w:r>
        <w:rPr>
          <w:rFonts w:ascii="Arial" w:hAnsi="Arial" w:cs="Arial"/>
        </w:rPr>
        <w:t>.</w:t>
      </w:r>
    </w:p>
    <w:p w:rsidR="001028EE" w:rsidP="008D152B" w14:paraId="5847F565" w14:textId="77777777">
      <w:pPr>
        <w:spacing w:after="0" w:line="240" w:lineRule="auto"/>
        <w:jc w:val="both"/>
        <w:rPr>
          <w:rFonts w:ascii="Arial" w:eastAsia="Arial" w:hAnsi="Arial" w:cs="Arial"/>
        </w:rPr>
      </w:pPr>
    </w:p>
    <w:p w:rsidR="008D152B" w:rsidRPr="00E95275" w:rsidP="008D152B" w14:paraId="71DECA55" w14:textId="781135BD">
      <w:pPr>
        <w:spacing w:after="0" w:line="240" w:lineRule="auto"/>
        <w:jc w:val="both"/>
        <w:rPr>
          <w:rFonts w:ascii="Arial" w:eastAsia="Arial" w:hAnsi="Arial" w:cs="Arial"/>
        </w:rPr>
      </w:pPr>
      <w:r>
        <w:rPr>
          <w:rFonts w:ascii="Arial" w:eastAsia="Arial" w:hAnsi="Arial" w:cs="Arial"/>
        </w:rPr>
        <w:t xml:space="preserve">As noted above in section 6, the Project Inventory must also include information about the </w:t>
      </w:r>
      <w:r w:rsidRPr="00E95275">
        <w:rPr>
          <w:rFonts w:ascii="Arial" w:eastAsia="Arial" w:hAnsi="Arial" w:cs="Arial"/>
        </w:rPr>
        <w:t xml:space="preserve">dollar amount of the total project spending that is allocated towards evidence-based interventions </w:t>
      </w:r>
      <w:r>
        <w:rPr>
          <w:rFonts w:ascii="Arial" w:eastAsia="Arial" w:hAnsi="Arial" w:cs="Arial"/>
        </w:rPr>
        <w:t xml:space="preserve">(or describe how projects are being evaluated as noted above). </w:t>
      </w:r>
      <w:r w:rsidRPr="00E95275">
        <w:rPr>
          <w:rFonts w:ascii="Arial" w:eastAsia="Arial" w:hAnsi="Arial" w:cs="Arial"/>
        </w:rPr>
        <w:t xml:space="preserve"> </w:t>
      </w:r>
      <w:r>
        <w:rPr>
          <w:rFonts w:ascii="Arial" w:eastAsia="Arial" w:hAnsi="Arial" w:cs="Arial"/>
        </w:rPr>
        <w:t xml:space="preserve">As described above in section 7, the Project Inventory must also contain information about the performance indicators for each project, including both those measures that recipients have defined for each project as well as the mandatory performance indicators defined by Treasury. </w:t>
      </w:r>
    </w:p>
    <w:p w:rsidR="008D152B" w:rsidP="008D152B" w14:paraId="0B0505AF" w14:textId="77777777">
      <w:pPr>
        <w:pStyle w:val="ListParagraph"/>
        <w:spacing w:after="0" w:line="240" w:lineRule="auto"/>
        <w:ind w:left="0"/>
        <w:jc w:val="both"/>
        <w:rPr>
          <w:rFonts w:ascii="Arial" w:hAnsi="Arial" w:cs="Arial"/>
        </w:rPr>
      </w:pPr>
    </w:p>
    <w:p w:rsidR="008D152B" w:rsidP="008D152B" w14:paraId="5AB7C624" w14:textId="44BFB4E6">
      <w:pPr>
        <w:pStyle w:val="ListParagraph"/>
        <w:spacing w:after="0" w:line="240" w:lineRule="auto"/>
        <w:ind w:left="0"/>
        <w:jc w:val="both"/>
        <w:rPr>
          <w:rFonts w:ascii="Arial" w:hAnsi="Arial" w:cs="Arial"/>
        </w:rPr>
      </w:pPr>
      <w:bookmarkStart w:id="23" w:name="_Hlk102469836"/>
      <w:r>
        <w:rPr>
          <w:rFonts w:ascii="Arial" w:hAnsi="Arial" w:cs="Arial"/>
        </w:rPr>
        <w:t>Recipients have flexibility in the presentation and format of their Project Inventory, provided it includes the minimum required information</w:t>
      </w:r>
      <w:r w:rsidR="00A368EB">
        <w:rPr>
          <w:rFonts w:ascii="Arial" w:hAnsi="Arial" w:cs="Arial"/>
        </w:rPr>
        <w:t>.</w:t>
      </w:r>
      <w:r>
        <w:rPr>
          <w:rFonts w:ascii="Arial" w:hAnsi="Arial" w:cs="Arial"/>
        </w:rPr>
        <w:t xml:space="preserve"> Recipients have the option of downloading a spreadsheet of the information </w:t>
      </w:r>
      <w:r>
        <w:rPr>
          <w:rFonts w:ascii="Arial" w:hAnsi="Arial" w:cs="Arial"/>
        </w:rPr>
        <w:t>entered into</w:t>
      </w:r>
      <w:r>
        <w:rPr>
          <w:rFonts w:ascii="Arial" w:hAnsi="Arial" w:cs="Arial"/>
        </w:rPr>
        <w:t xml:space="preserve"> their Project and Expenditure Report to assist them in creating the Project Inventory in their Recovery Plan. However, recipients must ensure that their Project Inventory contains the additional information required by this guidance, including but not limited to information about performance measures and evidence/evaluation for each project. In all cases, recipients must post publicly (and submit to Treasury) a single PDF file of their Recovery Plan, which includes the Project Inventory. </w:t>
      </w:r>
    </w:p>
    <w:bookmarkEnd w:id="23"/>
    <w:p w:rsidR="008D152B" w:rsidRPr="00E95275" w:rsidP="008D152B" w14:paraId="57393C6D" w14:textId="77777777">
      <w:pPr>
        <w:pStyle w:val="ListParagraph"/>
        <w:spacing w:after="0" w:line="240" w:lineRule="auto"/>
        <w:ind w:left="0"/>
        <w:jc w:val="both"/>
        <w:rPr>
          <w:rFonts w:ascii="Arial" w:hAnsi="Arial" w:cs="Arial"/>
        </w:rPr>
      </w:pPr>
    </w:p>
    <w:p w:rsidR="00C31634" w:rsidRPr="00E21798" w:rsidP="00C31634" w14:paraId="0B8C7391" w14:textId="456D8501">
      <w:pPr>
        <w:pStyle w:val="NoSpacing"/>
        <w:shd w:val="clear" w:color="auto" w:fill="D9D9D9" w:themeFill="background2" w:themeFillShade="D9"/>
        <w:jc w:val="both"/>
        <w:rPr>
          <w:b/>
          <w:bCs/>
        </w:rPr>
      </w:pPr>
      <w:r>
        <w:rPr>
          <w:b/>
          <w:bCs/>
        </w:rPr>
        <w:t xml:space="preserve">D.  Distributions to NEUs </w:t>
      </w:r>
    </w:p>
    <w:p w:rsidR="00C31634" w:rsidP="00C31634" w14:paraId="263A30BC" w14:textId="77777777">
      <w:pPr>
        <w:pStyle w:val="NoSpacing"/>
        <w:jc w:val="both"/>
      </w:pPr>
    </w:p>
    <w:p w:rsidR="00363C45" w:rsidP="00046D95" w14:paraId="1D547C2E" w14:textId="65DE2B24">
      <w:pPr>
        <w:spacing w:after="0" w:line="240" w:lineRule="auto"/>
      </w:pPr>
      <w:r>
        <w:t xml:space="preserve">Each </w:t>
      </w:r>
      <w:r w:rsidR="002A56E3">
        <w:t>s</w:t>
      </w:r>
      <w:r>
        <w:t xml:space="preserve">tate and territory </w:t>
      </w:r>
      <w:r w:rsidR="00471480">
        <w:t>is</w:t>
      </w:r>
      <w:r w:rsidR="00471480">
        <w:t xml:space="preserve"> required</w:t>
      </w:r>
      <w:r>
        <w:t xml:space="preserve"> to provide regular updates on </w:t>
      </w:r>
      <w:r>
        <w:t>their NEU distribution</w:t>
      </w:r>
      <w:r w:rsidR="000A0DB8">
        <w:t>s</w:t>
      </w:r>
      <w:r>
        <w:t xml:space="preserve"> as well as their distributions to </w:t>
      </w:r>
      <w:r>
        <w:t>units of general local government within counties that are not units of general local government</w:t>
      </w:r>
      <w:r>
        <w:t xml:space="preserve">. The distribution template generally </w:t>
      </w:r>
      <w:r w:rsidR="00823236">
        <w:t>requests information on</w:t>
      </w:r>
      <w:r>
        <w:t xml:space="preserve"> </w:t>
      </w:r>
      <w:r>
        <w:t xml:space="preserve">whether the </w:t>
      </w:r>
      <w:r>
        <w:t>local government</w:t>
      </w:r>
      <w:r>
        <w:t xml:space="preserve"> has (1) received funding; (2) declined funding </w:t>
      </w:r>
      <w:r w:rsidRPr="00AE0D88">
        <w:rPr>
          <w:u w:val="single"/>
        </w:rPr>
        <w:t>and</w:t>
      </w:r>
      <w:r>
        <w:t xml:space="preserve"> requested a transfer to the </w:t>
      </w:r>
      <w:r w:rsidR="002A56E3">
        <w:t>s</w:t>
      </w:r>
      <w:r>
        <w:t xml:space="preserve">tate under Section 603(c)(4) of the Act; or (3) not </w:t>
      </w:r>
      <w:r>
        <w:t>taken action</w:t>
      </w:r>
      <w:r>
        <w:t xml:space="preserve"> on its funding or declined funding. </w:t>
      </w:r>
    </w:p>
    <w:p w:rsidR="00363C45" w:rsidP="00046D95" w14:paraId="45614E93" w14:textId="77777777">
      <w:pPr>
        <w:spacing w:after="0" w:line="240" w:lineRule="auto"/>
      </w:pPr>
    </w:p>
    <w:p w:rsidR="00171419" w:rsidP="10A9F656" w14:paraId="25F64176" w14:textId="4F983CD5">
      <w:pPr>
        <w:spacing w:after="0" w:line="240" w:lineRule="auto"/>
        <w:rPr>
          <w:rFonts w:eastAsiaTheme="minorEastAsia"/>
        </w:rPr>
      </w:pPr>
      <w:r w:rsidRPr="10A9F656">
        <w:rPr>
          <w:rFonts w:eastAsiaTheme="minorEastAsia"/>
        </w:rPr>
        <w:t xml:space="preserve">For NEUs, states and territories should be prepared to report on their information, including the following: </w:t>
      </w:r>
    </w:p>
    <w:p w:rsidR="00171419" w:rsidP="00012B59" w14:paraId="733A1490" w14:textId="77777777">
      <w:pPr>
        <w:pStyle w:val="NoSpacing"/>
        <w:numPr>
          <w:ilvl w:val="0"/>
          <w:numId w:val="4"/>
        </w:numPr>
        <w:jc w:val="both"/>
        <w:rPr>
          <w:rFonts w:eastAsia="Times New Roman"/>
        </w:rPr>
      </w:pPr>
      <w:r w:rsidRPr="10A9F656">
        <w:rPr>
          <w:rFonts w:eastAsiaTheme="minorEastAsia"/>
        </w:rPr>
        <w:t xml:space="preserve">NEU name </w:t>
      </w:r>
    </w:p>
    <w:p w:rsidR="00171419" w:rsidP="00012B59" w14:paraId="1633D7FE" w14:textId="3F203DBB">
      <w:pPr>
        <w:pStyle w:val="NoSpacing"/>
        <w:numPr>
          <w:ilvl w:val="0"/>
          <w:numId w:val="4"/>
        </w:numPr>
        <w:jc w:val="both"/>
        <w:rPr>
          <w:rFonts w:eastAsia="Times New Roman"/>
        </w:rPr>
      </w:pPr>
      <w:r w:rsidRPr="10A9F656">
        <w:rPr>
          <w:rFonts w:eastAsiaTheme="minorEastAsia"/>
        </w:rPr>
        <w:t xml:space="preserve">NEU </w:t>
      </w:r>
      <w:r w:rsidR="007D29DD">
        <w:rPr>
          <w:rFonts w:eastAsiaTheme="minorEastAsia"/>
        </w:rPr>
        <w:t xml:space="preserve">UEI </w:t>
      </w:r>
      <w:r w:rsidRPr="10A9F656">
        <w:rPr>
          <w:rFonts w:eastAsiaTheme="minorEastAsia"/>
        </w:rPr>
        <w:t>number </w:t>
      </w:r>
    </w:p>
    <w:p w:rsidR="00171419" w:rsidP="00012B59" w14:paraId="5DF1F287" w14:textId="77777777">
      <w:pPr>
        <w:pStyle w:val="NoSpacing"/>
        <w:numPr>
          <w:ilvl w:val="0"/>
          <w:numId w:val="4"/>
        </w:numPr>
        <w:jc w:val="both"/>
        <w:rPr>
          <w:rFonts w:eastAsia="Times New Roman"/>
        </w:rPr>
      </w:pPr>
      <w:r w:rsidRPr="10A9F656">
        <w:rPr>
          <w:rFonts w:eastAsiaTheme="minorEastAsia"/>
        </w:rPr>
        <w:t xml:space="preserve">NEU Taxpayer Identification Number (TIN) </w:t>
      </w:r>
    </w:p>
    <w:p w:rsidR="00171419" w:rsidP="00012B59" w14:paraId="25F21B48" w14:textId="77777777">
      <w:pPr>
        <w:pStyle w:val="NoSpacing"/>
        <w:numPr>
          <w:ilvl w:val="0"/>
          <w:numId w:val="4"/>
        </w:numPr>
        <w:jc w:val="both"/>
        <w:rPr>
          <w:rFonts w:eastAsia="Times New Roman"/>
        </w:rPr>
      </w:pPr>
      <w:r w:rsidRPr="10A9F656">
        <w:rPr>
          <w:rFonts w:eastAsiaTheme="minorEastAsia"/>
        </w:rPr>
        <w:t xml:space="preserve">NEU Recipient Number (a unique identification code for each NEU assigned by the State or territory to the NEU as part of the request for funding) </w:t>
      </w:r>
    </w:p>
    <w:p w:rsidR="00171419" w:rsidRPr="00601927" w:rsidP="00012B59" w14:paraId="540D64C2" w14:textId="77777777">
      <w:pPr>
        <w:pStyle w:val="ListParagraph"/>
        <w:numPr>
          <w:ilvl w:val="0"/>
          <w:numId w:val="4"/>
        </w:numPr>
        <w:spacing w:after="0" w:line="240" w:lineRule="auto"/>
        <w:rPr>
          <w:rFonts w:eastAsia="Times New Roman"/>
        </w:rPr>
      </w:pPr>
      <w:r w:rsidRPr="10A9F656">
        <w:rPr>
          <w:rFonts w:eastAsiaTheme="minorEastAsia"/>
        </w:rPr>
        <w:t>NEU contact information (e.g., address, point of contact name, point of contact email address, and point of contact phone number)</w:t>
      </w:r>
    </w:p>
    <w:p w:rsidR="00171419" w:rsidRPr="00601927" w:rsidP="00012B59" w14:paraId="20DF4AE2" w14:textId="77777777">
      <w:pPr>
        <w:pStyle w:val="ListParagraph"/>
        <w:numPr>
          <w:ilvl w:val="0"/>
          <w:numId w:val="4"/>
        </w:numPr>
        <w:spacing w:after="0" w:line="240" w:lineRule="auto"/>
        <w:rPr>
          <w:rFonts w:eastAsia="Times New Roman"/>
        </w:rPr>
      </w:pPr>
      <w:r w:rsidRPr="10A9F656">
        <w:rPr>
          <w:rFonts w:eastAsiaTheme="minorEastAsia"/>
        </w:rPr>
        <w:t>NEU authorized representative name and email address</w:t>
      </w:r>
    </w:p>
    <w:p w:rsidR="00171419" w:rsidRPr="00A86FEA" w:rsidP="00012B59" w14:paraId="314882DD"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Initial allocation and, if applicable, subsequent allocation to the NEU (before application of the 75 percent cap)</w:t>
      </w:r>
    </w:p>
    <w:p w:rsidR="00171419" w:rsidRPr="00440EF3" w:rsidP="00012B59" w14:paraId="45D12C0E" w14:textId="77777777">
      <w:pPr>
        <w:pStyle w:val="ListParagraph"/>
        <w:numPr>
          <w:ilvl w:val="0"/>
          <w:numId w:val="4"/>
        </w:numPr>
        <w:tabs>
          <w:tab w:val="left" w:pos="2840"/>
        </w:tabs>
        <w:spacing w:after="0" w:line="240" w:lineRule="auto"/>
      </w:pPr>
      <w:r w:rsidRPr="10A9F656">
        <w:rPr>
          <w:rFonts w:eastAsiaTheme="minorEastAsia"/>
        </w:rPr>
        <w:t>Total NEU reference budget (as submitted by the NEU to the State or territory as part of the request for funding)</w:t>
      </w:r>
      <w:r w:rsidRPr="10A9F656">
        <w:rPr>
          <w:rFonts w:eastAsiaTheme="minorEastAsia"/>
        </w:rPr>
        <w:t xml:space="preserve"> </w:t>
      </w:r>
      <w:r>
        <w:tab/>
      </w:r>
    </w:p>
    <w:p w:rsidR="00171419" w:rsidRPr="00A86FEA" w:rsidP="00012B59" w14:paraId="0493F1C7"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Amount of the initial and, if applicable, subsequent allocation above 75 percent of the NEU’s reference budget which will be returned to Treasury</w:t>
      </w:r>
    </w:p>
    <w:p w:rsidR="00171419" w:rsidRPr="00A86FEA" w:rsidP="00012B59" w14:paraId="3AAF06DB"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Payment amount(s)</w:t>
      </w:r>
    </w:p>
    <w:p w:rsidR="00171419" w:rsidRPr="00A86FEA" w:rsidP="00012B59" w14:paraId="67A6D5CD" w14:textId="77777777">
      <w:pPr>
        <w:pStyle w:val="ListParagraph"/>
        <w:numPr>
          <w:ilvl w:val="0"/>
          <w:numId w:val="4"/>
        </w:numPr>
        <w:spacing w:after="0" w:line="240" w:lineRule="auto"/>
        <w:rPr>
          <w:rFonts w:asciiTheme="majorHAnsi" w:hAnsiTheme="majorHAnsi" w:cstheme="majorBidi"/>
        </w:rPr>
      </w:pPr>
      <w:r w:rsidRPr="10A9F656">
        <w:rPr>
          <w:rFonts w:eastAsiaTheme="minorEastAsia"/>
        </w:rPr>
        <w:t>Payment date(s)</w:t>
      </w:r>
    </w:p>
    <w:p w:rsidR="00171419" w:rsidP="00171419" w14:paraId="0664F5F0" w14:textId="6BC6418C">
      <w:pPr>
        <w:spacing w:after="0" w:line="240" w:lineRule="auto"/>
        <w:rPr>
          <w:rFonts w:asciiTheme="majorHAnsi" w:hAnsiTheme="majorHAnsi" w:cstheme="majorHAnsi"/>
        </w:rPr>
      </w:pPr>
    </w:p>
    <w:p w:rsidR="00363C45" w:rsidP="00A86FEA" w14:paraId="2FCD9032" w14:textId="0D1758A0">
      <w:pPr>
        <w:spacing w:after="0" w:line="240" w:lineRule="auto"/>
        <w:rPr>
          <w:rFonts w:asciiTheme="majorHAnsi" w:hAnsiTheme="majorHAnsi" w:cstheme="majorBidi"/>
        </w:rPr>
      </w:pPr>
      <w:r w:rsidRPr="598A070B">
        <w:rPr>
          <w:rFonts w:asciiTheme="majorHAnsi" w:hAnsiTheme="majorHAnsi" w:cstheme="majorBidi"/>
        </w:rPr>
        <w:t xml:space="preserve">States with “weak” minor civil divisions (i.e., Illinois, Indiana, Kansas, Missouri, Nebraska, North Dakota, Ohio, and South Dakota) should also list any minor civil divisions that the </w:t>
      </w:r>
      <w:r w:rsidR="002A56E3">
        <w:rPr>
          <w:rFonts w:asciiTheme="majorHAnsi" w:hAnsiTheme="majorHAnsi" w:cstheme="majorBidi"/>
        </w:rPr>
        <w:t>s</w:t>
      </w:r>
      <w:r w:rsidRPr="598A070B">
        <w:rPr>
          <w:rFonts w:asciiTheme="majorHAnsi" w:hAnsiTheme="majorHAnsi" w:cstheme="majorBidi"/>
        </w:rPr>
        <w:t>tate deemed ineligible.</w:t>
      </w:r>
    </w:p>
    <w:p w:rsidR="00363C45" w:rsidP="00171419" w14:paraId="309912A9" w14:textId="77777777">
      <w:pPr>
        <w:spacing w:after="0" w:line="240" w:lineRule="auto"/>
        <w:rPr>
          <w:rFonts w:asciiTheme="majorHAnsi" w:hAnsiTheme="majorHAnsi" w:cstheme="majorHAnsi"/>
        </w:rPr>
      </w:pPr>
    </w:p>
    <w:p w:rsidR="00FE7086" w:rsidRPr="006F7710" w:rsidP="006F7710" w14:paraId="4F944996" w14:textId="52ED1762">
      <w:pPr>
        <w:spacing w:after="0" w:line="240" w:lineRule="auto"/>
        <w:rPr>
          <w:rFonts w:asciiTheme="majorHAnsi" w:hAnsiTheme="majorHAnsi" w:cstheme="majorBidi"/>
        </w:rPr>
      </w:pPr>
      <w:r>
        <w:t xml:space="preserve">For each eligible NEU that declined funding and requested a transfer to the </w:t>
      </w:r>
      <w:r w:rsidR="002A56E3">
        <w:t>s</w:t>
      </w:r>
      <w:r>
        <w:t>tate under Section 603(c)(4)</w:t>
      </w:r>
      <w:r w:rsidR="00130752">
        <w:t xml:space="preserve"> of the Social Security Act</w:t>
      </w:r>
      <w:r>
        <w:t xml:space="preserve">, the </w:t>
      </w:r>
      <w:r w:rsidR="002A56E3">
        <w:t>s</w:t>
      </w:r>
      <w:r>
        <w:t xml:space="preserve">tate </w:t>
      </w:r>
      <w:r w:rsidR="00ED182C">
        <w:t xml:space="preserve">or territory </w:t>
      </w:r>
      <w:r>
        <w:t xml:space="preserve">must also attach a form signed by the NEU, as detailed in the </w:t>
      </w:r>
      <w:hyperlink r:id="rId30" w:history="1">
        <w:r w:rsidRPr="00ED182C">
          <w:rPr>
            <w:rStyle w:val="Hyperlink"/>
          </w:rPr>
          <w:t>Guidance on Distributions of Funds to Non-Entitlement Units of Local Government</w:t>
        </w:r>
      </w:hyperlink>
      <w:r w:rsidR="00ED182C">
        <w:rPr>
          <w:color w:val="628B1C"/>
        </w:rPr>
        <w:t xml:space="preserve">. </w:t>
      </w:r>
    </w:p>
    <w:p w:rsidR="00171419" w:rsidP="00171419" w14:paraId="0F0A20DD" w14:textId="77777777">
      <w:pPr>
        <w:spacing w:after="0" w:line="240" w:lineRule="auto"/>
        <w:rPr>
          <w:rFonts w:asciiTheme="majorHAnsi" w:hAnsiTheme="majorHAnsi" w:cstheme="majorHAnsi"/>
        </w:rPr>
      </w:pPr>
    </w:p>
    <w:p w:rsidR="00DD53FE" w:rsidP="00FD6A50" w14:paraId="3DDD6BA2" w14:textId="78F59A4A">
      <w:pPr>
        <w:pStyle w:val="ListParagraph"/>
        <w:spacing w:after="0" w:line="240" w:lineRule="auto"/>
        <w:ind w:left="360"/>
      </w:pPr>
    </w:p>
    <w:p w:rsidR="00DD53FE" w:rsidP="00FD6A50" w14:paraId="012CF203" w14:textId="2FF77ED0">
      <w:pPr>
        <w:pStyle w:val="ListParagraph"/>
        <w:spacing w:after="0" w:line="240" w:lineRule="auto"/>
        <w:ind w:left="360"/>
      </w:pPr>
    </w:p>
    <w:p w:rsidR="004D45F6" w:rsidP="00FD6A50" w14:paraId="7C4F79AA" w14:textId="77777777">
      <w:pPr>
        <w:pStyle w:val="ListParagraph"/>
        <w:spacing w:after="0" w:line="240" w:lineRule="auto"/>
        <w:ind w:left="360"/>
      </w:pPr>
    </w:p>
    <w:p w:rsidR="004D45F6" w:rsidP="00FD6A50" w14:paraId="3C6F3E98" w14:textId="77777777">
      <w:pPr>
        <w:pStyle w:val="ListParagraph"/>
        <w:spacing w:after="0" w:line="240" w:lineRule="auto"/>
        <w:ind w:left="360"/>
      </w:pPr>
    </w:p>
    <w:p w:rsidR="004D45F6" w:rsidP="00FD6A50" w14:paraId="16496488" w14:textId="77777777">
      <w:pPr>
        <w:pStyle w:val="ListParagraph"/>
        <w:spacing w:after="0" w:line="240" w:lineRule="auto"/>
        <w:ind w:left="360"/>
      </w:pPr>
    </w:p>
    <w:p w:rsidR="004D45F6" w:rsidP="00FD6A50" w14:paraId="297359B7" w14:textId="77777777">
      <w:pPr>
        <w:pStyle w:val="ListParagraph"/>
        <w:spacing w:after="0" w:line="240" w:lineRule="auto"/>
        <w:ind w:left="360"/>
      </w:pPr>
    </w:p>
    <w:p w:rsidR="004D45F6" w:rsidP="00FD6A50" w14:paraId="0C1724FA" w14:textId="77777777">
      <w:pPr>
        <w:pStyle w:val="ListParagraph"/>
        <w:spacing w:after="0" w:line="240" w:lineRule="auto"/>
        <w:ind w:left="360"/>
      </w:pPr>
    </w:p>
    <w:p w:rsidR="00550815" w14:paraId="55C1D257" w14:textId="77777777">
      <w:pPr>
        <w:rPr>
          <w:rFonts w:asciiTheme="majorHAnsi" w:hAnsiTheme="majorHAnsi" w:cstheme="majorBidi"/>
          <w:b/>
          <w:sz w:val="24"/>
          <w:szCs w:val="24"/>
        </w:rPr>
      </w:pPr>
      <w:bookmarkStart w:id="24" w:name="_Hlk73992660"/>
      <w:bookmarkStart w:id="25" w:name="_Hlk73998100"/>
      <w:r>
        <w:rPr>
          <w:rFonts w:asciiTheme="majorHAnsi" w:hAnsiTheme="majorHAnsi" w:cstheme="majorBidi"/>
          <w:b/>
          <w:sz w:val="24"/>
          <w:szCs w:val="24"/>
        </w:rPr>
        <w:br w:type="page"/>
      </w:r>
    </w:p>
    <w:p w:rsidR="002A7DFE" w:rsidRPr="00A86FEA" w:rsidP="00944301" w14:paraId="58165104" w14:textId="7800E799">
      <w:pPr>
        <w:pStyle w:val="NoSpacing"/>
        <w:spacing w:after="120"/>
        <w:jc w:val="both"/>
        <w:rPr>
          <w:rFonts w:asciiTheme="majorHAnsi" w:hAnsiTheme="majorHAnsi" w:cstheme="majorBidi"/>
          <w:b/>
          <w:sz w:val="24"/>
          <w:szCs w:val="24"/>
        </w:rPr>
      </w:pPr>
      <w:r w:rsidRPr="00A86FEA">
        <w:rPr>
          <w:rFonts w:asciiTheme="majorHAnsi" w:hAnsiTheme="majorHAnsi" w:cstheme="majorBidi"/>
          <w:b/>
          <w:sz w:val="24"/>
          <w:szCs w:val="24"/>
        </w:rPr>
        <w:t>Appendix 1: Expenditure Categories</w:t>
      </w:r>
    </w:p>
    <w:p w:rsidR="00EE3B62" w:rsidRPr="00EE3B62" w:rsidP="00944301" w14:paraId="62043062" w14:textId="29FC2F02">
      <w:pPr>
        <w:pStyle w:val="NoSpacing"/>
        <w:spacing w:after="120"/>
        <w:jc w:val="both"/>
        <w:rPr>
          <w:rFonts w:eastAsiaTheme="minorEastAsia"/>
        </w:rPr>
      </w:pPr>
      <w:r w:rsidRPr="00EE3B62">
        <w:rPr>
          <w:rFonts w:ascii="Arial" w:hAnsi="Arial"/>
        </w:rPr>
        <w:t xml:space="preserve">Treasury’s final rule provides greater flexibility and simplicity for recipients to fight the pandemic and support families and businesses struggling with its impacts, maintain vital services amid revenue shortfalls, and build a strong, resilient, and equitable recovery.  As such, </w:t>
      </w:r>
      <w:r w:rsidR="00E53620">
        <w:rPr>
          <w:rFonts w:ascii="Arial" w:hAnsi="Arial"/>
        </w:rPr>
        <w:t>r</w:t>
      </w:r>
      <w:r w:rsidRPr="00EE3B62">
        <w:rPr>
          <w:rFonts w:ascii="Arial" w:hAnsi="Arial"/>
        </w:rPr>
        <w:t xml:space="preserve">ecipients </w:t>
      </w:r>
      <w:r w:rsidR="00D84870">
        <w:rPr>
          <w:rFonts w:ascii="Arial" w:hAnsi="Arial"/>
        </w:rPr>
        <w:t xml:space="preserve">began </w:t>
      </w:r>
      <w:r w:rsidRPr="00EE3B62">
        <w:rPr>
          <w:rFonts w:ascii="Arial" w:hAnsi="Arial"/>
        </w:rPr>
        <w:t>report</w:t>
      </w:r>
      <w:r w:rsidR="00D84870">
        <w:rPr>
          <w:rFonts w:ascii="Arial" w:hAnsi="Arial"/>
        </w:rPr>
        <w:t>ing</w:t>
      </w:r>
      <w:r w:rsidRPr="00EE3B62">
        <w:rPr>
          <w:rFonts w:ascii="Arial" w:hAnsi="Arial"/>
        </w:rPr>
        <w:t xml:space="preserve"> on a broader set of eligible uses and associated Expenditure Categories (“EC”), starting with the April 2022 Project and Expenditure Report</w:t>
      </w:r>
      <w:r w:rsidR="00D84870">
        <w:rPr>
          <w:rFonts w:ascii="Arial" w:hAnsi="Arial"/>
        </w:rPr>
        <w:t xml:space="preserve"> than they did in their interim report</w:t>
      </w:r>
      <w:r w:rsidR="002B1A96">
        <w:rPr>
          <w:rFonts w:ascii="Arial" w:hAnsi="Arial"/>
        </w:rPr>
        <w:t>s,</w:t>
      </w:r>
      <w:r w:rsidR="00D84870">
        <w:rPr>
          <w:rFonts w:ascii="Arial" w:hAnsi="Arial"/>
        </w:rPr>
        <w:t xml:space="preserve"> initial Recovery Plans</w:t>
      </w:r>
      <w:r w:rsidR="002B1A96">
        <w:rPr>
          <w:rFonts w:ascii="Arial" w:hAnsi="Arial"/>
        </w:rPr>
        <w:t>, and January Project and Expenditure Report</w:t>
      </w:r>
      <w:r w:rsidRPr="00EE3B62">
        <w:rPr>
          <w:rFonts w:ascii="Arial" w:hAnsi="Arial"/>
        </w:rPr>
        <w:t xml:space="preserve">.  </w:t>
      </w:r>
      <w:r>
        <w:rPr>
          <w:rFonts w:ascii="Arial" w:hAnsi="Arial"/>
        </w:rPr>
        <w:t xml:space="preserve">The table below </w:t>
      </w:r>
      <w:r w:rsidRPr="00EE3B62">
        <w:rPr>
          <w:rFonts w:ascii="Arial" w:hAnsi="Arial"/>
        </w:rPr>
        <w:t>includes the new Expenditure Categories, as well as a reference to previous Expenditure Categories</w:t>
      </w:r>
      <w:r w:rsidR="003E37E5">
        <w:rPr>
          <w:rFonts w:ascii="Arial" w:hAnsi="Arial"/>
        </w:rPr>
        <w:t xml:space="preserve"> aligned with the interim final rule and</w:t>
      </w:r>
      <w:r w:rsidRPr="00EE3B62">
        <w:rPr>
          <w:rFonts w:ascii="Arial" w:hAnsi="Arial"/>
        </w:rPr>
        <w:t xml:space="preserve"> used for reporting </w:t>
      </w:r>
      <w:r w:rsidR="002B1A96">
        <w:rPr>
          <w:rFonts w:ascii="Arial" w:hAnsi="Arial"/>
        </w:rPr>
        <w:t>before this date</w:t>
      </w:r>
      <w:r w:rsidRPr="00EE3B62">
        <w:rPr>
          <w:rFonts w:ascii="Arial" w:hAnsi="Arial"/>
        </w:rPr>
        <w:t xml:space="preserve">.  </w:t>
      </w:r>
    </w:p>
    <w:p w:rsidR="00EE3B62" w:rsidP="00944301" w14:paraId="20011499" w14:textId="5740FDEE">
      <w:pPr>
        <w:pStyle w:val="NoSpacing"/>
        <w:spacing w:after="120"/>
        <w:jc w:val="both"/>
        <w:rPr>
          <w:rFonts w:eastAsiaTheme="minorEastAsia"/>
        </w:rPr>
      </w:pPr>
      <w:r>
        <w:t xml:space="preserve">The Expenditure Categories (EC) listed below must be used to categorize each project as noted in Part 2 above. The term “Expenditure Category” refers to the detailed level (e.g., 1.1 </w:t>
      </w:r>
      <w:r w:rsidRPr="10A9F656">
        <w:rPr>
          <w:rFonts w:eastAsiaTheme="minorEastAsia"/>
        </w:rPr>
        <w:t>COVID-1</w:t>
      </w:r>
      <w:r w:rsidR="00A569D7">
        <w:rPr>
          <w:rFonts w:eastAsiaTheme="minorEastAsia"/>
        </w:rPr>
        <w:t>9</w:t>
      </w:r>
      <w:r w:rsidRPr="10A9F656">
        <w:rPr>
          <w:rFonts w:eastAsiaTheme="minorEastAsia"/>
        </w:rPr>
        <w:t xml:space="preserve"> Vaccination).  When referred to as a category (e.g., EC 1) it includes all Expenditure Categories within that level.  </w:t>
      </w:r>
    </w:p>
    <w:p w:rsidR="00CA42B3" w:rsidRPr="00450E37" w:rsidP="00CA42B3" w14:paraId="2C414D66" w14:textId="77777777">
      <w:pPr>
        <w:spacing w:after="0" w:line="240" w:lineRule="auto"/>
        <w:jc w:val="both"/>
        <w:rPr>
          <w:rFonts w:asciiTheme="majorHAnsi" w:hAnsiTheme="majorHAnsi" w:cstheme="majorBidi"/>
        </w:rPr>
      </w:pPr>
      <w:r w:rsidRPr="00A86FEA">
        <w:rPr>
          <w:rFonts w:asciiTheme="majorHAnsi" w:hAnsiTheme="majorHAnsi" w:cstheme="majorBidi"/>
        </w:rPr>
        <w:t xml:space="preserve">*Denotes areas where recipients </w:t>
      </w:r>
      <w:r w:rsidRPr="009859D1">
        <w:rPr>
          <w:rFonts w:asciiTheme="majorHAnsi" w:hAnsiTheme="majorHAnsi" w:cstheme="majorBidi"/>
        </w:rPr>
        <w:t xml:space="preserve">must </w:t>
      </w:r>
      <w:bookmarkStart w:id="26" w:name="_Hlk73220091"/>
      <w:r w:rsidRPr="00E1626F">
        <w:rPr>
          <w:rFonts w:asciiTheme="majorHAnsi" w:hAnsiTheme="majorHAnsi" w:cstheme="majorBidi"/>
        </w:rPr>
        <w:t>identify the amount of the total funds that are allocated to evidence-based interventions (see Use of Evidence section above for details)</w:t>
      </w:r>
    </w:p>
    <w:p w:rsidR="00CA42B3" w:rsidRPr="00440EF3" w:rsidP="00CA42B3" w14:paraId="60431D77" w14:textId="77777777">
      <w:pPr>
        <w:spacing w:after="0" w:line="240" w:lineRule="auto"/>
        <w:jc w:val="both"/>
        <w:rPr>
          <w:rFonts w:asciiTheme="majorHAnsi" w:hAnsiTheme="majorHAnsi" w:cstheme="majorHAnsi"/>
        </w:rPr>
      </w:pPr>
    </w:p>
    <w:p w:rsidR="00CA42B3" w:rsidRPr="00E1626F" w:rsidP="00CA42B3" w14:paraId="09CE4F27" w14:textId="735A7829">
      <w:pPr>
        <w:spacing w:after="0" w:line="240" w:lineRule="auto"/>
        <w:jc w:val="both"/>
        <w:rPr>
          <w:rFonts w:asciiTheme="majorHAnsi" w:hAnsiTheme="majorHAnsi" w:cstheme="majorBidi"/>
        </w:rPr>
      </w:pPr>
      <w:r w:rsidRPr="00A86FEA">
        <w:rPr>
          <w:rFonts w:asciiTheme="majorHAnsi" w:hAnsiTheme="majorHAnsi" w:cstheme="majorBidi"/>
        </w:rPr>
        <w:t xml:space="preserve"> </w:t>
      </w:r>
      <w:bookmarkEnd w:id="26"/>
      <w:r w:rsidRPr="00A86FEA">
        <w:rPr>
          <w:rFonts w:asciiTheme="majorHAnsi" w:hAnsiTheme="majorHAnsi" w:cstheme="majorBidi"/>
        </w:rPr>
        <w:t xml:space="preserve">^Denotes areas where </w:t>
      </w:r>
      <w:r w:rsidRPr="009859D1">
        <w:rPr>
          <w:rFonts w:asciiTheme="majorHAnsi" w:hAnsiTheme="majorHAnsi" w:cstheme="majorBidi"/>
        </w:rPr>
        <w:t>recipients must report on whether projects are primarily serving</w:t>
      </w:r>
      <w:r w:rsidR="00E53620">
        <w:rPr>
          <w:rFonts w:asciiTheme="majorHAnsi" w:hAnsiTheme="majorHAnsi" w:cstheme="majorBidi"/>
        </w:rPr>
        <w:t xml:space="preserve"> disproportionately impacted</w:t>
      </w:r>
      <w:r w:rsidRPr="009859D1" w:rsidR="00E53620">
        <w:rPr>
          <w:rFonts w:asciiTheme="majorHAnsi" w:hAnsiTheme="majorHAnsi" w:cstheme="majorBidi"/>
        </w:rPr>
        <w:t xml:space="preserve"> </w:t>
      </w:r>
      <w:r w:rsidRPr="009859D1">
        <w:rPr>
          <w:rFonts w:asciiTheme="majorHAnsi" w:hAnsiTheme="majorHAnsi" w:cstheme="majorBidi"/>
        </w:rPr>
        <w:t>communities (see Project Demographic Distribution section above for details)</w:t>
      </w:r>
    </w:p>
    <w:p w:rsidR="005A4B68" w:rsidP="10A9F656" w14:paraId="7ABC06D6" w14:textId="1A5F3F46">
      <w:pPr>
        <w:pStyle w:val="NoSpacing"/>
        <w:spacing w:after="120"/>
        <w:jc w:val="both"/>
        <w:rPr>
          <w:rFonts w:eastAsiaTheme="minorEastAsia"/>
        </w:rPr>
      </w:pPr>
    </w:p>
    <w:tbl>
      <w:tblPr>
        <w:tblW w:w="970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25"/>
        <w:gridCol w:w="1142"/>
        <w:gridCol w:w="1239"/>
      </w:tblGrid>
      <w:tr w14:paraId="24A8147F" w14:textId="77777777" w:rsidTr="00306AA8">
        <w:tblPrEx>
          <w:tblW w:w="970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260"/>
          <w:tblHeader/>
        </w:trPr>
        <w:tc>
          <w:tcPr>
            <w:tcW w:w="7325" w:type="dxa"/>
            <w:shd w:val="clear" w:color="auto" w:fill="003453" w:themeFill="accent6" w:themeFillShade="7F"/>
            <w:vAlign w:val="center"/>
          </w:tcPr>
          <w:p w:rsidR="005A4B68" w:rsidRPr="00470588" w:rsidP="00BC5DE7" w14:paraId="6BED729B" w14:textId="77777777">
            <w:pPr>
              <w:spacing w:after="0" w:line="240" w:lineRule="auto"/>
              <w:rPr>
                <w:rFonts w:ascii="Arial" w:eastAsia="Times New Roman" w:hAnsi="Arial" w:cs="Arial"/>
                <w:b/>
                <w:bCs/>
                <w:color w:val="FFFFFF" w:themeColor="background1"/>
              </w:rPr>
            </w:pPr>
            <w:r>
              <w:rPr>
                <w:rFonts w:ascii="Arial" w:eastAsia="Times New Roman" w:hAnsi="Arial" w:cs="Arial"/>
                <w:b/>
                <w:bCs/>
                <w:color w:val="FFFFFF" w:themeColor="background1"/>
              </w:rPr>
              <w:t>Expenditure Category</w:t>
            </w:r>
          </w:p>
        </w:tc>
        <w:tc>
          <w:tcPr>
            <w:tcW w:w="1142" w:type="dxa"/>
            <w:shd w:val="clear" w:color="auto" w:fill="003453" w:themeFill="accent6" w:themeFillShade="7F"/>
            <w:noWrap/>
            <w:vAlign w:val="center"/>
          </w:tcPr>
          <w:p w:rsidR="005A4B68" w:rsidRPr="009B168C" w:rsidP="00BC5DE7" w14:paraId="0F528D49" w14:textId="52B1B3D0">
            <w:pPr>
              <w:spacing w:after="0" w:line="240" w:lineRule="auto"/>
              <w:jc w:val="center"/>
              <w:rPr>
                <w:rFonts w:ascii="Arial" w:eastAsia="Times New Roman" w:hAnsi="Arial" w:cs="Arial"/>
                <w:b/>
                <w:bCs/>
                <w:color w:val="FFFFFF" w:themeColor="background1"/>
              </w:rPr>
            </w:pPr>
            <w:r w:rsidRPr="009B168C">
              <w:rPr>
                <w:rFonts w:ascii="Arial" w:eastAsia="Times New Roman" w:hAnsi="Arial" w:cs="Arial"/>
                <w:b/>
                <w:bCs/>
                <w:color w:val="FFFFFF" w:themeColor="background1"/>
              </w:rPr>
              <w:t>EC</w:t>
            </w:r>
            <w:r>
              <w:rPr>
                <w:rStyle w:val="FootnoteReference"/>
                <w:rFonts w:ascii="Arial" w:eastAsia="Times New Roman" w:hAnsi="Arial" w:cs="Arial"/>
                <w:b/>
                <w:bCs/>
                <w:color w:val="FFFFFF" w:themeColor="background1"/>
              </w:rPr>
              <w:footnoteReference w:id="30"/>
            </w:r>
          </w:p>
        </w:tc>
        <w:tc>
          <w:tcPr>
            <w:tcW w:w="1239" w:type="dxa"/>
            <w:shd w:val="clear" w:color="auto" w:fill="003453" w:themeFill="accent6" w:themeFillShade="7F"/>
            <w:noWrap/>
            <w:vAlign w:val="center"/>
          </w:tcPr>
          <w:p w:rsidR="005A4B68" w:rsidRPr="009B168C" w:rsidP="00BC5DE7" w14:paraId="6D02EF6D" w14:textId="13952BEA">
            <w:pPr>
              <w:spacing w:after="0" w:line="240" w:lineRule="auto"/>
              <w:jc w:val="center"/>
              <w:rPr>
                <w:rFonts w:ascii="Arial" w:eastAsia="Times New Roman" w:hAnsi="Arial" w:cs="Arial"/>
                <w:b/>
                <w:bCs/>
                <w:color w:val="FFFFFF" w:themeColor="background1"/>
              </w:rPr>
            </w:pPr>
            <w:r w:rsidRPr="009B168C">
              <w:rPr>
                <w:rFonts w:ascii="Arial" w:eastAsia="Times New Roman" w:hAnsi="Arial" w:cs="Arial"/>
                <w:b/>
                <w:bCs/>
                <w:color w:val="FFFFFF" w:themeColor="background1"/>
              </w:rPr>
              <w:t>Previous EC</w:t>
            </w:r>
            <w:r>
              <w:rPr>
                <w:rStyle w:val="FootnoteReference"/>
                <w:rFonts w:ascii="Arial" w:eastAsia="Times New Roman" w:hAnsi="Arial" w:cs="Arial"/>
                <w:b/>
                <w:bCs/>
                <w:color w:val="FFFFFF" w:themeColor="background1"/>
              </w:rPr>
              <w:footnoteReference w:id="31"/>
            </w:r>
          </w:p>
        </w:tc>
      </w:tr>
      <w:tr w14:paraId="530FC683" w14:textId="77777777" w:rsidTr="00FE3FDE">
        <w:tblPrEx>
          <w:tblW w:w="9706" w:type="dxa"/>
          <w:tblInd w:w="-95" w:type="dxa"/>
          <w:tblLayout w:type="fixed"/>
          <w:tblLook w:val="04A0"/>
        </w:tblPrEx>
        <w:trPr>
          <w:trHeight w:val="260"/>
        </w:trPr>
        <w:tc>
          <w:tcPr>
            <w:tcW w:w="9706" w:type="dxa"/>
            <w:gridSpan w:val="3"/>
            <w:shd w:val="clear" w:color="auto" w:fill="99CCFF"/>
            <w:vAlign w:val="center"/>
          </w:tcPr>
          <w:p w:rsidR="00BC5DE7" w:rsidRPr="000B4F70" w:rsidP="00BC5DE7" w14:paraId="1CC1D4DC" w14:textId="5836DFDF">
            <w:pPr>
              <w:spacing w:after="0" w:line="240" w:lineRule="auto"/>
              <w:rPr>
                <w:rFonts w:ascii="Arial" w:eastAsia="Times New Roman" w:hAnsi="Arial" w:cs="Arial"/>
                <w:color w:val="000000"/>
              </w:rPr>
            </w:pPr>
            <w:r>
              <w:rPr>
                <w:rFonts w:ascii="Arial" w:eastAsia="Times New Roman" w:hAnsi="Arial" w:cs="Arial"/>
                <w:b/>
                <w:bCs/>
              </w:rPr>
              <w:t xml:space="preserve">1: </w:t>
            </w:r>
            <w:r w:rsidRPr="00184A7B">
              <w:rPr>
                <w:rFonts w:ascii="Arial" w:eastAsia="Times New Roman" w:hAnsi="Arial" w:cs="Arial"/>
                <w:b/>
                <w:bCs/>
              </w:rPr>
              <w:t>Public Health</w:t>
            </w:r>
          </w:p>
        </w:tc>
      </w:tr>
      <w:tr w14:paraId="39386021" w14:textId="77777777" w:rsidTr="00FE3FDE">
        <w:tblPrEx>
          <w:tblW w:w="9706" w:type="dxa"/>
          <w:tblInd w:w="-95" w:type="dxa"/>
          <w:tblLayout w:type="fixed"/>
          <w:tblLook w:val="04A0"/>
        </w:tblPrEx>
        <w:trPr>
          <w:trHeight w:val="260"/>
        </w:trPr>
        <w:tc>
          <w:tcPr>
            <w:tcW w:w="9706" w:type="dxa"/>
            <w:gridSpan w:val="3"/>
            <w:shd w:val="clear" w:color="auto" w:fill="BFBFBF" w:themeFill="background1" w:themeFillShade="BF"/>
            <w:vAlign w:val="center"/>
          </w:tcPr>
          <w:p w:rsidR="00BC5DE7" w:rsidRPr="000B4F70" w:rsidP="00BC5DE7" w14:paraId="77880BC4" w14:textId="01777F1A">
            <w:pPr>
              <w:spacing w:after="0" w:line="240" w:lineRule="auto"/>
              <w:rPr>
                <w:rFonts w:ascii="Arial" w:eastAsia="Times New Roman" w:hAnsi="Arial" w:cs="Arial"/>
                <w:color w:val="000000"/>
              </w:rPr>
            </w:pPr>
            <w:r>
              <w:rPr>
                <w:rFonts w:ascii="Arial" w:eastAsia="Times New Roman" w:hAnsi="Arial" w:cs="Arial"/>
                <w:b/>
                <w:bCs/>
                <w:color w:val="000000"/>
              </w:rPr>
              <w:t xml:space="preserve"> </w:t>
            </w:r>
            <w:r w:rsidRPr="00990A47">
              <w:rPr>
                <w:rFonts w:ascii="Arial" w:eastAsia="Times New Roman" w:hAnsi="Arial" w:cs="Arial"/>
                <w:b/>
                <w:bCs/>
                <w:color w:val="000000"/>
              </w:rPr>
              <w:t>COVID-19 Mitigation &amp; Prevention</w:t>
            </w:r>
          </w:p>
        </w:tc>
      </w:tr>
      <w:tr w14:paraId="1CCAD961" w14:textId="77777777" w:rsidTr="00306AA8">
        <w:tblPrEx>
          <w:tblW w:w="9706" w:type="dxa"/>
          <w:tblInd w:w="-95" w:type="dxa"/>
          <w:tblLayout w:type="fixed"/>
          <w:tblLook w:val="04A0"/>
        </w:tblPrEx>
        <w:trPr>
          <w:trHeight w:val="260"/>
        </w:trPr>
        <w:tc>
          <w:tcPr>
            <w:tcW w:w="7325" w:type="dxa"/>
            <w:shd w:val="clear" w:color="auto" w:fill="auto"/>
            <w:vAlign w:val="center"/>
          </w:tcPr>
          <w:p w:rsidR="00B771B1" w:rsidRPr="000B4F70" w:rsidP="00156CB7" w14:paraId="6F185303" w14:textId="5BB26338">
            <w:pPr>
              <w:spacing w:after="0" w:line="240" w:lineRule="auto"/>
              <w:rPr>
                <w:rFonts w:ascii="Arial" w:eastAsia="Times New Roman" w:hAnsi="Arial" w:cs="Arial"/>
                <w:color w:val="000000"/>
              </w:rPr>
            </w:pPr>
            <w:r w:rsidRPr="000B4F70">
              <w:rPr>
                <w:rFonts w:ascii="Arial" w:eastAsia="Times New Roman" w:hAnsi="Arial" w:cs="Arial"/>
                <w:color w:val="000000"/>
              </w:rPr>
              <w:t>C</w:t>
            </w:r>
            <w:r w:rsidRPr="00990A47">
              <w:rPr>
                <w:rFonts w:ascii="Arial" w:eastAsia="Times New Roman" w:hAnsi="Arial" w:cs="Arial"/>
                <w:color w:val="000000"/>
              </w:rPr>
              <w:t>OVID-19 Vaccination</w:t>
            </w:r>
            <w:r>
              <w:rPr>
                <w:rFonts w:ascii="Arial" w:eastAsia="Times New Roman" w:hAnsi="Arial" w:cs="Arial"/>
                <w:color w:val="000000"/>
              </w:rPr>
              <w:t>^</w:t>
            </w:r>
          </w:p>
        </w:tc>
        <w:tc>
          <w:tcPr>
            <w:tcW w:w="1142" w:type="dxa"/>
            <w:shd w:val="clear" w:color="auto" w:fill="auto"/>
            <w:noWrap/>
            <w:vAlign w:val="center"/>
          </w:tcPr>
          <w:p w:rsidR="00B771B1" w:rsidRPr="000B4F70" w:rsidP="00156CB7" w14:paraId="1335944D" w14:textId="77777777">
            <w:pPr>
              <w:spacing w:after="0" w:line="240" w:lineRule="auto"/>
              <w:jc w:val="center"/>
              <w:rPr>
                <w:rFonts w:ascii="Arial" w:eastAsia="Times New Roman" w:hAnsi="Arial" w:cs="Arial"/>
                <w:color w:val="000000"/>
              </w:rPr>
            </w:pPr>
            <w:r w:rsidRPr="000B4F70">
              <w:rPr>
                <w:rFonts w:ascii="Arial" w:eastAsia="Times New Roman" w:hAnsi="Arial" w:cs="Arial"/>
                <w:color w:val="000000"/>
              </w:rPr>
              <w:t>1.1</w:t>
            </w:r>
          </w:p>
        </w:tc>
        <w:tc>
          <w:tcPr>
            <w:tcW w:w="1239" w:type="dxa"/>
            <w:shd w:val="clear" w:color="auto" w:fill="auto"/>
            <w:noWrap/>
            <w:vAlign w:val="center"/>
          </w:tcPr>
          <w:p w:rsidR="00B771B1" w:rsidRPr="000B4F70" w:rsidP="00156CB7" w14:paraId="09870B58" w14:textId="77777777">
            <w:pPr>
              <w:spacing w:after="0" w:line="240" w:lineRule="auto"/>
              <w:jc w:val="center"/>
              <w:rPr>
                <w:rFonts w:ascii="Arial" w:eastAsia="Times New Roman" w:hAnsi="Arial" w:cs="Arial"/>
                <w:color w:val="000000"/>
              </w:rPr>
            </w:pPr>
            <w:r w:rsidRPr="000B4F70">
              <w:rPr>
                <w:rFonts w:ascii="Arial" w:eastAsia="Times New Roman" w:hAnsi="Arial" w:cs="Arial"/>
                <w:color w:val="000000"/>
              </w:rPr>
              <w:t>1.1</w:t>
            </w:r>
          </w:p>
        </w:tc>
      </w:tr>
      <w:tr w14:paraId="584D401E"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2D0230BC" w14:textId="2769585F">
            <w:pPr>
              <w:spacing w:after="0" w:line="240" w:lineRule="auto"/>
              <w:rPr>
                <w:rFonts w:ascii="Arial" w:eastAsia="Times New Roman" w:hAnsi="Arial" w:cs="Arial"/>
                <w:color w:val="000000"/>
              </w:rPr>
            </w:pPr>
            <w:r w:rsidRPr="00990A47">
              <w:rPr>
                <w:rFonts w:ascii="Arial" w:eastAsia="Times New Roman" w:hAnsi="Arial" w:cs="Arial"/>
                <w:color w:val="000000"/>
              </w:rPr>
              <w:t>COVID-19 Testing</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814759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1.2</w:t>
            </w:r>
          </w:p>
        </w:tc>
        <w:tc>
          <w:tcPr>
            <w:tcW w:w="1239" w:type="dxa"/>
            <w:shd w:val="clear" w:color="auto" w:fill="auto"/>
            <w:noWrap/>
            <w:vAlign w:val="center"/>
            <w:hideMark/>
          </w:tcPr>
          <w:p w:rsidR="00B771B1" w:rsidRPr="00990A47" w:rsidP="00156CB7" w14:paraId="53F0CF4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1.2</w:t>
            </w:r>
          </w:p>
        </w:tc>
      </w:tr>
      <w:tr w14:paraId="3C6CC095"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26A1B0DE" w14:textId="6FF48842">
            <w:pPr>
              <w:spacing w:after="0" w:line="240" w:lineRule="auto"/>
              <w:rPr>
                <w:rFonts w:ascii="Arial" w:eastAsia="Times New Roman" w:hAnsi="Arial" w:cs="Arial"/>
                <w:color w:val="000000"/>
              </w:rPr>
            </w:pPr>
            <w:r w:rsidRPr="00990A47">
              <w:rPr>
                <w:rFonts w:ascii="Arial" w:eastAsia="Times New Roman" w:hAnsi="Arial" w:cs="Arial"/>
                <w:color w:val="000000"/>
              </w:rPr>
              <w:t>COVID-19 Contact Tracing</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40AF2B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1.3</w:t>
            </w:r>
          </w:p>
        </w:tc>
        <w:tc>
          <w:tcPr>
            <w:tcW w:w="1239" w:type="dxa"/>
            <w:shd w:val="clear" w:color="auto" w:fill="auto"/>
            <w:noWrap/>
            <w:vAlign w:val="center"/>
            <w:hideMark/>
          </w:tcPr>
          <w:p w:rsidR="00B771B1" w:rsidRPr="00990A47" w:rsidP="00156CB7" w14:paraId="530D3310"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1.3</w:t>
            </w:r>
          </w:p>
        </w:tc>
      </w:tr>
      <w:tr w14:paraId="708B8925" w14:textId="77777777" w:rsidTr="00306AA8">
        <w:tblPrEx>
          <w:tblW w:w="9706" w:type="dxa"/>
          <w:tblInd w:w="-95" w:type="dxa"/>
          <w:tblLayout w:type="fixed"/>
          <w:tblLook w:val="04A0"/>
        </w:tblPrEx>
        <w:trPr>
          <w:trHeight w:val="520"/>
        </w:trPr>
        <w:tc>
          <w:tcPr>
            <w:tcW w:w="7325" w:type="dxa"/>
            <w:shd w:val="clear" w:color="auto" w:fill="auto"/>
            <w:vAlign w:val="center"/>
            <w:hideMark/>
          </w:tcPr>
          <w:p w:rsidR="00B771B1" w:rsidRPr="00990A47" w:rsidP="00156CB7" w14:paraId="3324F0D1" w14:textId="053DB94C">
            <w:pPr>
              <w:spacing w:after="0" w:line="240" w:lineRule="auto"/>
              <w:rPr>
                <w:rFonts w:ascii="Arial" w:eastAsia="Times New Roman" w:hAnsi="Arial" w:cs="Arial"/>
                <w:color w:val="000000"/>
              </w:rPr>
            </w:pPr>
            <w:r w:rsidRPr="00990A47">
              <w:rPr>
                <w:rFonts w:ascii="Arial" w:eastAsia="Times New Roman" w:hAnsi="Arial" w:cs="Arial"/>
                <w:color w:val="000000"/>
              </w:rPr>
              <w:t xml:space="preserve">Prevention in Congregate Settings (Nursing Homes, Prisons/Jails, Dense Work Sites, Schools, </w:t>
            </w:r>
            <w:r>
              <w:rPr>
                <w:rFonts w:ascii="Arial" w:eastAsia="Times New Roman" w:hAnsi="Arial" w:cs="Arial"/>
                <w:color w:val="000000"/>
              </w:rPr>
              <w:t xml:space="preserve">Child care facilities, </w:t>
            </w:r>
            <w:r w:rsidRPr="00990A47">
              <w:rPr>
                <w:rFonts w:ascii="Arial" w:eastAsia="Times New Roman" w:hAnsi="Arial" w:cs="Arial"/>
                <w:color w:val="000000"/>
              </w:rPr>
              <w:t>etc.)</w:t>
            </w:r>
            <w:r>
              <w:rPr>
                <w:rFonts w:ascii="Arial" w:eastAsia="Times New Roman" w:hAnsi="Arial" w:cs="Arial"/>
                <w:color w:val="000000"/>
              </w:rPr>
              <w:t>*</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B374FD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1.4</w:t>
            </w:r>
          </w:p>
        </w:tc>
        <w:tc>
          <w:tcPr>
            <w:tcW w:w="1239" w:type="dxa"/>
            <w:shd w:val="clear" w:color="auto" w:fill="auto"/>
            <w:noWrap/>
            <w:vAlign w:val="center"/>
            <w:hideMark/>
          </w:tcPr>
          <w:p w:rsidR="00B771B1" w:rsidRPr="00D41A7E" w:rsidP="00156CB7" w14:paraId="03FF3471" w14:textId="77777777">
            <w:pPr>
              <w:spacing w:after="0" w:line="240" w:lineRule="auto"/>
              <w:jc w:val="center"/>
              <w:rPr>
                <w:rFonts w:ascii="Arial" w:eastAsia="Times New Roman" w:hAnsi="Arial" w:cs="Arial"/>
                <w:color w:val="000000"/>
              </w:rPr>
            </w:pPr>
            <w:r w:rsidRPr="00D41A7E">
              <w:rPr>
                <w:rFonts w:ascii="Arial" w:eastAsia="Times New Roman" w:hAnsi="Arial" w:cs="Arial"/>
                <w:color w:val="000000"/>
              </w:rPr>
              <w:t>1.4</w:t>
            </w:r>
          </w:p>
        </w:tc>
      </w:tr>
      <w:tr w14:paraId="38014FB8"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34195631" w14:textId="58BB262D">
            <w:pPr>
              <w:spacing w:after="0" w:line="240" w:lineRule="auto"/>
              <w:rPr>
                <w:rFonts w:ascii="Arial" w:eastAsia="Times New Roman" w:hAnsi="Arial" w:cs="Arial"/>
                <w:color w:val="000000"/>
              </w:rPr>
            </w:pPr>
            <w:r w:rsidRPr="00990A47">
              <w:rPr>
                <w:rFonts w:ascii="Arial" w:eastAsia="Times New Roman" w:hAnsi="Arial" w:cs="Arial"/>
                <w:color w:val="000000"/>
              </w:rPr>
              <w:t>Personal Protective Equipment</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B0C521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1.5</w:t>
            </w:r>
          </w:p>
        </w:tc>
        <w:tc>
          <w:tcPr>
            <w:tcW w:w="1239" w:type="dxa"/>
            <w:shd w:val="clear" w:color="auto" w:fill="auto"/>
            <w:noWrap/>
            <w:vAlign w:val="center"/>
            <w:hideMark/>
          </w:tcPr>
          <w:p w:rsidR="00B771B1" w:rsidRPr="00D41A7E" w:rsidP="00156CB7" w14:paraId="32B72B35" w14:textId="77777777">
            <w:pPr>
              <w:spacing w:after="0" w:line="240" w:lineRule="auto"/>
              <w:jc w:val="center"/>
              <w:rPr>
                <w:rFonts w:ascii="Arial" w:eastAsia="Times New Roman" w:hAnsi="Arial" w:cs="Arial"/>
                <w:color w:val="000000"/>
              </w:rPr>
            </w:pPr>
            <w:r w:rsidRPr="00D41A7E">
              <w:rPr>
                <w:rFonts w:ascii="Arial" w:eastAsia="Times New Roman" w:hAnsi="Arial" w:cs="Arial"/>
                <w:color w:val="000000"/>
              </w:rPr>
              <w:t>1.5</w:t>
            </w:r>
          </w:p>
        </w:tc>
      </w:tr>
      <w:tr w14:paraId="5D037267"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255C19EA" w14:textId="1EB47912">
            <w:pPr>
              <w:spacing w:after="0" w:line="240" w:lineRule="auto"/>
              <w:rPr>
                <w:rFonts w:ascii="Arial" w:eastAsia="Times New Roman" w:hAnsi="Arial" w:cs="Arial"/>
                <w:color w:val="000000"/>
              </w:rPr>
            </w:pPr>
            <w:r w:rsidRPr="00990A47">
              <w:rPr>
                <w:rFonts w:ascii="Arial" w:eastAsia="Times New Roman" w:hAnsi="Arial" w:cs="Arial"/>
                <w:color w:val="000000"/>
              </w:rPr>
              <w:t xml:space="preserve">Medical Expenses (including Alternative Care </w:t>
            </w:r>
            <w:r w:rsidRPr="00990A47">
              <w:rPr>
                <w:rFonts w:ascii="Arial" w:eastAsia="Times New Roman" w:hAnsi="Arial" w:cs="Arial"/>
                <w:color w:val="000000"/>
              </w:rPr>
              <w:t>Facilities)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595AF83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1.6</w:t>
            </w:r>
          </w:p>
        </w:tc>
        <w:tc>
          <w:tcPr>
            <w:tcW w:w="1239" w:type="dxa"/>
            <w:shd w:val="clear" w:color="auto" w:fill="auto"/>
            <w:noWrap/>
            <w:vAlign w:val="center"/>
            <w:hideMark/>
          </w:tcPr>
          <w:p w:rsidR="00B771B1" w:rsidRPr="00990A47" w:rsidP="00156CB7" w14:paraId="11F0C6B3"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1.6</w:t>
            </w:r>
          </w:p>
        </w:tc>
      </w:tr>
      <w:tr w14:paraId="230EC4AF" w14:textId="77777777" w:rsidTr="00306AA8">
        <w:tblPrEx>
          <w:tblW w:w="9706" w:type="dxa"/>
          <w:tblInd w:w="-95" w:type="dxa"/>
          <w:tblLayout w:type="fixed"/>
          <w:tblLook w:val="04A0"/>
        </w:tblPrEx>
        <w:trPr>
          <w:trHeight w:val="520"/>
        </w:trPr>
        <w:tc>
          <w:tcPr>
            <w:tcW w:w="7325" w:type="dxa"/>
            <w:shd w:val="clear" w:color="auto" w:fill="auto"/>
            <w:vAlign w:val="center"/>
            <w:hideMark/>
          </w:tcPr>
          <w:p w:rsidR="00B771B1" w:rsidRPr="00990A47" w:rsidP="00156CB7" w14:paraId="6848CE27" w14:textId="131C4D15">
            <w:pPr>
              <w:spacing w:after="0" w:line="240" w:lineRule="auto"/>
              <w:rPr>
                <w:rFonts w:ascii="Arial" w:eastAsia="Times New Roman" w:hAnsi="Arial" w:cs="Arial"/>
                <w:color w:val="000000"/>
              </w:rPr>
            </w:pPr>
            <w:r w:rsidRPr="00990A47">
              <w:rPr>
                <w:rFonts w:ascii="Arial" w:eastAsia="Times New Roman" w:hAnsi="Arial" w:cs="Arial"/>
                <w:color w:val="000000"/>
              </w:rPr>
              <w:t>Other COVID-19 Public Health Expenses (including Communications, Enforcement, Isolation/</w:t>
            </w:r>
            <w:r w:rsidRPr="00990A47">
              <w:rPr>
                <w:rFonts w:ascii="Arial" w:eastAsia="Times New Roman" w:hAnsi="Arial" w:cs="Arial"/>
                <w:color w:val="000000"/>
              </w:rPr>
              <w:t>Quarantine)</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C19AE3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1.7</w:t>
            </w:r>
          </w:p>
        </w:tc>
        <w:tc>
          <w:tcPr>
            <w:tcW w:w="1239" w:type="dxa"/>
            <w:shd w:val="clear" w:color="auto" w:fill="auto"/>
            <w:noWrap/>
            <w:vAlign w:val="center"/>
            <w:hideMark/>
          </w:tcPr>
          <w:p w:rsidR="00B771B1" w:rsidRPr="00990A47" w:rsidP="00156CB7" w14:paraId="103D847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1.8</w:t>
            </w:r>
          </w:p>
        </w:tc>
      </w:tr>
      <w:tr w14:paraId="4D33BF37"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089C3B0E" w14:textId="329B26F3">
            <w:pPr>
              <w:spacing w:after="0" w:line="240" w:lineRule="auto"/>
              <w:rPr>
                <w:rFonts w:ascii="Arial" w:eastAsia="Times New Roman" w:hAnsi="Arial" w:cs="Arial"/>
                <w:color w:val="000000"/>
              </w:rPr>
            </w:pPr>
            <w:r w:rsidRPr="00990A47">
              <w:rPr>
                <w:rFonts w:ascii="Arial" w:eastAsia="Times New Roman" w:hAnsi="Arial" w:cs="Arial"/>
                <w:color w:val="000000"/>
              </w:rPr>
              <w:t>COVID-19 Assistance to Small Businesses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6C92348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1.8</w:t>
            </w:r>
          </w:p>
        </w:tc>
        <w:tc>
          <w:tcPr>
            <w:tcW w:w="1239" w:type="dxa"/>
            <w:shd w:val="clear" w:color="auto" w:fill="auto"/>
            <w:noWrap/>
            <w:vAlign w:val="center"/>
            <w:hideMark/>
          </w:tcPr>
          <w:p w:rsidR="00B771B1" w:rsidRPr="00990A47" w:rsidP="00156CB7" w14:paraId="3FF5A12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16B14ACB"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553B725A" w14:textId="05320DED">
            <w:pPr>
              <w:spacing w:after="0" w:line="240" w:lineRule="auto"/>
              <w:rPr>
                <w:rFonts w:ascii="Arial" w:eastAsia="Times New Roman" w:hAnsi="Arial" w:cs="Arial"/>
                <w:color w:val="000000"/>
              </w:rPr>
            </w:pPr>
            <w:r w:rsidRPr="00990A47">
              <w:rPr>
                <w:rFonts w:ascii="Arial" w:eastAsia="Times New Roman" w:hAnsi="Arial" w:cs="Arial"/>
                <w:color w:val="000000"/>
              </w:rPr>
              <w:t>COVID 19 Assistance to Non-Profits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649ECA93"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1.9</w:t>
            </w:r>
          </w:p>
        </w:tc>
        <w:tc>
          <w:tcPr>
            <w:tcW w:w="1239" w:type="dxa"/>
            <w:shd w:val="clear" w:color="auto" w:fill="auto"/>
            <w:noWrap/>
            <w:vAlign w:val="center"/>
            <w:hideMark/>
          </w:tcPr>
          <w:p w:rsidR="00B771B1" w:rsidRPr="00990A47" w:rsidP="00156CB7" w14:paraId="3ACE481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1BCCBA53"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2A8F0173" w14:textId="0C957086">
            <w:pPr>
              <w:spacing w:after="0" w:line="240" w:lineRule="auto"/>
              <w:rPr>
                <w:rFonts w:ascii="Arial" w:eastAsia="Times New Roman" w:hAnsi="Arial" w:cs="Arial"/>
                <w:color w:val="000000"/>
              </w:rPr>
            </w:pPr>
            <w:r w:rsidRPr="00990A47">
              <w:rPr>
                <w:rFonts w:ascii="Arial" w:eastAsia="Times New Roman" w:hAnsi="Arial" w:cs="Arial"/>
                <w:color w:val="000000"/>
              </w:rPr>
              <w:t>COVID-19 Aid to Impacted Industries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B3758F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1.10</w:t>
            </w:r>
          </w:p>
        </w:tc>
        <w:tc>
          <w:tcPr>
            <w:tcW w:w="1239" w:type="dxa"/>
            <w:shd w:val="clear" w:color="auto" w:fill="auto"/>
            <w:noWrap/>
            <w:vAlign w:val="center"/>
            <w:hideMark/>
          </w:tcPr>
          <w:p w:rsidR="00B771B1" w:rsidRPr="00990A47" w:rsidP="00156CB7" w14:paraId="255DD54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249E7746" w14:textId="77777777" w:rsidTr="00FE3FDE">
        <w:tblPrEx>
          <w:tblW w:w="9706" w:type="dxa"/>
          <w:tblInd w:w="-95" w:type="dxa"/>
          <w:tblLayout w:type="fixed"/>
          <w:tblLook w:val="04A0"/>
        </w:tblPrEx>
        <w:trPr>
          <w:trHeight w:val="297"/>
        </w:trPr>
        <w:tc>
          <w:tcPr>
            <w:tcW w:w="9706" w:type="dxa"/>
            <w:gridSpan w:val="3"/>
            <w:shd w:val="clear" w:color="auto" w:fill="BFBFBF" w:themeFill="background1" w:themeFillShade="BF"/>
            <w:vAlign w:val="center"/>
          </w:tcPr>
          <w:p w:rsidR="00BC5DE7" w:rsidRPr="006D5B07" w:rsidP="00BC5DE7" w14:paraId="1F6C9BB7" w14:textId="5600D613">
            <w:pPr>
              <w:spacing w:after="0" w:line="240" w:lineRule="auto"/>
              <w:rPr>
                <w:rFonts w:ascii="Arial" w:eastAsia="Times New Roman" w:hAnsi="Arial" w:cs="Arial"/>
                <w:color w:val="000000"/>
              </w:rPr>
            </w:pPr>
            <w:r w:rsidRPr="000B4F70">
              <w:rPr>
                <w:rFonts w:ascii="Arial" w:eastAsia="Times New Roman" w:hAnsi="Arial" w:cs="Arial"/>
                <w:b/>
                <w:bCs/>
                <w:color w:val="000000"/>
              </w:rPr>
              <w:t>Community Violence Interventions</w:t>
            </w:r>
          </w:p>
        </w:tc>
      </w:tr>
      <w:tr w14:paraId="73722AEE" w14:textId="77777777" w:rsidTr="00306AA8">
        <w:tblPrEx>
          <w:tblW w:w="9706" w:type="dxa"/>
          <w:tblInd w:w="-95" w:type="dxa"/>
          <w:tblLayout w:type="fixed"/>
          <w:tblLook w:val="04A0"/>
        </w:tblPrEx>
        <w:trPr>
          <w:trHeight w:val="297"/>
        </w:trPr>
        <w:tc>
          <w:tcPr>
            <w:tcW w:w="7325" w:type="dxa"/>
            <w:shd w:val="clear" w:color="auto" w:fill="auto"/>
            <w:vAlign w:val="center"/>
            <w:hideMark/>
          </w:tcPr>
          <w:p w:rsidR="00B771B1" w:rsidRPr="00990A47" w:rsidP="00BC5DE7" w14:paraId="04A3B747" w14:textId="68A36FEA">
            <w:pPr>
              <w:spacing w:after="0" w:line="240" w:lineRule="auto"/>
              <w:rPr>
                <w:rFonts w:ascii="Arial" w:eastAsia="Times New Roman" w:hAnsi="Arial" w:cs="Arial"/>
                <w:color w:val="000000"/>
              </w:rPr>
            </w:pPr>
            <w:r w:rsidRPr="00990A47">
              <w:rPr>
                <w:rFonts w:ascii="Arial" w:eastAsia="Times New Roman" w:hAnsi="Arial" w:cs="Arial"/>
                <w:color w:val="000000"/>
              </w:rPr>
              <w:t>Community Violence Interventions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17BAE4D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1.11</w:t>
            </w:r>
          </w:p>
        </w:tc>
        <w:tc>
          <w:tcPr>
            <w:tcW w:w="1239" w:type="dxa"/>
            <w:shd w:val="clear" w:color="auto" w:fill="auto"/>
            <w:noWrap/>
            <w:vAlign w:val="center"/>
            <w:hideMark/>
          </w:tcPr>
          <w:p w:rsidR="00B771B1" w:rsidRPr="006D5B07" w:rsidP="00156CB7" w14:paraId="77EA52AA" w14:textId="77777777">
            <w:pPr>
              <w:spacing w:after="0" w:line="240" w:lineRule="auto"/>
              <w:jc w:val="center"/>
              <w:rPr>
                <w:rFonts w:ascii="Arial" w:eastAsia="Times New Roman" w:hAnsi="Arial" w:cs="Arial"/>
                <w:color w:val="000000"/>
              </w:rPr>
            </w:pPr>
            <w:r w:rsidRPr="006D5B07">
              <w:rPr>
                <w:rFonts w:ascii="Arial" w:eastAsia="Times New Roman" w:hAnsi="Arial" w:cs="Arial"/>
                <w:color w:val="000000"/>
              </w:rPr>
              <w:t>3.16</w:t>
            </w:r>
          </w:p>
        </w:tc>
      </w:tr>
      <w:tr w14:paraId="4D009352" w14:textId="77777777" w:rsidTr="00FE3FDE">
        <w:tblPrEx>
          <w:tblW w:w="9706" w:type="dxa"/>
          <w:tblInd w:w="-95" w:type="dxa"/>
          <w:tblLayout w:type="fixed"/>
          <w:tblLook w:val="04A0"/>
        </w:tblPrEx>
        <w:trPr>
          <w:trHeight w:val="260"/>
        </w:trPr>
        <w:tc>
          <w:tcPr>
            <w:tcW w:w="9706" w:type="dxa"/>
            <w:gridSpan w:val="3"/>
            <w:shd w:val="clear" w:color="auto" w:fill="BFBFBF" w:themeFill="background1" w:themeFillShade="BF"/>
            <w:vAlign w:val="center"/>
          </w:tcPr>
          <w:p w:rsidR="00BC5DE7" w:rsidRPr="006D5B07" w:rsidP="00BC5DE7" w14:paraId="6BA8FD0C" w14:textId="16D9CBA8">
            <w:pPr>
              <w:spacing w:after="0" w:line="240" w:lineRule="auto"/>
              <w:rPr>
                <w:rFonts w:ascii="Arial" w:eastAsia="Times New Roman" w:hAnsi="Arial" w:cs="Arial"/>
                <w:color w:val="000000"/>
              </w:rPr>
            </w:pPr>
            <w:r w:rsidRPr="006D5B07">
              <w:rPr>
                <w:rFonts w:ascii="Arial" w:eastAsia="Times New Roman" w:hAnsi="Arial" w:cs="Arial"/>
                <w:b/>
                <w:bCs/>
                <w:color w:val="000000"/>
              </w:rPr>
              <w:t>Behavioral Health</w:t>
            </w:r>
          </w:p>
        </w:tc>
      </w:tr>
      <w:tr w14:paraId="4B88AC0C"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08FB6585" w14:textId="2023488F">
            <w:pPr>
              <w:spacing w:after="0" w:line="240" w:lineRule="auto"/>
              <w:rPr>
                <w:rFonts w:ascii="Arial" w:eastAsia="Times New Roman" w:hAnsi="Arial" w:cs="Arial"/>
                <w:color w:val="000000"/>
              </w:rPr>
            </w:pPr>
            <w:r w:rsidRPr="00990A47">
              <w:rPr>
                <w:rFonts w:ascii="Arial" w:eastAsia="Times New Roman" w:hAnsi="Arial" w:cs="Arial"/>
                <w:color w:val="000000"/>
              </w:rPr>
              <w:t>Mental Health Services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F72615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1.12</w:t>
            </w:r>
          </w:p>
        </w:tc>
        <w:tc>
          <w:tcPr>
            <w:tcW w:w="1239" w:type="dxa"/>
            <w:shd w:val="clear" w:color="auto" w:fill="auto"/>
            <w:noWrap/>
            <w:vAlign w:val="center"/>
            <w:hideMark/>
          </w:tcPr>
          <w:p w:rsidR="00B771B1" w:rsidRPr="006D5B07" w:rsidP="00156CB7" w14:paraId="520CAE54" w14:textId="77777777">
            <w:pPr>
              <w:spacing w:after="0" w:line="240" w:lineRule="auto"/>
              <w:jc w:val="center"/>
              <w:rPr>
                <w:rFonts w:ascii="Arial" w:eastAsia="Times New Roman" w:hAnsi="Arial" w:cs="Arial"/>
                <w:color w:val="000000"/>
              </w:rPr>
            </w:pPr>
            <w:r w:rsidRPr="006D5B07">
              <w:rPr>
                <w:rFonts w:ascii="Arial" w:eastAsia="Times New Roman" w:hAnsi="Arial" w:cs="Arial"/>
                <w:color w:val="000000"/>
              </w:rPr>
              <w:t>1.10</w:t>
            </w:r>
          </w:p>
        </w:tc>
      </w:tr>
      <w:tr w14:paraId="3E72AC09"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553D38E7" w14:textId="04A35A5D">
            <w:pPr>
              <w:spacing w:after="0" w:line="240" w:lineRule="auto"/>
              <w:rPr>
                <w:rFonts w:ascii="Arial" w:eastAsia="Times New Roman" w:hAnsi="Arial" w:cs="Arial"/>
                <w:color w:val="000000"/>
              </w:rPr>
            </w:pPr>
            <w:r w:rsidRPr="00990A47">
              <w:rPr>
                <w:rFonts w:ascii="Arial" w:eastAsia="Times New Roman" w:hAnsi="Arial" w:cs="Arial"/>
                <w:color w:val="000000"/>
              </w:rPr>
              <w:t>Substance Use Services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28BCC90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1.13</w:t>
            </w:r>
          </w:p>
        </w:tc>
        <w:tc>
          <w:tcPr>
            <w:tcW w:w="1239" w:type="dxa"/>
            <w:shd w:val="clear" w:color="auto" w:fill="auto"/>
            <w:noWrap/>
            <w:vAlign w:val="center"/>
            <w:hideMark/>
          </w:tcPr>
          <w:p w:rsidR="00B771B1" w:rsidRPr="006D5B07" w:rsidP="00156CB7" w14:paraId="6D7862C9" w14:textId="77777777">
            <w:pPr>
              <w:spacing w:after="0" w:line="240" w:lineRule="auto"/>
              <w:jc w:val="center"/>
              <w:rPr>
                <w:rFonts w:ascii="Arial" w:eastAsia="Times New Roman" w:hAnsi="Arial" w:cs="Arial"/>
                <w:color w:val="000000"/>
              </w:rPr>
            </w:pPr>
            <w:r w:rsidRPr="006D5B07">
              <w:rPr>
                <w:rFonts w:ascii="Arial" w:eastAsia="Times New Roman" w:hAnsi="Arial" w:cs="Arial"/>
                <w:color w:val="000000"/>
              </w:rPr>
              <w:t>1.11</w:t>
            </w:r>
          </w:p>
        </w:tc>
      </w:tr>
      <w:tr w14:paraId="54DBB47E" w14:textId="77777777" w:rsidTr="00FE3FDE">
        <w:tblPrEx>
          <w:tblW w:w="9706" w:type="dxa"/>
          <w:tblInd w:w="-95" w:type="dxa"/>
          <w:tblLayout w:type="fixed"/>
          <w:tblLook w:val="04A0"/>
        </w:tblPrEx>
        <w:trPr>
          <w:trHeight w:val="260"/>
        </w:trPr>
        <w:tc>
          <w:tcPr>
            <w:tcW w:w="9706" w:type="dxa"/>
            <w:gridSpan w:val="3"/>
            <w:shd w:val="clear" w:color="auto" w:fill="BFBFBF" w:themeFill="background1" w:themeFillShade="BF"/>
            <w:vAlign w:val="center"/>
          </w:tcPr>
          <w:p w:rsidR="00BC5DE7" w:rsidRPr="000B4F70" w:rsidP="00BC5DE7" w14:paraId="2EE9A7EB" w14:textId="4E55B575">
            <w:pPr>
              <w:spacing w:after="0" w:line="240" w:lineRule="auto"/>
              <w:rPr>
                <w:rFonts w:ascii="Arial" w:eastAsia="Times New Roman" w:hAnsi="Arial" w:cs="Arial"/>
                <w:color w:val="000000"/>
              </w:rPr>
            </w:pPr>
            <w:r w:rsidRPr="000B4F70">
              <w:rPr>
                <w:rFonts w:ascii="Arial" w:eastAsia="Times New Roman" w:hAnsi="Arial" w:cs="Arial"/>
                <w:b/>
                <w:bCs/>
                <w:color w:val="000000"/>
              </w:rPr>
              <w:t>Other</w:t>
            </w:r>
          </w:p>
        </w:tc>
      </w:tr>
      <w:tr w14:paraId="577C09C7"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BC5DE7" w14:paraId="0BA8229D" w14:textId="3FC5D0E8">
            <w:pPr>
              <w:spacing w:after="0" w:line="240" w:lineRule="auto"/>
              <w:rPr>
                <w:rFonts w:ascii="Arial" w:eastAsia="Times New Roman" w:hAnsi="Arial" w:cs="Arial"/>
                <w:color w:val="000000"/>
              </w:rPr>
            </w:pPr>
            <w:r w:rsidRPr="00990A47">
              <w:rPr>
                <w:rFonts w:ascii="Arial" w:eastAsia="Times New Roman" w:hAnsi="Arial" w:cs="Arial"/>
                <w:color w:val="000000"/>
              </w:rPr>
              <w:t>Other Public Health Services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4C44968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1.14</w:t>
            </w:r>
          </w:p>
        </w:tc>
        <w:tc>
          <w:tcPr>
            <w:tcW w:w="1239" w:type="dxa"/>
            <w:shd w:val="clear" w:color="auto" w:fill="auto"/>
            <w:noWrap/>
            <w:vAlign w:val="center"/>
            <w:hideMark/>
          </w:tcPr>
          <w:p w:rsidR="00B771B1" w:rsidRPr="00990A47" w:rsidP="00156CB7" w14:paraId="7E4FD3C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1.12</w:t>
            </w:r>
          </w:p>
        </w:tc>
      </w:tr>
      <w:tr w14:paraId="5E6F3D35" w14:textId="77777777" w:rsidTr="00306AA8">
        <w:tblPrEx>
          <w:tblW w:w="9706" w:type="dxa"/>
          <w:tblInd w:w="-95" w:type="dxa"/>
          <w:tblLayout w:type="fixed"/>
          <w:tblLook w:val="04A0"/>
        </w:tblPrEx>
        <w:trPr>
          <w:trHeight w:val="520"/>
        </w:trPr>
        <w:tc>
          <w:tcPr>
            <w:tcW w:w="7325" w:type="dxa"/>
            <w:shd w:val="clear" w:color="auto" w:fill="auto"/>
            <w:vAlign w:val="center"/>
            <w:hideMark/>
          </w:tcPr>
          <w:p w:rsidR="00B771B1" w:rsidRPr="00990A47" w:rsidP="00BC5DE7" w14:paraId="4C8FEFA2" w14:textId="3FFD214C">
            <w:pPr>
              <w:spacing w:after="0" w:line="240" w:lineRule="auto"/>
              <w:rPr>
                <w:rFonts w:ascii="Arial" w:eastAsia="Times New Roman" w:hAnsi="Arial" w:cs="Arial"/>
                <w:color w:val="000000"/>
              </w:rPr>
            </w:pPr>
            <w:r w:rsidRPr="00990A47">
              <w:rPr>
                <w:rFonts w:ascii="Arial" w:eastAsia="Times New Roman" w:hAnsi="Arial" w:cs="Arial"/>
                <w:color w:val="000000"/>
              </w:rPr>
              <w:t>Capital Investments or Physical Plant Changes to Public Facilities that respond to the COVID-19 public health emergency</w:t>
            </w:r>
          </w:p>
        </w:tc>
        <w:tc>
          <w:tcPr>
            <w:tcW w:w="1142" w:type="dxa"/>
            <w:shd w:val="clear" w:color="auto" w:fill="auto"/>
            <w:noWrap/>
            <w:vAlign w:val="center"/>
            <w:hideMark/>
          </w:tcPr>
          <w:p w:rsidR="00B771B1" w:rsidRPr="00990A47" w:rsidP="00156CB7" w14:paraId="48E8F99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B771B1" w:rsidRPr="00990A47" w:rsidP="00156CB7" w14:paraId="2CBCB4C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1.7</w:t>
            </w:r>
          </w:p>
        </w:tc>
      </w:tr>
      <w:tr w14:paraId="3359A2D8" w14:textId="77777777" w:rsidTr="00FE3FDE">
        <w:tblPrEx>
          <w:tblW w:w="9706" w:type="dxa"/>
          <w:tblInd w:w="-95" w:type="dxa"/>
          <w:tblLayout w:type="fixed"/>
          <w:tblLook w:val="04A0"/>
        </w:tblPrEx>
        <w:trPr>
          <w:trHeight w:val="180"/>
        </w:trPr>
        <w:tc>
          <w:tcPr>
            <w:tcW w:w="9706" w:type="dxa"/>
            <w:gridSpan w:val="3"/>
            <w:shd w:val="clear" w:color="auto" w:fill="99CCFF"/>
            <w:noWrap/>
            <w:vAlign w:val="center"/>
          </w:tcPr>
          <w:p w:rsidR="00BC5DE7" w:rsidRPr="0058441C" w:rsidP="00BC5DE7" w14:paraId="6375A577" w14:textId="7AD78AFC">
            <w:pPr>
              <w:spacing w:after="0" w:line="240" w:lineRule="auto"/>
              <w:rPr>
                <w:rFonts w:ascii="Arial" w:hAnsi="Arial"/>
                <w:color w:val="000000"/>
              </w:rPr>
            </w:pPr>
            <w:r w:rsidRPr="0058441C">
              <w:rPr>
                <w:rFonts w:ascii="Arial" w:hAnsi="Arial"/>
                <w:b/>
              </w:rPr>
              <w:t xml:space="preserve">2: </w:t>
            </w:r>
            <w:r w:rsidRPr="0058441C">
              <w:rPr>
                <w:rFonts w:ascii="Arial" w:hAnsi="Arial"/>
                <w:b/>
              </w:rPr>
              <w:t>Negative Economic Impacts</w:t>
            </w:r>
          </w:p>
        </w:tc>
      </w:tr>
      <w:tr w14:paraId="6299D056" w14:textId="77777777" w:rsidTr="00FE3FDE">
        <w:tblPrEx>
          <w:tblW w:w="9706" w:type="dxa"/>
          <w:tblInd w:w="-95" w:type="dxa"/>
          <w:tblLayout w:type="fixed"/>
          <w:tblLook w:val="04A0"/>
        </w:tblPrEx>
        <w:trPr>
          <w:trHeight w:val="180"/>
        </w:trPr>
        <w:tc>
          <w:tcPr>
            <w:tcW w:w="9706" w:type="dxa"/>
            <w:gridSpan w:val="3"/>
            <w:shd w:val="clear" w:color="auto" w:fill="BFBFBF" w:themeFill="background1" w:themeFillShade="BF"/>
            <w:noWrap/>
            <w:vAlign w:val="center"/>
          </w:tcPr>
          <w:p w:rsidR="00BC5DE7" w:rsidRPr="00990A47" w:rsidP="00BC5DE7" w14:paraId="599C774E" w14:textId="4A70F2CA">
            <w:pPr>
              <w:spacing w:after="0" w:line="240" w:lineRule="auto"/>
              <w:rPr>
                <w:rFonts w:ascii="Arial" w:eastAsia="Times New Roman" w:hAnsi="Arial" w:cs="Arial"/>
                <w:color w:val="000000"/>
              </w:rPr>
            </w:pPr>
            <w:r>
              <w:rPr>
                <w:rFonts w:ascii="Arial" w:eastAsia="Times New Roman" w:hAnsi="Arial" w:cs="Arial"/>
                <w:b/>
                <w:bCs/>
                <w:color w:val="000000"/>
              </w:rPr>
              <w:t>Assistance to Households</w:t>
            </w:r>
          </w:p>
        </w:tc>
      </w:tr>
      <w:tr w14:paraId="4DF0BD7E" w14:textId="77777777" w:rsidTr="00306AA8">
        <w:tblPrEx>
          <w:tblW w:w="9706" w:type="dxa"/>
          <w:tblInd w:w="-95" w:type="dxa"/>
          <w:tblLayout w:type="fixed"/>
          <w:tblLook w:val="04A0"/>
        </w:tblPrEx>
        <w:trPr>
          <w:trHeight w:val="180"/>
        </w:trPr>
        <w:tc>
          <w:tcPr>
            <w:tcW w:w="7325" w:type="dxa"/>
            <w:shd w:val="clear" w:color="auto" w:fill="auto"/>
            <w:noWrap/>
            <w:vAlign w:val="bottom"/>
            <w:hideMark/>
          </w:tcPr>
          <w:p w:rsidR="00B771B1" w:rsidRPr="00990A47" w:rsidP="00B771B1" w14:paraId="41DA6DC0" w14:textId="5A48684A">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Food Programs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73B137E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w:t>
            </w:r>
          </w:p>
        </w:tc>
        <w:tc>
          <w:tcPr>
            <w:tcW w:w="1239" w:type="dxa"/>
            <w:shd w:val="clear" w:color="auto" w:fill="auto"/>
            <w:noWrap/>
            <w:vAlign w:val="center"/>
            <w:hideMark/>
          </w:tcPr>
          <w:p w:rsidR="00B771B1" w:rsidRPr="003C23D3" w:rsidP="00156CB7" w14:paraId="70BAEBB0"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2.1</w:t>
            </w:r>
          </w:p>
        </w:tc>
      </w:tr>
      <w:tr w14:paraId="66C1A52C"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B771B1" w14:paraId="27A25CAC" w14:textId="26D5B9EC">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Rent, Mortgage, and Utility Aid</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1AC9FA6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p>
        </w:tc>
        <w:tc>
          <w:tcPr>
            <w:tcW w:w="1239" w:type="dxa"/>
            <w:shd w:val="clear" w:color="auto" w:fill="auto"/>
            <w:noWrap/>
            <w:vAlign w:val="center"/>
            <w:hideMark/>
          </w:tcPr>
          <w:p w:rsidR="00B771B1" w:rsidRPr="003C23D3" w:rsidP="00156CB7" w14:paraId="51989CBB"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2.2</w:t>
            </w:r>
          </w:p>
        </w:tc>
      </w:tr>
      <w:tr w14:paraId="16514770"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2DEA70C3" w14:textId="704A60CF">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Cash Transfers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15F4B246"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p>
        </w:tc>
        <w:tc>
          <w:tcPr>
            <w:tcW w:w="1239" w:type="dxa"/>
            <w:shd w:val="clear" w:color="auto" w:fill="auto"/>
            <w:noWrap/>
            <w:vAlign w:val="center"/>
            <w:hideMark/>
          </w:tcPr>
          <w:p w:rsidR="00B771B1" w:rsidRPr="003C23D3" w:rsidP="00156CB7" w14:paraId="6767DB34"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2.3</w:t>
            </w:r>
          </w:p>
        </w:tc>
      </w:tr>
      <w:tr w14:paraId="308D096A"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472E5C98" w14:textId="7070C960">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Internet Access Programs</w:t>
            </w:r>
            <w:r>
              <w:rPr>
                <w:rFonts w:ascii="Arial" w:eastAsia="Times New Roman" w:hAnsi="Arial" w:cs="Arial"/>
                <w:color w:val="000000"/>
              </w:rPr>
              <w:t>*^</w:t>
            </w:r>
          </w:p>
        </w:tc>
        <w:tc>
          <w:tcPr>
            <w:tcW w:w="1142" w:type="dxa"/>
            <w:shd w:val="clear" w:color="auto" w:fill="auto"/>
            <w:noWrap/>
            <w:vAlign w:val="center"/>
            <w:hideMark/>
          </w:tcPr>
          <w:p w:rsidR="00B771B1" w:rsidRPr="00990A47" w:rsidP="00156CB7" w14:paraId="58A302F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2.4</w:t>
            </w:r>
          </w:p>
        </w:tc>
        <w:tc>
          <w:tcPr>
            <w:tcW w:w="1239" w:type="dxa"/>
            <w:shd w:val="clear" w:color="auto" w:fill="auto"/>
            <w:noWrap/>
            <w:vAlign w:val="center"/>
            <w:hideMark/>
          </w:tcPr>
          <w:p w:rsidR="00B771B1" w:rsidRPr="003C23D3" w:rsidP="00156CB7" w14:paraId="00B4BB96"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2.4</w:t>
            </w:r>
          </w:p>
        </w:tc>
      </w:tr>
      <w:tr w14:paraId="4ED15FD0" w14:textId="77777777" w:rsidTr="00306AA8">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03D5C725" w14:textId="3A781003">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Paid Sick and Medical Leave</w:t>
            </w:r>
            <w:r>
              <w:rPr>
                <w:rFonts w:ascii="Arial" w:eastAsia="Times New Roman" w:hAnsi="Arial" w:cs="Arial"/>
                <w:color w:val="000000"/>
              </w:rPr>
              <w:t>^</w:t>
            </w:r>
          </w:p>
        </w:tc>
        <w:tc>
          <w:tcPr>
            <w:tcW w:w="1142" w:type="dxa"/>
            <w:shd w:val="clear" w:color="auto" w:fill="auto"/>
            <w:noWrap/>
            <w:vAlign w:val="center"/>
            <w:hideMark/>
          </w:tcPr>
          <w:p w:rsidR="00B771B1" w:rsidRPr="00EE3B62" w:rsidP="00156CB7" w14:paraId="3B459754" w14:textId="525C0571">
            <w:pPr>
              <w:spacing w:after="0" w:line="240" w:lineRule="auto"/>
              <w:jc w:val="center"/>
              <w:rPr>
                <w:rFonts w:ascii="Arial" w:eastAsia="Times New Roman" w:hAnsi="Arial" w:cs="Arial"/>
                <w:color w:val="000000"/>
                <w:highlight w:val="yellow"/>
              </w:rPr>
            </w:pPr>
            <w:r w:rsidRPr="00647F4B">
              <w:rPr>
                <w:rFonts w:ascii="Arial" w:eastAsia="Times New Roman" w:hAnsi="Arial" w:cs="Arial"/>
                <w:color w:val="000000"/>
              </w:rPr>
              <w:t>2.5</w:t>
            </w:r>
          </w:p>
        </w:tc>
        <w:tc>
          <w:tcPr>
            <w:tcW w:w="1239" w:type="dxa"/>
            <w:shd w:val="clear" w:color="auto" w:fill="auto"/>
            <w:noWrap/>
            <w:vAlign w:val="center"/>
            <w:hideMark/>
          </w:tcPr>
          <w:p w:rsidR="00B771B1" w:rsidRPr="00990A47" w:rsidP="00156CB7" w14:paraId="77CB56E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7045CBD7" w14:textId="77777777" w:rsidTr="00306AA8">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5155997C" w14:textId="31EA6289">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Health Insurance</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5BEE0B9A" w14:textId="2F49ABA6">
            <w:pPr>
              <w:spacing w:after="0" w:line="240" w:lineRule="auto"/>
              <w:jc w:val="center"/>
              <w:rPr>
                <w:rFonts w:ascii="Arial" w:eastAsia="Times New Roman" w:hAnsi="Arial" w:cs="Arial"/>
                <w:color w:val="000000"/>
              </w:rPr>
            </w:pPr>
            <w:r w:rsidRPr="003C23D3">
              <w:rPr>
                <w:rFonts w:ascii="Arial" w:eastAsia="Times New Roman" w:hAnsi="Arial" w:cs="Arial"/>
                <w:color w:val="000000"/>
              </w:rPr>
              <w:t>2.6</w:t>
            </w:r>
          </w:p>
        </w:tc>
        <w:tc>
          <w:tcPr>
            <w:tcW w:w="1239" w:type="dxa"/>
            <w:shd w:val="clear" w:color="auto" w:fill="auto"/>
            <w:noWrap/>
            <w:vAlign w:val="center"/>
            <w:hideMark/>
          </w:tcPr>
          <w:p w:rsidR="00B771B1" w:rsidRPr="003C23D3" w:rsidP="00156CB7" w14:paraId="563FFFD1"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w:t>
            </w:r>
          </w:p>
        </w:tc>
      </w:tr>
      <w:tr w14:paraId="65C89336" w14:textId="77777777" w:rsidTr="00306AA8">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40A9EBEB" w14:textId="07D2E296">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Services for Un/Unbanked</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51CC771A" w14:textId="384AD2DA">
            <w:pPr>
              <w:spacing w:after="0" w:line="240" w:lineRule="auto"/>
              <w:jc w:val="center"/>
              <w:rPr>
                <w:rFonts w:ascii="Arial" w:eastAsia="Times New Roman" w:hAnsi="Arial" w:cs="Arial"/>
                <w:color w:val="000000"/>
              </w:rPr>
            </w:pPr>
            <w:r w:rsidRPr="003C23D3">
              <w:rPr>
                <w:rFonts w:ascii="Arial" w:eastAsia="Times New Roman" w:hAnsi="Arial" w:cs="Arial"/>
                <w:color w:val="000000"/>
              </w:rPr>
              <w:t>2.7</w:t>
            </w:r>
          </w:p>
        </w:tc>
        <w:tc>
          <w:tcPr>
            <w:tcW w:w="1239" w:type="dxa"/>
            <w:shd w:val="clear" w:color="auto" w:fill="auto"/>
            <w:noWrap/>
            <w:vAlign w:val="center"/>
            <w:hideMark/>
          </w:tcPr>
          <w:p w:rsidR="00B771B1" w:rsidRPr="003C23D3" w:rsidP="00156CB7" w14:paraId="2C020D65"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w:t>
            </w:r>
          </w:p>
        </w:tc>
      </w:tr>
      <w:tr w14:paraId="5378EBBA" w14:textId="77777777" w:rsidTr="00306AA8">
        <w:tblPrEx>
          <w:tblW w:w="9706" w:type="dxa"/>
          <w:tblInd w:w="-95" w:type="dxa"/>
          <w:tblLayout w:type="fixed"/>
          <w:tblLook w:val="04A0"/>
        </w:tblPrEx>
        <w:trPr>
          <w:trHeight w:val="260"/>
        </w:trPr>
        <w:tc>
          <w:tcPr>
            <w:tcW w:w="7325" w:type="dxa"/>
            <w:shd w:val="clear" w:color="auto" w:fill="auto"/>
            <w:vAlign w:val="bottom"/>
            <w:hideMark/>
          </w:tcPr>
          <w:p w:rsidR="00B771B1" w:rsidRPr="00990A47" w:rsidP="00156CB7" w14:paraId="5AC46F4F" w14:textId="36DBA24C">
            <w:pPr>
              <w:spacing w:after="0" w:line="240" w:lineRule="auto"/>
              <w:rPr>
                <w:rFonts w:ascii="Arial" w:eastAsia="Times New Roman" w:hAnsi="Arial" w:cs="Arial"/>
                <w:color w:val="000000"/>
              </w:rPr>
            </w:pPr>
            <w:r w:rsidRPr="00990A47">
              <w:rPr>
                <w:rFonts w:ascii="Arial" w:eastAsia="Times New Roman" w:hAnsi="Arial" w:cs="Arial"/>
                <w:color w:val="000000"/>
              </w:rPr>
              <w:t>Household Assistance: Survivor's Benefits</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B771B1" w:rsidRPr="003C23D3" w:rsidP="00156CB7" w14:paraId="3CEF0ABB" w14:textId="2987BCFA">
            <w:pPr>
              <w:spacing w:after="0" w:line="240" w:lineRule="auto"/>
              <w:jc w:val="center"/>
              <w:rPr>
                <w:rFonts w:ascii="Arial" w:eastAsia="Times New Roman" w:hAnsi="Arial" w:cs="Arial"/>
                <w:color w:val="000000"/>
              </w:rPr>
            </w:pPr>
            <w:r w:rsidRPr="003C23D3">
              <w:rPr>
                <w:rFonts w:ascii="Arial" w:eastAsia="Times New Roman" w:hAnsi="Arial" w:cs="Arial"/>
                <w:color w:val="000000"/>
              </w:rPr>
              <w:t>2.8</w:t>
            </w:r>
          </w:p>
        </w:tc>
        <w:tc>
          <w:tcPr>
            <w:tcW w:w="1239" w:type="dxa"/>
            <w:shd w:val="clear" w:color="auto" w:fill="auto"/>
            <w:noWrap/>
            <w:vAlign w:val="center"/>
            <w:hideMark/>
          </w:tcPr>
          <w:p w:rsidR="00B771B1" w:rsidRPr="003C23D3" w:rsidP="00156CB7" w14:paraId="397B8A64"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w:t>
            </w:r>
          </w:p>
        </w:tc>
      </w:tr>
      <w:tr w14:paraId="48848F8D" w14:textId="77777777" w:rsidTr="00306AA8">
        <w:tblPrEx>
          <w:tblW w:w="9706" w:type="dxa"/>
          <w:tblInd w:w="-95" w:type="dxa"/>
          <w:tblLayout w:type="fixed"/>
          <w:tblLook w:val="04A0"/>
        </w:tblPrEx>
        <w:trPr>
          <w:trHeight w:val="260"/>
        </w:trPr>
        <w:tc>
          <w:tcPr>
            <w:tcW w:w="7325" w:type="dxa"/>
            <w:shd w:val="clear" w:color="auto" w:fill="FFFFFF" w:themeFill="background2"/>
            <w:noWrap/>
            <w:vAlign w:val="bottom"/>
            <w:hideMark/>
          </w:tcPr>
          <w:p w:rsidR="00B771B1" w:rsidRPr="00990A47" w:rsidP="00156CB7" w14:paraId="60F830C2" w14:textId="404B4C8A">
            <w:pPr>
              <w:spacing w:after="0" w:line="240" w:lineRule="auto"/>
              <w:rPr>
                <w:rFonts w:ascii="Arial" w:eastAsia="Times New Roman" w:hAnsi="Arial" w:cs="Arial"/>
                <w:color w:val="000000"/>
              </w:rPr>
            </w:pPr>
            <w:r w:rsidRPr="00990A47">
              <w:rPr>
                <w:rFonts w:ascii="Arial" w:eastAsia="Times New Roman" w:hAnsi="Arial" w:cs="Arial"/>
                <w:color w:val="000000"/>
              </w:rPr>
              <w:t>Unemployment Benefits or Cash Assistance to Unemployed Workers</w:t>
            </w:r>
            <w:r>
              <w:rPr>
                <w:rFonts w:ascii="Arial" w:eastAsia="Times New Roman" w:hAnsi="Arial" w:cs="Arial"/>
                <w:color w:val="000000"/>
              </w:rPr>
              <w:t>*^</w:t>
            </w:r>
          </w:p>
        </w:tc>
        <w:tc>
          <w:tcPr>
            <w:tcW w:w="1142" w:type="dxa"/>
            <w:shd w:val="clear" w:color="auto" w:fill="FFFFFF" w:themeFill="background2"/>
            <w:noWrap/>
            <w:vAlign w:val="center"/>
            <w:hideMark/>
          </w:tcPr>
          <w:p w:rsidR="00B771B1" w:rsidRPr="003C23D3" w:rsidP="00156CB7" w14:paraId="2C737BC9" w14:textId="6EDCD46F">
            <w:pPr>
              <w:spacing w:after="0" w:line="240" w:lineRule="auto"/>
              <w:jc w:val="center"/>
              <w:rPr>
                <w:rFonts w:ascii="Arial" w:eastAsia="Times New Roman" w:hAnsi="Arial" w:cs="Arial"/>
                <w:color w:val="000000"/>
              </w:rPr>
            </w:pPr>
            <w:r w:rsidRPr="003C23D3">
              <w:rPr>
                <w:rFonts w:ascii="Arial" w:eastAsia="Times New Roman" w:hAnsi="Arial" w:cs="Arial"/>
                <w:color w:val="000000"/>
              </w:rPr>
              <w:t>2.9</w:t>
            </w:r>
          </w:p>
        </w:tc>
        <w:tc>
          <w:tcPr>
            <w:tcW w:w="1239" w:type="dxa"/>
            <w:shd w:val="clear" w:color="auto" w:fill="FFFFFF" w:themeFill="background2"/>
            <w:noWrap/>
            <w:vAlign w:val="center"/>
            <w:hideMark/>
          </w:tcPr>
          <w:p w:rsidR="00B771B1" w:rsidRPr="003C23D3" w:rsidP="00156CB7" w14:paraId="6560AAC7"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2.6</w:t>
            </w:r>
          </w:p>
        </w:tc>
      </w:tr>
      <w:tr w14:paraId="48064C08" w14:textId="77777777" w:rsidTr="00306AA8">
        <w:tblPrEx>
          <w:tblW w:w="9706" w:type="dxa"/>
          <w:tblInd w:w="-95" w:type="dxa"/>
          <w:tblLayout w:type="fixed"/>
          <w:tblLook w:val="04A0"/>
        </w:tblPrEx>
        <w:trPr>
          <w:trHeight w:val="260"/>
        </w:trPr>
        <w:tc>
          <w:tcPr>
            <w:tcW w:w="7325" w:type="dxa"/>
            <w:shd w:val="clear" w:color="auto" w:fill="auto"/>
            <w:noWrap/>
            <w:vAlign w:val="bottom"/>
          </w:tcPr>
          <w:p w:rsidR="00B771B1" w:rsidRPr="00990A47" w:rsidP="00156CB7" w14:paraId="1AC37F47" w14:textId="22E49CC8">
            <w:pPr>
              <w:spacing w:after="0" w:line="240" w:lineRule="auto"/>
              <w:rPr>
                <w:rFonts w:ascii="Arial" w:eastAsia="Times New Roman" w:hAnsi="Arial" w:cs="Arial"/>
                <w:color w:val="000000"/>
              </w:rPr>
            </w:pPr>
            <w:r w:rsidRPr="00864C74">
              <w:rPr>
                <w:rFonts w:ascii="Arial" w:eastAsia="Times New Roman" w:hAnsi="Arial" w:cs="Arial"/>
                <w:color w:val="000000"/>
              </w:rPr>
              <w:t xml:space="preserve">Assistance to Unemployed or Underemployed Workers (e.g. job training, subsidized employment, employment supports or </w:t>
            </w:r>
            <w:r w:rsidRPr="00864C74">
              <w:rPr>
                <w:rFonts w:ascii="Arial" w:eastAsia="Times New Roman" w:hAnsi="Arial" w:cs="Arial"/>
                <w:color w:val="000000"/>
              </w:rPr>
              <w:t>incentives)</w:t>
            </w:r>
            <w:r>
              <w:rPr>
                <w:rFonts w:ascii="Arial" w:eastAsia="Times New Roman" w:hAnsi="Arial" w:cs="Arial"/>
                <w:color w:val="000000"/>
              </w:rPr>
              <w:t>*</w:t>
            </w:r>
            <w:r>
              <w:rPr>
                <w:rFonts w:ascii="Arial" w:eastAsia="Times New Roman" w:hAnsi="Arial" w:cs="Arial"/>
                <w:color w:val="000000"/>
              </w:rPr>
              <w:t>^</w:t>
            </w:r>
          </w:p>
        </w:tc>
        <w:tc>
          <w:tcPr>
            <w:tcW w:w="1142" w:type="dxa"/>
            <w:shd w:val="clear" w:color="auto" w:fill="auto"/>
            <w:noWrap/>
            <w:vAlign w:val="center"/>
          </w:tcPr>
          <w:p w:rsidR="00B771B1" w:rsidRPr="003C23D3" w:rsidP="00156CB7" w14:paraId="58F674CC" w14:textId="09BD104B">
            <w:pPr>
              <w:spacing w:after="0" w:line="240" w:lineRule="auto"/>
              <w:jc w:val="center"/>
              <w:rPr>
                <w:rFonts w:ascii="Arial" w:eastAsia="Times New Roman" w:hAnsi="Arial" w:cs="Arial"/>
                <w:color w:val="000000"/>
              </w:rPr>
            </w:pPr>
            <w:r w:rsidRPr="003C23D3">
              <w:rPr>
                <w:rFonts w:ascii="Arial" w:eastAsia="Times New Roman" w:hAnsi="Arial" w:cs="Arial"/>
                <w:color w:val="000000"/>
              </w:rPr>
              <w:t>2.10</w:t>
            </w:r>
          </w:p>
        </w:tc>
        <w:tc>
          <w:tcPr>
            <w:tcW w:w="1239" w:type="dxa"/>
            <w:shd w:val="clear" w:color="auto" w:fill="auto"/>
            <w:noWrap/>
            <w:vAlign w:val="center"/>
          </w:tcPr>
          <w:p w:rsidR="00B771B1" w:rsidRPr="003C23D3" w:rsidP="00156CB7" w14:paraId="01EBA42F" w14:textId="6CDA0418">
            <w:pPr>
              <w:spacing w:after="0" w:line="240" w:lineRule="auto"/>
              <w:jc w:val="center"/>
              <w:rPr>
                <w:rFonts w:ascii="Arial" w:eastAsia="Times New Roman" w:hAnsi="Arial" w:cs="Arial"/>
                <w:color w:val="000000"/>
              </w:rPr>
            </w:pPr>
            <w:r w:rsidRPr="003C23D3">
              <w:rPr>
                <w:rFonts w:ascii="Arial" w:eastAsia="Times New Roman" w:hAnsi="Arial" w:cs="Arial"/>
                <w:color w:val="000000"/>
              </w:rPr>
              <w:t>2.7</w:t>
            </w:r>
          </w:p>
        </w:tc>
      </w:tr>
      <w:tr w14:paraId="2E391D2E"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2083E659" w14:textId="79878F12">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Child Care</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7F289ACD" w14:textId="3526CDE9">
            <w:pPr>
              <w:spacing w:after="0" w:line="240" w:lineRule="auto"/>
              <w:jc w:val="center"/>
              <w:rPr>
                <w:rFonts w:ascii="Arial" w:eastAsia="Times New Roman" w:hAnsi="Arial" w:cs="Arial"/>
                <w:color w:val="000000"/>
              </w:rPr>
            </w:pPr>
            <w:r w:rsidRPr="003C23D3">
              <w:rPr>
                <w:rFonts w:ascii="Arial" w:eastAsia="Times New Roman" w:hAnsi="Arial" w:cs="Arial"/>
                <w:color w:val="000000"/>
              </w:rPr>
              <w:t>2.11</w:t>
            </w:r>
          </w:p>
        </w:tc>
        <w:tc>
          <w:tcPr>
            <w:tcW w:w="1239" w:type="dxa"/>
            <w:shd w:val="clear" w:color="auto" w:fill="auto"/>
            <w:noWrap/>
            <w:vAlign w:val="center"/>
            <w:hideMark/>
          </w:tcPr>
          <w:p w:rsidR="00B771B1" w:rsidRPr="003C23D3" w:rsidP="00156CB7" w14:paraId="53C7ACB2"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3.6</w:t>
            </w:r>
          </w:p>
        </w:tc>
      </w:tr>
      <w:tr w14:paraId="2D2CC061"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6021327E" w14:textId="608897BA">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Home Visiting</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749B023B" w14:textId="2CB6341E">
            <w:pPr>
              <w:spacing w:after="0" w:line="240" w:lineRule="auto"/>
              <w:jc w:val="center"/>
              <w:rPr>
                <w:rFonts w:ascii="Arial" w:eastAsia="Times New Roman" w:hAnsi="Arial" w:cs="Arial"/>
                <w:color w:val="000000"/>
              </w:rPr>
            </w:pPr>
            <w:r w:rsidRPr="003C23D3">
              <w:rPr>
                <w:rFonts w:ascii="Arial" w:eastAsia="Times New Roman" w:hAnsi="Arial" w:cs="Arial"/>
                <w:color w:val="000000"/>
              </w:rPr>
              <w:t>2.12</w:t>
            </w:r>
          </w:p>
        </w:tc>
        <w:tc>
          <w:tcPr>
            <w:tcW w:w="1239" w:type="dxa"/>
            <w:shd w:val="clear" w:color="auto" w:fill="auto"/>
            <w:noWrap/>
            <w:vAlign w:val="center"/>
            <w:hideMark/>
          </w:tcPr>
          <w:p w:rsidR="00B771B1" w:rsidRPr="003C23D3" w:rsidP="00156CB7" w14:paraId="79B1984D"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3.7</w:t>
            </w:r>
          </w:p>
        </w:tc>
      </w:tr>
      <w:tr w14:paraId="7C570FC8"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B771B1" w:rsidRPr="00990A47" w:rsidP="00156CB7" w14:paraId="28DD0D33" w14:textId="7331B3E0">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Services to Foster Youth or Families Involved in Child Welfare System</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43502DB3" w14:textId="64FA3FE2">
            <w:pPr>
              <w:spacing w:after="0" w:line="240" w:lineRule="auto"/>
              <w:jc w:val="center"/>
              <w:rPr>
                <w:rFonts w:ascii="Arial" w:eastAsia="Times New Roman" w:hAnsi="Arial" w:cs="Arial"/>
                <w:color w:val="000000"/>
              </w:rPr>
            </w:pPr>
            <w:r w:rsidRPr="003C23D3">
              <w:rPr>
                <w:rFonts w:ascii="Arial" w:eastAsia="Times New Roman" w:hAnsi="Arial" w:cs="Arial"/>
                <w:color w:val="000000"/>
              </w:rPr>
              <w:t>2.13</w:t>
            </w:r>
          </w:p>
        </w:tc>
        <w:tc>
          <w:tcPr>
            <w:tcW w:w="1239" w:type="dxa"/>
            <w:shd w:val="clear" w:color="auto" w:fill="auto"/>
            <w:noWrap/>
            <w:vAlign w:val="center"/>
            <w:hideMark/>
          </w:tcPr>
          <w:p w:rsidR="00B771B1" w:rsidRPr="003C23D3" w:rsidP="00156CB7" w14:paraId="75F61380"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3.8</w:t>
            </w:r>
          </w:p>
        </w:tc>
      </w:tr>
      <w:tr w14:paraId="427247FF" w14:textId="77777777" w:rsidTr="00306AA8">
        <w:tblPrEx>
          <w:tblW w:w="9706" w:type="dxa"/>
          <w:tblInd w:w="-95" w:type="dxa"/>
          <w:tblLayout w:type="fixed"/>
          <w:tblLook w:val="04A0"/>
        </w:tblPrEx>
        <w:trPr>
          <w:trHeight w:val="260"/>
        </w:trPr>
        <w:tc>
          <w:tcPr>
            <w:tcW w:w="7325" w:type="dxa"/>
            <w:shd w:val="clear" w:color="auto" w:fill="auto"/>
            <w:noWrap/>
            <w:vAlign w:val="bottom"/>
          </w:tcPr>
          <w:p w:rsidR="00B771B1" w:rsidRPr="00990A47" w:rsidP="00156CB7" w14:paraId="135042FA" w14:textId="088F9345">
            <w:pPr>
              <w:spacing w:after="0" w:line="240" w:lineRule="auto"/>
              <w:rPr>
                <w:rFonts w:ascii="Arial" w:eastAsia="Times New Roman" w:hAnsi="Arial" w:cs="Arial"/>
                <w:color w:val="000000"/>
              </w:rPr>
            </w:pPr>
            <w:r>
              <w:rPr>
                <w:rFonts w:ascii="Arial" w:eastAsia="Times New Roman" w:hAnsi="Arial" w:cs="Arial"/>
              </w:rPr>
              <w:t>Healthy Childhood Environments</w:t>
            </w:r>
            <w:r w:rsidRPr="00990A47">
              <w:rPr>
                <w:rFonts w:ascii="Arial" w:eastAsia="Times New Roman" w:hAnsi="Arial" w:cs="Arial"/>
              </w:rPr>
              <w:t>: Early Learning</w:t>
            </w:r>
            <w:r>
              <w:rPr>
                <w:rFonts w:ascii="Arial" w:eastAsia="Times New Roman" w:hAnsi="Arial" w:cs="Arial"/>
              </w:rPr>
              <w:t>*^</w:t>
            </w:r>
          </w:p>
        </w:tc>
        <w:tc>
          <w:tcPr>
            <w:tcW w:w="1142" w:type="dxa"/>
            <w:shd w:val="clear" w:color="auto" w:fill="auto"/>
            <w:noWrap/>
            <w:vAlign w:val="center"/>
          </w:tcPr>
          <w:p w:rsidR="00B771B1" w:rsidRPr="003C23D3" w:rsidP="00156CB7" w14:paraId="09261B15" w14:textId="5D308E54">
            <w:pPr>
              <w:spacing w:after="0" w:line="240" w:lineRule="auto"/>
              <w:jc w:val="center"/>
              <w:rPr>
                <w:rFonts w:ascii="Arial" w:eastAsia="Times New Roman" w:hAnsi="Arial" w:cs="Arial"/>
                <w:color w:val="000000"/>
              </w:rPr>
            </w:pPr>
            <w:r w:rsidRPr="003C23D3">
              <w:rPr>
                <w:rFonts w:ascii="Arial" w:eastAsia="Times New Roman" w:hAnsi="Arial" w:cs="Arial"/>
                <w:color w:val="000000"/>
              </w:rPr>
              <w:t>2.14</w:t>
            </w:r>
          </w:p>
        </w:tc>
        <w:tc>
          <w:tcPr>
            <w:tcW w:w="1239" w:type="dxa"/>
            <w:shd w:val="clear" w:color="auto" w:fill="auto"/>
            <w:noWrap/>
            <w:vAlign w:val="center"/>
          </w:tcPr>
          <w:p w:rsidR="00B771B1" w:rsidRPr="003C23D3" w:rsidP="00156CB7" w14:paraId="15E9B931" w14:textId="6F30B64A">
            <w:pPr>
              <w:spacing w:after="0" w:line="240" w:lineRule="auto"/>
              <w:jc w:val="center"/>
              <w:rPr>
                <w:rFonts w:ascii="Arial" w:eastAsia="Times New Roman" w:hAnsi="Arial" w:cs="Arial"/>
                <w:color w:val="000000"/>
              </w:rPr>
            </w:pPr>
            <w:r w:rsidRPr="003C23D3">
              <w:rPr>
                <w:rFonts w:ascii="Arial" w:eastAsia="Times New Roman" w:hAnsi="Arial" w:cs="Arial"/>
                <w:color w:val="000000"/>
              </w:rPr>
              <w:t>3.1</w:t>
            </w:r>
          </w:p>
        </w:tc>
      </w:tr>
      <w:tr w14:paraId="004C668C"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33055648" w14:textId="07118122">
            <w:pPr>
              <w:spacing w:after="0" w:line="240" w:lineRule="auto"/>
              <w:rPr>
                <w:rFonts w:ascii="Arial" w:eastAsia="Times New Roman" w:hAnsi="Arial" w:cs="Arial"/>
                <w:color w:val="000000"/>
              </w:rPr>
            </w:pPr>
            <w:r>
              <w:rPr>
                <w:rFonts w:ascii="Arial" w:eastAsia="Times New Roman" w:hAnsi="Arial" w:cs="Arial"/>
                <w:color w:val="000000"/>
              </w:rPr>
              <w:t>Long-term Housing Security</w:t>
            </w:r>
            <w:r w:rsidRPr="00990A47">
              <w:rPr>
                <w:rFonts w:ascii="Arial" w:eastAsia="Times New Roman" w:hAnsi="Arial" w:cs="Arial"/>
                <w:color w:val="000000"/>
              </w:rPr>
              <w:t>: Affordable Housing</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6ECBCDE9" w14:textId="568E00AB">
            <w:pPr>
              <w:spacing w:after="0" w:line="240" w:lineRule="auto"/>
              <w:jc w:val="center"/>
              <w:rPr>
                <w:rFonts w:ascii="Arial" w:eastAsia="Times New Roman" w:hAnsi="Arial" w:cs="Arial"/>
                <w:color w:val="000000"/>
              </w:rPr>
            </w:pPr>
            <w:r w:rsidRPr="003C23D3">
              <w:rPr>
                <w:rFonts w:ascii="Arial" w:eastAsia="Times New Roman" w:hAnsi="Arial" w:cs="Arial"/>
                <w:color w:val="000000"/>
              </w:rPr>
              <w:t>2.15</w:t>
            </w:r>
          </w:p>
        </w:tc>
        <w:tc>
          <w:tcPr>
            <w:tcW w:w="1239" w:type="dxa"/>
            <w:shd w:val="clear" w:color="auto" w:fill="auto"/>
            <w:noWrap/>
            <w:vAlign w:val="center"/>
            <w:hideMark/>
          </w:tcPr>
          <w:p w:rsidR="00B771B1" w:rsidRPr="003C23D3" w:rsidP="00156CB7" w14:paraId="1BA767F8"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3.10</w:t>
            </w:r>
          </w:p>
        </w:tc>
      </w:tr>
      <w:tr w14:paraId="7885FEB5"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0E06A6FC" w14:textId="4593AF43">
            <w:pPr>
              <w:spacing w:after="0" w:line="240" w:lineRule="auto"/>
              <w:rPr>
                <w:rFonts w:ascii="Arial" w:eastAsia="Times New Roman" w:hAnsi="Arial" w:cs="Arial"/>
                <w:color w:val="000000"/>
              </w:rPr>
            </w:pPr>
            <w:r>
              <w:rPr>
                <w:rFonts w:ascii="Arial" w:eastAsia="Times New Roman" w:hAnsi="Arial" w:cs="Arial"/>
                <w:color w:val="000000"/>
              </w:rPr>
              <w:t>Long-term Housing Security</w:t>
            </w:r>
            <w:r w:rsidRPr="00990A47">
              <w:rPr>
                <w:rFonts w:ascii="Arial" w:eastAsia="Times New Roman" w:hAnsi="Arial" w:cs="Arial"/>
                <w:color w:val="000000"/>
              </w:rPr>
              <w:t>: Services for Unhoused Persons</w:t>
            </w:r>
            <w:r>
              <w:rPr>
                <w:rFonts w:ascii="Arial" w:eastAsia="Times New Roman" w:hAnsi="Arial" w:cs="Arial"/>
                <w:color w:val="000000"/>
              </w:rPr>
              <w:t>*^</w:t>
            </w:r>
          </w:p>
        </w:tc>
        <w:tc>
          <w:tcPr>
            <w:tcW w:w="1142" w:type="dxa"/>
            <w:shd w:val="clear" w:color="auto" w:fill="auto"/>
            <w:noWrap/>
            <w:vAlign w:val="center"/>
            <w:hideMark/>
          </w:tcPr>
          <w:p w:rsidR="00B771B1" w:rsidRPr="003C23D3" w:rsidP="00156CB7" w14:paraId="3040C5C6" w14:textId="2AD1042F">
            <w:pPr>
              <w:spacing w:after="0" w:line="240" w:lineRule="auto"/>
              <w:jc w:val="center"/>
              <w:rPr>
                <w:rFonts w:ascii="Arial" w:eastAsia="Times New Roman" w:hAnsi="Arial" w:cs="Arial"/>
                <w:color w:val="000000"/>
              </w:rPr>
            </w:pPr>
            <w:r w:rsidRPr="003C23D3">
              <w:rPr>
                <w:rFonts w:ascii="Arial" w:eastAsia="Times New Roman" w:hAnsi="Arial" w:cs="Arial"/>
                <w:color w:val="000000"/>
              </w:rPr>
              <w:t>2.16</w:t>
            </w:r>
          </w:p>
        </w:tc>
        <w:tc>
          <w:tcPr>
            <w:tcW w:w="1239" w:type="dxa"/>
            <w:shd w:val="clear" w:color="auto" w:fill="auto"/>
            <w:noWrap/>
            <w:vAlign w:val="center"/>
            <w:hideMark/>
          </w:tcPr>
          <w:p w:rsidR="00B771B1" w:rsidRPr="003C23D3" w:rsidP="00156CB7" w14:paraId="3FF015ED"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3.11</w:t>
            </w:r>
          </w:p>
        </w:tc>
      </w:tr>
      <w:tr w14:paraId="1FAFE492" w14:textId="77777777" w:rsidTr="00306AA8">
        <w:tblPrEx>
          <w:tblW w:w="9706" w:type="dxa"/>
          <w:tblInd w:w="-95" w:type="dxa"/>
          <w:tblLayout w:type="fixed"/>
          <w:tblLook w:val="04A0"/>
        </w:tblPrEx>
        <w:trPr>
          <w:trHeight w:val="520"/>
        </w:trPr>
        <w:tc>
          <w:tcPr>
            <w:tcW w:w="7325" w:type="dxa"/>
            <w:shd w:val="clear" w:color="auto" w:fill="auto"/>
            <w:vAlign w:val="center"/>
            <w:hideMark/>
          </w:tcPr>
          <w:p w:rsidR="00B771B1" w:rsidRPr="00990A47" w:rsidP="00156CB7" w14:paraId="47896F3F" w14:textId="4DB77795">
            <w:pPr>
              <w:spacing w:after="0" w:line="240" w:lineRule="auto"/>
              <w:rPr>
                <w:rFonts w:ascii="Arial" w:eastAsia="Times New Roman" w:hAnsi="Arial" w:cs="Arial"/>
              </w:rPr>
            </w:pPr>
            <w:r w:rsidRPr="00990A47">
              <w:rPr>
                <w:rFonts w:ascii="Arial" w:eastAsia="Times New Roman" w:hAnsi="Arial" w:cs="Arial"/>
              </w:rPr>
              <w:t>Housing Support: Housing Vouchers and Relocation Assistance for Disproportionately Impacted Communities</w:t>
            </w:r>
            <w:r>
              <w:rPr>
                <w:rFonts w:ascii="Arial" w:eastAsia="Times New Roman" w:hAnsi="Arial" w:cs="Arial"/>
              </w:rPr>
              <w:t>*^</w:t>
            </w:r>
          </w:p>
        </w:tc>
        <w:tc>
          <w:tcPr>
            <w:tcW w:w="1142" w:type="dxa"/>
            <w:shd w:val="clear" w:color="auto" w:fill="auto"/>
            <w:noWrap/>
            <w:vAlign w:val="center"/>
            <w:hideMark/>
          </w:tcPr>
          <w:p w:rsidR="00B771B1" w:rsidRPr="003C23D3" w:rsidP="002E293D" w14:paraId="7E7DA9B6" w14:textId="2F9A467B">
            <w:pPr>
              <w:spacing w:after="0" w:line="240" w:lineRule="auto"/>
              <w:jc w:val="center"/>
              <w:rPr>
                <w:rFonts w:ascii="Arial" w:eastAsia="Times New Roman" w:hAnsi="Arial" w:cs="Arial"/>
                <w:color w:val="000000"/>
              </w:rPr>
            </w:pPr>
            <w:r w:rsidRPr="003C23D3">
              <w:rPr>
                <w:rFonts w:ascii="Arial" w:eastAsia="Times New Roman" w:hAnsi="Arial" w:cs="Arial"/>
                <w:color w:val="000000"/>
              </w:rPr>
              <w:t>2.17</w:t>
            </w:r>
          </w:p>
        </w:tc>
        <w:tc>
          <w:tcPr>
            <w:tcW w:w="1239" w:type="dxa"/>
            <w:shd w:val="clear" w:color="auto" w:fill="auto"/>
            <w:noWrap/>
            <w:vAlign w:val="center"/>
            <w:hideMark/>
          </w:tcPr>
          <w:p w:rsidR="00B771B1" w:rsidRPr="003C23D3" w:rsidP="002E293D" w14:paraId="35E4A58D" w14:textId="77777777">
            <w:pPr>
              <w:spacing w:after="0" w:line="240" w:lineRule="auto"/>
              <w:jc w:val="center"/>
              <w:rPr>
                <w:rFonts w:ascii="Arial" w:eastAsia="Times New Roman" w:hAnsi="Arial" w:cs="Arial"/>
                <w:color w:val="FF0000"/>
              </w:rPr>
            </w:pPr>
            <w:r w:rsidRPr="00156CB7">
              <w:rPr>
                <w:rFonts w:ascii="Arial" w:eastAsia="Times New Roman" w:hAnsi="Arial" w:cs="Arial"/>
              </w:rPr>
              <w:t>-</w:t>
            </w:r>
          </w:p>
        </w:tc>
      </w:tr>
      <w:tr w14:paraId="3A1A56DD"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39E0806B" w14:textId="127364B3">
            <w:pPr>
              <w:spacing w:after="0" w:line="240" w:lineRule="auto"/>
              <w:rPr>
                <w:rFonts w:ascii="Arial" w:eastAsia="Times New Roman" w:hAnsi="Arial" w:cs="Arial"/>
                <w:color w:val="000000"/>
              </w:rPr>
            </w:pPr>
            <w:r w:rsidRPr="00990A47">
              <w:rPr>
                <w:rFonts w:ascii="Arial" w:eastAsia="Times New Roman" w:hAnsi="Arial" w:cs="Arial"/>
                <w:color w:val="000000"/>
              </w:rPr>
              <w:t>Housing Support: Other Housing Assistance</w:t>
            </w:r>
            <w:r>
              <w:rPr>
                <w:rFonts w:ascii="Arial" w:eastAsia="Times New Roman" w:hAnsi="Arial" w:cs="Arial"/>
                <w:color w:val="000000"/>
              </w:rPr>
              <w:t>*^</w:t>
            </w:r>
          </w:p>
        </w:tc>
        <w:tc>
          <w:tcPr>
            <w:tcW w:w="1142" w:type="dxa"/>
            <w:shd w:val="clear" w:color="auto" w:fill="auto"/>
            <w:noWrap/>
            <w:vAlign w:val="center"/>
            <w:hideMark/>
          </w:tcPr>
          <w:p w:rsidR="00B771B1" w:rsidRPr="003C23D3" w:rsidP="002E293D" w14:paraId="74AB585E" w14:textId="170741D7">
            <w:pPr>
              <w:spacing w:after="0" w:line="240" w:lineRule="auto"/>
              <w:jc w:val="center"/>
              <w:rPr>
                <w:rFonts w:ascii="Arial" w:eastAsia="Times New Roman" w:hAnsi="Arial" w:cs="Arial"/>
                <w:color w:val="000000"/>
              </w:rPr>
            </w:pPr>
            <w:r w:rsidRPr="003C23D3">
              <w:rPr>
                <w:rFonts w:ascii="Arial" w:eastAsia="Times New Roman" w:hAnsi="Arial" w:cs="Arial"/>
                <w:color w:val="000000"/>
              </w:rPr>
              <w:t>2.18</w:t>
            </w:r>
          </w:p>
        </w:tc>
        <w:tc>
          <w:tcPr>
            <w:tcW w:w="1239" w:type="dxa"/>
            <w:shd w:val="clear" w:color="auto" w:fill="auto"/>
            <w:noWrap/>
            <w:vAlign w:val="center"/>
            <w:hideMark/>
          </w:tcPr>
          <w:p w:rsidR="00B771B1" w:rsidRPr="003C23D3" w:rsidP="002E293D" w14:paraId="6C6A03A2" w14:textId="77777777">
            <w:pPr>
              <w:spacing w:after="0" w:line="240" w:lineRule="auto"/>
              <w:jc w:val="center"/>
              <w:rPr>
                <w:rFonts w:ascii="Arial" w:eastAsia="Times New Roman" w:hAnsi="Arial" w:cs="Arial"/>
                <w:color w:val="000000"/>
              </w:rPr>
            </w:pPr>
            <w:r w:rsidRPr="003C23D3">
              <w:rPr>
                <w:rFonts w:ascii="Arial" w:eastAsia="Times New Roman" w:hAnsi="Arial" w:cs="Arial"/>
                <w:color w:val="000000"/>
              </w:rPr>
              <w:t>3.12</w:t>
            </w:r>
          </w:p>
        </w:tc>
      </w:tr>
      <w:tr w14:paraId="4B6E46E8"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1F831D40" w14:textId="6FEAEB22">
            <w:pPr>
              <w:spacing w:after="0" w:line="240" w:lineRule="auto"/>
              <w:rPr>
                <w:rFonts w:ascii="Arial" w:eastAsia="Times New Roman" w:hAnsi="Arial" w:cs="Arial"/>
                <w:color w:val="000000"/>
              </w:rPr>
            </w:pPr>
            <w:r w:rsidRPr="00990A47">
              <w:rPr>
                <w:rFonts w:ascii="Arial" w:eastAsia="Times New Roman" w:hAnsi="Arial" w:cs="Arial"/>
                <w:color w:val="000000"/>
              </w:rPr>
              <w:t>Social Determinants of Health: Community Health Workers or Benefits Navigators</w:t>
            </w:r>
            <w:r>
              <w:rPr>
                <w:rFonts w:ascii="Arial" w:eastAsia="Times New Roman" w:hAnsi="Arial" w:cs="Arial"/>
                <w:color w:val="000000"/>
              </w:rPr>
              <w:t>*^</w:t>
            </w:r>
          </w:p>
        </w:tc>
        <w:tc>
          <w:tcPr>
            <w:tcW w:w="1142" w:type="dxa"/>
            <w:shd w:val="clear" w:color="auto" w:fill="auto"/>
            <w:noWrap/>
            <w:vAlign w:val="center"/>
            <w:hideMark/>
          </w:tcPr>
          <w:p w:rsidR="00B771B1" w:rsidRPr="00E901A3" w:rsidP="002E293D" w14:paraId="0405E63D" w14:textId="0C759E64">
            <w:pPr>
              <w:spacing w:after="0" w:line="240" w:lineRule="auto"/>
              <w:jc w:val="center"/>
              <w:rPr>
                <w:rFonts w:ascii="Arial" w:eastAsia="Times New Roman" w:hAnsi="Arial" w:cs="Arial"/>
                <w:color w:val="000000"/>
              </w:rPr>
            </w:pPr>
            <w:r w:rsidRPr="00E901A3">
              <w:rPr>
                <w:rFonts w:ascii="Arial" w:eastAsia="Times New Roman" w:hAnsi="Arial" w:cs="Arial"/>
                <w:color w:val="000000"/>
              </w:rPr>
              <w:t>2.19</w:t>
            </w:r>
          </w:p>
        </w:tc>
        <w:tc>
          <w:tcPr>
            <w:tcW w:w="1239" w:type="dxa"/>
            <w:shd w:val="clear" w:color="auto" w:fill="auto"/>
            <w:noWrap/>
            <w:vAlign w:val="center"/>
            <w:hideMark/>
          </w:tcPr>
          <w:p w:rsidR="00B771B1" w:rsidRPr="00E901A3" w:rsidP="002E293D" w14:paraId="715E584C" w14:textId="77777777">
            <w:pPr>
              <w:spacing w:after="0" w:line="240" w:lineRule="auto"/>
              <w:jc w:val="center"/>
              <w:rPr>
                <w:rFonts w:ascii="Arial" w:eastAsia="Times New Roman" w:hAnsi="Arial" w:cs="Arial"/>
                <w:color w:val="000000"/>
              </w:rPr>
            </w:pPr>
            <w:r w:rsidRPr="00E901A3">
              <w:rPr>
                <w:rFonts w:ascii="Arial" w:eastAsia="Times New Roman" w:hAnsi="Arial" w:cs="Arial"/>
                <w:color w:val="000000"/>
              </w:rPr>
              <w:t>3.14</w:t>
            </w:r>
          </w:p>
        </w:tc>
      </w:tr>
      <w:tr w14:paraId="45133B8F"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60A31051" w14:textId="224B7BD4">
            <w:pPr>
              <w:spacing w:after="0" w:line="240" w:lineRule="auto"/>
              <w:rPr>
                <w:rFonts w:ascii="Arial" w:eastAsia="Times New Roman" w:hAnsi="Arial" w:cs="Arial"/>
                <w:color w:val="000000"/>
              </w:rPr>
            </w:pPr>
            <w:r w:rsidRPr="00990A47">
              <w:rPr>
                <w:rFonts w:ascii="Arial" w:eastAsia="Times New Roman" w:hAnsi="Arial" w:cs="Arial"/>
                <w:color w:val="000000"/>
              </w:rPr>
              <w:t>Social Determinants of Health: Lead Remediation</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B771B1" w:rsidRPr="00E901A3" w:rsidP="002E293D" w14:paraId="6AB5CBB0" w14:textId="174A082B">
            <w:pPr>
              <w:spacing w:after="0" w:line="240" w:lineRule="auto"/>
              <w:jc w:val="center"/>
              <w:rPr>
                <w:rFonts w:ascii="Arial" w:eastAsia="Times New Roman" w:hAnsi="Arial" w:cs="Arial"/>
                <w:color w:val="000000"/>
              </w:rPr>
            </w:pPr>
            <w:r w:rsidRPr="00E901A3">
              <w:rPr>
                <w:rFonts w:ascii="Arial" w:eastAsia="Times New Roman" w:hAnsi="Arial" w:cs="Arial"/>
                <w:color w:val="000000"/>
              </w:rPr>
              <w:t>2.20</w:t>
            </w:r>
          </w:p>
        </w:tc>
        <w:tc>
          <w:tcPr>
            <w:tcW w:w="1239" w:type="dxa"/>
            <w:shd w:val="clear" w:color="auto" w:fill="auto"/>
            <w:noWrap/>
            <w:vAlign w:val="center"/>
            <w:hideMark/>
          </w:tcPr>
          <w:p w:rsidR="00B771B1" w:rsidRPr="00E901A3" w:rsidP="002E293D" w14:paraId="5B541E17" w14:textId="77777777">
            <w:pPr>
              <w:spacing w:after="0" w:line="240" w:lineRule="auto"/>
              <w:jc w:val="center"/>
              <w:rPr>
                <w:rFonts w:ascii="Arial" w:eastAsia="Times New Roman" w:hAnsi="Arial" w:cs="Arial"/>
                <w:color w:val="000000"/>
              </w:rPr>
            </w:pPr>
            <w:r w:rsidRPr="00E901A3">
              <w:rPr>
                <w:rFonts w:ascii="Arial" w:eastAsia="Times New Roman" w:hAnsi="Arial" w:cs="Arial"/>
                <w:color w:val="000000"/>
              </w:rPr>
              <w:t>3.15</w:t>
            </w:r>
          </w:p>
        </w:tc>
      </w:tr>
      <w:tr w14:paraId="09FB90A5"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0DE0C9AC" w14:textId="2B94490B">
            <w:pPr>
              <w:spacing w:after="0" w:line="240" w:lineRule="auto"/>
              <w:rPr>
                <w:rFonts w:ascii="Arial" w:eastAsia="Times New Roman" w:hAnsi="Arial" w:cs="Arial"/>
                <w:color w:val="000000"/>
              </w:rPr>
            </w:pPr>
            <w:r w:rsidRPr="00990A47">
              <w:rPr>
                <w:rFonts w:ascii="Arial" w:eastAsia="Times New Roman" w:hAnsi="Arial" w:cs="Arial"/>
                <w:color w:val="000000"/>
              </w:rPr>
              <w:t>Medical Facilities for Disproportionately Impacted Communities</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B771B1" w:rsidRPr="00990A47" w:rsidP="002E293D" w14:paraId="03A59478" w14:textId="0E28290C">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Pr>
                <w:rFonts w:ascii="Arial" w:eastAsia="Times New Roman" w:hAnsi="Arial" w:cs="Arial"/>
                <w:color w:val="000000"/>
              </w:rPr>
              <w:t>1</w:t>
            </w:r>
          </w:p>
        </w:tc>
        <w:tc>
          <w:tcPr>
            <w:tcW w:w="1239" w:type="dxa"/>
            <w:shd w:val="clear" w:color="auto" w:fill="auto"/>
            <w:noWrap/>
            <w:vAlign w:val="center"/>
            <w:hideMark/>
          </w:tcPr>
          <w:p w:rsidR="00B771B1" w:rsidRPr="00990A47" w:rsidP="002E293D" w14:paraId="023D6FE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1A771D55" w14:textId="77777777" w:rsidTr="00306AA8">
        <w:tblPrEx>
          <w:tblW w:w="9706" w:type="dxa"/>
          <w:tblInd w:w="-95" w:type="dxa"/>
          <w:tblLayout w:type="fixed"/>
          <w:tblLook w:val="04A0"/>
        </w:tblPrEx>
        <w:trPr>
          <w:trHeight w:val="260"/>
        </w:trPr>
        <w:tc>
          <w:tcPr>
            <w:tcW w:w="7325" w:type="dxa"/>
            <w:shd w:val="clear" w:color="auto" w:fill="auto"/>
            <w:vAlign w:val="center"/>
          </w:tcPr>
          <w:p w:rsidR="00B771B1" w:rsidRPr="00990A47" w:rsidP="00156CB7" w14:paraId="5D4E6422" w14:textId="5A35BA82">
            <w:pPr>
              <w:spacing w:after="0" w:line="240" w:lineRule="auto"/>
              <w:rPr>
                <w:rFonts w:ascii="Arial" w:eastAsia="Times New Roman" w:hAnsi="Arial" w:cs="Arial"/>
                <w:color w:val="000000"/>
              </w:rPr>
            </w:pPr>
            <w:r>
              <w:t>Strong Healthy Communities: Neighborhood Features that Promote Health and Safety</w:t>
            </w:r>
            <w:r w:rsidR="004E28D1">
              <w:t>^</w:t>
            </w:r>
          </w:p>
        </w:tc>
        <w:tc>
          <w:tcPr>
            <w:tcW w:w="1142" w:type="dxa"/>
            <w:shd w:val="clear" w:color="auto" w:fill="auto"/>
            <w:noWrap/>
            <w:vAlign w:val="center"/>
          </w:tcPr>
          <w:p w:rsidR="00B771B1" w:rsidRPr="00990A47" w:rsidP="002E293D" w14:paraId="23644585" w14:textId="743193B8">
            <w:pPr>
              <w:spacing w:after="0" w:line="240" w:lineRule="auto"/>
              <w:jc w:val="center"/>
              <w:rPr>
                <w:rFonts w:ascii="Arial" w:eastAsia="Times New Roman" w:hAnsi="Arial" w:cs="Arial"/>
                <w:color w:val="000000"/>
              </w:rPr>
            </w:pPr>
            <w:r>
              <w:rPr>
                <w:rFonts w:ascii="Arial" w:eastAsia="Times New Roman" w:hAnsi="Arial" w:cs="Arial"/>
                <w:color w:val="000000"/>
              </w:rPr>
              <w:t>2.22</w:t>
            </w:r>
          </w:p>
        </w:tc>
        <w:tc>
          <w:tcPr>
            <w:tcW w:w="1239" w:type="dxa"/>
            <w:shd w:val="clear" w:color="auto" w:fill="auto"/>
            <w:noWrap/>
            <w:vAlign w:val="center"/>
          </w:tcPr>
          <w:p w:rsidR="00B771B1" w:rsidRPr="00990A47" w:rsidP="002E293D" w14:paraId="58CBB8A3" w14:textId="08694D3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28DE45C8"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B771B1" w:rsidRPr="00990A47" w:rsidP="00156CB7" w14:paraId="12E8D09B" w14:textId="34504344">
            <w:pPr>
              <w:spacing w:after="0" w:line="240" w:lineRule="auto"/>
              <w:rPr>
                <w:rFonts w:ascii="Arial" w:eastAsia="Times New Roman" w:hAnsi="Arial" w:cs="Arial"/>
                <w:color w:val="000000"/>
              </w:rPr>
            </w:pPr>
            <w:r w:rsidRPr="00990A47">
              <w:rPr>
                <w:rFonts w:ascii="Arial" w:eastAsia="Times New Roman" w:hAnsi="Arial" w:cs="Arial"/>
                <w:color w:val="000000"/>
              </w:rPr>
              <w:t>Strong Healthy Communities: Demolition and Rehabilitation of Properties</w:t>
            </w:r>
            <w:r>
              <w:rPr>
                <w:rFonts w:ascii="Arial" w:eastAsia="Times New Roman" w:hAnsi="Arial" w:cs="Arial"/>
                <w:color w:val="000000"/>
              </w:rPr>
              <w:t>^</w:t>
            </w:r>
          </w:p>
        </w:tc>
        <w:tc>
          <w:tcPr>
            <w:tcW w:w="1142" w:type="dxa"/>
            <w:shd w:val="clear" w:color="auto" w:fill="auto"/>
            <w:noWrap/>
            <w:vAlign w:val="center"/>
            <w:hideMark/>
          </w:tcPr>
          <w:p w:rsidR="00B771B1" w:rsidRPr="00990A47" w:rsidP="002E293D" w14:paraId="0897796F" w14:textId="44D03BE2">
            <w:pPr>
              <w:spacing w:after="0" w:line="240" w:lineRule="auto"/>
              <w:jc w:val="center"/>
              <w:rPr>
                <w:rFonts w:ascii="Arial" w:eastAsia="Times New Roman" w:hAnsi="Arial" w:cs="Arial"/>
                <w:color w:val="000000"/>
              </w:rPr>
            </w:pPr>
            <w:r w:rsidRPr="00647F4B">
              <w:rPr>
                <w:rFonts w:ascii="Arial" w:eastAsia="Times New Roman" w:hAnsi="Arial" w:cs="Arial"/>
                <w:color w:val="000000"/>
              </w:rPr>
              <w:t>2.23</w:t>
            </w:r>
          </w:p>
        </w:tc>
        <w:tc>
          <w:tcPr>
            <w:tcW w:w="1239" w:type="dxa"/>
            <w:shd w:val="clear" w:color="auto" w:fill="auto"/>
            <w:noWrap/>
            <w:vAlign w:val="center"/>
            <w:hideMark/>
          </w:tcPr>
          <w:p w:rsidR="00B771B1" w:rsidRPr="00990A47" w:rsidP="002E293D" w14:paraId="361A453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4F5D52B"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231AD8D6" w14:textId="31DE85E8">
            <w:pPr>
              <w:spacing w:after="0" w:line="240" w:lineRule="auto"/>
              <w:rPr>
                <w:rFonts w:ascii="Arial" w:eastAsia="Times New Roman" w:hAnsi="Arial" w:cs="Arial"/>
              </w:rPr>
            </w:pPr>
            <w:r>
              <w:rPr>
                <w:rFonts w:ascii="Arial" w:eastAsia="Times New Roman" w:hAnsi="Arial" w:cs="Arial"/>
              </w:rPr>
              <w:t>Addressing Educational Disparities</w:t>
            </w:r>
            <w:r w:rsidRPr="00990A47">
              <w:rPr>
                <w:rFonts w:ascii="Arial" w:eastAsia="Times New Roman" w:hAnsi="Arial" w:cs="Arial"/>
              </w:rPr>
              <w:t>: Aid to High-Poverty Districts</w:t>
            </w:r>
            <w:r>
              <w:rPr>
                <w:rFonts w:ascii="Arial" w:eastAsia="Times New Roman" w:hAnsi="Arial" w:cs="Arial"/>
              </w:rPr>
              <w:t>^</w:t>
            </w:r>
          </w:p>
        </w:tc>
        <w:tc>
          <w:tcPr>
            <w:tcW w:w="1142" w:type="dxa"/>
            <w:shd w:val="clear" w:color="auto" w:fill="auto"/>
            <w:noWrap/>
            <w:vAlign w:val="center"/>
            <w:hideMark/>
          </w:tcPr>
          <w:p w:rsidR="00B771B1" w:rsidRPr="00990A47" w:rsidP="002E293D" w14:paraId="57FD5917" w14:textId="0D797057">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Pr>
                <w:rFonts w:ascii="Arial" w:eastAsia="Times New Roman" w:hAnsi="Arial" w:cs="Arial"/>
                <w:color w:val="000000"/>
              </w:rPr>
              <w:t>4</w:t>
            </w:r>
          </w:p>
        </w:tc>
        <w:tc>
          <w:tcPr>
            <w:tcW w:w="1239" w:type="dxa"/>
            <w:shd w:val="clear" w:color="auto" w:fill="auto"/>
            <w:noWrap/>
            <w:vAlign w:val="center"/>
            <w:hideMark/>
          </w:tcPr>
          <w:p w:rsidR="00B771B1" w:rsidRPr="00990A47" w:rsidP="002E293D" w14:paraId="2D4FAEE8" w14:textId="77777777">
            <w:pPr>
              <w:spacing w:after="0" w:line="240" w:lineRule="auto"/>
              <w:jc w:val="center"/>
              <w:rPr>
                <w:rFonts w:ascii="Arial" w:eastAsia="Times New Roman" w:hAnsi="Arial" w:cs="Arial"/>
              </w:rPr>
            </w:pPr>
            <w:r w:rsidRPr="00990A47">
              <w:rPr>
                <w:rFonts w:ascii="Arial" w:eastAsia="Times New Roman" w:hAnsi="Arial" w:cs="Arial"/>
              </w:rPr>
              <w:t>3.2</w:t>
            </w:r>
          </w:p>
        </w:tc>
      </w:tr>
      <w:tr w14:paraId="4D8ABC52"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156CB7" w14:paraId="45FFB91F" w14:textId="106ED198">
            <w:pPr>
              <w:spacing w:after="0" w:line="240" w:lineRule="auto"/>
              <w:rPr>
                <w:rFonts w:ascii="Arial" w:eastAsia="Times New Roman" w:hAnsi="Arial" w:cs="Arial"/>
              </w:rPr>
            </w:pPr>
            <w:r>
              <w:rPr>
                <w:rFonts w:ascii="Arial" w:eastAsia="Times New Roman" w:hAnsi="Arial" w:cs="Arial"/>
              </w:rPr>
              <w:t>Addressing Educational Disparities</w:t>
            </w:r>
            <w:r w:rsidRPr="00990A47">
              <w:rPr>
                <w:rFonts w:ascii="Arial" w:eastAsia="Times New Roman" w:hAnsi="Arial" w:cs="Arial"/>
              </w:rPr>
              <w:t>: Academic</w:t>
            </w:r>
            <w:r w:rsidR="00DB6159">
              <w:rPr>
                <w:rFonts w:ascii="Arial" w:eastAsia="Times New Roman" w:hAnsi="Arial" w:cs="Arial"/>
              </w:rPr>
              <w:t>, Social, and Emotional</w:t>
            </w:r>
            <w:r w:rsidRPr="00990A47">
              <w:rPr>
                <w:rFonts w:ascii="Arial" w:eastAsia="Times New Roman" w:hAnsi="Arial" w:cs="Arial"/>
              </w:rPr>
              <w:t xml:space="preserve"> Services</w:t>
            </w:r>
            <w:r>
              <w:rPr>
                <w:rFonts w:ascii="Arial" w:eastAsia="Times New Roman" w:hAnsi="Arial" w:cs="Arial"/>
              </w:rPr>
              <w:t>*^</w:t>
            </w:r>
          </w:p>
        </w:tc>
        <w:tc>
          <w:tcPr>
            <w:tcW w:w="1142" w:type="dxa"/>
            <w:shd w:val="clear" w:color="auto" w:fill="auto"/>
            <w:noWrap/>
            <w:vAlign w:val="center"/>
            <w:hideMark/>
          </w:tcPr>
          <w:p w:rsidR="00B771B1" w:rsidRPr="00E901A3" w:rsidP="002E293D" w14:paraId="7E6DC6AE" w14:textId="06D774F4">
            <w:pPr>
              <w:spacing w:after="0" w:line="240" w:lineRule="auto"/>
              <w:jc w:val="center"/>
              <w:rPr>
                <w:rFonts w:ascii="Arial" w:eastAsia="Times New Roman" w:hAnsi="Arial" w:cs="Arial"/>
                <w:color w:val="000000"/>
              </w:rPr>
            </w:pPr>
            <w:r w:rsidRPr="00E901A3">
              <w:rPr>
                <w:rFonts w:ascii="Arial" w:eastAsia="Times New Roman" w:hAnsi="Arial" w:cs="Arial"/>
                <w:color w:val="000000"/>
              </w:rPr>
              <w:t>2.25</w:t>
            </w:r>
          </w:p>
        </w:tc>
        <w:tc>
          <w:tcPr>
            <w:tcW w:w="1239" w:type="dxa"/>
            <w:shd w:val="clear" w:color="auto" w:fill="auto"/>
            <w:noWrap/>
            <w:vAlign w:val="center"/>
            <w:hideMark/>
          </w:tcPr>
          <w:p w:rsidR="00B771B1" w:rsidRPr="00E901A3" w:rsidP="002E293D" w14:paraId="546BFB0B" w14:textId="77777777">
            <w:pPr>
              <w:spacing w:after="0" w:line="240" w:lineRule="auto"/>
              <w:jc w:val="center"/>
              <w:rPr>
                <w:rFonts w:ascii="Arial" w:eastAsia="Times New Roman" w:hAnsi="Arial" w:cs="Arial"/>
              </w:rPr>
            </w:pPr>
            <w:r w:rsidRPr="00E901A3">
              <w:rPr>
                <w:rFonts w:ascii="Arial" w:eastAsia="Times New Roman" w:hAnsi="Arial" w:cs="Arial"/>
              </w:rPr>
              <w:t>3.3</w:t>
            </w:r>
          </w:p>
        </w:tc>
      </w:tr>
      <w:tr w14:paraId="39BC93D4"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BC5DE7" w14:paraId="5E678222" w14:textId="5B7B4626">
            <w:pPr>
              <w:spacing w:after="0" w:line="240" w:lineRule="auto"/>
              <w:rPr>
                <w:rFonts w:ascii="Arial" w:eastAsia="Times New Roman" w:hAnsi="Arial" w:cs="Arial"/>
              </w:rPr>
            </w:pPr>
            <w:r>
              <w:rPr>
                <w:rFonts w:ascii="Arial" w:eastAsia="Times New Roman" w:hAnsi="Arial" w:cs="Arial"/>
              </w:rPr>
              <w:t>Addressing Educational Disparities</w:t>
            </w:r>
            <w:r w:rsidRPr="00990A47">
              <w:rPr>
                <w:rFonts w:ascii="Arial" w:eastAsia="Times New Roman" w:hAnsi="Arial" w:cs="Arial"/>
              </w:rPr>
              <w:t>: Mental Health Services</w:t>
            </w:r>
            <w:r>
              <w:rPr>
                <w:rFonts w:ascii="Arial" w:eastAsia="Times New Roman" w:hAnsi="Arial" w:cs="Arial"/>
              </w:rPr>
              <w:t>*^</w:t>
            </w:r>
          </w:p>
        </w:tc>
        <w:tc>
          <w:tcPr>
            <w:tcW w:w="1142" w:type="dxa"/>
            <w:shd w:val="clear" w:color="auto" w:fill="auto"/>
            <w:noWrap/>
            <w:vAlign w:val="center"/>
            <w:hideMark/>
          </w:tcPr>
          <w:p w:rsidR="00B771B1" w:rsidRPr="00E901A3" w:rsidP="002E293D" w14:paraId="43F84537" w14:textId="12AE62BA">
            <w:pPr>
              <w:spacing w:after="0" w:line="240" w:lineRule="auto"/>
              <w:jc w:val="center"/>
              <w:rPr>
                <w:rFonts w:ascii="Arial" w:eastAsia="Times New Roman" w:hAnsi="Arial" w:cs="Arial"/>
                <w:color w:val="000000"/>
              </w:rPr>
            </w:pPr>
            <w:r w:rsidRPr="00E901A3">
              <w:rPr>
                <w:rFonts w:ascii="Arial" w:eastAsia="Times New Roman" w:hAnsi="Arial" w:cs="Arial"/>
                <w:color w:val="000000"/>
              </w:rPr>
              <w:t>2.26</w:t>
            </w:r>
          </w:p>
        </w:tc>
        <w:tc>
          <w:tcPr>
            <w:tcW w:w="1239" w:type="dxa"/>
            <w:shd w:val="clear" w:color="auto" w:fill="auto"/>
            <w:noWrap/>
            <w:vAlign w:val="center"/>
            <w:hideMark/>
          </w:tcPr>
          <w:p w:rsidR="00B771B1" w:rsidRPr="00E901A3" w:rsidP="002E293D" w14:paraId="26843A48" w14:textId="77777777">
            <w:pPr>
              <w:spacing w:after="0" w:line="240" w:lineRule="auto"/>
              <w:jc w:val="center"/>
              <w:rPr>
                <w:rFonts w:ascii="Arial" w:eastAsia="Times New Roman" w:hAnsi="Arial" w:cs="Arial"/>
              </w:rPr>
            </w:pPr>
            <w:r w:rsidRPr="00E901A3">
              <w:rPr>
                <w:rFonts w:ascii="Arial" w:eastAsia="Times New Roman" w:hAnsi="Arial" w:cs="Arial"/>
              </w:rPr>
              <w:t>3.4</w:t>
            </w:r>
          </w:p>
        </w:tc>
      </w:tr>
      <w:tr w14:paraId="657D92A5" w14:textId="77777777" w:rsidTr="00306AA8">
        <w:tblPrEx>
          <w:tblW w:w="9706" w:type="dxa"/>
          <w:tblInd w:w="-95" w:type="dxa"/>
          <w:tblLayout w:type="fixed"/>
          <w:tblLook w:val="04A0"/>
        </w:tblPrEx>
        <w:trPr>
          <w:trHeight w:val="260"/>
        </w:trPr>
        <w:tc>
          <w:tcPr>
            <w:tcW w:w="7325" w:type="dxa"/>
            <w:shd w:val="clear" w:color="auto" w:fill="auto"/>
            <w:noWrap/>
            <w:vAlign w:val="center"/>
          </w:tcPr>
          <w:p w:rsidR="00DE7AFB" w:rsidP="00BC5DE7" w14:paraId="47A51F37" w14:textId="4B6141E0">
            <w:pPr>
              <w:spacing w:after="0" w:line="240" w:lineRule="auto"/>
              <w:rPr>
                <w:rFonts w:ascii="Arial" w:eastAsia="Times New Roman" w:hAnsi="Arial" w:cs="Arial"/>
              </w:rPr>
            </w:pPr>
            <w:r>
              <w:rPr>
                <w:rFonts w:ascii="Arial" w:eastAsia="Times New Roman" w:hAnsi="Arial" w:cs="Arial"/>
              </w:rPr>
              <w:t>Addressing Impacts of Lost Instructional Time</w:t>
            </w:r>
            <w:r w:rsidR="00FE3FDE">
              <w:rPr>
                <w:rFonts w:ascii="Arial" w:eastAsia="Times New Roman" w:hAnsi="Arial" w:cs="Arial"/>
              </w:rPr>
              <w:t>^</w:t>
            </w:r>
          </w:p>
        </w:tc>
        <w:tc>
          <w:tcPr>
            <w:tcW w:w="1142" w:type="dxa"/>
            <w:shd w:val="clear" w:color="auto" w:fill="auto"/>
            <w:noWrap/>
            <w:vAlign w:val="center"/>
          </w:tcPr>
          <w:p w:rsidR="00DE7AFB" w:rsidRPr="00E901A3" w:rsidP="002E293D" w14:paraId="24AB5D38" w14:textId="095CDF5E">
            <w:pPr>
              <w:spacing w:after="0" w:line="240" w:lineRule="auto"/>
              <w:jc w:val="center"/>
              <w:rPr>
                <w:rFonts w:ascii="Arial" w:eastAsia="Times New Roman" w:hAnsi="Arial" w:cs="Arial"/>
                <w:color w:val="000000"/>
              </w:rPr>
            </w:pPr>
            <w:r>
              <w:rPr>
                <w:rFonts w:ascii="Arial" w:eastAsia="Times New Roman" w:hAnsi="Arial" w:cs="Arial"/>
                <w:color w:val="000000"/>
              </w:rPr>
              <w:t>2.27</w:t>
            </w:r>
          </w:p>
        </w:tc>
        <w:tc>
          <w:tcPr>
            <w:tcW w:w="1238" w:type="dxa"/>
            <w:shd w:val="clear" w:color="auto" w:fill="auto"/>
            <w:noWrap/>
            <w:vAlign w:val="center"/>
          </w:tcPr>
          <w:p w:rsidR="00DE7AFB" w:rsidRPr="00E901A3" w:rsidP="002E293D" w14:paraId="5D23F7D2" w14:textId="4AF1DF81">
            <w:pPr>
              <w:spacing w:after="0" w:line="240" w:lineRule="auto"/>
              <w:jc w:val="center"/>
              <w:rPr>
                <w:rFonts w:ascii="Arial" w:eastAsia="Times New Roman" w:hAnsi="Arial" w:cs="Arial"/>
              </w:rPr>
            </w:pPr>
            <w:r>
              <w:rPr>
                <w:rFonts w:ascii="Arial" w:eastAsia="Times New Roman" w:hAnsi="Arial" w:cs="Arial"/>
              </w:rPr>
              <w:t>-</w:t>
            </w:r>
          </w:p>
        </w:tc>
      </w:tr>
      <w:tr w14:paraId="3BC25E30"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B771B1" w:rsidRPr="00990A47" w:rsidP="00BC5DE7" w14:paraId="62E288D1" w14:textId="2B386DE1">
            <w:pPr>
              <w:spacing w:after="0" w:line="240" w:lineRule="auto"/>
              <w:rPr>
                <w:rFonts w:ascii="Arial" w:eastAsia="Times New Roman" w:hAnsi="Arial" w:cs="Arial"/>
              </w:rPr>
            </w:pPr>
            <w:r w:rsidRPr="00990A47">
              <w:rPr>
                <w:rFonts w:ascii="Arial" w:eastAsia="Times New Roman" w:hAnsi="Arial" w:cs="Arial"/>
              </w:rPr>
              <w:t>Contributions to UI Trust Funds</w:t>
            </w:r>
            <w:r>
              <w:rPr>
                <w:rFonts w:ascii="Arial" w:eastAsia="Times New Roman" w:hAnsi="Arial" w:cs="Arial"/>
              </w:rPr>
              <w:t>^</w:t>
            </w:r>
          </w:p>
        </w:tc>
        <w:tc>
          <w:tcPr>
            <w:tcW w:w="1142" w:type="dxa"/>
            <w:shd w:val="clear" w:color="auto" w:fill="auto"/>
            <w:noWrap/>
            <w:vAlign w:val="center"/>
            <w:hideMark/>
          </w:tcPr>
          <w:p w:rsidR="00B771B1" w:rsidRPr="00990A47" w:rsidP="002E293D" w14:paraId="27A79797" w14:textId="233EF6F3">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sidR="00FE3FDE">
              <w:rPr>
                <w:rFonts w:ascii="Arial" w:eastAsia="Times New Roman" w:hAnsi="Arial" w:cs="Arial"/>
                <w:color w:val="000000"/>
              </w:rPr>
              <w:t>8</w:t>
            </w:r>
          </w:p>
        </w:tc>
        <w:tc>
          <w:tcPr>
            <w:tcW w:w="1239" w:type="dxa"/>
            <w:shd w:val="clear" w:color="auto" w:fill="auto"/>
            <w:noWrap/>
            <w:vAlign w:val="center"/>
            <w:hideMark/>
          </w:tcPr>
          <w:p w:rsidR="00B771B1" w:rsidRPr="00990A47" w:rsidP="002E293D" w14:paraId="636F314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2.8</w:t>
            </w:r>
          </w:p>
        </w:tc>
      </w:tr>
      <w:tr w14:paraId="151512F7" w14:textId="77777777" w:rsidTr="00FE3FDE">
        <w:tblPrEx>
          <w:tblW w:w="9706" w:type="dxa"/>
          <w:tblInd w:w="-95" w:type="dxa"/>
          <w:tblLayout w:type="fixed"/>
          <w:tblLook w:val="04A0"/>
        </w:tblPrEx>
        <w:trPr>
          <w:trHeight w:val="188"/>
        </w:trPr>
        <w:tc>
          <w:tcPr>
            <w:tcW w:w="9706" w:type="dxa"/>
            <w:gridSpan w:val="3"/>
            <w:shd w:val="clear" w:color="auto" w:fill="BFBFBF" w:themeFill="background1" w:themeFillShade="BF"/>
            <w:noWrap/>
            <w:vAlign w:val="center"/>
          </w:tcPr>
          <w:p w:rsidR="00BC5DE7" w:rsidRPr="00647F4B" w:rsidP="00BC5DE7" w14:paraId="7E762276" w14:textId="709FF5DE">
            <w:pPr>
              <w:spacing w:after="0" w:line="240" w:lineRule="auto"/>
              <w:rPr>
                <w:rFonts w:ascii="Arial" w:eastAsia="Times New Roman" w:hAnsi="Arial" w:cs="Arial"/>
                <w:color w:val="000000"/>
              </w:rPr>
            </w:pPr>
            <w:r w:rsidRPr="006F3344">
              <w:rPr>
                <w:rFonts w:ascii="Arial" w:eastAsia="Times New Roman" w:hAnsi="Arial" w:cs="Arial"/>
                <w:b/>
                <w:bCs/>
                <w:color w:val="000000"/>
              </w:rPr>
              <w:t>Assistance to Small Businesses</w:t>
            </w:r>
          </w:p>
        </w:tc>
      </w:tr>
      <w:tr w14:paraId="27084446" w14:textId="77777777" w:rsidTr="00306AA8">
        <w:tblPrEx>
          <w:tblW w:w="9706" w:type="dxa"/>
          <w:tblInd w:w="-95" w:type="dxa"/>
          <w:tblLayout w:type="fixed"/>
          <w:tblLook w:val="04A0"/>
        </w:tblPrEx>
        <w:trPr>
          <w:trHeight w:val="188"/>
        </w:trPr>
        <w:tc>
          <w:tcPr>
            <w:tcW w:w="7325" w:type="dxa"/>
            <w:shd w:val="clear" w:color="auto" w:fill="auto"/>
            <w:noWrap/>
            <w:vAlign w:val="center"/>
            <w:hideMark/>
          </w:tcPr>
          <w:p w:rsidR="00156CB7" w:rsidRPr="00990A47" w:rsidP="00BC5DE7" w14:paraId="439B05B0" w14:textId="7AA99A4B">
            <w:pPr>
              <w:spacing w:after="0" w:line="240" w:lineRule="auto"/>
              <w:rPr>
                <w:rFonts w:ascii="Arial" w:eastAsia="Times New Roman" w:hAnsi="Arial" w:cs="Arial"/>
                <w:color w:val="000000"/>
              </w:rPr>
            </w:pPr>
            <w:r>
              <w:t>Loans or Grants to Mitigate Financial Hardship</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2D35FE57" w14:textId="41948545">
            <w:pPr>
              <w:spacing w:after="0" w:line="240" w:lineRule="auto"/>
              <w:jc w:val="center"/>
              <w:rPr>
                <w:rFonts w:ascii="Arial" w:eastAsia="Times New Roman" w:hAnsi="Arial" w:cs="Arial"/>
                <w:color w:val="000000"/>
              </w:rPr>
            </w:pPr>
            <w:r w:rsidRPr="00990A47">
              <w:rPr>
                <w:rFonts w:ascii="Arial" w:eastAsia="Times New Roman" w:hAnsi="Arial" w:cs="Arial"/>
                <w:color w:val="000000"/>
              </w:rPr>
              <w:t>2.2</w:t>
            </w:r>
            <w:r w:rsidR="00FE3FDE">
              <w:rPr>
                <w:rFonts w:ascii="Arial" w:eastAsia="Times New Roman" w:hAnsi="Arial" w:cs="Arial"/>
                <w:color w:val="000000"/>
              </w:rPr>
              <w:t>9</w:t>
            </w:r>
          </w:p>
        </w:tc>
        <w:tc>
          <w:tcPr>
            <w:tcW w:w="1239" w:type="dxa"/>
            <w:shd w:val="clear" w:color="auto" w:fill="auto"/>
            <w:noWrap/>
            <w:vAlign w:val="center"/>
            <w:hideMark/>
          </w:tcPr>
          <w:p w:rsidR="00156CB7" w:rsidRPr="00990A47" w:rsidP="00156CB7" w14:paraId="0B6B1B70" w14:textId="77777777">
            <w:pPr>
              <w:spacing w:after="0" w:line="240" w:lineRule="auto"/>
              <w:jc w:val="center"/>
              <w:rPr>
                <w:rFonts w:ascii="Arial" w:eastAsia="Times New Roman" w:hAnsi="Arial" w:cs="Arial"/>
                <w:color w:val="000000"/>
              </w:rPr>
            </w:pPr>
            <w:r w:rsidRPr="00647F4B">
              <w:rPr>
                <w:rFonts w:ascii="Arial" w:eastAsia="Times New Roman" w:hAnsi="Arial" w:cs="Arial"/>
                <w:color w:val="000000"/>
              </w:rPr>
              <w:t>2.9</w:t>
            </w:r>
          </w:p>
        </w:tc>
      </w:tr>
      <w:tr w14:paraId="1597EDED" w14:textId="77777777" w:rsidTr="00306AA8">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65C0717A" w14:textId="660C607F">
            <w:pPr>
              <w:spacing w:after="0" w:line="240" w:lineRule="auto"/>
              <w:rPr>
                <w:rFonts w:ascii="Arial" w:eastAsia="Times New Roman" w:hAnsi="Arial" w:cs="Arial"/>
                <w:color w:val="000000"/>
              </w:rPr>
            </w:pPr>
            <w:r>
              <w:t>Technical Assistance, Counseling, or Business Planning*^</w:t>
            </w:r>
          </w:p>
        </w:tc>
        <w:tc>
          <w:tcPr>
            <w:tcW w:w="1142" w:type="dxa"/>
            <w:shd w:val="clear" w:color="auto" w:fill="auto"/>
            <w:noWrap/>
            <w:vAlign w:val="center"/>
          </w:tcPr>
          <w:p w:rsidR="00156CB7" w:rsidRPr="00E901A3" w:rsidP="00156CB7" w14:paraId="22CE49FC" w14:textId="79C97C5C">
            <w:pPr>
              <w:spacing w:after="0" w:line="240" w:lineRule="auto"/>
              <w:jc w:val="center"/>
              <w:rPr>
                <w:rFonts w:ascii="Arial" w:eastAsia="Times New Roman" w:hAnsi="Arial" w:cs="Arial"/>
                <w:color w:val="000000"/>
              </w:rPr>
            </w:pPr>
            <w:r w:rsidRPr="00E901A3">
              <w:rPr>
                <w:rFonts w:ascii="Arial" w:eastAsia="Times New Roman" w:hAnsi="Arial" w:cs="Arial"/>
                <w:color w:val="000000"/>
              </w:rPr>
              <w:t>2.</w:t>
            </w:r>
            <w:r w:rsidR="00FE3FDE">
              <w:rPr>
                <w:rFonts w:ascii="Arial" w:eastAsia="Times New Roman" w:hAnsi="Arial" w:cs="Arial"/>
                <w:color w:val="000000"/>
              </w:rPr>
              <w:t>30</w:t>
            </w:r>
          </w:p>
        </w:tc>
        <w:tc>
          <w:tcPr>
            <w:tcW w:w="1239" w:type="dxa"/>
            <w:shd w:val="clear" w:color="auto" w:fill="auto"/>
            <w:noWrap/>
            <w:vAlign w:val="center"/>
          </w:tcPr>
          <w:p w:rsidR="00156CB7" w:rsidRPr="00990A47" w:rsidP="00156CB7" w14:paraId="5EF91B44" w14:textId="77777777">
            <w:pPr>
              <w:spacing w:after="0" w:line="240" w:lineRule="auto"/>
              <w:jc w:val="center"/>
              <w:rPr>
                <w:rFonts w:ascii="Arial" w:eastAsia="Times New Roman" w:hAnsi="Arial" w:cs="Arial"/>
                <w:color w:val="000000"/>
              </w:rPr>
            </w:pPr>
          </w:p>
        </w:tc>
      </w:tr>
      <w:tr w14:paraId="5CCA430A"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032FE7D5" w14:textId="5B8BAAB6">
            <w:pPr>
              <w:spacing w:after="0" w:line="240" w:lineRule="auto"/>
              <w:rPr>
                <w:rFonts w:ascii="Arial" w:eastAsia="Times New Roman" w:hAnsi="Arial" w:cs="Arial"/>
                <w:color w:val="000000"/>
              </w:rPr>
            </w:pPr>
            <w:r w:rsidRPr="00990A47">
              <w:rPr>
                <w:rFonts w:ascii="Arial" w:eastAsia="Times New Roman" w:hAnsi="Arial" w:cs="Arial"/>
                <w:color w:val="000000"/>
              </w:rPr>
              <w:t xml:space="preserve">Rehabilitation </w:t>
            </w:r>
            <w:r>
              <w:rPr>
                <w:rFonts w:ascii="Arial" w:eastAsia="Times New Roman" w:hAnsi="Arial" w:cs="Arial"/>
                <w:color w:val="000000"/>
              </w:rPr>
              <w:t>of Commercial Properties or</w:t>
            </w:r>
            <w:r w:rsidRPr="00990A47">
              <w:rPr>
                <w:rFonts w:ascii="Arial" w:eastAsia="Times New Roman" w:hAnsi="Arial" w:cs="Arial"/>
                <w:color w:val="000000"/>
              </w:rPr>
              <w:t xml:space="preserve"> </w:t>
            </w:r>
            <w:r>
              <w:rPr>
                <w:rFonts w:ascii="Arial" w:eastAsia="Times New Roman" w:hAnsi="Arial" w:cs="Arial"/>
                <w:color w:val="000000"/>
              </w:rPr>
              <w:t>Other</w:t>
            </w:r>
            <w:r w:rsidRPr="00990A47">
              <w:rPr>
                <w:rFonts w:ascii="Arial" w:eastAsia="Times New Roman" w:hAnsi="Arial" w:cs="Arial"/>
                <w:color w:val="000000"/>
              </w:rPr>
              <w:t xml:space="preserve"> Improvements</w:t>
            </w:r>
            <w:r>
              <w:rPr>
                <w:rFonts w:ascii="Arial" w:eastAsia="Times New Roman" w:hAnsi="Arial" w:cs="Arial"/>
                <w:color w:val="000000"/>
              </w:rPr>
              <w:t>^</w:t>
            </w:r>
          </w:p>
        </w:tc>
        <w:tc>
          <w:tcPr>
            <w:tcW w:w="1142" w:type="dxa"/>
            <w:shd w:val="clear" w:color="auto" w:fill="auto"/>
            <w:noWrap/>
            <w:vAlign w:val="center"/>
            <w:hideMark/>
          </w:tcPr>
          <w:p w:rsidR="00156CB7" w:rsidRPr="00E901A3" w:rsidP="00156CB7" w14:paraId="5FDD84E8" w14:textId="41B4BC86">
            <w:pPr>
              <w:spacing w:after="0" w:line="240" w:lineRule="auto"/>
              <w:jc w:val="center"/>
              <w:rPr>
                <w:rFonts w:ascii="Arial" w:eastAsia="Times New Roman" w:hAnsi="Arial" w:cs="Arial"/>
                <w:color w:val="000000"/>
              </w:rPr>
            </w:pPr>
            <w:r w:rsidRPr="00E901A3">
              <w:rPr>
                <w:rFonts w:ascii="Arial" w:eastAsia="Times New Roman" w:hAnsi="Arial" w:cs="Arial"/>
                <w:color w:val="000000"/>
              </w:rPr>
              <w:t>2.3</w:t>
            </w:r>
            <w:r w:rsidR="00FE3FDE">
              <w:rPr>
                <w:rFonts w:ascii="Arial" w:eastAsia="Times New Roman" w:hAnsi="Arial" w:cs="Arial"/>
                <w:color w:val="000000"/>
              </w:rPr>
              <w:t>1</w:t>
            </w:r>
          </w:p>
        </w:tc>
        <w:tc>
          <w:tcPr>
            <w:tcW w:w="1239" w:type="dxa"/>
            <w:shd w:val="clear" w:color="auto" w:fill="auto"/>
            <w:noWrap/>
            <w:vAlign w:val="center"/>
            <w:hideMark/>
          </w:tcPr>
          <w:p w:rsidR="00156CB7" w:rsidRPr="00990A47" w:rsidP="00156CB7" w14:paraId="5040B0C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36BC0141" w14:textId="77777777" w:rsidTr="00306AA8">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7555B7DC" w14:textId="157F1194">
            <w:pPr>
              <w:spacing w:after="0" w:line="240" w:lineRule="auto"/>
              <w:rPr>
                <w:rFonts w:ascii="Arial" w:eastAsia="Times New Roman" w:hAnsi="Arial" w:cs="Arial"/>
                <w:color w:val="000000"/>
              </w:rPr>
            </w:pPr>
            <w:r>
              <w:t>Business Incubators and Start-Up or Expansion Assistance*^</w:t>
            </w:r>
          </w:p>
        </w:tc>
        <w:tc>
          <w:tcPr>
            <w:tcW w:w="1142" w:type="dxa"/>
            <w:shd w:val="clear" w:color="auto" w:fill="auto"/>
            <w:noWrap/>
            <w:vAlign w:val="center"/>
          </w:tcPr>
          <w:p w:rsidR="00156CB7" w:rsidRPr="00E901A3" w:rsidP="00156CB7" w14:paraId="747B6D6D" w14:textId="4DB1381F">
            <w:pPr>
              <w:spacing w:after="0" w:line="240" w:lineRule="auto"/>
              <w:jc w:val="center"/>
              <w:rPr>
                <w:rFonts w:ascii="Arial" w:eastAsia="Times New Roman" w:hAnsi="Arial" w:cs="Arial"/>
                <w:color w:val="000000"/>
              </w:rPr>
            </w:pPr>
            <w:r w:rsidRPr="00E901A3">
              <w:rPr>
                <w:rFonts w:ascii="Arial" w:eastAsia="Times New Roman" w:hAnsi="Arial" w:cs="Arial"/>
                <w:color w:val="000000"/>
              </w:rPr>
              <w:t>2.3</w:t>
            </w:r>
            <w:r w:rsidR="00FE3FDE">
              <w:rPr>
                <w:rFonts w:ascii="Arial" w:eastAsia="Times New Roman" w:hAnsi="Arial" w:cs="Arial"/>
                <w:color w:val="000000"/>
              </w:rPr>
              <w:t>2</w:t>
            </w:r>
          </w:p>
        </w:tc>
        <w:tc>
          <w:tcPr>
            <w:tcW w:w="1239" w:type="dxa"/>
            <w:shd w:val="clear" w:color="auto" w:fill="auto"/>
            <w:noWrap/>
            <w:vAlign w:val="center"/>
          </w:tcPr>
          <w:p w:rsidR="00156CB7" w:rsidRPr="00990A47" w:rsidP="00156CB7" w14:paraId="3E21EE33" w14:textId="77777777">
            <w:pPr>
              <w:spacing w:after="0" w:line="240" w:lineRule="auto"/>
              <w:jc w:val="center"/>
              <w:rPr>
                <w:rFonts w:ascii="Arial" w:eastAsia="Times New Roman" w:hAnsi="Arial" w:cs="Arial"/>
                <w:color w:val="000000"/>
              </w:rPr>
            </w:pPr>
          </w:p>
        </w:tc>
      </w:tr>
      <w:tr w14:paraId="47298C8E" w14:textId="77777777" w:rsidTr="00306AA8">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346860B8" w14:textId="1F8F3A6A">
            <w:pPr>
              <w:spacing w:after="0" w:line="240" w:lineRule="auto"/>
              <w:rPr>
                <w:rFonts w:ascii="Arial" w:eastAsia="Times New Roman" w:hAnsi="Arial" w:cs="Arial"/>
                <w:color w:val="000000"/>
              </w:rPr>
            </w:pPr>
            <w:r>
              <w:t>Enhanced Support to Microbusinesses*^</w:t>
            </w:r>
          </w:p>
        </w:tc>
        <w:tc>
          <w:tcPr>
            <w:tcW w:w="1142" w:type="dxa"/>
            <w:shd w:val="clear" w:color="auto" w:fill="auto"/>
            <w:noWrap/>
            <w:vAlign w:val="center"/>
          </w:tcPr>
          <w:p w:rsidR="00156CB7" w:rsidRPr="00E901A3" w:rsidP="00156CB7" w14:paraId="23534A70" w14:textId="22C2D621">
            <w:pPr>
              <w:spacing w:after="0" w:line="240" w:lineRule="auto"/>
              <w:jc w:val="center"/>
              <w:rPr>
                <w:rFonts w:ascii="Arial" w:eastAsia="Times New Roman" w:hAnsi="Arial" w:cs="Arial"/>
                <w:color w:val="000000"/>
              </w:rPr>
            </w:pPr>
            <w:r w:rsidRPr="00E901A3">
              <w:rPr>
                <w:rFonts w:ascii="Arial" w:eastAsia="Times New Roman" w:hAnsi="Arial" w:cs="Arial"/>
                <w:color w:val="000000"/>
              </w:rPr>
              <w:t>2.3</w:t>
            </w:r>
            <w:r w:rsidR="00FE3FDE">
              <w:rPr>
                <w:rFonts w:ascii="Arial" w:eastAsia="Times New Roman" w:hAnsi="Arial" w:cs="Arial"/>
                <w:color w:val="000000"/>
              </w:rPr>
              <w:t>3</w:t>
            </w:r>
          </w:p>
        </w:tc>
        <w:tc>
          <w:tcPr>
            <w:tcW w:w="1239" w:type="dxa"/>
            <w:shd w:val="clear" w:color="auto" w:fill="auto"/>
            <w:noWrap/>
            <w:vAlign w:val="center"/>
          </w:tcPr>
          <w:p w:rsidR="00156CB7" w:rsidRPr="00990A47" w:rsidP="00156CB7" w14:paraId="4D5B6B20" w14:textId="77777777">
            <w:pPr>
              <w:spacing w:after="0" w:line="240" w:lineRule="auto"/>
              <w:jc w:val="center"/>
              <w:rPr>
                <w:rFonts w:ascii="Arial" w:eastAsia="Times New Roman" w:hAnsi="Arial" w:cs="Arial"/>
                <w:color w:val="000000"/>
              </w:rPr>
            </w:pPr>
          </w:p>
        </w:tc>
      </w:tr>
      <w:tr w14:paraId="2A7C5A1C" w14:textId="77777777" w:rsidTr="00FE3FDE">
        <w:tblPrEx>
          <w:tblW w:w="9706" w:type="dxa"/>
          <w:tblInd w:w="-95" w:type="dxa"/>
          <w:tblLayout w:type="fixed"/>
          <w:tblLook w:val="04A0"/>
        </w:tblPrEx>
        <w:trPr>
          <w:trHeight w:val="259"/>
        </w:trPr>
        <w:tc>
          <w:tcPr>
            <w:tcW w:w="9706" w:type="dxa"/>
            <w:gridSpan w:val="3"/>
            <w:shd w:val="clear" w:color="auto" w:fill="BFBFBF" w:themeFill="background1" w:themeFillShade="BF"/>
            <w:noWrap/>
            <w:vAlign w:val="center"/>
          </w:tcPr>
          <w:p w:rsidR="00BC5DE7" w:rsidRPr="00647F4B" w:rsidP="00BC5DE7" w14:paraId="35B63783" w14:textId="70F0CE6F">
            <w:pPr>
              <w:spacing w:after="0" w:line="240" w:lineRule="auto"/>
              <w:rPr>
                <w:rFonts w:ascii="Arial" w:eastAsia="Times New Roman" w:hAnsi="Arial" w:cs="Arial"/>
                <w:color w:val="000000"/>
              </w:rPr>
            </w:pPr>
            <w:r w:rsidRPr="00C1153A">
              <w:rPr>
                <w:rFonts w:ascii="Arial" w:eastAsia="Times New Roman" w:hAnsi="Arial" w:cs="Arial"/>
                <w:b/>
                <w:bCs/>
                <w:color w:val="000000"/>
              </w:rPr>
              <w:t>Assistance to Non-Profits</w:t>
            </w:r>
          </w:p>
        </w:tc>
      </w:tr>
      <w:tr w14:paraId="68C16FEA" w14:textId="77777777" w:rsidTr="00306AA8">
        <w:tblPrEx>
          <w:tblW w:w="9706" w:type="dxa"/>
          <w:tblInd w:w="-95" w:type="dxa"/>
          <w:tblLayout w:type="fixed"/>
          <w:tblLook w:val="04A0"/>
        </w:tblPrEx>
        <w:trPr>
          <w:trHeight w:val="520"/>
        </w:trPr>
        <w:tc>
          <w:tcPr>
            <w:tcW w:w="7325" w:type="dxa"/>
            <w:shd w:val="clear" w:color="auto" w:fill="auto"/>
            <w:noWrap/>
            <w:vAlign w:val="center"/>
            <w:hideMark/>
          </w:tcPr>
          <w:p w:rsidR="00156CB7" w:rsidRPr="00990A47" w:rsidP="00BC5DE7" w14:paraId="66B2572C" w14:textId="42E98F84">
            <w:pPr>
              <w:spacing w:after="0" w:line="240" w:lineRule="auto"/>
              <w:rPr>
                <w:rFonts w:ascii="Arial" w:eastAsia="Times New Roman" w:hAnsi="Arial" w:cs="Arial"/>
                <w:color w:val="000000"/>
              </w:rPr>
            </w:pPr>
            <w:r w:rsidRPr="00990A47">
              <w:rPr>
                <w:rFonts w:ascii="Arial" w:eastAsia="Times New Roman" w:hAnsi="Arial" w:cs="Arial"/>
                <w:color w:val="000000"/>
              </w:rPr>
              <w:t xml:space="preserve">Assistance to Impacted Nonprofit Organizations (Impacted or Disproportionately </w:t>
            </w:r>
            <w:r w:rsidRPr="00990A47">
              <w:rPr>
                <w:rFonts w:ascii="Arial" w:eastAsia="Times New Roman" w:hAnsi="Arial" w:cs="Arial"/>
                <w:color w:val="000000"/>
              </w:rPr>
              <w:t>Impacted)</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62C72AB8" w14:textId="279D73CD">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4</w:t>
            </w:r>
          </w:p>
        </w:tc>
        <w:tc>
          <w:tcPr>
            <w:tcW w:w="1239" w:type="dxa"/>
            <w:shd w:val="clear" w:color="auto" w:fill="auto"/>
            <w:noWrap/>
            <w:vAlign w:val="center"/>
            <w:hideMark/>
          </w:tcPr>
          <w:p w:rsidR="00156CB7" w:rsidRPr="00990A47" w:rsidP="00156CB7" w14:paraId="0DBEB8BA" w14:textId="77777777">
            <w:pPr>
              <w:spacing w:after="0" w:line="240" w:lineRule="auto"/>
              <w:jc w:val="center"/>
              <w:rPr>
                <w:rFonts w:ascii="Arial" w:eastAsia="Times New Roman" w:hAnsi="Arial" w:cs="Arial"/>
                <w:color w:val="000000"/>
              </w:rPr>
            </w:pPr>
            <w:r w:rsidRPr="00647F4B">
              <w:rPr>
                <w:rFonts w:ascii="Arial" w:eastAsia="Times New Roman" w:hAnsi="Arial" w:cs="Arial"/>
                <w:color w:val="000000"/>
              </w:rPr>
              <w:t>2.10</w:t>
            </w:r>
          </w:p>
        </w:tc>
      </w:tr>
      <w:tr w14:paraId="66EDD006" w14:textId="77777777" w:rsidTr="00272EB9">
        <w:tblPrEx>
          <w:tblW w:w="9706" w:type="dxa"/>
          <w:tblInd w:w="-95" w:type="dxa"/>
          <w:tblLayout w:type="fixed"/>
          <w:tblLook w:val="04A0"/>
        </w:tblPrEx>
        <w:trPr>
          <w:trHeight w:val="270"/>
        </w:trPr>
        <w:tc>
          <w:tcPr>
            <w:tcW w:w="9706" w:type="dxa"/>
            <w:gridSpan w:val="3"/>
            <w:shd w:val="clear" w:color="auto" w:fill="BFBFBF" w:themeFill="background1" w:themeFillShade="BF"/>
            <w:noWrap/>
            <w:vAlign w:val="center"/>
          </w:tcPr>
          <w:p w:rsidR="00BC5DE7" w:rsidRPr="00990A47" w:rsidP="00BC5DE7" w14:paraId="1B820B07" w14:textId="198A7205">
            <w:pPr>
              <w:spacing w:after="0" w:line="240" w:lineRule="auto"/>
              <w:rPr>
                <w:rFonts w:ascii="Arial" w:eastAsia="Times New Roman" w:hAnsi="Arial" w:cs="Arial"/>
                <w:color w:val="000000"/>
              </w:rPr>
            </w:pPr>
            <w:r w:rsidRPr="00990A47">
              <w:rPr>
                <w:rFonts w:ascii="Arial" w:eastAsia="Times New Roman" w:hAnsi="Arial" w:cs="Arial"/>
                <w:b/>
                <w:bCs/>
                <w:color w:val="000000"/>
              </w:rPr>
              <w:t>Aid to Impacted Industries</w:t>
            </w:r>
          </w:p>
        </w:tc>
      </w:tr>
      <w:tr w14:paraId="69777058" w14:textId="77777777" w:rsidTr="00306AA8">
        <w:tblPrEx>
          <w:tblW w:w="9706" w:type="dxa"/>
          <w:tblInd w:w="-95" w:type="dxa"/>
          <w:tblLayout w:type="fixed"/>
          <w:tblLook w:val="04A0"/>
        </w:tblPrEx>
        <w:trPr>
          <w:trHeight w:val="270"/>
        </w:trPr>
        <w:tc>
          <w:tcPr>
            <w:tcW w:w="7325" w:type="dxa"/>
            <w:shd w:val="clear" w:color="auto" w:fill="auto"/>
            <w:noWrap/>
            <w:vAlign w:val="center"/>
            <w:hideMark/>
          </w:tcPr>
          <w:p w:rsidR="00156CB7" w:rsidRPr="00990A47" w:rsidP="00BC5DE7" w14:paraId="1EDA1004" w14:textId="77F87959">
            <w:pPr>
              <w:spacing w:after="0" w:line="240" w:lineRule="auto"/>
              <w:rPr>
                <w:rFonts w:ascii="Arial" w:eastAsia="Times New Roman" w:hAnsi="Arial" w:cs="Arial"/>
                <w:color w:val="000000"/>
              </w:rPr>
            </w:pPr>
            <w:r w:rsidRPr="00990A47">
              <w:rPr>
                <w:rFonts w:ascii="Arial" w:eastAsia="Times New Roman" w:hAnsi="Arial" w:cs="Arial"/>
                <w:color w:val="000000"/>
              </w:rPr>
              <w:t>Aid to Tourism, Travel, or Hospitality</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bottom"/>
            <w:hideMark/>
          </w:tcPr>
          <w:p w:rsidR="00156CB7" w:rsidRPr="00990A47" w:rsidP="00156CB7" w14:paraId="2EA5368E" w14:textId="5E7041B5">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5</w:t>
            </w:r>
          </w:p>
        </w:tc>
        <w:tc>
          <w:tcPr>
            <w:tcW w:w="1239" w:type="dxa"/>
            <w:shd w:val="clear" w:color="auto" w:fill="auto"/>
            <w:noWrap/>
            <w:vAlign w:val="bottom"/>
            <w:hideMark/>
          </w:tcPr>
          <w:p w:rsidR="00156CB7" w:rsidRPr="00990A47" w:rsidP="00156CB7" w14:paraId="132ABBE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2.11</w:t>
            </w:r>
          </w:p>
        </w:tc>
      </w:tr>
      <w:tr w14:paraId="7ED2F04F"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261DE199" w14:textId="12544D7C">
            <w:pPr>
              <w:spacing w:after="0" w:line="240" w:lineRule="auto"/>
              <w:rPr>
                <w:rFonts w:ascii="Arial" w:eastAsia="Times New Roman" w:hAnsi="Arial" w:cs="Arial"/>
                <w:color w:val="000000"/>
              </w:rPr>
            </w:pPr>
            <w:r w:rsidRPr="00990A47">
              <w:rPr>
                <w:rFonts w:ascii="Arial" w:eastAsia="Times New Roman" w:hAnsi="Arial" w:cs="Arial"/>
                <w:color w:val="000000"/>
              </w:rPr>
              <w:t>Aid to Other Impacted Industries</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bottom"/>
            <w:hideMark/>
          </w:tcPr>
          <w:p w:rsidR="00156CB7" w:rsidRPr="00990A47" w:rsidP="00156CB7" w14:paraId="63646732" w14:textId="1395AC7A">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6</w:t>
            </w:r>
          </w:p>
        </w:tc>
        <w:tc>
          <w:tcPr>
            <w:tcW w:w="1239" w:type="dxa"/>
            <w:shd w:val="clear" w:color="auto" w:fill="auto"/>
            <w:noWrap/>
            <w:vAlign w:val="bottom"/>
            <w:hideMark/>
          </w:tcPr>
          <w:p w:rsidR="00156CB7" w:rsidRPr="00990A47" w:rsidP="00156CB7" w14:paraId="1DD7E75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2.12</w:t>
            </w:r>
          </w:p>
        </w:tc>
      </w:tr>
      <w:tr w14:paraId="1971D154" w14:textId="77777777" w:rsidTr="00272EB9">
        <w:tblPrEx>
          <w:tblW w:w="9706" w:type="dxa"/>
          <w:tblInd w:w="-95" w:type="dxa"/>
          <w:tblLayout w:type="fixed"/>
          <w:tblLook w:val="04A0"/>
        </w:tblPrEx>
        <w:trPr>
          <w:trHeight w:val="270"/>
        </w:trPr>
        <w:tc>
          <w:tcPr>
            <w:tcW w:w="9706" w:type="dxa"/>
            <w:gridSpan w:val="3"/>
            <w:shd w:val="clear" w:color="auto" w:fill="BFBFBF" w:themeFill="background1" w:themeFillShade="BF"/>
            <w:noWrap/>
            <w:vAlign w:val="center"/>
          </w:tcPr>
          <w:p w:rsidR="00BC5DE7" w:rsidRPr="00E901A3" w:rsidP="00BC5DE7" w14:paraId="6A855DF1" w14:textId="331E76AD">
            <w:pPr>
              <w:spacing w:after="0" w:line="240" w:lineRule="auto"/>
              <w:rPr>
                <w:rFonts w:ascii="Arial" w:eastAsia="Times New Roman" w:hAnsi="Arial" w:cs="Arial"/>
                <w:color w:val="000000"/>
              </w:rPr>
            </w:pPr>
            <w:r w:rsidRPr="00887434">
              <w:rPr>
                <w:rFonts w:ascii="Arial" w:eastAsia="Times New Roman" w:hAnsi="Arial" w:cs="Arial"/>
                <w:b/>
                <w:bCs/>
                <w:color w:val="000000"/>
              </w:rPr>
              <w:t>Other</w:t>
            </w:r>
          </w:p>
        </w:tc>
      </w:tr>
      <w:tr w14:paraId="5248E259" w14:textId="77777777" w:rsidTr="00306AA8">
        <w:tblPrEx>
          <w:tblW w:w="9706" w:type="dxa"/>
          <w:tblInd w:w="-95" w:type="dxa"/>
          <w:tblLayout w:type="fixed"/>
          <w:tblLook w:val="04A0"/>
        </w:tblPrEx>
        <w:trPr>
          <w:trHeight w:val="270"/>
        </w:trPr>
        <w:tc>
          <w:tcPr>
            <w:tcW w:w="7325" w:type="dxa"/>
            <w:shd w:val="clear" w:color="auto" w:fill="auto"/>
            <w:noWrap/>
            <w:vAlign w:val="center"/>
            <w:hideMark/>
          </w:tcPr>
          <w:p w:rsidR="00156CB7" w:rsidRPr="00990A47" w:rsidP="00BC5DE7" w14:paraId="544DAF4B" w14:textId="54C0A7C2">
            <w:pPr>
              <w:spacing w:after="0" w:line="240" w:lineRule="auto"/>
              <w:rPr>
                <w:rFonts w:ascii="Arial" w:eastAsia="Times New Roman" w:hAnsi="Arial" w:cs="Arial"/>
                <w:color w:val="000000"/>
              </w:rPr>
            </w:pPr>
            <w:r w:rsidRPr="00990A47">
              <w:rPr>
                <w:rFonts w:ascii="Arial" w:eastAsia="Times New Roman" w:hAnsi="Arial" w:cs="Arial"/>
                <w:color w:val="000000"/>
              </w:rPr>
              <w:t>Economic Impact</w:t>
            </w:r>
            <w:r>
              <w:rPr>
                <w:rFonts w:ascii="Arial" w:eastAsia="Times New Roman" w:hAnsi="Arial" w:cs="Arial"/>
                <w:color w:val="000000"/>
              </w:rPr>
              <w:t xml:space="preserve"> Assistance: Other*^</w:t>
            </w:r>
            <w:r w:rsidRPr="00990A47">
              <w:rPr>
                <w:rFonts w:ascii="Arial" w:eastAsia="Times New Roman" w:hAnsi="Arial" w:cs="Arial"/>
                <w:color w:val="000000"/>
              </w:rPr>
              <w:t xml:space="preserve"> </w:t>
            </w:r>
          </w:p>
        </w:tc>
        <w:tc>
          <w:tcPr>
            <w:tcW w:w="1142" w:type="dxa"/>
            <w:shd w:val="clear" w:color="auto" w:fill="auto"/>
            <w:noWrap/>
            <w:vAlign w:val="center"/>
            <w:hideMark/>
          </w:tcPr>
          <w:p w:rsidR="00156CB7" w:rsidRPr="00990A47" w:rsidP="00156CB7" w14:paraId="434AAE35" w14:textId="70067120">
            <w:pPr>
              <w:spacing w:after="0" w:line="240" w:lineRule="auto"/>
              <w:jc w:val="center"/>
              <w:rPr>
                <w:rFonts w:ascii="Arial" w:eastAsia="Times New Roman" w:hAnsi="Arial" w:cs="Arial"/>
                <w:color w:val="000000"/>
              </w:rPr>
            </w:pPr>
            <w:r w:rsidRPr="00990A47">
              <w:rPr>
                <w:rFonts w:ascii="Arial" w:eastAsia="Times New Roman" w:hAnsi="Arial" w:cs="Arial"/>
                <w:color w:val="000000"/>
              </w:rPr>
              <w:t>2.3</w:t>
            </w:r>
            <w:r w:rsidR="00FE3FDE">
              <w:rPr>
                <w:rFonts w:ascii="Arial" w:eastAsia="Times New Roman" w:hAnsi="Arial" w:cs="Arial"/>
                <w:color w:val="000000"/>
              </w:rPr>
              <w:t>7</w:t>
            </w:r>
          </w:p>
        </w:tc>
        <w:tc>
          <w:tcPr>
            <w:tcW w:w="1239" w:type="dxa"/>
            <w:shd w:val="clear" w:color="auto" w:fill="auto"/>
            <w:noWrap/>
            <w:vAlign w:val="center"/>
            <w:hideMark/>
          </w:tcPr>
          <w:p w:rsidR="00156CB7" w:rsidRPr="00E901A3" w:rsidP="00156CB7" w14:paraId="230A0404" w14:textId="77777777">
            <w:pPr>
              <w:spacing w:after="0" w:line="240" w:lineRule="auto"/>
              <w:jc w:val="center"/>
              <w:rPr>
                <w:rFonts w:ascii="Arial" w:eastAsia="Times New Roman" w:hAnsi="Arial" w:cs="Arial"/>
                <w:color w:val="000000"/>
              </w:rPr>
            </w:pPr>
            <w:r w:rsidRPr="00E901A3">
              <w:rPr>
                <w:rFonts w:ascii="Arial" w:eastAsia="Times New Roman" w:hAnsi="Arial" w:cs="Arial"/>
                <w:color w:val="000000"/>
              </w:rPr>
              <w:t>2.13</w:t>
            </w:r>
          </w:p>
        </w:tc>
      </w:tr>
      <w:tr w14:paraId="5085EFDA" w14:textId="77777777" w:rsidTr="00306AA8">
        <w:tblPrEx>
          <w:tblW w:w="9706" w:type="dxa"/>
          <w:tblInd w:w="-95" w:type="dxa"/>
          <w:tblLayout w:type="fixed"/>
          <w:tblLook w:val="04A0"/>
        </w:tblPrEx>
        <w:trPr>
          <w:trHeight w:val="260"/>
        </w:trPr>
        <w:tc>
          <w:tcPr>
            <w:tcW w:w="7325" w:type="dxa"/>
            <w:shd w:val="clear" w:color="auto" w:fill="auto"/>
            <w:noWrap/>
            <w:vAlign w:val="center"/>
          </w:tcPr>
          <w:p w:rsidR="00156CB7" w:rsidRPr="00990A47" w:rsidP="00BC5DE7" w14:paraId="37303DD6" w14:textId="2D68308A">
            <w:pPr>
              <w:spacing w:after="0" w:line="240" w:lineRule="auto"/>
              <w:rPr>
                <w:rFonts w:ascii="Arial" w:eastAsia="Times New Roman" w:hAnsi="Arial" w:cs="Arial"/>
                <w:color w:val="000000"/>
              </w:rPr>
            </w:pPr>
            <w:r w:rsidRPr="00156CB7">
              <w:rPr>
                <w:rFonts w:ascii="Arial" w:eastAsia="Times New Roman" w:hAnsi="Arial" w:cs="Arial"/>
                <w:color w:val="000000"/>
              </w:rPr>
              <w:t>Household Assistance: Eviction Prevention*^</w:t>
            </w:r>
          </w:p>
        </w:tc>
        <w:tc>
          <w:tcPr>
            <w:tcW w:w="1142" w:type="dxa"/>
            <w:shd w:val="clear" w:color="auto" w:fill="auto"/>
            <w:noWrap/>
            <w:vAlign w:val="center"/>
          </w:tcPr>
          <w:p w:rsidR="00156CB7" w:rsidRPr="00990A47" w:rsidP="00156CB7" w14:paraId="50C11D7F" w14:textId="03B1187B">
            <w:pPr>
              <w:spacing w:after="0" w:line="240" w:lineRule="auto"/>
              <w:jc w:val="center"/>
              <w:rPr>
                <w:rFonts w:ascii="Arial" w:eastAsia="Times New Roman" w:hAnsi="Arial" w:cs="Arial"/>
                <w:color w:val="000000"/>
              </w:rPr>
            </w:pPr>
            <w:r>
              <w:rPr>
                <w:rFonts w:ascii="Arial" w:eastAsia="Times New Roman" w:hAnsi="Arial" w:cs="Arial"/>
                <w:color w:val="000000"/>
              </w:rPr>
              <w:t>-</w:t>
            </w:r>
          </w:p>
        </w:tc>
        <w:tc>
          <w:tcPr>
            <w:tcW w:w="1239" w:type="dxa"/>
            <w:shd w:val="clear" w:color="auto" w:fill="auto"/>
            <w:noWrap/>
            <w:vAlign w:val="center"/>
          </w:tcPr>
          <w:p w:rsidR="00156CB7" w:rsidRPr="00E901A3" w:rsidP="00156CB7" w14:paraId="1B957A6A" w14:textId="260BCA9A">
            <w:pPr>
              <w:spacing w:after="0" w:line="240" w:lineRule="auto"/>
              <w:jc w:val="center"/>
              <w:rPr>
                <w:rFonts w:ascii="Arial" w:eastAsia="Times New Roman" w:hAnsi="Arial" w:cs="Arial"/>
              </w:rPr>
            </w:pPr>
            <w:r>
              <w:rPr>
                <w:rFonts w:ascii="Arial" w:eastAsia="Times New Roman" w:hAnsi="Arial" w:cs="Arial"/>
              </w:rPr>
              <w:t>2.5</w:t>
            </w:r>
          </w:p>
        </w:tc>
      </w:tr>
      <w:tr w14:paraId="0450C994"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51204274" w14:textId="7DF0A09A">
            <w:pPr>
              <w:spacing w:after="0" w:line="240" w:lineRule="auto"/>
              <w:rPr>
                <w:rFonts w:ascii="Arial" w:eastAsia="Times New Roman" w:hAnsi="Arial" w:cs="Arial"/>
                <w:color w:val="000000"/>
              </w:rPr>
            </w:pPr>
            <w:r w:rsidRPr="00990A47">
              <w:rPr>
                <w:rFonts w:ascii="Arial" w:eastAsia="Times New Roman" w:hAnsi="Arial" w:cs="Arial"/>
                <w:color w:val="000000"/>
              </w:rPr>
              <w:t>Education Assistance: Other</w:t>
            </w:r>
            <w:r>
              <w:rPr>
                <w:rFonts w:ascii="Arial" w:eastAsia="Times New Roman" w:hAnsi="Arial" w:cs="Arial"/>
                <w:color w:val="000000"/>
              </w:rPr>
              <w:t>*^</w:t>
            </w:r>
            <w:r w:rsidRPr="00990A47">
              <w:rPr>
                <w:rFonts w:ascii="Arial" w:eastAsia="Times New Roman" w:hAnsi="Arial" w:cs="Arial"/>
                <w:color w:val="000000"/>
              </w:rPr>
              <w:t xml:space="preserve"> </w:t>
            </w:r>
          </w:p>
        </w:tc>
        <w:tc>
          <w:tcPr>
            <w:tcW w:w="1142" w:type="dxa"/>
            <w:shd w:val="clear" w:color="auto" w:fill="auto"/>
            <w:noWrap/>
            <w:vAlign w:val="center"/>
            <w:hideMark/>
          </w:tcPr>
          <w:p w:rsidR="00156CB7" w:rsidRPr="00990A47" w:rsidP="00156CB7" w14:paraId="5DA238F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156CB7" w:rsidRPr="00E901A3" w:rsidP="00156CB7" w14:paraId="3370AAAF" w14:textId="77777777">
            <w:pPr>
              <w:spacing w:after="0" w:line="240" w:lineRule="auto"/>
              <w:jc w:val="center"/>
              <w:rPr>
                <w:rFonts w:ascii="Arial" w:eastAsia="Times New Roman" w:hAnsi="Arial" w:cs="Arial"/>
              </w:rPr>
            </w:pPr>
            <w:r w:rsidRPr="00E901A3">
              <w:rPr>
                <w:rFonts w:ascii="Arial" w:eastAsia="Times New Roman" w:hAnsi="Arial" w:cs="Arial"/>
              </w:rPr>
              <w:t>3.5</w:t>
            </w:r>
          </w:p>
        </w:tc>
      </w:tr>
      <w:tr w14:paraId="672B43EF"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2A51E99D" w14:textId="134E4010">
            <w:pPr>
              <w:spacing w:after="0" w:line="240" w:lineRule="auto"/>
              <w:rPr>
                <w:rFonts w:ascii="Arial" w:eastAsia="Times New Roman" w:hAnsi="Arial" w:cs="Arial"/>
                <w:color w:val="000000"/>
              </w:rPr>
            </w:pPr>
            <w:r w:rsidRPr="00990A47">
              <w:rPr>
                <w:rFonts w:ascii="Arial" w:eastAsia="Times New Roman" w:hAnsi="Arial" w:cs="Arial"/>
                <w:color w:val="000000"/>
              </w:rPr>
              <w:t>Healthy Childhood Environments: Other</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237C046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156CB7" w:rsidRPr="00E901A3" w:rsidP="00156CB7" w14:paraId="67C0B6A2" w14:textId="77777777">
            <w:pPr>
              <w:spacing w:after="0" w:line="240" w:lineRule="auto"/>
              <w:jc w:val="center"/>
              <w:rPr>
                <w:rFonts w:ascii="Arial" w:eastAsia="Times New Roman" w:hAnsi="Arial" w:cs="Arial"/>
              </w:rPr>
            </w:pPr>
            <w:r w:rsidRPr="00E901A3">
              <w:rPr>
                <w:rFonts w:ascii="Arial" w:eastAsia="Times New Roman" w:hAnsi="Arial" w:cs="Arial"/>
              </w:rPr>
              <w:t>3.9</w:t>
            </w:r>
          </w:p>
        </w:tc>
      </w:tr>
      <w:tr w14:paraId="5776AF09"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01DA14ED" w14:textId="3BFC7310">
            <w:pPr>
              <w:spacing w:after="0" w:line="240" w:lineRule="auto"/>
              <w:rPr>
                <w:rFonts w:ascii="Arial" w:eastAsia="Times New Roman" w:hAnsi="Arial" w:cs="Arial"/>
                <w:color w:val="000000"/>
              </w:rPr>
            </w:pPr>
            <w:r w:rsidRPr="00990A47">
              <w:rPr>
                <w:rFonts w:ascii="Arial" w:eastAsia="Times New Roman" w:hAnsi="Arial" w:cs="Arial"/>
                <w:color w:val="000000"/>
              </w:rPr>
              <w:t>Social Determinants of Health: Other</w:t>
            </w:r>
            <w:r>
              <w:rPr>
                <w:rFonts w:ascii="Arial" w:eastAsia="Times New Roman" w:hAnsi="Arial" w:cs="Arial"/>
                <w:color w:val="000000"/>
              </w:rPr>
              <w:t>*^</w:t>
            </w:r>
          </w:p>
        </w:tc>
        <w:tc>
          <w:tcPr>
            <w:tcW w:w="1142" w:type="dxa"/>
            <w:shd w:val="clear" w:color="auto" w:fill="auto"/>
            <w:noWrap/>
            <w:vAlign w:val="center"/>
            <w:hideMark/>
          </w:tcPr>
          <w:p w:rsidR="00156CB7" w:rsidRPr="00990A47" w:rsidP="00156CB7" w14:paraId="2661673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center"/>
            <w:hideMark/>
          </w:tcPr>
          <w:p w:rsidR="00156CB7" w:rsidRPr="00E901A3" w:rsidP="00156CB7" w14:paraId="01C0AB42" w14:textId="77777777">
            <w:pPr>
              <w:spacing w:after="0" w:line="240" w:lineRule="auto"/>
              <w:jc w:val="center"/>
              <w:rPr>
                <w:rFonts w:ascii="Arial" w:eastAsia="Times New Roman" w:hAnsi="Arial" w:cs="Arial"/>
              </w:rPr>
            </w:pPr>
            <w:r w:rsidRPr="00E901A3">
              <w:rPr>
                <w:rFonts w:ascii="Arial" w:eastAsia="Times New Roman" w:hAnsi="Arial" w:cs="Arial"/>
              </w:rPr>
              <w:t>3.13</w:t>
            </w:r>
          </w:p>
        </w:tc>
      </w:tr>
      <w:tr w14:paraId="7240FDEB"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E901A3" w:rsidP="00BC5DE7" w14:paraId="199E8AD6" w14:textId="670BE8D2">
            <w:pPr>
              <w:spacing w:after="0" w:line="240" w:lineRule="auto"/>
              <w:rPr>
                <w:rFonts w:ascii="Arial" w:eastAsia="Times New Roman" w:hAnsi="Arial" w:cs="Arial"/>
              </w:rPr>
            </w:pPr>
            <w:r>
              <w:rPr>
                <w:rFonts w:ascii="Arial" w:eastAsia="Times New Roman" w:hAnsi="Arial" w:cs="Arial"/>
                <w:b/>
                <w:bCs/>
                <w:color w:val="000000"/>
              </w:rPr>
              <w:t xml:space="preserve">3: </w:t>
            </w:r>
            <w:r w:rsidRPr="007D7AC4">
              <w:rPr>
                <w:rFonts w:ascii="Arial" w:eastAsia="Times New Roman" w:hAnsi="Arial" w:cs="Arial"/>
                <w:b/>
                <w:bCs/>
                <w:color w:val="000000"/>
              </w:rPr>
              <w:t>Public Health-Negative Economic Impact: Public Sector Capacity</w:t>
            </w:r>
          </w:p>
        </w:tc>
      </w:tr>
      <w:tr w14:paraId="658BB315" w14:textId="77777777" w:rsidTr="00272EB9">
        <w:tblPrEx>
          <w:tblW w:w="9706" w:type="dxa"/>
          <w:tblInd w:w="-95" w:type="dxa"/>
          <w:tblLayout w:type="fixed"/>
          <w:tblLook w:val="04A0"/>
        </w:tblPrEx>
        <w:trPr>
          <w:trHeight w:val="260"/>
        </w:trPr>
        <w:tc>
          <w:tcPr>
            <w:tcW w:w="9706" w:type="dxa"/>
            <w:gridSpan w:val="3"/>
            <w:shd w:val="clear" w:color="auto" w:fill="BFBFBF" w:themeFill="background1" w:themeFillShade="BF"/>
            <w:vAlign w:val="center"/>
          </w:tcPr>
          <w:p w:rsidR="00BC5DE7" w:rsidRPr="00990A47" w:rsidP="00BC5DE7" w14:paraId="793AF310" w14:textId="65B43E9F">
            <w:pPr>
              <w:spacing w:after="0" w:line="240" w:lineRule="auto"/>
              <w:rPr>
                <w:rFonts w:ascii="Arial" w:eastAsia="Times New Roman" w:hAnsi="Arial" w:cs="Arial"/>
                <w:color w:val="000000"/>
              </w:rPr>
            </w:pPr>
            <w:r w:rsidRPr="00EF7AFA">
              <w:rPr>
                <w:rFonts w:ascii="Arial" w:eastAsia="Times New Roman" w:hAnsi="Arial" w:cs="Arial"/>
                <w:b/>
                <w:bCs/>
                <w:color w:val="000000"/>
              </w:rPr>
              <w:t>General Provisions</w:t>
            </w:r>
          </w:p>
        </w:tc>
      </w:tr>
      <w:tr w14:paraId="0A5537B9"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5E56C6CC" w14:textId="041FC8DE">
            <w:pPr>
              <w:spacing w:after="0" w:line="240" w:lineRule="auto"/>
              <w:rPr>
                <w:rFonts w:ascii="Arial" w:eastAsia="Times New Roman" w:hAnsi="Arial" w:cs="Arial"/>
                <w:color w:val="000000"/>
              </w:rPr>
            </w:pPr>
            <w:r w:rsidRPr="00990A47">
              <w:rPr>
                <w:rFonts w:ascii="Arial" w:eastAsia="Times New Roman" w:hAnsi="Arial" w:cs="Arial"/>
                <w:color w:val="000000"/>
              </w:rPr>
              <w:t>Public Sector Workforce: Payroll and Benefits</w:t>
            </w:r>
            <w:r>
              <w:rPr>
                <w:rFonts w:ascii="Arial" w:eastAsia="Times New Roman" w:hAnsi="Arial" w:cs="Arial"/>
                <w:color w:val="000000"/>
              </w:rPr>
              <w:t xml:space="preserve"> for Public Health, Public Safety, or Human Services Workers</w:t>
            </w:r>
          </w:p>
        </w:tc>
        <w:tc>
          <w:tcPr>
            <w:tcW w:w="1142" w:type="dxa"/>
            <w:shd w:val="clear" w:color="auto" w:fill="auto"/>
            <w:noWrap/>
            <w:vAlign w:val="center"/>
            <w:hideMark/>
          </w:tcPr>
          <w:p w:rsidR="00156CB7" w:rsidRPr="00990A47" w:rsidP="002E293D" w14:paraId="421560C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3.1</w:t>
            </w:r>
          </w:p>
        </w:tc>
        <w:tc>
          <w:tcPr>
            <w:tcW w:w="1239" w:type="dxa"/>
            <w:shd w:val="clear" w:color="auto" w:fill="auto"/>
            <w:noWrap/>
            <w:vAlign w:val="center"/>
            <w:hideMark/>
          </w:tcPr>
          <w:p w:rsidR="00156CB7" w:rsidRPr="00990A47" w:rsidP="002E293D" w14:paraId="492E252E" w14:textId="63DE839A">
            <w:pPr>
              <w:spacing w:after="0" w:line="240" w:lineRule="auto"/>
              <w:jc w:val="center"/>
              <w:rPr>
                <w:rFonts w:ascii="Arial" w:eastAsia="Times New Roman" w:hAnsi="Arial" w:cs="Arial"/>
                <w:color w:val="000000"/>
              </w:rPr>
            </w:pPr>
            <w:r w:rsidRPr="00990A47">
              <w:rPr>
                <w:rFonts w:ascii="Arial" w:eastAsia="Times New Roman" w:hAnsi="Arial" w:cs="Arial"/>
                <w:color w:val="000000"/>
              </w:rPr>
              <w:t>1.</w:t>
            </w:r>
            <w:r>
              <w:rPr>
                <w:rFonts w:ascii="Arial" w:eastAsia="Times New Roman" w:hAnsi="Arial" w:cs="Arial"/>
                <w:color w:val="000000"/>
              </w:rPr>
              <w:t>9</w:t>
            </w:r>
          </w:p>
        </w:tc>
      </w:tr>
      <w:tr w14:paraId="189DA607"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024757CD" w14:textId="1BADE733">
            <w:pPr>
              <w:spacing w:after="0" w:line="240" w:lineRule="auto"/>
              <w:rPr>
                <w:rFonts w:ascii="Arial" w:eastAsia="Times New Roman" w:hAnsi="Arial" w:cs="Arial"/>
                <w:color w:val="000000"/>
              </w:rPr>
            </w:pPr>
            <w:r w:rsidRPr="00990A47">
              <w:rPr>
                <w:rFonts w:ascii="Arial" w:eastAsia="Times New Roman" w:hAnsi="Arial" w:cs="Arial"/>
                <w:color w:val="000000"/>
              </w:rPr>
              <w:t xml:space="preserve">Public Sector Workforce: </w:t>
            </w:r>
            <w:r w:rsidR="004F4EBC">
              <w:rPr>
                <w:rFonts w:ascii="Arial" w:eastAsia="Times New Roman" w:hAnsi="Arial" w:cs="Arial"/>
                <w:color w:val="000000"/>
              </w:rPr>
              <w:t>Reh</w:t>
            </w:r>
            <w:r w:rsidR="004B4568">
              <w:rPr>
                <w:rFonts w:ascii="Arial" w:eastAsia="Times New Roman" w:hAnsi="Arial" w:cs="Arial"/>
                <w:color w:val="000000"/>
              </w:rPr>
              <w:t>iring</w:t>
            </w:r>
            <w:r w:rsidRPr="00990A47" w:rsidR="004B4568">
              <w:rPr>
                <w:rFonts w:ascii="Arial" w:eastAsia="Times New Roman" w:hAnsi="Arial" w:cs="Arial"/>
                <w:color w:val="000000"/>
              </w:rPr>
              <w:t xml:space="preserve"> </w:t>
            </w:r>
            <w:r w:rsidRPr="00990A47">
              <w:rPr>
                <w:rFonts w:ascii="Arial" w:eastAsia="Times New Roman" w:hAnsi="Arial" w:cs="Arial"/>
                <w:color w:val="000000"/>
              </w:rPr>
              <w:t>Public Sector Staff</w:t>
            </w:r>
          </w:p>
        </w:tc>
        <w:tc>
          <w:tcPr>
            <w:tcW w:w="1142" w:type="dxa"/>
            <w:shd w:val="clear" w:color="auto" w:fill="auto"/>
            <w:noWrap/>
            <w:vAlign w:val="center"/>
            <w:hideMark/>
          </w:tcPr>
          <w:p w:rsidR="00156CB7" w:rsidRPr="00990A47" w:rsidP="002E293D" w14:paraId="060011A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3.2</w:t>
            </w:r>
          </w:p>
        </w:tc>
        <w:tc>
          <w:tcPr>
            <w:tcW w:w="1239" w:type="dxa"/>
            <w:shd w:val="clear" w:color="auto" w:fill="auto"/>
            <w:noWrap/>
            <w:vAlign w:val="center"/>
            <w:hideMark/>
          </w:tcPr>
          <w:p w:rsidR="00156CB7" w:rsidRPr="00990A47" w:rsidP="002E293D" w14:paraId="4BB2777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2.14</w:t>
            </w:r>
          </w:p>
        </w:tc>
      </w:tr>
      <w:tr w14:paraId="6923E937" w14:textId="77777777" w:rsidTr="00306AA8">
        <w:tblPrEx>
          <w:tblW w:w="9706" w:type="dxa"/>
          <w:tblInd w:w="-95" w:type="dxa"/>
          <w:tblLayout w:type="fixed"/>
          <w:tblLook w:val="04A0"/>
        </w:tblPrEx>
        <w:trPr>
          <w:trHeight w:val="170"/>
        </w:trPr>
        <w:tc>
          <w:tcPr>
            <w:tcW w:w="7325" w:type="dxa"/>
            <w:shd w:val="clear" w:color="auto" w:fill="auto"/>
            <w:vAlign w:val="center"/>
            <w:hideMark/>
          </w:tcPr>
          <w:p w:rsidR="00156CB7" w:rsidRPr="00990A47" w:rsidP="00BC5DE7" w14:paraId="72F71FA0" w14:textId="340EFFA0">
            <w:pPr>
              <w:spacing w:after="0" w:line="240" w:lineRule="auto"/>
              <w:rPr>
                <w:rFonts w:ascii="Arial" w:eastAsia="Times New Roman" w:hAnsi="Arial" w:cs="Arial"/>
                <w:color w:val="000000"/>
              </w:rPr>
            </w:pPr>
            <w:r w:rsidRPr="00990A47">
              <w:rPr>
                <w:rFonts w:ascii="Arial" w:eastAsia="Times New Roman" w:hAnsi="Arial" w:cs="Arial"/>
                <w:color w:val="000000"/>
              </w:rPr>
              <w:t>Public Sector Workforce: Other</w:t>
            </w:r>
          </w:p>
        </w:tc>
        <w:tc>
          <w:tcPr>
            <w:tcW w:w="1142" w:type="dxa"/>
            <w:shd w:val="clear" w:color="auto" w:fill="auto"/>
            <w:noWrap/>
            <w:vAlign w:val="center"/>
            <w:hideMark/>
          </w:tcPr>
          <w:p w:rsidR="00156CB7" w:rsidRPr="00990A47" w:rsidP="002E293D" w14:paraId="0D85291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3.3</w:t>
            </w:r>
          </w:p>
        </w:tc>
        <w:tc>
          <w:tcPr>
            <w:tcW w:w="1239" w:type="dxa"/>
            <w:shd w:val="clear" w:color="auto" w:fill="auto"/>
            <w:noWrap/>
            <w:vAlign w:val="center"/>
            <w:hideMark/>
          </w:tcPr>
          <w:p w:rsidR="00156CB7" w:rsidRPr="00990A47" w:rsidP="002E293D" w14:paraId="4886742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04D1DEBB"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21B6E163" w14:textId="3A85AF4A">
            <w:pPr>
              <w:spacing w:after="0" w:line="240" w:lineRule="auto"/>
              <w:rPr>
                <w:rFonts w:ascii="Arial" w:eastAsia="Times New Roman" w:hAnsi="Arial" w:cs="Arial"/>
                <w:color w:val="000000"/>
              </w:rPr>
            </w:pPr>
            <w:r w:rsidRPr="00990A47">
              <w:rPr>
                <w:rFonts w:ascii="Arial" w:eastAsia="Times New Roman" w:hAnsi="Arial" w:cs="Arial"/>
                <w:color w:val="000000"/>
              </w:rPr>
              <w:t>Public Sector Capacity: Effective Service Delivery</w:t>
            </w:r>
          </w:p>
        </w:tc>
        <w:tc>
          <w:tcPr>
            <w:tcW w:w="1142" w:type="dxa"/>
            <w:shd w:val="clear" w:color="auto" w:fill="auto"/>
            <w:noWrap/>
            <w:vAlign w:val="center"/>
            <w:hideMark/>
          </w:tcPr>
          <w:p w:rsidR="00156CB7" w:rsidRPr="00990A47" w:rsidP="002E293D" w14:paraId="7FF156D9" w14:textId="77777777">
            <w:pPr>
              <w:spacing w:after="0" w:line="240" w:lineRule="auto"/>
              <w:jc w:val="center"/>
              <w:rPr>
                <w:rFonts w:ascii="Arial" w:eastAsia="Times New Roman" w:hAnsi="Arial" w:cs="Arial"/>
                <w:color w:val="000000"/>
              </w:rPr>
            </w:pPr>
            <w:r w:rsidRPr="00905DA3">
              <w:rPr>
                <w:rFonts w:ascii="Arial" w:eastAsia="Times New Roman" w:hAnsi="Arial" w:cs="Arial"/>
                <w:color w:val="000000"/>
              </w:rPr>
              <w:t>3.4</w:t>
            </w:r>
          </w:p>
        </w:tc>
        <w:tc>
          <w:tcPr>
            <w:tcW w:w="1239" w:type="dxa"/>
            <w:shd w:val="clear" w:color="auto" w:fill="auto"/>
            <w:noWrap/>
            <w:vAlign w:val="center"/>
            <w:hideMark/>
          </w:tcPr>
          <w:p w:rsidR="00156CB7" w:rsidRPr="00990A47" w:rsidP="002E293D" w14:paraId="689DB266" w14:textId="07D095A3">
            <w:pPr>
              <w:spacing w:after="0" w:line="240" w:lineRule="auto"/>
              <w:jc w:val="center"/>
              <w:rPr>
                <w:rFonts w:ascii="Arial" w:eastAsia="Times New Roman" w:hAnsi="Arial" w:cs="Arial"/>
                <w:color w:val="000000"/>
              </w:rPr>
            </w:pPr>
            <w:r w:rsidRPr="00990A47">
              <w:rPr>
                <w:rFonts w:ascii="Arial" w:eastAsia="Times New Roman" w:hAnsi="Arial" w:cs="Arial"/>
                <w:color w:val="000000"/>
              </w:rPr>
              <w:t>7.2</w:t>
            </w:r>
          </w:p>
        </w:tc>
      </w:tr>
      <w:tr w14:paraId="29B5097B"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156CB7" w:rsidRPr="00990A47" w:rsidP="00BC5DE7" w14:paraId="025A6016" w14:textId="230C8A77">
            <w:pPr>
              <w:spacing w:after="0" w:line="240" w:lineRule="auto"/>
              <w:rPr>
                <w:rFonts w:ascii="Arial" w:eastAsia="Times New Roman" w:hAnsi="Arial" w:cs="Arial"/>
                <w:color w:val="000000"/>
              </w:rPr>
            </w:pPr>
            <w:r w:rsidRPr="00990A47">
              <w:rPr>
                <w:rFonts w:ascii="Arial" w:eastAsia="Times New Roman" w:hAnsi="Arial" w:cs="Arial"/>
                <w:color w:val="000000"/>
              </w:rPr>
              <w:t>Public Sector Capacity: Administrative Needs</w:t>
            </w:r>
          </w:p>
        </w:tc>
        <w:tc>
          <w:tcPr>
            <w:tcW w:w="1142" w:type="dxa"/>
            <w:shd w:val="clear" w:color="auto" w:fill="auto"/>
            <w:noWrap/>
            <w:vAlign w:val="center"/>
            <w:hideMark/>
          </w:tcPr>
          <w:p w:rsidR="00156CB7" w:rsidRPr="00990A47" w:rsidP="002E293D" w14:paraId="6024EFA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3.5</w:t>
            </w:r>
          </w:p>
        </w:tc>
        <w:tc>
          <w:tcPr>
            <w:tcW w:w="1239" w:type="dxa"/>
            <w:shd w:val="clear" w:color="auto" w:fill="auto"/>
            <w:noWrap/>
            <w:vAlign w:val="center"/>
            <w:hideMark/>
          </w:tcPr>
          <w:p w:rsidR="00156CB7" w:rsidRPr="00990A47" w:rsidP="002E293D" w14:paraId="040AB456"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8EB5DE3"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58441C" w:rsidP="00BC5DE7" w14:paraId="0AB550D9" w14:textId="79A81C11">
            <w:pPr>
              <w:spacing w:after="0" w:line="240" w:lineRule="auto"/>
              <w:rPr>
                <w:rFonts w:ascii="Arial" w:hAnsi="Arial"/>
                <w:color w:val="000000"/>
              </w:rPr>
            </w:pPr>
            <w:r w:rsidRPr="0058441C">
              <w:rPr>
                <w:rFonts w:ascii="Arial" w:hAnsi="Arial"/>
                <w:b/>
                <w:color w:val="000000"/>
              </w:rPr>
              <w:t xml:space="preserve">4: </w:t>
            </w:r>
            <w:r w:rsidRPr="0058441C">
              <w:rPr>
                <w:rFonts w:ascii="Arial" w:hAnsi="Arial"/>
                <w:b/>
                <w:color w:val="000000"/>
              </w:rPr>
              <w:t>Premium Pay</w:t>
            </w:r>
          </w:p>
        </w:tc>
      </w:tr>
      <w:tr w14:paraId="62C4E2A4"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59F79923"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Public Sector Employees </w:t>
            </w:r>
          </w:p>
        </w:tc>
        <w:tc>
          <w:tcPr>
            <w:tcW w:w="1142" w:type="dxa"/>
            <w:shd w:val="clear" w:color="auto" w:fill="auto"/>
            <w:noWrap/>
            <w:vAlign w:val="bottom"/>
            <w:hideMark/>
          </w:tcPr>
          <w:p w:rsidR="00156CB7" w:rsidRPr="00990A47" w:rsidP="00156CB7" w14:paraId="0ABAC29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4.1</w:t>
            </w:r>
          </w:p>
        </w:tc>
        <w:tc>
          <w:tcPr>
            <w:tcW w:w="1239" w:type="dxa"/>
            <w:shd w:val="clear" w:color="auto" w:fill="auto"/>
            <w:noWrap/>
            <w:vAlign w:val="bottom"/>
            <w:hideMark/>
          </w:tcPr>
          <w:p w:rsidR="00156CB7" w:rsidRPr="00990A47" w:rsidP="00156CB7" w14:paraId="39C8ADE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4.1</w:t>
            </w:r>
          </w:p>
        </w:tc>
      </w:tr>
      <w:tr w14:paraId="519E4684"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156CB7" w:rsidRPr="00990A47" w:rsidP="00BC5DE7" w14:paraId="3637985A"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Private Sector: Grants to Other Employers </w:t>
            </w:r>
          </w:p>
        </w:tc>
        <w:tc>
          <w:tcPr>
            <w:tcW w:w="1142" w:type="dxa"/>
            <w:shd w:val="clear" w:color="auto" w:fill="auto"/>
            <w:noWrap/>
            <w:vAlign w:val="bottom"/>
            <w:hideMark/>
          </w:tcPr>
          <w:p w:rsidR="00156CB7" w:rsidRPr="00990A47" w:rsidP="00156CB7" w14:paraId="0DDC885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4.2</w:t>
            </w:r>
          </w:p>
        </w:tc>
        <w:tc>
          <w:tcPr>
            <w:tcW w:w="1239" w:type="dxa"/>
            <w:shd w:val="clear" w:color="auto" w:fill="auto"/>
            <w:noWrap/>
            <w:vAlign w:val="bottom"/>
            <w:hideMark/>
          </w:tcPr>
          <w:p w:rsidR="00156CB7" w:rsidRPr="00990A47" w:rsidP="00156CB7" w14:paraId="60665A2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4.2</w:t>
            </w:r>
          </w:p>
        </w:tc>
      </w:tr>
      <w:tr w14:paraId="7B1389EC"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990A47" w:rsidP="00BC5DE7" w14:paraId="3204BEAC" w14:textId="50BC83FB">
            <w:pPr>
              <w:spacing w:after="0" w:line="240" w:lineRule="auto"/>
              <w:rPr>
                <w:rFonts w:ascii="Arial" w:eastAsia="Times New Roman" w:hAnsi="Arial" w:cs="Arial"/>
                <w:color w:val="000000"/>
              </w:rPr>
            </w:pPr>
            <w:r>
              <w:rPr>
                <w:rFonts w:ascii="Arial" w:eastAsia="Times New Roman" w:hAnsi="Arial" w:cs="Arial"/>
                <w:b/>
                <w:bCs/>
                <w:color w:val="000000"/>
              </w:rPr>
              <w:t xml:space="preserve">5: </w:t>
            </w:r>
            <w:r w:rsidRPr="00EF7AFA">
              <w:rPr>
                <w:rFonts w:ascii="Arial" w:eastAsia="Times New Roman" w:hAnsi="Arial" w:cs="Arial"/>
                <w:b/>
                <w:bCs/>
                <w:color w:val="000000"/>
              </w:rPr>
              <w:t>Infrastructure</w:t>
            </w:r>
          </w:p>
        </w:tc>
      </w:tr>
      <w:tr w14:paraId="7D08D523" w14:textId="77777777" w:rsidTr="00272EB9">
        <w:tblPrEx>
          <w:tblW w:w="9706" w:type="dxa"/>
          <w:tblInd w:w="-95" w:type="dxa"/>
          <w:tblLayout w:type="fixed"/>
          <w:tblLook w:val="04A0"/>
        </w:tblPrEx>
        <w:trPr>
          <w:trHeight w:val="260"/>
        </w:trPr>
        <w:tc>
          <w:tcPr>
            <w:tcW w:w="9706" w:type="dxa"/>
            <w:gridSpan w:val="3"/>
            <w:shd w:val="clear" w:color="auto" w:fill="BFBFBF" w:themeFill="background1" w:themeFillShade="BF"/>
            <w:noWrap/>
            <w:vAlign w:val="center"/>
          </w:tcPr>
          <w:p w:rsidR="00BC5DE7" w:rsidRPr="00990A47" w:rsidP="00BC5DE7" w14:paraId="1B17D9BD" w14:textId="026B9615">
            <w:pPr>
              <w:spacing w:after="0" w:line="240" w:lineRule="auto"/>
              <w:rPr>
                <w:rFonts w:ascii="Arial" w:eastAsia="Times New Roman" w:hAnsi="Arial" w:cs="Arial"/>
                <w:color w:val="000000"/>
              </w:rPr>
            </w:pPr>
            <w:r>
              <w:rPr>
                <w:rFonts w:ascii="Arial" w:eastAsia="Times New Roman" w:hAnsi="Arial" w:cs="Arial"/>
                <w:b/>
                <w:bCs/>
                <w:color w:val="000000"/>
              </w:rPr>
              <w:t>Water and Sewer</w:t>
            </w:r>
          </w:p>
        </w:tc>
      </w:tr>
      <w:tr w14:paraId="48BBA7D5"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C71F4E5" w14:textId="77777777">
            <w:pPr>
              <w:spacing w:after="0" w:line="240" w:lineRule="auto"/>
              <w:rPr>
                <w:rFonts w:ascii="Arial" w:eastAsia="Times New Roman" w:hAnsi="Arial" w:cs="Arial"/>
                <w:color w:val="000000"/>
              </w:rPr>
            </w:pPr>
            <w:r w:rsidRPr="00990A47">
              <w:rPr>
                <w:rFonts w:ascii="Arial" w:eastAsia="Times New Roman" w:hAnsi="Arial" w:cs="Arial"/>
                <w:color w:val="000000"/>
              </w:rPr>
              <w:t>Clean Water: Centralized Wastewater Treatment</w:t>
            </w:r>
          </w:p>
        </w:tc>
        <w:tc>
          <w:tcPr>
            <w:tcW w:w="1142" w:type="dxa"/>
            <w:shd w:val="clear" w:color="auto" w:fill="auto"/>
            <w:noWrap/>
            <w:vAlign w:val="bottom"/>
            <w:hideMark/>
          </w:tcPr>
          <w:p w:rsidR="002E293D" w:rsidRPr="00990A47" w:rsidP="002E293D" w14:paraId="6ACCE94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w:t>
            </w:r>
          </w:p>
        </w:tc>
        <w:tc>
          <w:tcPr>
            <w:tcW w:w="1239" w:type="dxa"/>
            <w:shd w:val="clear" w:color="auto" w:fill="auto"/>
            <w:noWrap/>
            <w:vAlign w:val="bottom"/>
            <w:hideMark/>
          </w:tcPr>
          <w:p w:rsidR="002E293D" w:rsidRPr="00990A47" w:rsidP="002E293D" w14:paraId="521D4A63"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w:t>
            </w:r>
          </w:p>
        </w:tc>
      </w:tr>
      <w:tr w14:paraId="0697905E"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222777C" w14:textId="77777777">
            <w:pPr>
              <w:spacing w:after="0" w:line="240" w:lineRule="auto"/>
              <w:rPr>
                <w:rFonts w:ascii="Arial" w:eastAsia="Times New Roman" w:hAnsi="Arial" w:cs="Arial"/>
                <w:color w:val="000000"/>
              </w:rPr>
            </w:pPr>
            <w:r w:rsidRPr="00990A47">
              <w:rPr>
                <w:rFonts w:ascii="Arial" w:eastAsia="Times New Roman" w:hAnsi="Arial" w:cs="Arial"/>
                <w:color w:val="000000"/>
              </w:rPr>
              <w:t>Clean Water: Centralized Wastewater Collection and Conveyance</w:t>
            </w:r>
          </w:p>
        </w:tc>
        <w:tc>
          <w:tcPr>
            <w:tcW w:w="1142" w:type="dxa"/>
            <w:shd w:val="clear" w:color="auto" w:fill="auto"/>
            <w:noWrap/>
            <w:vAlign w:val="bottom"/>
            <w:hideMark/>
          </w:tcPr>
          <w:p w:rsidR="002E293D" w:rsidRPr="00990A47" w:rsidP="002E293D" w14:paraId="5F4EB97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w:t>
            </w:r>
          </w:p>
        </w:tc>
        <w:tc>
          <w:tcPr>
            <w:tcW w:w="1239" w:type="dxa"/>
            <w:shd w:val="clear" w:color="auto" w:fill="auto"/>
            <w:noWrap/>
            <w:vAlign w:val="bottom"/>
            <w:hideMark/>
          </w:tcPr>
          <w:p w:rsidR="002E293D" w:rsidRPr="00990A47" w:rsidP="002E293D" w14:paraId="6A2E203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w:t>
            </w:r>
          </w:p>
        </w:tc>
      </w:tr>
      <w:tr w14:paraId="0C580F7D"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F8A0F35" w14:textId="77777777">
            <w:pPr>
              <w:spacing w:after="0" w:line="240" w:lineRule="auto"/>
              <w:rPr>
                <w:rFonts w:ascii="Arial" w:eastAsia="Times New Roman" w:hAnsi="Arial" w:cs="Arial"/>
                <w:color w:val="000000"/>
              </w:rPr>
            </w:pPr>
            <w:r w:rsidRPr="00990A47">
              <w:rPr>
                <w:rFonts w:ascii="Arial" w:eastAsia="Times New Roman" w:hAnsi="Arial" w:cs="Arial"/>
                <w:color w:val="000000"/>
              </w:rPr>
              <w:t>Clean Water: Decentralized Wastewater</w:t>
            </w:r>
          </w:p>
        </w:tc>
        <w:tc>
          <w:tcPr>
            <w:tcW w:w="1142" w:type="dxa"/>
            <w:shd w:val="clear" w:color="auto" w:fill="auto"/>
            <w:noWrap/>
            <w:vAlign w:val="bottom"/>
            <w:hideMark/>
          </w:tcPr>
          <w:p w:rsidR="002E293D" w:rsidRPr="00990A47" w:rsidP="002E293D" w14:paraId="6E7652C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5.3</w:t>
            </w:r>
          </w:p>
        </w:tc>
        <w:tc>
          <w:tcPr>
            <w:tcW w:w="1239" w:type="dxa"/>
            <w:shd w:val="clear" w:color="auto" w:fill="auto"/>
            <w:noWrap/>
            <w:vAlign w:val="bottom"/>
            <w:hideMark/>
          </w:tcPr>
          <w:p w:rsidR="002E293D" w:rsidRPr="00990A47" w:rsidP="002E293D" w14:paraId="4C524CC5"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5.3</w:t>
            </w:r>
          </w:p>
        </w:tc>
      </w:tr>
      <w:tr w14:paraId="6BB0DD7E"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2956F3CC" w14:textId="77777777">
            <w:pPr>
              <w:spacing w:after="0" w:line="240" w:lineRule="auto"/>
              <w:rPr>
                <w:rFonts w:ascii="Arial" w:eastAsia="Times New Roman" w:hAnsi="Arial" w:cs="Arial"/>
              </w:rPr>
            </w:pPr>
            <w:r w:rsidRPr="00990A47">
              <w:rPr>
                <w:rFonts w:ascii="Arial" w:eastAsia="Times New Roman" w:hAnsi="Arial" w:cs="Arial"/>
              </w:rPr>
              <w:t>Clean Water: Combined Sewer Overflows</w:t>
            </w:r>
          </w:p>
        </w:tc>
        <w:tc>
          <w:tcPr>
            <w:tcW w:w="1142" w:type="dxa"/>
            <w:shd w:val="clear" w:color="auto" w:fill="auto"/>
            <w:noWrap/>
            <w:vAlign w:val="bottom"/>
            <w:hideMark/>
          </w:tcPr>
          <w:p w:rsidR="002E293D" w:rsidRPr="00990A47" w:rsidP="002E293D" w14:paraId="07D3943B" w14:textId="77777777">
            <w:pPr>
              <w:spacing w:after="0" w:line="240" w:lineRule="auto"/>
              <w:jc w:val="center"/>
              <w:rPr>
                <w:rFonts w:ascii="Arial" w:eastAsia="Times New Roman" w:hAnsi="Arial" w:cs="Arial"/>
              </w:rPr>
            </w:pPr>
            <w:r w:rsidRPr="00990A47">
              <w:rPr>
                <w:rFonts w:ascii="Arial" w:eastAsia="Times New Roman" w:hAnsi="Arial" w:cs="Arial"/>
              </w:rPr>
              <w:t>5.4</w:t>
            </w:r>
          </w:p>
        </w:tc>
        <w:tc>
          <w:tcPr>
            <w:tcW w:w="1239" w:type="dxa"/>
            <w:shd w:val="clear" w:color="auto" w:fill="auto"/>
            <w:noWrap/>
            <w:vAlign w:val="bottom"/>
            <w:hideMark/>
          </w:tcPr>
          <w:p w:rsidR="002E293D" w:rsidRPr="00990A47" w:rsidP="002E293D" w14:paraId="5AEA5AF9" w14:textId="77777777">
            <w:pPr>
              <w:spacing w:after="0" w:line="240" w:lineRule="auto"/>
              <w:jc w:val="center"/>
              <w:rPr>
                <w:rFonts w:ascii="Arial" w:eastAsia="Times New Roman" w:hAnsi="Arial" w:cs="Arial"/>
              </w:rPr>
            </w:pPr>
            <w:r w:rsidRPr="00990A47">
              <w:rPr>
                <w:rFonts w:ascii="Arial" w:eastAsia="Times New Roman" w:hAnsi="Arial" w:cs="Arial"/>
              </w:rPr>
              <w:t>5.4</w:t>
            </w:r>
          </w:p>
        </w:tc>
      </w:tr>
      <w:tr w14:paraId="4A77E64D"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B2E1F35" w14:textId="77777777">
            <w:pPr>
              <w:spacing w:after="0" w:line="240" w:lineRule="auto"/>
              <w:rPr>
                <w:rFonts w:ascii="Arial" w:eastAsia="Times New Roman" w:hAnsi="Arial" w:cs="Arial"/>
              </w:rPr>
            </w:pPr>
            <w:r w:rsidRPr="00990A47">
              <w:rPr>
                <w:rFonts w:ascii="Arial" w:eastAsia="Times New Roman" w:hAnsi="Arial" w:cs="Arial"/>
              </w:rPr>
              <w:t>Clean Water: Other Sewer Infrastructure</w:t>
            </w:r>
          </w:p>
        </w:tc>
        <w:tc>
          <w:tcPr>
            <w:tcW w:w="1142" w:type="dxa"/>
            <w:shd w:val="clear" w:color="auto" w:fill="auto"/>
            <w:noWrap/>
            <w:vAlign w:val="bottom"/>
            <w:hideMark/>
          </w:tcPr>
          <w:p w:rsidR="002E293D" w:rsidRPr="00990A47" w:rsidP="002E293D" w14:paraId="33703EF3" w14:textId="77777777">
            <w:pPr>
              <w:spacing w:after="0" w:line="240" w:lineRule="auto"/>
              <w:jc w:val="center"/>
              <w:rPr>
                <w:rFonts w:ascii="Arial" w:eastAsia="Times New Roman" w:hAnsi="Arial" w:cs="Arial"/>
              </w:rPr>
            </w:pPr>
            <w:r w:rsidRPr="00990A47">
              <w:rPr>
                <w:rFonts w:ascii="Arial" w:eastAsia="Times New Roman" w:hAnsi="Arial" w:cs="Arial"/>
              </w:rPr>
              <w:t>5.5</w:t>
            </w:r>
          </w:p>
        </w:tc>
        <w:tc>
          <w:tcPr>
            <w:tcW w:w="1239" w:type="dxa"/>
            <w:shd w:val="clear" w:color="auto" w:fill="auto"/>
            <w:noWrap/>
            <w:vAlign w:val="bottom"/>
            <w:hideMark/>
          </w:tcPr>
          <w:p w:rsidR="002E293D" w:rsidRPr="00990A47" w:rsidP="002E293D" w14:paraId="742BAC24" w14:textId="77777777">
            <w:pPr>
              <w:spacing w:after="0" w:line="240" w:lineRule="auto"/>
              <w:jc w:val="center"/>
              <w:rPr>
                <w:rFonts w:ascii="Arial" w:eastAsia="Times New Roman" w:hAnsi="Arial" w:cs="Arial"/>
              </w:rPr>
            </w:pPr>
            <w:r w:rsidRPr="00990A47">
              <w:rPr>
                <w:rFonts w:ascii="Arial" w:eastAsia="Times New Roman" w:hAnsi="Arial" w:cs="Arial"/>
              </w:rPr>
              <w:t>5.5</w:t>
            </w:r>
          </w:p>
        </w:tc>
      </w:tr>
      <w:tr w14:paraId="778DF058"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4CAF04F" w14:textId="77777777">
            <w:pPr>
              <w:spacing w:after="0" w:line="240" w:lineRule="auto"/>
              <w:rPr>
                <w:rFonts w:ascii="Arial" w:eastAsia="Times New Roman" w:hAnsi="Arial" w:cs="Arial"/>
              </w:rPr>
            </w:pPr>
            <w:r w:rsidRPr="00990A47">
              <w:rPr>
                <w:rFonts w:ascii="Arial" w:eastAsia="Times New Roman" w:hAnsi="Arial" w:cs="Arial"/>
              </w:rPr>
              <w:t>Clean Water: Stormwater</w:t>
            </w:r>
          </w:p>
        </w:tc>
        <w:tc>
          <w:tcPr>
            <w:tcW w:w="1142" w:type="dxa"/>
            <w:shd w:val="clear" w:color="auto" w:fill="auto"/>
            <w:noWrap/>
            <w:vAlign w:val="bottom"/>
            <w:hideMark/>
          </w:tcPr>
          <w:p w:rsidR="002E293D" w:rsidRPr="00990A47" w:rsidP="002E293D" w14:paraId="28720CD3" w14:textId="77777777">
            <w:pPr>
              <w:spacing w:after="0" w:line="240" w:lineRule="auto"/>
              <w:jc w:val="center"/>
              <w:rPr>
                <w:rFonts w:ascii="Arial" w:eastAsia="Times New Roman" w:hAnsi="Arial" w:cs="Arial"/>
              </w:rPr>
            </w:pPr>
            <w:r w:rsidRPr="00990A47">
              <w:rPr>
                <w:rFonts w:ascii="Arial" w:eastAsia="Times New Roman" w:hAnsi="Arial" w:cs="Arial"/>
              </w:rPr>
              <w:t>5.6</w:t>
            </w:r>
          </w:p>
        </w:tc>
        <w:tc>
          <w:tcPr>
            <w:tcW w:w="1239" w:type="dxa"/>
            <w:shd w:val="clear" w:color="auto" w:fill="auto"/>
            <w:noWrap/>
            <w:vAlign w:val="bottom"/>
            <w:hideMark/>
          </w:tcPr>
          <w:p w:rsidR="002E293D" w:rsidRPr="00990A47" w:rsidP="002E293D" w14:paraId="3A62B386" w14:textId="77777777">
            <w:pPr>
              <w:spacing w:after="0" w:line="240" w:lineRule="auto"/>
              <w:jc w:val="center"/>
              <w:rPr>
                <w:rFonts w:ascii="Arial" w:eastAsia="Times New Roman" w:hAnsi="Arial" w:cs="Arial"/>
              </w:rPr>
            </w:pPr>
            <w:r w:rsidRPr="00990A47">
              <w:rPr>
                <w:rFonts w:ascii="Arial" w:eastAsia="Times New Roman" w:hAnsi="Arial" w:cs="Arial"/>
              </w:rPr>
              <w:t>5.6</w:t>
            </w:r>
          </w:p>
        </w:tc>
      </w:tr>
      <w:tr w14:paraId="690EA0B5"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1B4A69EA" w14:textId="77777777">
            <w:pPr>
              <w:spacing w:after="0" w:line="240" w:lineRule="auto"/>
              <w:rPr>
                <w:rFonts w:ascii="Arial" w:eastAsia="Times New Roman" w:hAnsi="Arial" w:cs="Arial"/>
              </w:rPr>
            </w:pPr>
            <w:r w:rsidRPr="00990A47">
              <w:rPr>
                <w:rFonts w:ascii="Arial" w:eastAsia="Times New Roman" w:hAnsi="Arial" w:cs="Arial"/>
              </w:rPr>
              <w:t>Clean Water: Energy Conservation</w:t>
            </w:r>
          </w:p>
        </w:tc>
        <w:tc>
          <w:tcPr>
            <w:tcW w:w="1142" w:type="dxa"/>
            <w:shd w:val="clear" w:color="auto" w:fill="auto"/>
            <w:noWrap/>
            <w:vAlign w:val="bottom"/>
            <w:hideMark/>
          </w:tcPr>
          <w:p w:rsidR="002E293D" w:rsidRPr="00990A47" w:rsidP="002E293D" w14:paraId="10CDF8EC" w14:textId="77777777">
            <w:pPr>
              <w:spacing w:after="0" w:line="240" w:lineRule="auto"/>
              <w:jc w:val="center"/>
              <w:rPr>
                <w:rFonts w:ascii="Arial" w:eastAsia="Times New Roman" w:hAnsi="Arial" w:cs="Arial"/>
              </w:rPr>
            </w:pPr>
            <w:r w:rsidRPr="00990A47">
              <w:rPr>
                <w:rFonts w:ascii="Arial" w:eastAsia="Times New Roman" w:hAnsi="Arial" w:cs="Arial"/>
              </w:rPr>
              <w:t>5.7</w:t>
            </w:r>
          </w:p>
        </w:tc>
        <w:tc>
          <w:tcPr>
            <w:tcW w:w="1239" w:type="dxa"/>
            <w:shd w:val="clear" w:color="auto" w:fill="auto"/>
            <w:noWrap/>
            <w:vAlign w:val="bottom"/>
            <w:hideMark/>
          </w:tcPr>
          <w:p w:rsidR="002E293D" w:rsidRPr="00990A47" w:rsidP="002E293D" w14:paraId="48D33114" w14:textId="77777777">
            <w:pPr>
              <w:spacing w:after="0" w:line="240" w:lineRule="auto"/>
              <w:jc w:val="center"/>
              <w:rPr>
                <w:rFonts w:ascii="Arial" w:eastAsia="Times New Roman" w:hAnsi="Arial" w:cs="Arial"/>
              </w:rPr>
            </w:pPr>
            <w:r w:rsidRPr="00990A47">
              <w:rPr>
                <w:rFonts w:ascii="Arial" w:eastAsia="Times New Roman" w:hAnsi="Arial" w:cs="Arial"/>
              </w:rPr>
              <w:t>5.7</w:t>
            </w:r>
          </w:p>
        </w:tc>
      </w:tr>
      <w:tr w14:paraId="45C5150B"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713834CA" w14:textId="77777777">
            <w:pPr>
              <w:spacing w:after="0" w:line="240" w:lineRule="auto"/>
              <w:rPr>
                <w:rFonts w:ascii="Arial" w:eastAsia="Times New Roman" w:hAnsi="Arial" w:cs="Arial"/>
              </w:rPr>
            </w:pPr>
            <w:r w:rsidRPr="00990A47">
              <w:rPr>
                <w:rFonts w:ascii="Arial" w:eastAsia="Times New Roman" w:hAnsi="Arial" w:cs="Arial"/>
              </w:rPr>
              <w:t>Clean Water: Water Conservation</w:t>
            </w:r>
          </w:p>
        </w:tc>
        <w:tc>
          <w:tcPr>
            <w:tcW w:w="1142" w:type="dxa"/>
            <w:shd w:val="clear" w:color="auto" w:fill="auto"/>
            <w:noWrap/>
            <w:vAlign w:val="bottom"/>
            <w:hideMark/>
          </w:tcPr>
          <w:p w:rsidR="002E293D" w:rsidRPr="00990A47" w:rsidP="002E293D" w14:paraId="144E1EF3" w14:textId="77777777">
            <w:pPr>
              <w:spacing w:after="0" w:line="240" w:lineRule="auto"/>
              <w:jc w:val="center"/>
              <w:rPr>
                <w:rFonts w:ascii="Arial" w:eastAsia="Times New Roman" w:hAnsi="Arial" w:cs="Arial"/>
              </w:rPr>
            </w:pPr>
            <w:r w:rsidRPr="00990A47">
              <w:rPr>
                <w:rFonts w:ascii="Arial" w:eastAsia="Times New Roman" w:hAnsi="Arial" w:cs="Arial"/>
              </w:rPr>
              <w:t>5.8</w:t>
            </w:r>
          </w:p>
        </w:tc>
        <w:tc>
          <w:tcPr>
            <w:tcW w:w="1239" w:type="dxa"/>
            <w:shd w:val="clear" w:color="auto" w:fill="auto"/>
            <w:noWrap/>
            <w:vAlign w:val="bottom"/>
            <w:hideMark/>
          </w:tcPr>
          <w:p w:rsidR="002E293D" w:rsidRPr="00990A47" w:rsidP="002E293D" w14:paraId="1406039B" w14:textId="77777777">
            <w:pPr>
              <w:spacing w:after="0" w:line="240" w:lineRule="auto"/>
              <w:jc w:val="center"/>
              <w:rPr>
                <w:rFonts w:ascii="Arial" w:eastAsia="Times New Roman" w:hAnsi="Arial" w:cs="Arial"/>
              </w:rPr>
            </w:pPr>
            <w:r w:rsidRPr="00990A47">
              <w:rPr>
                <w:rFonts w:ascii="Arial" w:eastAsia="Times New Roman" w:hAnsi="Arial" w:cs="Arial"/>
              </w:rPr>
              <w:t>5.8</w:t>
            </w:r>
          </w:p>
        </w:tc>
      </w:tr>
      <w:tr w14:paraId="4F10A4DE"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34C528A1" w14:textId="77777777">
            <w:pPr>
              <w:spacing w:after="0" w:line="240" w:lineRule="auto"/>
              <w:rPr>
                <w:rFonts w:ascii="Arial" w:eastAsia="Times New Roman" w:hAnsi="Arial" w:cs="Arial"/>
              </w:rPr>
            </w:pPr>
            <w:r w:rsidRPr="00990A47">
              <w:rPr>
                <w:rFonts w:ascii="Arial" w:eastAsia="Times New Roman" w:hAnsi="Arial" w:cs="Arial"/>
              </w:rPr>
              <w:t>Clean Water: Nonpoint Source</w:t>
            </w:r>
          </w:p>
        </w:tc>
        <w:tc>
          <w:tcPr>
            <w:tcW w:w="1142" w:type="dxa"/>
            <w:shd w:val="clear" w:color="auto" w:fill="auto"/>
            <w:noWrap/>
            <w:vAlign w:val="bottom"/>
            <w:hideMark/>
          </w:tcPr>
          <w:p w:rsidR="002E293D" w:rsidRPr="00990A47" w:rsidP="002E293D" w14:paraId="0AB475F8" w14:textId="77777777">
            <w:pPr>
              <w:spacing w:after="0" w:line="240" w:lineRule="auto"/>
              <w:jc w:val="center"/>
              <w:rPr>
                <w:rFonts w:ascii="Arial" w:eastAsia="Times New Roman" w:hAnsi="Arial" w:cs="Arial"/>
              </w:rPr>
            </w:pPr>
            <w:r w:rsidRPr="00990A47">
              <w:rPr>
                <w:rFonts w:ascii="Arial" w:eastAsia="Times New Roman" w:hAnsi="Arial" w:cs="Arial"/>
              </w:rPr>
              <w:t>5.9</w:t>
            </w:r>
          </w:p>
        </w:tc>
        <w:tc>
          <w:tcPr>
            <w:tcW w:w="1239" w:type="dxa"/>
            <w:shd w:val="clear" w:color="auto" w:fill="auto"/>
            <w:noWrap/>
            <w:vAlign w:val="bottom"/>
            <w:hideMark/>
          </w:tcPr>
          <w:p w:rsidR="002E293D" w:rsidRPr="00990A47" w:rsidP="002E293D" w14:paraId="481E5787" w14:textId="77777777">
            <w:pPr>
              <w:spacing w:after="0" w:line="240" w:lineRule="auto"/>
              <w:jc w:val="center"/>
              <w:rPr>
                <w:rFonts w:ascii="Arial" w:eastAsia="Times New Roman" w:hAnsi="Arial" w:cs="Arial"/>
              </w:rPr>
            </w:pPr>
            <w:r w:rsidRPr="00990A47">
              <w:rPr>
                <w:rFonts w:ascii="Arial" w:eastAsia="Times New Roman" w:hAnsi="Arial" w:cs="Arial"/>
              </w:rPr>
              <w:t>5.9</w:t>
            </w:r>
          </w:p>
        </w:tc>
      </w:tr>
      <w:tr w14:paraId="329C28F7"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4C91B5C9" w14:textId="77777777">
            <w:pPr>
              <w:spacing w:after="0" w:line="240" w:lineRule="auto"/>
              <w:rPr>
                <w:rFonts w:ascii="Arial" w:eastAsia="Times New Roman" w:hAnsi="Arial" w:cs="Arial"/>
              </w:rPr>
            </w:pPr>
            <w:r w:rsidRPr="00990A47">
              <w:rPr>
                <w:rFonts w:ascii="Arial" w:eastAsia="Times New Roman" w:hAnsi="Arial" w:cs="Arial"/>
              </w:rPr>
              <w:t>Drinking water: Treatment</w:t>
            </w:r>
          </w:p>
        </w:tc>
        <w:tc>
          <w:tcPr>
            <w:tcW w:w="1142" w:type="dxa"/>
            <w:shd w:val="clear" w:color="auto" w:fill="auto"/>
            <w:noWrap/>
            <w:vAlign w:val="bottom"/>
            <w:hideMark/>
          </w:tcPr>
          <w:p w:rsidR="002E293D" w:rsidRPr="00990A47" w:rsidP="002E293D" w14:paraId="0CF7B165" w14:textId="77777777">
            <w:pPr>
              <w:spacing w:after="0" w:line="240" w:lineRule="auto"/>
              <w:jc w:val="center"/>
              <w:rPr>
                <w:rFonts w:ascii="Arial" w:eastAsia="Times New Roman" w:hAnsi="Arial" w:cs="Arial"/>
              </w:rPr>
            </w:pPr>
            <w:r w:rsidRPr="00990A47">
              <w:rPr>
                <w:rFonts w:ascii="Arial" w:eastAsia="Times New Roman" w:hAnsi="Arial" w:cs="Arial"/>
              </w:rPr>
              <w:t>5.10</w:t>
            </w:r>
          </w:p>
        </w:tc>
        <w:tc>
          <w:tcPr>
            <w:tcW w:w="1239" w:type="dxa"/>
            <w:shd w:val="clear" w:color="auto" w:fill="auto"/>
            <w:noWrap/>
            <w:vAlign w:val="bottom"/>
            <w:hideMark/>
          </w:tcPr>
          <w:p w:rsidR="002E293D" w:rsidRPr="00990A47" w:rsidP="002E293D" w14:paraId="155D2D36" w14:textId="77777777">
            <w:pPr>
              <w:spacing w:after="0" w:line="240" w:lineRule="auto"/>
              <w:jc w:val="center"/>
              <w:rPr>
                <w:rFonts w:ascii="Arial" w:eastAsia="Times New Roman" w:hAnsi="Arial" w:cs="Arial"/>
              </w:rPr>
            </w:pPr>
            <w:r w:rsidRPr="00990A47">
              <w:rPr>
                <w:rFonts w:ascii="Arial" w:eastAsia="Times New Roman" w:hAnsi="Arial" w:cs="Arial"/>
              </w:rPr>
              <w:t>5.10</w:t>
            </w:r>
          </w:p>
        </w:tc>
      </w:tr>
      <w:tr w14:paraId="422A1D47"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2BDC55FC" w14:textId="77777777">
            <w:pPr>
              <w:spacing w:after="0" w:line="240" w:lineRule="auto"/>
              <w:rPr>
                <w:rFonts w:ascii="Arial" w:eastAsia="Times New Roman" w:hAnsi="Arial" w:cs="Arial"/>
              </w:rPr>
            </w:pPr>
            <w:r w:rsidRPr="00990A47">
              <w:rPr>
                <w:rFonts w:ascii="Arial" w:eastAsia="Times New Roman" w:hAnsi="Arial" w:cs="Arial"/>
              </w:rPr>
              <w:t>Drinking water: Transmission &amp; Distribution</w:t>
            </w:r>
          </w:p>
        </w:tc>
        <w:tc>
          <w:tcPr>
            <w:tcW w:w="1142" w:type="dxa"/>
            <w:shd w:val="clear" w:color="auto" w:fill="auto"/>
            <w:noWrap/>
            <w:vAlign w:val="bottom"/>
            <w:hideMark/>
          </w:tcPr>
          <w:p w:rsidR="002E293D" w:rsidRPr="00990A47" w:rsidP="002E293D" w14:paraId="3EDB7E9C" w14:textId="77777777">
            <w:pPr>
              <w:spacing w:after="0" w:line="240" w:lineRule="auto"/>
              <w:jc w:val="center"/>
              <w:rPr>
                <w:rFonts w:ascii="Arial" w:eastAsia="Times New Roman" w:hAnsi="Arial" w:cs="Arial"/>
              </w:rPr>
            </w:pPr>
            <w:r w:rsidRPr="00990A47">
              <w:rPr>
                <w:rFonts w:ascii="Arial" w:eastAsia="Times New Roman" w:hAnsi="Arial" w:cs="Arial"/>
              </w:rPr>
              <w:t>5.11</w:t>
            </w:r>
          </w:p>
        </w:tc>
        <w:tc>
          <w:tcPr>
            <w:tcW w:w="1239" w:type="dxa"/>
            <w:shd w:val="clear" w:color="auto" w:fill="auto"/>
            <w:noWrap/>
            <w:vAlign w:val="bottom"/>
            <w:hideMark/>
          </w:tcPr>
          <w:p w:rsidR="002E293D" w:rsidRPr="00990A47" w:rsidP="002E293D" w14:paraId="05950D41" w14:textId="77777777">
            <w:pPr>
              <w:spacing w:after="0" w:line="240" w:lineRule="auto"/>
              <w:jc w:val="center"/>
              <w:rPr>
                <w:rFonts w:ascii="Arial" w:eastAsia="Times New Roman" w:hAnsi="Arial" w:cs="Arial"/>
              </w:rPr>
            </w:pPr>
            <w:r w:rsidRPr="00990A47">
              <w:rPr>
                <w:rFonts w:ascii="Arial" w:eastAsia="Times New Roman" w:hAnsi="Arial" w:cs="Arial"/>
              </w:rPr>
              <w:t>5.11</w:t>
            </w:r>
          </w:p>
        </w:tc>
      </w:tr>
      <w:tr w14:paraId="24A01061"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4B1FC24" w14:textId="4C4F51F3">
            <w:pPr>
              <w:spacing w:after="0" w:line="240" w:lineRule="auto"/>
              <w:rPr>
                <w:rFonts w:ascii="Arial" w:eastAsia="Times New Roman" w:hAnsi="Arial" w:cs="Arial"/>
              </w:rPr>
            </w:pPr>
            <w:r w:rsidRPr="00990A47">
              <w:rPr>
                <w:rFonts w:ascii="Arial" w:eastAsia="Times New Roman" w:hAnsi="Arial" w:cs="Arial"/>
              </w:rPr>
              <w:t>Drinking water: Lead Remediation</w:t>
            </w:r>
            <w:r>
              <w:rPr>
                <w:rFonts w:ascii="Arial" w:eastAsia="Times New Roman" w:hAnsi="Arial" w:cs="Arial"/>
              </w:rPr>
              <w:t>, including in Schools and Daycares</w:t>
            </w:r>
          </w:p>
        </w:tc>
        <w:tc>
          <w:tcPr>
            <w:tcW w:w="1142" w:type="dxa"/>
            <w:shd w:val="clear" w:color="auto" w:fill="auto"/>
            <w:noWrap/>
            <w:vAlign w:val="bottom"/>
            <w:hideMark/>
          </w:tcPr>
          <w:p w:rsidR="002E293D" w:rsidRPr="00990A47" w:rsidP="002E293D" w14:paraId="1B22D8A2" w14:textId="77777777">
            <w:pPr>
              <w:spacing w:after="0" w:line="240" w:lineRule="auto"/>
              <w:jc w:val="center"/>
              <w:rPr>
                <w:rFonts w:ascii="Arial" w:eastAsia="Times New Roman" w:hAnsi="Arial" w:cs="Arial"/>
              </w:rPr>
            </w:pPr>
            <w:r w:rsidRPr="00990A47">
              <w:rPr>
                <w:rFonts w:ascii="Arial" w:eastAsia="Times New Roman" w:hAnsi="Arial" w:cs="Arial"/>
              </w:rPr>
              <w:t>5.12</w:t>
            </w:r>
          </w:p>
        </w:tc>
        <w:tc>
          <w:tcPr>
            <w:tcW w:w="1239" w:type="dxa"/>
            <w:shd w:val="clear" w:color="auto" w:fill="auto"/>
            <w:noWrap/>
            <w:vAlign w:val="bottom"/>
            <w:hideMark/>
          </w:tcPr>
          <w:p w:rsidR="002E293D" w:rsidRPr="00990A47" w:rsidP="002E293D" w14:paraId="22DD7361" w14:textId="77777777">
            <w:pPr>
              <w:spacing w:after="0" w:line="240" w:lineRule="auto"/>
              <w:jc w:val="center"/>
              <w:rPr>
                <w:rFonts w:ascii="Arial" w:eastAsia="Times New Roman" w:hAnsi="Arial" w:cs="Arial"/>
              </w:rPr>
            </w:pPr>
            <w:r w:rsidRPr="00990A47">
              <w:rPr>
                <w:rFonts w:ascii="Arial" w:eastAsia="Times New Roman" w:hAnsi="Arial" w:cs="Arial"/>
              </w:rPr>
              <w:t>5.12</w:t>
            </w:r>
          </w:p>
        </w:tc>
      </w:tr>
      <w:tr w14:paraId="43042576"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2BA11F4C" w14:textId="77777777">
            <w:pPr>
              <w:spacing w:after="0" w:line="240" w:lineRule="auto"/>
              <w:rPr>
                <w:rFonts w:ascii="Arial" w:eastAsia="Times New Roman" w:hAnsi="Arial" w:cs="Arial"/>
              </w:rPr>
            </w:pPr>
            <w:r w:rsidRPr="00990A47">
              <w:rPr>
                <w:rFonts w:ascii="Arial" w:eastAsia="Times New Roman" w:hAnsi="Arial" w:cs="Arial"/>
              </w:rPr>
              <w:t>Drinking water: Source</w:t>
            </w:r>
          </w:p>
        </w:tc>
        <w:tc>
          <w:tcPr>
            <w:tcW w:w="1142" w:type="dxa"/>
            <w:shd w:val="clear" w:color="auto" w:fill="auto"/>
            <w:noWrap/>
            <w:vAlign w:val="bottom"/>
            <w:hideMark/>
          </w:tcPr>
          <w:p w:rsidR="002E293D" w:rsidRPr="00990A47" w:rsidP="002E293D" w14:paraId="5F3A7A14" w14:textId="77777777">
            <w:pPr>
              <w:spacing w:after="0" w:line="240" w:lineRule="auto"/>
              <w:jc w:val="center"/>
              <w:rPr>
                <w:rFonts w:ascii="Arial" w:eastAsia="Times New Roman" w:hAnsi="Arial" w:cs="Arial"/>
              </w:rPr>
            </w:pPr>
            <w:r w:rsidRPr="00990A47">
              <w:rPr>
                <w:rFonts w:ascii="Arial" w:eastAsia="Times New Roman" w:hAnsi="Arial" w:cs="Arial"/>
              </w:rPr>
              <w:t>5.13</w:t>
            </w:r>
          </w:p>
        </w:tc>
        <w:tc>
          <w:tcPr>
            <w:tcW w:w="1239" w:type="dxa"/>
            <w:shd w:val="clear" w:color="auto" w:fill="auto"/>
            <w:noWrap/>
            <w:vAlign w:val="bottom"/>
            <w:hideMark/>
          </w:tcPr>
          <w:p w:rsidR="002E293D" w:rsidRPr="00990A47" w:rsidP="002E293D" w14:paraId="616A3871" w14:textId="77777777">
            <w:pPr>
              <w:spacing w:after="0" w:line="240" w:lineRule="auto"/>
              <w:jc w:val="center"/>
              <w:rPr>
                <w:rFonts w:ascii="Arial" w:eastAsia="Times New Roman" w:hAnsi="Arial" w:cs="Arial"/>
              </w:rPr>
            </w:pPr>
            <w:r w:rsidRPr="00990A47">
              <w:rPr>
                <w:rFonts w:ascii="Arial" w:eastAsia="Times New Roman" w:hAnsi="Arial" w:cs="Arial"/>
              </w:rPr>
              <w:t>5.13</w:t>
            </w:r>
          </w:p>
        </w:tc>
      </w:tr>
      <w:tr w14:paraId="02C2365A"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111DF49D" w14:textId="77777777">
            <w:pPr>
              <w:spacing w:after="0" w:line="240" w:lineRule="auto"/>
              <w:rPr>
                <w:rFonts w:ascii="Arial" w:eastAsia="Times New Roman" w:hAnsi="Arial" w:cs="Arial"/>
              </w:rPr>
            </w:pPr>
            <w:r w:rsidRPr="00990A47">
              <w:rPr>
                <w:rFonts w:ascii="Arial" w:eastAsia="Times New Roman" w:hAnsi="Arial" w:cs="Arial"/>
              </w:rPr>
              <w:t>Drinking water: Storage</w:t>
            </w:r>
          </w:p>
        </w:tc>
        <w:tc>
          <w:tcPr>
            <w:tcW w:w="1142" w:type="dxa"/>
            <w:shd w:val="clear" w:color="auto" w:fill="auto"/>
            <w:noWrap/>
            <w:vAlign w:val="bottom"/>
            <w:hideMark/>
          </w:tcPr>
          <w:p w:rsidR="002E293D" w:rsidRPr="00990A47" w:rsidP="002E293D" w14:paraId="453DEF38" w14:textId="77777777">
            <w:pPr>
              <w:spacing w:after="0" w:line="240" w:lineRule="auto"/>
              <w:jc w:val="center"/>
              <w:rPr>
                <w:rFonts w:ascii="Arial" w:eastAsia="Times New Roman" w:hAnsi="Arial" w:cs="Arial"/>
              </w:rPr>
            </w:pPr>
            <w:r w:rsidRPr="00990A47">
              <w:rPr>
                <w:rFonts w:ascii="Arial" w:eastAsia="Times New Roman" w:hAnsi="Arial" w:cs="Arial"/>
              </w:rPr>
              <w:t>5.14</w:t>
            </w:r>
          </w:p>
        </w:tc>
        <w:tc>
          <w:tcPr>
            <w:tcW w:w="1239" w:type="dxa"/>
            <w:shd w:val="clear" w:color="auto" w:fill="auto"/>
            <w:noWrap/>
            <w:vAlign w:val="bottom"/>
            <w:hideMark/>
          </w:tcPr>
          <w:p w:rsidR="002E293D" w:rsidRPr="00990A47" w:rsidP="002E293D" w14:paraId="740F1C6B" w14:textId="77777777">
            <w:pPr>
              <w:spacing w:after="0" w:line="240" w:lineRule="auto"/>
              <w:jc w:val="center"/>
              <w:rPr>
                <w:rFonts w:ascii="Arial" w:eastAsia="Times New Roman" w:hAnsi="Arial" w:cs="Arial"/>
              </w:rPr>
            </w:pPr>
            <w:r w:rsidRPr="00990A47">
              <w:rPr>
                <w:rFonts w:ascii="Arial" w:eastAsia="Times New Roman" w:hAnsi="Arial" w:cs="Arial"/>
              </w:rPr>
              <w:t>5.14</w:t>
            </w:r>
          </w:p>
        </w:tc>
      </w:tr>
      <w:tr w14:paraId="6C3FEDA6"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6FABC960" w14:textId="77777777">
            <w:pPr>
              <w:spacing w:after="0" w:line="240" w:lineRule="auto"/>
              <w:rPr>
                <w:rFonts w:ascii="Arial" w:eastAsia="Times New Roman" w:hAnsi="Arial" w:cs="Arial"/>
                <w:color w:val="000000"/>
              </w:rPr>
            </w:pPr>
            <w:r w:rsidRPr="00990A47">
              <w:rPr>
                <w:rFonts w:ascii="Arial" w:eastAsia="Times New Roman" w:hAnsi="Arial" w:cs="Arial"/>
                <w:color w:val="000000"/>
              </w:rPr>
              <w:t>Drinking water: Other water infrastructure</w:t>
            </w:r>
          </w:p>
        </w:tc>
        <w:tc>
          <w:tcPr>
            <w:tcW w:w="1142" w:type="dxa"/>
            <w:shd w:val="clear" w:color="auto" w:fill="auto"/>
            <w:noWrap/>
            <w:vAlign w:val="bottom"/>
            <w:hideMark/>
          </w:tcPr>
          <w:p w:rsidR="002E293D" w:rsidRPr="00990A47" w:rsidP="002E293D" w14:paraId="2C5947F0"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5.15</w:t>
            </w:r>
          </w:p>
        </w:tc>
        <w:tc>
          <w:tcPr>
            <w:tcW w:w="1239" w:type="dxa"/>
            <w:shd w:val="clear" w:color="auto" w:fill="auto"/>
            <w:noWrap/>
            <w:vAlign w:val="bottom"/>
            <w:hideMark/>
          </w:tcPr>
          <w:p w:rsidR="002E293D" w:rsidRPr="00990A47" w:rsidP="002E293D" w14:paraId="7829877E"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5.15</w:t>
            </w:r>
          </w:p>
        </w:tc>
      </w:tr>
      <w:tr w14:paraId="6F0E38E1"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2E293D" w:rsidRPr="00990A47" w:rsidP="002E293D" w14:paraId="6B8CE353" w14:textId="77777777">
            <w:pPr>
              <w:spacing w:after="0" w:line="240" w:lineRule="auto"/>
              <w:rPr>
                <w:rFonts w:ascii="Arial" w:eastAsia="Times New Roman" w:hAnsi="Arial" w:cs="Arial"/>
                <w:color w:val="000000"/>
              </w:rPr>
            </w:pPr>
            <w:r w:rsidRPr="00990A47">
              <w:rPr>
                <w:rFonts w:ascii="Arial" w:eastAsia="Times New Roman" w:hAnsi="Arial" w:cs="Arial"/>
                <w:color w:val="000000"/>
              </w:rPr>
              <w:t>Water and Sewer: Private Wells</w:t>
            </w:r>
          </w:p>
        </w:tc>
        <w:tc>
          <w:tcPr>
            <w:tcW w:w="1142" w:type="dxa"/>
            <w:shd w:val="clear" w:color="auto" w:fill="auto"/>
            <w:noWrap/>
            <w:vAlign w:val="bottom"/>
            <w:hideMark/>
          </w:tcPr>
          <w:p w:rsidR="002E293D" w:rsidRPr="00990A47" w:rsidP="002E293D" w14:paraId="16F9E84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5.16</w:t>
            </w:r>
          </w:p>
        </w:tc>
        <w:tc>
          <w:tcPr>
            <w:tcW w:w="1239" w:type="dxa"/>
            <w:shd w:val="clear" w:color="auto" w:fill="auto"/>
            <w:noWrap/>
            <w:vAlign w:val="bottom"/>
            <w:hideMark/>
          </w:tcPr>
          <w:p w:rsidR="002E293D" w:rsidRPr="00990A47" w:rsidP="002E293D" w14:paraId="0C4FDE4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28213EC9"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2E293D" w:rsidRPr="00990A47" w:rsidP="002E293D" w14:paraId="0FA904B4"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Water and Sewer: IIJA Bureau of Reclamation Match </w:t>
            </w:r>
          </w:p>
        </w:tc>
        <w:tc>
          <w:tcPr>
            <w:tcW w:w="1142" w:type="dxa"/>
            <w:shd w:val="clear" w:color="auto" w:fill="auto"/>
            <w:noWrap/>
            <w:vAlign w:val="bottom"/>
            <w:hideMark/>
          </w:tcPr>
          <w:p w:rsidR="002E293D" w:rsidRPr="00990A47" w:rsidP="002E293D" w14:paraId="622635B2"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5.17</w:t>
            </w:r>
          </w:p>
        </w:tc>
        <w:tc>
          <w:tcPr>
            <w:tcW w:w="1239" w:type="dxa"/>
            <w:shd w:val="clear" w:color="auto" w:fill="auto"/>
            <w:noWrap/>
            <w:vAlign w:val="bottom"/>
            <w:hideMark/>
          </w:tcPr>
          <w:p w:rsidR="002E293D" w:rsidRPr="00990A47" w:rsidP="002E293D" w14:paraId="6EE6D25D"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36B9911" w14:textId="77777777" w:rsidTr="00306AA8">
        <w:tblPrEx>
          <w:tblW w:w="9706" w:type="dxa"/>
          <w:tblInd w:w="-95" w:type="dxa"/>
          <w:tblLayout w:type="fixed"/>
          <w:tblLook w:val="04A0"/>
        </w:tblPrEx>
        <w:trPr>
          <w:trHeight w:val="260"/>
        </w:trPr>
        <w:tc>
          <w:tcPr>
            <w:tcW w:w="7325" w:type="dxa"/>
            <w:shd w:val="clear" w:color="auto" w:fill="auto"/>
            <w:vAlign w:val="center"/>
            <w:hideMark/>
          </w:tcPr>
          <w:p w:rsidR="002E293D" w:rsidRPr="00990A47" w:rsidP="002E293D" w14:paraId="1E726862" w14:textId="77777777">
            <w:pPr>
              <w:spacing w:after="0" w:line="240" w:lineRule="auto"/>
              <w:rPr>
                <w:rFonts w:ascii="Arial" w:eastAsia="Times New Roman" w:hAnsi="Arial" w:cs="Arial"/>
              </w:rPr>
            </w:pPr>
            <w:r w:rsidRPr="00990A47">
              <w:rPr>
                <w:rFonts w:ascii="Arial" w:eastAsia="Times New Roman" w:hAnsi="Arial" w:cs="Arial"/>
              </w:rPr>
              <w:t xml:space="preserve">Water and Sewer: Other </w:t>
            </w:r>
          </w:p>
        </w:tc>
        <w:tc>
          <w:tcPr>
            <w:tcW w:w="1142" w:type="dxa"/>
            <w:shd w:val="clear" w:color="auto" w:fill="auto"/>
            <w:noWrap/>
            <w:vAlign w:val="bottom"/>
            <w:hideMark/>
          </w:tcPr>
          <w:p w:rsidR="002E293D" w:rsidRPr="00990A47" w:rsidP="002E293D" w14:paraId="261B3665" w14:textId="77777777">
            <w:pPr>
              <w:spacing w:after="0" w:line="240" w:lineRule="auto"/>
              <w:jc w:val="center"/>
              <w:rPr>
                <w:rFonts w:ascii="Arial" w:eastAsia="Times New Roman" w:hAnsi="Arial" w:cs="Arial"/>
              </w:rPr>
            </w:pPr>
            <w:r w:rsidRPr="00990A47">
              <w:rPr>
                <w:rFonts w:ascii="Arial" w:eastAsia="Times New Roman" w:hAnsi="Arial" w:cs="Arial"/>
              </w:rPr>
              <w:t>5.18</w:t>
            </w:r>
          </w:p>
        </w:tc>
        <w:tc>
          <w:tcPr>
            <w:tcW w:w="1239" w:type="dxa"/>
            <w:shd w:val="clear" w:color="auto" w:fill="auto"/>
            <w:noWrap/>
            <w:vAlign w:val="bottom"/>
            <w:hideMark/>
          </w:tcPr>
          <w:p w:rsidR="002E293D" w:rsidRPr="00990A47" w:rsidP="002E293D" w14:paraId="7D027C6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621BD485" w14:textId="77777777" w:rsidTr="00272EB9">
        <w:tblPrEx>
          <w:tblW w:w="9706" w:type="dxa"/>
          <w:tblInd w:w="-95" w:type="dxa"/>
          <w:tblLayout w:type="fixed"/>
          <w:tblLook w:val="04A0"/>
        </w:tblPrEx>
        <w:trPr>
          <w:trHeight w:val="260"/>
        </w:trPr>
        <w:tc>
          <w:tcPr>
            <w:tcW w:w="9706" w:type="dxa"/>
            <w:gridSpan w:val="3"/>
            <w:shd w:val="clear" w:color="auto" w:fill="BFBFBF" w:themeFill="background1" w:themeFillShade="BF"/>
            <w:noWrap/>
            <w:vAlign w:val="center"/>
          </w:tcPr>
          <w:p w:rsidR="00BC5DE7" w:rsidRPr="00990A47" w:rsidP="00BC5DE7" w14:paraId="280EFD65" w14:textId="7A85EFBA">
            <w:pPr>
              <w:spacing w:after="0" w:line="240" w:lineRule="auto"/>
              <w:rPr>
                <w:rFonts w:ascii="Arial" w:eastAsia="Times New Roman" w:hAnsi="Arial" w:cs="Arial"/>
                <w:color w:val="000000"/>
              </w:rPr>
            </w:pPr>
            <w:r w:rsidRPr="00F108FC">
              <w:rPr>
                <w:rFonts w:ascii="Arial" w:eastAsia="Times New Roman" w:hAnsi="Arial" w:cs="Arial"/>
                <w:b/>
                <w:bCs/>
                <w:color w:val="000000"/>
              </w:rPr>
              <w:t>Broadband</w:t>
            </w:r>
          </w:p>
        </w:tc>
      </w:tr>
      <w:tr w14:paraId="46D571F8"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60B4E16F" w14:textId="77777777">
            <w:pPr>
              <w:spacing w:after="0" w:line="240" w:lineRule="auto"/>
              <w:rPr>
                <w:rFonts w:ascii="Arial" w:eastAsia="Times New Roman" w:hAnsi="Arial" w:cs="Arial"/>
                <w:color w:val="000000"/>
              </w:rPr>
            </w:pPr>
            <w:r w:rsidRPr="00990A47">
              <w:rPr>
                <w:rFonts w:ascii="Arial" w:eastAsia="Times New Roman" w:hAnsi="Arial" w:cs="Arial"/>
                <w:color w:val="000000"/>
              </w:rPr>
              <w:t>Broadband: “Last Mile” projects</w:t>
            </w:r>
          </w:p>
        </w:tc>
        <w:tc>
          <w:tcPr>
            <w:tcW w:w="1142" w:type="dxa"/>
            <w:shd w:val="clear" w:color="auto" w:fill="auto"/>
            <w:noWrap/>
            <w:vAlign w:val="bottom"/>
            <w:hideMark/>
          </w:tcPr>
          <w:p w:rsidR="002E293D" w:rsidRPr="00990A47" w:rsidP="002E293D" w14:paraId="1639477A"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5.19</w:t>
            </w:r>
          </w:p>
        </w:tc>
        <w:tc>
          <w:tcPr>
            <w:tcW w:w="1239" w:type="dxa"/>
            <w:shd w:val="clear" w:color="auto" w:fill="auto"/>
            <w:noWrap/>
            <w:vAlign w:val="bottom"/>
            <w:hideMark/>
          </w:tcPr>
          <w:p w:rsidR="002E293D" w:rsidRPr="00990A47" w:rsidP="002E293D" w14:paraId="2E77D93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5.16</w:t>
            </w:r>
          </w:p>
        </w:tc>
      </w:tr>
      <w:tr w14:paraId="55291AD9"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05820027" w14:textId="77777777">
            <w:pPr>
              <w:spacing w:after="0" w:line="240" w:lineRule="auto"/>
              <w:rPr>
                <w:rFonts w:ascii="Arial" w:eastAsia="Times New Roman" w:hAnsi="Arial" w:cs="Arial"/>
                <w:color w:val="000000"/>
              </w:rPr>
            </w:pPr>
            <w:r w:rsidRPr="00990A47">
              <w:rPr>
                <w:rFonts w:ascii="Arial" w:eastAsia="Times New Roman" w:hAnsi="Arial" w:cs="Arial"/>
                <w:color w:val="000000"/>
              </w:rPr>
              <w:t>Broadband: IIJA Match</w:t>
            </w:r>
          </w:p>
        </w:tc>
        <w:tc>
          <w:tcPr>
            <w:tcW w:w="1142" w:type="dxa"/>
            <w:shd w:val="clear" w:color="auto" w:fill="auto"/>
            <w:noWrap/>
            <w:vAlign w:val="bottom"/>
            <w:hideMark/>
          </w:tcPr>
          <w:p w:rsidR="002E293D" w:rsidRPr="00990A47" w:rsidP="002E293D" w14:paraId="674C8F7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5.20</w:t>
            </w:r>
          </w:p>
        </w:tc>
        <w:tc>
          <w:tcPr>
            <w:tcW w:w="1239" w:type="dxa"/>
            <w:shd w:val="clear" w:color="auto" w:fill="auto"/>
            <w:noWrap/>
            <w:vAlign w:val="bottom"/>
            <w:hideMark/>
          </w:tcPr>
          <w:p w:rsidR="002E293D" w:rsidRPr="00990A47" w:rsidP="002E293D" w14:paraId="7F28A40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r>
      <w:tr w14:paraId="019E033E"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24F7D82A"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Broadband: Other projects </w:t>
            </w:r>
          </w:p>
        </w:tc>
        <w:tc>
          <w:tcPr>
            <w:tcW w:w="1142" w:type="dxa"/>
            <w:shd w:val="clear" w:color="auto" w:fill="auto"/>
            <w:noWrap/>
            <w:vAlign w:val="bottom"/>
            <w:hideMark/>
          </w:tcPr>
          <w:p w:rsidR="002E293D" w:rsidRPr="00990A47" w:rsidP="002E293D" w14:paraId="532C9B39"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5.21</w:t>
            </w:r>
          </w:p>
        </w:tc>
        <w:tc>
          <w:tcPr>
            <w:tcW w:w="1239" w:type="dxa"/>
            <w:shd w:val="clear" w:color="auto" w:fill="auto"/>
            <w:noWrap/>
            <w:vAlign w:val="bottom"/>
            <w:hideMark/>
          </w:tcPr>
          <w:p w:rsidR="002E293D" w:rsidRPr="00990A47" w:rsidP="002E293D" w14:paraId="714BBCF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5.17</w:t>
            </w:r>
          </w:p>
        </w:tc>
      </w:tr>
      <w:tr w14:paraId="69F87C6F"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990A47" w:rsidP="00BC5DE7" w14:paraId="262B6618" w14:textId="3D7EA4C0">
            <w:pPr>
              <w:spacing w:after="0" w:line="240" w:lineRule="auto"/>
              <w:rPr>
                <w:rFonts w:ascii="Arial" w:eastAsia="Times New Roman" w:hAnsi="Arial" w:cs="Arial"/>
                <w:color w:val="000000"/>
              </w:rPr>
            </w:pPr>
            <w:r>
              <w:rPr>
                <w:rFonts w:ascii="Arial" w:eastAsia="Times New Roman" w:hAnsi="Arial" w:cs="Arial"/>
                <w:b/>
                <w:bCs/>
                <w:color w:val="000000"/>
              </w:rPr>
              <w:t xml:space="preserve">6: </w:t>
            </w:r>
            <w:r w:rsidRPr="00F108FC">
              <w:rPr>
                <w:rFonts w:ascii="Arial" w:eastAsia="Times New Roman" w:hAnsi="Arial" w:cs="Arial"/>
                <w:b/>
                <w:bCs/>
                <w:color w:val="000000"/>
              </w:rPr>
              <w:t>Revenue Replacement</w:t>
            </w:r>
          </w:p>
        </w:tc>
      </w:tr>
      <w:tr w14:paraId="16AA8446" w14:textId="77777777" w:rsidTr="00306AA8">
        <w:tblPrEx>
          <w:tblW w:w="9706" w:type="dxa"/>
          <w:tblInd w:w="-95" w:type="dxa"/>
          <w:tblLayout w:type="fixed"/>
          <w:tblLook w:val="04A0"/>
        </w:tblPrEx>
        <w:trPr>
          <w:trHeight w:val="260"/>
        </w:trPr>
        <w:tc>
          <w:tcPr>
            <w:tcW w:w="7325" w:type="dxa"/>
            <w:shd w:val="clear" w:color="auto" w:fill="auto"/>
            <w:noWrap/>
            <w:vAlign w:val="center"/>
            <w:hideMark/>
          </w:tcPr>
          <w:p w:rsidR="002E293D" w:rsidRPr="00990A47" w:rsidP="00BC5DE7" w14:paraId="2F0943FE" w14:textId="77777777">
            <w:pPr>
              <w:spacing w:after="0" w:line="240" w:lineRule="auto"/>
              <w:rPr>
                <w:rFonts w:ascii="Arial" w:eastAsia="Times New Roman" w:hAnsi="Arial" w:cs="Arial"/>
                <w:color w:val="000000"/>
              </w:rPr>
            </w:pPr>
            <w:r w:rsidRPr="00990A47">
              <w:rPr>
                <w:rFonts w:ascii="Arial" w:eastAsia="Times New Roman" w:hAnsi="Arial" w:cs="Arial"/>
                <w:color w:val="000000"/>
              </w:rPr>
              <w:t xml:space="preserve">Provision of Government Services </w:t>
            </w:r>
          </w:p>
        </w:tc>
        <w:tc>
          <w:tcPr>
            <w:tcW w:w="1142" w:type="dxa"/>
            <w:shd w:val="clear" w:color="auto" w:fill="auto"/>
            <w:noWrap/>
            <w:vAlign w:val="bottom"/>
            <w:hideMark/>
          </w:tcPr>
          <w:p w:rsidR="002E293D" w:rsidRPr="00990A47" w:rsidP="002E293D" w14:paraId="11822804"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6.1</w:t>
            </w:r>
          </w:p>
        </w:tc>
        <w:tc>
          <w:tcPr>
            <w:tcW w:w="1239" w:type="dxa"/>
            <w:shd w:val="clear" w:color="auto" w:fill="auto"/>
            <w:noWrap/>
            <w:vAlign w:val="bottom"/>
            <w:hideMark/>
          </w:tcPr>
          <w:p w:rsidR="002E293D" w:rsidRPr="00990A47" w:rsidP="002E293D" w14:paraId="4945D288"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6.1</w:t>
            </w:r>
          </w:p>
        </w:tc>
      </w:tr>
      <w:tr w14:paraId="55FE3F82" w14:textId="77777777" w:rsidTr="00306AA8">
        <w:tblPrEx>
          <w:tblW w:w="9706" w:type="dxa"/>
          <w:tblInd w:w="-95" w:type="dxa"/>
          <w:tblLayout w:type="fixed"/>
          <w:tblLook w:val="04A0"/>
        </w:tblPrEx>
        <w:trPr>
          <w:trHeight w:val="260"/>
        </w:trPr>
        <w:tc>
          <w:tcPr>
            <w:tcW w:w="7325" w:type="dxa"/>
            <w:shd w:val="clear" w:color="auto" w:fill="auto"/>
            <w:noWrap/>
            <w:vAlign w:val="center"/>
          </w:tcPr>
          <w:p w:rsidR="004F1216" w:rsidRPr="00990A47" w:rsidP="00BC5DE7" w14:paraId="53506599" w14:textId="5A6C037D">
            <w:pPr>
              <w:spacing w:after="0" w:line="240" w:lineRule="auto"/>
              <w:rPr>
                <w:rFonts w:ascii="Arial" w:eastAsia="Times New Roman" w:hAnsi="Arial" w:cs="Arial"/>
                <w:color w:val="000000"/>
              </w:rPr>
            </w:pPr>
            <w:r>
              <w:t>Non-federal Match for Other Federal Programs</w:t>
            </w:r>
          </w:p>
        </w:tc>
        <w:tc>
          <w:tcPr>
            <w:tcW w:w="1142" w:type="dxa"/>
            <w:shd w:val="clear" w:color="auto" w:fill="auto"/>
            <w:noWrap/>
            <w:vAlign w:val="bottom"/>
          </w:tcPr>
          <w:p w:rsidR="004F1216" w:rsidRPr="00990A47" w:rsidP="002E293D" w14:paraId="4E5688FB" w14:textId="2CD04864">
            <w:pPr>
              <w:spacing w:after="0" w:line="240" w:lineRule="auto"/>
              <w:jc w:val="center"/>
              <w:rPr>
                <w:rFonts w:ascii="Arial" w:eastAsia="Times New Roman" w:hAnsi="Arial" w:cs="Arial"/>
                <w:color w:val="000000"/>
              </w:rPr>
            </w:pPr>
            <w:r>
              <w:rPr>
                <w:rFonts w:ascii="Arial" w:eastAsia="Times New Roman" w:hAnsi="Arial" w:cs="Arial"/>
                <w:color w:val="000000"/>
              </w:rPr>
              <w:t>6.2</w:t>
            </w:r>
          </w:p>
        </w:tc>
        <w:tc>
          <w:tcPr>
            <w:tcW w:w="1239" w:type="dxa"/>
            <w:shd w:val="clear" w:color="auto" w:fill="auto"/>
            <w:noWrap/>
            <w:vAlign w:val="bottom"/>
          </w:tcPr>
          <w:p w:rsidR="004F1216" w:rsidRPr="00990A47" w:rsidP="002E293D" w14:paraId="68D1DC53" w14:textId="4A934DBF">
            <w:pPr>
              <w:spacing w:after="0" w:line="240" w:lineRule="auto"/>
              <w:jc w:val="center"/>
              <w:rPr>
                <w:rFonts w:ascii="Arial" w:eastAsia="Times New Roman" w:hAnsi="Arial" w:cs="Arial"/>
                <w:color w:val="000000"/>
              </w:rPr>
            </w:pPr>
            <w:r>
              <w:rPr>
                <w:rFonts w:ascii="Arial" w:eastAsia="Times New Roman" w:hAnsi="Arial" w:cs="Arial"/>
                <w:color w:val="000000"/>
              </w:rPr>
              <w:t>-</w:t>
            </w:r>
          </w:p>
        </w:tc>
      </w:tr>
      <w:tr w14:paraId="65B59BE7" w14:textId="77777777" w:rsidTr="00272EB9">
        <w:tblPrEx>
          <w:tblW w:w="9706" w:type="dxa"/>
          <w:tblInd w:w="-95" w:type="dxa"/>
          <w:tblLayout w:type="fixed"/>
          <w:tblLook w:val="04A0"/>
        </w:tblPrEx>
        <w:trPr>
          <w:trHeight w:val="260"/>
        </w:trPr>
        <w:tc>
          <w:tcPr>
            <w:tcW w:w="9706" w:type="dxa"/>
            <w:gridSpan w:val="3"/>
            <w:shd w:val="clear" w:color="auto" w:fill="99CCFF"/>
            <w:noWrap/>
            <w:vAlign w:val="center"/>
          </w:tcPr>
          <w:p w:rsidR="00BC5DE7" w:rsidRPr="00990A47" w:rsidP="00BC5DE7" w14:paraId="5D501EAC" w14:textId="3B5AF07E">
            <w:pPr>
              <w:spacing w:after="0" w:line="240" w:lineRule="auto"/>
              <w:rPr>
                <w:rFonts w:ascii="Arial" w:eastAsia="Times New Roman" w:hAnsi="Arial" w:cs="Arial"/>
                <w:color w:val="000000"/>
              </w:rPr>
            </w:pPr>
            <w:r>
              <w:rPr>
                <w:rFonts w:ascii="Arial" w:eastAsia="Times New Roman" w:hAnsi="Arial" w:cs="Arial"/>
                <w:b/>
                <w:bCs/>
                <w:color w:val="000000"/>
              </w:rPr>
              <w:t xml:space="preserve">7: </w:t>
            </w:r>
            <w:r w:rsidRPr="00F108FC">
              <w:rPr>
                <w:rFonts w:ascii="Arial" w:eastAsia="Times New Roman" w:hAnsi="Arial" w:cs="Arial"/>
                <w:b/>
                <w:bCs/>
                <w:color w:val="000000"/>
              </w:rPr>
              <w:t>Administrative</w:t>
            </w:r>
          </w:p>
        </w:tc>
      </w:tr>
      <w:tr w14:paraId="1C6A7964"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1BA7FB32" w14:textId="77777777">
            <w:pPr>
              <w:spacing w:after="0" w:line="240" w:lineRule="auto"/>
              <w:rPr>
                <w:rFonts w:ascii="Arial" w:eastAsia="Times New Roman" w:hAnsi="Arial" w:cs="Arial"/>
                <w:color w:val="000000"/>
              </w:rPr>
            </w:pPr>
            <w:r w:rsidRPr="00990A47">
              <w:rPr>
                <w:rFonts w:ascii="Arial" w:eastAsia="Times New Roman" w:hAnsi="Arial" w:cs="Arial"/>
                <w:color w:val="000000"/>
              </w:rPr>
              <w:t>Administrative Expenses</w:t>
            </w:r>
          </w:p>
        </w:tc>
        <w:tc>
          <w:tcPr>
            <w:tcW w:w="1142" w:type="dxa"/>
            <w:shd w:val="clear" w:color="auto" w:fill="auto"/>
            <w:noWrap/>
            <w:vAlign w:val="bottom"/>
            <w:hideMark/>
          </w:tcPr>
          <w:p w:rsidR="002E293D" w:rsidRPr="00990A47" w:rsidP="002E293D" w14:paraId="165C8056"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7.1</w:t>
            </w:r>
          </w:p>
        </w:tc>
        <w:tc>
          <w:tcPr>
            <w:tcW w:w="1239" w:type="dxa"/>
            <w:shd w:val="clear" w:color="auto" w:fill="auto"/>
            <w:noWrap/>
            <w:vAlign w:val="bottom"/>
            <w:hideMark/>
          </w:tcPr>
          <w:p w:rsidR="002E293D" w:rsidRPr="00990A47" w:rsidP="002E293D" w14:paraId="75B42E8B"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7.1</w:t>
            </w:r>
          </w:p>
        </w:tc>
      </w:tr>
      <w:tr w14:paraId="2DDB3999"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3BBFC493" w14:textId="77777777">
            <w:pPr>
              <w:spacing w:after="0" w:line="240" w:lineRule="auto"/>
              <w:rPr>
                <w:rFonts w:ascii="Arial" w:eastAsia="Times New Roman" w:hAnsi="Arial" w:cs="Arial"/>
                <w:color w:val="000000"/>
              </w:rPr>
            </w:pPr>
            <w:r w:rsidRPr="00990A47">
              <w:rPr>
                <w:rFonts w:ascii="Arial" w:eastAsia="Times New Roman" w:hAnsi="Arial" w:cs="Arial"/>
                <w:color w:val="000000"/>
              </w:rPr>
              <w:t>Transfers to Other Units of Government</w:t>
            </w:r>
          </w:p>
        </w:tc>
        <w:tc>
          <w:tcPr>
            <w:tcW w:w="1142" w:type="dxa"/>
            <w:shd w:val="clear" w:color="auto" w:fill="auto"/>
            <w:noWrap/>
            <w:vAlign w:val="bottom"/>
            <w:hideMark/>
          </w:tcPr>
          <w:p w:rsidR="002E293D" w:rsidRPr="00990A47" w:rsidP="002E293D" w14:paraId="46E50DAC"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7.2</w:t>
            </w:r>
          </w:p>
        </w:tc>
        <w:tc>
          <w:tcPr>
            <w:tcW w:w="1239" w:type="dxa"/>
            <w:shd w:val="clear" w:color="auto" w:fill="auto"/>
            <w:noWrap/>
            <w:vAlign w:val="bottom"/>
            <w:hideMark/>
          </w:tcPr>
          <w:p w:rsidR="002E293D" w:rsidRPr="00990A47" w:rsidP="002E293D" w14:paraId="5C4A6A41"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7.3</w:t>
            </w:r>
          </w:p>
        </w:tc>
      </w:tr>
      <w:tr w14:paraId="5B50BDA5" w14:textId="77777777" w:rsidTr="00306AA8">
        <w:tblPrEx>
          <w:tblW w:w="9706" w:type="dxa"/>
          <w:tblInd w:w="-95" w:type="dxa"/>
          <w:tblLayout w:type="fixed"/>
          <w:tblLook w:val="04A0"/>
        </w:tblPrEx>
        <w:trPr>
          <w:trHeight w:val="260"/>
        </w:trPr>
        <w:tc>
          <w:tcPr>
            <w:tcW w:w="7325" w:type="dxa"/>
            <w:shd w:val="clear" w:color="auto" w:fill="auto"/>
            <w:noWrap/>
            <w:vAlign w:val="bottom"/>
            <w:hideMark/>
          </w:tcPr>
          <w:p w:rsidR="002E293D" w:rsidRPr="00990A47" w:rsidP="002E293D" w14:paraId="4C19D442" w14:textId="77777777">
            <w:pPr>
              <w:spacing w:after="0" w:line="240" w:lineRule="auto"/>
              <w:rPr>
                <w:rFonts w:ascii="Arial" w:eastAsia="Times New Roman" w:hAnsi="Arial" w:cs="Arial"/>
                <w:color w:val="000000"/>
              </w:rPr>
            </w:pPr>
            <w:r w:rsidRPr="00990A47">
              <w:rPr>
                <w:rFonts w:ascii="Arial" w:eastAsia="Times New Roman" w:hAnsi="Arial" w:cs="Arial"/>
                <w:color w:val="000000"/>
              </w:rPr>
              <w:t>Transfers to Non-entitlement Units (States and territories only)</w:t>
            </w:r>
          </w:p>
        </w:tc>
        <w:tc>
          <w:tcPr>
            <w:tcW w:w="1142" w:type="dxa"/>
            <w:shd w:val="clear" w:color="auto" w:fill="auto"/>
            <w:noWrap/>
            <w:vAlign w:val="bottom"/>
            <w:hideMark/>
          </w:tcPr>
          <w:p w:rsidR="002E293D" w:rsidRPr="00990A47" w:rsidP="002E293D" w14:paraId="15F0C6D7"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w:t>
            </w:r>
          </w:p>
        </w:tc>
        <w:tc>
          <w:tcPr>
            <w:tcW w:w="1239" w:type="dxa"/>
            <w:shd w:val="clear" w:color="auto" w:fill="auto"/>
            <w:noWrap/>
            <w:vAlign w:val="bottom"/>
            <w:hideMark/>
          </w:tcPr>
          <w:p w:rsidR="002E293D" w:rsidRPr="00990A47" w:rsidP="002E293D" w14:paraId="5108D7EF" w14:textId="77777777">
            <w:pPr>
              <w:spacing w:after="0" w:line="240" w:lineRule="auto"/>
              <w:jc w:val="center"/>
              <w:rPr>
                <w:rFonts w:ascii="Arial" w:eastAsia="Times New Roman" w:hAnsi="Arial" w:cs="Arial"/>
                <w:color w:val="000000"/>
              </w:rPr>
            </w:pPr>
            <w:r w:rsidRPr="00990A47">
              <w:rPr>
                <w:rFonts w:ascii="Arial" w:eastAsia="Times New Roman" w:hAnsi="Arial" w:cs="Arial"/>
                <w:color w:val="000000"/>
              </w:rPr>
              <w:t>7.4</w:t>
            </w:r>
          </w:p>
        </w:tc>
      </w:tr>
    </w:tbl>
    <w:p w:rsidR="005A4B68" w:rsidP="10A9F656" w14:paraId="530B19E6" w14:textId="79ABAEFE">
      <w:pPr>
        <w:pStyle w:val="NoSpacing"/>
        <w:spacing w:after="120"/>
        <w:jc w:val="both"/>
        <w:rPr>
          <w:rFonts w:eastAsiaTheme="minorEastAsia"/>
        </w:rPr>
      </w:pPr>
    </w:p>
    <w:p w:rsidR="003C23D3" w:rsidP="10A9F656" w14:paraId="0141B41A" w14:textId="77777777">
      <w:pPr>
        <w:pStyle w:val="NoSpacing"/>
        <w:spacing w:after="120"/>
        <w:jc w:val="both"/>
        <w:rPr>
          <w:rFonts w:eastAsiaTheme="minorEastAsia"/>
        </w:rPr>
      </w:pPr>
    </w:p>
    <w:p w:rsidR="003C23D3" w:rsidP="10A9F656" w14:paraId="32A90B3E" w14:textId="77777777">
      <w:pPr>
        <w:pStyle w:val="NoSpacing"/>
        <w:spacing w:after="120"/>
        <w:jc w:val="both"/>
        <w:rPr>
          <w:rFonts w:eastAsiaTheme="minorEastAsia"/>
        </w:rPr>
      </w:pPr>
    </w:p>
    <w:p w:rsidR="003C23D3" w:rsidP="10A9F656" w14:paraId="038781C6" w14:textId="77777777">
      <w:pPr>
        <w:pStyle w:val="NoSpacing"/>
        <w:spacing w:after="120"/>
        <w:jc w:val="both"/>
        <w:rPr>
          <w:rFonts w:eastAsiaTheme="minorEastAsia"/>
        </w:rPr>
      </w:pPr>
    </w:p>
    <w:p w:rsidR="003C23D3" w:rsidP="10A9F656" w14:paraId="50A405D1" w14:textId="77777777">
      <w:pPr>
        <w:pStyle w:val="NoSpacing"/>
        <w:spacing w:after="120"/>
        <w:jc w:val="both"/>
        <w:rPr>
          <w:rFonts w:eastAsiaTheme="minorEastAsia"/>
        </w:rPr>
      </w:pPr>
    </w:p>
    <w:p w:rsidR="002E47BA" w:rsidP="10A9F656" w14:paraId="4A655191" w14:textId="4450CE16">
      <w:pPr>
        <w:pStyle w:val="NoSpacing"/>
        <w:spacing w:after="120"/>
        <w:jc w:val="both"/>
        <w:rPr>
          <w:rFonts w:eastAsiaTheme="minorEastAsia"/>
        </w:rPr>
      </w:pPr>
      <w:r>
        <w:rPr>
          <w:rFonts w:eastAsiaTheme="minorEastAsia"/>
        </w:rPr>
        <w:t xml:space="preserve">Treasury has prepared the additional guidance below to support recipients in implementing the new expenditure categories. </w:t>
      </w:r>
      <w:r w:rsidR="00D71F6B">
        <w:rPr>
          <w:rFonts w:eastAsiaTheme="minorEastAsia"/>
        </w:rPr>
        <w:t>This table includes</w:t>
      </w:r>
      <w:r w:rsidRPr="002E293D" w:rsidR="00D71F6B">
        <w:rPr>
          <w:rFonts w:eastAsiaTheme="minorEastAsia"/>
        </w:rPr>
        <w:t xml:space="preserve"> only</w:t>
      </w:r>
      <w:r w:rsidR="00D71F6B">
        <w:rPr>
          <w:rFonts w:eastAsiaTheme="minorEastAsia"/>
        </w:rPr>
        <w:t xml:space="preserve"> those previous expenditure categories that are changing under the new structure, aligned with the final rule.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2"/>
        <w:gridCol w:w="4333"/>
      </w:tblGrid>
      <w:tr w14:paraId="442FB054" w14:textId="77777777" w:rsidTr="00A96CE3">
        <w:tblPrEx>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blHeader/>
        </w:trPr>
        <w:tc>
          <w:tcPr>
            <w:tcW w:w="5472" w:type="dxa"/>
            <w:shd w:val="clear" w:color="auto" w:fill="003453" w:themeFill="accent6" w:themeFillShade="7F"/>
            <w:noWrap/>
          </w:tcPr>
          <w:p w:rsidR="002E47BA" w:rsidRPr="00944301" w:rsidP="00B372EB" w14:paraId="5AD1EEF7" w14:textId="77777777">
            <w:pPr>
              <w:spacing w:after="0" w:line="240" w:lineRule="auto"/>
              <w:rPr>
                <w:rFonts w:asciiTheme="majorHAnsi" w:eastAsiaTheme="minorEastAsia" w:hAnsiTheme="majorHAnsi" w:cstheme="majorHAnsi"/>
                <w:b/>
                <w:bCs/>
                <w:color w:val="FFFFFF" w:themeColor="background2"/>
              </w:rPr>
            </w:pPr>
            <w:r w:rsidRPr="00944301">
              <w:rPr>
                <w:rFonts w:asciiTheme="majorHAnsi" w:eastAsiaTheme="minorEastAsia" w:hAnsiTheme="majorHAnsi" w:cstheme="majorHAnsi"/>
                <w:b/>
                <w:bCs/>
                <w:color w:val="FFFFFF" w:themeColor="background2"/>
              </w:rPr>
              <w:t xml:space="preserve">January 2022 Expenditure Categories </w:t>
            </w:r>
          </w:p>
        </w:tc>
        <w:tc>
          <w:tcPr>
            <w:tcW w:w="4333" w:type="dxa"/>
            <w:shd w:val="clear" w:color="auto" w:fill="003453" w:themeFill="accent6" w:themeFillShade="7F"/>
          </w:tcPr>
          <w:p w:rsidR="002E47BA" w:rsidRPr="00944301" w:rsidP="00B372EB" w14:paraId="42C96B8C" w14:textId="77777777">
            <w:pPr>
              <w:spacing w:after="0" w:line="240" w:lineRule="auto"/>
              <w:rPr>
                <w:rFonts w:asciiTheme="majorHAnsi" w:eastAsiaTheme="minorEastAsia" w:hAnsiTheme="majorHAnsi" w:cstheme="majorHAnsi"/>
                <w:b/>
                <w:bCs/>
                <w:color w:val="FFFFFF" w:themeColor="background2"/>
              </w:rPr>
            </w:pPr>
            <w:r w:rsidRPr="00944301">
              <w:rPr>
                <w:rFonts w:asciiTheme="majorHAnsi" w:eastAsiaTheme="minorEastAsia" w:hAnsiTheme="majorHAnsi" w:cstheme="majorHAnsi"/>
                <w:b/>
                <w:bCs/>
                <w:color w:val="FFFFFF" w:themeColor="background2"/>
              </w:rPr>
              <w:t>April 2022 Guidance</w:t>
            </w:r>
          </w:p>
        </w:tc>
      </w:tr>
      <w:tr w14:paraId="5B9E7CF8" w14:textId="77777777" w:rsidTr="00FE3FDE">
        <w:tblPrEx>
          <w:tblW w:w="9805" w:type="dxa"/>
          <w:tblLook w:val="04A0"/>
        </w:tblPrEx>
        <w:trPr>
          <w:trHeight w:val="290"/>
        </w:trPr>
        <w:tc>
          <w:tcPr>
            <w:tcW w:w="9805" w:type="dxa"/>
            <w:gridSpan w:val="2"/>
            <w:shd w:val="clear" w:color="auto" w:fill="99CCFF"/>
            <w:noWrap/>
            <w:hideMark/>
          </w:tcPr>
          <w:p w:rsidR="00944301" w:rsidRPr="00BC5DE7" w:rsidP="00B372EB" w14:paraId="46202E56" w14:textId="353C3B2F">
            <w:pPr>
              <w:spacing w:after="0" w:line="240" w:lineRule="auto"/>
              <w:rPr>
                <w:rFonts w:asciiTheme="majorHAnsi" w:eastAsiaTheme="minorEastAsia" w:hAnsiTheme="majorHAnsi" w:cstheme="majorHAnsi"/>
                <w:b/>
                <w:bCs/>
              </w:rPr>
            </w:pPr>
            <w:r w:rsidRPr="00BC5DE7">
              <w:rPr>
                <w:rFonts w:asciiTheme="majorHAnsi" w:eastAsiaTheme="minorEastAsia" w:hAnsiTheme="majorHAnsi" w:cstheme="majorHAnsi"/>
                <w:b/>
                <w:bCs/>
              </w:rPr>
              <w:t>1: Public Health</w:t>
            </w:r>
          </w:p>
        </w:tc>
      </w:tr>
      <w:tr w14:paraId="51FEF182" w14:textId="77777777" w:rsidTr="002E293D">
        <w:tblPrEx>
          <w:tblW w:w="9805" w:type="dxa"/>
          <w:tblLook w:val="04A0"/>
        </w:tblPrEx>
        <w:trPr>
          <w:trHeight w:val="290"/>
        </w:trPr>
        <w:tc>
          <w:tcPr>
            <w:tcW w:w="5472" w:type="dxa"/>
            <w:shd w:val="clear" w:color="auto" w:fill="FFFFFF" w:themeFill="background2"/>
            <w:noWrap/>
          </w:tcPr>
          <w:p w:rsidR="002E47BA" w:rsidRPr="00BC5DE7" w:rsidP="00B372EB" w14:paraId="23ECE5E0"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1.7     Capital Investments or Physical Plant Changes to Public Facilities that respond to the COVID-19 public health emergency</w:t>
            </w:r>
          </w:p>
        </w:tc>
        <w:tc>
          <w:tcPr>
            <w:tcW w:w="4333" w:type="dxa"/>
            <w:shd w:val="clear" w:color="auto" w:fill="FFFFFF" w:themeFill="background2"/>
          </w:tcPr>
          <w:p w:rsidR="002E47BA" w:rsidRPr="00BC5DE7" w:rsidP="00B372EB" w14:paraId="523B8F8D" w14:textId="243F4288">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EC removed, capital expenditures can be designated in any relevant PH</w:t>
            </w:r>
            <w:r w:rsidRPr="00BC5DE7" w:rsidR="00944301">
              <w:rPr>
                <w:rFonts w:asciiTheme="majorHAnsi" w:eastAsiaTheme="minorEastAsia" w:hAnsiTheme="majorHAnsi" w:cstheme="majorHAnsi"/>
              </w:rPr>
              <w:t>-</w:t>
            </w:r>
            <w:r w:rsidRPr="00BC5DE7">
              <w:rPr>
                <w:rFonts w:asciiTheme="majorHAnsi" w:eastAsiaTheme="minorEastAsia" w:hAnsiTheme="majorHAnsi" w:cstheme="majorHAnsi"/>
              </w:rPr>
              <w:t>NEI EC (e</w:t>
            </w:r>
            <w:r w:rsidR="00A215E5">
              <w:rPr>
                <w:rFonts w:asciiTheme="majorHAnsi" w:eastAsiaTheme="minorEastAsia" w:hAnsiTheme="majorHAnsi" w:cstheme="majorHAnsi"/>
              </w:rPr>
              <w:t>.</w:t>
            </w:r>
            <w:r w:rsidRPr="00BC5DE7">
              <w:rPr>
                <w:rFonts w:asciiTheme="majorHAnsi" w:eastAsiaTheme="minorEastAsia" w:hAnsiTheme="majorHAnsi" w:cstheme="majorHAnsi"/>
              </w:rPr>
              <w:t>g.</w:t>
            </w:r>
            <w:r w:rsidR="00A215E5">
              <w:rPr>
                <w:rFonts w:asciiTheme="majorHAnsi" w:eastAsiaTheme="minorEastAsia" w:hAnsiTheme="majorHAnsi" w:cstheme="majorHAnsi"/>
              </w:rPr>
              <w:t>,</w:t>
            </w:r>
            <w:r w:rsidRPr="00BC5DE7">
              <w:rPr>
                <w:rFonts w:asciiTheme="majorHAnsi" w:eastAsiaTheme="minorEastAsia" w:hAnsiTheme="majorHAnsi" w:cstheme="majorHAnsi"/>
              </w:rPr>
              <w:t xml:space="preserve"> new hospital wing would be tracked under EC 1.4)</w:t>
            </w:r>
          </w:p>
        </w:tc>
      </w:tr>
      <w:tr w14:paraId="290ACB3E" w14:textId="77777777" w:rsidTr="002E293D">
        <w:tblPrEx>
          <w:tblW w:w="9805" w:type="dxa"/>
          <w:tblLook w:val="04A0"/>
        </w:tblPrEx>
        <w:trPr>
          <w:trHeight w:val="290"/>
        </w:trPr>
        <w:tc>
          <w:tcPr>
            <w:tcW w:w="5472" w:type="dxa"/>
            <w:shd w:val="clear" w:color="auto" w:fill="FFFFFF" w:themeFill="background2"/>
            <w:noWrap/>
            <w:hideMark/>
          </w:tcPr>
          <w:p w:rsidR="002E47BA" w:rsidRPr="00BC5DE7" w:rsidP="00B372EB" w14:paraId="3C83E789"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1.8     Other COVID-19 Public Health Expenses (including Communications, Enforcement, Isolation/Quarantine)</w:t>
            </w:r>
          </w:p>
        </w:tc>
        <w:tc>
          <w:tcPr>
            <w:tcW w:w="4333" w:type="dxa"/>
            <w:shd w:val="clear" w:color="auto" w:fill="FFFFFF" w:themeFill="background2"/>
          </w:tcPr>
          <w:p w:rsidR="002E47BA" w:rsidRPr="00BC5DE7" w:rsidP="00B372EB" w14:paraId="2B564E69"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EC is 1.7</w:t>
            </w:r>
          </w:p>
        </w:tc>
      </w:tr>
      <w:tr w14:paraId="5B2FCEE9" w14:textId="77777777" w:rsidTr="002E293D">
        <w:tblPrEx>
          <w:tblW w:w="9805" w:type="dxa"/>
          <w:tblLook w:val="04A0"/>
        </w:tblPrEx>
        <w:trPr>
          <w:trHeight w:val="290"/>
        </w:trPr>
        <w:tc>
          <w:tcPr>
            <w:tcW w:w="5472" w:type="dxa"/>
            <w:shd w:val="clear" w:color="auto" w:fill="FFFFFF" w:themeFill="background2"/>
            <w:noWrap/>
          </w:tcPr>
          <w:p w:rsidR="002E47BA" w:rsidRPr="00BC5DE7" w:rsidP="00B372EB" w14:paraId="1E23CCBD"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1.9     Payroll Costs for Public Health, Safety, and Other Public Sector Staff Responding to COVID-19</w:t>
            </w:r>
          </w:p>
        </w:tc>
        <w:tc>
          <w:tcPr>
            <w:tcW w:w="4333" w:type="dxa"/>
            <w:shd w:val="clear" w:color="auto" w:fill="FFFFFF" w:themeFill="background2"/>
          </w:tcPr>
          <w:p w:rsidR="002E47BA" w:rsidRPr="00BC5DE7" w:rsidP="00B372EB" w14:paraId="5E721F83" w14:textId="77777777">
            <w:pPr>
              <w:spacing w:after="0" w:line="240" w:lineRule="auto"/>
              <w:ind w:left="604" w:hanging="604"/>
              <w:rPr>
                <w:rFonts w:asciiTheme="majorHAnsi" w:eastAsiaTheme="minorEastAsia" w:hAnsiTheme="majorHAnsi" w:cstheme="majorHAnsi"/>
              </w:rPr>
            </w:pPr>
            <w:r w:rsidRPr="00BC5DE7">
              <w:rPr>
                <w:rFonts w:asciiTheme="majorHAnsi" w:eastAsiaTheme="minorEastAsia" w:hAnsiTheme="majorHAnsi" w:cstheme="majorHAnsi"/>
              </w:rPr>
              <w:t>EC is 3.1</w:t>
            </w:r>
          </w:p>
        </w:tc>
      </w:tr>
      <w:tr w14:paraId="5D20D05B" w14:textId="77777777" w:rsidTr="002E293D">
        <w:tblPrEx>
          <w:tblW w:w="9805" w:type="dxa"/>
          <w:tblLook w:val="04A0"/>
        </w:tblPrEx>
        <w:trPr>
          <w:trHeight w:val="80"/>
        </w:trPr>
        <w:tc>
          <w:tcPr>
            <w:tcW w:w="5472" w:type="dxa"/>
            <w:shd w:val="clear" w:color="auto" w:fill="FFFFFF" w:themeFill="background2"/>
            <w:noWrap/>
            <w:hideMark/>
          </w:tcPr>
          <w:p w:rsidR="002E47BA" w:rsidRPr="00BC5DE7" w:rsidP="00B372EB" w14:paraId="5421B72E"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1.10   Mental Health Services*</w:t>
            </w:r>
          </w:p>
        </w:tc>
        <w:tc>
          <w:tcPr>
            <w:tcW w:w="4333" w:type="dxa"/>
            <w:shd w:val="clear" w:color="auto" w:fill="FFFFFF" w:themeFill="background2"/>
          </w:tcPr>
          <w:p w:rsidR="002E47BA" w:rsidRPr="00BC5DE7" w:rsidP="00B372EB" w14:paraId="2C7D4730"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EC is 1.12</w:t>
            </w:r>
          </w:p>
        </w:tc>
      </w:tr>
      <w:tr w14:paraId="3B3122F8" w14:textId="77777777" w:rsidTr="002E293D">
        <w:tblPrEx>
          <w:tblW w:w="9805" w:type="dxa"/>
          <w:tblLook w:val="04A0"/>
        </w:tblPrEx>
        <w:trPr>
          <w:trHeight w:val="80"/>
        </w:trPr>
        <w:tc>
          <w:tcPr>
            <w:tcW w:w="5472" w:type="dxa"/>
            <w:shd w:val="clear" w:color="auto" w:fill="FFFFFF" w:themeFill="background2"/>
            <w:noWrap/>
          </w:tcPr>
          <w:p w:rsidR="002E47BA" w:rsidRPr="00BC5DE7" w:rsidP="00B372EB" w14:paraId="4EE61DAE"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1.11   Substance Use Services*</w:t>
            </w:r>
          </w:p>
        </w:tc>
        <w:tc>
          <w:tcPr>
            <w:tcW w:w="4333" w:type="dxa"/>
            <w:shd w:val="clear" w:color="auto" w:fill="FFFFFF" w:themeFill="background2"/>
          </w:tcPr>
          <w:p w:rsidR="002E47BA" w:rsidRPr="00BC5DE7" w:rsidP="00B372EB" w14:paraId="6D0D8841"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EC is 1.13</w:t>
            </w:r>
          </w:p>
        </w:tc>
      </w:tr>
      <w:tr w14:paraId="4BE3C2DE" w14:textId="77777777" w:rsidTr="002E293D">
        <w:tblPrEx>
          <w:tblW w:w="9805" w:type="dxa"/>
          <w:tblLook w:val="04A0"/>
        </w:tblPrEx>
        <w:trPr>
          <w:trHeight w:val="80"/>
        </w:trPr>
        <w:tc>
          <w:tcPr>
            <w:tcW w:w="5472" w:type="dxa"/>
            <w:shd w:val="clear" w:color="auto" w:fill="FFFFFF" w:themeFill="background2"/>
            <w:noWrap/>
          </w:tcPr>
          <w:p w:rsidR="002E47BA" w:rsidRPr="00BC5DE7" w:rsidP="00B372EB" w14:paraId="67175996"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1.12   Other Public Health Services</w:t>
            </w:r>
          </w:p>
        </w:tc>
        <w:tc>
          <w:tcPr>
            <w:tcW w:w="4333" w:type="dxa"/>
            <w:shd w:val="clear" w:color="auto" w:fill="FFFFFF" w:themeFill="background2"/>
          </w:tcPr>
          <w:p w:rsidR="002E47BA" w:rsidRPr="00BC5DE7" w:rsidP="00B372EB" w14:paraId="05D4B300" w14:textId="77777777">
            <w:pPr>
              <w:spacing w:after="0" w:line="240" w:lineRule="auto"/>
              <w:rPr>
                <w:rFonts w:asciiTheme="majorHAnsi" w:eastAsiaTheme="minorEastAsia" w:hAnsiTheme="majorHAnsi" w:cstheme="majorHAnsi"/>
              </w:rPr>
            </w:pPr>
            <w:r w:rsidRPr="00BC5DE7">
              <w:rPr>
                <w:rFonts w:asciiTheme="majorHAnsi" w:eastAsiaTheme="minorEastAsia" w:hAnsiTheme="majorHAnsi" w:cstheme="majorHAnsi"/>
              </w:rPr>
              <w:t>EC is 1.14</w:t>
            </w:r>
          </w:p>
        </w:tc>
      </w:tr>
      <w:tr w14:paraId="174046C5" w14:textId="77777777" w:rsidTr="00FE3FDE">
        <w:tblPrEx>
          <w:tblW w:w="9805" w:type="dxa"/>
          <w:tblLook w:val="04A0"/>
        </w:tblPrEx>
        <w:trPr>
          <w:trHeight w:val="290"/>
        </w:trPr>
        <w:tc>
          <w:tcPr>
            <w:tcW w:w="9805" w:type="dxa"/>
            <w:gridSpan w:val="2"/>
            <w:shd w:val="clear" w:color="auto" w:fill="99CCFF"/>
            <w:noWrap/>
            <w:hideMark/>
          </w:tcPr>
          <w:p w:rsidR="00944301" w:rsidRPr="00BC5DE7" w:rsidP="00B372EB" w14:paraId="4E225C6B" w14:textId="3EDA0670">
            <w:pPr>
              <w:spacing w:after="0" w:line="240" w:lineRule="auto"/>
              <w:rPr>
                <w:rFonts w:asciiTheme="majorHAnsi" w:eastAsiaTheme="minorEastAsia" w:hAnsiTheme="majorHAnsi" w:cstheme="majorHAnsi"/>
                <w:b/>
                <w:bCs/>
              </w:rPr>
            </w:pPr>
            <w:r w:rsidRPr="00BC5DE7">
              <w:rPr>
                <w:rFonts w:asciiTheme="majorHAnsi" w:eastAsiaTheme="minorEastAsia" w:hAnsiTheme="majorHAnsi" w:cstheme="majorHAnsi"/>
                <w:b/>
                <w:bCs/>
              </w:rPr>
              <w:t>2: Negative Economic Impacts</w:t>
            </w:r>
          </w:p>
        </w:tc>
      </w:tr>
      <w:tr w14:paraId="354F0BB0" w14:textId="77777777" w:rsidTr="00FE3FDE">
        <w:tblPrEx>
          <w:tblW w:w="9805" w:type="dxa"/>
          <w:tblLook w:val="04A0"/>
        </w:tblPrEx>
        <w:trPr>
          <w:trHeight w:val="290"/>
        </w:trPr>
        <w:tc>
          <w:tcPr>
            <w:tcW w:w="5472" w:type="dxa"/>
            <w:tcBorders>
              <w:top w:val="single" w:sz="4" w:space="0" w:color="auto"/>
              <w:left w:val="single" w:sz="4" w:space="0" w:color="auto"/>
              <w:bottom w:val="single" w:sz="4" w:space="0" w:color="auto"/>
              <w:right w:val="single" w:sz="4" w:space="0" w:color="auto"/>
            </w:tcBorders>
            <w:shd w:val="clear" w:color="auto" w:fill="auto"/>
          </w:tcPr>
          <w:p w:rsidR="005E3A59" w:rsidRPr="00944301" w:rsidP="00B372EB" w14:paraId="789903C7" w14:textId="28BA80E8">
            <w:pPr>
              <w:spacing w:after="0" w:line="240" w:lineRule="auto"/>
              <w:ind w:left="604" w:hanging="604"/>
              <w:rPr>
                <w:rFonts w:eastAsia="Times New Roman" w:asciiTheme="majorHAnsi" w:hAnsiTheme="majorHAnsi" w:cstheme="majorHAnsi"/>
              </w:rPr>
            </w:pPr>
            <w:r>
              <w:rPr>
                <w:rFonts w:eastAsia="Times New Roman" w:asciiTheme="majorHAnsi" w:hAnsiTheme="majorHAnsi" w:cstheme="majorHAnsi"/>
              </w:rPr>
              <w:t xml:space="preserve">2.5     </w:t>
            </w:r>
            <w:r w:rsidRPr="005E3A59">
              <w:rPr>
                <w:rFonts w:eastAsia="Times New Roman" w:asciiTheme="majorHAnsi" w:hAnsiTheme="majorHAnsi" w:cstheme="majorHAnsi"/>
              </w:rPr>
              <w:t>Household Assistance: Eviction Prevention</w:t>
            </w:r>
          </w:p>
        </w:tc>
        <w:tc>
          <w:tcPr>
            <w:tcW w:w="4333" w:type="dxa"/>
            <w:tcBorders>
              <w:top w:val="single" w:sz="4" w:space="0" w:color="auto"/>
              <w:left w:val="single" w:sz="4" w:space="0" w:color="auto"/>
              <w:bottom w:val="single" w:sz="4" w:space="0" w:color="auto"/>
              <w:right w:val="single" w:sz="4" w:space="0" w:color="auto"/>
            </w:tcBorders>
          </w:tcPr>
          <w:p w:rsidR="005E3A59" w:rsidRPr="00944301" w:rsidP="00B372EB" w14:paraId="2132CF7F" w14:textId="3C7CF971">
            <w:pPr>
              <w:spacing w:after="0" w:line="240" w:lineRule="auto"/>
              <w:ind w:left="604" w:hanging="604"/>
              <w:rPr>
                <w:rFonts w:eastAsia="Times New Roman" w:asciiTheme="majorHAnsi" w:hAnsiTheme="majorHAnsi" w:cstheme="majorHAnsi"/>
              </w:rPr>
            </w:pPr>
            <w:r>
              <w:rPr>
                <w:rFonts w:eastAsia="Times New Roman" w:asciiTheme="majorHAnsi" w:hAnsiTheme="majorHAnsi" w:cstheme="majorHAnsi"/>
              </w:rPr>
              <w:t>EC is now included as part of 2.2</w:t>
            </w:r>
          </w:p>
        </w:tc>
      </w:tr>
      <w:tr w14:paraId="678A9C59" w14:textId="77777777" w:rsidTr="00FE3FDE">
        <w:tblPrEx>
          <w:tblW w:w="9805" w:type="dxa"/>
          <w:tblLook w:val="04A0"/>
        </w:tblPrEx>
        <w:trPr>
          <w:trHeight w:val="290"/>
        </w:trPr>
        <w:tc>
          <w:tcPr>
            <w:tcW w:w="5472" w:type="dxa"/>
            <w:tcBorders>
              <w:top w:val="single" w:sz="4" w:space="0" w:color="auto"/>
              <w:left w:val="single" w:sz="4" w:space="0" w:color="auto"/>
              <w:bottom w:val="single" w:sz="4" w:space="0" w:color="auto"/>
              <w:right w:val="single" w:sz="4" w:space="0" w:color="auto"/>
            </w:tcBorders>
            <w:shd w:val="clear" w:color="auto" w:fill="auto"/>
          </w:tcPr>
          <w:p w:rsidR="002E47BA" w:rsidRPr="00944301" w:rsidP="00B372EB" w14:paraId="3C522D84"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2.6     Unemployment Benefits or Cash Assistance to Unemployed Workers*</w:t>
            </w:r>
          </w:p>
        </w:tc>
        <w:tc>
          <w:tcPr>
            <w:tcW w:w="4333" w:type="dxa"/>
            <w:tcBorders>
              <w:top w:val="single" w:sz="4" w:space="0" w:color="auto"/>
              <w:left w:val="single" w:sz="4" w:space="0" w:color="auto"/>
              <w:bottom w:val="single" w:sz="4" w:space="0" w:color="auto"/>
              <w:right w:val="single" w:sz="4" w:space="0" w:color="auto"/>
            </w:tcBorders>
          </w:tcPr>
          <w:p w:rsidR="002E47BA" w:rsidRPr="00944301" w:rsidP="00B372EB" w14:paraId="37A8F34D" w14:textId="1A07A535">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w:t>
            </w:r>
            <w:r w:rsidRPr="00944301" w:rsidR="00EF30E1">
              <w:rPr>
                <w:rFonts w:eastAsia="Times New Roman" w:asciiTheme="majorHAnsi" w:hAnsiTheme="majorHAnsi" w:cstheme="majorHAnsi"/>
              </w:rPr>
              <w:t>9</w:t>
            </w:r>
          </w:p>
        </w:tc>
      </w:tr>
      <w:tr w14:paraId="3E3C9A87"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4B9CF832" w14:textId="4A632ADD">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 xml:space="preserve">2.7     Job Training Assistance (e.g., Sectoral job-training, Subsidized Employment, Employment Supports or </w:t>
            </w:r>
            <w:r w:rsidRPr="00944301">
              <w:rPr>
                <w:rFonts w:eastAsia="Times New Roman" w:asciiTheme="majorHAnsi" w:hAnsiTheme="majorHAnsi" w:cstheme="majorHAnsi"/>
              </w:rPr>
              <w:t>Incentives)*</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5FEA6549" w14:textId="32599222">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2.1</w:t>
            </w:r>
            <w:r w:rsidRPr="00944301" w:rsidR="00EF30E1">
              <w:rPr>
                <w:rFonts w:eastAsia="Times New Roman" w:asciiTheme="majorHAnsi" w:hAnsiTheme="majorHAnsi" w:cstheme="majorHAnsi"/>
              </w:rPr>
              <w:t>0</w:t>
            </w:r>
          </w:p>
        </w:tc>
      </w:tr>
      <w:tr w14:paraId="2691D8C0"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3601144C"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2.8     Contributions to UI Trust Funds</w:t>
            </w:r>
          </w:p>
        </w:tc>
        <w:tc>
          <w:tcPr>
            <w:tcW w:w="4333" w:type="dxa"/>
            <w:shd w:val="clear" w:color="auto" w:fill="FFFFFF" w:themeFill="background2"/>
          </w:tcPr>
          <w:p w:rsidR="002E47BA" w:rsidRPr="00944301" w:rsidP="00B372EB" w14:paraId="6274669F" w14:textId="422ECA4B">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2.2</w:t>
            </w:r>
            <w:r w:rsidR="00FE3FDE">
              <w:rPr>
                <w:rFonts w:eastAsia="Times New Roman" w:asciiTheme="majorHAnsi" w:hAnsiTheme="majorHAnsi" w:cstheme="majorHAnsi"/>
              </w:rPr>
              <w:t>8</w:t>
            </w:r>
          </w:p>
        </w:tc>
      </w:tr>
      <w:tr w14:paraId="4C7A147C"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4435024F" w14:textId="4186CE64">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2.9     Small Business Economic Assistance (General)*^</w:t>
            </w:r>
          </w:p>
        </w:tc>
        <w:tc>
          <w:tcPr>
            <w:tcW w:w="4333" w:type="dxa"/>
            <w:shd w:val="clear" w:color="auto" w:fill="FFFFFF" w:themeFill="background2"/>
          </w:tcPr>
          <w:p w:rsidR="002E47BA" w:rsidRPr="00944301" w:rsidP="00B372EB" w14:paraId="40A67242" w14:textId="3B83F069">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If public-health related (e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providing rapid tests for small businesses), EC is 1.8; if related to negative economic impact </w:t>
            </w:r>
            <w:r w:rsidRPr="00944301" w:rsidR="00EF30E1">
              <w:rPr>
                <w:rFonts w:eastAsia="Times New Roman" w:asciiTheme="majorHAnsi" w:hAnsiTheme="majorHAnsi" w:cstheme="majorHAnsi"/>
                <w:color w:val="000000"/>
              </w:rPr>
              <w:t>eligible</w:t>
            </w:r>
            <w:r w:rsidRPr="00944301" w:rsidR="00944301">
              <w:rPr>
                <w:rFonts w:eastAsia="Times New Roman" w:asciiTheme="majorHAnsi" w:hAnsiTheme="majorHAnsi" w:cstheme="majorHAnsi"/>
                <w:color w:val="000000"/>
              </w:rPr>
              <w:t xml:space="preserve"> use</w:t>
            </w:r>
            <w:r w:rsidRPr="00944301" w:rsidR="00EF30E1">
              <w:rPr>
                <w:rFonts w:eastAsia="Times New Roman" w:asciiTheme="majorHAnsi" w:hAnsiTheme="majorHAnsi" w:cstheme="majorHAnsi"/>
                <w:color w:val="000000"/>
              </w:rPr>
              <w:t xml:space="preserve"> </w:t>
            </w:r>
            <w:r w:rsidRPr="00944301">
              <w:rPr>
                <w:rFonts w:eastAsia="Times New Roman" w:asciiTheme="majorHAnsi" w:hAnsiTheme="majorHAnsi" w:cstheme="majorHAnsi"/>
                <w:color w:val="000000"/>
              </w:rPr>
              <w:t>(e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grants</w:t>
            </w:r>
            <w:r w:rsidRPr="00944301" w:rsidR="00EF30E1">
              <w:rPr>
                <w:rFonts w:eastAsia="Times New Roman" w:asciiTheme="majorHAnsi" w:hAnsiTheme="majorHAnsi" w:cstheme="majorHAnsi"/>
                <w:color w:val="000000"/>
              </w:rPr>
              <w:t>, technical assistance, rehabilitation, incubators, or micro</w:t>
            </w:r>
            <w:r w:rsidRPr="00944301">
              <w:rPr>
                <w:rFonts w:eastAsia="Times New Roman" w:asciiTheme="majorHAnsi" w:hAnsiTheme="majorHAnsi" w:cstheme="majorHAnsi"/>
                <w:color w:val="000000"/>
              </w:rPr>
              <w:t>business</w:t>
            </w:r>
            <w:r w:rsidRPr="00944301" w:rsidR="00EF30E1">
              <w:rPr>
                <w:rFonts w:eastAsia="Times New Roman" w:asciiTheme="majorHAnsi" w:hAnsiTheme="majorHAnsi" w:cstheme="majorHAnsi"/>
                <w:color w:val="000000"/>
              </w:rPr>
              <w:t>es</w:t>
            </w:r>
            <w:r w:rsidRPr="00944301">
              <w:rPr>
                <w:rFonts w:eastAsia="Times New Roman" w:asciiTheme="majorHAnsi" w:hAnsiTheme="majorHAnsi" w:cstheme="majorHAnsi"/>
                <w:color w:val="000000"/>
              </w:rPr>
              <w:t>), EC is 2.2</w:t>
            </w:r>
            <w:r w:rsidR="00FE3FDE">
              <w:rPr>
                <w:rFonts w:eastAsia="Times New Roman" w:asciiTheme="majorHAnsi" w:hAnsiTheme="majorHAnsi" w:cstheme="majorHAnsi"/>
                <w:color w:val="000000"/>
              </w:rPr>
              <w:t>9</w:t>
            </w:r>
            <w:r w:rsidRPr="00944301" w:rsidR="00EF30E1">
              <w:rPr>
                <w:rFonts w:eastAsia="Times New Roman" w:asciiTheme="majorHAnsi" w:hAnsiTheme="majorHAnsi" w:cstheme="majorHAnsi"/>
                <w:color w:val="000000"/>
              </w:rPr>
              <w:t>-2.3</w:t>
            </w:r>
            <w:r w:rsidR="00FE3FDE">
              <w:rPr>
                <w:rFonts w:eastAsia="Times New Roman" w:asciiTheme="majorHAnsi" w:hAnsiTheme="majorHAnsi" w:cstheme="majorHAnsi"/>
                <w:color w:val="000000"/>
              </w:rPr>
              <w:t>3</w:t>
            </w:r>
          </w:p>
        </w:tc>
      </w:tr>
      <w:tr w14:paraId="0E057660"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0270AFF8"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2.10   Aid to Nonprofit Organizations*</w:t>
            </w:r>
          </w:p>
        </w:tc>
        <w:tc>
          <w:tcPr>
            <w:tcW w:w="4333" w:type="dxa"/>
            <w:shd w:val="clear" w:color="auto" w:fill="FFFFFF" w:themeFill="background2"/>
          </w:tcPr>
          <w:p w:rsidR="002E47BA" w:rsidRPr="00944301" w:rsidP="00B372EB" w14:paraId="381B652E" w14:textId="4FAABA4B">
            <w:pPr>
              <w:spacing w:after="0" w:line="240" w:lineRule="auto"/>
              <w:rPr>
                <w:rFonts w:eastAsia="Times New Roman" w:asciiTheme="majorHAnsi" w:hAnsiTheme="majorHAnsi" w:cstheme="majorHAnsi"/>
              </w:rPr>
            </w:pPr>
            <w:r w:rsidRPr="00944301">
              <w:rPr>
                <w:rFonts w:eastAsia="Times New Roman" w:asciiTheme="majorHAnsi" w:hAnsiTheme="majorHAnsi" w:cstheme="majorHAnsi"/>
                <w:color w:val="000000"/>
              </w:rPr>
              <w:t>If public-health related (e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providing rapid tests for non-profits), EC is 1.9; if related to negative economic impact (e</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g.</w:t>
            </w:r>
            <w:r w:rsidR="00A215E5">
              <w:rPr>
                <w:rFonts w:eastAsia="Times New Roman" w:asciiTheme="majorHAnsi" w:hAnsiTheme="majorHAnsi" w:cstheme="majorHAnsi"/>
                <w:color w:val="000000"/>
              </w:rPr>
              <w:t>,</w:t>
            </w:r>
            <w:r w:rsidRPr="00944301">
              <w:rPr>
                <w:rFonts w:eastAsia="Times New Roman" w:asciiTheme="majorHAnsi" w:hAnsiTheme="majorHAnsi" w:cstheme="majorHAnsi"/>
                <w:color w:val="000000"/>
              </w:rPr>
              <w:t xml:space="preserve"> grants to stabilize non-profit budget), EC is 2.3</w:t>
            </w:r>
            <w:r w:rsidR="00FE3FDE">
              <w:rPr>
                <w:rFonts w:eastAsia="Times New Roman" w:asciiTheme="majorHAnsi" w:hAnsiTheme="majorHAnsi" w:cstheme="majorHAnsi"/>
                <w:color w:val="000000"/>
              </w:rPr>
              <w:t>4</w:t>
            </w:r>
          </w:p>
        </w:tc>
      </w:tr>
      <w:tr w14:paraId="5337103E"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029AF122"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2.11   Aid to Tourism, Travel, or Hospitality</w:t>
            </w:r>
          </w:p>
        </w:tc>
        <w:tc>
          <w:tcPr>
            <w:tcW w:w="4333" w:type="dxa"/>
            <w:shd w:val="clear" w:color="auto" w:fill="FFFFFF" w:themeFill="background2"/>
          </w:tcPr>
          <w:p w:rsidR="002E47BA" w:rsidRPr="00944301" w:rsidP="00B372EB" w14:paraId="0D2157EE" w14:textId="63B9BA64">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2.3</w:t>
            </w:r>
            <w:r w:rsidR="003026E8">
              <w:rPr>
                <w:rFonts w:eastAsia="Times New Roman" w:asciiTheme="majorHAnsi" w:hAnsiTheme="majorHAnsi" w:cstheme="majorHAnsi"/>
              </w:rPr>
              <w:t>5</w:t>
            </w:r>
          </w:p>
        </w:tc>
      </w:tr>
      <w:tr w14:paraId="08E8229A"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0276EFA3"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2.12   Aid to Other Impacted Industries</w:t>
            </w:r>
          </w:p>
        </w:tc>
        <w:tc>
          <w:tcPr>
            <w:tcW w:w="4333" w:type="dxa"/>
            <w:shd w:val="clear" w:color="auto" w:fill="FFFFFF" w:themeFill="background2"/>
          </w:tcPr>
          <w:p w:rsidR="002E47BA" w:rsidRPr="00944301" w:rsidP="00B372EB" w14:paraId="27D3F198" w14:textId="673084CA">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6</w:t>
            </w:r>
          </w:p>
        </w:tc>
      </w:tr>
      <w:tr w14:paraId="56E3E74D"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4C8411E9" w14:textId="423D8FA5">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2.13   Other Economic Support*^</w:t>
            </w:r>
          </w:p>
        </w:tc>
        <w:tc>
          <w:tcPr>
            <w:tcW w:w="4333" w:type="dxa"/>
            <w:shd w:val="clear" w:color="auto" w:fill="FFFFFF" w:themeFill="background2"/>
          </w:tcPr>
          <w:p w:rsidR="002E47BA" w:rsidRPr="00944301" w:rsidP="00B372EB" w14:paraId="01AFF8AE" w14:textId="4B6319E4">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xml:space="preserve">, re-named Other Economic Impact </w:t>
            </w:r>
          </w:p>
        </w:tc>
      </w:tr>
      <w:tr w14:paraId="586494A7" w14:textId="77777777" w:rsidTr="002E293D">
        <w:tblPrEx>
          <w:tblW w:w="9805" w:type="dxa"/>
          <w:tblLook w:val="04A0"/>
        </w:tblPrEx>
        <w:trPr>
          <w:trHeight w:val="290"/>
        </w:trPr>
        <w:tc>
          <w:tcPr>
            <w:tcW w:w="5472" w:type="dxa"/>
            <w:shd w:val="clear" w:color="auto" w:fill="auto"/>
            <w:noWrap/>
          </w:tcPr>
          <w:p w:rsidR="002E47BA" w:rsidRPr="00944301" w:rsidP="00B372EB" w14:paraId="002D68BE"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2.14   Rehiring Public Sector Staff</w:t>
            </w:r>
          </w:p>
        </w:tc>
        <w:tc>
          <w:tcPr>
            <w:tcW w:w="4333" w:type="dxa"/>
          </w:tcPr>
          <w:p w:rsidR="002E47BA" w:rsidRPr="00944301" w:rsidP="00B372EB" w14:paraId="6917FD7D"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3.2</w:t>
            </w:r>
          </w:p>
        </w:tc>
      </w:tr>
      <w:tr w14:paraId="3076CA7C" w14:textId="77777777" w:rsidTr="00FE3FDE">
        <w:tblPrEx>
          <w:tblW w:w="9805" w:type="dxa"/>
          <w:tblLook w:val="04A0"/>
        </w:tblPrEx>
        <w:trPr>
          <w:trHeight w:val="290"/>
        </w:trPr>
        <w:tc>
          <w:tcPr>
            <w:tcW w:w="9805" w:type="dxa"/>
            <w:gridSpan w:val="2"/>
            <w:shd w:val="clear" w:color="auto" w:fill="99CCFF"/>
            <w:noWrap/>
          </w:tcPr>
          <w:p w:rsidR="00A03152" w:rsidRPr="00944301" w:rsidP="00B372EB" w14:paraId="2E16819A" w14:textId="5DE906D9">
            <w:pPr>
              <w:spacing w:after="0" w:line="240" w:lineRule="auto"/>
              <w:rPr>
                <w:rFonts w:eastAsia="Times New Roman" w:asciiTheme="majorHAnsi" w:hAnsiTheme="majorHAnsi" w:cstheme="majorHAnsi"/>
                <w:b/>
                <w:bCs/>
                <w:color w:val="FFFFFF" w:themeColor="background1"/>
              </w:rPr>
            </w:pPr>
            <w:r w:rsidRPr="00BC5DE7">
              <w:rPr>
                <w:rFonts w:eastAsia="Times New Roman" w:asciiTheme="majorHAnsi" w:hAnsiTheme="majorHAnsi" w:cstheme="majorHAnsi"/>
                <w:b/>
                <w:bCs/>
              </w:rPr>
              <w:t>3: Services to Disproportionately Impacted Comm</w:t>
            </w:r>
            <w:r w:rsidRPr="00BC5DE7">
              <w:rPr>
                <w:rFonts w:eastAsia="Times New Roman" w:asciiTheme="majorHAnsi" w:hAnsiTheme="majorHAnsi" w:cstheme="majorHAnsi"/>
                <w:b/>
                <w:bCs/>
                <w:shd w:val="clear" w:color="auto" w:fill="99CCFF"/>
              </w:rPr>
              <w:t>unities</w:t>
            </w:r>
          </w:p>
        </w:tc>
      </w:tr>
      <w:tr w14:paraId="1965F8B8"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5842D335" w14:textId="317FF8D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3.1     Education Assistance: Early Learning*^</w:t>
            </w:r>
          </w:p>
        </w:tc>
        <w:tc>
          <w:tcPr>
            <w:tcW w:w="4333" w:type="dxa"/>
            <w:shd w:val="clear" w:color="auto" w:fill="FFFFFF" w:themeFill="background2"/>
          </w:tcPr>
          <w:p w:rsidR="002E47BA" w:rsidRPr="00944301" w:rsidP="00B372EB" w14:paraId="16AD8221" w14:textId="5E0DBE83">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w:t>
            </w:r>
            <w:r w:rsidRPr="00944301" w:rsidR="00EF30E1">
              <w:rPr>
                <w:rFonts w:eastAsia="Times New Roman" w:asciiTheme="majorHAnsi" w:hAnsiTheme="majorHAnsi" w:cstheme="majorHAnsi"/>
                <w:color w:val="000000"/>
              </w:rPr>
              <w:t>14</w:t>
            </w:r>
          </w:p>
        </w:tc>
      </w:tr>
      <w:tr w14:paraId="064A2569"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8035E51" w14:textId="157A6058">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3.2     Education Assistance: Aid to High-Poverty Districts</w:t>
            </w:r>
            <w:r w:rsidRPr="00944301">
              <w:rPr>
                <w:rFonts w:eastAsia="Times New Roman" w:asciiTheme="majorHAnsi" w:hAnsiTheme="majorHAnsi" w:cstheme="majorHAnsi"/>
              </w:rPr>
              <w:t xml:space="preserve"> </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34464176"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2.24</w:t>
            </w:r>
          </w:p>
        </w:tc>
      </w:tr>
      <w:tr w14:paraId="66131F52"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6589E2F1" w14:textId="76D189E5">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3.3     Education Assistance: Academic</w:t>
            </w:r>
            <w:r w:rsidR="00F83586">
              <w:rPr>
                <w:rFonts w:eastAsia="Times New Roman" w:asciiTheme="majorHAnsi" w:hAnsiTheme="majorHAnsi" w:cstheme="majorHAnsi"/>
                <w:color w:val="000000"/>
              </w:rPr>
              <w:t xml:space="preserve"> </w:t>
            </w:r>
            <w:r w:rsidRPr="00944301">
              <w:rPr>
                <w:rFonts w:eastAsia="Times New Roman" w:asciiTheme="majorHAnsi" w:hAnsiTheme="majorHAnsi" w:cstheme="majorHAnsi"/>
                <w:color w:val="000000"/>
              </w:rPr>
              <w:t>Services*^</w:t>
            </w:r>
          </w:p>
        </w:tc>
        <w:tc>
          <w:tcPr>
            <w:tcW w:w="4333" w:type="dxa"/>
            <w:shd w:val="clear" w:color="auto" w:fill="FFFFFF" w:themeFill="background2"/>
          </w:tcPr>
          <w:p w:rsidR="002E47BA" w:rsidRPr="00944301" w:rsidP="00F83586" w14:paraId="75D4216C" w14:textId="4F56015B">
            <w:pPr>
              <w:spacing w:after="0" w:line="240" w:lineRule="auto"/>
              <w:ind w:left="-10"/>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2.25</w:t>
            </w:r>
            <w:r w:rsidR="00F83586">
              <w:rPr>
                <w:rFonts w:eastAsia="Times New Roman" w:asciiTheme="majorHAnsi" w:hAnsiTheme="majorHAnsi" w:cstheme="majorHAnsi"/>
                <w:color w:val="000000"/>
              </w:rPr>
              <w:t xml:space="preserve">, social and emotional </w:t>
            </w:r>
            <w:r w:rsidR="00F83586">
              <w:rPr>
                <w:rFonts w:eastAsia="Times New Roman" w:asciiTheme="majorHAnsi" w:hAnsiTheme="majorHAnsi" w:cstheme="majorHAnsi"/>
                <w:color w:val="000000"/>
              </w:rPr>
              <w:t>services  will</w:t>
            </w:r>
            <w:r w:rsidR="00F83586">
              <w:rPr>
                <w:rFonts w:eastAsia="Times New Roman" w:asciiTheme="majorHAnsi" w:hAnsiTheme="majorHAnsi" w:cstheme="majorHAnsi"/>
                <w:color w:val="000000"/>
              </w:rPr>
              <w:t xml:space="preserve"> now be tracked under this EC </w:t>
            </w:r>
          </w:p>
        </w:tc>
      </w:tr>
      <w:tr w14:paraId="6E69C64D" w14:textId="77777777" w:rsidTr="00A96CE3">
        <w:tblPrEx>
          <w:tblW w:w="9805" w:type="dxa"/>
          <w:tblLook w:val="04A0"/>
        </w:tblPrEx>
        <w:trPr>
          <w:trHeight w:val="70"/>
        </w:trPr>
        <w:tc>
          <w:tcPr>
            <w:tcW w:w="5472"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2E47BA" w:rsidRPr="00944301" w:rsidP="00B372EB" w14:paraId="06A58CFF" w14:textId="185C4824">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3.4     Education Assistance: Social, Emotional, and Mental Health Services*^</w:t>
            </w:r>
          </w:p>
        </w:tc>
        <w:tc>
          <w:tcPr>
            <w:tcW w:w="4333" w:type="dxa"/>
            <w:tcBorders>
              <w:top w:val="single" w:sz="4" w:space="0" w:color="auto"/>
              <w:left w:val="single" w:sz="4" w:space="0" w:color="auto"/>
              <w:bottom w:val="single" w:sz="4" w:space="0" w:color="auto"/>
              <w:right w:val="single" w:sz="4" w:space="0" w:color="auto"/>
            </w:tcBorders>
            <w:shd w:val="clear" w:color="auto" w:fill="FFFFFF" w:themeFill="background2"/>
          </w:tcPr>
          <w:p w:rsidR="002E47BA" w:rsidRPr="00944301" w:rsidP="00F83586" w14:paraId="181EBDF3" w14:textId="72772623">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2.26</w:t>
            </w:r>
            <w:r w:rsidR="00F83586">
              <w:rPr>
                <w:rFonts w:eastAsia="Times New Roman" w:asciiTheme="majorHAnsi" w:hAnsiTheme="majorHAnsi" w:cstheme="majorHAnsi"/>
                <w:color w:val="000000"/>
              </w:rPr>
              <w:t xml:space="preserve">, if social and emotional services, EC is 2.25; </w:t>
            </w:r>
          </w:p>
        </w:tc>
      </w:tr>
      <w:tr w14:paraId="6ACE043A"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6AE96C8F" w14:textId="366B90E3">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3.5     Education Assistance: Other*^</w:t>
            </w:r>
          </w:p>
        </w:tc>
        <w:tc>
          <w:tcPr>
            <w:tcW w:w="4333" w:type="dxa"/>
            <w:shd w:val="clear" w:color="auto" w:fill="FFFFFF" w:themeFill="background2"/>
          </w:tcPr>
          <w:p w:rsidR="002E47BA" w:rsidRPr="00944301" w:rsidP="00B372EB" w14:paraId="17F69C11" w14:textId="5FA405C2">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xml:space="preserve">, collected under Other Economic Impact </w:t>
            </w:r>
          </w:p>
        </w:tc>
      </w:tr>
      <w:tr w14:paraId="14BED030"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7C850CEB" w14:textId="0497CF5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3.6     Healthy Childhood Environments: Child Care*^</w:t>
            </w:r>
          </w:p>
        </w:tc>
        <w:tc>
          <w:tcPr>
            <w:tcW w:w="4333" w:type="dxa"/>
            <w:shd w:val="clear" w:color="auto" w:fill="FFFFFF" w:themeFill="background2"/>
          </w:tcPr>
          <w:p w:rsidR="002E47BA" w:rsidRPr="00944301" w:rsidP="00B372EB" w14:paraId="174D8A49" w14:textId="081C8C0F">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w:t>
            </w:r>
            <w:r w:rsidRPr="00944301" w:rsidR="00EF30E1">
              <w:rPr>
                <w:rFonts w:eastAsia="Times New Roman" w:asciiTheme="majorHAnsi" w:hAnsiTheme="majorHAnsi" w:cstheme="majorHAnsi"/>
                <w:color w:val="000000"/>
              </w:rPr>
              <w:t>1</w:t>
            </w:r>
          </w:p>
        </w:tc>
      </w:tr>
      <w:tr w14:paraId="2E4DED3C"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74587B8" w14:textId="52499E1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3.7     Healthy Childhood Environments: Home Visiting</w:t>
            </w:r>
            <w:r w:rsidRPr="00944301" w:rsidR="00944301">
              <w:rPr>
                <w:rFonts w:eastAsia="Times New Roman" w:asciiTheme="majorHAnsi" w:hAnsiTheme="majorHAnsi" w:cstheme="majorHAnsi"/>
                <w:color w:val="000000"/>
              </w:rPr>
              <w:t>*</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41748638" w14:textId="4A35D572">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w:t>
            </w:r>
            <w:r w:rsidRPr="00944301" w:rsidR="00EF30E1">
              <w:rPr>
                <w:rFonts w:eastAsia="Times New Roman" w:asciiTheme="majorHAnsi" w:hAnsiTheme="majorHAnsi" w:cstheme="majorHAnsi"/>
                <w:color w:val="000000"/>
              </w:rPr>
              <w:t>2</w:t>
            </w:r>
          </w:p>
        </w:tc>
      </w:tr>
      <w:tr w14:paraId="2B20F36F"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E92D6EF" w14:textId="3D2F216F">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3.8     Healthy Childhood Environments: Services to Foster Youth or Families Involved in Child Welfare System*^</w:t>
            </w:r>
          </w:p>
        </w:tc>
        <w:tc>
          <w:tcPr>
            <w:tcW w:w="4333" w:type="dxa"/>
            <w:shd w:val="clear" w:color="auto" w:fill="FFFFFF" w:themeFill="background2"/>
          </w:tcPr>
          <w:p w:rsidR="002E47BA" w:rsidRPr="00944301" w:rsidP="00B372EB" w14:paraId="624C7B3E" w14:textId="0E4A4086">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w:t>
            </w:r>
            <w:r w:rsidRPr="00944301" w:rsidR="00EF30E1">
              <w:rPr>
                <w:rFonts w:eastAsia="Times New Roman" w:asciiTheme="majorHAnsi" w:hAnsiTheme="majorHAnsi" w:cstheme="majorHAnsi"/>
                <w:color w:val="000000"/>
              </w:rPr>
              <w:t>3</w:t>
            </w:r>
          </w:p>
        </w:tc>
      </w:tr>
      <w:tr w14:paraId="682F1B33"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2A27B11B" w14:textId="49725339">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3.9     Healthy Childhood Environments: Other*^</w:t>
            </w:r>
          </w:p>
        </w:tc>
        <w:tc>
          <w:tcPr>
            <w:tcW w:w="4333" w:type="dxa"/>
            <w:shd w:val="clear" w:color="auto" w:fill="FFFFFF" w:themeFill="background2"/>
          </w:tcPr>
          <w:p w:rsidR="002E47BA" w:rsidRPr="00944301" w:rsidP="00B372EB" w14:paraId="4FC23319" w14:textId="327DCF26">
            <w:pPr>
              <w:spacing w:after="0" w:line="240" w:lineRule="auto"/>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collected under Other Economic Impact</w:t>
            </w:r>
          </w:p>
        </w:tc>
      </w:tr>
      <w:tr w14:paraId="3FC57E96"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2335A8D" w14:textId="1730B64D">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3.10   Housing Support: Affordable Housing*^</w:t>
            </w:r>
          </w:p>
        </w:tc>
        <w:tc>
          <w:tcPr>
            <w:tcW w:w="4333" w:type="dxa"/>
            <w:shd w:val="clear" w:color="auto" w:fill="FFFFFF" w:themeFill="background2"/>
          </w:tcPr>
          <w:p w:rsidR="002E47BA" w:rsidRPr="00944301" w:rsidP="00B372EB" w14:paraId="3725CA0F"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2.15</w:t>
            </w:r>
          </w:p>
        </w:tc>
      </w:tr>
      <w:tr w14:paraId="04763CF9"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169611DE" w14:textId="01A57BCF">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3.11   Housing Support</w:t>
            </w:r>
            <w:r w:rsidRPr="00944301">
              <w:rPr>
                <w:rFonts w:eastAsia="Times New Roman" w:asciiTheme="majorHAnsi" w:hAnsiTheme="majorHAnsi" w:cstheme="majorHAnsi"/>
              </w:rPr>
              <w:t>:</w:t>
            </w:r>
            <w:r w:rsidRPr="00944301">
              <w:rPr>
                <w:rFonts w:eastAsia="Times New Roman" w:asciiTheme="majorHAnsi" w:hAnsiTheme="majorHAnsi" w:cstheme="majorHAnsi"/>
              </w:rPr>
              <w:t xml:space="preserve"> </w:t>
            </w:r>
            <w:r w:rsidRPr="00944301">
              <w:rPr>
                <w:rFonts w:eastAsia="Times New Roman" w:asciiTheme="majorHAnsi" w:hAnsiTheme="majorHAnsi" w:cstheme="majorHAnsi"/>
              </w:rPr>
              <w:t>Services for Unhoused Persons*</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16382F2B"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2.16</w:t>
            </w:r>
          </w:p>
        </w:tc>
      </w:tr>
      <w:tr w14:paraId="074B3946"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470DC059" w14:textId="2FED6DDD">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3.12   Housing Support</w:t>
            </w:r>
            <w:r w:rsidRPr="00944301">
              <w:rPr>
                <w:rFonts w:eastAsia="Times New Roman" w:asciiTheme="majorHAnsi" w:hAnsiTheme="majorHAnsi" w:cstheme="majorHAnsi"/>
              </w:rPr>
              <w:t>: Other Housing Assistance*</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7598F065"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2.18</w:t>
            </w:r>
          </w:p>
        </w:tc>
      </w:tr>
      <w:tr w14:paraId="687B069D"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6BE0D92A" w14:textId="08702D38">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3.13   Social Determinants of Health: Other*</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2BF81CF1" w14:textId="1F80BF52">
            <w:pPr>
              <w:spacing w:after="0" w:line="240" w:lineRule="auto"/>
              <w:rPr>
                <w:rFonts w:eastAsia="Times New Roman" w:asciiTheme="majorHAnsi" w:hAnsiTheme="majorHAnsi" w:cstheme="majorHAnsi"/>
              </w:rPr>
            </w:pPr>
            <w:r w:rsidRPr="00944301">
              <w:rPr>
                <w:rFonts w:eastAsia="Times New Roman" w:asciiTheme="majorHAnsi" w:hAnsiTheme="majorHAnsi" w:cstheme="majorHAnsi"/>
                <w:color w:val="000000"/>
              </w:rPr>
              <w:t>EC is 2.3</w:t>
            </w:r>
            <w:r w:rsidR="00FE3FDE">
              <w:rPr>
                <w:rFonts w:eastAsia="Times New Roman" w:asciiTheme="majorHAnsi" w:hAnsiTheme="majorHAnsi" w:cstheme="majorHAnsi"/>
                <w:color w:val="000000"/>
              </w:rPr>
              <w:t>7</w:t>
            </w:r>
            <w:r w:rsidRPr="00944301">
              <w:rPr>
                <w:rFonts w:eastAsia="Times New Roman" w:asciiTheme="majorHAnsi" w:hAnsiTheme="majorHAnsi" w:cstheme="majorHAnsi"/>
                <w:color w:val="000000"/>
              </w:rPr>
              <w:t>, collected under Other Economic Impact</w:t>
            </w:r>
          </w:p>
        </w:tc>
      </w:tr>
      <w:tr w14:paraId="7D2EBEB0"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52B9B6A9" w14:textId="17807A7B">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3.14   Social Determinants of Health: Community Health Workers or Benefits Navigators*</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39A15460"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2.19</w:t>
            </w:r>
          </w:p>
        </w:tc>
      </w:tr>
      <w:tr w14:paraId="60716192" w14:textId="77777777" w:rsidTr="002E293D">
        <w:tblPrEx>
          <w:tblW w:w="9805" w:type="dxa"/>
          <w:tblLook w:val="04A0"/>
        </w:tblPrEx>
        <w:trPr>
          <w:trHeight w:val="290"/>
        </w:trPr>
        <w:tc>
          <w:tcPr>
            <w:tcW w:w="5472" w:type="dxa"/>
            <w:shd w:val="clear" w:color="auto" w:fill="FFFFFF" w:themeFill="background2"/>
            <w:noWrap/>
            <w:hideMark/>
          </w:tcPr>
          <w:p w:rsidR="002E47BA" w:rsidRPr="00944301" w:rsidP="00B372EB" w14:paraId="055661A6" w14:textId="6AC73EE3">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3.15   Social Determinants of Health: Lead Remediation</w:t>
            </w:r>
            <w:r w:rsidRPr="00944301">
              <w:rPr>
                <w:rFonts w:eastAsia="Times New Roman" w:asciiTheme="majorHAnsi" w:hAnsiTheme="majorHAnsi" w:cstheme="majorHAnsi"/>
                <w:color w:val="000000"/>
              </w:rPr>
              <w:t>^</w:t>
            </w:r>
          </w:p>
        </w:tc>
        <w:tc>
          <w:tcPr>
            <w:tcW w:w="4333" w:type="dxa"/>
            <w:shd w:val="clear" w:color="auto" w:fill="FFFFFF" w:themeFill="background2"/>
          </w:tcPr>
          <w:p w:rsidR="002E47BA" w:rsidRPr="00944301" w:rsidP="00B372EB" w14:paraId="5DECCC95" w14:textId="77777777">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rPr>
              <w:t>EC is 2.20</w:t>
            </w:r>
          </w:p>
        </w:tc>
      </w:tr>
      <w:tr w14:paraId="607C1D50" w14:textId="77777777" w:rsidTr="002E293D">
        <w:tblPrEx>
          <w:tblW w:w="9805" w:type="dxa"/>
          <w:tblLook w:val="04A0"/>
        </w:tblPrEx>
        <w:trPr>
          <w:trHeight w:val="290"/>
        </w:trPr>
        <w:tc>
          <w:tcPr>
            <w:tcW w:w="5472" w:type="dxa"/>
            <w:shd w:val="clear" w:color="auto" w:fill="FFFFFF" w:themeFill="background2"/>
            <w:noWrap/>
          </w:tcPr>
          <w:p w:rsidR="002E47BA" w:rsidRPr="00944301" w:rsidP="00B372EB" w14:paraId="78B8F806" w14:textId="0F1D8C16">
            <w:pPr>
              <w:spacing w:after="0" w:line="240" w:lineRule="auto"/>
              <w:ind w:left="604" w:hanging="604"/>
              <w:rPr>
                <w:rFonts w:eastAsia="Times New Roman" w:asciiTheme="majorHAnsi" w:hAnsiTheme="majorHAnsi" w:cstheme="majorHAnsi"/>
              </w:rPr>
            </w:pPr>
            <w:r w:rsidRPr="00944301">
              <w:rPr>
                <w:rFonts w:eastAsia="Times New Roman" w:asciiTheme="majorHAnsi" w:hAnsiTheme="majorHAnsi" w:cstheme="majorHAnsi"/>
                <w:color w:val="000000"/>
              </w:rPr>
              <w:t>3.16   Social Determinants of Health: Community Violence Interventions*^</w:t>
            </w:r>
          </w:p>
        </w:tc>
        <w:tc>
          <w:tcPr>
            <w:tcW w:w="4333" w:type="dxa"/>
            <w:shd w:val="clear" w:color="auto" w:fill="FFFFFF" w:themeFill="background2"/>
          </w:tcPr>
          <w:p w:rsidR="002E47BA" w:rsidRPr="00944301" w:rsidP="00B372EB" w14:paraId="6B100426" w14:textId="77777777">
            <w:pPr>
              <w:spacing w:after="0" w:line="240" w:lineRule="auto"/>
              <w:ind w:left="604" w:hanging="604"/>
              <w:rPr>
                <w:rFonts w:eastAsia="Times New Roman" w:asciiTheme="majorHAnsi" w:hAnsiTheme="majorHAnsi" w:cstheme="majorHAnsi"/>
                <w:color w:val="000000"/>
              </w:rPr>
            </w:pPr>
            <w:r w:rsidRPr="00944301">
              <w:rPr>
                <w:rFonts w:eastAsia="Times New Roman" w:asciiTheme="majorHAnsi" w:hAnsiTheme="majorHAnsi" w:cstheme="majorHAnsi"/>
                <w:color w:val="000000"/>
              </w:rPr>
              <w:t>EC is 1.11</w:t>
            </w:r>
          </w:p>
        </w:tc>
      </w:tr>
      <w:tr w14:paraId="11A39C03" w14:textId="77777777" w:rsidTr="00FE3FDE">
        <w:tblPrEx>
          <w:tblW w:w="9805" w:type="dxa"/>
          <w:tblLook w:val="04A0"/>
        </w:tblPrEx>
        <w:trPr>
          <w:trHeight w:val="290"/>
        </w:trPr>
        <w:tc>
          <w:tcPr>
            <w:tcW w:w="9805" w:type="dxa"/>
            <w:gridSpan w:val="2"/>
            <w:tcBorders>
              <w:top w:val="single" w:sz="4" w:space="0" w:color="auto"/>
              <w:left w:val="single" w:sz="4" w:space="0" w:color="auto"/>
              <w:bottom w:val="single" w:sz="4" w:space="0" w:color="auto"/>
              <w:right w:val="single" w:sz="4" w:space="0" w:color="auto"/>
            </w:tcBorders>
            <w:shd w:val="clear" w:color="auto" w:fill="99CCFF"/>
          </w:tcPr>
          <w:p w:rsidR="00944301" w:rsidRPr="00BC5DE7" w:rsidP="00B372EB" w14:paraId="2CF6C300" w14:textId="7D796884">
            <w:pPr>
              <w:spacing w:after="0" w:line="240" w:lineRule="auto"/>
              <w:rPr>
                <w:rFonts w:eastAsia="Times New Roman" w:asciiTheme="majorHAnsi" w:hAnsiTheme="majorHAnsi" w:cstheme="majorHAnsi"/>
                <w:b/>
                <w:bCs/>
              </w:rPr>
            </w:pPr>
            <w:r>
              <w:rPr>
                <w:rFonts w:eastAsia="Times New Roman" w:asciiTheme="majorHAnsi" w:hAnsiTheme="majorHAnsi" w:cstheme="majorHAnsi"/>
                <w:b/>
                <w:bCs/>
              </w:rPr>
              <w:t>5</w:t>
            </w:r>
            <w:r w:rsidRPr="00BC5DE7">
              <w:rPr>
                <w:rFonts w:eastAsia="Times New Roman" w:asciiTheme="majorHAnsi" w:hAnsiTheme="majorHAnsi" w:cstheme="majorHAnsi"/>
                <w:b/>
                <w:bCs/>
              </w:rPr>
              <w:t xml:space="preserve">: </w:t>
            </w:r>
            <w:r>
              <w:rPr>
                <w:rFonts w:eastAsia="Times New Roman" w:asciiTheme="majorHAnsi" w:hAnsiTheme="majorHAnsi" w:cstheme="majorHAnsi"/>
                <w:b/>
                <w:bCs/>
              </w:rPr>
              <w:t xml:space="preserve">Infrastructure </w:t>
            </w:r>
          </w:p>
        </w:tc>
      </w:tr>
      <w:tr w14:paraId="287843FE" w14:textId="77777777" w:rsidTr="002E293D">
        <w:tblPrEx>
          <w:tblW w:w="9805" w:type="dxa"/>
          <w:tblLook w:val="04A0"/>
        </w:tblPrEx>
        <w:trPr>
          <w:trHeight w:val="290"/>
        </w:trPr>
        <w:tc>
          <w:tcPr>
            <w:tcW w:w="5472" w:type="dxa"/>
            <w:shd w:val="clear" w:color="auto" w:fill="auto"/>
            <w:noWrap/>
          </w:tcPr>
          <w:p w:rsidR="002E47BA" w:rsidRPr="00BC5DE7" w:rsidP="00B372EB" w14:paraId="6283CE14"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5.16   Broadband: “Last Mile” projects</w:t>
            </w:r>
          </w:p>
        </w:tc>
        <w:tc>
          <w:tcPr>
            <w:tcW w:w="4333" w:type="dxa"/>
          </w:tcPr>
          <w:p w:rsidR="002E47BA" w:rsidRPr="00BC5DE7" w:rsidP="00B372EB" w14:paraId="7585C8E1"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EC is 5.19</w:t>
            </w:r>
          </w:p>
        </w:tc>
      </w:tr>
      <w:tr w14:paraId="197A5B76" w14:textId="77777777" w:rsidTr="002E293D">
        <w:tblPrEx>
          <w:tblW w:w="9805" w:type="dxa"/>
          <w:tblLook w:val="04A0"/>
        </w:tblPrEx>
        <w:trPr>
          <w:trHeight w:val="290"/>
        </w:trPr>
        <w:tc>
          <w:tcPr>
            <w:tcW w:w="5472" w:type="dxa"/>
            <w:shd w:val="clear" w:color="auto" w:fill="auto"/>
            <w:noWrap/>
          </w:tcPr>
          <w:p w:rsidR="002E47BA" w:rsidRPr="00BC5DE7" w:rsidP="00B372EB" w14:paraId="28D5429D"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5.17   Broadband: Other projects</w:t>
            </w:r>
          </w:p>
        </w:tc>
        <w:tc>
          <w:tcPr>
            <w:tcW w:w="4333" w:type="dxa"/>
          </w:tcPr>
          <w:p w:rsidR="002E47BA" w:rsidRPr="00BC5DE7" w:rsidP="00B372EB" w14:paraId="186944A0" w14:textId="77777777">
            <w:pPr>
              <w:spacing w:after="0" w:line="240" w:lineRule="auto"/>
              <w:ind w:left="604" w:hanging="604"/>
              <w:rPr>
                <w:rFonts w:eastAsia="Times New Roman" w:asciiTheme="majorHAnsi" w:hAnsiTheme="majorHAnsi" w:cstheme="majorHAnsi"/>
              </w:rPr>
            </w:pPr>
            <w:r w:rsidRPr="00BC5DE7">
              <w:rPr>
                <w:rFonts w:eastAsia="Times New Roman" w:asciiTheme="majorHAnsi" w:hAnsiTheme="majorHAnsi" w:cstheme="majorHAnsi"/>
              </w:rPr>
              <w:t>EC is 5.20</w:t>
            </w:r>
          </w:p>
        </w:tc>
      </w:tr>
      <w:tr w14:paraId="7B89EDE2" w14:textId="77777777" w:rsidTr="00FE3FDE">
        <w:tblPrEx>
          <w:tblW w:w="9805" w:type="dxa"/>
          <w:tblLook w:val="04A0"/>
        </w:tblPrEx>
        <w:trPr>
          <w:trHeight w:val="290"/>
        </w:trPr>
        <w:tc>
          <w:tcPr>
            <w:tcW w:w="9805" w:type="dxa"/>
            <w:gridSpan w:val="2"/>
            <w:shd w:val="clear" w:color="auto" w:fill="99CCFF"/>
            <w:noWrap/>
            <w:hideMark/>
          </w:tcPr>
          <w:p w:rsidR="00944301" w:rsidRPr="00BC5DE7" w:rsidP="00B372EB" w14:paraId="7D247ADA" w14:textId="44B2A48F">
            <w:pPr>
              <w:spacing w:after="0" w:line="240" w:lineRule="auto"/>
              <w:rPr>
                <w:rFonts w:eastAsia="Times New Roman" w:asciiTheme="majorHAnsi" w:hAnsiTheme="majorHAnsi" w:cstheme="majorHAnsi"/>
                <w:b/>
                <w:bCs/>
              </w:rPr>
            </w:pPr>
            <w:r w:rsidRPr="00BC5DE7">
              <w:rPr>
                <w:rFonts w:eastAsia="Times New Roman" w:asciiTheme="majorHAnsi" w:hAnsiTheme="majorHAnsi" w:cstheme="majorHAnsi"/>
                <w:b/>
                <w:bCs/>
              </w:rPr>
              <w:t xml:space="preserve">7: Administrative </w:t>
            </w:r>
          </w:p>
        </w:tc>
      </w:tr>
      <w:tr w14:paraId="4C536ECF" w14:textId="77777777" w:rsidTr="002E293D">
        <w:tblPrEx>
          <w:tblW w:w="9805" w:type="dxa"/>
          <w:tblLook w:val="04A0"/>
        </w:tblPrEx>
        <w:trPr>
          <w:trHeight w:val="290"/>
        </w:trPr>
        <w:tc>
          <w:tcPr>
            <w:tcW w:w="5472" w:type="dxa"/>
            <w:shd w:val="clear" w:color="auto" w:fill="auto"/>
            <w:noWrap/>
          </w:tcPr>
          <w:p w:rsidR="002E47BA" w:rsidRPr="00944301" w:rsidP="00B372EB" w14:paraId="02EB5D5B" w14:textId="77777777">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 xml:space="preserve">7.2     Evaluation and Data Analysis </w:t>
            </w:r>
          </w:p>
        </w:tc>
        <w:tc>
          <w:tcPr>
            <w:tcW w:w="4333" w:type="dxa"/>
          </w:tcPr>
          <w:p w:rsidR="002E47BA" w:rsidRPr="00944301" w:rsidP="00B372EB" w14:paraId="1A6914E6" w14:textId="7C18F584">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EC is 3.4</w:t>
            </w:r>
            <w:r w:rsidR="00B50F56">
              <w:rPr>
                <w:rFonts w:eastAsia="Times New Roman" w:asciiTheme="majorHAnsi" w:hAnsiTheme="majorHAnsi" w:cstheme="majorHAnsi"/>
              </w:rPr>
              <w:t xml:space="preserve"> and</w:t>
            </w:r>
            <w:r w:rsidRPr="00944301" w:rsidR="00B50F56">
              <w:rPr>
                <w:rFonts w:eastAsia="Times New Roman" w:asciiTheme="majorHAnsi" w:hAnsiTheme="majorHAnsi" w:cstheme="majorHAnsi"/>
              </w:rPr>
              <w:t xml:space="preserve"> has been renamed Effective Service Delivery </w:t>
            </w:r>
          </w:p>
        </w:tc>
      </w:tr>
      <w:tr w14:paraId="1AB0B296" w14:textId="77777777" w:rsidTr="00FE3FDE">
        <w:tblPrEx>
          <w:tblW w:w="9805" w:type="dxa"/>
          <w:tblLook w:val="04A0"/>
        </w:tblPrEx>
        <w:trPr>
          <w:trHeight w:val="290"/>
        </w:trPr>
        <w:tc>
          <w:tcPr>
            <w:tcW w:w="5472" w:type="dxa"/>
            <w:tcBorders>
              <w:top w:val="single" w:sz="4" w:space="0" w:color="auto"/>
              <w:left w:val="single" w:sz="4" w:space="0" w:color="auto"/>
              <w:bottom w:val="single" w:sz="4" w:space="0" w:color="auto"/>
              <w:right w:val="single" w:sz="4" w:space="0" w:color="auto"/>
            </w:tcBorders>
            <w:shd w:val="clear" w:color="auto" w:fill="auto"/>
          </w:tcPr>
          <w:p w:rsidR="002E47BA" w:rsidRPr="00944301" w:rsidP="00B372EB" w14:paraId="37CECEF8" w14:textId="77777777">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7.3     Transfers to Other Units of Government</w:t>
            </w:r>
          </w:p>
        </w:tc>
        <w:tc>
          <w:tcPr>
            <w:tcW w:w="4333" w:type="dxa"/>
            <w:tcBorders>
              <w:top w:val="single" w:sz="4" w:space="0" w:color="auto"/>
              <w:left w:val="single" w:sz="4" w:space="0" w:color="auto"/>
              <w:bottom w:val="single" w:sz="4" w:space="0" w:color="auto"/>
              <w:right w:val="single" w:sz="4" w:space="0" w:color="auto"/>
            </w:tcBorders>
          </w:tcPr>
          <w:p w:rsidR="002E47BA" w:rsidRPr="00944301" w:rsidP="00B372EB" w14:paraId="13E6DCC8" w14:textId="12DA13DE">
            <w:pPr>
              <w:spacing w:after="0" w:line="240" w:lineRule="auto"/>
              <w:rPr>
                <w:rFonts w:eastAsia="Times New Roman" w:asciiTheme="majorHAnsi" w:hAnsiTheme="majorHAnsi" w:cstheme="majorHAnsi"/>
              </w:rPr>
            </w:pPr>
            <w:r w:rsidRPr="00944301">
              <w:rPr>
                <w:rFonts w:eastAsia="Times New Roman" w:asciiTheme="majorHAnsi" w:hAnsiTheme="majorHAnsi" w:cstheme="majorHAnsi"/>
              </w:rPr>
              <w:t xml:space="preserve">EC is 7.2 </w:t>
            </w:r>
          </w:p>
        </w:tc>
      </w:tr>
      <w:tr w14:paraId="5ABB5BD7" w14:textId="77777777" w:rsidTr="002E293D">
        <w:tblPrEx>
          <w:tblW w:w="9805" w:type="dxa"/>
          <w:tblLook w:val="04A0"/>
        </w:tblPrEx>
        <w:trPr>
          <w:trHeight w:val="290"/>
        </w:trPr>
        <w:tc>
          <w:tcPr>
            <w:tcW w:w="5472" w:type="dxa"/>
            <w:shd w:val="clear" w:color="auto" w:fill="auto"/>
            <w:noWrap/>
          </w:tcPr>
          <w:p w:rsidR="002E47BA" w:rsidRPr="00944301" w:rsidP="0052725B" w14:paraId="07BFD460" w14:textId="21DF9C22">
            <w:pPr>
              <w:spacing w:after="0" w:line="240" w:lineRule="auto"/>
              <w:ind w:left="610" w:hanging="630"/>
              <w:rPr>
                <w:rFonts w:eastAsia="Times New Roman" w:asciiTheme="majorHAnsi" w:hAnsiTheme="majorHAnsi" w:cstheme="majorHAnsi"/>
              </w:rPr>
            </w:pPr>
            <w:r w:rsidRPr="00944301">
              <w:rPr>
                <w:rFonts w:eastAsia="Times New Roman" w:asciiTheme="majorHAnsi" w:hAnsiTheme="majorHAnsi" w:cstheme="majorHAnsi"/>
              </w:rPr>
              <w:t xml:space="preserve">7.4     Transfers to Non-entitlement Units (States and </w:t>
            </w:r>
            <w:r w:rsidR="005E3A59">
              <w:rPr>
                <w:rFonts w:eastAsia="Times New Roman" w:asciiTheme="majorHAnsi" w:hAnsiTheme="majorHAnsi" w:cstheme="majorHAnsi"/>
              </w:rPr>
              <w:t xml:space="preserve">   </w:t>
            </w:r>
            <w:r w:rsidR="000E2190">
              <w:rPr>
                <w:rFonts w:eastAsia="Times New Roman" w:asciiTheme="majorHAnsi" w:hAnsiTheme="majorHAnsi" w:cstheme="majorHAnsi"/>
              </w:rPr>
              <w:t xml:space="preserve">   </w:t>
            </w:r>
            <w:r w:rsidRPr="00944301">
              <w:rPr>
                <w:rFonts w:eastAsia="Times New Roman" w:asciiTheme="majorHAnsi" w:hAnsiTheme="majorHAnsi" w:cstheme="majorHAnsi"/>
              </w:rPr>
              <w:t>territories only)</w:t>
            </w:r>
          </w:p>
        </w:tc>
        <w:tc>
          <w:tcPr>
            <w:tcW w:w="4333" w:type="dxa"/>
          </w:tcPr>
          <w:p w:rsidR="002E47BA" w:rsidRPr="00944301" w:rsidP="00B372EB" w14:paraId="65431CF9" w14:textId="5338D9A7">
            <w:pPr>
              <w:spacing w:after="0" w:line="240" w:lineRule="auto"/>
              <w:rPr>
                <w:rFonts w:eastAsia="Times New Roman" w:asciiTheme="majorHAnsi" w:hAnsiTheme="majorHAnsi" w:cstheme="majorHAnsi"/>
              </w:rPr>
            </w:pPr>
            <w:r>
              <w:rPr>
                <w:rFonts w:eastAsia="Times New Roman" w:asciiTheme="majorHAnsi" w:hAnsiTheme="majorHAnsi" w:cstheme="majorHAnsi"/>
              </w:rPr>
              <w:t>To be separately reported as part of NEU/Non-UGLG module. Refer to Part 2 Section D.</w:t>
            </w:r>
          </w:p>
        </w:tc>
      </w:tr>
    </w:tbl>
    <w:p w:rsidR="002E47BA" w:rsidP="10A9F656" w14:paraId="0942981B" w14:textId="77777777">
      <w:pPr>
        <w:pStyle w:val="NoSpacing"/>
        <w:spacing w:after="120"/>
        <w:jc w:val="both"/>
        <w:rPr>
          <w:rFonts w:eastAsiaTheme="minorEastAsia"/>
        </w:rPr>
      </w:pPr>
    </w:p>
    <w:p w:rsidR="00F25965" w:rsidRPr="00440EF3" w:rsidP="00FD6A50" w14:paraId="7FF9EC99" w14:textId="77777777">
      <w:pPr>
        <w:pStyle w:val="NoSpacing"/>
        <w:jc w:val="both"/>
        <w:rPr>
          <w:rFonts w:asciiTheme="majorHAnsi" w:hAnsiTheme="majorHAnsi" w:cstheme="majorHAnsi"/>
          <w:b/>
          <w:bCs/>
        </w:rPr>
      </w:pPr>
    </w:p>
    <w:bookmarkEnd w:id="24"/>
    <w:bookmarkEnd w:id="25"/>
    <w:p w:rsidR="00CA42B3" w:rsidP="00FD6A50" w14:paraId="6BFEEF3F" w14:textId="77777777">
      <w:pPr>
        <w:pStyle w:val="NoSpacing"/>
        <w:jc w:val="both"/>
        <w:rPr>
          <w:rFonts w:asciiTheme="majorHAnsi" w:hAnsiTheme="majorHAnsi" w:cstheme="majorBidi"/>
          <w:b/>
          <w:sz w:val="24"/>
          <w:szCs w:val="24"/>
        </w:rPr>
      </w:pPr>
    </w:p>
    <w:p w:rsidR="00CA42B3" w:rsidP="00FD6A50" w14:paraId="1555A940" w14:textId="77777777">
      <w:pPr>
        <w:pStyle w:val="NoSpacing"/>
        <w:jc w:val="both"/>
        <w:rPr>
          <w:rFonts w:asciiTheme="majorHAnsi" w:hAnsiTheme="majorHAnsi" w:cstheme="majorBidi"/>
          <w:b/>
          <w:sz w:val="24"/>
          <w:szCs w:val="24"/>
        </w:rPr>
      </w:pPr>
    </w:p>
    <w:p w:rsidR="00CA42B3" w:rsidP="00FD6A50" w14:paraId="5635E4E3" w14:textId="77777777">
      <w:pPr>
        <w:pStyle w:val="NoSpacing"/>
        <w:jc w:val="both"/>
        <w:rPr>
          <w:rFonts w:asciiTheme="majorHAnsi" w:hAnsiTheme="majorHAnsi" w:cstheme="majorBidi"/>
          <w:b/>
          <w:sz w:val="24"/>
          <w:szCs w:val="24"/>
        </w:rPr>
      </w:pPr>
    </w:p>
    <w:p w:rsidR="00CA42B3" w:rsidP="00FD6A50" w14:paraId="08BC6939" w14:textId="77777777">
      <w:pPr>
        <w:pStyle w:val="NoSpacing"/>
        <w:jc w:val="both"/>
        <w:rPr>
          <w:rFonts w:asciiTheme="majorHAnsi" w:hAnsiTheme="majorHAnsi" w:cstheme="majorBidi"/>
          <w:b/>
          <w:sz w:val="24"/>
          <w:szCs w:val="24"/>
        </w:rPr>
      </w:pPr>
    </w:p>
    <w:p w:rsidR="00CA42B3" w:rsidP="00FD6A50" w14:paraId="65FCCD89" w14:textId="77777777">
      <w:pPr>
        <w:pStyle w:val="NoSpacing"/>
        <w:jc w:val="both"/>
        <w:rPr>
          <w:rFonts w:asciiTheme="majorHAnsi" w:hAnsiTheme="majorHAnsi" w:cstheme="majorBidi"/>
          <w:b/>
          <w:sz w:val="24"/>
          <w:szCs w:val="24"/>
        </w:rPr>
      </w:pPr>
    </w:p>
    <w:p w:rsidR="00CA42B3" w:rsidP="00FD6A50" w14:paraId="1948ED41" w14:textId="77777777">
      <w:pPr>
        <w:pStyle w:val="NoSpacing"/>
        <w:jc w:val="both"/>
        <w:rPr>
          <w:rFonts w:asciiTheme="majorHAnsi" w:hAnsiTheme="majorHAnsi" w:cstheme="majorBidi"/>
          <w:b/>
          <w:sz w:val="24"/>
          <w:szCs w:val="24"/>
        </w:rPr>
      </w:pPr>
    </w:p>
    <w:p w:rsidR="00CA42B3" w:rsidP="00FD6A50" w14:paraId="4C85D706" w14:textId="77777777">
      <w:pPr>
        <w:pStyle w:val="NoSpacing"/>
        <w:jc w:val="both"/>
        <w:rPr>
          <w:rFonts w:asciiTheme="majorHAnsi" w:hAnsiTheme="majorHAnsi" w:cstheme="majorBidi"/>
          <w:b/>
          <w:sz w:val="24"/>
          <w:szCs w:val="24"/>
        </w:rPr>
      </w:pPr>
    </w:p>
    <w:p w:rsidR="00CA42B3" w:rsidP="00FD6A50" w14:paraId="4A653D92" w14:textId="77777777">
      <w:pPr>
        <w:pStyle w:val="NoSpacing"/>
        <w:jc w:val="both"/>
        <w:rPr>
          <w:rFonts w:asciiTheme="majorHAnsi" w:hAnsiTheme="majorHAnsi" w:cstheme="majorBidi"/>
          <w:b/>
          <w:sz w:val="24"/>
          <w:szCs w:val="24"/>
        </w:rPr>
      </w:pPr>
    </w:p>
    <w:p w:rsidR="00CA42B3" w:rsidP="00FD6A50" w14:paraId="48D70172" w14:textId="77777777">
      <w:pPr>
        <w:pStyle w:val="NoSpacing"/>
        <w:jc w:val="both"/>
        <w:rPr>
          <w:rFonts w:asciiTheme="majorHAnsi" w:hAnsiTheme="majorHAnsi" w:cstheme="majorBidi"/>
          <w:b/>
          <w:sz w:val="24"/>
          <w:szCs w:val="24"/>
        </w:rPr>
      </w:pPr>
    </w:p>
    <w:p w:rsidR="00CA42B3" w:rsidP="00FD6A50" w14:paraId="111CF560" w14:textId="77777777">
      <w:pPr>
        <w:pStyle w:val="NoSpacing"/>
        <w:jc w:val="both"/>
        <w:rPr>
          <w:rFonts w:asciiTheme="majorHAnsi" w:hAnsiTheme="majorHAnsi" w:cstheme="majorBidi"/>
          <w:b/>
          <w:sz w:val="24"/>
          <w:szCs w:val="24"/>
        </w:rPr>
      </w:pPr>
    </w:p>
    <w:p w:rsidR="00550815" w14:paraId="676674F6" w14:textId="77777777">
      <w:pPr>
        <w:rPr>
          <w:rFonts w:asciiTheme="majorHAnsi" w:hAnsiTheme="majorHAnsi" w:cstheme="majorBidi"/>
          <w:b/>
          <w:sz w:val="24"/>
          <w:szCs w:val="24"/>
        </w:rPr>
      </w:pPr>
      <w:r>
        <w:rPr>
          <w:rFonts w:asciiTheme="majorHAnsi" w:hAnsiTheme="majorHAnsi" w:cstheme="majorBidi"/>
          <w:b/>
          <w:sz w:val="24"/>
          <w:szCs w:val="24"/>
        </w:rPr>
        <w:br w:type="page"/>
      </w:r>
    </w:p>
    <w:p w:rsidR="007361BE" w:rsidRPr="009859D1" w:rsidP="00FD6A50" w14:paraId="1F23CCD9" w14:textId="07AF33E4">
      <w:pPr>
        <w:pStyle w:val="NoSpacing"/>
        <w:jc w:val="both"/>
        <w:rPr>
          <w:rFonts w:asciiTheme="majorHAnsi" w:hAnsiTheme="majorHAnsi" w:cstheme="majorBidi"/>
          <w:b/>
          <w:sz w:val="24"/>
          <w:szCs w:val="24"/>
        </w:rPr>
      </w:pPr>
      <w:r w:rsidRPr="00A86FEA">
        <w:rPr>
          <w:rFonts w:asciiTheme="majorHAnsi" w:hAnsiTheme="majorHAnsi" w:cstheme="majorBidi"/>
          <w:b/>
          <w:sz w:val="24"/>
          <w:szCs w:val="24"/>
        </w:rPr>
        <w:t xml:space="preserve">Appendix 2: </w:t>
      </w:r>
      <w:r w:rsidRPr="00A86FEA" w:rsidR="00E56643">
        <w:rPr>
          <w:rFonts w:asciiTheme="majorHAnsi" w:hAnsiTheme="majorHAnsi" w:cstheme="majorBidi"/>
          <w:b/>
          <w:sz w:val="24"/>
          <w:szCs w:val="24"/>
        </w:rPr>
        <w:t>Evidenced-Based Intervention Additional Information</w:t>
      </w:r>
    </w:p>
    <w:p w:rsidR="007361BE" w:rsidRPr="00440EF3" w:rsidP="00FD6A50" w14:paraId="3B7664A5" w14:textId="6EBE14BF">
      <w:pPr>
        <w:pStyle w:val="NoSpacing"/>
        <w:jc w:val="both"/>
        <w:rPr>
          <w:rFonts w:asciiTheme="majorHAnsi" w:hAnsiTheme="majorHAnsi" w:cstheme="majorHAnsi"/>
          <w:b/>
          <w:bCs/>
        </w:rPr>
      </w:pPr>
    </w:p>
    <w:p w:rsidR="007361BE" w:rsidRPr="00A86FEA" w:rsidP="00A86FEA" w14:paraId="56065858" w14:textId="7199E58F">
      <w:pPr>
        <w:spacing w:after="0" w:line="240" w:lineRule="auto"/>
        <w:jc w:val="both"/>
        <w:rPr>
          <w:rFonts w:asciiTheme="majorHAnsi" w:hAnsiTheme="majorHAnsi" w:cstheme="majorBidi"/>
          <w:b/>
        </w:rPr>
      </w:pPr>
      <w:r w:rsidRPr="00A86FEA">
        <w:rPr>
          <w:rFonts w:asciiTheme="majorHAnsi" w:hAnsiTheme="majorHAnsi" w:cstheme="majorBidi"/>
          <w:b/>
        </w:rPr>
        <w:t xml:space="preserve">What is evidence-based? </w:t>
      </w:r>
    </w:p>
    <w:p w:rsidR="007361BE" w:rsidRPr="000F6C2C" w14:paraId="4C781597" w14:textId="57041141">
      <w:pPr>
        <w:spacing w:after="0" w:line="240" w:lineRule="auto"/>
        <w:jc w:val="both"/>
        <w:rPr>
          <w:rFonts w:asciiTheme="majorHAnsi" w:hAnsiTheme="majorHAnsi"/>
        </w:rPr>
      </w:pPr>
      <w:r w:rsidRPr="009859D1">
        <w:rPr>
          <w:rFonts w:asciiTheme="majorHAnsi" w:hAnsiTheme="majorHAnsi" w:cstheme="majorBidi"/>
        </w:rPr>
        <w:t xml:space="preserve">For the purposes of the SLFRF, </w:t>
      </w:r>
      <w:r w:rsidRPr="3907CA7B" w:rsidR="3907CA7B">
        <w:rPr>
          <w:rFonts w:asciiTheme="majorHAnsi" w:hAnsiTheme="majorHAnsi" w:cstheme="majorBidi"/>
        </w:rPr>
        <w:t>wi</w:t>
      </w:r>
      <w:r w:rsidRPr="3907CA7B" w:rsidR="75AB193F">
        <w:rPr>
          <w:rFonts w:asciiTheme="majorHAnsi" w:hAnsiTheme="majorHAnsi" w:cstheme="majorBidi"/>
        </w:rPr>
        <w:t>th the exception of</w:t>
      </w:r>
      <w:r w:rsidRPr="3907CA7B" w:rsidR="75AB193F">
        <w:rPr>
          <w:rFonts w:asciiTheme="majorHAnsi" w:hAnsiTheme="majorHAnsi" w:cstheme="majorBidi"/>
        </w:rPr>
        <w:t xml:space="preserve"> investments in educational services (see additional information below), </w:t>
      </w:r>
      <w:r w:rsidRPr="009859D1">
        <w:rPr>
          <w:rFonts w:asciiTheme="majorHAnsi" w:hAnsiTheme="majorHAnsi" w:cstheme="majorBidi"/>
        </w:rPr>
        <w:t xml:space="preserve">evidence-based refers to interventions with strong or moderate evidence as defined below: </w:t>
      </w:r>
    </w:p>
    <w:p w:rsidR="007361BE" w:rsidRPr="00440EF3" w:rsidP="00FD6A50" w14:paraId="35E111BB" w14:textId="1CF18A37">
      <w:pPr>
        <w:spacing w:after="0" w:line="240" w:lineRule="auto"/>
        <w:jc w:val="both"/>
        <w:rPr>
          <w:rFonts w:asciiTheme="majorHAnsi" w:hAnsiTheme="majorHAnsi" w:cstheme="majorHAnsi"/>
        </w:rPr>
      </w:pPr>
    </w:p>
    <w:p w:rsidR="007361BE" w:rsidRPr="006F7710" w:rsidP="006F7710" w14:paraId="1671FE8A" w14:textId="467388DA">
      <w:pPr>
        <w:spacing w:after="0" w:line="240" w:lineRule="auto"/>
        <w:jc w:val="both"/>
        <w:rPr>
          <w:rFonts w:asciiTheme="majorHAnsi" w:hAnsiTheme="majorHAnsi" w:cstheme="majorBidi"/>
          <w:b/>
          <w:bCs/>
        </w:rPr>
      </w:pPr>
      <w:r w:rsidRPr="71B6A973">
        <w:rPr>
          <w:rFonts w:asciiTheme="majorHAnsi" w:hAnsiTheme="majorHAnsi" w:cstheme="majorBidi"/>
        </w:rPr>
        <w:t xml:space="preserve">Strong evidence means </w:t>
      </w:r>
      <w:r w:rsidRPr="71B6A973" w:rsidR="000A6DAF">
        <w:rPr>
          <w:rFonts w:asciiTheme="majorHAnsi" w:hAnsiTheme="majorHAnsi" w:cstheme="majorBidi"/>
        </w:rPr>
        <w:t xml:space="preserve">that </w:t>
      </w:r>
      <w:r w:rsidRPr="71B6A973">
        <w:rPr>
          <w:rFonts w:asciiTheme="majorHAnsi" w:hAnsiTheme="majorHAnsi" w:cstheme="majorBidi"/>
        </w:rPr>
        <w:t>the evidence base can support causal conclusions for the specific program proposed by the applicant with the highest level of confidence. This consists of one or more well-designed and well-implemented experimental studies conducted on the proposed program with positive findings on one or more intended outcomes.</w:t>
      </w:r>
      <w:r w:rsidRPr="005C2719">
        <w:rPr>
          <w:rFonts w:asciiTheme="majorHAnsi" w:hAnsiTheme="majorHAnsi" w:cstheme="majorBidi"/>
          <w:b/>
          <w:bCs/>
        </w:rPr>
        <w:t xml:space="preserve"> </w:t>
      </w:r>
    </w:p>
    <w:p w:rsidR="007361BE" w:rsidRPr="00440EF3" w:rsidP="00FD6A50" w14:paraId="2E3EB22D" w14:textId="02A935E8">
      <w:pPr>
        <w:spacing w:after="0" w:line="240" w:lineRule="auto"/>
        <w:jc w:val="both"/>
        <w:rPr>
          <w:rFonts w:asciiTheme="majorHAnsi" w:hAnsiTheme="majorHAnsi" w:cstheme="majorHAnsi"/>
        </w:rPr>
      </w:pPr>
    </w:p>
    <w:p w:rsidR="007361BE" w:rsidRPr="00450E37" w:rsidP="00A86FEA" w14:paraId="36462B1C" w14:textId="7F28726D">
      <w:pPr>
        <w:spacing w:after="0" w:line="240" w:lineRule="auto"/>
        <w:jc w:val="both"/>
        <w:rPr>
          <w:rFonts w:asciiTheme="majorHAnsi" w:hAnsiTheme="majorHAnsi" w:cstheme="majorBidi"/>
        </w:rPr>
      </w:pPr>
      <w:r w:rsidRPr="00A86FEA">
        <w:rPr>
          <w:rFonts w:asciiTheme="majorHAnsi" w:hAnsiTheme="majorHAnsi" w:cstheme="majorBidi"/>
        </w:rPr>
        <w:t xml:space="preserve">Moderate evidence means that there is a reasonably developed evidence base that can support causal conclusions. The evidence base consists of one or more quasi-experimental studies with positive findings on one or more intended outcomes OR two or more non-experimental studies </w:t>
      </w:r>
      <w:r w:rsidRPr="009859D1">
        <w:rPr>
          <w:rFonts w:asciiTheme="majorHAnsi" w:hAnsiTheme="majorHAnsi" w:cstheme="majorBidi"/>
        </w:rPr>
        <w:t xml:space="preserve">with positive findings on one or more intended outcomes. Examples of research that meet the standards </w:t>
      </w:r>
      <w:r w:rsidRPr="009859D1">
        <w:rPr>
          <w:rFonts w:asciiTheme="majorHAnsi" w:hAnsiTheme="majorHAnsi" w:cstheme="majorBidi"/>
        </w:rPr>
        <w:t>include:</w:t>
      </w:r>
      <w:r w:rsidRPr="00E1626F" w:rsidR="00F0237A">
        <w:rPr>
          <w:rFonts w:asciiTheme="majorHAnsi" w:hAnsiTheme="majorHAnsi" w:cstheme="majorBidi"/>
        </w:rPr>
        <w:t xml:space="preserve"> </w:t>
      </w:r>
      <w:r w:rsidRPr="00E1626F">
        <w:rPr>
          <w:rFonts w:asciiTheme="majorHAnsi" w:hAnsiTheme="majorHAnsi" w:cstheme="majorBidi"/>
        </w:rPr>
        <w:t>well-designed and well-implemented quasi-experimental studies that compare outcomes between the group receiving the intervention and a matched comparison group (i.e.</w:t>
      </w:r>
      <w:r w:rsidRPr="00E1626F" w:rsidR="001373AB">
        <w:rPr>
          <w:rFonts w:asciiTheme="majorHAnsi" w:hAnsiTheme="majorHAnsi" w:cstheme="majorBidi"/>
        </w:rPr>
        <w:t>,</w:t>
      </w:r>
      <w:r w:rsidRPr="00450E37">
        <w:rPr>
          <w:rFonts w:asciiTheme="majorHAnsi" w:hAnsiTheme="majorHAnsi" w:cstheme="majorBidi"/>
        </w:rPr>
        <w:t xml:space="preserve"> a similar population that does not receive the intervention).</w:t>
      </w:r>
    </w:p>
    <w:p w:rsidR="007361BE" w:rsidRPr="00440EF3" w:rsidP="00FD6A50" w14:paraId="3CF0A4F1" w14:textId="2B89DDC1">
      <w:pPr>
        <w:spacing w:after="0" w:line="240" w:lineRule="auto"/>
        <w:jc w:val="both"/>
        <w:rPr>
          <w:rFonts w:asciiTheme="majorHAnsi" w:hAnsiTheme="majorHAnsi" w:cstheme="majorHAnsi"/>
          <w:b/>
          <w:bCs/>
        </w:rPr>
      </w:pPr>
    </w:p>
    <w:p w:rsidR="007361BE" w:rsidRPr="000F6C2C" w14:paraId="76F48E3C" w14:textId="5D851A20">
      <w:pPr>
        <w:spacing w:after="0" w:line="240" w:lineRule="auto"/>
        <w:jc w:val="both"/>
        <w:rPr>
          <w:rFonts w:asciiTheme="majorHAnsi" w:hAnsiTheme="majorHAnsi"/>
        </w:rPr>
      </w:pPr>
      <w:r w:rsidRPr="00A86FEA">
        <w:rPr>
          <w:rFonts w:asciiTheme="majorHAnsi" w:hAnsiTheme="majorHAnsi" w:cstheme="majorBidi"/>
        </w:rPr>
        <w:t xml:space="preserve">Preliminary evidence means that the evidence base can support conclusions about the program’s contribution to observed outcomes. The evidence base consists of at least one non-experimental study. A study that demonstrates improvement in program beneficiaries over time on one or more intended outcomes OR an implementation (process evaluation) study used to learn </w:t>
      </w:r>
      <w:r w:rsidR="002B1A96">
        <w:rPr>
          <w:rFonts w:asciiTheme="majorHAnsi" w:hAnsiTheme="majorHAnsi" w:cstheme="majorBidi"/>
        </w:rPr>
        <w:t>about</w:t>
      </w:r>
      <w:r w:rsidRPr="00A86FEA">
        <w:rPr>
          <w:rFonts w:asciiTheme="majorHAnsi" w:hAnsiTheme="majorHAnsi" w:cstheme="majorBidi"/>
        </w:rPr>
        <w:t xml:space="preserve"> and improve program operations would constitute preliminary evi</w:t>
      </w:r>
      <w:r w:rsidRPr="009859D1">
        <w:rPr>
          <w:rFonts w:asciiTheme="majorHAnsi" w:hAnsiTheme="majorHAnsi" w:cstheme="majorBidi"/>
        </w:rPr>
        <w:t xml:space="preserve">dence. Examples of research that meet the standards include: </w:t>
      </w:r>
      <w:r w:rsidRPr="00E1626F" w:rsidR="001373AB">
        <w:rPr>
          <w:rFonts w:asciiTheme="majorHAnsi" w:hAnsiTheme="majorHAnsi" w:cstheme="majorBidi"/>
        </w:rPr>
        <w:t>(</w:t>
      </w:r>
      <w:r w:rsidRPr="00E1626F">
        <w:rPr>
          <w:rFonts w:asciiTheme="majorHAnsi" w:hAnsiTheme="majorHAnsi" w:cstheme="majorBidi"/>
        </w:rPr>
        <w:t xml:space="preserve">1) outcome studies that track program beneficiaries through a service pipeline and measure beneficiaries’ responses at the end of the program; and </w:t>
      </w:r>
      <w:r w:rsidRPr="00E1626F" w:rsidR="001373AB">
        <w:rPr>
          <w:rFonts w:asciiTheme="majorHAnsi" w:hAnsiTheme="majorHAnsi" w:cstheme="majorBidi"/>
        </w:rPr>
        <w:t>(</w:t>
      </w:r>
      <w:r w:rsidRPr="00450E37">
        <w:rPr>
          <w:rFonts w:asciiTheme="majorHAnsi" w:hAnsiTheme="majorHAnsi" w:cstheme="majorBidi"/>
        </w:rPr>
        <w:t>2) pre- and post-test research that determines whether beneficiaries have improved on an intended outcome.</w:t>
      </w:r>
    </w:p>
    <w:p w:rsidR="0051635D" w:rsidRPr="00A96CE3" w14:paraId="63A0C82D" w14:textId="2A2C516C">
      <w:pPr>
        <w:spacing w:after="0" w:line="240" w:lineRule="auto"/>
        <w:jc w:val="both"/>
        <w:rPr>
          <w:rFonts w:asciiTheme="majorHAnsi" w:hAnsiTheme="majorHAnsi"/>
        </w:rPr>
      </w:pPr>
    </w:p>
    <w:p w:rsidR="75AB193F" w:rsidRPr="00FE3FDE" w:rsidP="00FE3FDE" w14:paraId="5216C19B" w14:textId="71240B72">
      <w:pPr>
        <w:spacing w:after="0" w:line="240" w:lineRule="auto"/>
        <w:jc w:val="both"/>
        <w:rPr>
          <w:rFonts w:asciiTheme="majorHAnsi" w:hAnsiTheme="majorHAnsi" w:cstheme="majorBidi"/>
        </w:rPr>
      </w:pPr>
      <w:r w:rsidRPr="00FE3FDE">
        <w:rPr>
          <w:rFonts w:asciiTheme="majorHAnsi" w:hAnsiTheme="majorHAnsi" w:cstheme="majorBidi"/>
        </w:rPr>
        <w:t>For investme</w:t>
      </w:r>
      <w:r w:rsidRPr="00FE3FDE" w:rsidR="7D41D8D3">
        <w:rPr>
          <w:rFonts w:asciiTheme="majorHAnsi" w:hAnsiTheme="majorHAnsi" w:cstheme="majorBidi"/>
        </w:rPr>
        <w:t>nts in educational services, "</w:t>
      </w:r>
      <w:r w:rsidRPr="00FE3FDE" w:rsidR="7D41D8D3">
        <w:rPr>
          <w:rFonts w:ascii="Arial" w:eastAsia="Arial" w:hAnsi="Arial" w:cs="Arial"/>
        </w:rPr>
        <w:t>evidence-based", consistent with the American Rescue Plan Act, has the meaning in section 8101(21) of the E</w:t>
      </w:r>
      <w:r w:rsidR="007427E7">
        <w:rPr>
          <w:rFonts w:ascii="Arial" w:eastAsia="Arial" w:hAnsi="Arial" w:cs="Arial"/>
        </w:rPr>
        <w:t xml:space="preserve">lementary and </w:t>
      </w:r>
      <w:r w:rsidRPr="00FE3FDE" w:rsidR="7D41D8D3">
        <w:rPr>
          <w:rFonts w:ascii="Arial" w:eastAsia="Arial" w:hAnsi="Arial" w:cs="Arial"/>
        </w:rPr>
        <w:t>S</w:t>
      </w:r>
      <w:r w:rsidR="007427E7">
        <w:rPr>
          <w:rFonts w:ascii="Arial" w:eastAsia="Arial" w:hAnsi="Arial" w:cs="Arial"/>
        </w:rPr>
        <w:t xml:space="preserve">econdary </w:t>
      </w:r>
      <w:r w:rsidRPr="00FE3FDE" w:rsidR="7D41D8D3">
        <w:rPr>
          <w:rFonts w:ascii="Arial" w:eastAsia="Arial" w:hAnsi="Arial" w:cs="Arial"/>
        </w:rPr>
        <w:t>E</w:t>
      </w:r>
      <w:r w:rsidR="007427E7">
        <w:rPr>
          <w:rFonts w:ascii="Arial" w:eastAsia="Arial" w:hAnsi="Arial" w:cs="Arial"/>
        </w:rPr>
        <w:t xml:space="preserve">ducation </w:t>
      </w:r>
      <w:r w:rsidRPr="00FE3FDE" w:rsidR="7D41D8D3">
        <w:rPr>
          <w:rFonts w:ascii="Arial" w:eastAsia="Arial" w:hAnsi="Arial" w:cs="Arial"/>
        </w:rPr>
        <w:t>A</w:t>
      </w:r>
      <w:r w:rsidR="007427E7">
        <w:rPr>
          <w:rFonts w:ascii="Arial" w:eastAsia="Arial" w:hAnsi="Arial" w:cs="Arial"/>
        </w:rPr>
        <w:t xml:space="preserve">ct of 1965, as amended (20 U.S.C. 6301 </w:t>
      </w:r>
      <w:r w:rsidRPr="007427E7" w:rsidR="007427E7">
        <w:rPr>
          <w:rFonts w:ascii="Arial" w:eastAsia="Arial" w:hAnsi="Arial" w:cs="Arial"/>
          <w:i/>
          <w:iCs/>
        </w:rPr>
        <w:t>et seq</w:t>
      </w:r>
      <w:r w:rsidR="007427E7">
        <w:rPr>
          <w:rFonts w:ascii="Arial" w:eastAsia="Arial" w:hAnsi="Arial" w:cs="Arial"/>
        </w:rPr>
        <w:t>.)</w:t>
      </w:r>
      <w:r w:rsidRPr="00FE3FDE" w:rsidR="7D41D8D3">
        <w:rPr>
          <w:rFonts w:ascii="Arial" w:eastAsia="Arial" w:hAnsi="Arial" w:cs="Arial"/>
        </w:rPr>
        <w:t xml:space="preserve">. Please see page </w:t>
      </w:r>
      <w:r w:rsidRPr="00FE3FDE" w:rsidR="2A5E4E81">
        <w:rPr>
          <w:rFonts w:ascii="Arial" w:eastAsia="Arial" w:hAnsi="Arial" w:cs="Arial"/>
        </w:rPr>
        <w:t>16</w:t>
      </w:r>
      <w:r w:rsidRPr="00FE3FDE" w:rsidR="7D41D8D3">
        <w:rPr>
          <w:rFonts w:ascii="Arial" w:eastAsia="Arial" w:hAnsi="Arial" w:cs="Arial"/>
        </w:rPr>
        <w:t xml:space="preserve"> </w:t>
      </w:r>
      <w:r w:rsidRPr="00FE3FDE" w:rsidR="14E29FC3">
        <w:rPr>
          <w:rFonts w:ascii="Arial" w:eastAsia="Arial" w:hAnsi="Arial" w:cs="Arial"/>
        </w:rPr>
        <w:t>of</w:t>
      </w:r>
      <w:r w:rsidRPr="00FE3FDE" w:rsidR="7C7B145D">
        <w:rPr>
          <w:rFonts w:ascii="Arial" w:eastAsia="Arial" w:hAnsi="Arial" w:cs="Arial"/>
        </w:rPr>
        <w:t xml:space="preserve"> this</w:t>
      </w:r>
      <w:r w:rsidRPr="00FE3FDE" w:rsidR="4ABCE4D0">
        <w:rPr>
          <w:rFonts w:ascii="Arial" w:eastAsia="Arial" w:hAnsi="Arial" w:cs="Arial"/>
        </w:rPr>
        <w:t xml:space="preserve"> </w:t>
      </w:r>
      <w:hyperlink r:id="rId31" w:history="1">
        <w:r w:rsidRPr="00FE3FDE" w:rsidR="7C7B145D">
          <w:rPr>
            <w:rStyle w:val="Hyperlink"/>
            <w:rFonts w:ascii="Arial" w:eastAsia="Arial" w:hAnsi="Arial" w:cs="Arial"/>
          </w:rPr>
          <w:t>Frequently Asked Questions resource</w:t>
        </w:r>
      </w:hyperlink>
      <w:r w:rsidRPr="00FE3FDE" w:rsidR="7C7B145D">
        <w:rPr>
          <w:rFonts w:ascii="Arial" w:eastAsia="Arial" w:hAnsi="Arial" w:cs="Arial"/>
        </w:rPr>
        <w:t xml:space="preserve"> on </w:t>
      </w:r>
      <w:r w:rsidRPr="00FE3FDE" w:rsidR="2D7AC410">
        <w:rPr>
          <w:rFonts w:ascii="Arial" w:eastAsia="Arial" w:hAnsi="Arial" w:cs="Arial"/>
        </w:rPr>
        <w:t xml:space="preserve">the Department of Education's </w:t>
      </w:r>
      <w:r w:rsidRPr="00FE3FDE" w:rsidR="7C7B145D">
        <w:rPr>
          <w:rFonts w:ascii="Arial" w:eastAsia="Arial" w:hAnsi="Arial" w:cs="Arial"/>
        </w:rPr>
        <w:t xml:space="preserve">Elementary and Secondary School Emergency Relief </w:t>
      </w:r>
      <w:r w:rsidRPr="00FE3FDE" w:rsidR="2D7AC410">
        <w:rPr>
          <w:rFonts w:ascii="Arial" w:eastAsia="Arial" w:hAnsi="Arial" w:cs="Arial"/>
        </w:rPr>
        <w:t>Programs and Governor's Emergency Education</w:t>
      </w:r>
      <w:r w:rsidRPr="00FE3FDE" w:rsidR="249913A4">
        <w:rPr>
          <w:rFonts w:ascii="Arial" w:eastAsia="Arial" w:hAnsi="Arial" w:cs="Arial"/>
        </w:rPr>
        <w:t xml:space="preserve"> Relief </w:t>
      </w:r>
      <w:r w:rsidRPr="00FE3FDE" w:rsidR="2D7AC410">
        <w:rPr>
          <w:rFonts w:ascii="Arial" w:eastAsia="Arial" w:hAnsi="Arial" w:cs="Arial"/>
        </w:rPr>
        <w:t>Progra</w:t>
      </w:r>
      <w:r w:rsidRPr="00FE3FDE" w:rsidR="4ABCE4D0">
        <w:rPr>
          <w:rFonts w:ascii="Arial" w:eastAsia="Arial" w:hAnsi="Arial" w:cs="Arial"/>
        </w:rPr>
        <w:t xml:space="preserve">ms </w:t>
      </w:r>
      <w:r w:rsidRPr="00FE3FDE" w:rsidR="7D41D8D3">
        <w:rPr>
          <w:rFonts w:ascii="Arial" w:eastAsia="Arial" w:hAnsi="Arial" w:cs="Arial"/>
        </w:rPr>
        <w:t>for more information.</w:t>
      </w:r>
    </w:p>
    <w:p w:rsidR="75AB193F" w:rsidP="7D41D8D3" w14:paraId="4E0E2CBA" w14:textId="77777777">
      <w:pPr>
        <w:spacing w:after="0" w:line="240" w:lineRule="auto"/>
        <w:jc w:val="both"/>
      </w:pPr>
      <w:r w:rsidRPr="00FE3FDE">
        <w:rPr>
          <w:rFonts w:ascii="Arial" w:eastAsia="Arial" w:hAnsi="Arial" w:cs="Arial"/>
        </w:rPr>
        <w:t xml:space="preserve"> </w:t>
      </w:r>
    </w:p>
    <w:p w:rsidR="7D41D8D3" w:rsidRPr="00FE3FDE" w:rsidP="00FE3FDE" w14:paraId="1861CA2A" w14:textId="77777777">
      <w:pPr>
        <w:spacing w:after="0" w:line="240" w:lineRule="auto"/>
        <w:jc w:val="both"/>
        <w:rPr>
          <w:rFonts w:asciiTheme="majorHAnsi" w:hAnsiTheme="majorHAnsi" w:cstheme="majorBidi"/>
        </w:rPr>
      </w:pPr>
    </w:p>
    <w:p w:rsidR="0051635D" w:rsidP="00FD6A50" w14:paraId="7A956560" w14:textId="77777777">
      <w:pPr>
        <w:spacing w:after="0" w:line="240" w:lineRule="auto"/>
        <w:jc w:val="both"/>
        <w:rPr>
          <w:rFonts w:asciiTheme="majorHAnsi" w:hAnsiTheme="majorHAnsi" w:cstheme="majorHAnsi"/>
        </w:rPr>
      </w:pPr>
    </w:p>
    <w:p w:rsidR="0051635D" w:rsidP="00FD6A50" w14:paraId="013C655E" w14:textId="0509856B">
      <w:pPr>
        <w:spacing w:after="0" w:line="240" w:lineRule="auto"/>
        <w:jc w:val="both"/>
        <w:rPr>
          <w:rFonts w:asciiTheme="majorHAnsi" w:hAnsiTheme="majorHAnsi" w:cstheme="majorHAnsi"/>
        </w:rPr>
      </w:pPr>
    </w:p>
    <w:p w:rsidR="0051635D" w14:paraId="59500B2D" w14:textId="6EC99040">
      <w:pPr>
        <w:rPr>
          <w:rFonts w:asciiTheme="majorHAnsi" w:hAnsiTheme="majorHAnsi" w:cstheme="majorHAnsi"/>
        </w:rPr>
      </w:pPr>
      <w:r>
        <w:rPr>
          <w:rFonts w:asciiTheme="majorHAnsi" w:hAnsiTheme="majorHAnsi" w:cstheme="majorHAnsi"/>
        </w:rPr>
        <w:br w:type="page"/>
      </w:r>
    </w:p>
    <w:p w:rsidR="00E901A3" w:rsidP="00E901A3" w14:paraId="49EFD72B" w14:textId="4AA42F4D">
      <w:pPr>
        <w:pStyle w:val="NoSpacing"/>
        <w:jc w:val="both"/>
        <w:rPr>
          <w:rFonts w:asciiTheme="majorHAnsi" w:hAnsiTheme="majorHAnsi" w:cstheme="majorBidi"/>
          <w:b/>
          <w:sz w:val="24"/>
          <w:szCs w:val="24"/>
        </w:rPr>
      </w:pPr>
      <w:r w:rsidRPr="00A86FEA">
        <w:rPr>
          <w:rFonts w:asciiTheme="majorHAnsi" w:hAnsiTheme="majorHAnsi" w:cstheme="majorBidi"/>
          <w:b/>
          <w:sz w:val="24"/>
          <w:szCs w:val="24"/>
        </w:rPr>
        <w:t xml:space="preserve">Appendix </w:t>
      </w:r>
      <w:r>
        <w:rPr>
          <w:rFonts w:asciiTheme="majorHAnsi" w:hAnsiTheme="majorHAnsi" w:cstheme="majorBidi"/>
          <w:b/>
          <w:sz w:val="24"/>
          <w:szCs w:val="24"/>
        </w:rPr>
        <w:t>3</w:t>
      </w:r>
      <w:r w:rsidRPr="00A86FEA">
        <w:rPr>
          <w:rFonts w:asciiTheme="majorHAnsi" w:hAnsiTheme="majorHAnsi" w:cstheme="majorBidi"/>
          <w:b/>
          <w:sz w:val="24"/>
          <w:szCs w:val="24"/>
        </w:rPr>
        <w:t xml:space="preserve">: </w:t>
      </w:r>
      <w:r>
        <w:rPr>
          <w:rFonts w:asciiTheme="majorHAnsi" w:hAnsiTheme="majorHAnsi" w:cstheme="majorBidi"/>
          <w:b/>
          <w:sz w:val="24"/>
          <w:szCs w:val="24"/>
        </w:rPr>
        <w:t xml:space="preserve">Expenditure Categories </w:t>
      </w:r>
      <w:r w:rsidR="00561758">
        <w:rPr>
          <w:rFonts w:asciiTheme="majorHAnsi" w:hAnsiTheme="majorHAnsi" w:cstheme="majorBidi"/>
          <w:b/>
          <w:sz w:val="24"/>
          <w:szCs w:val="24"/>
        </w:rPr>
        <w:t xml:space="preserve">aligned with </w:t>
      </w:r>
      <w:r>
        <w:rPr>
          <w:rFonts w:asciiTheme="majorHAnsi" w:hAnsiTheme="majorHAnsi" w:cstheme="majorBidi"/>
          <w:b/>
          <w:sz w:val="24"/>
          <w:szCs w:val="24"/>
        </w:rPr>
        <w:t xml:space="preserve">the </w:t>
      </w:r>
      <w:r w:rsidR="00944301">
        <w:rPr>
          <w:rFonts w:asciiTheme="majorHAnsi" w:hAnsiTheme="majorHAnsi" w:cstheme="majorBidi"/>
          <w:b/>
          <w:sz w:val="24"/>
          <w:szCs w:val="24"/>
        </w:rPr>
        <w:t>I</w:t>
      </w:r>
      <w:r>
        <w:rPr>
          <w:rFonts w:asciiTheme="majorHAnsi" w:hAnsiTheme="majorHAnsi" w:cstheme="majorBidi"/>
          <w:b/>
          <w:sz w:val="24"/>
          <w:szCs w:val="24"/>
        </w:rPr>
        <w:t xml:space="preserve">nterim </w:t>
      </w:r>
      <w:r w:rsidR="00B248EF">
        <w:rPr>
          <w:rFonts w:asciiTheme="majorHAnsi" w:hAnsiTheme="majorHAnsi" w:cstheme="majorBidi"/>
          <w:b/>
          <w:sz w:val="24"/>
          <w:szCs w:val="24"/>
        </w:rPr>
        <w:t xml:space="preserve">Final </w:t>
      </w:r>
      <w:r w:rsidR="00944301">
        <w:rPr>
          <w:rFonts w:asciiTheme="majorHAnsi" w:hAnsiTheme="majorHAnsi" w:cstheme="majorBidi"/>
          <w:b/>
          <w:sz w:val="24"/>
          <w:szCs w:val="24"/>
        </w:rPr>
        <w:t>R</w:t>
      </w:r>
      <w:r>
        <w:rPr>
          <w:rFonts w:asciiTheme="majorHAnsi" w:hAnsiTheme="majorHAnsi" w:cstheme="majorBidi"/>
          <w:b/>
          <w:sz w:val="24"/>
          <w:szCs w:val="24"/>
        </w:rPr>
        <w:t>ule</w:t>
      </w:r>
    </w:p>
    <w:p w:rsidR="00193637" w:rsidP="00E901A3" w14:paraId="70A6B7DA" w14:textId="77777777">
      <w:pPr>
        <w:pStyle w:val="NoSpacing"/>
        <w:jc w:val="both"/>
        <w:rPr>
          <w:rFonts w:asciiTheme="majorHAnsi" w:hAnsiTheme="majorHAnsi" w:cstheme="majorBidi"/>
          <w:b/>
          <w:sz w:val="24"/>
          <w:szCs w:val="24"/>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5"/>
      </w:tblGrid>
      <w:tr w14:paraId="1A9D6D33" w14:textId="77777777" w:rsidTr="001279CA">
        <w:tblPrEx>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90"/>
        </w:trPr>
        <w:tc>
          <w:tcPr>
            <w:tcW w:w="9265" w:type="dxa"/>
            <w:shd w:val="clear" w:color="auto" w:fill="004E7D" w:themeFill="accent6" w:themeFillShade="BF"/>
            <w:noWrap/>
            <w:hideMark/>
          </w:tcPr>
          <w:p w:rsidR="00193637" w:rsidRPr="00A86FEA" w:rsidP="001279CA" w14:paraId="7506A2B8" w14:textId="77777777">
            <w:pPr>
              <w:spacing w:after="0" w:line="240" w:lineRule="auto"/>
              <w:rPr>
                <w:rFonts w:eastAsia="Times New Roman" w:asciiTheme="majorHAnsi" w:hAnsiTheme="majorHAnsi" w:cstheme="majorBidi"/>
                <w:b/>
                <w:color w:val="000000"/>
              </w:rPr>
            </w:pPr>
            <w:r w:rsidRPr="24B7A074">
              <w:rPr>
                <w:rFonts w:eastAsia="Times New Roman" w:asciiTheme="majorHAnsi" w:hAnsiTheme="majorHAnsi" w:cstheme="majorBidi"/>
                <w:b/>
                <w:bCs/>
                <w:color w:val="FFFFFF" w:themeColor="background1"/>
              </w:rPr>
              <w:t>1: Public Health</w:t>
            </w:r>
          </w:p>
        </w:tc>
      </w:tr>
      <w:tr w14:paraId="6974BAF2"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2472F6D9" w14:textId="77777777">
            <w:pPr>
              <w:spacing w:after="0" w:line="240" w:lineRule="auto"/>
              <w:rPr>
                <w:rFonts w:eastAsia="Times New Roman"/>
                <w:color w:val="000000"/>
              </w:rPr>
            </w:pPr>
            <w:r w:rsidRPr="00A86FEA">
              <w:rPr>
                <w:rFonts w:eastAsia="Times New Roman"/>
                <w:color w:val="000000"/>
              </w:rPr>
              <w:t xml:space="preserve">1.1     COVID-19 Vaccination </w:t>
            </w:r>
            <w:r w:rsidRPr="009859D1">
              <w:rPr>
                <w:rFonts w:eastAsia="Times New Roman"/>
                <w:color w:val="000000"/>
              </w:rPr>
              <w:t>^</w:t>
            </w:r>
          </w:p>
        </w:tc>
      </w:tr>
      <w:tr w14:paraId="09C82870"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3E34C722" w14:textId="77777777">
            <w:pPr>
              <w:spacing w:after="0" w:line="240" w:lineRule="auto"/>
              <w:rPr>
                <w:rFonts w:eastAsia="Times New Roman"/>
                <w:color w:val="000000"/>
              </w:rPr>
            </w:pPr>
            <w:r w:rsidRPr="00A86FEA">
              <w:rPr>
                <w:rFonts w:eastAsia="Times New Roman"/>
                <w:color w:val="000000"/>
              </w:rPr>
              <w:t>1.2     COVID-19 Testing</w:t>
            </w:r>
            <w:r w:rsidRPr="009859D1">
              <w:rPr>
                <w:rFonts w:eastAsia="Times New Roman"/>
                <w:color w:val="000000"/>
              </w:rPr>
              <w:t xml:space="preserve"> ^</w:t>
            </w:r>
          </w:p>
        </w:tc>
      </w:tr>
      <w:tr w14:paraId="239831A3"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5EC4164B" w14:textId="77777777">
            <w:pPr>
              <w:spacing w:after="0" w:line="240" w:lineRule="auto"/>
              <w:rPr>
                <w:rFonts w:eastAsia="Times New Roman"/>
                <w:b/>
                <w:color w:val="000000"/>
              </w:rPr>
            </w:pPr>
            <w:r w:rsidRPr="00A86FEA">
              <w:rPr>
                <w:rFonts w:eastAsia="Times New Roman"/>
                <w:color w:val="000000"/>
              </w:rPr>
              <w:t>1.3     COVID-19 Contact Tracing</w:t>
            </w:r>
          </w:p>
        </w:tc>
      </w:tr>
      <w:tr w14:paraId="5803F17D"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20B4ED65" w14:textId="77777777">
            <w:pPr>
              <w:spacing w:after="0" w:line="240" w:lineRule="auto"/>
              <w:ind w:left="604" w:hanging="604"/>
              <w:rPr>
                <w:rFonts w:eastAsia="Times New Roman"/>
                <w:color w:val="000000"/>
              </w:rPr>
            </w:pPr>
            <w:r w:rsidRPr="00A86FEA">
              <w:rPr>
                <w:rFonts w:eastAsia="Times New Roman"/>
                <w:color w:val="000000"/>
              </w:rPr>
              <w:t xml:space="preserve">1.4     Prevention in Congregate Settings (Nursing Homes, Prisons/Jails, Dense Work Sites, Schools, </w:t>
            </w:r>
            <w:r w:rsidRPr="00A86FEA">
              <w:rPr>
                <w:rFonts w:eastAsia="Times New Roman"/>
                <w:color w:val="000000"/>
              </w:rPr>
              <w:t>etc.)</w:t>
            </w:r>
            <w:r w:rsidRPr="009859D1">
              <w:rPr>
                <w:rFonts w:eastAsia="Times New Roman"/>
                <w:color w:val="000000"/>
              </w:rPr>
              <w:t>*</w:t>
            </w:r>
          </w:p>
        </w:tc>
      </w:tr>
      <w:tr w14:paraId="7B19E73E"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2A543249" w14:textId="77777777">
            <w:pPr>
              <w:spacing w:after="0" w:line="240" w:lineRule="auto"/>
              <w:rPr>
                <w:rFonts w:eastAsia="Times New Roman"/>
              </w:rPr>
            </w:pPr>
            <w:r w:rsidRPr="00A86FEA">
              <w:rPr>
                <w:rFonts w:eastAsia="Times New Roman"/>
              </w:rPr>
              <w:t>1.5     Person</w:t>
            </w:r>
            <w:r w:rsidRPr="009859D1">
              <w:rPr>
                <w:rFonts w:eastAsia="Times New Roman"/>
              </w:rPr>
              <w:t>al Protective Equipment</w:t>
            </w:r>
          </w:p>
        </w:tc>
      </w:tr>
      <w:tr w14:paraId="611EF251"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2BC935BA" w14:textId="77777777">
            <w:pPr>
              <w:spacing w:after="0" w:line="240" w:lineRule="auto"/>
              <w:rPr>
                <w:rFonts w:eastAsia="Times New Roman"/>
              </w:rPr>
            </w:pPr>
            <w:r w:rsidRPr="00A86FEA">
              <w:rPr>
                <w:rFonts w:eastAsia="Times New Roman"/>
              </w:rPr>
              <w:t>1.6     Medical Expenses (including Alternative Care Facilities)</w:t>
            </w:r>
          </w:p>
        </w:tc>
      </w:tr>
      <w:tr w14:paraId="51A9021F"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B42EDC8" w14:textId="77777777">
            <w:pPr>
              <w:spacing w:after="0" w:line="240" w:lineRule="auto"/>
              <w:ind w:left="604" w:hanging="604"/>
              <w:rPr>
                <w:rFonts w:eastAsia="Times New Roman"/>
              </w:rPr>
            </w:pPr>
            <w:r w:rsidRPr="00A86FEA">
              <w:rPr>
                <w:rFonts w:eastAsia="Times New Roman"/>
                <w:color w:val="000000"/>
              </w:rPr>
              <w:t>1.7     Capital Investments or Physical Plant Chang</w:t>
            </w:r>
            <w:r w:rsidRPr="009859D1">
              <w:rPr>
                <w:rFonts w:eastAsia="Times New Roman"/>
                <w:color w:val="000000"/>
              </w:rPr>
              <w:t>es to Public Facilities that respond to the COVID-19 public health emergency</w:t>
            </w:r>
          </w:p>
        </w:tc>
      </w:tr>
      <w:tr w14:paraId="6F270170"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5BC351D3" w14:textId="77777777">
            <w:pPr>
              <w:spacing w:after="0" w:line="240" w:lineRule="auto"/>
              <w:ind w:left="604" w:hanging="604"/>
              <w:rPr>
                <w:rFonts w:eastAsia="Times New Roman"/>
              </w:rPr>
            </w:pPr>
            <w:r w:rsidRPr="00A86FEA">
              <w:rPr>
                <w:rFonts w:eastAsia="Times New Roman"/>
              </w:rPr>
              <w:t>1.8     Other COVID-19 Public Health Expenses (including Communications, Enforcement</w:t>
            </w:r>
            <w:r w:rsidRPr="009859D1">
              <w:rPr>
                <w:rFonts w:eastAsia="Times New Roman"/>
              </w:rPr>
              <w:t>, Isolation/Quarantine)</w:t>
            </w:r>
          </w:p>
        </w:tc>
      </w:tr>
      <w:tr w14:paraId="2E670C19" w14:textId="77777777" w:rsidTr="001279CA">
        <w:tblPrEx>
          <w:tblW w:w="9265" w:type="dxa"/>
          <w:tblLook w:val="04A0"/>
        </w:tblPrEx>
        <w:trPr>
          <w:trHeight w:val="290"/>
        </w:trPr>
        <w:tc>
          <w:tcPr>
            <w:tcW w:w="9265" w:type="dxa"/>
            <w:shd w:val="clear" w:color="auto" w:fill="FFFFFF" w:themeFill="background2"/>
            <w:noWrap/>
          </w:tcPr>
          <w:p w:rsidR="00193637" w:rsidRPr="009859D1" w:rsidP="001279CA" w14:paraId="466F1435" w14:textId="77777777">
            <w:pPr>
              <w:spacing w:after="0" w:line="240" w:lineRule="auto"/>
              <w:ind w:left="604" w:hanging="604"/>
              <w:rPr>
                <w:rFonts w:eastAsia="Times New Roman"/>
              </w:rPr>
            </w:pPr>
            <w:r w:rsidRPr="00A86FEA">
              <w:rPr>
                <w:rFonts w:eastAsia="Times New Roman"/>
              </w:rPr>
              <w:t xml:space="preserve">1.9     Payroll Costs for Public Health, Safety, and Other </w:t>
            </w:r>
            <w:r w:rsidRPr="009859D1">
              <w:rPr>
                <w:rFonts w:eastAsia="Times New Roman"/>
              </w:rPr>
              <w:t>Public Sector Staff Responding to COVID-19</w:t>
            </w:r>
          </w:p>
        </w:tc>
      </w:tr>
      <w:tr w14:paraId="5ACB9317" w14:textId="77777777" w:rsidTr="001279CA">
        <w:tblPrEx>
          <w:tblW w:w="9265" w:type="dxa"/>
          <w:tblLook w:val="04A0"/>
        </w:tblPrEx>
        <w:trPr>
          <w:trHeight w:val="80"/>
        </w:trPr>
        <w:tc>
          <w:tcPr>
            <w:tcW w:w="9265" w:type="dxa"/>
            <w:shd w:val="clear" w:color="auto" w:fill="FFFFFF" w:themeFill="background2"/>
            <w:noWrap/>
            <w:hideMark/>
          </w:tcPr>
          <w:p w:rsidR="00193637" w:rsidRPr="009859D1" w:rsidP="001279CA" w14:paraId="4247E290" w14:textId="77777777">
            <w:pPr>
              <w:spacing w:after="0" w:line="240" w:lineRule="auto"/>
              <w:rPr>
                <w:rFonts w:eastAsia="Times New Roman"/>
                <w:color w:val="000000"/>
              </w:rPr>
            </w:pPr>
            <w:r w:rsidRPr="00A86FEA">
              <w:rPr>
                <w:rFonts w:eastAsia="Times New Roman"/>
                <w:color w:val="000000"/>
              </w:rPr>
              <w:t>1.10   Mental Health Services</w:t>
            </w:r>
            <w:r w:rsidRPr="009859D1">
              <w:rPr>
                <w:rFonts w:eastAsia="Times New Roman"/>
                <w:color w:val="000000"/>
              </w:rPr>
              <w:t>*</w:t>
            </w:r>
          </w:p>
        </w:tc>
      </w:tr>
      <w:tr w14:paraId="1F68A289" w14:textId="77777777" w:rsidTr="001279CA">
        <w:tblPrEx>
          <w:tblW w:w="9265" w:type="dxa"/>
          <w:tblLook w:val="04A0"/>
        </w:tblPrEx>
        <w:trPr>
          <w:trHeight w:val="80"/>
        </w:trPr>
        <w:tc>
          <w:tcPr>
            <w:tcW w:w="9265" w:type="dxa"/>
            <w:shd w:val="clear" w:color="auto" w:fill="FFFFFF" w:themeFill="background2"/>
            <w:noWrap/>
          </w:tcPr>
          <w:p w:rsidR="00193637" w:rsidRPr="009859D1" w:rsidP="001279CA" w14:paraId="4ED6BEF5" w14:textId="77777777">
            <w:pPr>
              <w:spacing w:after="0" w:line="240" w:lineRule="auto"/>
              <w:rPr>
                <w:rFonts w:eastAsia="Times New Roman"/>
                <w:color w:val="000000"/>
              </w:rPr>
            </w:pPr>
            <w:r w:rsidRPr="00A86FEA">
              <w:rPr>
                <w:rFonts w:eastAsia="Times New Roman"/>
                <w:color w:val="000000"/>
              </w:rPr>
              <w:t>1.11   Substance Use Services</w:t>
            </w:r>
            <w:r w:rsidRPr="009859D1">
              <w:rPr>
                <w:rFonts w:eastAsia="Times New Roman"/>
                <w:color w:val="000000"/>
              </w:rPr>
              <w:t>*</w:t>
            </w:r>
          </w:p>
        </w:tc>
      </w:tr>
      <w:tr w14:paraId="2C60FB6A" w14:textId="77777777" w:rsidTr="001279CA">
        <w:tblPrEx>
          <w:tblW w:w="9265" w:type="dxa"/>
          <w:tblLook w:val="04A0"/>
        </w:tblPrEx>
        <w:trPr>
          <w:trHeight w:val="80"/>
        </w:trPr>
        <w:tc>
          <w:tcPr>
            <w:tcW w:w="9265" w:type="dxa"/>
            <w:shd w:val="clear" w:color="auto" w:fill="FFFFFF" w:themeFill="background2"/>
            <w:noWrap/>
          </w:tcPr>
          <w:p w:rsidR="00193637" w:rsidRPr="009859D1" w:rsidP="001279CA" w14:paraId="0C3019F8" w14:textId="77777777">
            <w:pPr>
              <w:spacing w:after="0" w:line="240" w:lineRule="auto"/>
              <w:rPr>
                <w:rFonts w:eastAsia="Times New Roman"/>
                <w:color w:val="000000"/>
              </w:rPr>
            </w:pPr>
            <w:r w:rsidRPr="00A86FEA">
              <w:rPr>
                <w:rFonts w:eastAsia="Times New Roman"/>
                <w:color w:val="000000"/>
              </w:rPr>
              <w:t>1.12   Other Public Health</w:t>
            </w:r>
            <w:r w:rsidRPr="009859D1">
              <w:rPr>
                <w:rFonts w:eastAsia="Times New Roman"/>
                <w:color w:val="000000"/>
              </w:rPr>
              <w:t xml:space="preserve"> Services</w:t>
            </w:r>
          </w:p>
        </w:tc>
      </w:tr>
      <w:tr w14:paraId="6A6B9A9A"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A86FEA" w:rsidP="001279CA" w14:paraId="1F99CD74"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2: Negative Economic Impacts</w:t>
            </w:r>
          </w:p>
        </w:tc>
      </w:tr>
      <w:tr w14:paraId="36765B6F"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3D170061"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2.1     Household Assistance: Food Programs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FCBEABA" w14:textId="77777777" w:rsidTr="001279CA">
        <w:tblPrEx>
          <w:tblW w:w="9265" w:type="dxa"/>
          <w:tblLook w:val="04A0"/>
        </w:tblPrEx>
        <w:trPr>
          <w:trHeight w:val="107"/>
        </w:trPr>
        <w:tc>
          <w:tcPr>
            <w:tcW w:w="9265" w:type="dxa"/>
            <w:shd w:val="clear" w:color="auto" w:fill="FFFFFF" w:themeFill="background2"/>
            <w:noWrap/>
            <w:hideMark/>
          </w:tcPr>
          <w:p w:rsidR="00193637" w:rsidRPr="00450E37" w:rsidP="001279CA" w14:paraId="759E9520"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2.2     Household Assistance: </w:t>
            </w:r>
            <w:r w:rsidRPr="009859D1">
              <w:rPr>
                <w:rFonts w:eastAsia="Times New Roman" w:asciiTheme="majorHAnsi" w:hAnsiTheme="majorHAnsi" w:cstheme="majorBidi"/>
              </w:rPr>
              <w:t>Rent, Mortgage,</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and Utility Aid</w:t>
            </w:r>
            <w:r w:rsidRPr="00E1626F">
              <w:rPr>
                <w:rFonts w:eastAsia="Times New Roman" w:asciiTheme="majorHAnsi" w:hAnsiTheme="majorHAnsi" w:cstheme="majorBidi"/>
              </w:rPr>
              <w:t xml:space="preserve">*  </w:t>
            </w:r>
            <w:r w:rsidRPr="00450E37">
              <w:rPr>
                <w:rFonts w:eastAsia="Times New Roman" w:asciiTheme="majorHAnsi" w:hAnsiTheme="majorHAnsi" w:cstheme="majorBidi"/>
                <w:color w:val="000000"/>
              </w:rPr>
              <w:t>^</w:t>
            </w:r>
          </w:p>
        </w:tc>
      </w:tr>
      <w:tr w14:paraId="61454E42"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2CF8D663"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2.3     Household Assistance: Cash Transfers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04EB5A6"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3AD81FF4"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2.4     Household Assistance: Internet Access Programs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036EA789"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E1626F" w:rsidP="001279CA" w14:paraId="369B6B43"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2.5     Household Assistance: Eviction Prevention</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FB82056"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E1626F" w:rsidP="001279CA" w14:paraId="471DDD1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2.6     Unemployment </w:t>
            </w:r>
            <w:r w:rsidRPr="009859D1">
              <w:rPr>
                <w:rFonts w:eastAsia="Times New Roman" w:asciiTheme="majorHAnsi" w:hAnsiTheme="majorHAnsi" w:cstheme="majorBidi"/>
              </w:rPr>
              <w:t>Benefits or Cash Assistance to Unemployed Workers</w:t>
            </w:r>
            <w:r w:rsidRPr="00E1626F">
              <w:rPr>
                <w:rFonts w:eastAsia="Times New Roman" w:asciiTheme="majorHAnsi" w:hAnsiTheme="majorHAnsi" w:cstheme="majorBidi"/>
              </w:rPr>
              <w:t>*</w:t>
            </w:r>
          </w:p>
        </w:tc>
      </w:tr>
      <w:tr w14:paraId="3D32BA18" w14:textId="77777777" w:rsidTr="001279CA">
        <w:tblPrEx>
          <w:tblW w:w="9265" w:type="dxa"/>
          <w:tblLook w:val="04A0"/>
        </w:tblPrEx>
        <w:trPr>
          <w:trHeight w:val="290"/>
        </w:trPr>
        <w:tc>
          <w:tcPr>
            <w:tcW w:w="9265" w:type="dxa"/>
            <w:shd w:val="clear" w:color="auto" w:fill="FFFFFF" w:themeFill="background2"/>
            <w:noWrap/>
          </w:tcPr>
          <w:p w:rsidR="00193637" w:rsidRPr="00450E37" w:rsidP="001279CA" w14:paraId="35BD60A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2.7     Job Training </w:t>
            </w:r>
            <w:r w:rsidRPr="009859D1">
              <w:rPr>
                <w:rFonts w:eastAsia="Times New Roman" w:asciiTheme="majorHAnsi" w:hAnsiTheme="majorHAnsi" w:cstheme="majorBidi"/>
              </w:rPr>
              <w:t xml:space="preserve">Assistance (e.g., Sectoral job-training, </w:t>
            </w:r>
            <w:r w:rsidRPr="00E1626F">
              <w:rPr>
                <w:rFonts w:eastAsia="Times New Roman" w:asciiTheme="majorHAnsi" w:hAnsiTheme="majorHAnsi" w:cstheme="majorBidi"/>
              </w:rPr>
              <w:t xml:space="preserve">Subsidized Employment, Employment Supports or </w:t>
            </w:r>
            <w:r w:rsidRPr="00E1626F">
              <w:rPr>
                <w:rFonts w:eastAsia="Times New Roman" w:asciiTheme="majorHAnsi" w:hAnsiTheme="majorHAnsi" w:cstheme="majorBidi"/>
              </w:rPr>
              <w:t>Incentives)*</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6367EBF" w14:textId="77777777" w:rsidTr="001279CA">
        <w:tblPrEx>
          <w:tblW w:w="9265" w:type="dxa"/>
          <w:tblLook w:val="04A0"/>
        </w:tblPrEx>
        <w:trPr>
          <w:trHeight w:val="290"/>
        </w:trPr>
        <w:tc>
          <w:tcPr>
            <w:tcW w:w="9265" w:type="dxa"/>
            <w:shd w:val="clear" w:color="auto" w:fill="FFFFFF" w:themeFill="background2"/>
            <w:noWrap/>
          </w:tcPr>
          <w:p w:rsidR="00193637" w:rsidRPr="009859D1" w:rsidP="001279CA" w14:paraId="5E19FE1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2.8     Contributions to UI Trust Funds</w:t>
            </w:r>
          </w:p>
        </w:tc>
      </w:tr>
      <w:tr w14:paraId="5A7918F4"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13A9218F"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2.9     Small Business </w:t>
            </w:r>
            <w:r w:rsidRPr="009859D1">
              <w:rPr>
                <w:rFonts w:eastAsia="Times New Roman" w:asciiTheme="majorHAnsi" w:hAnsiTheme="majorHAnsi" w:cstheme="majorBidi"/>
                <w:color w:val="000000"/>
              </w:rPr>
              <w:t>Economic Assistance (General)</w:t>
            </w:r>
            <w:r w:rsidRPr="009859D1">
              <w:rPr>
                <w:rFonts w:eastAsia="Times New Roman" w:asciiTheme="majorHAnsi" w:hAnsiTheme="majorHAnsi" w:cstheme="majorBidi"/>
                <w:color w:val="000000"/>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CA2B770"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2BF36B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2.10   Aid to </w:t>
            </w:r>
            <w:r w:rsidRPr="009859D1">
              <w:rPr>
                <w:rFonts w:eastAsia="Times New Roman" w:asciiTheme="majorHAnsi" w:hAnsiTheme="majorHAnsi" w:cstheme="majorBidi"/>
              </w:rPr>
              <w:t xml:space="preserve">Nonprofit </w:t>
            </w:r>
            <w:r w:rsidRPr="00E1626F">
              <w:rPr>
                <w:rFonts w:eastAsia="Times New Roman" w:asciiTheme="majorHAnsi" w:hAnsiTheme="majorHAnsi" w:cstheme="majorBidi"/>
              </w:rPr>
              <w:t>Organizations*</w:t>
            </w:r>
          </w:p>
        </w:tc>
      </w:tr>
      <w:tr w14:paraId="10B696C1"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79641CE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2.11   Aid to Tourism, Travel, or Hospitality</w:t>
            </w:r>
          </w:p>
        </w:tc>
      </w:tr>
      <w:tr w14:paraId="7C1B855A" w14:textId="77777777" w:rsidTr="001279CA">
        <w:tblPrEx>
          <w:tblW w:w="9265" w:type="dxa"/>
          <w:tblLook w:val="04A0"/>
        </w:tblPrEx>
        <w:trPr>
          <w:trHeight w:val="290"/>
        </w:trPr>
        <w:tc>
          <w:tcPr>
            <w:tcW w:w="9265" w:type="dxa"/>
            <w:shd w:val="clear" w:color="auto" w:fill="FFFFFF" w:themeFill="background2"/>
            <w:noWrap/>
          </w:tcPr>
          <w:p w:rsidR="00193637" w:rsidRPr="009859D1" w:rsidP="001279CA" w14:paraId="47C217E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2.12   Aid to Other Impacted Industries</w:t>
            </w:r>
          </w:p>
        </w:tc>
      </w:tr>
      <w:tr w14:paraId="60E2F836"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46D7D3B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2.13   Other Economic Support</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3D58CACD" w14:textId="77777777" w:rsidTr="001279CA">
        <w:tblPrEx>
          <w:tblW w:w="9265" w:type="dxa"/>
          <w:tblLook w:val="04A0"/>
        </w:tblPrEx>
        <w:trPr>
          <w:trHeight w:val="290"/>
        </w:trPr>
        <w:tc>
          <w:tcPr>
            <w:tcW w:w="9265" w:type="dxa"/>
            <w:shd w:val="clear" w:color="auto" w:fill="auto"/>
            <w:noWrap/>
          </w:tcPr>
          <w:p w:rsidR="00193637" w:rsidRPr="009859D1" w:rsidP="001279CA" w14:paraId="7E5927CC"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2.14   Rehiring Public Sector Staff</w:t>
            </w:r>
          </w:p>
        </w:tc>
      </w:tr>
      <w:tr w14:paraId="5C7A94E0" w14:textId="77777777" w:rsidTr="001279CA">
        <w:tblPrEx>
          <w:tblW w:w="9265" w:type="dxa"/>
          <w:tblLook w:val="04A0"/>
        </w:tblPrEx>
        <w:trPr>
          <w:trHeight w:val="290"/>
        </w:trPr>
        <w:tc>
          <w:tcPr>
            <w:tcW w:w="9265" w:type="dxa"/>
            <w:shd w:val="clear" w:color="auto" w:fill="004E7D" w:themeFill="accent6" w:themeFillShade="BF"/>
            <w:noWrap/>
          </w:tcPr>
          <w:p w:rsidR="00193637" w:rsidRPr="00A86FEA" w:rsidP="001279CA" w14:paraId="1268E089" w14:textId="77777777">
            <w:pPr>
              <w:spacing w:after="0" w:line="240" w:lineRule="auto"/>
              <w:rPr>
                <w:rFonts w:eastAsia="Times New Roman" w:asciiTheme="majorHAnsi" w:hAnsiTheme="majorHAnsi" w:cstheme="majorBidi"/>
                <w:b/>
              </w:rPr>
            </w:pPr>
            <w:r w:rsidRPr="24B7A074">
              <w:rPr>
                <w:rFonts w:eastAsia="Times New Roman" w:asciiTheme="majorHAnsi" w:hAnsiTheme="majorHAnsi" w:cstheme="majorBidi"/>
                <w:b/>
                <w:bCs/>
                <w:color w:val="FFFFFF" w:themeColor="background1"/>
              </w:rPr>
              <w:t>3: Services to Disproportionately Impacted Communities</w:t>
            </w:r>
          </w:p>
        </w:tc>
      </w:tr>
      <w:tr w14:paraId="6855CBA1"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65AE3C8D"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3.1     Education Assistance: Early Learning</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30DBE3C5"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3E71DA99"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3.2     Education Assistance: Aid to High-Poverty </w:t>
            </w:r>
            <w:r w:rsidRPr="00A86FEA">
              <w:rPr>
                <w:rFonts w:eastAsia="Times New Roman" w:asciiTheme="majorHAnsi" w:hAnsiTheme="majorHAnsi" w:cstheme="majorBidi"/>
                <w:color w:val="000000"/>
              </w:rPr>
              <w:t>Districts</w:t>
            </w:r>
            <w:r w:rsidRPr="009859D1">
              <w:rPr>
                <w:rFonts w:eastAsia="Times New Roman" w:asciiTheme="majorHAnsi" w:hAnsiTheme="majorHAnsi" w:cstheme="majorBidi"/>
              </w:rPr>
              <w:t xml:space="preserve">  </w:t>
            </w:r>
            <w:r w:rsidRPr="009859D1">
              <w:rPr>
                <w:rFonts w:eastAsia="Times New Roman" w:asciiTheme="majorHAnsi" w:hAnsiTheme="majorHAnsi" w:cstheme="majorBidi"/>
                <w:color w:val="000000"/>
              </w:rPr>
              <w:t>^</w:t>
            </w:r>
          </w:p>
        </w:tc>
      </w:tr>
      <w:tr w14:paraId="4FC69445"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EBDBB47"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3.3     Education Assistance: Academic Services</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0D32423C" w14:textId="77777777" w:rsidTr="00FE3FDE">
        <w:tblPrEx>
          <w:tblW w:w="9265" w:type="dxa"/>
          <w:tblLook w:val="04A0"/>
        </w:tblPrEx>
        <w:trPr>
          <w:trHeight w:val="70"/>
        </w:trPr>
        <w:tc>
          <w:tcPr>
            <w:tcW w:w="9265" w:type="dxa"/>
            <w:tcBorders>
              <w:top w:val="single" w:sz="4" w:space="0" w:color="auto"/>
              <w:left w:val="single" w:sz="4" w:space="0" w:color="auto"/>
              <w:bottom w:val="single" w:sz="4" w:space="0" w:color="auto"/>
              <w:right w:val="single" w:sz="4" w:space="0" w:color="auto"/>
            </w:tcBorders>
            <w:shd w:val="clear" w:color="auto" w:fill="FFFFFF" w:themeFill="background2"/>
            <w:noWrap/>
          </w:tcPr>
          <w:p w:rsidR="00193637" w:rsidRPr="00E1626F" w:rsidP="001279CA" w14:paraId="1032F01D"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3.4     Education Assistance: Social, </w:t>
            </w:r>
            <w:r w:rsidRPr="009859D1">
              <w:rPr>
                <w:rFonts w:eastAsia="Times New Roman" w:asciiTheme="majorHAnsi" w:hAnsiTheme="majorHAnsi" w:cstheme="majorBidi"/>
                <w:color w:val="000000"/>
              </w:rPr>
              <w:t>Emotional, and Mental Health Services</w:t>
            </w:r>
            <w:r w:rsidRPr="009859D1">
              <w:rPr>
                <w:rFonts w:eastAsia="Times New Roman" w:asciiTheme="majorHAnsi" w:hAnsiTheme="majorHAnsi" w:cstheme="majorBidi"/>
                <w:color w:val="000000"/>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EA53727"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5C23A607"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3.5     Education Assistance: Other</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0C8255C7"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0341C07E" w14:textId="77777777">
            <w:pPr>
              <w:spacing w:after="0" w:line="240" w:lineRule="auto"/>
              <w:ind w:left="604" w:hanging="604"/>
              <w:rPr>
                <w:rFonts w:eastAsia="Times New Roman" w:asciiTheme="majorHAnsi" w:hAnsiTheme="majorHAnsi" w:cstheme="majorBidi"/>
                <w:color w:val="000000"/>
              </w:rPr>
            </w:pPr>
            <w:bookmarkStart w:id="27" w:name="_Hlk72044738"/>
            <w:r w:rsidRPr="00A86FEA">
              <w:rPr>
                <w:rFonts w:eastAsia="Times New Roman" w:asciiTheme="majorHAnsi" w:hAnsiTheme="majorHAnsi" w:cstheme="majorBidi"/>
                <w:color w:val="000000"/>
              </w:rPr>
              <w:t xml:space="preserve">3.6     Healthy Childhood Environments: </w:t>
            </w:r>
            <w:bookmarkEnd w:id="27"/>
            <w:r w:rsidRPr="00A86FEA">
              <w:rPr>
                <w:rFonts w:eastAsia="Times New Roman" w:asciiTheme="majorHAnsi" w:hAnsiTheme="majorHAnsi" w:cstheme="majorBidi"/>
                <w:color w:val="000000"/>
              </w:rPr>
              <w:t>Child Care</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3FC6B85A"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F216904"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3.7     Healthy Childhood Environments: Home Visiting</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6E1886A5"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459B33A1"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 xml:space="preserve">3.8     Healthy Childhood Environments: Services to </w:t>
            </w:r>
            <w:r w:rsidRPr="009859D1">
              <w:rPr>
                <w:rFonts w:eastAsia="Times New Roman" w:asciiTheme="majorHAnsi" w:hAnsiTheme="majorHAnsi" w:cstheme="majorBidi"/>
                <w:color w:val="000000"/>
              </w:rPr>
              <w:t>Foster Youth or Families Involved in Child Welfare System</w:t>
            </w:r>
            <w:r w:rsidRPr="009859D1">
              <w:rPr>
                <w:rFonts w:eastAsia="Times New Roman" w:asciiTheme="majorHAnsi" w:hAnsiTheme="majorHAnsi" w:cstheme="majorBidi"/>
                <w:color w:val="000000"/>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5C07A24"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3DF25C01"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3.9     Healthy Childhood Environments: Other</w:t>
            </w:r>
            <w:r w:rsidRPr="009859D1">
              <w:rPr>
                <w:rFonts w:eastAsia="Times New Roman" w:asciiTheme="majorHAnsi" w:hAnsiTheme="majorHAnsi" w:cstheme="majorBidi"/>
                <w:color w:val="000000"/>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7C0D55D"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141A8083" w14:textId="77777777">
            <w:pPr>
              <w:spacing w:after="0" w:line="240" w:lineRule="auto"/>
              <w:ind w:left="604" w:hanging="604"/>
              <w:rPr>
                <w:rFonts w:eastAsia="Times New Roman" w:asciiTheme="majorHAnsi" w:hAnsiTheme="majorHAnsi" w:cstheme="majorBidi"/>
                <w:color w:val="000000"/>
              </w:rPr>
            </w:pPr>
            <w:r w:rsidRPr="00A86FEA">
              <w:rPr>
                <w:rFonts w:eastAsia="Times New Roman" w:asciiTheme="majorHAnsi" w:hAnsiTheme="majorHAnsi" w:cstheme="majorBidi"/>
                <w:color w:val="000000"/>
              </w:rPr>
              <w:t>3.10   Housing Support</w:t>
            </w:r>
            <w:r w:rsidRPr="009859D1">
              <w:rPr>
                <w:rFonts w:eastAsia="Times New Roman" w:asciiTheme="majorHAnsi" w:hAnsiTheme="majorHAnsi" w:cstheme="majorBidi"/>
                <w:color w:val="000000"/>
              </w:rPr>
              <w:t>: Affordable Housing*</w:t>
            </w:r>
            <w:r w:rsidRPr="00E1626F">
              <w:rPr>
                <w:rFonts w:eastAsia="Times New Roman" w:asciiTheme="majorHAnsi" w:hAnsiTheme="majorHAnsi" w:cstheme="majorBidi"/>
                <w:color w:val="000000"/>
              </w:rPr>
              <w:t xml:space="preserve"> </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F520BC9" w14:textId="77777777" w:rsidTr="001279CA">
        <w:tblPrEx>
          <w:tblW w:w="9265" w:type="dxa"/>
          <w:tblLook w:val="04A0"/>
        </w:tblPrEx>
        <w:trPr>
          <w:trHeight w:val="290"/>
        </w:trPr>
        <w:tc>
          <w:tcPr>
            <w:tcW w:w="9265" w:type="dxa"/>
            <w:shd w:val="clear" w:color="auto" w:fill="FFFFFF" w:themeFill="background2"/>
            <w:noWrap/>
            <w:hideMark/>
          </w:tcPr>
          <w:p w:rsidR="00193637" w:rsidRPr="00450E37" w:rsidP="001279CA" w14:paraId="1BC63E5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3.11   Housing Support</w:t>
            </w:r>
            <w:r w:rsidRPr="009859D1">
              <w:rPr>
                <w:rFonts w:eastAsia="Times New Roman" w:asciiTheme="majorHAnsi" w:hAnsiTheme="majorHAnsi" w:cstheme="majorBidi"/>
              </w:rPr>
              <w:t>:</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Services for Unhoused Persons</w:t>
            </w:r>
            <w:r w:rsidRPr="00450E37">
              <w:rPr>
                <w:rFonts w:eastAsia="Times New Roman" w:asciiTheme="majorHAnsi" w:hAnsiTheme="majorHAnsi" w:cstheme="majorBidi"/>
              </w:rPr>
              <w:t xml:space="preserve">*  </w:t>
            </w:r>
            <w:r w:rsidRPr="00450E37">
              <w:rPr>
                <w:rFonts w:eastAsia="Times New Roman" w:asciiTheme="majorHAnsi" w:hAnsiTheme="majorHAnsi" w:cstheme="majorBidi"/>
                <w:color w:val="000000"/>
              </w:rPr>
              <w:t>^</w:t>
            </w:r>
          </w:p>
        </w:tc>
      </w:tr>
      <w:tr w14:paraId="379F760E"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299AEDBF"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3.12   Housing Support</w:t>
            </w:r>
            <w:r w:rsidRPr="009859D1">
              <w:rPr>
                <w:rFonts w:eastAsia="Times New Roman" w:asciiTheme="majorHAnsi" w:hAnsiTheme="majorHAnsi" w:cstheme="majorBidi"/>
              </w:rPr>
              <w:t>: Other Housing Assistance</w:t>
            </w:r>
            <w:r w:rsidRPr="009859D1">
              <w:rPr>
                <w:rFonts w:eastAsia="Times New Roman" w:asciiTheme="majorHAnsi" w:hAnsiTheme="majorHAnsi" w:cstheme="majorBidi"/>
              </w:rPr>
              <w:t>*</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14EDA787"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B80BD5E"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3.13   Social Determinants of Health: Other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5576932D"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7C409A90"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3.14   Social Determinants of Health: Community Health Workers or Benefits Navigators</w:t>
            </w:r>
            <w:r w:rsidRPr="009859D1">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E2B860A" w14:textId="77777777" w:rsidTr="001279CA">
        <w:tblPrEx>
          <w:tblW w:w="9265" w:type="dxa"/>
          <w:tblLook w:val="04A0"/>
        </w:tblPrEx>
        <w:trPr>
          <w:trHeight w:val="290"/>
        </w:trPr>
        <w:tc>
          <w:tcPr>
            <w:tcW w:w="9265" w:type="dxa"/>
            <w:shd w:val="clear" w:color="auto" w:fill="FFFFFF" w:themeFill="background2"/>
            <w:noWrap/>
            <w:hideMark/>
          </w:tcPr>
          <w:p w:rsidR="00193637" w:rsidRPr="00E1626F" w:rsidP="001279CA" w14:paraId="40F911C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3.15   Social Determinants of Health: Lead </w:t>
            </w:r>
            <w:r w:rsidRPr="00A86FEA">
              <w:rPr>
                <w:rFonts w:eastAsia="Times New Roman" w:asciiTheme="majorHAnsi" w:hAnsiTheme="majorHAnsi" w:cstheme="majorBidi"/>
              </w:rPr>
              <w:t>Remediation</w:t>
            </w:r>
            <w:r w:rsidRPr="009859D1">
              <w:rPr>
                <w:rFonts w:eastAsia="Times New Roman" w:asciiTheme="majorHAnsi" w:hAnsiTheme="majorHAnsi" w:cstheme="majorBidi"/>
              </w:rPr>
              <w:t xml:space="preserve">  </w:t>
            </w:r>
            <w:r w:rsidRPr="009859D1">
              <w:rPr>
                <w:rFonts w:eastAsia="Times New Roman" w:asciiTheme="majorHAnsi" w:hAnsiTheme="majorHAnsi" w:cstheme="majorBidi"/>
                <w:color w:val="000000"/>
              </w:rPr>
              <w:t>^</w:t>
            </w:r>
          </w:p>
        </w:tc>
      </w:tr>
      <w:tr w14:paraId="68E569D2" w14:textId="77777777" w:rsidTr="001279CA">
        <w:tblPrEx>
          <w:tblW w:w="9265" w:type="dxa"/>
          <w:tblLook w:val="04A0"/>
        </w:tblPrEx>
        <w:trPr>
          <w:trHeight w:val="290"/>
        </w:trPr>
        <w:tc>
          <w:tcPr>
            <w:tcW w:w="9265" w:type="dxa"/>
            <w:shd w:val="clear" w:color="auto" w:fill="FFFFFF" w:themeFill="background2"/>
            <w:noWrap/>
          </w:tcPr>
          <w:p w:rsidR="00193637" w:rsidRPr="00E1626F" w:rsidP="001279CA" w14:paraId="56C1EE72"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color w:val="000000"/>
              </w:rPr>
              <w:t xml:space="preserve">3.16   Social </w:t>
            </w:r>
            <w:r w:rsidRPr="009859D1">
              <w:rPr>
                <w:rFonts w:eastAsia="Times New Roman" w:asciiTheme="majorHAnsi" w:hAnsiTheme="majorHAnsi" w:cstheme="majorBidi"/>
                <w:color w:val="000000"/>
              </w:rPr>
              <w:t>Determinants of Health: Community Violence Interventions*</w:t>
            </w:r>
            <w:r w:rsidRPr="00E1626F">
              <w:rPr>
                <w:rFonts w:eastAsia="Times New Roman" w:asciiTheme="majorHAnsi" w:hAnsiTheme="majorHAnsi" w:cstheme="majorBidi"/>
                <w:color w:val="000000"/>
              </w:rPr>
              <w:t xml:space="preserve"> </w:t>
            </w:r>
            <w:r w:rsidRPr="00E1626F">
              <w:rPr>
                <w:rFonts w:eastAsia="Times New Roman" w:asciiTheme="majorHAnsi" w:hAnsiTheme="majorHAnsi" w:cstheme="majorBidi"/>
              </w:rPr>
              <w:t xml:space="preserve">  </w:t>
            </w:r>
            <w:r w:rsidRPr="00E1626F">
              <w:rPr>
                <w:rFonts w:eastAsia="Times New Roman" w:asciiTheme="majorHAnsi" w:hAnsiTheme="majorHAnsi" w:cstheme="majorBidi"/>
                <w:color w:val="000000"/>
              </w:rPr>
              <w:t>^</w:t>
            </w:r>
          </w:p>
        </w:tc>
      </w:tr>
      <w:tr w14:paraId="24F8453E"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004E7D" w:themeFill="accent6" w:themeFillShade="BF"/>
          </w:tcPr>
          <w:p w:rsidR="00193637" w:rsidRPr="00A86FEA" w:rsidP="001279CA" w14:paraId="44199865" w14:textId="77777777">
            <w:pPr>
              <w:spacing w:after="0" w:line="240" w:lineRule="auto"/>
              <w:rPr>
                <w:rFonts w:eastAsia="Times New Roman" w:asciiTheme="majorHAnsi" w:hAnsiTheme="majorHAnsi" w:cstheme="majorBidi"/>
                <w:b/>
              </w:rPr>
            </w:pPr>
            <w:r w:rsidRPr="24B7A074">
              <w:rPr>
                <w:rFonts w:eastAsia="Times New Roman" w:asciiTheme="majorHAnsi" w:hAnsiTheme="majorHAnsi" w:cstheme="majorBidi"/>
                <w:b/>
                <w:bCs/>
                <w:color w:val="FFFFFF" w:themeColor="background1"/>
              </w:rPr>
              <w:t>4: Premium Pay</w:t>
            </w:r>
          </w:p>
        </w:tc>
      </w:tr>
      <w:tr w14:paraId="044C7147" w14:textId="77777777" w:rsidTr="001279CA">
        <w:tblPrEx>
          <w:tblW w:w="9265" w:type="dxa"/>
          <w:tblLook w:val="04A0"/>
        </w:tblPrEx>
        <w:trPr>
          <w:trHeight w:val="290"/>
        </w:trPr>
        <w:tc>
          <w:tcPr>
            <w:tcW w:w="9265" w:type="dxa"/>
            <w:shd w:val="clear" w:color="auto" w:fill="FFFFFF" w:themeFill="background2"/>
            <w:noWrap/>
            <w:hideMark/>
          </w:tcPr>
          <w:p w:rsidR="00193637" w:rsidRPr="009859D1" w:rsidP="001279CA" w14:paraId="63851A3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4.1     Public Sector</w:t>
            </w:r>
            <w:r w:rsidRPr="009859D1">
              <w:rPr>
                <w:rFonts w:eastAsia="Times New Roman" w:asciiTheme="majorHAnsi" w:hAnsiTheme="majorHAnsi" w:cstheme="majorBidi"/>
              </w:rPr>
              <w:t xml:space="preserve"> Employees</w:t>
            </w:r>
          </w:p>
        </w:tc>
      </w:tr>
      <w:tr w14:paraId="07358505" w14:textId="77777777" w:rsidTr="001279CA">
        <w:tblPrEx>
          <w:tblW w:w="9265" w:type="dxa"/>
          <w:tblLook w:val="04A0"/>
        </w:tblPrEx>
        <w:trPr>
          <w:trHeight w:val="290"/>
        </w:trPr>
        <w:tc>
          <w:tcPr>
            <w:tcW w:w="9265" w:type="dxa"/>
            <w:shd w:val="clear" w:color="auto" w:fill="FFFFFF" w:themeFill="background2"/>
            <w:noWrap/>
            <w:hideMark/>
          </w:tcPr>
          <w:p w:rsidR="00193637" w:rsidRPr="00450E37" w:rsidP="001279CA" w14:paraId="03A25F7A"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4.2     Private Sector</w:t>
            </w:r>
            <w:r w:rsidRPr="009859D1">
              <w:rPr>
                <w:rFonts w:eastAsia="Times New Roman" w:asciiTheme="majorHAnsi" w:hAnsiTheme="majorHAnsi" w:cstheme="majorBidi"/>
              </w:rPr>
              <w:t xml:space="preserve">: Grants to </w:t>
            </w:r>
            <w:r w:rsidRPr="00E1626F">
              <w:rPr>
                <w:rFonts w:eastAsia="Times New Roman" w:asciiTheme="majorHAnsi" w:hAnsiTheme="majorHAnsi" w:cstheme="majorBidi"/>
              </w:rPr>
              <w:t xml:space="preserve">Other Employers </w:t>
            </w:r>
          </w:p>
        </w:tc>
      </w:tr>
      <w:tr w14:paraId="547A0BF8"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A86FEA" w:rsidP="001279CA" w14:paraId="2B3CBF0C" w14:textId="7CCFB5C3">
            <w:pPr>
              <w:spacing w:after="0" w:line="240" w:lineRule="auto"/>
              <w:rPr>
                <w:rFonts w:eastAsia="Times New Roman" w:asciiTheme="majorHAnsi" w:hAnsiTheme="majorHAnsi" w:cstheme="majorBidi"/>
                <w:color w:val="FFFFFF" w:themeColor="background1"/>
              </w:rPr>
            </w:pPr>
            <w:r w:rsidRPr="24B7A074">
              <w:rPr>
                <w:rFonts w:eastAsia="Times New Roman" w:asciiTheme="majorHAnsi" w:hAnsiTheme="majorHAnsi" w:cstheme="majorBidi"/>
                <w:b/>
                <w:bCs/>
                <w:color w:val="FFFFFF" w:themeColor="background1"/>
              </w:rPr>
              <w:t>5: Infrastructure</w:t>
            </w:r>
          </w:p>
        </w:tc>
      </w:tr>
      <w:tr w14:paraId="0EAABAE0" w14:textId="77777777" w:rsidTr="001279CA">
        <w:tblPrEx>
          <w:tblW w:w="9265" w:type="dxa"/>
          <w:tblLook w:val="04A0"/>
        </w:tblPrEx>
        <w:trPr>
          <w:trHeight w:val="290"/>
        </w:trPr>
        <w:tc>
          <w:tcPr>
            <w:tcW w:w="9265" w:type="dxa"/>
            <w:shd w:val="clear" w:color="auto" w:fill="auto"/>
            <w:noWrap/>
          </w:tcPr>
          <w:p w:rsidR="00193637" w:rsidRPr="00450E37" w:rsidP="001279CA" w14:paraId="692A166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5.1     Clean Water: </w:t>
            </w:r>
            <w:r w:rsidRPr="009859D1">
              <w:rPr>
                <w:rFonts w:eastAsia="Times New Roman" w:asciiTheme="majorHAnsi" w:hAnsiTheme="majorHAnsi" w:cstheme="majorBidi"/>
              </w:rPr>
              <w:t>Centralized W</w:t>
            </w:r>
            <w:r w:rsidRPr="00E1626F">
              <w:rPr>
                <w:rFonts w:eastAsia="Times New Roman" w:asciiTheme="majorHAnsi" w:hAnsiTheme="majorHAnsi" w:cstheme="majorBidi"/>
              </w:rPr>
              <w:t>astewater Treatment</w:t>
            </w:r>
          </w:p>
        </w:tc>
      </w:tr>
      <w:tr w14:paraId="2EC876FD" w14:textId="77777777" w:rsidTr="001279CA">
        <w:tblPrEx>
          <w:tblW w:w="9265" w:type="dxa"/>
          <w:tblLook w:val="04A0"/>
        </w:tblPrEx>
        <w:trPr>
          <w:trHeight w:val="290"/>
        </w:trPr>
        <w:tc>
          <w:tcPr>
            <w:tcW w:w="9265" w:type="dxa"/>
            <w:shd w:val="clear" w:color="auto" w:fill="auto"/>
            <w:noWrap/>
          </w:tcPr>
          <w:p w:rsidR="00193637" w:rsidRPr="00450E37" w:rsidP="001279CA" w14:paraId="46CFD91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5.2     Clean Water: </w:t>
            </w:r>
            <w:r w:rsidRPr="009859D1">
              <w:rPr>
                <w:rFonts w:eastAsia="Times New Roman" w:asciiTheme="majorHAnsi" w:hAnsiTheme="majorHAnsi" w:cstheme="majorBidi"/>
              </w:rPr>
              <w:t>Centralized W</w:t>
            </w:r>
            <w:r w:rsidRPr="00E1626F">
              <w:rPr>
                <w:rFonts w:eastAsia="Times New Roman" w:asciiTheme="majorHAnsi" w:hAnsiTheme="majorHAnsi" w:cstheme="majorBidi"/>
              </w:rPr>
              <w:t>astewater Collection and C</w:t>
            </w:r>
            <w:r w:rsidRPr="00450E37">
              <w:rPr>
                <w:rFonts w:eastAsia="Times New Roman" w:asciiTheme="majorHAnsi" w:hAnsiTheme="majorHAnsi" w:cstheme="majorBidi"/>
              </w:rPr>
              <w:t>onveyance</w:t>
            </w:r>
          </w:p>
        </w:tc>
      </w:tr>
      <w:tr w14:paraId="48B623F1" w14:textId="77777777" w:rsidTr="001279CA">
        <w:tblPrEx>
          <w:tblW w:w="9265" w:type="dxa"/>
          <w:tblLook w:val="04A0"/>
        </w:tblPrEx>
        <w:trPr>
          <w:trHeight w:val="290"/>
        </w:trPr>
        <w:tc>
          <w:tcPr>
            <w:tcW w:w="9265" w:type="dxa"/>
            <w:shd w:val="clear" w:color="auto" w:fill="auto"/>
            <w:noWrap/>
          </w:tcPr>
          <w:p w:rsidR="00193637" w:rsidRPr="00E1626F" w:rsidP="001279CA" w14:paraId="5B8998C2"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5.3     Clean Water: </w:t>
            </w:r>
            <w:r w:rsidRPr="009859D1">
              <w:rPr>
                <w:rFonts w:eastAsia="Times New Roman" w:asciiTheme="majorHAnsi" w:hAnsiTheme="majorHAnsi" w:cstheme="majorBidi"/>
              </w:rPr>
              <w:t>Decentralized W</w:t>
            </w:r>
            <w:r w:rsidRPr="00E1626F">
              <w:rPr>
                <w:rFonts w:eastAsia="Times New Roman" w:asciiTheme="majorHAnsi" w:hAnsiTheme="majorHAnsi" w:cstheme="majorBidi"/>
              </w:rPr>
              <w:t>astewater</w:t>
            </w:r>
          </w:p>
        </w:tc>
      </w:tr>
      <w:tr w14:paraId="6BB5CC04" w14:textId="77777777" w:rsidTr="001279CA">
        <w:tblPrEx>
          <w:tblW w:w="9265" w:type="dxa"/>
          <w:tblLook w:val="04A0"/>
        </w:tblPrEx>
        <w:trPr>
          <w:trHeight w:val="290"/>
        </w:trPr>
        <w:tc>
          <w:tcPr>
            <w:tcW w:w="9265" w:type="dxa"/>
            <w:shd w:val="clear" w:color="auto" w:fill="auto"/>
            <w:noWrap/>
          </w:tcPr>
          <w:p w:rsidR="00193637" w:rsidRPr="00E1626F" w:rsidP="001279CA" w14:paraId="0E8DA9BF"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5.4     Clean Water: </w:t>
            </w:r>
            <w:r w:rsidRPr="009859D1">
              <w:rPr>
                <w:rFonts w:eastAsia="Times New Roman" w:asciiTheme="majorHAnsi" w:hAnsiTheme="majorHAnsi" w:cstheme="majorBidi"/>
              </w:rPr>
              <w:t>Combined S</w:t>
            </w:r>
            <w:r w:rsidRPr="00E1626F">
              <w:rPr>
                <w:rFonts w:eastAsia="Times New Roman" w:asciiTheme="majorHAnsi" w:hAnsiTheme="majorHAnsi" w:cstheme="majorBidi"/>
              </w:rPr>
              <w:t>ewer Overflows</w:t>
            </w:r>
          </w:p>
        </w:tc>
      </w:tr>
      <w:tr w14:paraId="6F20570E" w14:textId="77777777" w:rsidTr="001279CA">
        <w:tblPrEx>
          <w:tblW w:w="9265" w:type="dxa"/>
          <w:tblLook w:val="04A0"/>
        </w:tblPrEx>
        <w:trPr>
          <w:trHeight w:val="290"/>
        </w:trPr>
        <w:tc>
          <w:tcPr>
            <w:tcW w:w="9265" w:type="dxa"/>
            <w:shd w:val="clear" w:color="auto" w:fill="auto"/>
            <w:noWrap/>
          </w:tcPr>
          <w:p w:rsidR="00193637" w:rsidRPr="00E1626F" w:rsidP="001279CA" w14:paraId="3860A82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5.5     Clean Water: </w:t>
            </w:r>
            <w:r w:rsidRPr="009859D1">
              <w:rPr>
                <w:rFonts w:eastAsia="Times New Roman" w:asciiTheme="majorHAnsi" w:hAnsiTheme="majorHAnsi" w:cstheme="majorBidi"/>
              </w:rPr>
              <w:t>Other S</w:t>
            </w:r>
            <w:r w:rsidRPr="00E1626F">
              <w:rPr>
                <w:rFonts w:eastAsia="Times New Roman" w:asciiTheme="majorHAnsi" w:hAnsiTheme="majorHAnsi" w:cstheme="majorBidi"/>
              </w:rPr>
              <w:t>ewer Infrastructure</w:t>
            </w:r>
          </w:p>
        </w:tc>
      </w:tr>
      <w:tr w14:paraId="34120D6D" w14:textId="77777777" w:rsidTr="001279CA">
        <w:tblPrEx>
          <w:tblW w:w="9265" w:type="dxa"/>
          <w:tblLook w:val="04A0"/>
        </w:tblPrEx>
        <w:trPr>
          <w:trHeight w:val="290"/>
        </w:trPr>
        <w:tc>
          <w:tcPr>
            <w:tcW w:w="9265" w:type="dxa"/>
            <w:shd w:val="clear" w:color="auto" w:fill="auto"/>
            <w:noWrap/>
          </w:tcPr>
          <w:p w:rsidR="00193637" w:rsidRPr="009859D1" w:rsidP="001279CA" w14:paraId="46B8A15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5.6     Clean Water: </w:t>
            </w:r>
            <w:r w:rsidRPr="009859D1">
              <w:rPr>
                <w:rFonts w:eastAsia="Times New Roman" w:asciiTheme="majorHAnsi" w:hAnsiTheme="majorHAnsi" w:cstheme="majorBidi"/>
              </w:rPr>
              <w:t>Stormwater</w:t>
            </w:r>
          </w:p>
        </w:tc>
      </w:tr>
      <w:tr w14:paraId="2FC22187"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E1626F" w:rsidP="001279CA" w14:paraId="3399D661"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5.7     Clean Water: </w:t>
            </w:r>
            <w:r w:rsidRPr="009859D1">
              <w:rPr>
                <w:rFonts w:eastAsia="Times New Roman" w:asciiTheme="majorHAnsi" w:hAnsiTheme="majorHAnsi" w:cstheme="majorBidi"/>
              </w:rPr>
              <w:t>Energy C</w:t>
            </w:r>
            <w:r w:rsidRPr="00E1626F">
              <w:rPr>
                <w:rFonts w:eastAsia="Times New Roman" w:asciiTheme="majorHAnsi" w:hAnsiTheme="majorHAnsi" w:cstheme="majorBidi"/>
              </w:rPr>
              <w:t>onservation</w:t>
            </w:r>
          </w:p>
        </w:tc>
      </w:tr>
      <w:tr w14:paraId="4F3EC4EC" w14:textId="77777777" w:rsidTr="001279CA">
        <w:tblPrEx>
          <w:tblW w:w="9265" w:type="dxa"/>
          <w:tblLook w:val="04A0"/>
        </w:tblPrEx>
        <w:trPr>
          <w:trHeight w:val="290"/>
        </w:trPr>
        <w:tc>
          <w:tcPr>
            <w:tcW w:w="9265" w:type="dxa"/>
            <w:shd w:val="clear" w:color="auto" w:fill="auto"/>
            <w:noWrap/>
          </w:tcPr>
          <w:p w:rsidR="00193637" w:rsidRPr="00E1626F" w:rsidP="001279CA" w14:paraId="458D0D29"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5.8     Clean Water: </w:t>
            </w:r>
            <w:r w:rsidRPr="009859D1">
              <w:rPr>
                <w:rFonts w:eastAsia="Times New Roman" w:asciiTheme="majorHAnsi" w:hAnsiTheme="majorHAnsi" w:cstheme="majorBidi"/>
              </w:rPr>
              <w:t>Water C</w:t>
            </w:r>
            <w:r w:rsidRPr="00E1626F">
              <w:rPr>
                <w:rFonts w:eastAsia="Times New Roman" w:asciiTheme="majorHAnsi" w:hAnsiTheme="majorHAnsi" w:cstheme="majorBidi"/>
              </w:rPr>
              <w:t>onservation</w:t>
            </w:r>
          </w:p>
        </w:tc>
      </w:tr>
      <w:tr w14:paraId="6D65683D" w14:textId="77777777" w:rsidTr="001279CA">
        <w:tblPrEx>
          <w:tblW w:w="9265" w:type="dxa"/>
          <w:tblLook w:val="04A0"/>
        </w:tblPrEx>
        <w:trPr>
          <w:trHeight w:val="290"/>
        </w:trPr>
        <w:tc>
          <w:tcPr>
            <w:tcW w:w="9265" w:type="dxa"/>
            <w:shd w:val="clear" w:color="auto" w:fill="auto"/>
            <w:noWrap/>
          </w:tcPr>
          <w:p w:rsidR="00193637" w:rsidRPr="00E1626F" w:rsidP="001279CA" w14:paraId="3615623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5.9     Clean Water: </w:t>
            </w:r>
            <w:r w:rsidRPr="009859D1">
              <w:rPr>
                <w:rFonts w:eastAsia="Times New Roman" w:asciiTheme="majorHAnsi" w:hAnsiTheme="majorHAnsi" w:cstheme="majorBidi"/>
              </w:rPr>
              <w:t>Nonpoint S</w:t>
            </w:r>
            <w:r w:rsidRPr="00E1626F">
              <w:rPr>
                <w:rFonts w:eastAsia="Times New Roman" w:asciiTheme="majorHAnsi" w:hAnsiTheme="majorHAnsi" w:cstheme="majorBidi"/>
              </w:rPr>
              <w:t xml:space="preserve">ource </w:t>
            </w:r>
          </w:p>
        </w:tc>
      </w:tr>
      <w:tr w14:paraId="12890421" w14:textId="77777777" w:rsidTr="001279CA">
        <w:tblPrEx>
          <w:tblW w:w="9265" w:type="dxa"/>
          <w:tblLook w:val="04A0"/>
        </w:tblPrEx>
        <w:trPr>
          <w:trHeight w:val="290"/>
        </w:trPr>
        <w:tc>
          <w:tcPr>
            <w:tcW w:w="9265" w:type="dxa"/>
            <w:shd w:val="clear" w:color="auto" w:fill="auto"/>
            <w:noWrap/>
          </w:tcPr>
          <w:p w:rsidR="00193637" w:rsidRPr="00E1626F" w:rsidP="001279CA" w14:paraId="665CD5F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5.10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Treatment</w:t>
            </w:r>
          </w:p>
        </w:tc>
      </w:tr>
      <w:tr w14:paraId="412BD4CA" w14:textId="77777777" w:rsidTr="001279CA">
        <w:tblPrEx>
          <w:tblW w:w="9265" w:type="dxa"/>
          <w:tblLook w:val="04A0"/>
        </w:tblPrEx>
        <w:trPr>
          <w:trHeight w:val="290"/>
        </w:trPr>
        <w:tc>
          <w:tcPr>
            <w:tcW w:w="9265" w:type="dxa"/>
            <w:shd w:val="clear" w:color="auto" w:fill="auto"/>
            <w:noWrap/>
          </w:tcPr>
          <w:p w:rsidR="00193637" w:rsidRPr="00450E37" w:rsidP="001279CA" w14:paraId="2D701D96"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5.11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Transmission &amp; Distribution</w:t>
            </w:r>
          </w:p>
        </w:tc>
      </w:tr>
      <w:tr w14:paraId="13BCEE14" w14:textId="77777777" w:rsidTr="001279CA">
        <w:tblPrEx>
          <w:tblW w:w="9265" w:type="dxa"/>
          <w:tblLook w:val="04A0"/>
        </w:tblPrEx>
        <w:trPr>
          <w:trHeight w:val="290"/>
        </w:trPr>
        <w:tc>
          <w:tcPr>
            <w:tcW w:w="9265" w:type="dxa"/>
            <w:shd w:val="clear" w:color="auto" w:fill="auto"/>
            <w:noWrap/>
          </w:tcPr>
          <w:p w:rsidR="00193637" w:rsidRPr="00D178A4" w:rsidP="001279CA" w14:paraId="498F264B"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5.12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 xml:space="preserve">Transmission &amp; Distribution: </w:t>
            </w:r>
            <w:r w:rsidRPr="00450E37">
              <w:rPr>
                <w:rFonts w:eastAsia="Times New Roman" w:asciiTheme="majorHAnsi" w:hAnsiTheme="majorHAnsi" w:cstheme="majorBidi"/>
              </w:rPr>
              <w:t>Lead Remediation</w:t>
            </w:r>
          </w:p>
        </w:tc>
      </w:tr>
      <w:tr w14:paraId="54B14C07" w14:textId="77777777" w:rsidTr="001279CA">
        <w:tblPrEx>
          <w:tblW w:w="9265" w:type="dxa"/>
          <w:tblLook w:val="04A0"/>
        </w:tblPrEx>
        <w:trPr>
          <w:trHeight w:val="290"/>
        </w:trPr>
        <w:tc>
          <w:tcPr>
            <w:tcW w:w="9265" w:type="dxa"/>
            <w:shd w:val="clear" w:color="auto" w:fill="auto"/>
            <w:noWrap/>
          </w:tcPr>
          <w:p w:rsidR="00193637" w:rsidRPr="00E1626F" w:rsidP="001279CA" w14:paraId="52063F25"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5.13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Source</w:t>
            </w:r>
          </w:p>
        </w:tc>
      </w:tr>
      <w:tr w14:paraId="16DC23F1" w14:textId="77777777" w:rsidTr="001279CA">
        <w:tblPrEx>
          <w:tblW w:w="9265" w:type="dxa"/>
          <w:tblLook w:val="04A0"/>
        </w:tblPrEx>
        <w:trPr>
          <w:trHeight w:val="290"/>
        </w:trPr>
        <w:tc>
          <w:tcPr>
            <w:tcW w:w="9265" w:type="dxa"/>
            <w:shd w:val="clear" w:color="auto" w:fill="auto"/>
            <w:noWrap/>
          </w:tcPr>
          <w:p w:rsidR="00193637" w:rsidRPr="00E1626F" w:rsidP="001279CA" w14:paraId="30BE7D5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5.14   Drinking water</w:t>
            </w:r>
            <w:r w:rsidRPr="009859D1">
              <w:rPr>
                <w:rFonts w:eastAsia="Times New Roman" w:asciiTheme="majorHAnsi" w:hAnsiTheme="majorHAnsi" w:cstheme="majorBidi"/>
              </w:rPr>
              <w:t xml:space="preserve">: </w:t>
            </w:r>
            <w:r w:rsidRPr="00E1626F">
              <w:rPr>
                <w:rFonts w:eastAsia="Times New Roman" w:asciiTheme="majorHAnsi" w:hAnsiTheme="majorHAnsi" w:cstheme="majorBidi"/>
              </w:rPr>
              <w:t xml:space="preserve">Storage </w:t>
            </w:r>
          </w:p>
        </w:tc>
      </w:tr>
      <w:tr w14:paraId="518F59EE" w14:textId="77777777" w:rsidTr="001279CA">
        <w:tblPrEx>
          <w:tblW w:w="9265" w:type="dxa"/>
          <w:tblLook w:val="04A0"/>
        </w:tblPrEx>
        <w:trPr>
          <w:trHeight w:val="290"/>
        </w:trPr>
        <w:tc>
          <w:tcPr>
            <w:tcW w:w="9265" w:type="dxa"/>
            <w:shd w:val="clear" w:color="auto" w:fill="auto"/>
            <w:noWrap/>
          </w:tcPr>
          <w:p w:rsidR="00193637" w:rsidRPr="009859D1" w:rsidP="001279CA" w14:paraId="165B8F26"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 xml:space="preserve">5.15   Drinking water: </w:t>
            </w:r>
            <w:r w:rsidRPr="009859D1">
              <w:rPr>
                <w:rFonts w:eastAsia="Times New Roman" w:asciiTheme="majorHAnsi" w:hAnsiTheme="majorHAnsi" w:cstheme="majorBidi"/>
              </w:rPr>
              <w:t>Other water infrastructure</w:t>
            </w:r>
          </w:p>
        </w:tc>
      </w:tr>
      <w:tr w14:paraId="73531EFF" w14:textId="77777777" w:rsidTr="001279CA">
        <w:tblPrEx>
          <w:tblW w:w="9265" w:type="dxa"/>
          <w:tblLook w:val="04A0"/>
        </w:tblPrEx>
        <w:trPr>
          <w:trHeight w:val="290"/>
        </w:trPr>
        <w:tc>
          <w:tcPr>
            <w:tcW w:w="9265" w:type="dxa"/>
            <w:shd w:val="clear" w:color="auto" w:fill="auto"/>
            <w:noWrap/>
          </w:tcPr>
          <w:p w:rsidR="00193637" w:rsidRPr="00450E37" w:rsidP="001279CA" w14:paraId="0379D0FD"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5.16   Broadband</w:t>
            </w:r>
            <w:r w:rsidRPr="009859D1">
              <w:rPr>
                <w:rFonts w:eastAsia="Times New Roman" w:asciiTheme="majorHAnsi" w:hAnsiTheme="majorHAnsi" w:cstheme="majorBidi"/>
              </w:rPr>
              <w:t>: “</w:t>
            </w:r>
            <w:r w:rsidRPr="00E1626F">
              <w:rPr>
                <w:rFonts w:eastAsia="Times New Roman" w:asciiTheme="majorHAnsi" w:hAnsiTheme="majorHAnsi" w:cstheme="majorBidi"/>
              </w:rPr>
              <w:t>Last Mile” projects</w:t>
            </w:r>
          </w:p>
        </w:tc>
      </w:tr>
      <w:tr w14:paraId="61B2DBBF" w14:textId="77777777" w:rsidTr="001279CA">
        <w:tblPrEx>
          <w:tblW w:w="9265" w:type="dxa"/>
          <w:tblLook w:val="04A0"/>
        </w:tblPrEx>
        <w:trPr>
          <w:trHeight w:val="290"/>
        </w:trPr>
        <w:tc>
          <w:tcPr>
            <w:tcW w:w="9265" w:type="dxa"/>
            <w:shd w:val="clear" w:color="auto" w:fill="auto"/>
            <w:noWrap/>
          </w:tcPr>
          <w:p w:rsidR="00193637" w:rsidRPr="009859D1" w:rsidP="001279CA" w14:paraId="56D91977" w14:textId="77777777">
            <w:pPr>
              <w:spacing w:after="0" w:line="240" w:lineRule="auto"/>
              <w:ind w:left="604" w:hanging="604"/>
              <w:rPr>
                <w:rFonts w:eastAsia="Times New Roman" w:asciiTheme="majorHAnsi" w:hAnsiTheme="majorHAnsi" w:cstheme="majorBidi"/>
              </w:rPr>
            </w:pPr>
            <w:r w:rsidRPr="00A86FEA">
              <w:rPr>
                <w:rFonts w:eastAsia="Times New Roman" w:asciiTheme="majorHAnsi" w:hAnsiTheme="majorHAnsi" w:cstheme="majorBidi"/>
              </w:rPr>
              <w:t>5.17   Broadband: Other</w:t>
            </w:r>
            <w:r w:rsidRPr="009859D1">
              <w:rPr>
                <w:rFonts w:eastAsia="Times New Roman" w:asciiTheme="majorHAnsi" w:hAnsiTheme="majorHAnsi" w:cstheme="majorBidi"/>
              </w:rPr>
              <w:t xml:space="preserve"> projects</w:t>
            </w:r>
          </w:p>
        </w:tc>
      </w:tr>
      <w:tr w14:paraId="484A7E75"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A86FEA" w:rsidP="001279CA" w14:paraId="25A50F59"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6: Revenue Replacement</w:t>
            </w:r>
          </w:p>
        </w:tc>
      </w:tr>
      <w:tr w14:paraId="39F377FF" w14:textId="77777777" w:rsidTr="001279CA">
        <w:tblPrEx>
          <w:tblW w:w="9265" w:type="dxa"/>
          <w:tblLook w:val="04A0"/>
        </w:tblPrEx>
        <w:trPr>
          <w:trHeight w:val="290"/>
        </w:trPr>
        <w:tc>
          <w:tcPr>
            <w:tcW w:w="9265" w:type="dxa"/>
            <w:shd w:val="clear" w:color="auto" w:fill="auto"/>
            <w:noWrap/>
          </w:tcPr>
          <w:p w:rsidR="00193637" w:rsidRPr="009859D1" w:rsidP="001279CA" w14:paraId="6CE22006" w14:textId="77777777">
            <w:pPr>
              <w:spacing w:after="0" w:line="240" w:lineRule="auto"/>
              <w:rPr>
                <w:rFonts w:eastAsia="Times New Roman" w:asciiTheme="majorHAnsi" w:hAnsiTheme="majorHAnsi" w:cstheme="majorBidi"/>
              </w:rPr>
            </w:pPr>
            <w:bookmarkStart w:id="28" w:name="_Hlk70843056"/>
            <w:r w:rsidRPr="00A86FEA">
              <w:rPr>
                <w:rFonts w:eastAsia="Times New Roman" w:asciiTheme="majorHAnsi" w:hAnsiTheme="majorHAnsi" w:cstheme="majorBidi"/>
              </w:rPr>
              <w:t>6.1     Provision of Government Services</w:t>
            </w:r>
          </w:p>
        </w:tc>
      </w:tr>
      <w:bookmarkEnd w:id="28"/>
      <w:tr w14:paraId="1890DEAF" w14:textId="77777777" w:rsidTr="001279CA">
        <w:tblPrEx>
          <w:tblW w:w="9265" w:type="dxa"/>
          <w:tblLook w:val="04A0"/>
        </w:tblPrEx>
        <w:trPr>
          <w:trHeight w:val="290"/>
        </w:trPr>
        <w:tc>
          <w:tcPr>
            <w:tcW w:w="9265" w:type="dxa"/>
            <w:shd w:val="clear" w:color="auto" w:fill="004E7D" w:themeFill="accent6" w:themeFillShade="BF"/>
            <w:noWrap/>
            <w:hideMark/>
          </w:tcPr>
          <w:p w:rsidR="00193637" w:rsidRPr="00A86FEA" w:rsidP="001279CA" w14:paraId="4C4F482E" w14:textId="77777777">
            <w:pPr>
              <w:spacing w:after="0" w:line="240" w:lineRule="auto"/>
              <w:rPr>
                <w:rFonts w:eastAsia="Times New Roman" w:asciiTheme="majorHAnsi" w:hAnsiTheme="majorHAnsi" w:cstheme="majorBidi"/>
              </w:rPr>
            </w:pPr>
            <w:r w:rsidRPr="24B7A074">
              <w:rPr>
                <w:rFonts w:eastAsia="Times New Roman" w:asciiTheme="majorHAnsi" w:hAnsiTheme="majorHAnsi" w:cstheme="majorBidi"/>
                <w:b/>
                <w:bCs/>
                <w:color w:val="FFFFFF" w:themeColor="background1"/>
              </w:rPr>
              <w:t xml:space="preserve">7: Administrative </w:t>
            </w:r>
          </w:p>
        </w:tc>
      </w:tr>
      <w:tr w14:paraId="23213C10" w14:textId="77777777" w:rsidTr="001279CA">
        <w:tblPrEx>
          <w:tblW w:w="9265" w:type="dxa"/>
          <w:tblLook w:val="04A0"/>
        </w:tblPrEx>
        <w:trPr>
          <w:trHeight w:val="290"/>
        </w:trPr>
        <w:tc>
          <w:tcPr>
            <w:tcW w:w="9265" w:type="dxa"/>
            <w:shd w:val="clear" w:color="auto" w:fill="auto"/>
            <w:noWrap/>
            <w:hideMark/>
          </w:tcPr>
          <w:p w:rsidR="00193637" w:rsidRPr="009859D1" w:rsidP="001279CA" w14:paraId="08BBAE7A"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 xml:space="preserve">7.1     Administrative Expenses </w:t>
            </w:r>
          </w:p>
        </w:tc>
      </w:tr>
      <w:tr w14:paraId="138AED12" w14:textId="77777777" w:rsidTr="001279CA">
        <w:tblPrEx>
          <w:tblW w:w="9265" w:type="dxa"/>
          <w:tblLook w:val="04A0"/>
        </w:tblPrEx>
        <w:trPr>
          <w:trHeight w:val="290"/>
        </w:trPr>
        <w:tc>
          <w:tcPr>
            <w:tcW w:w="9265" w:type="dxa"/>
            <w:shd w:val="clear" w:color="auto" w:fill="auto"/>
            <w:noWrap/>
          </w:tcPr>
          <w:p w:rsidR="00193637" w:rsidRPr="00E1626F" w:rsidP="001279CA" w14:paraId="4D09FF10"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 xml:space="preserve">7.2     Evaluation and </w:t>
            </w:r>
            <w:r w:rsidRPr="009859D1">
              <w:rPr>
                <w:rFonts w:eastAsia="Times New Roman" w:asciiTheme="majorHAnsi" w:hAnsiTheme="majorHAnsi" w:cstheme="majorBidi"/>
              </w:rPr>
              <w:t xml:space="preserve">Data </w:t>
            </w:r>
            <w:r w:rsidRPr="00E1626F">
              <w:rPr>
                <w:rFonts w:eastAsia="Times New Roman" w:asciiTheme="majorHAnsi" w:hAnsiTheme="majorHAnsi" w:cstheme="majorBidi"/>
              </w:rPr>
              <w:t xml:space="preserve">Analysis </w:t>
            </w:r>
          </w:p>
        </w:tc>
      </w:tr>
      <w:tr w14:paraId="750A4BCB" w14:textId="77777777" w:rsidTr="00FE3FDE">
        <w:tblPrEx>
          <w:tblW w:w="9265" w:type="dxa"/>
          <w:tblLook w:val="04A0"/>
        </w:tblPrEx>
        <w:trPr>
          <w:trHeight w:val="290"/>
        </w:trPr>
        <w:tc>
          <w:tcPr>
            <w:tcW w:w="9265" w:type="dxa"/>
            <w:tcBorders>
              <w:top w:val="single" w:sz="4" w:space="0" w:color="auto"/>
              <w:left w:val="single" w:sz="4" w:space="0" w:color="auto"/>
              <w:bottom w:val="single" w:sz="4" w:space="0" w:color="auto"/>
              <w:right w:val="single" w:sz="4" w:space="0" w:color="auto"/>
            </w:tcBorders>
            <w:shd w:val="clear" w:color="auto" w:fill="auto"/>
          </w:tcPr>
          <w:p w:rsidR="00193637" w:rsidRPr="009859D1" w:rsidP="001279CA" w14:paraId="53B5805D"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7.3     Transfers to Other Units of Government</w:t>
            </w:r>
          </w:p>
        </w:tc>
      </w:tr>
      <w:tr w14:paraId="5F9D7A67" w14:textId="77777777" w:rsidTr="001279CA">
        <w:tblPrEx>
          <w:tblW w:w="9265" w:type="dxa"/>
          <w:tblLook w:val="04A0"/>
        </w:tblPrEx>
        <w:trPr>
          <w:trHeight w:val="290"/>
        </w:trPr>
        <w:tc>
          <w:tcPr>
            <w:tcW w:w="9265" w:type="dxa"/>
            <w:shd w:val="clear" w:color="auto" w:fill="auto"/>
            <w:noWrap/>
          </w:tcPr>
          <w:p w:rsidR="00193637" w:rsidRPr="00E1626F" w:rsidP="001279CA" w14:paraId="270AAD0C" w14:textId="77777777">
            <w:pPr>
              <w:spacing w:after="0" w:line="240" w:lineRule="auto"/>
              <w:rPr>
                <w:rFonts w:eastAsia="Times New Roman" w:asciiTheme="majorHAnsi" w:hAnsiTheme="majorHAnsi" w:cstheme="majorBidi"/>
              </w:rPr>
            </w:pPr>
            <w:r w:rsidRPr="00A86FEA">
              <w:rPr>
                <w:rFonts w:eastAsia="Times New Roman" w:asciiTheme="majorHAnsi" w:hAnsiTheme="majorHAnsi" w:cstheme="majorBidi"/>
              </w:rPr>
              <w:t>7.4     Transfers to Non</w:t>
            </w:r>
            <w:r w:rsidRPr="009859D1">
              <w:rPr>
                <w:rFonts w:eastAsia="Times New Roman" w:asciiTheme="majorHAnsi" w:hAnsiTheme="majorHAnsi" w:cstheme="majorBidi"/>
              </w:rPr>
              <w:t xml:space="preserve">-entitlement Units (States </w:t>
            </w:r>
            <w:r w:rsidRPr="00E1626F">
              <w:rPr>
                <w:rFonts w:eastAsia="Times New Roman" w:asciiTheme="majorHAnsi" w:hAnsiTheme="majorHAnsi" w:cstheme="majorBidi"/>
              </w:rPr>
              <w:t>and territories only)</w:t>
            </w:r>
          </w:p>
        </w:tc>
      </w:tr>
    </w:tbl>
    <w:p w:rsidR="00193637" w:rsidP="00E901A3" w14:paraId="5249D1E8" w14:textId="77777777">
      <w:pPr>
        <w:pStyle w:val="NoSpacing"/>
        <w:jc w:val="both"/>
        <w:rPr>
          <w:rFonts w:asciiTheme="majorHAnsi" w:hAnsiTheme="majorHAnsi" w:cstheme="majorBidi"/>
          <w:b/>
        </w:rPr>
      </w:pPr>
    </w:p>
    <w:p w:rsidR="00E901A3" w14:paraId="3279A153" w14:textId="77777777">
      <w:pPr>
        <w:rPr>
          <w:rFonts w:asciiTheme="majorHAnsi" w:hAnsiTheme="majorHAnsi" w:cstheme="majorBidi"/>
          <w:b/>
        </w:rPr>
      </w:pPr>
      <w:r>
        <w:rPr>
          <w:rFonts w:asciiTheme="majorHAnsi" w:hAnsiTheme="majorHAnsi" w:cstheme="majorBidi"/>
          <w:b/>
        </w:rPr>
        <w:br w:type="page"/>
      </w:r>
    </w:p>
    <w:p w:rsidR="0051635D" w:rsidRPr="005E3B3C" w:rsidP="00FD6A50" w14:paraId="090461B7" w14:textId="63FC867D">
      <w:pPr>
        <w:spacing w:after="0" w:line="240" w:lineRule="auto"/>
        <w:jc w:val="both"/>
        <w:rPr>
          <w:rFonts w:asciiTheme="majorHAnsi" w:hAnsiTheme="majorHAnsi" w:cstheme="majorBidi"/>
          <w:b/>
        </w:rPr>
      </w:pPr>
      <w:r w:rsidRPr="00A86FEA">
        <w:rPr>
          <w:rFonts w:asciiTheme="majorHAnsi" w:hAnsiTheme="majorHAnsi" w:cstheme="majorBidi"/>
          <w:b/>
        </w:rPr>
        <w:t>Revision Log</w:t>
      </w:r>
    </w:p>
    <w:tbl>
      <w:tblPr>
        <w:tblStyle w:val="TableGrid"/>
        <w:tblW w:w="0" w:type="auto"/>
        <w:tblLook w:val="04A0"/>
      </w:tblPr>
      <w:tblGrid>
        <w:gridCol w:w="1075"/>
        <w:gridCol w:w="2250"/>
        <w:gridCol w:w="5691"/>
      </w:tblGrid>
      <w:tr w14:paraId="47FDD944" w14:textId="77777777" w:rsidTr="001D3CCD">
        <w:tblPrEx>
          <w:tblW w:w="0" w:type="auto"/>
          <w:tblLook w:val="04A0"/>
        </w:tblPrEx>
        <w:trPr>
          <w:tblHeader/>
        </w:trPr>
        <w:tc>
          <w:tcPr>
            <w:tcW w:w="1075" w:type="dxa"/>
            <w:shd w:val="clear" w:color="auto" w:fill="004E7D" w:themeFill="accent6" w:themeFillShade="BF"/>
          </w:tcPr>
          <w:p w:rsidR="0051635D" w:rsidRPr="001D3CCD" w:rsidP="00FD6A50" w14:paraId="74726BA2" w14:textId="550A90AC">
            <w:pPr>
              <w:jc w:val="both"/>
              <w:rPr>
                <w:rFonts w:asciiTheme="majorHAnsi" w:hAnsiTheme="majorHAnsi" w:cstheme="majorBidi"/>
                <w:b/>
                <w:color w:val="FFFFFF" w:themeColor="background1"/>
                <w:sz w:val="20"/>
                <w:szCs w:val="20"/>
              </w:rPr>
            </w:pPr>
            <w:r w:rsidRPr="001D3CCD">
              <w:rPr>
                <w:rFonts w:asciiTheme="majorHAnsi" w:hAnsiTheme="majorHAnsi" w:cstheme="majorBidi"/>
                <w:b/>
                <w:bCs/>
                <w:color w:val="FFFFFF" w:themeColor="background1"/>
                <w:sz w:val="20"/>
                <w:szCs w:val="20"/>
              </w:rPr>
              <w:t>Version</w:t>
            </w:r>
          </w:p>
        </w:tc>
        <w:tc>
          <w:tcPr>
            <w:tcW w:w="2250" w:type="dxa"/>
            <w:shd w:val="clear" w:color="auto" w:fill="004E7D" w:themeFill="accent6" w:themeFillShade="BF"/>
          </w:tcPr>
          <w:p w:rsidR="0051635D" w:rsidRPr="001D3CCD" w:rsidP="00FD6A50" w14:paraId="64982501" w14:textId="617CC638">
            <w:pPr>
              <w:jc w:val="both"/>
              <w:rPr>
                <w:rFonts w:asciiTheme="majorHAnsi" w:hAnsiTheme="majorHAnsi" w:cstheme="majorBidi"/>
                <w:b/>
                <w:color w:val="FFFFFF" w:themeColor="background1"/>
                <w:sz w:val="20"/>
                <w:szCs w:val="20"/>
              </w:rPr>
            </w:pPr>
            <w:r w:rsidRPr="001D3CCD">
              <w:rPr>
                <w:rFonts w:asciiTheme="majorHAnsi" w:hAnsiTheme="majorHAnsi" w:cstheme="majorBidi"/>
                <w:b/>
                <w:bCs/>
                <w:color w:val="FFFFFF" w:themeColor="background1"/>
                <w:sz w:val="20"/>
                <w:szCs w:val="20"/>
              </w:rPr>
              <w:t>Date Published</w:t>
            </w:r>
          </w:p>
        </w:tc>
        <w:tc>
          <w:tcPr>
            <w:tcW w:w="5691" w:type="dxa"/>
            <w:shd w:val="clear" w:color="auto" w:fill="004E7D" w:themeFill="accent6" w:themeFillShade="BF"/>
          </w:tcPr>
          <w:p w:rsidR="0051635D" w:rsidRPr="001D3CCD" w:rsidP="00FD6A50" w14:paraId="3BD07AA5" w14:textId="72CD1A77">
            <w:pPr>
              <w:jc w:val="both"/>
              <w:rPr>
                <w:rFonts w:asciiTheme="majorHAnsi" w:hAnsiTheme="majorHAnsi" w:cstheme="majorBidi"/>
                <w:b/>
                <w:color w:val="FFFFFF" w:themeColor="background1"/>
                <w:sz w:val="20"/>
                <w:szCs w:val="20"/>
              </w:rPr>
            </w:pPr>
            <w:r w:rsidRPr="001D3CCD">
              <w:rPr>
                <w:rFonts w:asciiTheme="majorHAnsi" w:hAnsiTheme="majorHAnsi" w:cstheme="majorBidi"/>
                <w:b/>
                <w:bCs/>
                <w:color w:val="FFFFFF" w:themeColor="background1"/>
                <w:sz w:val="20"/>
                <w:szCs w:val="20"/>
              </w:rPr>
              <w:t>Summary of changes</w:t>
            </w:r>
          </w:p>
        </w:tc>
      </w:tr>
      <w:tr w14:paraId="1829A01A" w14:textId="77777777" w:rsidTr="001D3CCD">
        <w:tblPrEx>
          <w:tblW w:w="0" w:type="auto"/>
          <w:tblLook w:val="04A0"/>
        </w:tblPrEx>
        <w:tc>
          <w:tcPr>
            <w:tcW w:w="1075" w:type="dxa"/>
          </w:tcPr>
          <w:p w:rsidR="0051635D" w:rsidRPr="001D3CCD" w:rsidP="10A9F656" w14:paraId="7084F0EC" w14:textId="3D07B60F">
            <w:pPr>
              <w:jc w:val="center"/>
              <w:rPr>
                <w:rFonts w:asciiTheme="majorHAnsi" w:hAnsiTheme="majorHAnsi" w:cstheme="majorBidi"/>
                <w:sz w:val="20"/>
                <w:szCs w:val="20"/>
              </w:rPr>
            </w:pPr>
            <w:r w:rsidRPr="001D3CCD">
              <w:rPr>
                <w:rFonts w:asciiTheme="majorHAnsi" w:hAnsiTheme="majorHAnsi" w:cstheme="majorBidi"/>
                <w:sz w:val="20"/>
                <w:szCs w:val="20"/>
              </w:rPr>
              <w:t>1.0</w:t>
            </w:r>
          </w:p>
        </w:tc>
        <w:tc>
          <w:tcPr>
            <w:tcW w:w="2250" w:type="dxa"/>
          </w:tcPr>
          <w:p w:rsidR="0051635D" w:rsidRPr="001D3CCD" w:rsidP="00FD6A50" w14:paraId="371B8B2A" w14:textId="079FCF6C">
            <w:pPr>
              <w:jc w:val="both"/>
              <w:rPr>
                <w:rFonts w:asciiTheme="majorHAnsi" w:hAnsiTheme="majorHAnsi" w:cstheme="majorBidi"/>
                <w:sz w:val="20"/>
                <w:szCs w:val="20"/>
              </w:rPr>
            </w:pPr>
            <w:r w:rsidRPr="001D3CCD">
              <w:rPr>
                <w:rFonts w:asciiTheme="majorHAnsi" w:hAnsiTheme="majorHAnsi" w:cstheme="majorBidi"/>
                <w:sz w:val="20"/>
                <w:szCs w:val="20"/>
              </w:rPr>
              <w:t>June 17, 2021</w:t>
            </w:r>
          </w:p>
        </w:tc>
        <w:tc>
          <w:tcPr>
            <w:tcW w:w="5691" w:type="dxa"/>
          </w:tcPr>
          <w:p w:rsidR="0051635D" w:rsidRPr="001D3CCD" w:rsidP="00FA103C" w14:paraId="36B6A6CC" w14:textId="68B217F3">
            <w:pPr>
              <w:rPr>
                <w:rFonts w:asciiTheme="majorHAnsi" w:hAnsiTheme="majorHAnsi" w:cstheme="majorBidi"/>
                <w:sz w:val="20"/>
                <w:szCs w:val="20"/>
              </w:rPr>
            </w:pPr>
            <w:r w:rsidRPr="001D3CCD">
              <w:rPr>
                <w:rFonts w:asciiTheme="majorHAnsi" w:hAnsiTheme="majorHAnsi" w:cstheme="majorBidi"/>
                <w:sz w:val="20"/>
                <w:szCs w:val="20"/>
              </w:rPr>
              <w:t>Initial publication</w:t>
            </w:r>
          </w:p>
        </w:tc>
      </w:tr>
      <w:tr w14:paraId="756AB112" w14:textId="77777777" w:rsidTr="001D3CCD">
        <w:tblPrEx>
          <w:tblW w:w="0" w:type="auto"/>
          <w:tblLook w:val="04A0"/>
        </w:tblPrEx>
        <w:tc>
          <w:tcPr>
            <w:tcW w:w="1075" w:type="dxa"/>
          </w:tcPr>
          <w:p w:rsidR="0051635D" w:rsidRPr="001D3CCD" w:rsidP="10A9F656" w14:paraId="3553A4DB" w14:textId="0D31490F">
            <w:pPr>
              <w:jc w:val="center"/>
              <w:rPr>
                <w:rFonts w:asciiTheme="majorHAnsi" w:hAnsiTheme="majorHAnsi" w:cstheme="majorBidi"/>
                <w:sz w:val="20"/>
                <w:szCs w:val="20"/>
              </w:rPr>
            </w:pPr>
            <w:r w:rsidRPr="001D3CCD">
              <w:rPr>
                <w:rFonts w:asciiTheme="majorHAnsi" w:hAnsiTheme="majorHAnsi" w:cstheme="majorBidi"/>
                <w:sz w:val="20"/>
                <w:szCs w:val="20"/>
              </w:rPr>
              <w:t>1.1</w:t>
            </w:r>
          </w:p>
        </w:tc>
        <w:tc>
          <w:tcPr>
            <w:tcW w:w="2250" w:type="dxa"/>
          </w:tcPr>
          <w:p w:rsidR="0051635D" w:rsidRPr="001D3CCD" w:rsidP="00FD6A50" w14:paraId="64E8441E" w14:textId="283F7659">
            <w:pPr>
              <w:jc w:val="both"/>
              <w:rPr>
                <w:rFonts w:asciiTheme="majorHAnsi" w:hAnsiTheme="majorHAnsi" w:cstheme="majorBidi"/>
                <w:sz w:val="20"/>
                <w:szCs w:val="20"/>
              </w:rPr>
            </w:pPr>
            <w:r w:rsidRPr="001D3CCD">
              <w:rPr>
                <w:rFonts w:asciiTheme="majorHAnsi" w:hAnsiTheme="majorHAnsi" w:cstheme="majorBidi"/>
                <w:sz w:val="20"/>
                <w:szCs w:val="20"/>
              </w:rPr>
              <w:t>June 24, 2021</w:t>
            </w:r>
          </w:p>
        </w:tc>
        <w:tc>
          <w:tcPr>
            <w:tcW w:w="5691" w:type="dxa"/>
          </w:tcPr>
          <w:p w:rsidR="003F5923" w:rsidRPr="001D3CCD" w:rsidP="00CE5331" w14:paraId="1EA83F42" w14:textId="6AC54B7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12, removed references to “summary” level with respect to reporting by Expenditure Categories in the Interim Report to avoid confusion.  </w:t>
            </w:r>
          </w:p>
          <w:p w:rsidR="0051635D" w:rsidRPr="001D3CCD" w:rsidP="00CE5331" w14:paraId="2CCC4387" w14:textId="3912BB4D">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13, revised the </w:t>
            </w:r>
            <w:r w:rsidRPr="001D3CCD" w:rsidR="00657C9C">
              <w:rPr>
                <w:rFonts w:asciiTheme="majorHAnsi" w:hAnsiTheme="majorHAnsi" w:cstheme="majorBidi"/>
                <w:sz w:val="20"/>
                <w:szCs w:val="20"/>
              </w:rPr>
              <w:t>coverage period end</w:t>
            </w:r>
            <w:r w:rsidRPr="001D3CCD">
              <w:rPr>
                <w:rFonts w:asciiTheme="majorHAnsi" w:hAnsiTheme="majorHAnsi" w:cstheme="majorBidi"/>
                <w:sz w:val="20"/>
                <w:szCs w:val="20"/>
              </w:rPr>
              <w:t xml:space="preserve"> date for the Interim Report from June 30, 2021 to July 31, 2021 to align with the IFR.</w:t>
            </w:r>
          </w:p>
          <w:p w:rsidR="00BD10D1" w:rsidRPr="001D3CCD" w:rsidP="00CE5331" w14:paraId="4380B6F6" w14:textId="4CF158C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13, removed references to “summary” level with respect to reporting by Expenditure Categories in the Interim Report to avoid confusion.  </w:t>
            </w:r>
          </w:p>
          <w:p w:rsidR="00BD10D1" w:rsidRPr="001D3CCD" w:rsidP="00CE5331" w14:paraId="3D8A1594" w14:textId="2F533F28">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Pg. 31, removed references to “summary level” with respect to Expenditure Categories in Appendix 1 to avoid confusion.  </w:t>
            </w:r>
          </w:p>
        </w:tc>
      </w:tr>
      <w:tr w14:paraId="3B4236AF" w14:textId="77777777" w:rsidTr="001D3CCD">
        <w:tblPrEx>
          <w:tblW w:w="0" w:type="auto"/>
          <w:tblLook w:val="04A0"/>
        </w:tblPrEx>
        <w:tc>
          <w:tcPr>
            <w:tcW w:w="1075" w:type="dxa"/>
          </w:tcPr>
          <w:p w:rsidR="00B23D0E" w:rsidRPr="001D3CCD" w:rsidP="10A9F656" w14:paraId="0BCE36F3" w14:textId="5B095655">
            <w:pPr>
              <w:jc w:val="center"/>
              <w:rPr>
                <w:rFonts w:asciiTheme="majorHAnsi" w:hAnsiTheme="majorHAnsi" w:cstheme="majorBidi"/>
                <w:sz w:val="20"/>
                <w:szCs w:val="20"/>
              </w:rPr>
            </w:pPr>
            <w:r w:rsidRPr="001D3CCD">
              <w:rPr>
                <w:rFonts w:asciiTheme="majorHAnsi" w:hAnsiTheme="majorHAnsi" w:cstheme="majorBidi"/>
                <w:sz w:val="20"/>
                <w:szCs w:val="20"/>
              </w:rPr>
              <w:t>1.1</w:t>
            </w:r>
          </w:p>
        </w:tc>
        <w:tc>
          <w:tcPr>
            <w:tcW w:w="2250" w:type="dxa"/>
          </w:tcPr>
          <w:p w:rsidR="00B23D0E" w:rsidRPr="001D3CCD" w:rsidP="00B23D0E" w14:paraId="3EACB113" w14:textId="7384C82A">
            <w:pPr>
              <w:rPr>
                <w:rFonts w:asciiTheme="majorHAnsi" w:hAnsiTheme="majorHAnsi" w:cstheme="majorBidi"/>
                <w:sz w:val="20"/>
                <w:szCs w:val="20"/>
              </w:rPr>
            </w:pPr>
            <w:r w:rsidRPr="001D3CCD">
              <w:rPr>
                <w:rFonts w:asciiTheme="majorHAnsi" w:hAnsiTheme="majorHAnsi" w:cstheme="majorBidi"/>
                <w:sz w:val="20"/>
                <w:szCs w:val="20"/>
              </w:rPr>
              <w:t xml:space="preserve">September 30, 2021 </w:t>
            </w:r>
          </w:p>
          <w:p w:rsidR="00B23D0E" w:rsidRPr="001D3CCD" w:rsidP="00FD6A50" w14:paraId="011ECC04" w14:textId="089B218B">
            <w:pPr>
              <w:jc w:val="both"/>
              <w:rPr>
                <w:rFonts w:asciiTheme="majorHAnsi" w:hAnsiTheme="majorHAnsi" w:cstheme="majorBidi"/>
                <w:sz w:val="20"/>
                <w:szCs w:val="20"/>
              </w:rPr>
            </w:pPr>
          </w:p>
        </w:tc>
        <w:tc>
          <w:tcPr>
            <w:tcW w:w="5691" w:type="dxa"/>
          </w:tcPr>
          <w:p w:rsidR="00B23D0E" w:rsidRPr="001D3CCD" w:rsidP="00CE5331" w14:paraId="158570B9" w14:textId="0740C1A0">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Announced the extension in the Project and Expenditure Report submission date, originally due on October 31, 2021.</w:t>
            </w:r>
          </w:p>
        </w:tc>
      </w:tr>
      <w:tr w14:paraId="3E5C5D8C" w14:textId="77777777" w:rsidTr="001D3CCD">
        <w:tblPrEx>
          <w:tblW w:w="0" w:type="auto"/>
          <w:tblLook w:val="04A0"/>
        </w:tblPrEx>
        <w:tc>
          <w:tcPr>
            <w:tcW w:w="1075" w:type="dxa"/>
          </w:tcPr>
          <w:p w:rsidR="00720A20" w:rsidRPr="001D3CCD" w:rsidP="10A9F656" w14:paraId="195570B2" w14:textId="3C589957">
            <w:pPr>
              <w:jc w:val="center"/>
              <w:rPr>
                <w:rFonts w:asciiTheme="majorHAnsi" w:hAnsiTheme="majorHAnsi" w:cstheme="majorBidi"/>
                <w:sz w:val="20"/>
                <w:szCs w:val="20"/>
              </w:rPr>
            </w:pPr>
            <w:r w:rsidRPr="001D3CCD">
              <w:rPr>
                <w:rFonts w:asciiTheme="majorHAnsi" w:hAnsiTheme="majorHAnsi" w:cstheme="majorBidi"/>
                <w:sz w:val="20"/>
                <w:szCs w:val="20"/>
              </w:rPr>
              <w:t>2.0</w:t>
            </w:r>
          </w:p>
        </w:tc>
        <w:tc>
          <w:tcPr>
            <w:tcW w:w="2250" w:type="dxa"/>
          </w:tcPr>
          <w:p w:rsidR="00720A20" w:rsidRPr="001D3CCD" w14:paraId="7DD11AED" w14:textId="65FAC02D">
            <w:pPr>
              <w:jc w:val="both"/>
              <w:rPr>
                <w:rFonts w:asciiTheme="majorHAnsi" w:hAnsiTheme="majorHAnsi" w:cstheme="majorBidi"/>
                <w:sz w:val="20"/>
                <w:szCs w:val="20"/>
              </w:rPr>
            </w:pPr>
            <w:r w:rsidRPr="001D3CCD">
              <w:rPr>
                <w:rFonts w:asciiTheme="majorHAnsi" w:hAnsiTheme="majorHAnsi" w:cstheme="majorBidi"/>
                <w:sz w:val="20"/>
                <w:szCs w:val="20"/>
              </w:rPr>
              <w:t xml:space="preserve">November </w:t>
            </w:r>
            <w:r w:rsidRPr="001D3CCD" w:rsidR="009117B1">
              <w:rPr>
                <w:rFonts w:asciiTheme="majorHAnsi" w:hAnsiTheme="majorHAnsi" w:cstheme="majorBidi"/>
                <w:sz w:val="20"/>
                <w:szCs w:val="20"/>
              </w:rPr>
              <w:t>5</w:t>
            </w:r>
            <w:r w:rsidRPr="001D3CCD">
              <w:rPr>
                <w:rFonts w:asciiTheme="majorHAnsi" w:hAnsiTheme="majorHAnsi" w:cstheme="majorBidi"/>
                <w:sz w:val="20"/>
                <w:szCs w:val="20"/>
              </w:rPr>
              <w:t>, 2021</w:t>
            </w:r>
          </w:p>
        </w:tc>
        <w:tc>
          <w:tcPr>
            <w:tcW w:w="5691" w:type="dxa"/>
          </w:tcPr>
          <w:p w:rsidR="00720A20" w:rsidRPr="001D3CCD" w:rsidP="00CE5331" w14:paraId="0078424A" w14:textId="48CC5062">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Subrecipient Monitoring section to clarify </w:t>
            </w:r>
            <w:r w:rsidRPr="001D3CCD" w:rsidR="00F1426E">
              <w:rPr>
                <w:rFonts w:asciiTheme="majorHAnsi" w:hAnsiTheme="majorHAnsi" w:cstheme="majorBidi"/>
                <w:sz w:val="20"/>
                <w:szCs w:val="20"/>
              </w:rPr>
              <w:t xml:space="preserve">beneficiaries and recipients. </w:t>
            </w:r>
          </w:p>
          <w:p w:rsidR="00F1426E" w:rsidRPr="001D3CCD" w:rsidP="00CE5331" w14:paraId="20A45F81" w14:textId="62251A54">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references to Interim Final Rule comment period as comment period is close</w:t>
            </w:r>
            <w:r w:rsidRPr="001D3CCD" w:rsidR="000A6DAF">
              <w:rPr>
                <w:rFonts w:asciiTheme="majorHAnsi" w:hAnsiTheme="majorHAnsi" w:cstheme="majorBidi"/>
                <w:sz w:val="20"/>
                <w:szCs w:val="20"/>
              </w:rPr>
              <w:t>d</w:t>
            </w:r>
            <w:r w:rsidRPr="001D3CCD">
              <w:rPr>
                <w:rFonts w:asciiTheme="majorHAnsi" w:hAnsiTheme="majorHAnsi" w:cstheme="majorBidi"/>
                <w:sz w:val="20"/>
                <w:szCs w:val="20"/>
              </w:rPr>
              <w:t xml:space="preserve">. </w:t>
            </w:r>
          </w:p>
          <w:p w:rsidR="00731BDD" w:rsidRPr="001D3CCD" w:rsidP="00CE5331" w14:paraId="6C9D4DBE" w14:textId="53330914">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reporting tiers, thresholds and timelines in Part 2 Table 2, Reporting Requirements by recipient type</w:t>
            </w:r>
            <w:r w:rsidRPr="001D3CCD" w:rsidR="001510B5">
              <w:rPr>
                <w:rFonts w:asciiTheme="majorHAnsi" w:hAnsiTheme="majorHAnsi" w:cstheme="majorBidi"/>
                <w:sz w:val="20"/>
                <w:szCs w:val="20"/>
              </w:rPr>
              <w:t xml:space="preserve">, as well as Part 2 A and Part 2 B. </w:t>
            </w:r>
          </w:p>
          <w:p w:rsidR="001510B5" w:rsidRPr="001D3CCD" w:rsidP="00CE5331" w14:paraId="0197854C" w14:textId="7777777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reporting periods for Interim Report and Project and Expenditure reports.</w:t>
            </w:r>
          </w:p>
          <w:p w:rsidR="001510B5" w:rsidRPr="001D3CCD" w:rsidP="00CE5331" w14:paraId="5B23FE2C" w14:textId="7777777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Added concept of Adopted Budget to Project and Expenditure Report data fields.</w:t>
            </w:r>
          </w:p>
          <w:p w:rsidR="00403D99" w:rsidRPr="001D3CCD" w:rsidP="00CE5331" w14:paraId="147139BA" w14:textId="69079DE0">
            <w:pPr>
              <w:pStyle w:val="ListParagraph"/>
              <w:numPr>
                <w:ilvl w:val="0"/>
                <w:numId w:val="46"/>
              </w:numPr>
              <w:rPr>
                <w:rFonts w:asciiTheme="majorHAnsi" w:hAnsiTheme="majorHAnsi" w:cstheme="majorBidi"/>
                <w:sz w:val="20"/>
                <w:szCs w:val="20"/>
              </w:rPr>
            </w:pPr>
            <w:r w:rsidRPr="001D3CCD">
              <w:rPr>
                <w:sz w:val="20"/>
                <w:szCs w:val="20"/>
              </w:rPr>
              <w:t>Noted phase in of Required Programmatic Data in the Project and Expenditure Report.</w:t>
            </w:r>
          </w:p>
          <w:p w:rsidR="004E43FA" w:rsidRPr="001D3CCD" w:rsidP="00CE5331" w14:paraId="36761702" w14:textId="0A4547D6">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Removed certain data fields from the Ineligible Activities: Tax Offset Provision under the Recovery Plan. </w:t>
            </w:r>
          </w:p>
          <w:p w:rsidR="00F3216B" w:rsidRPr="001D3CCD" w:rsidP="00CE5331" w14:paraId="5A02F420" w14:textId="5D98A9AC">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Separated reporting of NEU Distributions (for States and territories) from the Interim Report and Project and Expenditure Reports as information will be provided on an ongoing basis. </w:t>
            </w:r>
          </w:p>
        </w:tc>
      </w:tr>
      <w:tr w14:paraId="35EAD326" w14:textId="77777777" w:rsidTr="001D3CCD">
        <w:tblPrEx>
          <w:tblW w:w="0" w:type="auto"/>
          <w:tblLook w:val="04A0"/>
        </w:tblPrEx>
        <w:tc>
          <w:tcPr>
            <w:tcW w:w="1075" w:type="dxa"/>
          </w:tcPr>
          <w:p w:rsidR="00096B5F" w:rsidRPr="001D3CCD" w:rsidP="10A9F656" w14:paraId="71F41DB6" w14:textId="5A6A058B">
            <w:pPr>
              <w:jc w:val="center"/>
              <w:rPr>
                <w:rFonts w:asciiTheme="majorHAnsi" w:hAnsiTheme="majorHAnsi" w:cstheme="majorBidi"/>
                <w:sz w:val="20"/>
                <w:szCs w:val="20"/>
              </w:rPr>
            </w:pPr>
            <w:r w:rsidRPr="001D3CCD">
              <w:rPr>
                <w:rFonts w:asciiTheme="majorHAnsi" w:hAnsiTheme="majorHAnsi" w:cstheme="majorBidi"/>
                <w:sz w:val="20"/>
                <w:szCs w:val="20"/>
              </w:rPr>
              <w:t>2.1</w:t>
            </w:r>
          </w:p>
        </w:tc>
        <w:tc>
          <w:tcPr>
            <w:tcW w:w="2250" w:type="dxa"/>
          </w:tcPr>
          <w:p w:rsidR="00096B5F" w:rsidRPr="001D3CCD" w14:paraId="3D24B8B1" w14:textId="047C91FA">
            <w:pPr>
              <w:jc w:val="both"/>
              <w:rPr>
                <w:rFonts w:asciiTheme="majorHAnsi" w:hAnsiTheme="majorHAnsi" w:cstheme="majorBidi"/>
                <w:sz w:val="20"/>
                <w:szCs w:val="20"/>
              </w:rPr>
            </w:pPr>
            <w:r w:rsidRPr="001D3CCD">
              <w:rPr>
                <w:rFonts w:asciiTheme="majorHAnsi" w:hAnsiTheme="majorHAnsi" w:cstheme="majorBidi"/>
                <w:sz w:val="20"/>
                <w:szCs w:val="20"/>
              </w:rPr>
              <w:t>November 15, 2021</w:t>
            </w:r>
          </w:p>
        </w:tc>
        <w:tc>
          <w:tcPr>
            <w:tcW w:w="5691" w:type="dxa"/>
          </w:tcPr>
          <w:p w:rsidR="00096B5F" w:rsidRPr="001D3CCD" w:rsidP="00CE5331" w14:paraId="44CE3598" w14:textId="76F024B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w:t>
            </w:r>
            <w:r w:rsidRPr="001D3CCD" w:rsidR="00ED753B">
              <w:rPr>
                <w:rFonts w:asciiTheme="majorHAnsi" w:hAnsiTheme="majorHAnsi" w:cstheme="majorBidi"/>
                <w:sz w:val="20"/>
                <w:szCs w:val="20"/>
              </w:rPr>
              <w:t>d</w:t>
            </w:r>
            <w:r w:rsidRPr="001D3CCD">
              <w:rPr>
                <w:rFonts w:asciiTheme="majorHAnsi" w:hAnsiTheme="majorHAnsi" w:cstheme="majorBidi"/>
                <w:sz w:val="20"/>
                <w:szCs w:val="20"/>
              </w:rPr>
              <w:t xml:space="preserve"> pages 9 and 11 to note that civil rights c</w:t>
            </w:r>
            <w:r w:rsidRPr="001D3CCD" w:rsidR="002A4853">
              <w:rPr>
                <w:rFonts w:asciiTheme="majorHAnsi" w:hAnsiTheme="majorHAnsi" w:cstheme="majorBidi"/>
                <w:sz w:val="20"/>
                <w:szCs w:val="20"/>
              </w:rPr>
              <w:t xml:space="preserve">ertification </w:t>
            </w:r>
            <w:r w:rsidRPr="001D3CCD">
              <w:rPr>
                <w:rFonts w:asciiTheme="majorHAnsi" w:hAnsiTheme="majorHAnsi" w:cstheme="majorBidi"/>
                <w:sz w:val="20"/>
                <w:szCs w:val="20"/>
              </w:rPr>
              <w:t>is not applicable to Tribal Governments.</w:t>
            </w:r>
          </w:p>
        </w:tc>
      </w:tr>
      <w:tr w14:paraId="270EDC9C" w14:textId="77777777" w:rsidTr="001D3CCD">
        <w:tblPrEx>
          <w:tblW w:w="0" w:type="auto"/>
          <w:tblLook w:val="04A0"/>
        </w:tblPrEx>
        <w:tc>
          <w:tcPr>
            <w:tcW w:w="1075" w:type="dxa"/>
          </w:tcPr>
          <w:p w:rsidR="00BF3EDD" w:rsidRPr="001D3CCD" w:rsidP="10A9F656" w14:paraId="4A3CE8B4" w14:textId="4AC45754">
            <w:pPr>
              <w:jc w:val="center"/>
              <w:rPr>
                <w:rFonts w:asciiTheme="majorHAnsi" w:hAnsiTheme="majorHAnsi" w:cstheme="majorBidi"/>
                <w:sz w:val="20"/>
                <w:szCs w:val="20"/>
              </w:rPr>
            </w:pPr>
            <w:r w:rsidRPr="001D3CCD">
              <w:rPr>
                <w:rFonts w:asciiTheme="majorHAnsi" w:hAnsiTheme="majorHAnsi" w:cstheme="majorBidi"/>
                <w:sz w:val="20"/>
                <w:szCs w:val="20"/>
              </w:rPr>
              <w:t>3</w:t>
            </w:r>
            <w:r w:rsidRPr="001D3CCD" w:rsidR="00286BB5">
              <w:rPr>
                <w:rFonts w:asciiTheme="majorHAnsi" w:hAnsiTheme="majorHAnsi" w:cstheme="majorBidi"/>
                <w:sz w:val="20"/>
                <w:szCs w:val="20"/>
              </w:rPr>
              <w:t>.</w:t>
            </w:r>
            <w:r w:rsidRPr="001D3CCD">
              <w:rPr>
                <w:rFonts w:asciiTheme="majorHAnsi" w:hAnsiTheme="majorHAnsi" w:cstheme="majorBidi"/>
                <w:sz w:val="20"/>
                <w:szCs w:val="20"/>
              </w:rPr>
              <w:t>0</w:t>
            </w:r>
          </w:p>
        </w:tc>
        <w:tc>
          <w:tcPr>
            <w:tcW w:w="2250" w:type="dxa"/>
          </w:tcPr>
          <w:p w:rsidR="00BF3EDD" w:rsidRPr="001D3CCD" w14:paraId="1DB81E61" w14:textId="5CA22794">
            <w:pPr>
              <w:jc w:val="both"/>
              <w:rPr>
                <w:rFonts w:asciiTheme="majorHAnsi" w:hAnsiTheme="majorHAnsi" w:cstheme="majorBidi"/>
                <w:sz w:val="20"/>
                <w:szCs w:val="20"/>
              </w:rPr>
            </w:pPr>
            <w:r w:rsidRPr="001D3CCD">
              <w:rPr>
                <w:rFonts w:asciiTheme="majorHAnsi" w:hAnsiTheme="majorHAnsi" w:cstheme="majorBidi"/>
                <w:sz w:val="20"/>
                <w:szCs w:val="20"/>
              </w:rPr>
              <w:t xml:space="preserve">February </w:t>
            </w:r>
            <w:r w:rsidRPr="001D3CCD" w:rsidR="009A1C25">
              <w:rPr>
                <w:rFonts w:asciiTheme="majorHAnsi" w:hAnsiTheme="majorHAnsi" w:cstheme="majorBidi"/>
                <w:sz w:val="20"/>
                <w:szCs w:val="20"/>
              </w:rPr>
              <w:t>28</w:t>
            </w:r>
            <w:r w:rsidRPr="001D3CCD">
              <w:rPr>
                <w:rFonts w:asciiTheme="majorHAnsi" w:hAnsiTheme="majorHAnsi" w:cstheme="majorBidi"/>
                <w:sz w:val="20"/>
                <w:szCs w:val="20"/>
              </w:rPr>
              <w:t>, 2022</w:t>
            </w:r>
          </w:p>
        </w:tc>
        <w:tc>
          <w:tcPr>
            <w:tcW w:w="5691" w:type="dxa"/>
          </w:tcPr>
          <w:p w:rsidR="00BF3EDD" w:rsidRPr="001D3CCD" w:rsidP="00DE4336" w14:paraId="3B7232AD" w14:textId="31EC162E">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to incorporate reporting updates under the final rule</w:t>
            </w:r>
          </w:p>
        </w:tc>
      </w:tr>
      <w:tr w14:paraId="547B627A" w14:textId="77777777" w:rsidTr="001D3CCD">
        <w:tblPrEx>
          <w:tblW w:w="0" w:type="auto"/>
          <w:tblLook w:val="04A0"/>
        </w:tblPrEx>
        <w:tc>
          <w:tcPr>
            <w:tcW w:w="1075" w:type="dxa"/>
          </w:tcPr>
          <w:p w:rsidR="00BB6A4F" w:rsidRPr="001D3CCD" w:rsidP="10A9F656" w14:paraId="3F120750" w14:textId="3BDC5632">
            <w:pPr>
              <w:jc w:val="center"/>
              <w:rPr>
                <w:rFonts w:asciiTheme="majorHAnsi" w:hAnsiTheme="majorHAnsi" w:cstheme="majorBidi"/>
                <w:sz w:val="20"/>
                <w:szCs w:val="20"/>
              </w:rPr>
            </w:pPr>
            <w:r w:rsidRPr="001D3CCD">
              <w:rPr>
                <w:rFonts w:asciiTheme="majorHAnsi" w:hAnsiTheme="majorHAnsi" w:cstheme="majorBidi"/>
                <w:sz w:val="20"/>
                <w:szCs w:val="20"/>
              </w:rPr>
              <w:t>4.0</w:t>
            </w:r>
          </w:p>
        </w:tc>
        <w:tc>
          <w:tcPr>
            <w:tcW w:w="2250" w:type="dxa"/>
          </w:tcPr>
          <w:p w:rsidR="00BB6A4F" w:rsidRPr="001D3CCD" w14:paraId="31AF5DA2" w14:textId="1DDE2B29">
            <w:pPr>
              <w:jc w:val="both"/>
              <w:rPr>
                <w:rFonts w:asciiTheme="majorHAnsi" w:hAnsiTheme="majorHAnsi" w:cstheme="majorBidi"/>
                <w:sz w:val="20"/>
                <w:szCs w:val="20"/>
              </w:rPr>
            </w:pPr>
            <w:r w:rsidRPr="001D3CCD">
              <w:rPr>
                <w:rFonts w:asciiTheme="majorHAnsi" w:hAnsiTheme="majorHAnsi" w:cstheme="majorBidi"/>
                <w:sz w:val="20"/>
                <w:szCs w:val="20"/>
              </w:rPr>
              <w:t>June 10, 2022</w:t>
            </w:r>
          </w:p>
        </w:tc>
        <w:tc>
          <w:tcPr>
            <w:tcW w:w="5691" w:type="dxa"/>
          </w:tcPr>
          <w:p w:rsidR="009217CB" w:rsidRPr="001D3CCD" w:rsidP="00CE5331" w14:paraId="104F5114" w14:textId="7777777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Recovery Plan guidance to incorporate minor revisions</w:t>
            </w:r>
          </w:p>
          <w:p w:rsidR="009217CB" w:rsidRPr="001D3CCD" w:rsidP="00CE5331" w14:paraId="4DE62C41" w14:textId="07DF6C2A">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language around </w:t>
            </w:r>
            <w:r w:rsidRPr="001D3CCD" w:rsidR="00E27215">
              <w:rPr>
                <w:rFonts w:asciiTheme="majorHAnsi" w:hAnsiTheme="majorHAnsi" w:cstheme="majorBidi"/>
                <w:sz w:val="20"/>
                <w:szCs w:val="20"/>
              </w:rPr>
              <w:t xml:space="preserve">certain </w:t>
            </w:r>
            <w:r w:rsidRPr="001D3CCD">
              <w:rPr>
                <w:rFonts w:asciiTheme="majorHAnsi" w:hAnsiTheme="majorHAnsi" w:cstheme="majorBidi"/>
                <w:sz w:val="20"/>
                <w:szCs w:val="20"/>
              </w:rPr>
              <w:t>data fields that were required for April 2022 reporting</w:t>
            </w:r>
          </w:p>
          <w:p w:rsidR="009217CB" w:rsidRPr="001D3CCD" w:rsidP="00CE5331" w14:paraId="123C981A" w14:textId="7E29523E">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data fields for Ineligible Activities: Tax Offset Provision for the Project </w:t>
            </w:r>
            <w:r w:rsidRPr="001D3CCD" w:rsidR="00E27215">
              <w:rPr>
                <w:rFonts w:asciiTheme="majorHAnsi" w:hAnsiTheme="majorHAnsi" w:cstheme="majorBidi"/>
                <w:sz w:val="20"/>
                <w:szCs w:val="20"/>
              </w:rPr>
              <w:t>and</w:t>
            </w:r>
            <w:r w:rsidRPr="001D3CCD">
              <w:rPr>
                <w:rFonts w:asciiTheme="majorHAnsi" w:hAnsiTheme="majorHAnsi" w:cstheme="majorBidi"/>
                <w:sz w:val="20"/>
                <w:szCs w:val="20"/>
              </w:rPr>
              <w:t xml:space="preserve"> Expenditure report</w:t>
            </w:r>
          </w:p>
          <w:p w:rsidR="00550815" w:rsidRPr="001D3CCD" w:rsidP="00CE5331" w14:paraId="2FA7D3F6" w14:textId="39A3D2CC">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Broadband data fields</w:t>
            </w:r>
          </w:p>
        </w:tc>
      </w:tr>
      <w:tr w14:paraId="290C6295" w14:textId="77777777" w:rsidTr="001D3CCD">
        <w:tblPrEx>
          <w:tblW w:w="0" w:type="auto"/>
          <w:tblLook w:val="04A0"/>
        </w:tblPrEx>
        <w:tc>
          <w:tcPr>
            <w:tcW w:w="1075" w:type="dxa"/>
          </w:tcPr>
          <w:p w:rsidR="00AB6403" w:rsidRPr="001D3CCD" w:rsidP="10A9F656" w14:paraId="56EDE844" w14:textId="0F63AECB">
            <w:pPr>
              <w:jc w:val="center"/>
              <w:rPr>
                <w:rFonts w:asciiTheme="majorHAnsi" w:hAnsiTheme="majorHAnsi" w:cstheme="majorBidi"/>
                <w:sz w:val="20"/>
                <w:szCs w:val="20"/>
              </w:rPr>
            </w:pPr>
            <w:r w:rsidRPr="001D3CCD">
              <w:rPr>
                <w:rFonts w:asciiTheme="majorHAnsi" w:hAnsiTheme="majorHAnsi" w:cstheme="majorBidi"/>
                <w:sz w:val="20"/>
                <w:szCs w:val="20"/>
              </w:rPr>
              <w:t>4.1</w:t>
            </w:r>
          </w:p>
        </w:tc>
        <w:tc>
          <w:tcPr>
            <w:tcW w:w="2250" w:type="dxa"/>
          </w:tcPr>
          <w:p w:rsidR="00AB6403" w:rsidRPr="001D3CCD" w14:paraId="7FF46772" w14:textId="5E28B83D">
            <w:pPr>
              <w:jc w:val="both"/>
              <w:rPr>
                <w:rFonts w:asciiTheme="majorHAnsi" w:hAnsiTheme="majorHAnsi" w:cstheme="majorBidi"/>
                <w:sz w:val="20"/>
                <w:szCs w:val="20"/>
              </w:rPr>
            </w:pPr>
            <w:r w:rsidRPr="001D3CCD">
              <w:rPr>
                <w:rFonts w:asciiTheme="majorHAnsi" w:hAnsiTheme="majorHAnsi" w:cstheme="majorBidi"/>
                <w:sz w:val="20"/>
                <w:szCs w:val="20"/>
              </w:rPr>
              <w:t>June 1</w:t>
            </w:r>
            <w:r w:rsidRPr="001D3CCD" w:rsidR="00CF3560">
              <w:rPr>
                <w:rFonts w:asciiTheme="majorHAnsi" w:hAnsiTheme="majorHAnsi" w:cstheme="majorBidi"/>
                <w:sz w:val="20"/>
                <w:szCs w:val="20"/>
              </w:rPr>
              <w:t>7</w:t>
            </w:r>
            <w:r w:rsidRPr="001D3CCD">
              <w:rPr>
                <w:rFonts w:asciiTheme="majorHAnsi" w:hAnsiTheme="majorHAnsi" w:cstheme="majorBidi"/>
                <w:sz w:val="20"/>
                <w:szCs w:val="20"/>
              </w:rPr>
              <w:t>, 2022</w:t>
            </w:r>
          </w:p>
        </w:tc>
        <w:tc>
          <w:tcPr>
            <w:tcW w:w="5691" w:type="dxa"/>
          </w:tcPr>
          <w:p w:rsidR="00AB6403" w:rsidRPr="001D3CCD" w:rsidP="00CE5331" w14:paraId="5E316C16" w14:textId="71502F74">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w:t>
            </w:r>
            <w:r w:rsidRPr="001D3CCD">
              <w:rPr>
                <w:rFonts w:asciiTheme="majorHAnsi" w:hAnsiTheme="majorHAnsi" w:cstheme="majorBidi"/>
                <w:sz w:val="20"/>
                <w:szCs w:val="20"/>
              </w:rPr>
              <w:t xml:space="preserve"> </w:t>
            </w:r>
            <w:r w:rsidRPr="001D3CCD" w:rsidR="00FD550D">
              <w:rPr>
                <w:rFonts w:asciiTheme="majorHAnsi" w:hAnsiTheme="majorHAnsi" w:cstheme="majorBidi"/>
                <w:sz w:val="20"/>
                <w:szCs w:val="20"/>
              </w:rPr>
              <w:t>clerical errors</w:t>
            </w:r>
            <w:r w:rsidRPr="001D3CCD">
              <w:rPr>
                <w:rFonts w:asciiTheme="majorHAnsi" w:hAnsiTheme="majorHAnsi" w:cstheme="majorBidi"/>
                <w:sz w:val="20"/>
                <w:szCs w:val="20"/>
              </w:rPr>
              <w:t xml:space="preserve"> in </w:t>
            </w:r>
            <w:r w:rsidRPr="001D3CCD">
              <w:rPr>
                <w:rFonts w:asciiTheme="majorHAnsi" w:hAnsiTheme="majorHAnsi" w:cstheme="majorBidi"/>
                <w:sz w:val="20"/>
                <w:szCs w:val="20"/>
              </w:rPr>
              <w:t xml:space="preserve">Ineligible Activities: </w:t>
            </w:r>
            <w:r w:rsidRPr="001D3CCD">
              <w:rPr>
                <w:rFonts w:asciiTheme="majorHAnsi" w:hAnsiTheme="majorHAnsi" w:cstheme="majorBidi"/>
                <w:sz w:val="20"/>
                <w:szCs w:val="20"/>
              </w:rPr>
              <w:t xml:space="preserve">Tax Offset </w:t>
            </w:r>
            <w:r w:rsidRPr="001D3CCD">
              <w:rPr>
                <w:rFonts w:asciiTheme="majorHAnsi" w:hAnsiTheme="majorHAnsi" w:cstheme="majorBidi"/>
                <w:sz w:val="20"/>
                <w:szCs w:val="20"/>
              </w:rPr>
              <w:t>Provision</w:t>
            </w:r>
          </w:p>
        </w:tc>
      </w:tr>
      <w:tr w14:paraId="45C89ABF" w14:textId="77777777" w:rsidTr="001D3CCD">
        <w:tblPrEx>
          <w:tblW w:w="0" w:type="auto"/>
          <w:tblLook w:val="04A0"/>
        </w:tblPrEx>
        <w:tc>
          <w:tcPr>
            <w:tcW w:w="1075" w:type="dxa"/>
          </w:tcPr>
          <w:p w:rsidR="0073249A" w:rsidRPr="001D3CCD" w:rsidP="10A9F656" w14:paraId="355F9A40" w14:textId="2E44CF6E">
            <w:pPr>
              <w:jc w:val="center"/>
              <w:rPr>
                <w:rFonts w:asciiTheme="majorHAnsi" w:hAnsiTheme="majorHAnsi" w:cstheme="majorBidi"/>
                <w:sz w:val="20"/>
                <w:szCs w:val="20"/>
              </w:rPr>
            </w:pPr>
            <w:r w:rsidRPr="001D3CCD">
              <w:rPr>
                <w:rFonts w:asciiTheme="majorHAnsi" w:hAnsiTheme="majorHAnsi" w:cstheme="majorBidi"/>
                <w:sz w:val="20"/>
                <w:szCs w:val="20"/>
              </w:rPr>
              <w:t>4.2</w:t>
            </w:r>
          </w:p>
        </w:tc>
        <w:tc>
          <w:tcPr>
            <w:tcW w:w="2250" w:type="dxa"/>
          </w:tcPr>
          <w:p w:rsidR="0073249A" w:rsidRPr="001D3CCD" w14:paraId="2FAD6497" w14:textId="1C333E92">
            <w:pPr>
              <w:jc w:val="both"/>
              <w:rPr>
                <w:rFonts w:asciiTheme="majorHAnsi" w:hAnsiTheme="majorHAnsi" w:cstheme="majorBidi"/>
                <w:sz w:val="20"/>
                <w:szCs w:val="20"/>
              </w:rPr>
            </w:pPr>
            <w:r w:rsidRPr="001D3CCD">
              <w:rPr>
                <w:rFonts w:asciiTheme="majorHAnsi" w:hAnsiTheme="majorHAnsi" w:cstheme="majorBidi"/>
                <w:sz w:val="20"/>
                <w:szCs w:val="20"/>
              </w:rPr>
              <w:t xml:space="preserve">August </w:t>
            </w:r>
            <w:r w:rsidRPr="001D3CCD" w:rsidR="00DE4336">
              <w:rPr>
                <w:rFonts w:asciiTheme="majorHAnsi" w:hAnsiTheme="majorHAnsi" w:cstheme="majorBidi"/>
                <w:sz w:val="20"/>
                <w:szCs w:val="20"/>
              </w:rPr>
              <w:t>15</w:t>
            </w:r>
            <w:r w:rsidRPr="001D3CCD">
              <w:rPr>
                <w:rFonts w:asciiTheme="majorHAnsi" w:hAnsiTheme="majorHAnsi" w:cstheme="majorBidi"/>
                <w:sz w:val="20"/>
                <w:szCs w:val="20"/>
              </w:rPr>
              <w:t>, 2022</w:t>
            </w:r>
          </w:p>
        </w:tc>
        <w:tc>
          <w:tcPr>
            <w:tcW w:w="5691" w:type="dxa"/>
          </w:tcPr>
          <w:p w:rsidR="0073249A" w:rsidRPr="001D3CCD" w:rsidP="00CE5331" w14:paraId="29F8B871" w14:textId="56B94E17">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Updated to clarify resources for Uniform Guidance applicability</w:t>
            </w:r>
            <w:r w:rsidRPr="001D3CCD" w:rsidR="007B6140">
              <w:rPr>
                <w:rFonts w:asciiTheme="majorHAnsi" w:hAnsiTheme="majorHAnsi" w:cstheme="majorBidi"/>
                <w:sz w:val="20"/>
                <w:szCs w:val="20"/>
              </w:rPr>
              <w:t xml:space="preserve"> and add a reference to an </w:t>
            </w:r>
            <w:r w:rsidRPr="001D3CCD" w:rsidR="007B6140">
              <w:rPr>
                <w:rFonts w:ascii="Arial" w:hAnsi="Arial"/>
                <w:sz w:val="20"/>
                <w:szCs w:val="20"/>
              </w:rPr>
              <w:t>alternative to the Single Audit available for eligible recipients</w:t>
            </w:r>
          </w:p>
        </w:tc>
      </w:tr>
      <w:tr w14:paraId="79AD144F" w14:textId="77777777" w:rsidTr="001D3CCD">
        <w:tblPrEx>
          <w:tblW w:w="0" w:type="auto"/>
          <w:tblLook w:val="04A0"/>
        </w:tblPrEx>
        <w:trPr>
          <w:trHeight w:val="70"/>
        </w:trPr>
        <w:tc>
          <w:tcPr>
            <w:tcW w:w="1075" w:type="dxa"/>
          </w:tcPr>
          <w:p w:rsidR="007B63F5" w:rsidRPr="001D3CCD" w:rsidP="10A9F656" w14:paraId="343E49C6" w14:textId="3CE7EAF9">
            <w:pPr>
              <w:jc w:val="center"/>
              <w:rPr>
                <w:rFonts w:asciiTheme="majorHAnsi" w:hAnsiTheme="majorHAnsi" w:cstheme="majorBidi"/>
                <w:sz w:val="20"/>
                <w:szCs w:val="20"/>
              </w:rPr>
            </w:pPr>
            <w:r w:rsidRPr="001D3CCD">
              <w:rPr>
                <w:rFonts w:asciiTheme="majorHAnsi" w:hAnsiTheme="majorHAnsi" w:cstheme="majorBidi"/>
                <w:sz w:val="20"/>
                <w:szCs w:val="20"/>
              </w:rPr>
              <w:t>5.0</w:t>
            </w:r>
          </w:p>
        </w:tc>
        <w:tc>
          <w:tcPr>
            <w:tcW w:w="2250" w:type="dxa"/>
          </w:tcPr>
          <w:p w:rsidR="007B63F5" w:rsidRPr="001D3CCD" w:rsidP="001D3CCD" w14:paraId="54A10573" w14:textId="524B2C39">
            <w:pPr>
              <w:rPr>
                <w:rFonts w:asciiTheme="majorHAnsi" w:hAnsiTheme="majorHAnsi" w:cstheme="majorBidi"/>
                <w:sz w:val="20"/>
                <w:szCs w:val="20"/>
              </w:rPr>
            </w:pPr>
            <w:r w:rsidRPr="001D3CCD">
              <w:rPr>
                <w:rFonts w:asciiTheme="majorHAnsi" w:hAnsiTheme="majorHAnsi" w:cstheme="majorBidi"/>
                <w:sz w:val="20"/>
                <w:szCs w:val="20"/>
              </w:rPr>
              <w:t xml:space="preserve">September </w:t>
            </w:r>
            <w:r w:rsidRPr="001D3CCD" w:rsidR="00927AB1">
              <w:rPr>
                <w:rFonts w:asciiTheme="majorHAnsi" w:hAnsiTheme="majorHAnsi" w:cstheme="majorBidi"/>
                <w:sz w:val="20"/>
                <w:szCs w:val="20"/>
              </w:rPr>
              <w:t>20</w:t>
            </w:r>
            <w:r w:rsidRPr="001D3CCD" w:rsidR="001D3CCD">
              <w:rPr>
                <w:rFonts w:asciiTheme="majorHAnsi" w:hAnsiTheme="majorHAnsi" w:cstheme="majorBidi"/>
                <w:sz w:val="20"/>
                <w:szCs w:val="20"/>
              </w:rPr>
              <w:t xml:space="preserve">, </w:t>
            </w:r>
            <w:r w:rsidRPr="001D3CCD">
              <w:rPr>
                <w:rFonts w:asciiTheme="majorHAnsi" w:hAnsiTheme="majorHAnsi" w:cstheme="majorBidi"/>
                <w:sz w:val="20"/>
                <w:szCs w:val="20"/>
              </w:rPr>
              <w:t>2022</w:t>
            </w:r>
          </w:p>
        </w:tc>
        <w:tc>
          <w:tcPr>
            <w:tcW w:w="5691" w:type="dxa"/>
          </w:tcPr>
          <w:p w:rsidR="007B63F5" w:rsidRPr="001D3CCD" w:rsidP="00CE5331" w14:paraId="405AE26C" w14:textId="4C002D26">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to note phase in of broadband location by location </w:t>
            </w:r>
            <w:r w:rsidRPr="001D3CCD" w:rsidR="00927AB1">
              <w:rPr>
                <w:rFonts w:asciiTheme="majorHAnsi" w:hAnsiTheme="majorHAnsi" w:cstheme="majorBidi"/>
                <w:sz w:val="20"/>
                <w:szCs w:val="20"/>
              </w:rPr>
              <w:t xml:space="preserve">data </w:t>
            </w:r>
            <w:r w:rsidRPr="001D3CCD">
              <w:rPr>
                <w:rFonts w:asciiTheme="majorHAnsi" w:hAnsiTheme="majorHAnsi" w:cstheme="majorBidi"/>
                <w:sz w:val="20"/>
                <w:szCs w:val="20"/>
              </w:rPr>
              <w:t>fields</w:t>
            </w:r>
          </w:p>
        </w:tc>
      </w:tr>
      <w:tr w14:paraId="09B2D103" w14:textId="77777777" w:rsidTr="001D3CCD">
        <w:tblPrEx>
          <w:tblW w:w="0" w:type="auto"/>
          <w:tblLook w:val="04A0"/>
        </w:tblPrEx>
        <w:trPr>
          <w:trHeight w:val="70"/>
        </w:trPr>
        <w:tc>
          <w:tcPr>
            <w:tcW w:w="1075" w:type="dxa"/>
          </w:tcPr>
          <w:p w:rsidR="008D55F6" w:rsidRPr="001D3CCD" w:rsidP="10A9F656" w14:paraId="23095EE3" w14:textId="07E5F792">
            <w:pPr>
              <w:jc w:val="center"/>
              <w:rPr>
                <w:rFonts w:asciiTheme="majorHAnsi" w:hAnsiTheme="majorHAnsi" w:cstheme="majorBidi"/>
                <w:sz w:val="20"/>
                <w:szCs w:val="20"/>
              </w:rPr>
            </w:pPr>
            <w:r>
              <w:rPr>
                <w:rFonts w:asciiTheme="majorHAnsi" w:hAnsiTheme="majorHAnsi" w:cstheme="majorBidi"/>
                <w:sz w:val="20"/>
                <w:szCs w:val="20"/>
              </w:rPr>
              <w:t xml:space="preserve">5.1 </w:t>
            </w:r>
          </w:p>
        </w:tc>
        <w:tc>
          <w:tcPr>
            <w:tcW w:w="2250" w:type="dxa"/>
          </w:tcPr>
          <w:p w:rsidR="008D55F6" w:rsidRPr="001D3CCD" w:rsidP="001D3CCD" w14:paraId="3989E848" w14:textId="469072BC">
            <w:pPr>
              <w:rPr>
                <w:rFonts w:asciiTheme="majorHAnsi" w:hAnsiTheme="majorHAnsi" w:cstheme="majorBidi"/>
                <w:sz w:val="20"/>
                <w:szCs w:val="20"/>
              </w:rPr>
            </w:pPr>
            <w:r>
              <w:rPr>
                <w:rFonts w:asciiTheme="majorHAnsi" w:hAnsiTheme="majorHAnsi" w:cstheme="majorBidi"/>
                <w:sz w:val="20"/>
                <w:szCs w:val="20"/>
              </w:rPr>
              <w:t>June 1, 2023</w:t>
            </w:r>
          </w:p>
        </w:tc>
        <w:tc>
          <w:tcPr>
            <w:tcW w:w="5691" w:type="dxa"/>
          </w:tcPr>
          <w:p w:rsidR="008D55F6" w:rsidRPr="001D3CCD" w:rsidP="00CE5331" w14:paraId="7AA0E65F" w14:textId="32BA6022">
            <w:pPr>
              <w:pStyle w:val="ListParagraph"/>
              <w:numPr>
                <w:ilvl w:val="0"/>
                <w:numId w:val="46"/>
              </w:numPr>
              <w:rPr>
                <w:rFonts w:asciiTheme="majorHAnsi" w:hAnsiTheme="majorHAnsi" w:cstheme="majorBidi"/>
                <w:sz w:val="20"/>
                <w:szCs w:val="20"/>
              </w:rPr>
            </w:pPr>
            <w:r w:rsidRPr="001D3CCD">
              <w:rPr>
                <w:rFonts w:asciiTheme="majorHAnsi" w:hAnsiTheme="majorHAnsi" w:cstheme="majorBidi"/>
                <w:sz w:val="20"/>
                <w:szCs w:val="20"/>
              </w:rPr>
              <w:t xml:space="preserve">Updated to </w:t>
            </w:r>
            <w:r>
              <w:rPr>
                <w:rFonts w:asciiTheme="majorHAnsi" w:hAnsiTheme="majorHAnsi" w:cstheme="majorBidi"/>
                <w:sz w:val="20"/>
                <w:szCs w:val="20"/>
              </w:rPr>
              <w:t>include</w:t>
            </w:r>
            <w:r w:rsidRPr="001D3CCD">
              <w:rPr>
                <w:rFonts w:asciiTheme="majorHAnsi" w:hAnsiTheme="majorHAnsi" w:cstheme="majorBidi"/>
                <w:sz w:val="20"/>
                <w:szCs w:val="20"/>
              </w:rPr>
              <w:t xml:space="preserve"> </w:t>
            </w:r>
            <w:r>
              <w:rPr>
                <w:rFonts w:asciiTheme="majorHAnsi" w:hAnsiTheme="majorHAnsi" w:cstheme="majorBidi"/>
                <w:sz w:val="20"/>
                <w:szCs w:val="20"/>
              </w:rPr>
              <w:t>Fabric ID and Provider ID fields for broadband location by location data collection.</w:t>
            </w:r>
          </w:p>
        </w:tc>
      </w:tr>
    </w:tbl>
    <w:p w:rsidR="007361BE" w:rsidRPr="00440EF3" w:rsidP="00CF3560" w14:paraId="0B322E38" w14:textId="11C5A019">
      <w:pPr>
        <w:rPr>
          <w:rFonts w:asciiTheme="majorHAnsi" w:hAnsiTheme="majorHAnsi" w:cstheme="majorHAnsi"/>
        </w:rPr>
      </w:pPr>
    </w:p>
    <w:sectPr w:rsidSect="009C4DDF">
      <w:headerReference w:type="default" r:id="rId32"/>
      <w:footerReference w:type="default" r:id="rId33"/>
      <w:footerReference w:type="first" r:id="rId34"/>
      <w:pgSz w:w="11906" w:h="16838"/>
      <w:pgMar w:top="1440" w:right="1080" w:bottom="1440" w:left="1080" w:header="432" w:footer="144"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0A70" w:rsidRPr="00C737B0" w:rsidP="00867F0F" w14:paraId="3F4E89EC" w14:textId="261011E1">
    <w:pPr>
      <w:pStyle w:val="NoSpacing"/>
      <w:tabs>
        <w:tab w:val="left" w:pos="5770"/>
      </w:tabs>
      <w:rPr>
        <w:rFonts w:cs="Cambria"/>
        <w:b/>
        <w:bCs/>
        <w:color w:val="E36C0A"/>
        <w:sz w:val="18"/>
        <w:szCs w:val="18"/>
      </w:rPr>
    </w:pPr>
    <w:r>
      <w:rPr>
        <w:rFonts w:cs="Cambria"/>
        <w:b/>
        <w:bCs/>
        <w:color w:val="E36C0A"/>
        <w:sz w:val="18"/>
        <w:szCs w:val="18"/>
      </w:rPr>
      <w:tab/>
    </w:r>
  </w:p>
  <w:p w:rsidR="00450A70" w:rsidRPr="00867F0F" w:rsidP="10A9F656" w14:paraId="1ECF534C" w14:textId="00D94D85">
    <w:pPr>
      <w:pStyle w:val="NoSpacing"/>
      <w:jc w:val="center"/>
      <w:rPr>
        <w:b/>
        <w:bCs/>
        <w:color w:val="002060"/>
        <w:sz w:val="18"/>
        <w:szCs w:val="18"/>
      </w:rPr>
    </w:pPr>
    <w:r w:rsidRPr="10A9F656">
      <w:rPr>
        <w:b/>
        <w:bCs/>
        <w:color w:val="002060"/>
        <w:sz w:val="18"/>
        <w:szCs w:val="18"/>
      </w:rPr>
      <w:t>Coronavirus State and Local Fiscal Recovery Funds</w:t>
    </w:r>
  </w:p>
  <w:p w:rsidR="00450A70" w:rsidRPr="00867F0F" w:rsidP="10A9F656" w14:paraId="447A31A5" w14:textId="063A66D2">
    <w:pPr>
      <w:pStyle w:val="NoSpacing"/>
      <w:jc w:val="center"/>
      <w:rPr>
        <w:color w:val="002060"/>
        <w:sz w:val="18"/>
        <w:szCs w:val="18"/>
      </w:rPr>
    </w:pPr>
    <w:r w:rsidRPr="10A9F656">
      <w:rPr>
        <w:color w:val="002060"/>
        <w:sz w:val="18"/>
        <w:szCs w:val="18"/>
      </w:rPr>
      <w:t>Compliance and Reporting Guidance</w:t>
    </w:r>
  </w:p>
  <w:p w:rsidR="00450A70" w:rsidRPr="00867F0F" w:rsidP="00440EF3" w14:paraId="4DF429C1" w14:textId="77777777">
    <w:pPr>
      <w:pStyle w:val="NoSpacing"/>
      <w:jc w:val="center"/>
      <w:rPr>
        <w:noProof/>
        <w:color w:val="002060"/>
        <w:sz w:val="18"/>
        <w:szCs w:val="18"/>
      </w:rPr>
    </w:pPr>
  </w:p>
  <w:p w:rsidR="00450A70" w:rsidRPr="00025098" w:rsidP="00D92077" w14:paraId="2B384CD0" w14:textId="77777777">
    <w:pPr>
      <w:pStyle w:val="Footer"/>
      <w:jc w:val="center"/>
      <w:rPr>
        <w:sz w:val="18"/>
        <w:szCs w:val="18"/>
      </w:rPr>
    </w:pPr>
    <w:r w:rsidRPr="00025098">
      <w:rPr>
        <w:noProof/>
        <w:sz w:val="18"/>
        <w:szCs w:val="18"/>
      </w:rPr>
      <w:fldChar w:fldCharType="begin"/>
    </w:r>
    <w:r w:rsidRPr="00025098">
      <w:rPr>
        <w:sz w:val="18"/>
        <w:szCs w:val="18"/>
      </w:rPr>
      <w:instrText xml:space="preserve"> PAGE   \* MERGEFORMAT </w:instrText>
    </w:r>
    <w:r w:rsidRPr="00025098">
      <w:rPr>
        <w:sz w:val="18"/>
        <w:szCs w:val="18"/>
      </w:rPr>
      <w:fldChar w:fldCharType="separate"/>
    </w:r>
    <w:r>
      <w:rPr>
        <w:sz w:val="18"/>
        <w:szCs w:val="18"/>
      </w:rPr>
      <w:t>3</w:t>
    </w:r>
    <w:r w:rsidRPr="00025098">
      <w:rPr>
        <w:noProof/>
        <w:sz w:val="18"/>
        <w:szCs w:val="18"/>
      </w:rPr>
      <w:fldChar w:fldCharType="end"/>
    </w:r>
  </w:p>
  <w:p w:rsidR="00450A70" w:rsidRPr="00440EF3" w:rsidP="00F570D3" w14:paraId="17D980B0" w14:textId="2936BDCD">
    <w:pPr>
      <w:pStyle w:val="Footer"/>
      <w:jc w:val="center"/>
      <w:rPr>
        <w:b/>
        <w:bC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0A70" w:rsidRPr="00A76163" w:rsidP="00DD0049" w14:paraId="4CF82BFB" w14:textId="45EC5A49">
    <w:pPr>
      <w:pStyle w:val="Footer"/>
      <w:jc w:val="right"/>
      <w:rPr>
        <w:sz w:val="20"/>
        <w:szCs w:val="20"/>
      </w:rPr>
    </w:pPr>
  </w:p>
  <w:p w:rsidR="00450A70" w:rsidP="00DD0049" w14:paraId="304472E3" w14:textId="77777777">
    <w:pPr>
      <w:pStyle w:val="Footer"/>
      <w:jc w:val="center"/>
      <w:rPr>
        <w:b/>
        <w:bCs/>
        <w:sz w:val="28"/>
        <w:szCs w:val="28"/>
      </w:rPr>
    </w:pPr>
  </w:p>
  <w:p w:rsidR="00450A70" w14:paraId="326976D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907252" w:rsidP="00415FC4" w14:paraId="0232799C" w14:textId="77777777">
      <w:pPr>
        <w:spacing w:after="0" w:line="240" w:lineRule="auto"/>
      </w:pPr>
      <w:r>
        <w:separator/>
      </w:r>
    </w:p>
  </w:footnote>
  <w:footnote w:type="continuationSeparator" w:id="1">
    <w:p w:rsidR="00907252" w:rsidP="00415FC4" w14:paraId="1507D4E6" w14:textId="77777777">
      <w:pPr>
        <w:spacing w:after="0" w:line="240" w:lineRule="auto"/>
      </w:pPr>
      <w:r>
        <w:continuationSeparator/>
      </w:r>
    </w:p>
  </w:footnote>
  <w:footnote w:type="continuationNotice" w:id="2">
    <w:p w:rsidR="00907252" w14:paraId="71A97E2C" w14:textId="77777777">
      <w:pPr>
        <w:spacing w:after="0" w:line="240" w:lineRule="auto"/>
      </w:pPr>
    </w:p>
  </w:footnote>
  <w:footnote w:id="3">
    <w:p w:rsidR="00450A70" w:rsidRPr="002D1FB8" w:rsidP="00BE035E" w14:paraId="58F92FAB" w14:textId="70C0C1E4">
      <w:pPr>
        <w:pStyle w:val="FootnoteText"/>
        <w:rPr>
          <w:rFonts w:ascii="Arial" w:hAnsi="Arial"/>
        </w:rPr>
      </w:pPr>
      <w:r w:rsidRPr="002D1FB8">
        <w:rPr>
          <w:rStyle w:val="FootnoteReference"/>
          <w:rFonts w:ascii="Arial" w:hAnsi="Arial"/>
        </w:rPr>
        <w:footnoteRef/>
      </w:r>
      <w:r w:rsidRPr="002D1FB8">
        <w:rPr>
          <w:rFonts w:ascii="Arial" w:hAnsi="Arial"/>
        </w:rPr>
        <w:t xml:space="preserve"> Recipients also may use SLFRF funds directly for administrative costs to improve the design and execution of programs responding to the COVID-19 pandemic and to administer or improve the efficacy of programs </w:t>
      </w:r>
    </w:p>
    <w:p w:rsidR="00450A70" w:rsidRPr="002D1FB8" w:rsidP="00BE035E" w14:paraId="7380B218" w14:textId="66A4CBD3">
      <w:pPr>
        <w:pStyle w:val="FootnoteText"/>
        <w:rPr>
          <w:rFonts w:ascii="Arial" w:hAnsi="Arial"/>
        </w:rPr>
      </w:pPr>
      <w:r w:rsidRPr="002D1FB8">
        <w:rPr>
          <w:rFonts w:ascii="Arial" w:hAnsi="Arial"/>
        </w:rPr>
        <w:t xml:space="preserve">addressing the public health emergency or its negative economic impacts.  31 CFR 35.6(b)(3)(ii)(E)(3). </w:t>
      </w:r>
    </w:p>
  </w:footnote>
  <w:footnote w:id="4">
    <w:p w:rsidR="00450A70" w:rsidRPr="002D1FB8" w:rsidP="0524EB70" w14:paraId="59E7CF47" w14:textId="7762767C">
      <w:pPr>
        <w:pStyle w:val="FootnoteText"/>
        <w:rPr>
          <w:rFonts w:ascii="Arial" w:hAnsi="Arial"/>
        </w:rPr>
      </w:pPr>
      <w:r w:rsidRPr="002D1FB8">
        <w:rPr>
          <w:rStyle w:val="FootnoteReference"/>
          <w:rFonts w:ascii="Arial" w:hAnsi="Arial"/>
        </w:rPr>
        <w:footnoteRef/>
      </w:r>
      <w:r w:rsidRPr="002D1FB8">
        <w:rPr>
          <w:rFonts w:ascii="Arial" w:hAnsi="Arial"/>
        </w:rPr>
        <w:t xml:space="preserve"> 2 CFR 200.413 Direct Costs.</w:t>
      </w:r>
    </w:p>
  </w:footnote>
  <w:footnote w:id="5">
    <w:p w:rsidR="00450A70" w:rsidRPr="002D1FB8" w:rsidP="0524EB70" w14:paraId="2D07B26F" w14:textId="1E84A63B">
      <w:pPr>
        <w:pStyle w:val="FootnoteText"/>
        <w:rPr>
          <w:rFonts w:ascii="Arial" w:hAnsi="Arial"/>
        </w:rPr>
      </w:pPr>
      <w:r w:rsidRPr="002D1FB8">
        <w:rPr>
          <w:rStyle w:val="FootnoteReference"/>
          <w:rFonts w:ascii="Arial" w:hAnsi="Arial"/>
        </w:rPr>
        <w:footnoteRef/>
      </w:r>
      <w:r w:rsidRPr="002D1FB8">
        <w:rPr>
          <w:rFonts w:ascii="Arial" w:hAnsi="Arial"/>
        </w:rPr>
        <w:t xml:space="preserve"> 2 CFR 200.414 Indirect Costs.</w:t>
      </w:r>
    </w:p>
  </w:footnote>
  <w:footnote w:id="6">
    <w:p w:rsidR="00450A70" w:rsidRPr="002D1FB8" w14:paraId="17B4748A" w14:textId="0BC5DC59">
      <w:pPr>
        <w:pStyle w:val="FootnoteText"/>
        <w:rPr>
          <w:rFonts w:ascii="Arial" w:hAnsi="Arial"/>
        </w:rPr>
      </w:pPr>
      <w:r w:rsidRPr="002D1FB8">
        <w:rPr>
          <w:rStyle w:val="FootnoteReference"/>
          <w:rFonts w:ascii="Arial" w:hAnsi="Arial"/>
        </w:rPr>
        <w:footnoteRef/>
      </w:r>
      <w:r w:rsidRPr="002D1FB8">
        <w:rPr>
          <w:rFonts w:ascii="Arial" w:hAnsi="Arial"/>
        </w:rPr>
        <w:t xml:space="preserve"> See flexibility provided in https://www.whitehouse.gov/wp-content/uploads/2021/03/M_21_20.pdf.</w:t>
      </w:r>
    </w:p>
  </w:footnote>
  <w:footnote w:id="7">
    <w:p w:rsidR="00450A70" w:rsidRPr="002D1FB8" w14:paraId="08EDBE83" w14:textId="4E2542BC">
      <w:pPr>
        <w:pStyle w:val="FootnoteText"/>
        <w:rPr>
          <w:rFonts w:ascii="Arial" w:hAnsi="Arial"/>
        </w:rPr>
      </w:pPr>
      <w:r w:rsidRPr="002D1FB8">
        <w:rPr>
          <w:rStyle w:val="FootnoteReference"/>
          <w:rFonts w:ascii="Arial" w:hAnsi="Arial"/>
        </w:rPr>
        <w:footnoteRef/>
      </w:r>
      <w:r w:rsidRPr="002D1FB8">
        <w:rPr>
          <w:rFonts w:ascii="Arial" w:hAnsi="Arial"/>
        </w:rPr>
        <w:t xml:space="preserve"> For-profit entities that receive SLFRF subawards are not subject to Single Audit requirements. However, they are subject to other audits as deemed necessary by authorized governmental entities, including Treasury and Treasury’s OIG. </w:t>
      </w:r>
    </w:p>
  </w:footnote>
  <w:footnote w:id="8">
    <w:p w:rsidR="00450A70" w:rsidRPr="002D1FB8" w14:paraId="3C47461C" w14:textId="7B5D3C52">
      <w:pPr>
        <w:pStyle w:val="FootnoteText"/>
        <w:rPr>
          <w:rFonts w:ascii="Arial" w:hAnsi="Arial"/>
        </w:rPr>
      </w:pPr>
      <w:r w:rsidRPr="002D1FB8">
        <w:rPr>
          <w:rStyle w:val="FootnoteReference"/>
          <w:rFonts w:ascii="Arial" w:hAnsi="Arial"/>
        </w:rPr>
        <w:footnoteRef/>
      </w:r>
      <w:r w:rsidRPr="002D1FB8">
        <w:rPr>
          <w:rFonts w:ascii="Arial" w:hAnsi="Arial"/>
        </w:rPr>
        <w:t xml:space="preserve"> For purposes of reporting in the SLFRF portal, an expenditure is the amount that has been incurred as a liability of the entity (the service has been rendered or the good has been delivered to the entity).</w:t>
      </w:r>
    </w:p>
  </w:footnote>
  <w:footnote w:id="9">
    <w:p w:rsidR="00450A70" w:rsidRPr="002D1FB8" w14:paraId="70B8EBC5" w14:textId="07524405">
      <w:pPr>
        <w:pStyle w:val="FootnoteText"/>
        <w:rPr>
          <w:rFonts w:ascii="Arial" w:hAnsi="Arial"/>
        </w:rPr>
      </w:pPr>
      <w:r w:rsidRPr="002D1FB8">
        <w:rPr>
          <w:rStyle w:val="FootnoteReference"/>
          <w:rFonts w:ascii="Arial" w:hAnsi="Arial"/>
        </w:rPr>
        <w:footnoteRef/>
      </w:r>
      <w:r w:rsidRPr="002D1FB8">
        <w:rPr>
          <w:rFonts w:ascii="Arial" w:hAnsi="Arial"/>
        </w:rPr>
        <w:t xml:space="preserve"> For purposes of reporting in the SLFRF portal, an obligation is an order placed for property and services, contracts and subawards made, and similar transactions that require payment.</w:t>
      </w:r>
    </w:p>
  </w:footnote>
  <w:footnote w:id="10">
    <w:p w:rsidR="00450A70" w:rsidRPr="002D1FB8" w14:paraId="6DD75C04" w14:textId="0AB43309">
      <w:pPr>
        <w:pStyle w:val="FootnoteText"/>
        <w:rPr>
          <w:rFonts w:ascii="Arial" w:hAnsi="Arial"/>
        </w:rPr>
      </w:pPr>
      <w:r w:rsidRPr="002D1FB8">
        <w:rPr>
          <w:rStyle w:val="FootnoteReference"/>
          <w:rFonts w:ascii="Arial" w:hAnsi="Arial"/>
        </w:rPr>
        <w:footnoteRef/>
      </w:r>
      <w:r w:rsidRPr="002D1FB8">
        <w:rPr>
          <w:rFonts w:ascii="Arial" w:hAnsi="Arial"/>
        </w:rPr>
        <w:t xml:space="preserve"> See Appendix 3 for the full Expenditure Category (EC) list. Please note that Appendix 3 includes the expenditure categories under the interim final rule, applicable to the Interim Report.  </w:t>
      </w:r>
    </w:p>
  </w:footnote>
  <w:footnote w:id="11">
    <w:p w:rsidR="00450A70" w:rsidRPr="002D1FB8" w14:paraId="40E8ABEA" w14:textId="2A1D639A">
      <w:pPr>
        <w:pStyle w:val="FootnoteText"/>
        <w:rPr>
          <w:rFonts w:ascii="Arial" w:hAnsi="Arial"/>
          <w:sz w:val="18"/>
        </w:rPr>
      </w:pPr>
      <w:r w:rsidRPr="002D1FB8">
        <w:rPr>
          <w:rStyle w:val="FootnoteReference"/>
          <w:rFonts w:ascii="Arial" w:hAnsi="Arial"/>
        </w:rPr>
        <w:footnoteRef/>
      </w:r>
      <w:r w:rsidRPr="002D1FB8">
        <w:rPr>
          <w:rFonts w:ascii="Arial" w:hAnsi="Arial"/>
        </w:rPr>
        <w:t xml:space="preserve"> </w:t>
      </w:r>
      <w:r w:rsidRPr="002D1FB8">
        <w:rPr>
          <w:rFonts w:ascii="Arial" w:hAnsi="Arial"/>
          <w:sz w:val="18"/>
        </w:rPr>
        <w:t xml:space="preserve">Low or moderate-income households and communities are those with (i) income at or below 300 percent of the Federal Poverty Guidelines for the size of the household based on the most recently published poverty guidelines by the Department of Health and Human Services (HHS)  or (ii) income at or below 65 percent of the Area Median </w:t>
      </w:r>
      <w:r w:rsidRPr="008B43EF">
        <w:rPr>
          <w:rFonts w:ascii="Arial" w:hAnsi="Arial" w:cs="Arial"/>
          <w:sz w:val="18"/>
          <w:szCs w:val="18"/>
        </w:rPr>
        <w:t>Income</w:t>
      </w:r>
      <w:r w:rsidRPr="002D1FB8">
        <w:rPr>
          <w:rFonts w:ascii="Arial" w:hAnsi="Arial"/>
          <w:sz w:val="18"/>
        </w:rPr>
        <w:t xml:space="preserve"> for the county and size of household based on the most recently published data by the Department of Housing and Urban Development (HUD).</w:t>
      </w:r>
    </w:p>
  </w:footnote>
  <w:footnote w:id="12">
    <w:p w:rsidR="00450A70" w:rsidRPr="002D1FB8" w:rsidP="00487A41" w14:paraId="1FF32B02" w14:textId="2E3CA6B1">
      <w:pPr>
        <w:pStyle w:val="FootnoteText"/>
        <w:rPr>
          <w:rFonts w:ascii="Arial" w:hAnsi="Arial"/>
        </w:rPr>
      </w:pPr>
      <w:r w:rsidRPr="002D1FB8">
        <w:rPr>
          <w:rStyle w:val="FootnoteReference"/>
        </w:rPr>
        <w:footnoteRef/>
      </w:r>
      <w:r w:rsidRPr="002D1FB8">
        <w:rPr>
          <w:rFonts w:ascii="Arial" w:hAnsi="Arial"/>
        </w:rPr>
        <w:t xml:space="preserve"> </w:t>
      </w:r>
      <w:r w:rsidRPr="002D1FB8">
        <w:rPr>
          <w:rFonts w:ascii="Arial" w:hAnsi="Arial"/>
          <w:sz w:val="18"/>
        </w:rPr>
        <w:t>For Impacted households, these programs are Children’s Health Insurance Program (“CHIP”); Childcare Subsidies through the Child Care and Development Fund (“CCDF”) Program; Medicaid; National Housing Trust Fund (“HTF”), for affordable housing programs only; Home Investment Partnerships Program (“HOME”), for affordable housing programs only.</w:t>
      </w:r>
    </w:p>
  </w:footnote>
  <w:footnote w:id="13">
    <w:p w:rsidR="00450A70" w:rsidRPr="002D1FB8" w14:paraId="1E8F645E" w14:textId="1839FDA6">
      <w:pPr>
        <w:pStyle w:val="FootnoteText"/>
        <w:rPr>
          <w:rFonts w:ascii="Arial" w:hAnsi="Arial"/>
        </w:rPr>
      </w:pPr>
      <w:r w:rsidRPr="002D1FB8">
        <w:rPr>
          <w:rStyle w:val="FootnoteReference"/>
          <w:rFonts w:ascii="Arial" w:hAnsi="Arial"/>
        </w:rPr>
        <w:footnoteRef/>
      </w:r>
      <w:r w:rsidRPr="002D1FB8">
        <w:rPr>
          <w:rFonts w:ascii="Arial" w:hAnsi="Arial"/>
        </w:rPr>
        <w:t xml:space="preserve"> </w:t>
      </w:r>
      <w:r w:rsidRPr="002D1FB8">
        <w:rPr>
          <w:rFonts w:ascii="Arial" w:hAnsi="Arial"/>
          <w:sz w:val="18"/>
        </w:rPr>
        <w:t>Low-income households and communities are those with (i) income at or below 185 percent of the Federal Poverty Guidelines for the size of the household based on the most recently published poverty guidelines by HHS or (ii) income at or below 40 percent of Area Median Income for its county and size of household based on the most recently published data by HUD.</w:t>
      </w:r>
    </w:p>
  </w:footnote>
  <w:footnote w:id="14">
    <w:p w:rsidR="00450A70" w:rsidRPr="002D1FB8" w:rsidP="00BE1213" w14:paraId="6013C14B" w14:textId="193423CB">
      <w:pPr>
        <w:pStyle w:val="FootnoteText"/>
        <w:rPr>
          <w:rFonts w:ascii="Arial" w:hAnsi="Arial"/>
        </w:rPr>
      </w:pPr>
      <w:r w:rsidRPr="002D1FB8">
        <w:rPr>
          <w:rStyle w:val="FootnoteReference"/>
          <w:rFonts w:ascii="Arial" w:hAnsi="Arial"/>
        </w:rPr>
        <w:footnoteRef/>
      </w:r>
      <w:r w:rsidRPr="002D1FB8">
        <w:rPr>
          <w:rFonts w:ascii="Arial" w:hAnsi="Arial"/>
        </w:rPr>
        <w:t xml:space="preserve"> </w:t>
      </w:r>
      <w:r w:rsidRPr="002D1FB8">
        <w:rPr>
          <w:rFonts w:ascii="Arial" w:hAnsi="Arial"/>
          <w:sz w:val="18"/>
        </w:rPr>
        <w:t xml:space="preserve">For Disproportionately Impacted households, these programs are Temporary Assistance for Needy Families (“TANF”), Supplemental Nutrition Assistance Program (“SNAP”), Free- and Reduced-Price Lunch (“NSLP”) and/or School Breakfast (“SBP”) programs, Medicare Part D Low-Income Subsidies, Supplemental Security Income (“SSI”), Head Start, Special Supplemental Nutrition Program for Women, Infants, and Children (“WIC”), Section 8 Vouchers, Low-Income Home Energy Assistance Program (“LIHEAP”), and Pell Grants. </w:t>
      </w:r>
    </w:p>
  </w:footnote>
  <w:footnote w:id="15">
    <w:p w:rsidR="00450A70" w:rsidRPr="002D1FB8" w:rsidP="00232BC7" w14:paraId="3202F23A" w14:textId="03C48B3F">
      <w:pPr>
        <w:pStyle w:val="FootnoteText"/>
        <w:rPr>
          <w:rFonts w:ascii="Arial" w:hAnsi="Arial"/>
        </w:rPr>
      </w:pPr>
      <w:r w:rsidRPr="002D1FB8">
        <w:rPr>
          <w:rStyle w:val="FootnoteReference"/>
          <w:rFonts w:ascii="Arial" w:hAnsi="Arial"/>
        </w:rPr>
        <w:footnoteRef/>
      </w:r>
      <w:r w:rsidRPr="002D1FB8">
        <w:rPr>
          <w:rFonts w:ascii="Arial" w:hAnsi="Arial"/>
        </w:rPr>
        <w:t xml:space="preserve"> </w:t>
      </w:r>
      <w:r w:rsidRPr="002D1FB8">
        <w:rPr>
          <w:rFonts w:ascii="Arial" w:hAnsi="Arial"/>
          <w:sz w:val="18"/>
        </w:rPr>
        <w:t>For educational services and other efforts to address educational disparities, Treasury will recognize Title I eligible schools as disproportionately impacted and responsive services that support the school generally or support the whole school service as eligible. “Title I eligible schools” means schools eligible to receive services under section 1113 of Title I, Part A of the Elementary and Secondary Education Act of 1965, as amended (20 U.S.C. 6313), including schools served under section 1113(b)(1)(C) of that Act.</w:t>
      </w:r>
    </w:p>
    <w:p w:rsidR="00450A70" w:rsidRPr="002D1FB8" w14:paraId="0F2717BE" w14:textId="36137C1A">
      <w:pPr>
        <w:pStyle w:val="FootnoteText"/>
        <w:rPr>
          <w:rFonts w:ascii="Arial" w:hAnsi="Arial"/>
        </w:rPr>
      </w:pPr>
    </w:p>
  </w:footnote>
  <w:footnote w:id="16">
    <w:p w:rsidR="00450A70" w:rsidRPr="002D1FB8" w14:paraId="46005203" w14:textId="6FA79E84">
      <w:pPr>
        <w:pStyle w:val="FootnoteText"/>
        <w:rPr>
          <w:rFonts w:ascii="Arial" w:hAnsi="Arial"/>
        </w:rPr>
      </w:pPr>
      <w:r w:rsidRPr="002D1FB8">
        <w:rPr>
          <w:rStyle w:val="FootnoteReference"/>
          <w:rFonts w:ascii="Arial" w:hAnsi="Arial"/>
        </w:rPr>
        <w:footnoteRef/>
      </w:r>
      <w:r w:rsidRPr="002D1FB8">
        <w:rPr>
          <w:rFonts w:ascii="Arial" w:hAnsi="Arial"/>
        </w:rPr>
        <w:t xml:space="preserve"> Please note, as explained in Treasury </w:t>
      </w:r>
      <w:hyperlink r:id="rId1" w:history="1">
        <w:r w:rsidRPr="002D1FB8">
          <w:rPr>
            <w:rStyle w:val="Hyperlink"/>
            <w:rFonts w:ascii="Arial" w:hAnsi="Arial"/>
          </w:rPr>
          <w:t>FAQ 12.1</w:t>
        </w:r>
      </w:hyperlink>
      <w:r w:rsidRPr="002D1FB8">
        <w:rPr>
          <w:rFonts w:ascii="Arial" w:hAnsi="Arial"/>
        </w:rPr>
        <w:t>, that the award terms and conditions for Treasury’s pandemic recovery programs, including the SLFRF, do not impose antidiscrimination requirements on Tribal governments beyond what would otherwise apply under federal law.</w:t>
      </w:r>
    </w:p>
  </w:footnote>
  <w:footnote w:id="17">
    <w:p w:rsidR="00450A70" w:rsidRPr="008B43EF" w:rsidP="00885A0B" w14:paraId="1AC50626"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sidRPr="008B43EF">
        <w:rPr>
          <w:rFonts w:ascii="Arial" w:eastAsia="Times New Roman" w:hAnsi="Arial" w:cs="Arial"/>
        </w:rPr>
        <w:t>Tax revenue for fiscal year ending 2019 is relevant for calculating the recipient’s baseline.</w:t>
      </w:r>
    </w:p>
  </w:footnote>
  <w:footnote w:id="18">
    <w:p w:rsidR="00450A70" w:rsidRPr="008B43EF" w:rsidP="00885A0B" w14:paraId="1389A4D1"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The final rule defines covered change. “Covered change means a change in law, regulation, or administrative interpretation that reduces any tax (by providing for a reduction in a rate, a rebate, a deduction, a credit, or otherwise) or delays the imposition of any tax or tax increase. A change in law includes any final legislative or regulatory action, a new or changed administrative interpretation, and the phase-in or taking effect of any statute or rule if the phase-in or taking effect was not prescribed prior to the start of the covered period.”</w:t>
      </w:r>
    </w:p>
  </w:footnote>
  <w:footnote w:id="19">
    <w:p w:rsidR="00450A70" w:rsidRPr="002D1FB8" w14:paraId="568BB9ED" w14:textId="792BEFCA">
      <w:pPr>
        <w:pStyle w:val="FootnoteText"/>
        <w:rPr>
          <w:rFonts w:ascii="Arial" w:hAnsi="Arial"/>
        </w:rPr>
      </w:pPr>
      <w:r w:rsidRPr="002D1FB8">
        <w:rPr>
          <w:rStyle w:val="FootnoteReference"/>
          <w:rFonts w:ascii="Arial" w:hAnsi="Arial"/>
        </w:rPr>
        <w:footnoteRef/>
      </w:r>
      <w:r w:rsidRPr="002D1FB8">
        <w:rPr>
          <w:rFonts w:ascii="Arial" w:hAnsi="Arial"/>
        </w:rPr>
        <w:t xml:space="preserve"> Please note that capital expenditures are not considered “programs and services” and are not presumed to be reasonably proportional responses to an identified harm except as provided in the final rule. </w:t>
      </w:r>
    </w:p>
  </w:footnote>
  <w:footnote w:id="20">
    <w:p w:rsidR="00450A70" w:rsidRPr="00CC5FF8" w:rsidP="00C83B60" w14:paraId="09105F84" w14:textId="77777777">
      <w:pPr>
        <w:pStyle w:val="FootnoteText"/>
        <w:rPr>
          <w:rFonts w:ascii="Arial" w:hAnsi="Arial"/>
        </w:rPr>
      </w:pPr>
      <w:r w:rsidRPr="00CC5FF8">
        <w:rPr>
          <w:rStyle w:val="FootnoteReference"/>
          <w:rFonts w:ascii="Arial" w:hAnsi="Arial"/>
        </w:rPr>
        <w:footnoteRef/>
      </w:r>
      <w:r w:rsidRPr="00CC5FF8">
        <w:rPr>
          <w:rFonts w:ascii="Arial" w:hAnsi="Arial"/>
        </w:rPr>
        <w:t xml:space="preserve"> For more information on NCES identification numbers see </w:t>
      </w:r>
      <w:hyperlink r:id="rId2" w:history="1">
        <w:r w:rsidRPr="00CC5FF8">
          <w:rPr>
            <w:rStyle w:val="Hyperlink"/>
            <w:rFonts w:ascii="Arial" w:hAnsi="Arial"/>
          </w:rPr>
          <w:t>https://nces.ed.gov/ccd/districtsearch/</w:t>
        </w:r>
      </w:hyperlink>
      <w:r w:rsidRPr="00CC5FF8">
        <w:rPr>
          <w:rFonts w:ascii="Arial" w:hAnsi="Arial"/>
        </w:rPr>
        <w:t xml:space="preserve"> (districts) and </w:t>
      </w:r>
      <w:hyperlink r:id="rId3" w:history="1">
        <w:r w:rsidRPr="00CC5FF8">
          <w:rPr>
            <w:rStyle w:val="Hyperlink"/>
            <w:rFonts w:ascii="Arial" w:hAnsi="Arial"/>
          </w:rPr>
          <w:t>https://nces.ed.gov/ccd/schoolsearch/</w:t>
        </w:r>
      </w:hyperlink>
      <w:r w:rsidRPr="00CC5FF8">
        <w:rPr>
          <w:rFonts w:ascii="Arial" w:hAnsi="Arial"/>
        </w:rPr>
        <w:t xml:space="preserve"> (schools). </w:t>
      </w:r>
    </w:p>
  </w:footnote>
  <w:footnote w:id="21">
    <w:p w:rsidR="00450A70" w:rsidRPr="00CC5FF8" w:rsidP="005056CC" w14:paraId="788B4DAB" w14:textId="77777777">
      <w:pPr>
        <w:pStyle w:val="FootnoteText"/>
        <w:rPr>
          <w:rFonts w:ascii="Arial" w:hAnsi="Arial"/>
        </w:rPr>
      </w:pPr>
      <w:r w:rsidRPr="00CC5FF8">
        <w:rPr>
          <w:rStyle w:val="FootnoteReference"/>
          <w:rFonts w:ascii="Arial" w:hAnsi="Arial"/>
        </w:rPr>
        <w:footnoteRef/>
      </w:r>
      <w:r w:rsidRPr="00CC5FF8">
        <w:rPr>
          <w:rFonts w:ascii="Arial" w:hAnsi="Arial"/>
        </w:rPr>
        <w:t xml:space="preserve">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w:t>
      </w:r>
    </w:p>
  </w:footnote>
  <w:footnote w:id="22">
    <w:p w:rsidR="00450A70" w:rsidRPr="00E95275" w:rsidP="000875AD" w14:paraId="38052F78" w14:textId="77777777">
      <w:pPr>
        <w:pStyle w:val="FootnoteText"/>
        <w:rPr>
          <w:rFonts w:ascii="Arial" w:hAnsi="Arial" w:cs="Arial"/>
        </w:rPr>
      </w:pPr>
      <w:r w:rsidRPr="00BE17B9">
        <w:rPr>
          <w:rStyle w:val="FootnoteReference"/>
          <w:rFonts w:ascii="Arial" w:hAnsi="Arial" w:cs="Arial"/>
        </w:rPr>
        <w:footnoteRef/>
      </w:r>
      <w:r w:rsidRPr="00BE17B9">
        <w:rPr>
          <w:rFonts w:ascii="Arial" w:hAnsi="Arial" w:cs="Arial"/>
        </w:rPr>
        <w:t xml:space="preserve"> For more information on evidence-based tutoring programs, refer to the U.S. Department of Education’s </w:t>
      </w:r>
      <w:hyperlink r:id="rId4" w:history="1">
        <w:r w:rsidRPr="00BE17B9">
          <w:rPr>
            <w:rStyle w:val="Hyperlink"/>
            <w:rFonts w:ascii="Arial" w:hAnsi="Arial" w:cs="Arial"/>
          </w:rPr>
          <w:t>2021 ED COVID-19 Handbook (Volume 2)</w:t>
        </w:r>
      </w:hyperlink>
      <w:r w:rsidRPr="00BE17B9">
        <w:rPr>
          <w:rFonts w:ascii="Arial" w:hAnsi="Arial" w:cs="Arial"/>
        </w:rPr>
        <w:t>, which summarizes research on evidence-based tutoring programs (see the bottom of page 20.</w:t>
      </w:r>
    </w:p>
  </w:footnote>
  <w:footnote w:id="23">
    <w:p w:rsidR="00450A70" w:rsidRPr="008B43EF" w:rsidP="008D152B" w14:paraId="69C88E29"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sidRPr="00BE17B9">
        <w:rPr>
          <w:rFonts w:ascii="Arial" w:hAnsi="Arial" w:cs="Arial"/>
        </w:rPr>
        <w:t xml:space="preserve">See </w:t>
      </w:r>
      <w:hyperlink r:id="rId5" w:history="1">
        <w:r w:rsidRPr="00BE17B9">
          <w:rPr>
            <w:rStyle w:val="Hyperlink"/>
            <w:rFonts w:ascii="Arial" w:hAnsi="Arial" w:cs="Arial"/>
          </w:rPr>
          <w:t>Executive Order 14008</w:t>
        </w:r>
      </w:hyperlink>
      <w:r w:rsidRPr="00BE17B9">
        <w:rPr>
          <w:rFonts w:ascii="Arial" w:hAnsi="Arial" w:cs="Arial"/>
        </w:rPr>
        <w:t xml:space="preserve">, On Tackling the Climate Crisis at Home and Abroad and the Interim Implementation Guidance for the Justice40 Initiative, </w:t>
      </w:r>
      <w:hyperlink r:id="rId6" w:history="1">
        <w:r>
          <w:rPr>
            <w:rStyle w:val="Hyperlink"/>
            <w:rFonts w:ascii="Arial" w:hAnsi="Arial" w:cs="Arial"/>
          </w:rPr>
          <w:t>OMB M-21-28</w:t>
        </w:r>
      </w:hyperlink>
      <w:r w:rsidRPr="00BE17B9">
        <w:rPr>
          <w:rFonts w:ascii="Arial" w:hAnsi="Arial" w:cs="Arial"/>
        </w:rPr>
        <w:t>.</w:t>
      </w:r>
    </w:p>
  </w:footnote>
  <w:footnote w:id="24">
    <w:p w:rsidR="00450A70" w:rsidRPr="008B43EF" w:rsidP="008D152B" w14:paraId="4E02ACEF"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Pr>
          <w:rFonts w:ascii="Arial" w:eastAsia="Arial" w:hAnsi="Arial" w:cs="Arial"/>
        </w:rPr>
        <w:t xml:space="preserve">For more information on learning agendas, please see </w:t>
      </w:r>
      <w:hyperlink r:id="rId7" w:history="1">
        <w:r w:rsidRPr="00440445">
          <w:rPr>
            <w:rStyle w:val="Hyperlink"/>
            <w:rFonts w:ascii="Arial" w:eastAsia="Arial" w:hAnsi="Arial" w:cs="Arial"/>
          </w:rPr>
          <w:t>OMB M-19-23</w:t>
        </w:r>
      </w:hyperlink>
      <w:r>
        <w:rPr>
          <w:rFonts w:ascii="Arial" w:eastAsia="Arial" w:hAnsi="Arial" w:cs="Arial"/>
        </w:rPr>
        <w:t xml:space="preserve"> </w:t>
      </w:r>
    </w:p>
  </w:footnote>
  <w:footnote w:id="25">
    <w:p w:rsidR="00450A70" w:rsidRPr="007A572C" w:rsidP="008D152B" w14:paraId="57B13832" w14:textId="77777777">
      <w:pPr>
        <w:pStyle w:val="FootnoteText"/>
        <w:rPr>
          <w:rFonts w:ascii="Arial" w:hAnsi="Arial"/>
        </w:rPr>
      </w:pPr>
      <w:r w:rsidRPr="007A572C">
        <w:rPr>
          <w:rStyle w:val="FootnoteReference"/>
          <w:rFonts w:ascii="Arial" w:hAnsi="Arial"/>
        </w:rPr>
        <w:footnoteRef/>
      </w:r>
      <w:r>
        <w:rPr>
          <w:rFonts w:ascii="Arial" w:hAnsi="Arial" w:cs="Arial"/>
        </w:rPr>
        <w:t xml:space="preserve"> </w:t>
      </w:r>
      <w:r w:rsidRPr="007A572C">
        <w:rPr>
          <w:rFonts w:ascii="Arial" w:hAnsi="Arial"/>
        </w:rPr>
        <w:t xml:space="preserve">As noted in Appendix 2, evidence-based refers to interventions with strong or moderate levels of evidence.  </w:t>
      </w:r>
    </w:p>
  </w:footnote>
  <w:footnote w:id="26">
    <w:p w:rsidR="00450A70" w:rsidRPr="007A572C" w:rsidP="008D152B" w14:paraId="44C5BB2B" w14:textId="77777777">
      <w:pPr>
        <w:pStyle w:val="FootnoteText"/>
        <w:rPr>
          <w:rFonts w:ascii="Arial" w:hAnsi="Arial"/>
        </w:rPr>
      </w:pPr>
      <w:r w:rsidRPr="007A572C">
        <w:rPr>
          <w:rStyle w:val="FootnoteReference"/>
          <w:rFonts w:ascii="Arial" w:hAnsi="Arial"/>
        </w:rPr>
        <w:footnoteRef/>
      </w:r>
      <w:r w:rsidRPr="007A572C">
        <w:rPr>
          <w:rFonts w:ascii="Arial" w:hAnsi="Arial"/>
        </w:rPr>
        <w:t xml:space="preserve"> </w:t>
      </w:r>
      <w:r w:rsidRPr="00BE17B9">
        <w:rPr>
          <w:rFonts w:ascii="Arial" w:eastAsia="Arial" w:hAnsi="Arial" w:cs="Arial"/>
        </w:rPr>
        <w:t xml:space="preserve">For more information on the required standards for program evaluation, see </w:t>
      </w:r>
      <w:hyperlink r:id="rId8" w:history="1">
        <w:r w:rsidRPr="00BE17B9">
          <w:rPr>
            <w:rStyle w:val="Hyperlink"/>
            <w:rFonts w:ascii="Arial" w:eastAsia="Arial" w:hAnsi="Arial" w:cs="Arial"/>
          </w:rPr>
          <w:t>OMB M-20-12</w:t>
        </w:r>
      </w:hyperlink>
      <w:r w:rsidRPr="00BE17B9">
        <w:rPr>
          <w:rFonts w:ascii="Arial" w:eastAsia="Arial" w:hAnsi="Arial" w:cs="Arial"/>
        </w:rPr>
        <w:t>.</w:t>
      </w:r>
    </w:p>
  </w:footnote>
  <w:footnote w:id="27">
    <w:p w:rsidR="00450A70" w:rsidRPr="007A572C" w:rsidP="008D152B" w14:paraId="70AA34C3" w14:textId="77777777">
      <w:pPr>
        <w:pStyle w:val="FootnoteText"/>
        <w:rPr>
          <w:rFonts w:ascii="Arial" w:hAnsi="Arial"/>
        </w:rPr>
      </w:pPr>
      <w:r w:rsidRPr="007A572C">
        <w:rPr>
          <w:rStyle w:val="FootnoteReference"/>
          <w:rFonts w:ascii="Arial" w:hAnsi="Arial"/>
        </w:rPr>
        <w:footnoteRef/>
      </w:r>
      <w:r w:rsidRPr="007A572C">
        <w:rPr>
          <w:rFonts w:ascii="Arial" w:hAnsi="Arial"/>
        </w:rPr>
        <w:t xml:space="preserve"> </w:t>
      </w:r>
      <w:r w:rsidRPr="00BE17B9">
        <w:rPr>
          <w:rFonts w:ascii="Arial" w:eastAsia="Arial" w:hAnsi="Arial" w:cs="Arial"/>
        </w:rPr>
        <w:t>A logic model is a tool that depicts the intended links between program investments and outcomes, specifically the relationships among the resources, activities, outputs, outcomes, and impact of a program.</w:t>
      </w:r>
    </w:p>
  </w:footnote>
  <w:footnote w:id="28">
    <w:p w:rsidR="00450A70" w:rsidRPr="0097189B" w:rsidP="008D152B" w14:paraId="4CB71C5E" w14:textId="3B9E586C">
      <w:pPr>
        <w:pStyle w:val="FootnoteText"/>
        <w:rPr>
          <w:rFonts w:ascii="Arial" w:hAnsi="Arial"/>
        </w:rPr>
      </w:pPr>
      <w:r w:rsidRPr="0097189B">
        <w:rPr>
          <w:rStyle w:val="FootnoteReference"/>
          <w:rFonts w:ascii="Arial" w:hAnsi="Arial"/>
        </w:rPr>
        <w:footnoteRef/>
      </w:r>
      <w:r w:rsidRPr="0097189B">
        <w:rPr>
          <w:rFonts w:ascii="Arial" w:hAnsi="Arial"/>
        </w:rPr>
        <w:t xml:space="preserve"> </w:t>
      </w:r>
      <w:bookmarkStart w:id="22" w:name="_Hlk102469734"/>
      <w:r w:rsidRPr="0097189B">
        <w:rPr>
          <w:rFonts w:ascii="Arial" w:hAnsi="Arial"/>
        </w:rPr>
        <w:t xml:space="preserve">For more information on evidence-based tutoring programs, refer to the U.S. Department of Education’s </w:t>
      </w:r>
      <w:hyperlink r:id="rId4" w:history="1">
        <w:r w:rsidRPr="0097189B">
          <w:rPr>
            <w:rStyle w:val="Hyperlink"/>
            <w:rFonts w:ascii="Arial" w:hAnsi="Arial"/>
          </w:rPr>
          <w:t>2021 ED COVID-19 Handbook (Volume 2)</w:t>
        </w:r>
      </w:hyperlink>
      <w:r w:rsidRPr="0097189B">
        <w:rPr>
          <w:rFonts w:ascii="Arial" w:hAnsi="Arial"/>
        </w:rPr>
        <w:t>, which summarizes research on evidence-based tutoring programs (see the bottom of page 20</w:t>
      </w:r>
      <w:r>
        <w:t>.</w:t>
      </w:r>
      <w:r>
        <w:rPr>
          <w:rFonts w:ascii="Arial" w:hAnsi="Arial" w:cs="Arial"/>
        </w:rPr>
        <w:t>)</w:t>
      </w:r>
      <w:r w:rsidRPr="00BE17B9">
        <w:rPr>
          <w:rFonts w:ascii="Arial" w:hAnsi="Arial" w:cs="Arial"/>
        </w:rPr>
        <w:t>.</w:t>
      </w:r>
      <w:bookmarkEnd w:id="22"/>
    </w:p>
  </w:footnote>
  <w:footnote w:id="29">
    <w:p w:rsidR="00450A70" w:rsidRPr="00CA72E5" w:rsidP="008D152B" w14:paraId="27C821FC" w14:textId="77777777">
      <w:pPr>
        <w:pStyle w:val="FootnoteText"/>
        <w:rPr>
          <w:rFonts w:ascii="Arial" w:hAnsi="Arial" w:cs="Arial"/>
        </w:rPr>
      </w:pPr>
      <w:r w:rsidRPr="008B43EF">
        <w:rPr>
          <w:rStyle w:val="FootnoteReference"/>
          <w:rFonts w:ascii="Arial" w:hAnsi="Arial" w:cs="Arial"/>
        </w:rPr>
        <w:footnoteRef/>
      </w:r>
      <w:r w:rsidRPr="008B43EF">
        <w:rPr>
          <w:rFonts w:ascii="Arial" w:hAnsi="Arial" w:cs="Arial"/>
        </w:rPr>
        <w:t xml:space="preserve"> </w:t>
      </w:r>
      <w:r w:rsidRPr="00BE17B9">
        <w:rPr>
          <w:rFonts w:ascii="Arial" w:hAnsi="Arial" w:cs="Arial"/>
        </w:rPr>
        <w:t xml:space="preserve">See </w:t>
      </w:r>
      <w:hyperlink r:id="rId5" w:history="1">
        <w:r w:rsidRPr="00BE17B9">
          <w:rPr>
            <w:rStyle w:val="Hyperlink"/>
            <w:rFonts w:ascii="Arial" w:hAnsi="Arial" w:cs="Arial"/>
          </w:rPr>
          <w:t>Executive Order 14008</w:t>
        </w:r>
      </w:hyperlink>
      <w:r w:rsidRPr="00BE17B9">
        <w:rPr>
          <w:rFonts w:ascii="Arial" w:hAnsi="Arial" w:cs="Arial"/>
        </w:rPr>
        <w:t xml:space="preserve">, On Tackling the Climate Crisis at Home and Abroad and the Interim Implementation Guidance for the Justice40 Initiative, </w:t>
      </w:r>
      <w:hyperlink r:id="rId6" w:history="1">
        <w:r>
          <w:rPr>
            <w:rStyle w:val="Hyperlink"/>
            <w:rFonts w:ascii="Arial" w:hAnsi="Arial" w:cs="Arial"/>
          </w:rPr>
          <w:t>OMB M-21-28</w:t>
        </w:r>
      </w:hyperlink>
      <w:r w:rsidRPr="00BE17B9">
        <w:rPr>
          <w:rFonts w:ascii="Arial" w:hAnsi="Arial" w:cs="Arial"/>
        </w:rPr>
        <w:t>.</w:t>
      </w:r>
    </w:p>
  </w:footnote>
  <w:footnote w:id="30">
    <w:p w:rsidR="00450A70" w:rsidRPr="00C847AC" w14:paraId="064C0EE1" w14:textId="7B75A65B">
      <w:pPr>
        <w:pStyle w:val="FootnoteText"/>
        <w:rPr>
          <w:rFonts w:ascii="Arial" w:hAnsi="Arial"/>
        </w:rPr>
      </w:pPr>
      <w:r w:rsidRPr="00C847AC">
        <w:rPr>
          <w:rStyle w:val="FootnoteReference"/>
          <w:rFonts w:ascii="Arial" w:hAnsi="Arial"/>
        </w:rPr>
        <w:footnoteRef/>
      </w:r>
      <w:r w:rsidRPr="00C847AC">
        <w:rPr>
          <w:rFonts w:ascii="Arial" w:hAnsi="Arial"/>
        </w:rPr>
        <w:t xml:space="preserve"> </w:t>
      </w:r>
      <w:r w:rsidRPr="00C847AC">
        <w:rPr>
          <w:rFonts w:ascii="Arial" w:hAnsi="Arial"/>
          <w:sz w:val="18"/>
        </w:rPr>
        <w:t>Under the final rule to be used starting with April 2022 reports</w:t>
      </w:r>
    </w:p>
  </w:footnote>
  <w:footnote w:id="31">
    <w:p w:rsidR="00450A70" w:rsidRPr="00C847AC" w14:paraId="5CC27504" w14:textId="1AA45722">
      <w:pPr>
        <w:pStyle w:val="FootnoteText"/>
        <w:rPr>
          <w:rFonts w:ascii="Arial" w:hAnsi="Arial"/>
        </w:rPr>
      </w:pPr>
      <w:r w:rsidRPr="00C847AC">
        <w:rPr>
          <w:rStyle w:val="FootnoteReference"/>
          <w:rFonts w:ascii="Arial" w:hAnsi="Arial"/>
        </w:rPr>
        <w:footnoteRef/>
      </w:r>
      <w:r w:rsidRPr="00C847AC">
        <w:rPr>
          <w:rFonts w:ascii="Arial" w:hAnsi="Arial"/>
        </w:rPr>
        <w:t xml:space="preserve"> </w:t>
      </w:r>
      <w:r w:rsidRPr="00C847AC">
        <w:rPr>
          <w:rFonts w:ascii="Arial" w:hAnsi="Arial"/>
          <w:sz w:val="18"/>
        </w:rPr>
        <w:t>Under the interim final rule to be used in Interim Report and January 2022 Project and Expenditure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50A70" w14:paraId="24A087EC" w14:textId="5D89EAE7">
    <w:pPr>
      <w:pStyle w:val="Header"/>
    </w:pPr>
    <w:r>
      <w:rPr>
        <w:noProof/>
      </w:rPr>
      <w:drawing>
        <wp:inline distT="0" distB="0" distL="0" distR="0">
          <wp:extent cx="2554283" cy="317133"/>
          <wp:effectExtent l="0" t="0" r="0" b="6985"/>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554283" cy="31713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4412FD"/>
    <w:multiLevelType w:val="hybridMultilevel"/>
    <w:tmpl w:val="56C4360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
    <w:nsid w:val="03157493"/>
    <w:multiLevelType w:val="hybridMultilevel"/>
    <w:tmpl w:val="295C0A1A"/>
    <w:lvl w:ilvl="0">
      <w:start w:val="1"/>
      <w:numFmt w:val="decimal"/>
      <w:lvlText w:val="%1."/>
      <w:lvlJc w:val="left"/>
      <w:pPr>
        <w:ind w:left="900" w:hanging="360"/>
      </w:pPr>
      <w:rPr>
        <w:rFonts w:hint="default"/>
        <w:b w:val="0"/>
        <w:bCs/>
        <w:i w:val="0"/>
      </w:rPr>
    </w:lvl>
    <w:lvl w:ilvl="1">
      <w:start w:val="1"/>
      <w:numFmt w:val="decimal"/>
      <w:lvlText w:val="%2)"/>
      <w:lvlJc w:val="left"/>
      <w:pPr>
        <w:ind w:left="1620" w:hanging="360"/>
      </w:pPr>
      <w:rPr>
        <w:rFonts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2">
    <w:nsid w:val="035628D7"/>
    <w:multiLevelType w:val="hybridMultilevel"/>
    <w:tmpl w:val="E990C23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
    <w:nsid w:val="049C7178"/>
    <w:multiLevelType w:val="hybridMultilevel"/>
    <w:tmpl w:val="D34218BA"/>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4">
    <w:nsid w:val="05506C86"/>
    <w:multiLevelType w:val="hybridMultilevel"/>
    <w:tmpl w:val="B7A6E6D0"/>
    <w:lvl w:ilvl="0">
      <w:start w:val="1"/>
      <w:numFmt w:val="decimal"/>
      <w:lvlText w:val="%1."/>
      <w:lvlJc w:val="left"/>
      <w:pPr>
        <w:ind w:left="360" w:hanging="360"/>
      </w:pPr>
      <w:rPr>
        <w:rFonts w:hint="default"/>
        <w:b/>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05DE4C8C"/>
    <w:multiLevelType w:val="hybridMultilevel"/>
    <w:tmpl w:val="294EF0AE"/>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0"/>
      <w:numFmt w:val="bullet"/>
      <w:lvlText w:val="•"/>
      <w:lvlJc w:val="left"/>
      <w:pPr>
        <w:ind w:left="2790" w:hanging="360"/>
      </w:pPr>
      <w:rPr>
        <w:rFonts w:ascii="SymbolMT" w:hAnsi="SymbolMT" w:eastAsiaTheme="minorHAnsi" w:cs="SymbolMT" w:hint="default"/>
        <w:sz w:val="20"/>
        <w:u w:val="none"/>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6">
    <w:nsid w:val="06867A2C"/>
    <w:multiLevelType w:val="hybridMultilevel"/>
    <w:tmpl w:val="8B34C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A0501A6"/>
    <w:multiLevelType w:val="hybridMultilevel"/>
    <w:tmpl w:val="BDEED582"/>
    <w:lvl w:ilvl="0">
      <w:start w:val="1"/>
      <w:numFmt w:val="lowerLetter"/>
      <w:lvlText w:val="%1."/>
      <w:lvlJc w:val="left"/>
      <w:pPr>
        <w:ind w:left="360" w:hanging="360"/>
      </w:pPr>
      <w:rPr>
        <w:rFonts w:hint="default"/>
        <w:b w:val="0"/>
        <w:bCs/>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0CCF11B9"/>
    <w:multiLevelType w:val="hybridMultilevel"/>
    <w:tmpl w:val="9FA4F8F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F492550"/>
    <w:multiLevelType w:val="hybridMultilevel"/>
    <w:tmpl w:val="5D5E753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12FC1016"/>
    <w:multiLevelType w:val="hybridMultilevel"/>
    <w:tmpl w:val="C310B07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144002BA"/>
    <w:multiLevelType w:val="hybridMultilevel"/>
    <w:tmpl w:val="9E6E8D10"/>
    <w:lvl w:ilvl="0">
      <w:start w:val="1"/>
      <w:numFmt w:val="bullet"/>
      <w:lvlText w:val=""/>
      <w:lvlJc w:val="left"/>
      <w:pPr>
        <w:ind w:left="270" w:hanging="360"/>
      </w:pPr>
      <w:rPr>
        <w:rFonts w:ascii="Symbol" w:hAnsi="Symbol" w:hint="default"/>
      </w:rPr>
    </w:lvl>
    <w:lvl w:ilvl="1">
      <w:start w:val="1"/>
      <w:numFmt w:val="bullet"/>
      <w:lvlText w:val=""/>
      <w:lvlJc w:val="left"/>
      <w:pPr>
        <w:ind w:left="990" w:hanging="360"/>
      </w:pPr>
      <w:rPr>
        <w:rFonts w:ascii="Symbol" w:hAnsi="Symbol"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12">
    <w:nsid w:val="1E3A5BA5"/>
    <w:multiLevelType w:val="hybridMultilevel"/>
    <w:tmpl w:val="725006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E530BCC"/>
    <w:multiLevelType w:val="hybridMultilevel"/>
    <w:tmpl w:val="409C158C"/>
    <w:lvl w:ilvl="0">
      <w:start w:val="1"/>
      <w:numFmt w:val="lowerLetter"/>
      <w:lvlText w:val="%1."/>
      <w:lvlJc w:val="left"/>
      <w:pPr>
        <w:ind w:left="360" w:hanging="360"/>
      </w:pPr>
      <w:rPr>
        <w:rFonts w:hint="default"/>
        <w:b w:val="0"/>
        <w:bCs/>
        <w:i w:val="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1E7F17D9"/>
    <w:multiLevelType w:val="hybridMultilevel"/>
    <w:tmpl w:val="80EC3FE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1FBE6CCA"/>
    <w:multiLevelType w:val="hybridMultilevel"/>
    <w:tmpl w:val="7122BC2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6">
    <w:nsid w:val="22BC3374"/>
    <w:multiLevelType w:val="hybridMultilevel"/>
    <w:tmpl w:val="D3969D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4B14DD3"/>
    <w:multiLevelType w:val="hybridMultilevel"/>
    <w:tmpl w:val="D3AAE1B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27BB5ADA"/>
    <w:multiLevelType w:val="hybridMultilevel"/>
    <w:tmpl w:val="4FD27F54"/>
    <w:lvl w:ilvl="0">
      <w:start w:val="1"/>
      <w:numFmt w:val="lowerLetter"/>
      <w:lvlText w:val="%1."/>
      <w:lvlJc w:val="left"/>
      <w:pPr>
        <w:ind w:left="360" w:hanging="360"/>
      </w:pPr>
      <w:rPr>
        <w:rFonts w:hint="default"/>
        <w:b w:val="0"/>
        <w:bCs/>
        <w:i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282A1D7D"/>
    <w:multiLevelType w:val="hybridMultilevel"/>
    <w:tmpl w:val="041AAB2C"/>
    <w:lvl w:ilvl="0">
      <w:start w:val="1"/>
      <w:numFmt w:val="upperLetter"/>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nsid w:val="28B74199"/>
    <w:multiLevelType w:val="hybridMultilevel"/>
    <w:tmpl w:val="6F9AC1B2"/>
    <w:lvl w:ilvl="0">
      <w:start w:val="1"/>
      <w:numFmt w:val="lowerLetter"/>
      <w:lvlText w:val="%1."/>
      <w:lvlJc w:val="left"/>
      <w:pPr>
        <w:ind w:left="360" w:hanging="360"/>
      </w:pPr>
      <w:rPr>
        <w:rFonts w:hint="default"/>
        <w:b w:val="0"/>
        <w:bCs/>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2A6060F7"/>
    <w:multiLevelType w:val="hybridMultilevel"/>
    <w:tmpl w:val="FA1465A0"/>
    <w:lvl w:ilvl="0">
      <w:start w:val="1"/>
      <w:numFmt w:val="lowerLetter"/>
      <w:lvlText w:val="%1."/>
      <w:lvlJc w:val="left"/>
      <w:pPr>
        <w:ind w:left="270" w:hanging="360"/>
      </w:pPr>
      <w:rPr>
        <w:b w:val="0"/>
        <w:bCs/>
        <w:i w:val="0"/>
      </w:rPr>
    </w:lvl>
    <w:lvl w:ilvl="1">
      <w:start w:val="1"/>
      <w:numFmt w:val="lowerLetter"/>
      <w:lvlText w:val="%2."/>
      <w:lvlJc w:val="left"/>
      <w:pPr>
        <w:ind w:left="990" w:hanging="360"/>
      </w:pPr>
    </w:lvl>
    <w:lvl w:ilvl="2">
      <w:start w:val="1"/>
      <w:numFmt w:val="lowerRoman"/>
      <w:lvlText w:val="%3."/>
      <w:lvlJc w:val="right"/>
      <w:pPr>
        <w:ind w:left="1710" w:hanging="180"/>
      </w:pPr>
    </w:lvl>
    <w:lvl w:ilvl="3" w:tentative="1">
      <w:start w:val="1"/>
      <w:numFmt w:val="decimal"/>
      <w:lvlText w:val="%4."/>
      <w:lvlJc w:val="left"/>
      <w:pPr>
        <w:ind w:left="2430" w:hanging="360"/>
      </w:pPr>
    </w:lvl>
    <w:lvl w:ilvl="4" w:tentative="1">
      <w:start w:val="1"/>
      <w:numFmt w:val="lowerLetter"/>
      <w:lvlText w:val="%5."/>
      <w:lvlJc w:val="left"/>
      <w:pPr>
        <w:ind w:left="3150" w:hanging="360"/>
      </w:pPr>
    </w:lvl>
    <w:lvl w:ilvl="5" w:tentative="1">
      <w:start w:val="1"/>
      <w:numFmt w:val="lowerRoman"/>
      <w:lvlText w:val="%6."/>
      <w:lvlJc w:val="right"/>
      <w:pPr>
        <w:ind w:left="3870" w:hanging="180"/>
      </w:pPr>
    </w:lvl>
    <w:lvl w:ilvl="6" w:tentative="1">
      <w:start w:val="1"/>
      <w:numFmt w:val="decimal"/>
      <w:lvlText w:val="%7."/>
      <w:lvlJc w:val="left"/>
      <w:pPr>
        <w:ind w:left="4590" w:hanging="360"/>
      </w:pPr>
    </w:lvl>
    <w:lvl w:ilvl="7" w:tentative="1">
      <w:start w:val="1"/>
      <w:numFmt w:val="lowerLetter"/>
      <w:lvlText w:val="%8."/>
      <w:lvlJc w:val="left"/>
      <w:pPr>
        <w:ind w:left="5310" w:hanging="360"/>
      </w:pPr>
    </w:lvl>
    <w:lvl w:ilvl="8" w:tentative="1">
      <w:start w:val="1"/>
      <w:numFmt w:val="lowerRoman"/>
      <w:lvlText w:val="%9."/>
      <w:lvlJc w:val="right"/>
      <w:pPr>
        <w:ind w:left="6030" w:hanging="180"/>
      </w:pPr>
    </w:lvl>
  </w:abstractNum>
  <w:abstractNum w:abstractNumId="22">
    <w:nsid w:val="2B9C3D5D"/>
    <w:multiLevelType w:val="hybridMultilevel"/>
    <w:tmpl w:val="FA682B5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nsid w:val="2BFB085E"/>
    <w:multiLevelType w:val="hybridMultilevel"/>
    <w:tmpl w:val="5A7005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E510411"/>
    <w:multiLevelType w:val="hybridMultilevel"/>
    <w:tmpl w:val="4D7AD90A"/>
    <w:lvl w:ilvl="0">
      <w:start w:val="1"/>
      <w:numFmt w:val="bullet"/>
      <w:lvlText w:val=""/>
      <w:lvlJc w:val="left"/>
      <w:pPr>
        <w:ind w:left="720" w:hanging="360"/>
      </w:pPr>
      <w:rPr>
        <w:rFonts w:ascii="Symbol" w:hAnsi="Symbol" w:hint="default"/>
        <w:b/>
        <w:i w:val="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ED54EBC"/>
    <w:multiLevelType w:val="hybridMultilevel"/>
    <w:tmpl w:val="041AAB2C"/>
    <w:lvl w:ilvl="0">
      <w:start w:val="1"/>
      <w:numFmt w:val="upperLetter"/>
      <w:lvlText w:val="%1."/>
      <w:lvlJc w:val="left"/>
      <w:pPr>
        <w:ind w:left="360" w:hanging="360"/>
      </w:pPr>
      <w:rPr>
        <w:rFont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31E427B0"/>
    <w:multiLevelType w:val="hybridMultilevel"/>
    <w:tmpl w:val="982E97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35BE6FB7"/>
    <w:multiLevelType w:val="hybridMultilevel"/>
    <w:tmpl w:val="A942E848"/>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36CF5C00"/>
    <w:multiLevelType w:val="hybridMultilevel"/>
    <w:tmpl w:val="66A68954"/>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29">
    <w:nsid w:val="3760100B"/>
    <w:multiLevelType w:val="hybridMultilevel"/>
    <w:tmpl w:val="32E26800"/>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tentative="1">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30">
    <w:nsid w:val="380B37A1"/>
    <w:multiLevelType w:val="hybridMultilevel"/>
    <w:tmpl w:val="4E1E2708"/>
    <w:lvl w:ilvl="0">
      <w:start w:val="1"/>
      <w:numFmt w:val="decimal"/>
      <w:lvlText w:val="%1."/>
      <w:lvlJc w:val="left"/>
      <w:pPr>
        <w:ind w:left="630" w:hanging="360"/>
      </w:pPr>
      <w:rPr>
        <w:rFonts w:hint="default"/>
        <w:b w:val="0"/>
        <w:bCs/>
        <w:i w:val="0"/>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31">
    <w:nsid w:val="397D4138"/>
    <w:multiLevelType w:val="hybridMultilevel"/>
    <w:tmpl w:val="9648F056"/>
    <w:lvl w:ilvl="0">
      <w:start w:val="1"/>
      <w:numFmt w:val="bullet"/>
      <w:lvlText w:val=""/>
      <w:lvlJc w:val="left"/>
      <w:pPr>
        <w:ind w:left="787" w:hanging="360"/>
      </w:pPr>
      <w:rPr>
        <w:rFonts w:ascii="Symbol" w:hAnsi="Symbol" w:hint="default"/>
      </w:rPr>
    </w:lvl>
    <w:lvl w:ilvl="1" w:tentative="1">
      <w:start w:val="1"/>
      <w:numFmt w:val="bullet"/>
      <w:lvlText w:val="o"/>
      <w:lvlJc w:val="left"/>
      <w:pPr>
        <w:ind w:left="1507" w:hanging="360"/>
      </w:pPr>
      <w:rPr>
        <w:rFonts w:ascii="Courier New" w:hAnsi="Courier New" w:cs="Courier New" w:hint="default"/>
      </w:rPr>
    </w:lvl>
    <w:lvl w:ilvl="2" w:tentative="1">
      <w:start w:val="1"/>
      <w:numFmt w:val="bullet"/>
      <w:lvlText w:val=""/>
      <w:lvlJc w:val="left"/>
      <w:pPr>
        <w:ind w:left="2227" w:hanging="360"/>
      </w:pPr>
      <w:rPr>
        <w:rFonts w:ascii="Wingdings" w:hAnsi="Wingdings" w:hint="default"/>
      </w:rPr>
    </w:lvl>
    <w:lvl w:ilvl="3" w:tentative="1">
      <w:start w:val="1"/>
      <w:numFmt w:val="bullet"/>
      <w:lvlText w:val=""/>
      <w:lvlJc w:val="left"/>
      <w:pPr>
        <w:ind w:left="2947" w:hanging="360"/>
      </w:pPr>
      <w:rPr>
        <w:rFonts w:ascii="Symbol" w:hAnsi="Symbol" w:hint="default"/>
      </w:rPr>
    </w:lvl>
    <w:lvl w:ilvl="4" w:tentative="1">
      <w:start w:val="1"/>
      <w:numFmt w:val="bullet"/>
      <w:lvlText w:val="o"/>
      <w:lvlJc w:val="left"/>
      <w:pPr>
        <w:ind w:left="3667" w:hanging="360"/>
      </w:pPr>
      <w:rPr>
        <w:rFonts w:ascii="Courier New" w:hAnsi="Courier New" w:cs="Courier New" w:hint="default"/>
      </w:rPr>
    </w:lvl>
    <w:lvl w:ilvl="5" w:tentative="1">
      <w:start w:val="1"/>
      <w:numFmt w:val="bullet"/>
      <w:lvlText w:val=""/>
      <w:lvlJc w:val="left"/>
      <w:pPr>
        <w:ind w:left="4387" w:hanging="360"/>
      </w:pPr>
      <w:rPr>
        <w:rFonts w:ascii="Wingdings" w:hAnsi="Wingdings" w:hint="default"/>
      </w:rPr>
    </w:lvl>
    <w:lvl w:ilvl="6" w:tentative="1">
      <w:start w:val="1"/>
      <w:numFmt w:val="bullet"/>
      <w:lvlText w:val=""/>
      <w:lvlJc w:val="left"/>
      <w:pPr>
        <w:ind w:left="5107" w:hanging="360"/>
      </w:pPr>
      <w:rPr>
        <w:rFonts w:ascii="Symbol" w:hAnsi="Symbol" w:hint="default"/>
      </w:rPr>
    </w:lvl>
    <w:lvl w:ilvl="7" w:tentative="1">
      <w:start w:val="1"/>
      <w:numFmt w:val="bullet"/>
      <w:lvlText w:val="o"/>
      <w:lvlJc w:val="left"/>
      <w:pPr>
        <w:ind w:left="5827" w:hanging="360"/>
      </w:pPr>
      <w:rPr>
        <w:rFonts w:ascii="Courier New" w:hAnsi="Courier New" w:cs="Courier New" w:hint="default"/>
      </w:rPr>
    </w:lvl>
    <w:lvl w:ilvl="8" w:tentative="1">
      <w:start w:val="1"/>
      <w:numFmt w:val="bullet"/>
      <w:lvlText w:val=""/>
      <w:lvlJc w:val="left"/>
      <w:pPr>
        <w:ind w:left="6547" w:hanging="360"/>
      </w:pPr>
      <w:rPr>
        <w:rFonts w:ascii="Wingdings" w:hAnsi="Wingdings" w:hint="default"/>
      </w:rPr>
    </w:lvl>
  </w:abstractNum>
  <w:abstractNum w:abstractNumId="32">
    <w:nsid w:val="3D8C60C5"/>
    <w:multiLevelType w:val="hybridMultilevel"/>
    <w:tmpl w:val="FC529E2E"/>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nsid w:val="40734AA4"/>
    <w:multiLevelType w:val="hybridMultilevel"/>
    <w:tmpl w:val="8FDEA906"/>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tentative="1">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34">
    <w:nsid w:val="4527253C"/>
    <w:multiLevelType w:val="hybridMultilevel"/>
    <w:tmpl w:val="4E5C89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455938A5"/>
    <w:multiLevelType w:val="hybridMultilevel"/>
    <w:tmpl w:val="F4723A4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nsid w:val="455B66CE"/>
    <w:multiLevelType w:val="hybridMultilevel"/>
    <w:tmpl w:val="5158EFD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7">
    <w:nsid w:val="45726E75"/>
    <w:multiLevelType w:val="hybridMultilevel"/>
    <w:tmpl w:val="B1B0397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8">
    <w:nsid w:val="467B2D65"/>
    <w:multiLevelType w:val="hybridMultilevel"/>
    <w:tmpl w:val="F06611B2"/>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start w:val="1"/>
      <w:numFmt w:val="bullet"/>
      <w:lvlText w:val="o"/>
      <w:lvlJc w:val="left"/>
      <w:pPr>
        <w:ind w:left="3150" w:hanging="360"/>
      </w:pPr>
      <w:rPr>
        <w:rFonts w:ascii="Courier New" w:hAnsi="Courier New" w:cs="Courier New" w:hint="default"/>
      </w:rPr>
    </w:lvl>
    <w:lvl w:ilvl="5">
      <w:start w:val="1"/>
      <w:numFmt w:val="bullet"/>
      <w:lvlText w:val=""/>
      <w:lvlJc w:val="left"/>
      <w:pPr>
        <w:ind w:left="3870" w:hanging="360"/>
      </w:pPr>
      <w:rPr>
        <w:rFonts w:ascii="Wingdings" w:hAnsi="Wingdings" w:hint="default"/>
      </w:rPr>
    </w:lvl>
    <w:lvl w:ilvl="6">
      <w:start w:val="1"/>
      <w:numFmt w:val="bullet"/>
      <w:lvlText w:val=""/>
      <w:lvlJc w:val="left"/>
      <w:pPr>
        <w:ind w:left="4590" w:hanging="360"/>
      </w:pPr>
      <w:rPr>
        <w:rFonts w:ascii="Symbol" w:hAnsi="Symbol" w:hint="default"/>
      </w:rPr>
    </w:lvl>
    <w:lvl w:ilvl="7">
      <w:start w:val="1"/>
      <w:numFmt w:val="bullet"/>
      <w:lvlText w:val="o"/>
      <w:lvlJc w:val="left"/>
      <w:pPr>
        <w:ind w:left="5310" w:hanging="360"/>
      </w:pPr>
      <w:rPr>
        <w:rFonts w:ascii="Courier New" w:hAnsi="Courier New" w:cs="Courier New" w:hint="default"/>
      </w:rPr>
    </w:lvl>
    <w:lvl w:ilvl="8">
      <w:start w:val="1"/>
      <w:numFmt w:val="bullet"/>
      <w:lvlText w:val=""/>
      <w:lvlJc w:val="left"/>
      <w:pPr>
        <w:ind w:left="6030" w:hanging="360"/>
      </w:pPr>
      <w:rPr>
        <w:rFonts w:ascii="Wingdings" w:hAnsi="Wingdings" w:hint="default"/>
      </w:rPr>
    </w:lvl>
  </w:abstractNum>
  <w:abstractNum w:abstractNumId="39">
    <w:nsid w:val="4D562258"/>
    <w:multiLevelType w:val="hybridMultilevel"/>
    <w:tmpl w:val="9DEA9B54"/>
    <w:lvl w:ilvl="0">
      <w:start w:val="1"/>
      <w:numFmt w:val="bullet"/>
      <w:lvlText w:val=""/>
      <w:lvlJc w:val="left"/>
      <w:pPr>
        <w:ind w:left="270" w:hanging="360"/>
      </w:pPr>
      <w:rPr>
        <w:rFonts w:ascii="Symbol" w:hAnsi="Symbol" w:hint="default"/>
      </w:rPr>
    </w:lvl>
    <w:lvl w:ilvl="1">
      <w:start w:val="1"/>
      <w:numFmt w:val="bullet"/>
      <w:lvlText w:val="o"/>
      <w:lvlJc w:val="left"/>
      <w:pPr>
        <w:ind w:left="990" w:hanging="360"/>
      </w:pPr>
      <w:rPr>
        <w:rFonts w:ascii="Courier New" w:hAnsi="Courier New" w:cs="Courier New"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tentative="1">
      <w:start w:val="1"/>
      <w:numFmt w:val="bullet"/>
      <w:lvlText w:val="o"/>
      <w:lvlJc w:val="left"/>
      <w:pPr>
        <w:ind w:left="3150" w:hanging="360"/>
      </w:pPr>
      <w:rPr>
        <w:rFonts w:ascii="Courier New" w:hAnsi="Courier New" w:cs="Courier New" w:hint="default"/>
      </w:rPr>
    </w:lvl>
    <w:lvl w:ilvl="5" w:tentative="1">
      <w:start w:val="1"/>
      <w:numFmt w:val="bullet"/>
      <w:lvlText w:val=""/>
      <w:lvlJc w:val="left"/>
      <w:pPr>
        <w:ind w:left="3870" w:hanging="360"/>
      </w:pPr>
      <w:rPr>
        <w:rFonts w:ascii="Wingdings" w:hAnsi="Wingdings" w:hint="default"/>
      </w:rPr>
    </w:lvl>
    <w:lvl w:ilvl="6" w:tentative="1">
      <w:start w:val="1"/>
      <w:numFmt w:val="bullet"/>
      <w:lvlText w:val=""/>
      <w:lvlJc w:val="left"/>
      <w:pPr>
        <w:ind w:left="4590" w:hanging="360"/>
      </w:pPr>
      <w:rPr>
        <w:rFonts w:ascii="Symbol" w:hAnsi="Symbol" w:hint="default"/>
      </w:rPr>
    </w:lvl>
    <w:lvl w:ilvl="7" w:tentative="1">
      <w:start w:val="1"/>
      <w:numFmt w:val="bullet"/>
      <w:lvlText w:val="o"/>
      <w:lvlJc w:val="left"/>
      <w:pPr>
        <w:ind w:left="5310" w:hanging="360"/>
      </w:pPr>
      <w:rPr>
        <w:rFonts w:ascii="Courier New" w:hAnsi="Courier New" w:cs="Courier New" w:hint="default"/>
      </w:rPr>
    </w:lvl>
    <w:lvl w:ilvl="8" w:tentative="1">
      <w:start w:val="1"/>
      <w:numFmt w:val="bullet"/>
      <w:lvlText w:val=""/>
      <w:lvlJc w:val="left"/>
      <w:pPr>
        <w:ind w:left="6030" w:hanging="360"/>
      </w:pPr>
      <w:rPr>
        <w:rFonts w:ascii="Wingdings" w:hAnsi="Wingdings" w:hint="default"/>
      </w:rPr>
    </w:lvl>
  </w:abstractNum>
  <w:abstractNum w:abstractNumId="40">
    <w:nsid w:val="4DE17B49"/>
    <w:multiLevelType w:val="hybridMultilevel"/>
    <w:tmpl w:val="FB569C1C"/>
    <w:lvl w:ilvl="0">
      <w:start w:val="1"/>
      <w:numFmt w:val="bullet"/>
      <w:lvlText w:val=""/>
      <w:lvlJc w:val="left"/>
      <w:pPr>
        <w:ind w:left="360" w:hanging="360"/>
      </w:pPr>
      <w:rPr>
        <w:rFonts w:ascii="Symbol" w:hAnsi="Symbol" w:hint="default"/>
        <w:b/>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
    <w:nsid w:val="50616F37"/>
    <w:multiLevelType w:val="hybridMultilevel"/>
    <w:tmpl w:val="AE743A08"/>
    <w:lvl w:ilvl="0">
      <w:start w:val="1"/>
      <w:numFmt w:val="lowerLetter"/>
      <w:lvlText w:val="%1."/>
      <w:lvlJc w:val="left"/>
      <w:pPr>
        <w:ind w:left="720" w:hanging="360"/>
      </w:pPr>
      <w:rPr>
        <w:rFonts w:hint="default"/>
        <w:b/>
        <w:i w:val="0"/>
      </w:rPr>
    </w:lvl>
    <w:lvl w:ilvl="1" w:tentative="1">
      <w:start w:val="1"/>
      <w:numFmt w:val="lowerLetter"/>
      <w:lvlText w:val="%2."/>
      <w:lvlJc w:val="left"/>
      <w:pPr>
        <w:ind w:left="1980" w:hanging="360"/>
      </w:pPr>
    </w:lvl>
    <w:lvl w:ilvl="2" w:tentative="1">
      <w:start w:val="1"/>
      <w:numFmt w:val="lowerRoman"/>
      <w:lvlText w:val="%3."/>
      <w:lvlJc w:val="right"/>
      <w:pPr>
        <w:ind w:left="2700" w:hanging="180"/>
      </w:pPr>
    </w:lvl>
    <w:lvl w:ilvl="3" w:tentative="1">
      <w:start w:val="1"/>
      <w:numFmt w:val="decimal"/>
      <w:lvlText w:val="%4."/>
      <w:lvlJc w:val="left"/>
      <w:pPr>
        <w:ind w:left="3420" w:hanging="360"/>
      </w:pPr>
    </w:lvl>
    <w:lvl w:ilvl="4" w:tentative="1">
      <w:start w:val="1"/>
      <w:numFmt w:val="lowerLetter"/>
      <w:lvlText w:val="%5."/>
      <w:lvlJc w:val="left"/>
      <w:pPr>
        <w:ind w:left="4140" w:hanging="360"/>
      </w:pPr>
    </w:lvl>
    <w:lvl w:ilvl="5" w:tentative="1">
      <w:start w:val="1"/>
      <w:numFmt w:val="lowerRoman"/>
      <w:lvlText w:val="%6."/>
      <w:lvlJc w:val="right"/>
      <w:pPr>
        <w:ind w:left="4860" w:hanging="180"/>
      </w:pPr>
    </w:lvl>
    <w:lvl w:ilvl="6" w:tentative="1">
      <w:start w:val="1"/>
      <w:numFmt w:val="decimal"/>
      <w:lvlText w:val="%7."/>
      <w:lvlJc w:val="left"/>
      <w:pPr>
        <w:ind w:left="5580" w:hanging="360"/>
      </w:pPr>
    </w:lvl>
    <w:lvl w:ilvl="7" w:tentative="1">
      <w:start w:val="1"/>
      <w:numFmt w:val="lowerLetter"/>
      <w:lvlText w:val="%8."/>
      <w:lvlJc w:val="left"/>
      <w:pPr>
        <w:ind w:left="6300" w:hanging="360"/>
      </w:pPr>
    </w:lvl>
    <w:lvl w:ilvl="8" w:tentative="1">
      <w:start w:val="1"/>
      <w:numFmt w:val="lowerRoman"/>
      <w:lvlText w:val="%9."/>
      <w:lvlJc w:val="right"/>
      <w:pPr>
        <w:ind w:left="7020" w:hanging="180"/>
      </w:pPr>
    </w:lvl>
  </w:abstractNum>
  <w:abstractNum w:abstractNumId="42">
    <w:nsid w:val="509E1548"/>
    <w:multiLevelType w:val="hybridMultilevel"/>
    <w:tmpl w:val="36304884"/>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58CB237B"/>
    <w:multiLevelType w:val="hybridMultilevel"/>
    <w:tmpl w:val="80C8FF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5ABF174A"/>
    <w:multiLevelType w:val="hybridMultilevel"/>
    <w:tmpl w:val="5EFA33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5AE955D6"/>
    <w:multiLevelType w:val="hybridMultilevel"/>
    <w:tmpl w:val="295C0A1A"/>
    <w:lvl w:ilvl="0">
      <w:start w:val="1"/>
      <w:numFmt w:val="decimal"/>
      <w:lvlText w:val="%1."/>
      <w:lvlJc w:val="left"/>
      <w:pPr>
        <w:ind w:left="900" w:hanging="360"/>
      </w:pPr>
      <w:rPr>
        <w:rFonts w:hint="default"/>
        <w:b w:val="0"/>
        <w:bCs/>
        <w:i w:val="0"/>
      </w:rPr>
    </w:lvl>
    <w:lvl w:ilvl="1">
      <w:start w:val="1"/>
      <w:numFmt w:val="decimal"/>
      <w:lvlText w:val="%2)"/>
      <w:lvlJc w:val="left"/>
      <w:pPr>
        <w:ind w:left="1620" w:hanging="360"/>
      </w:pPr>
      <w:rPr>
        <w:rFonts w:hint="default"/>
      </w:rPr>
    </w:lvl>
    <w:lvl w:ilvl="2" w:tentative="1">
      <w:start w:val="1"/>
      <w:numFmt w:val="bullet"/>
      <w:lvlText w:val=""/>
      <w:lvlJc w:val="left"/>
      <w:pPr>
        <w:ind w:left="2340" w:hanging="360"/>
      </w:pPr>
      <w:rPr>
        <w:rFonts w:ascii="Wingdings" w:hAnsi="Wingdings" w:hint="default"/>
      </w:rPr>
    </w:lvl>
    <w:lvl w:ilvl="3" w:tentative="1">
      <w:start w:val="1"/>
      <w:numFmt w:val="bullet"/>
      <w:lvlText w:val=""/>
      <w:lvlJc w:val="left"/>
      <w:pPr>
        <w:ind w:left="3060" w:hanging="360"/>
      </w:pPr>
      <w:rPr>
        <w:rFonts w:ascii="Symbol" w:hAnsi="Symbol" w:hint="default"/>
      </w:rPr>
    </w:lvl>
    <w:lvl w:ilvl="4" w:tentative="1">
      <w:start w:val="1"/>
      <w:numFmt w:val="bullet"/>
      <w:lvlText w:val="o"/>
      <w:lvlJc w:val="left"/>
      <w:pPr>
        <w:ind w:left="3780" w:hanging="360"/>
      </w:pPr>
      <w:rPr>
        <w:rFonts w:ascii="Courier New" w:hAnsi="Courier New" w:cs="Courier New" w:hint="default"/>
      </w:rPr>
    </w:lvl>
    <w:lvl w:ilvl="5" w:tentative="1">
      <w:start w:val="1"/>
      <w:numFmt w:val="bullet"/>
      <w:lvlText w:val=""/>
      <w:lvlJc w:val="left"/>
      <w:pPr>
        <w:ind w:left="4500" w:hanging="360"/>
      </w:pPr>
      <w:rPr>
        <w:rFonts w:ascii="Wingdings" w:hAnsi="Wingdings" w:hint="default"/>
      </w:rPr>
    </w:lvl>
    <w:lvl w:ilvl="6" w:tentative="1">
      <w:start w:val="1"/>
      <w:numFmt w:val="bullet"/>
      <w:lvlText w:val=""/>
      <w:lvlJc w:val="left"/>
      <w:pPr>
        <w:ind w:left="5220" w:hanging="360"/>
      </w:pPr>
      <w:rPr>
        <w:rFonts w:ascii="Symbol" w:hAnsi="Symbol" w:hint="default"/>
      </w:rPr>
    </w:lvl>
    <w:lvl w:ilvl="7" w:tentative="1">
      <w:start w:val="1"/>
      <w:numFmt w:val="bullet"/>
      <w:lvlText w:val="o"/>
      <w:lvlJc w:val="left"/>
      <w:pPr>
        <w:ind w:left="5940" w:hanging="360"/>
      </w:pPr>
      <w:rPr>
        <w:rFonts w:ascii="Courier New" w:hAnsi="Courier New" w:cs="Courier New" w:hint="default"/>
      </w:rPr>
    </w:lvl>
    <w:lvl w:ilvl="8" w:tentative="1">
      <w:start w:val="1"/>
      <w:numFmt w:val="bullet"/>
      <w:lvlText w:val=""/>
      <w:lvlJc w:val="left"/>
      <w:pPr>
        <w:ind w:left="6660" w:hanging="360"/>
      </w:pPr>
      <w:rPr>
        <w:rFonts w:ascii="Wingdings" w:hAnsi="Wingdings" w:hint="default"/>
      </w:rPr>
    </w:lvl>
  </w:abstractNum>
  <w:abstractNum w:abstractNumId="46">
    <w:nsid w:val="5B406621"/>
    <w:multiLevelType w:val="hybridMultilevel"/>
    <w:tmpl w:val="B1AA4B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5BBC0CD8"/>
    <w:multiLevelType w:val="hybridMultilevel"/>
    <w:tmpl w:val="DEB086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60F84471"/>
    <w:multiLevelType w:val="hybridMultilevel"/>
    <w:tmpl w:val="EB14F990"/>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9">
    <w:nsid w:val="63645202"/>
    <w:multiLevelType w:val="hybridMultilevel"/>
    <w:tmpl w:val="D12E4A28"/>
    <w:lvl w:ilvl="0">
      <w:start w:val="1"/>
      <w:numFmt w:val="bullet"/>
      <w:lvlText w:val=""/>
      <w:lvlJc w:val="left"/>
      <w:pPr>
        <w:ind w:left="630" w:hanging="360"/>
      </w:pPr>
      <w:rPr>
        <w:rFonts w:ascii="Symbol" w:hAnsi="Symbol" w:hint="default"/>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50">
    <w:nsid w:val="639F082D"/>
    <w:multiLevelType w:val="hybridMultilevel"/>
    <w:tmpl w:val="095C90AA"/>
    <w:lvl w:ilvl="0">
      <w:start w:val="1"/>
      <w:numFmt w:val="upperLetter"/>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66C15037"/>
    <w:multiLevelType w:val="hybridMultilevel"/>
    <w:tmpl w:val="1FD0CC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67492393"/>
    <w:multiLevelType w:val="hybridMultilevel"/>
    <w:tmpl w:val="69880500"/>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681C4FEF"/>
    <w:multiLevelType w:val="hybridMultilevel"/>
    <w:tmpl w:val="A7FE65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69D97380"/>
    <w:multiLevelType w:val="hybridMultilevel"/>
    <w:tmpl w:val="63005584"/>
    <w:lvl w:ilvl="0">
      <w:start w:val="1"/>
      <w:numFmt w:val="lowerLetter"/>
      <w:lvlText w:val="%1."/>
      <w:lvlJc w:val="left"/>
      <w:pPr>
        <w:ind w:left="180" w:hanging="360"/>
      </w:pPr>
      <w:rPr>
        <w:rFonts w:hint="default"/>
        <w:b/>
        <w:i w:val="0"/>
      </w:rPr>
    </w:lvl>
    <w:lvl w:ilvl="1" w:tentative="1">
      <w:start w:val="1"/>
      <w:numFmt w:val="bullet"/>
      <w:lvlText w:val="o"/>
      <w:lvlJc w:val="left"/>
      <w:pPr>
        <w:ind w:left="900" w:hanging="360"/>
      </w:pPr>
      <w:rPr>
        <w:rFonts w:ascii="Courier New" w:hAnsi="Courier New" w:cs="Courier New" w:hint="default"/>
      </w:rPr>
    </w:lvl>
    <w:lvl w:ilvl="2" w:tentative="1">
      <w:start w:val="1"/>
      <w:numFmt w:val="bullet"/>
      <w:lvlText w:val=""/>
      <w:lvlJc w:val="left"/>
      <w:pPr>
        <w:ind w:left="1620" w:hanging="360"/>
      </w:pPr>
      <w:rPr>
        <w:rFonts w:ascii="Wingdings" w:hAnsi="Wingdings" w:hint="default"/>
      </w:rPr>
    </w:lvl>
    <w:lvl w:ilvl="3" w:tentative="1">
      <w:start w:val="1"/>
      <w:numFmt w:val="bullet"/>
      <w:lvlText w:val=""/>
      <w:lvlJc w:val="left"/>
      <w:pPr>
        <w:ind w:left="2340" w:hanging="360"/>
      </w:pPr>
      <w:rPr>
        <w:rFonts w:ascii="Symbol" w:hAnsi="Symbol" w:hint="default"/>
      </w:rPr>
    </w:lvl>
    <w:lvl w:ilvl="4" w:tentative="1">
      <w:start w:val="1"/>
      <w:numFmt w:val="bullet"/>
      <w:lvlText w:val="o"/>
      <w:lvlJc w:val="left"/>
      <w:pPr>
        <w:ind w:left="3060" w:hanging="360"/>
      </w:pPr>
      <w:rPr>
        <w:rFonts w:ascii="Courier New" w:hAnsi="Courier New" w:cs="Courier New" w:hint="default"/>
      </w:rPr>
    </w:lvl>
    <w:lvl w:ilvl="5" w:tentative="1">
      <w:start w:val="1"/>
      <w:numFmt w:val="bullet"/>
      <w:lvlText w:val=""/>
      <w:lvlJc w:val="left"/>
      <w:pPr>
        <w:ind w:left="3780" w:hanging="360"/>
      </w:pPr>
      <w:rPr>
        <w:rFonts w:ascii="Wingdings" w:hAnsi="Wingdings" w:hint="default"/>
      </w:rPr>
    </w:lvl>
    <w:lvl w:ilvl="6" w:tentative="1">
      <w:start w:val="1"/>
      <w:numFmt w:val="bullet"/>
      <w:lvlText w:val=""/>
      <w:lvlJc w:val="left"/>
      <w:pPr>
        <w:ind w:left="4500" w:hanging="360"/>
      </w:pPr>
      <w:rPr>
        <w:rFonts w:ascii="Symbol" w:hAnsi="Symbol" w:hint="default"/>
      </w:rPr>
    </w:lvl>
    <w:lvl w:ilvl="7" w:tentative="1">
      <w:start w:val="1"/>
      <w:numFmt w:val="bullet"/>
      <w:lvlText w:val="o"/>
      <w:lvlJc w:val="left"/>
      <w:pPr>
        <w:ind w:left="5220" w:hanging="360"/>
      </w:pPr>
      <w:rPr>
        <w:rFonts w:ascii="Courier New" w:hAnsi="Courier New" w:cs="Courier New" w:hint="default"/>
      </w:rPr>
    </w:lvl>
    <w:lvl w:ilvl="8" w:tentative="1">
      <w:start w:val="1"/>
      <w:numFmt w:val="bullet"/>
      <w:lvlText w:val=""/>
      <w:lvlJc w:val="left"/>
      <w:pPr>
        <w:ind w:left="5940" w:hanging="360"/>
      </w:pPr>
      <w:rPr>
        <w:rFonts w:ascii="Wingdings" w:hAnsi="Wingdings" w:hint="default"/>
      </w:rPr>
    </w:lvl>
  </w:abstractNum>
  <w:abstractNum w:abstractNumId="55">
    <w:nsid w:val="6C361399"/>
    <w:multiLevelType w:val="hybridMultilevel"/>
    <w:tmpl w:val="196E10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6">
    <w:nsid w:val="6C496A94"/>
    <w:multiLevelType w:val="hybridMultilevel"/>
    <w:tmpl w:val="DA0241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7">
    <w:nsid w:val="71BF74B1"/>
    <w:multiLevelType w:val="hybridMultilevel"/>
    <w:tmpl w:val="14CE60AA"/>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74302765"/>
    <w:multiLevelType w:val="hybridMultilevel"/>
    <w:tmpl w:val="EDAA16AC"/>
    <w:lvl w:ilvl="0">
      <w:start w:val="1"/>
      <w:numFmt w:val="bullet"/>
      <w:lvlText w:val=""/>
      <w:lvlJc w:val="left"/>
      <w:pPr>
        <w:ind w:left="63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59">
    <w:nsid w:val="7455441F"/>
    <w:multiLevelType w:val="hybridMultilevel"/>
    <w:tmpl w:val="27CE7F06"/>
    <w:lvl w:ilvl="0">
      <w:start w:val="1"/>
      <w:numFmt w:val="bullet"/>
      <w:lvlText w:val=""/>
      <w:lvlJc w:val="left"/>
      <w:pPr>
        <w:ind w:left="270" w:hanging="360"/>
      </w:pPr>
      <w:rPr>
        <w:rFonts w:ascii="Symbol" w:hAnsi="Symbol" w:hint="default"/>
      </w:rPr>
    </w:lvl>
    <w:lvl w:ilvl="1">
      <w:start w:val="1"/>
      <w:numFmt w:val="bullet"/>
      <w:lvlText w:val=""/>
      <w:lvlJc w:val="left"/>
      <w:pPr>
        <w:ind w:left="990" w:hanging="360"/>
      </w:pPr>
      <w:rPr>
        <w:rFonts w:ascii="Symbol" w:hAnsi="Symbol" w:hint="default"/>
      </w:rPr>
    </w:lvl>
    <w:lvl w:ilvl="2">
      <w:start w:val="1"/>
      <w:numFmt w:val="bullet"/>
      <w:lvlText w:val=""/>
      <w:lvlJc w:val="left"/>
      <w:pPr>
        <w:ind w:left="1710" w:hanging="360"/>
      </w:pPr>
      <w:rPr>
        <w:rFonts w:ascii="Wingdings" w:hAnsi="Wingdings" w:hint="default"/>
      </w:rPr>
    </w:lvl>
    <w:lvl w:ilvl="3">
      <w:start w:val="1"/>
      <w:numFmt w:val="bullet"/>
      <w:lvlText w:val=""/>
      <w:lvlJc w:val="left"/>
      <w:pPr>
        <w:ind w:left="2430" w:hanging="360"/>
      </w:pPr>
      <w:rPr>
        <w:rFonts w:ascii="Symbol" w:hAnsi="Symbol" w:hint="default"/>
      </w:rPr>
    </w:lvl>
    <w:lvl w:ilvl="4">
      <w:start w:val="1"/>
      <w:numFmt w:val="bullet"/>
      <w:lvlText w:val="o"/>
      <w:lvlJc w:val="left"/>
      <w:pPr>
        <w:ind w:left="3150" w:hanging="360"/>
      </w:pPr>
      <w:rPr>
        <w:rFonts w:ascii="Courier New" w:hAnsi="Courier New" w:cs="Courier New" w:hint="default"/>
      </w:rPr>
    </w:lvl>
    <w:lvl w:ilvl="5">
      <w:start w:val="1"/>
      <w:numFmt w:val="bullet"/>
      <w:lvlText w:val=""/>
      <w:lvlJc w:val="left"/>
      <w:pPr>
        <w:ind w:left="3870" w:hanging="360"/>
      </w:pPr>
      <w:rPr>
        <w:rFonts w:ascii="Wingdings" w:hAnsi="Wingdings" w:hint="default"/>
      </w:rPr>
    </w:lvl>
    <w:lvl w:ilvl="6">
      <w:start w:val="1"/>
      <w:numFmt w:val="bullet"/>
      <w:lvlText w:val=""/>
      <w:lvlJc w:val="left"/>
      <w:pPr>
        <w:ind w:left="4590" w:hanging="360"/>
      </w:pPr>
      <w:rPr>
        <w:rFonts w:ascii="Symbol" w:hAnsi="Symbol" w:hint="default"/>
      </w:rPr>
    </w:lvl>
    <w:lvl w:ilvl="7">
      <w:start w:val="1"/>
      <w:numFmt w:val="bullet"/>
      <w:lvlText w:val="o"/>
      <w:lvlJc w:val="left"/>
      <w:pPr>
        <w:ind w:left="5310" w:hanging="360"/>
      </w:pPr>
      <w:rPr>
        <w:rFonts w:ascii="Courier New" w:hAnsi="Courier New" w:cs="Courier New" w:hint="default"/>
      </w:rPr>
    </w:lvl>
    <w:lvl w:ilvl="8">
      <w:start w:val="1"/>
      <w:numFmt w:val="bullet"/>
      <w:lvlText w:val=""/>
      <w:lvlJc w:val="left"/>
      <w:pPr>
        <w:ind w:left="6030" w:hanging="360"/>
      </w:pPr>
      <w:rPr>
        <w:rFonts w:ascii="Wingdings" w:hAnsi="Wingdings" w:hint="default"/>
      </w:rPr>
    </w:lvl>
  </w:abstractNum>
  <w:abstractNum w:abstractNumId="60">
    <w:nsid w:val="7739206D"/>
    <w:multiLevelType w:val="hybridMultilevel"/>
    <w:tmpl w:val="8D0470D8"/>
    <w:lvl w:ilvl="0">
      <w:start w:val="2"/>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7CB32ADE"/>
    <w:multiLevelType w:val="hybridMultilevel"/>
    <w:tmpl w:val="9F6CA3F4"/>
    <w:lvl w:ilvl="0">
      <w:start w:val="1"/>
      <w:numFmt w:val="lowerLetter"/>
      <w:lvlText w:val="%1."/>
      <w:lvlJc w:val="left"/>
      <w:pPr>
        <w:ind w:left="360" w:hanging="360"/>
      </w:pPr>
      <w:rPr>
        <w:rFonts w:hint="default"/>
        <w:b/>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2">
    <w:nsid w:val="7D80588F"/>
    <w:multiLevelType w:val="hybridMultilevel"/>
    <w:tmpl w:val="70E46228"/>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63">
    <w:nsid w:val="7F8A1913"/>
    <w:multiLevelType w:val="hybridMultilevel"/>
    <w:tmpl w:val="2B6086C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16cid:durableId="1133451160">
    <w:abstractNumId w:val="34"/>
  </w:num>
  <w:num w:numId="2" w16cid:durableId="2123265093">
    <w:abstractNumId w:val="37"/>
  </w:num>
  <w:num w:numId="3" w16cid:durableId="208222955">
    <w:abstractNumId w:val="9"/>
  </w:num>
  <w:num w:numId="4" w16cid:durableId="1239704024">
    <w:abstractNumId w:val="43"/>
  </w:num>
  <w:num w:numId="5" w16cid:durableId="601377845">
    <w:abstractNumId w:val="49"/>
  </w:num>
  <w:num w:numId="6" w16cid:durableId="1929651700">
    <w:abstractNumId w:val="10"/>
  </w:num>
  <w:num w:numId="7" w16cid:durableId="259726211">
    <w:abstractNumId w:val="18"/>
  </w:num>
  <w:num w:numId="8" w16cid:durableId="1618562292">
    <w:abstractNumId w:val="38"/>
  </w:num>
  <w:num w:numId="9" w16cid:durableId="1419711172">
    <w:abstractNumId w:val="58"/>
  </w:num>
  <w:num w:numId="10" w16cid:durableId="94523946">
    <w:abstractNumId w:val="8"/>
  </w:num>
  <w:num w:numId="11" w16cid:durableId="1487892081">
    <w:abstractNumId w:val="5"/>
  </w:num>
  <w:num w:numId="12" w16cid:durableId="1883050454">
    <w:abstractNumId w:val="20"/>
  </w:num>
  <w:num w:numId="13" w16cid:durableId="883256874">
    <w:abstractNumId w:val="12"/>
  </w:num>
  <w:num w:numId="14" w16cid:durableId="1903056665">
    <w:abstractNumId w:val="26"/>
  </w:num>
  <w:num w:numId="15" w16cid:durableId="2003509776">
    <w:abstractNumId w:val="39"/>
  </w:num>
  <w:num w:numId="16" w16cid:durableId="865796750">
    <w:abstractNumId w:val="29"/>
  </w:num>
  <w:num w:numId="17" w16cid:durableId="942109995">
    <w:abstractNumId w:val="63"/>
  </w:num>
  <w:num w:numId="18" w16cid:durableId="242762834">
    <w:abstractNumId w:val="15"/>
  </w:num>
  <w:num w:numId="19" w16cid:durableId="1980062800">
    <w:abstractNumId w:val="3"/>
  </w:num>
  <w:num w:numId="20" w16cid:durableId="116146025">
    <w:abstractNumId w:val="13"/>
  </w:num>
  <w:num w:numId="21" w16cid:durableId="2017144792">
    <w:abstractNumId w:val="54"/>
  </w:num>
  <w:num w:numId="22" w16cid:durableId="417479919">
    <w:abstractNumId w:val="55"/>
  </w:num>
  <w:num w:numId="23" w16cid:durableId="1276327043">
    <w:abstractNumId w:val="8"/>
  </w:num>
  <w:num w:numId="24" w16cid:durableId="2097746556">
    <w:abstractNumId w:val="4"/>
  </w:num>
  <w:num w:numId="25" w16cid:durableId="765463912">
    <w:abstractNumId w:val="52"/>
  </w:num>
  <w:num w:numId="26" w16cid:durableId="1236476163">
    <w:abstractNumId w:val="27"/>
  </w:num>
  <w:num w:numId="27" w16cid:durableId="747113842">
    <w:abstractNumId w:val="40"/>
  </w:num>
  <w:num w:numId="28" w16cid:durableId="1457992931">
    <w:abstractNumId w:val="24"/>
  </w:num>
  <w:num w:numId="29" w16cid:durableId="200048310">
    <w:abstractNumId w:val="21"/>
  </w:num>
  <w:num w:numId="30" w16cid:durableId="1104501143">
    <w:abstractNumId w:val="0"/>
  </w:num>
  <w:num w:numId="31" w16cid:durableId="464659455">
    <w:abstractNumId w:val="45"/>
  </w:num>
  <w:num w:numId="32" w16cid:durableId="910386262">
    <w:abstractNumId w:val="30"/>
  </w:num>
  <w:num w:numId="33" w16cid:durableId="816190891">
    <w:abstractNumId w:val="50"/>
  </w:num>
  <w:num w:numId="34" w16cid:durableId="1943799759">
    <w:abstractNumId w:val="57"/>
  </w:num>
  <w:num w:numId="35" w16cid:durableId="1851022523">
    <w:abstractNumId w:val="41"/>
  </w:num>
  <w:num w:numId="36" w16cid:durableId="388967521">
    <w:abstractNumId w:val="42"/>
  </w:num>
  <w:num w:numId="37" w16cid:durableId="1500921342">
    <w:abstractNumId w:val="60"/>
  </w:num>
  <w:num w:numId="38" w16cid:durableId="1256672518">
    <w:abstractNumId w:val="61"/>
  </w:num>
  <w:num w:numId="39" w16cid:durableId="404378661">
    <w:abstractNumId w:val="35"/>
  </w:num>
  <w:num w:numId="40" w16cid:durableId="1580360978">
    <w:abstractNumId w:val="7"/>
  </w:num>
  <w:num w:numId="41" w16cid:durableId="628626957">
    <w:abstractNumId w:val="59"/>
  </w:num>
  <w:num w:numId="42" w16cid:durableId="1609700479">
    <w:abstractNumId w:val="19"/>
  </w:num>
  <w:num w:numId="43" w16cid:durableId="189339352">
    <w:abstractNumId w:val="25"/>
  </w:num>
  <w:num w:numId="44" w16cid:durableId="647982534">
    <w:abstractNumId w:val="11"/>
  </w:num>
  <w:num w:numId="45" w16cid:durableId="649165556">
    <w:abstractNumId w:val="48"/>
  </w:num>
  <w:num w:numId="46" w16cid:durableId="1562445593">
    <w:abstractNumId w:val="56"/>
  </w:num>
  <w:num w:numId="47" w16cid:durableId="7607654">
    <w:abstractNumId w:val="22"/>
  </w:num>
  <w:num w:numId="48" w16cid:durableId="170293725">
    <w:abstractNumId w:val="36"/>
  </w:num>
  <w:num w:numId="49" w16cid:durableId="1891770360">
    <w:abstractNumId w:val="17"/>
  </w:num>
  <w:num w:numId="50" w16cid:durableId="2047832144">
    <w:abstractNumId w:val="2"/>
  </w:num>
  <w:num w:numId="51" w16cid:durableId="430707544">
    <w:abstractNumId w:val="14"/>
  </w:num>
  <w:num w:numId="52" w16cid:durableId="1451709276">
    <w:abstractNumId w:val="32"/>
  </w:num>
  <w:num w:numId="53" w16cid:durableId="1339771406">
    <w:abstractNumId w:val="16"/>
  </w:num>
  <w:num w:numId="54" w16cid:durableId="1615670377">
    <w:abstractNumId w:val="46"/>
  </w:num>
  <w:num w:numId="55" w16cid:durableId="1515219644">
    <w:abstractNumId w:val="23"/>
  </w:num>
  <w:num w:numId="56" w16cid:durableId="1104575929">
    <w:abstractNumId w:val="47"/>
  </w:num>
  <w:num w:numId="57" w16cid:durableId="135995172">
    <w:abstractNumId w:val="51"/>
  </w:num>
  <w:num w:numId="58" w16cid:durableId="744495256">
    <w:abstractNumId w:val="6"/>
  </w:num>
  <w:num w:numId="59" w16cid:durableId="2047869005">
    <w:abstractNumId w:val="1"/>
  </w:num>
  <w:num w:numId="60" w16cid:durableId="1195657991">
    <w:abstractNumId w:val="31"/>
  </w:num>
  <w:num w:numId="61" w16cid:durableId="241137896">
    <w:abstractNumId w:val="53"/>
  </w:num>
  <w:num w:numId="62" w16cid:durableId="793522264">
    <w:abstractNumId w:val="44"/>
  </w:num>
  <w:num w:numId="63" w16cid:durableId="1956017124">
    <w:abstractNumId w:val="33"/>
  </w:num>
  <w:num w:numId="64" w16cid:durableId="1722829359">
    <w:abstractNumId w:val="28"/>
  </w:num>
  <w:num w:numId="65" w16cid:durableId="1686784561">
    <w:abstractNumId w:val="6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E2C"/>
    <w:rsid w:val="000002A1"/>
    <w:rsid w:val="0000035E"/>
    <w:rsid w:val="000007A8"/>
    <w:rsid w:val="00000DF8"/>
    <w:rsid w:val="00000F43"/>
    <w:rsid w:val="000011FF"/>
    <w:rsid w:val="00001321"/>
    <w:rsid w:val="00001ED5"/>
    <w:rsid w:val="00002256"/>
    <w:rsid w:val="0000235F"/>
    <w:rsid w:val="0000311F"/>
    <w:rsid w:val="00003638"/>
    <w:rsid w:val="000036AE"/>
    <w:rsid w:val="00004CCE"/>
    <w:rsid w:val="00005325"/>
    <w:rsid w:val="000054FA"/>
    <w:rsid w:val="000065E6"/>
    <w:rsid w:val="00006BF8"/>
    <w:rsid w:val="000077EF"/>
    <w:rsid w:val="00007BBC"/>
    <w:rsid w:val="00007F35"/>
    <w:rsid w:val="0001001B"/>
    <w:rsid w:val="0001019E"/>
    <w:rsid w:val="0001050F"/>
    <w:rsid w:val="00010910"/>
    <w:rsid w:val="00010A7D"/>
    <w:rsid w:val="00010BC0"/>
    <w:rsid w:val="00010F1A"/>
    <w:rsid w:val="00011213"/>
    <w:rsid w:val="00011995"/>
    <w:rsid w:val="0001246A"/>
    <w:rsid w:val="000125A4"/>
    <w:rsid w:val="00012B59"/>
    <w:rsid w:val="00012EE4"/>
    <w:rsid w:val="00013856"/>
    <w:rsid w:val="00013FAC"/>
    <w:rsid w:val="00014B49"/>
    <w:rsid w:val="00014EBF"/>
    <w:rsid w:val="0001556D"/>
    <w:rsid w:val="00015B10"/>
    <w:rsid w:val="00016055"/>
    <w:rsid w:val="00016550"/>
    <w:rsid w:val="00016836"/>
    <w:rsid w:val="00016866"/>
    <w:rsid w:val="00016EFB"/>
    <w:rsid w:val="00017297"/>
    <w:rsid w:val="0001737E"/>
    <w:rsid w:val="000177AD"/>
    <w:rsid w:val="000177D4"/>
    <w:rsid w:val="00020527"/>
    <w:rsid w:val="0002058B"/>
    <w:rsid w:val="000214F6"/>
    <w:rsid w:val="00021DB4"/>
    <w:rsid w:val="00022276"/>
    <w:rsid w:val="00022F8B"/>
    <w:rsid w:val="000246AE"/>
    <w:rsid w:val="00024F3B"/>
    <w:rsid w:val="00024FDC"/>
    <w:rsid w:val="00025098"/>
    <w:rsid w:val="0002515A"/>
    <w:rsid w:val="00027193"/>
    <w:rsid w:val="00027A86"/>
    <w:rsid w:val="00027B4C"/>
    <w:rsid w:val="00030D55"/>
    <w:rsid w:val="000310EB"/>
    <w:rsid w:val="00031111"/>
    <w:rsid w:val="00031159"/>
    <w:rsid w:val="00031625"/>
    <w:rsid w:val="00031669"/>
    <w:rsid w:val="000321F9"/>
    <w:rsid w:val="00033B9C"/>
    <w:rsid w:val="00035373"/>
    <w:rsid w:val="000353E1"/>
    <w:rsid w:val="00035797"/>
    <w:rsid w:val="00035850"/>
    <w:rsid w:val="00035883"/>
    <w:rsid w:val="00035F2A"/>
    <w:rsid w:val="000363ED"/>
    <w:rsid w:val="0003663A"/>
    <w:rsid w:val="000370FF"/>
    <w:rsid w:val="000374F4"/>
    <w:rsid w:val="00037B22"/>
    <w:rsid w:val="00037DC3"/>
    <w:rsid w:val="0004046E"/>
    <w:rsid w:val="000407D8"/>
    <w:rsid w:val="00040C95"/>
    <w:rsid w:val="0004183E"/>
    <w:rsid w:val="00042815"/>
    <w:rsid w:val="00042B97"/>
    <w:rsid w:val="00043163"/>
    <w:rsid w:val="00043BCC"/>
    <w:rsid w:val="00044E2C"/>
    <w:rsid w:val="0004532C"/>
    <w:rsid w:val="00046248"/>
    <w:rsid w:val="000467E6"/>
    <w:rsid w:val="000468BF"/>
    <w:rsid w:val="00046AD9"/>
    <w:rsid w:val="00046D8A"/>
    <w:rsid w:val="00046D95"/>
    <w:rsid w:val="00046FE0"/>
    <w:rsid w:val="0004710B"/>
    <w:rsid w:val="000475D9"/>
    <w:rsid w:val="0004762C"/>
    <w:rsid w:val="0004773C"/>
    <w:rsid w:val="00047D2F"/>
    <w:rsid w:val="00050105"/>
    <w:rsid w:val="00050171"/>
    <w:rsid w:val="0005071C"/>
    <w:rsid w:val="00050723"/>
    <w:rsid w:val="00050E49"/>
    <w:rsid w:val="00050F1D"/>
    <w:rsid w:val="0005244A"/>
    <w:rsid w:val="000524CE"/>
    <w:rsid w:val="0005274A"/>
    <w:rsid w:val="00052FFF"/>
    <w:rsid w:val="00053A70"/>
    <w:rsid w:val="00055348"/>
    <w:rsid w:val="00055DF3"/>
    <w:rsid w:val="00056C66"/>
    <w:rsid w:val="00056D3E"/>
    <w:rsid w:val="00057828"/>
    <w:rsid w:val="00057A3A"/>
    <w:rsid w:val="00060350"/>
    <w:rsid w:val="000606F7"/>
    <w:rsid w:val="00060FCB"/>
    <w:rsid w:val="00061455"/>
    <w:rsid w:val="00061E97"/>
    <w:rsid w:val="00062E51"/>
    <w:rsid w:val="0006382F"/>
    <w:rsid w:val="000638D2"/>
    <w:rsid w:val="00063E99"/>
    <w:rsid w:val="000663A7"/>
    <w:rsid w:val="000670A5"/>
    <w:rsid w:val="00067286"/>
    <w:rsid w:val="0006742B"/>
    <w:rsid w:val="000675AB"/>
    <w:rsid w:val="00070307"/>
    <w:rsid w:val="00070450"/>
    <w:rsid w:val="0007095C"/>
    <w:rsid w:val="000709AA"/>
    <w:rsid w:val="00070BA2"/>
    <w:rsid w:val="00071247"/>
    <w:rsid w:val="00071673"/>
    <w:rsid w:val="00073BBE"/>
    <w:rsid w:val="00073E8A"/>
    <w:rsid w:val="00073FFE"/>
    <w:rsid w:val="000747EC"/>
    <w:rsid w:val="00074BA7"/>
    <w:rsid w:val="00074BE5"/>
    <w:rsid w:val="00074E73"/>
    <w:rsid w:val="0007522A"/>
    <w:rsid w:val="00075393"/>
    <w:rsid w:val="0007568C"/>
    <w:rsid w:val="00075878"/>
    <w:rsid w:val="00076019"/>
    <w:rsid w:val="00076281"/>
    <w:rsid w:val="000763F8"/>
    <w:rsid w:val="00076E93"/>
    <w:rsid w:val="000772E7"/>
    <w:rsid w:val="00077719"/>
    <w:rsid w:val="00077A1A"/>
    <w:rsid w:val="00077CD4"/>
    <w:rsid w:val="00077E39"/>
    <w:rsid w:val="00080971"/>
    <w:rsid w:val="00080FF1"/>
    <w:rsid w:val="0008185A"/>
    <w:rsid w:val="000819E5"/>
    <w:rsid w:val="00081DB7"/>
    <w:rsid w:val="00082FDC"/>
    <w:rsid w:val="0008366B"/>
    <w:rsid w:val="00083799"/>
    <w:rsid w:val="000837A6"/>
    <w:rsid w:val="000842F9"/>
    <w:rsid w:val="00084A31"/>
    <w:rsid w:val="00084FCC"/>
    <w:rsid w:val="00085415"/>
    <w:rsid w:val="00085BCE"/>
    <w:rsid w:val="00085F4F"/>
    <w:rsid w:val="00086014"/>
    <w:rsid w:val="0008601F"/>
    <w:rsid w:val="00086055"/>
    <w:rsid w:val="0008621E"/>
    <w:rsid w:val="0008645E"/>
    <w:rsid w:val="0008691A"/>
    <w:rsid w:val="000869B3"/>
    <w:rsid w:val="00086BA7"/>
    <w:rsid w:val="000873EE"/>
    <w:rsid w:val="000875AD"/>
    <w:rsid w:val="00087CD1"/>
    <w:rsid w:val="0009000A"/>
    <w:rsid w:val="00090668"/>
    <w:rsid w:val="0009120A"/>
    <w:rsid w:val="0009126D"/>
    <w:rsid w:val="00091A0A"/>
    <w:rsid w:val="0009243E"/>
    <w:rsid w:val="000930D3"/>
    <w:rsid w:val="000936D3"/>
    <w:rsid w:val="00093EB0"/>
    <w:rsid w:val="00093EEE"/>
    <w:rsid w:val="0009412D"/>
    <w:rsid w:val="00095BE2"/>
    <w:rsid w:val="00096B5F"/>
    <w:rsid w:val="00097098"/>
    <w:rsid w:val="0009783D"/>
    <w:rsid w:val="00097FE4"/>
    <w:rsid w:val="000A019F"/>
    <w:rsid w:val="000A05E2"/>
    <w:rsid w:val="000A0DB8"/>
    <w:rsid w:val="000A0F52"/>
    <w:rsid w:val="000A1E02"/>
    <w:rsid w:val="000A2643"/>
    <w:rsid w:val="000A284C"/>
    <w:rsid w:val="000A2C46"/>
    <w:rsid w:val="000A2E21"/>
    <w:rsid w:val="000A3146"/>
    <w:rsid w:val="000A4E4F"/>
    <w:rsid w:val="000A5085"/>
    <w:rsid w:val="000A5263"/>
    <w:rsid w:val="000A5F8B"/>
    <w:rsid w:val="000A6B7B"/>
    <w:rsid w:val="000A6DAF"/>
    <w:rsid w:val="000A6FFD"/>
    <w:rsid w:val="000A7206"/>
    <w:rsid w:val="000A7293"/>
    <w:rsid w:val="000A7344"/>
    <w:rsid w:val="000A78CD"/>
    <w:rsid w:val="000A7E4E"/>
    <w:rsid w:val="000B0775"/>
    <w:rsid w:val="000B07D7"/>
    <w:rsid w:val="000B163E"/>
    <w:rsid w:val="000B1B24"/>
    <w:rsid w:val="000B239C"/>
    <w:rsid w:val="000B28BD"/>
    <w:rsid w:val="000B3359"/>
    <w:rsid w:val="000B3ECD"/>
    <w:rsid w:val="000B40C6"/>
    <w:rsid w:val="000B43A5"/>
    <w:rsid w:val="000B4989"/>
    <w:rsid w:val="000B4CDB"/>
    <w:rsid w:val="000B4F70"/>
    <w:rsid w:val="000B646A"/>
    <w:rsid w:val="000B6F10"/>
    <w:rsid w:val="000B7684"/>
    <w:rsid w:val="000B77AE"/>
    <w:rsid w:val="000C0369"/>
    <w:rsid w:val="000C09F9"/>
    <w:rsid w:val="000C0DED"/>
    <w:rsid w:val="000C1EB4"/>
    <w:rsid w:val="000C2602"/>
    <w:rsid w:val="000C2B37"/>
    <w:rsid w:val="000C2D0B"/>
    <w:rsid w:val="000C31C4"/>
    <w:rsid w:val="000C35AB"/>
    <w:rsid w:val="000C389B"/>
    <w:rsid w:val="000C3E1F"/>
    <w:rsid w:val="000C3F54"/>
    <w:rsid w:val="000C4233"/>
    <w:rsid w:val="000C454B"/>
    <w:rsid w:val="000C459C"/>
    <w:rsid w:val="000C4861"/>
    <w:rsid w:val="000C54DB"/>
    <w:rsid w:val="000C6ACD"/>
    <w:rsid w:val="000D059A"/>
    <w:rsid w:val="000D0CE0"/>
    <w:rsid w:val="000D147E"/>
    <w:rsid w:val="000D1584"/>
    <w:rsid w:val="000D1809"/>
    <w:rsid w:val="000D2B73"/>
    <w:rsid w:val="000D3D67"/>
    <w:rsid w:val="000D3D88"/>
    <w:rsid w:val="000D3E29"/>
    <w:rsid w:val="000D4707"/>
    <w:rsid w:val="000D526C"/>
    <w:rsid w:val="000D580B"/>
    <w:rsid w:val="000D6832"/>
    <w:rsid w:val="000D7875"/>
    <w:rsid w:val="000E0615"/>
    <w:rsid w:val="000E0AB1"/>
    <w:rsid w:val="000E0D65"/>
    <w:rsid w:val="000E19EA"/>
    <w:rsid w:val="000E19F0"/>
    <w:rsid w:val="000E1B40"/>
    <w:rsid w:val="000E2190"/>
    <w:rsid w:val="000E2489"/>
    <w:rsid w:val="000E31B6"/>
    <w:rsid w:val="000E36A4"/>
    <w:rsid w:val="000E4CE3"/>
    <w:rsid w:val="000E57B0"/>
    <w:rsid w:val="000E68AF"/>
    <w:rsid w:val="000E691E"/>
    <w:rsid w:val="000E6F64"/>
    <w:rsid w:val="000E702E"/>
    <w:rsid w:val="000E721E"/>
    <w:rsid w:val="000E7954"/>
    <w:rsid w:val="000E7F00"/>
    <w:rsid w:val="000F08A6"/>
    <w:rsid w:val="000F0D81"/>
    <w:rsid w:val="000F11C9"/>
    <w:rsid w:val="000F16A8"/>
    <w:rsid w:val="000F1DCB"/>
    <w:rsid w:val="000F1F65"/>
    <w:rsid w:val="000F24A4"/>
    <w:rsid w:val="000F2710"/>
    <w:rsid w:val="000F4043"/>
    <w:rsid w:val="000F4D41"/>
    <w:rsid w:val="000F506C"/>
    <w:rsid w:val="000F5597"/>
    <w:rsid w:val="000F60CE"/>
    <w:rsid w:val="000F68D0"/>
    <w:rsid w:val="000F69A3"/>
    <w:rsid w:val="000F6A66"/>
    <w:rsid w:val="000F6C2C"/>
    <w:rsid w:val="000F6C69"/>
    <w:rsid w:val="000F6EF7"/>
    <w:rsid w:val="000F757F"/>
    <w:rsid w:val="001005CB"/>
    <w:rsid w:val="0010097F"/>
    <w:rsid w:val="00100AC9"/>
    <w:rsid w:val="0010181E"/>
    <w:rsid w:val="00101B92"/>
    <w:rsid w:val="00102216"/>
    <w:rsid w:val="001028EE"/>
    <w:rsid w:val="00102C25"/>
    <w:rsid w:val="00103311"/>
    <w:rsid w:val="00103AA9"/>
    <w:rsid w:val="00103BA2"/>
    <w:rsid w:val="00103D35"/>
    <w:rsid w:val="0010448F"/>
    <w:rsid w:val="00104A38"/>
    <w:rsid w:val="00104F76"/>
    <w:rsid w:val="0010529D"/>
    <w:rsid w:val="001056E0"/>
    <w:rsid w:val="00105703"/>
    <w:rsid w:val="00105F1A"/>
    <w:rsid w:val="00106E0E"/>
    <w:rsid w:val="0010751E"/>
    <w:rsid w:val="00107FAF"/>
    <w:rsid w:val="00110008"/>
    <w:rsid w:val="00110A83"/>
    <w:rsid w:val="00110AFB"/>
    <w:rsid w:val="00111183"/>
    <w:rsid w:val="001113FD"/>
    <w:rsid w:val="00111E95"/>
    <w:rsid w:val="0011232D"/>
    <w:rsid w:val="00112D70"/>
    <w:rsid w:val="00113605"/>
    <w:rsid w:val="00114090"/>
    <w:rsid w:val="001145FE"/>
    <w:rsid w:val="00114E10"/>
    <w:rsid w:val="001172D8"/>
    <w:rsid w:val="00117590"/>
    <w:rsid w:val="0011E033"/>
    <w:rsid w:val="001202AB"/>
    <w:rsid w:val="00120B99"/>
    <w:rsid w:val="001211CD"/>
    <w:rsid w:val="001213FD"/>
    <w:rsid w:val="00122289"/>
    <w:rsid w:val="001223E3"/>
    <w:rsid w:val="00124346"/>
    <w:rsid w:val="0012483E"/>
    <w:rsid w:val="00125124"/>
    <w:rsid w:val="00125DC3"/>
    <w:rsid w:val="00126034"/>
    <w:rsid w:val="00126D09"/>
    <w:rsid w:val="001279CA"/>
    <w:rsid w:val="0013025C"/>
    <w:rsid w:val="0013035B"/>
    <w:rsid w:val="00130407"/>
    <w:rsid w:val="001304B4"/>
    <w:rsid w:val="001305FC"/>
    <w:rsid w:val="00130752"/>
    <w:rsid w:val="0013078B"/>
    <w:rsid w:val="00131142"/>
    <w:rsid w:val="00131E6B"/>
    <w:rsid w:val="001323EA"/>
    <w:rsid w:val="00133F22"/>
    <w:rsid w:val="0013442B"/>
    <w:rsid w:val="0013703A"/>
    <w:rsid w:val="001373AB"/>
    <w:rsid w:val="00137461"/>
    <w:rsid w:val="0013755F"/>
    <w:rsid w:val="001377AA"/>
    <w:rsid w:val="001400AC"/>
    <w:rsid w:val="00140E66"/>
    <w:rsid w:val="00141038"/>
    <w:rsid w:val="0014119D"/>
    <w:rsid w:val="001416A0"/>
    <w:rsid w:val="0014193D"/>
    <w:rsid w:val="0014213E"/>
    <w:rsid w:val="00143302"/>
    <w:rsid w:val="001447D9"/>
    <w:rsid w:val="001448C9"/>
    <w:rsid w:val="001453A5"/>
    <w:rsid w:val="00145B5C"/>
    <w:rsid w:val="00145F0A"/>
    <w:rsid w:val="00146DC7"/>
    <w:rsid w:val="00147011"/>
    <w:rsid w:val="00147898"/>
    <w:rsid w:val="00147B23"/>
    <w:rsid w:val="00147DDD"/>
    <w:rsid w:val="00150CFB"/>
    <w:rsid w:val="001510B5"/>
    <w:rsid w:val="00152073"/>
    <w:rsid w:val="00152CFB"/>
    <w:rsid w:val="00153097"/>
    <w:rsid w:val="00153BF9"/>
    <w:rsid w:val="001546BB"/>
    <w:rsid w:val="00155038"/>
    <w:rsid w:val="00155604"/>
    <w:rsid w:val="00155B48"/>
    <w:rsid w:val="00156B35"/>
    <w:rsid w:val="00156C69"/>
    <w:rsid w:val="00156CB7"/>
    <w:rsid w:val="00156F9F"/>
    <w:rsid w:val="00157670"/>
    <w:rsid w:val="00157926"/>
    <w:rsid w:val="00157F8E"/>
    <w:rsid w:val="00159D44"/>
    <w:rsid w:val="00160AF4"/>
    <w:rsid w:val="00160B4B"/>
    <w:rsid w:val="00161531"/>
    <w:rsid w:val="00161BAB"/>
    <w:rsid w:val="00162761"/>
    <w:rsid w:val="00162774"/>
    <w:rsid w:val="00162FE0"/>
    <w:rsid w:val="00163A9F"/>
    <w:rsid w:val="00163C38"/>
    <w:rsid w:val="0016401F"/>
    <w:rsid w:val="001641C2"/>
    <w:rsid w:val="0016441A"/>
    <w:rsid w:val="0016452A"/>
    <w:rsid w:val="00164EAD"/>
    <w:rsid w:val="00164EF1"/>
    <w:rsid w:val="00164F5A"/>
    <w:rsid w:val="0016555B"/>
    <w:rsid w:val="00165AF3"/>
    <w:rsid w:val="001668C5"/>
    <w:rsid w:val="0016696E"/>
    <w:rsid w:val="00166E4F"/>
    <w:rsid w:val="0016755B"/>
    <w:rsid w:val="00167677"/>
    <w:rsid w:val="00167BD4"/>
    <w:rsid w:val="00167FBD"/>
    <w:rsid w:val="001707CD"/>
    <w:rsid w:val="00170EDD"/>
    <w:rsid w:val="00170FC4"/>
    <w:rsid w:val="00171419"/>
    <w:rsid w:val="0017236A"/>
    <w:rsid w:val="001729E0"/>
    <w:rsid w:val="00174950"/>
    <w:rsid w:val="00174C51"/>
    <w:rsid w:val="00175B63"/>
    <w:rsid w:val="00176CFB"/>
    <w:rsid w:val="00177173"/>
    <w:rsid w:val="00177D13"/>
    <w:rsid w:val="0018040F"/>
    <w:rsid w:val="001804F5"/>
    <w:rsid w:val="0018067A"/>
    <w:rsid w:val="001808F2"/>
    <w:rsid w:val="00181330"/>
    <w:rsid w:val="00181492"/>
    <w:rsid w:val="00181779"/>
    <w:rsid w:val="00181E77"/>
    <w:rsid w:val="00181F74"/>
    <w:rsid w:val="00182143"/>
    <w:rsid w:val="001828DB"/>
    <w:rsid w:val="00183592"/>
    <w:rsid w:val="00183BC3"/>
    <w:rsid w:val="00184A7B"/>
    <w:rsid w:val="00184AF5"/>
    <w:rsid w:val="00184CF5"/>
    <w:rsid w:val="00185147"/>
    <w:rsid w:val="00185A86"/>
    <w:rsid w:val="00185B40"/>
    <w:rsid w:val="00186840"/>
    <w:rsid w:val="00186A71"/>
    <w:rsid w:val="00187317"/>
    <w:rsid w:val="00187478"/>
    <w:rsid w:val="001878AD"/>
    <w:rsid w:val="001878B6"/>
    <w:rsid w:val="001900B6"/>
    <w:rsid w:val="001904F6"/>
    <w:rsid w:val="00190D61"/>
    <w:rsid w:val="0019179E"/>
    <w:rsid w:val="00192029"/>
    <w:rsid w:val="00192488"/>
    <w:rsid w:val="00193637"/>
    <w:rsid w:val="00193859"/>
    <w:rsid w:val="00193947"/>
    <w:rsid w:val="00193E2F"/>
    <w:rsid w:val="0019497E"/>
    <w:rsid w:val="00194E2F"/>
    <w:rsid w:val="001955FA"/>
    <w:rsid w:val="00195FD7"/>
    <w:rsid w:val="00196494"/>
    <w:rsid w:val="00196550"/>
    <w:rsid w:val="00196617"/>
    <w:rsid w:val="0019669F"/>
    <w:rsid w:val="0019691F"/>
    <w:rsid w:val="001971AF"/>
    <w:rsid w:val="001A044E"/>
    <w:rsid w:val="001A0C90"/>
    <w:rsid w:val="001A0D7F"/>
    <w:rsid w:val="001A11C8"/>
    <w:rsid w:val="001A147B"/>
    <w:rsid w:val="001A1BD5"/>
    <w:rsid w:val="001A2042"/>
    <w:rsid w:val="001A28CC"/>
    <w:rsid w:val="001A31DA"/>
    <w:rsid w:val="001A344B"/>
    <w:rsid w:val="001A37A1"/>
    <w:rsid w:val="001A41EF"/>
    <w:rsid w:val="001A4814"/>
    <w:rsid w:val="001A51A3"/>
    <w:rsid w:val="001A6020"/>
    <w:rsid w:val="001A6779"/>
    <w:rsid w:val="001A7836"/>
    <w:rsid w:val="001A795C"/>
    <w:rsid w:val="001AF54F"/>
    <w:rsid w:val="001B027D"/>
    <w:rsid w:val="001B074E"/>
    <w:rsid w:val="001B1D18"/>
    <w:rsid w:val="001B1E24"/>
    <w:rsid w:val="001B2DE2"/>
    <w:rsid w:val="001B339F"/>
    <w:rsid w:val="001B381A"/>
    <w:rsid w:val="001B3BA7"/>
    <w:rsid w:val="001B42E6"/>
    <w:rsid w:val="001B4870"/>
    <w:rsid w:val="001B4EB5"/>
    <w:rsid w:val="001B500B"/>
    <w:rsid w:val="001B5810"/>
    <w:rsid w:val="001B69CE"/>
    <w:rsid w:val="001C017D"/>
    <w:rsid w:val="001C0599"/>
    <w:rsid w:val="001C0757"/>
    <w:rsid w:val="001C08EE"/>
    <w:rsid w:val="001C1928"/>
    <w:rsid w:val="001C1A27"/>
    <w:rsid w:val="001C1B90"/>
    <w:rsid w:val="001C1E2A"/>
    <w:rsid w:val="001C2085"/>
    <w:rsid w:val="001C20E2"/>
    <w:rsid w:val="001C2E40"/>
    <w:rsid w:val="001C34C5"/>
    <w:rsid w:val="001C3925"/>
    <w:rsid w:val="001C46F6"/>
    <w:rsid w:val="001C5462"/>
    <w:rsid w:val="001C6CBF"/>
    <w:rsid w:val="001C7B27"/>
    <w:rsid w:val="001D06E2"/>
    <w:rsid w:val="001D0861"/>
    <w:rsid w:val="001D1584"/>
    <w:rsid w:val="001D1BED"/>
    <w:rsid w:val="001D1E3E"/>
    <w:rsid w:val="001D234C"/>
    <w:rsid w:val="001D32CB"/>
    <w:rsid w:val="001D3CCD"/>
    <w:rsid w:val="001D40FD"/>
    <w:rsid w:val="001D45F9"/>
    <w:rsid w:val="001D47FC"/>
    <w:rsid w:val="001D527E"/>
    <w:rsid w:val="001D5A82"/>
    <w:rsid w:val="001D5F9B"/>
    <w:rsid w:val="001D62BD"/>
    <w:rsid w:val="001D63E5"/>
    <w:rsid w:val="001D76B7"/>
    <w:rsid w:val="001D7BFB"/>
    <w:rsid w:val="001E01CB"/>
    <w:rsid w:val="001E03FA"/>
    <w:rsid w:val="001E0E73"/>
    <w:rsid w:val="001E26E6"/>
    <w:rsid w:val="001E28DD"/>
    <w:rsid w:val="001E3039"/>
    <w:rsid w:val="001E3061"/>
    <w:rsid w:val="001E34C3"/>
    <w:rsid w:val="001E365F"/>
    <w:rsid w:val="001E37B8"/>
    <w:rsid w:val="001E3908"/>
    <w:rsid w:val="001E3DA4"/>
    <w:rsid w:val="001E4140"/>
    <w:rsid w:val="001E44D3"/>
    <w:rsid w:val="001E5596"/>
    <w:rsid w:val="001E604E"/>
    <w:rsid w:val="001E6179"/>
    <w:rsid w:val="001E634E"/>
    <w:rsid w:val="001E6EBF"/>
    <w:rsid w:val="001E745B"/>
    <w:rsid w:val="001E7DF8"/>
    <w:rsid w:val="001E7ECF"/>
    <w:rsid w:val="001F0F21"/>
    <w:rsid w:val="001F10BB"/>
    <w:rsid w:val="001F1CC9"/>
    <w:rsid w:val="001F1D89"/>
    <w:rsid w:val="001F302C"/>
    <w:rsid w:val="001F39D6"/>
    <w:rsid w:val="001F414D"/>
    <w:rsid w:val="001F4213"/>
    <w:rsid w:val="001F45B7"/>
    <w:rsid w:val="001F470B"/>
    <w:rsid w:val="001F48FF"/>
    <w:rsid w:val="001F4ACE"/>
    <w:rsid w:val="001F4D9A"/>
    <w:rsid w:val="001F4E4A"/>
    <w:rsid w:val="001F57D6"/>
    <w:rsid w:val="001F5876"/>
    <w:rsid w:val="001F5BF2"/>
    <w:rsid w:val="001F5DD6"/>
    <w:rsid w:val="001F61BA"/>
    <w:rsid w:val="001F633F"/>
    <w:rsid w:val="001F6436"/>
    <w:rsid w:val="001F655E"/>
    <w:rsid w:val="001F6834"/>
    <w:rsid w:val="001F706B"/>
    <w:rsid w:val="001F719B"/>
    <w:rsid w:val="001F7CBA"/>
    <w:rsid w:val="00200A11"/>
    <w:rsid w:val="00200A3D"/>
    <w:rsid w:val="00200D22"/>
    <w:rsid w:val="00201BE8"/>
    <w:rsid w:val="002022F5"/>
    <w:rsid w:val="002024EB"/>
    <w:rsid w:val="00202F1B"/>
    <w:rsid w:val="002037B1"/>
    <w:rsid w:val="00203A4C"/>
    <w:rsid w:val="00203FF7"/>
    <w:rsid w:val="0020480F"/>
    <w:rsid w:val="00204B65"/>
    <w:rsid w:val="00205E7C"/>
    <w:rsid w:val="00206C98"/>
    <w:rsid w:val="00207ABE"/>
    <w:rsid w:val="002109F9"/>
    <w:rsid w:val="00210A27"/>
    <w:rsid w:val="002112F3"/>
    <w:rsid w:val="00211E42"/>
    <w:rsid w:val="002120BA"/>
    <w:rsid w:val="00212261"/>
    <w:rsid w:val="00212C2C"/>
    <w:rsid w:val="00213439"/>
    <w:rsid w:val="00213981"/>
    <w:rsid w:val="00213C3A"/>
    <w:rsid w:val="00213CA8"/>
    <w:rsid w:val="0021588D"/>
    <w:rsid w:val="00215C6F"/>
    <w:rsid w:val="002165DD"/>
    <w:rsid w:val="002175E3"/>
    <w:rsid w:val="00217B25"/>
    <w:rsid w:val="00217FEB"/>
    <w:rsid w:val="00220987"/>
    <w:rsid w:val="00221515"/>
    <w:rsid w:val="002216CB"/>
    <w:rsid w:val="00221ED5"/>
    <w:rsid w:val="002229A9"/>
    <w:rsid w:val="00223672"/>
    <w:rsid w:val="00223741"/>
    <w:rsid w:val="00223CD0"/>
    <w:rsid w:val="00223D7B"/>
    <w:rsid w:val="0022417C"/>
    <w:rsid w:val="00224900"/>
    <w:rsid w:val="00224D6E"/>
    <w:rsid w:val="00225488"/>
    <w:rsid w:val="0022556B"/>
    <w:rsid w:val="0022696C"/>
    <w:rsid w:val="00226D28"/>
    <w:rsid w:val="00227069"/>
    <w:rsid w:val="0022778D"/>
    <w:rsid w:val="002278E2"/>
    <w:rsid w:val="0023065A"/>
    <w:rsid w:val="002306F3"/>
    <w:rsid w:val="00230824"/>
    <w:rsid w:val="00230C07"/>
    <w:rsid w:val="00230D22"/>
    <w:rsid w:val="00231087"/>
    <w:rsid w:val="00232175"/>
    <w:rsid w:val="0023297B"/>
    <w:rsid w:val="00232B08"/>
    <w:rsid w:val="00232BC7"/>
    <w:rsid w:val="00232D7C"/>
    <w:rsid w:val="00233216"/>
    <w:rsid w:val="00233265"/>
    <w:rsid w:val="0023385C"/>
    <w:rsid w:val="00233A73"/>
    <w:rsid w:val="00233C66"/>
    <w:rsid w:val="0023409C"/>
    <w:rsid w:val="0023452E"/>
    <w:rsid w:val="00234E23"/>
    <w:rsid w:val="00234EE6"/>
    <w:rsid w:val="0023642F"/>
    <w:rsid w:val="0023644E"/>
    <w:rsid w:val="00236AA3"/>
    <w:rsid w:val="00237097"/>
    <w:rsid w:val="00237933"/>
    <w:rsid w:val="00237E12"/>
    <w:rsid w:val="00240D20"/>
    <w:rsid w:val="00240F0C"/>
    <w:rsid w:val="00241CDE"/>
    <w:rsid w:val="00242925"/>
    <w:rsid w:val="00243904"/>
    <w:rsid w:val="00243989"/>
    <w:rsid w:val="0024484B"/>
    <w:rsid w:val="00244FA0"/>
    <w:rsid w:val="00245198"/>
    <w:rsid w:val="002451D0"/>
    <w:rsid w:val="002455A1"/>
    <w:rsid w:val="002465EE"/>
    <w:rsid w:val="00246952"/>
    <w:rsid w:val="002475AF"/>
    <w:rsid w:val="002486F9"/>
    <w:rsid w:val="002509CC"/>
    <w:rsid w:val="00250A03"/>
    <w:rsid w:val="0025103E"/>
    <w:rsid w:val="002522A6"/>
    <w:rsid w:val="00253164"/>
    <w:rsid w:val="002538AB"/>
    <w:rsid w:val="00253BF2"/>
    <w:rsid w:val="00253D33"/>
    <w:rsid w:val="00253EF8"/>
    <w:rsid w:val="00254D65"/>
    <w:rsid w:val="00254F1B"/>
    <w:rsid w:val="00255E97"/>
    <w:rsid w:val="00256885"/>
    <w:rsid w:val="002568A7"/>
    <w:rsid w:val="002571AE"/>
    <w:rsid w:val="00257E85"/>
    <w:rsid w:val="00257FD2"/>
    <w:rsid w:val="002603B8"/>
    <w:rsid w:val="002603C3"/>
    <w:rsid w:val="002609A3"/>
    <w:rsid w:val="00260F1F"/>
    <w:rsid w:val="0026105D"/>
    <w:rsid w:val="002614B6"/>
    <w:rsid w:val="0026151E"/>
    <w:rsid w:val="00261A67"/>
    <w:rsid w:val="00262E1D"/>
    <w:rsid w:val="00262F57"/>
    <w:rsid w:val="00263B5B"/>
    <w:rsid w:val="00263BCF"/>
    <w:rsid w:val="0026404E"/>
    <w:rsid w:val="002647C1"/>
    <w:rsid w:val="00264C1F"/>
    <w:rsid w:val="00264EF2"/>
    <w:rsid w:val="0026638C"/>
    <w:rsid w:val="00266580"/>
    <w:rsid w:val="00266645"/>
    <w:rsid w:val="00266D0D"/>
    <w:rsid w:val="00266DD7"/>
    <w:rsid w:val="00266F6F"/>
    <w:rsid w:val="00267752"/>
    <w:rsid w:val="00270A36"/>
    <w:rsid w:val="00270A74"/>
    <w:rsid w:val="00270F61"/>
    <w:rsid w:val="0027120E"/>
    <w:rsid w:val="00271579"/>
    <w:rsid w:val="00271BC5"/>
    <w:rsid w:val="00271D43"/>
    <w:rsid w:val="0027290C"/>
    <w:rsid w:val="00272EB9"/>
    <w:rsid w:val="00272FF6"/>
    <w:rsid w:val="002736D6"/>
    <w:rsid w:val="00274077"/>
    <w:rsid w:val="002747F7"/>
    <w:rsid w:val="002756BF"/>
    <w:rsid w:val="00275714"/>
    <w:rsid w:val="00275DEB"/>
    <w:rsid w:val="00276114"/>
    <w:rsid w:val="00276E3C"/>
    <w:rsid w:val="002770A6"/>
    <w:rsid w:val="00277585"/>
    <w:rsid w:val="00277857"/>
    <w:rsid w:val="00277A0B"/>
    <w:rsid w:val="00277F1E"/>
    <w:rsid w:val="00280151"/>
    <w:rsid w:val="00280889"/>
    <w:rsid w:val="00280D7A"/>
    <w:rsid w:val="00282C0E"/>
    <w:rsid w:val="00282E20"/>
    <w:rsid w:val="00282EEE"/>
    <w:rsid w:val="00283228"/>
    <w:rsid w:val="00284364"/>
    <w:rsid w:val="0028438C"/>
    <w:rsid w:val="002843DC"/>
    <w:rsid w:val="00285579"/>
    <w:rsid w:val="00285A70"/>
    <w:rsid w:val="002863C5"/>
    <w:rsid w:val="0028696D"/>
    <w:rsid w:val="00286BB5"/>
    <w:rsid w:val="00286C4E"/>
    <w:rsid w:val="00287046"/>
    <w:rsid w:val="00287766"/>
    <w:rsid w:val="00287A69"/>
    <w:rsid w:val="00287ACD"/>
    <w:rsid w:val="00287CE6"/>
    <w:rsid w:val="00290E47"/>
    <w:rsid w:val="00291364"/>
    <w:rsid w:val="0029148A"/>
    <w:rsid w:val="00291AE2"/>
    <w:rsid w:val="00292445"/>
    <w:rsid w:val="002928F1"/>
    <w:rsid w:val="00292A78"/>
    <w:rsid w:val="002938B6"/>
    <w:rsid w:val="002939E0"/>
    <w:rsid w:val="00293B83"/>
    <w:rsid w:val="002940EB"/>
    <w:rsid w:val="00294781"/>
    <w:rsid w:val="00295A01"/>
    <w:rsid w:val="00296612"/>
    <w:rsid w:val="00297027"/>
    <w:rsid w:val="00297B38"/>
    <w:rsid w:val="002A08E5"/>
    <w:rsid w:val="002A0BC5"/>
    <w:rsid w:val="002A22AF"/>
    <w:rsid w:val="002A2961"/>
    <w:rsid w:val="002A3127"/>
    <w:rsid w:val="002A3CA8"/>
    <w:rsid w:val="002A4374"/>
    <w:rsid w:val="002A4427"/>
    <w:rsid w:val="002A4853"/>
    <w:rsid w:val="002A4C69"/>
    <w:rsid w:val="002A5229"/>
    <w:rsid w:val="002A5493"/>
    <w:rsid w:val="002A56E3"/>
    <w:rsid w:val="002A5A38"/>
    <w:rsid w:val="002A5E39"/>
    <w:rsid w:val="002A6066"/>
    <w:rsid w:val="002A61C6"/>
    <w:rsid w:val="002A693B"/>
    <w:rsid w:val="002A766A"/>
    <w:rsid w:val="002A7DFE"/>
    <w:rsid w:val="002B1978"/>
    <w:rsid w:val="002B1A96"/>
    <w:rsid w:val="002B1B73"/>
    <w:rsid w:val="002B1F9E"/>
    <w:rsid w:val="002B24FD"/>
    <w:rsid w:val="002B252A"/>
    <w:rsid w:val="002B2B68"/>
    <w:rsid w:val="002B2EC3"/>
    <w:rsid w:val="002B30AA"/>
    <w:rsid w:val="002B3142"/>
    <w:rsid w:val="002B3360"/>
    <w:rsid w:val="002B3C3E"/>
    <w:rsid w:val="002B572A"/>
    <w:rsid w:val="002B6E6F"/>
    <w:rsid w:val="002B715E"/>
    <w:rsid w:val="002B7D6F"/>
    <w:rsid w:val="002C035A"/>
    <w:rsid w:val="002C03E7"/>
    <w:rsid w:val="002C0760"/>
    <w:rsid w:val="002C0C34"/>
    <w:rsid w:val="002C0C66"/>
    <w:rsid w:val="002C0E2E"/>
    <w:rsid w:val="002C0F1E"/>
    <w:rsid w:val="002C1257"/>
    <w:rsid w:val="002C187A"/>
    <w:rsid w:val="002C1B16"/>
    <w:rsid w:val="002C1D7C"/>
    <w:rsid w:val="002C2482"/>
    <w:rsid w:val="002C25A8"/>
    <w:rsid w:val="002C2ACC"/>
    <w:rsid w:val="002C36CA"/>
    <w:rsid w:val="002C3AB4"/>
    <w:rsid w:val="002C40FA"/>
    <w:rsid w:val="002C422E"/>
    <w:rsid w:val="002C4AA3"/>
    <w:rsid w:val="002C5955"/>
    <w:rsid w:val="002C5E31"/>
    <w:rsid w:val="002C6429"/>
    <w:rsid w:val="002C67B4"/>
    <w:rsid w:val="002C772E"/>
    <w:rsid w:val="002C7A00"/>
    <w:rsid w:val="002C7ACD"/>
    <w:rsid w:val="002C7C47"/>
    <w:rsid w:val="002D000B"/>
    <w:rsid w:val="002D0F46"/>
    <w:rsid w:val="002D11D3"/>
    <w:rsid w:val="002D17F2"/>
    <w:rsid w:val="002D1BCA"/>
    <w:rsid w:val="002D1FB8"/>
    <w:rsid w:val="002D27D2"/>
    <w:rsid w:val="002D28FA"/>
    <w:rsid w:val="002D318C"/>
    <w:rsid w:val="002D3400"/>
    <w:rsid w:val="002D4A45"/>
    <w:rsid w:val="002D5B3F"/>
    <w:rsid w:val="002D619C"/>
    <w:rsid w:val="002D6C51"/>
    <w:rsid w:val="002D70C8"/>
    <w:rsid w:val="002D7379"/>
    <w:rsid w:val="002D73F7"/>
    <w:rsid w:val="002D791B"/>
    <w:rsid w:val="002E02A5"/>
    <w:rsid w:val="002E0697"/>
    <w:rsid w:val="002E089E"/>
    <w:rsid w:val="002E0C20"/>
    <w:rsid w:val="002E0F87"/>
    <w:rsid w:val="002E1195"/>
    <w:rsid w:val="002E1C5C"/>
    <w:rsid w:val="002E26BA"/>
    <w:rsid w:val="002E26E2"/>
    <w:rsid w:val="002E293D"/>
    <w:rsid w:val="002E3544"/>
    <w:rsid w:val="002E38D0"/>
    <w:rsid w:val="002E3F3C"/>
    <w:rsid w:val="002E40B3"/>
    <w:rsid w:val="002E47BA"/>
    <w:rsid w:val="002E4AC6"/>
    <w:rsid w:val="002E52CE"/>
    <w:rsid w:val="002E53EE"/>
    <w:rsid w:val="002E5421"/>
    <w:rsid w:val="002E5955"/>
    <w:rsid w:val="002E5A71"/>
    <w:rsid w:val="002E607E"/>
    <w:rsid w:val="002E65EE"/>
    <w:rsid w:val="002E6AE6"/>
    <w:rsid w:val="002E7180"/>
    <w:rsid w:val="002F049A"/>
    <w:rsid w:val="002F07D8"/>
    <w:rsid w:val="002F09BD"/>
    <w:rsid w:val="002F0E72"/>
    <w:rsid w:val="002F0FF3"/>
    <w:rsid w:val="002F155D"/>
    <w:rsid w:val="002F1A43"/>
    <w:rsid w:val="002F1B6A"/>
    <w:rsid w:val="002F211B"/>
    <w:rsid w:val="002F2DC3"/>
    <w:rsid w:val="002F2FA9"/>
    <w:rsid w:val="002F32C7"/>
    <w:rsid w:val="002F405B"/>
    <w:rsid w:val="002F5039"/>
    <w:rsid w:val="002F5B75"/>
    <w:rsid w:val="002F6885"/>
    <w:rsid w:val="00300B10"/>
    <w:rsid w:val="00301844"/>
    <w:rsid w:val="00301B89"/>
    <w:rsid w:val="003022EA"/>
    <w:rsid w:val="003025B4"/>
    <w:rsid w:val="003026E8"/>
    <w:rsid w:val="00302A02"/>
    <w:rsid w:val="00302BB9"/>
    <w:rsid w:val="00302D3B"/>
    <w:rsid w:val="00302FE1"/>
    <w:rsid w:val="0030311C"/>
    <w:rsid w:val="003033BE"/>
    <w:rsid w:val="003037EB"/>
    <w:rsid w:val="00303B88"/>
    <w:rsid w:val="00303C0C"/>
    <w:rsid w:val="00304A26"/>
    <w:rsid w:val="00304BDA"/>
    <w:rsid w:val="00305273"/>
    <w:rsid w:val="00305936"/>
    <w:rsid w:val="00305F77"/>
    <w:rsid w:val="00306489"/>
    <w:rsid w:val="00306A99"/>
    <w:rsid w:val="00306AA8"/>
    <w:rsid w:val="00307B54"/>
    <w:rsid w:val="0031003D"/>
    <w:rsid w:val="00310133"/>
    <w:rsid w:val="003108AB"/>
    <w:rsid w:val="00310A0A"/>
    <w:rsid w:val="00310B3F"/>
    <w:rsid w:val="00312876"/>
    <w:rsid w:val="003134A4"/>
    <w:rsid w:val="00313BCE"/>
    <w:rsid w:val="00313E93"/>
    <w:rsid w:val="003141F5"/>
    <w:rsid w:val="003154D0"/>
    <w:rsid w:val="00315969"/>
    <w:rsid w:val="00315F02"/>
    <w:rsid w:val="00316781"/>
    <w:rsid w:val="003167AB"/>
    <w:rsid w:val="003170D8"/>
    <w:rsid w:val="0031757B"/>
    <w:rsid w:val="0031770C"/>
    <w:rsid w:val="00317A13"/>
    <w:rsid w:val="00317B0E"/>
    <w:rsid w:val="00317BEF"/>
    <w:rsid w:val="0032004C"/>
    <w:rsid w:val="003201E9"/>
    <w:rsid w:val="00320286"/>
    <w:rsid w:val="0032072B"/>
    <w:rsid w:val="00320D85"/>
    <w:rsid w:val="0032131A"/>
    <w:rsid w:val="003218A0"/>
    <w:rsid w:val="003219C4"/>
    <w:rsid w:val="00321AC4"/>
    <w:rsid w:val="00323140"/>
    <w:rsid w:val="003232EE"/>
    <w:rsid w:val="00323387"/>
    <w:rsid w:val="00323D61"/>
    <w:rsid w:val="00323DD0"/>
    <w:rsid w:val="00323EE2"/>
    <w:rsid w:val="0032420B"/>
    <w:rsid w:val="003243E3"/>
    <w:rsid w:val="003249D2"/>
    <w:rsid w:val="003254C6"/>
    <w:rsid w:val="00326104"/>
    <w:rsid w:val="0032622C"/>
    <w:rsid w:val="0032622D"/>
    <w:rsid w:val="0032662C"/>
    <w:rsid w:val="003274CF"/>
    <w:rsid w:val="00327920"/>
    <w:rsid w:val="00327E7C"/>
    <w:rsid w:val="0033082E"/>
    <w:rsid w:val="00330F98"/>
    <w:rsid w:val="00331957"/>
    <w:rsid w:val="00332501"/>
    <w:rsid w:val="003328C9"/>
    <w:rsid w:val="00332B27"/>
    <w:rsid w:val="00332DA9"/>
    <w:rsid w:val="00333818"/>
    <w:rsid w:val="00334320"/>
    <w:rsid w:val="00334F80"/>
    <w:rsid w:val="00335399"/>
    <w:rsid w:val="00335E1B"/>
    <w:rsid w:val="003373D0"/>
    <w:rsid w:val="0033752F"/>
    <w:rsid w:val="00337C8C"/>
    <w:rsid w:val="003400AA"/>
    <w:rsid w:val="003402A9"/>
    <w:rsid w:val="00340912"/>
    <w:rsid w:val="0034101C"/>
    <w:rsid w:val="00341407"/>
    <w:rsid w:val="00341C7D"/>
    <w:rsid w:val="00342D49"/>
    <w:rsid w:val="003432A6"/>
    <w:rsid w:val="00343346"/>
    <w:rsid w:val="003435BB"/>
    <w:rsid w:val="003436C5"/>
    <w:rsid w:val="003436E2"/>
    <w:rsid w:val="00343CCF"/>
    <w:rsid w:val="003444F4"/>
    <w:rsid w:val="00344DF5"/>
    <w:rsid w:val="003453A0"/>
    <w:rsid w:val="0034590A"/>
    <w:rsid w:val="0034596E"/>
    <w:rsid w:val="00345E47"/>
    <w:rsid w:val="0034650D"/>
    <w:rsid w:val="00346A64"/>
    <w:rsid w:val="00346F02"/>
    <w:rsid w:val="003477CC"/>
    <w:rsid w:val="00347BAE"/>
    <w:rsid w:val="00347F2D"/>
    <w:rsid w:val="003503A3"/>
    <w:rsid w:val="0035077E"/>
    <w:rsid w:val="003509FF"/>
    <w:rsid w:val="00350C1A"/>
    <w:rsid w:val="00350F14"/>
    <w:rsid w:val="00351735"/>
    <w:rsid w:val="00351A33"/>
    <w:rsid w:val="00352164"/>
    <w:rsid w:val="00352514"/>
    <w:rsid w:val="00352D7F"/>
    <w:rsid w:val="00352DA9"/>
    <w:rsid w:val="00352E1B"/>
    <w:rsid w:val="00352F72"/>
    <w:rsid w:val="00354020"/>
    <w:rsid w:val="00354937"/>
    <w:rsid w:val="0035687A"/>
    <w:rsid w:val="003569B7"/>
    <w:rsid w:val="00356BBA"/>
    <w:rsid w:val="00356C69"/>
    <w:rsid w:val="00360C29"/>
    <w:rsid w:val="00360CE1"/>
    <w:rsid w:val="003612CE"/>
    <w:rsid w:val="0036147F"/>
    <w:rsid w:val="00362056"/>
    <w:rsid w:val="00362433"/>
    <w:rsid w:val="00362F27"/>
    <w:rsid w:val="003638A8"/>
    <w:rsid w:val="00363B17"/>
    <w:rsid w:val="00363C45"/>
    <w:rsid w:val="00363D74"/>
    <w:rsid w:val="0036448D"/>
    <w:rsid w:val="003647B4"/>
    <w:rsid w:val="00365193"/>
    <w:rsid w:val="0036524E"/>
    <w:rsid w:val="00365B2C"/>
    <w:rsid w:val="00365D73"/>
    <w:rsid w:val="00366BD2"/>
    <w:rsid w:val="00366F1E"/>
    <w:rsid w:val="003674B0"/>
    <w:rsid w:val="0036774A"/>
    <w:rsid w:val="0037076B"/>
    <w:rsid w:val="003708C2"/>
    <w:rsid w:val="00370B4D"/>
    <w:rsid w:val="00371030"/>
    <w:rsid w:val="003711C6"/>
    <w:rsid w:val="00371E71"/>
    <w:rsid w:val="003728FE"/>
    <w:rsid w:val="00372C3B"/>
    <w:rsid w:val="00372CE3"/>
    <w:rsid w:val="00373315"/>
    <w:rsid w:val="0037406D"/>
    <w:rsid w:val="003741A1"/>
    <w:rsid w:val="00374D7D"/>
    <w:rsid w:val="003754FC"/>
    <w:rsid w:val="00375CA5"/>
    <w:rsid w:val="003763B7"/>
    <w:rsid w:val="00376A83"/>
    <w:rsid w:val="003774F9"/>
    <w:rsid w:val="00377A21"/>
    <w:rsid w:val="00377A56"/>
    <w:rsid w:val="003808A4"/>
    <w:rsid w:val="00380D89"/>
    <w:rsid w:val="00381031"/>
    <w:rsid w:val="0038137E"/>
    <w:rsid w:val="00381FD1"/>
    <w:rsid w:val="003825FA"/>
    <w:rsid w:val="0038293C"/>
    <w:rsid w:val="00382FA0"/>
    <w:rsid w:val="00383A00"/>
    <w:rsid w:val="00383E1E"/>
    <w:rsid w:val="00383FC5"/>
    <w:rsid w:val="0038437C"/>
    <w:rsid w:val="00384E69"/>
    <w:rsid w:val="00385A86"/>
    <w:rsid w:val="00386707"/>
    <w:rsid w:val="00386A3F"/>
    <w:rsid w:val="00386B50"/>
    <w:rsid w:val="00387510"/>
    <w:rsid w:val="003877DD"/>
    <w:rsid w:val="00390A71"/>
    <w:rsid w:val="00390CBB"/>
    <w:rsid w:val="003916FD"/>
    <w:rsid w:val="00391966"/>
    <w:rsid w:val="00392551"/>
    <w:rsid w:val="00392664"/>
    <w:rsid w:val="00392AA0"/>
    <w:rsid w:val="00392AA9"/>
    <w:rsid w:val="00392CE4"/>
    <w:rsid w:val="00392F99"/>
    <w:rsid w:val="0039336A"/>
    <w:rsid w:val="00393860"/>
    <w:rsid w:val="003940B2"/>
    <w:rsid w:val="003944A5"/>
    <w:rsid w:val="00394A01"/>
    <w:rsid w:val="00394B02"/>
    <w:rsid w:val="0039500A"/>
    <w:rsid w:val="0039585E"/>
    <w:rsid w:val="00395BB4"/>
    <w:rsid w:val="00396218"/>
    <w:rsid w:val="00396DED"/>
    <w:rsid w:val="003970F6"/>
    <w:rsid w:val="00397A23"/>
    <w:rsid w:val="00397C7F"/>
    <w:rsid w:val="003A0BC6"/>
    <w:rsid w:val="003A220F"/>
    <w:rsid w:val="003A25D4"/>
    <w:rsid w:val="003A30C7"/>
    <w:rsid w:val="003A409F"/>
    <w:rsid w:val="003A4171"/>
    <w:rsid w:val="003A45D3"/>
    <w:rsid w:val="003A479F"/>
    <w:rsid w:val="003A4F36"/>
    <w:rsid w:val="003A572C"/>
    <w:rsid w:val="003A60B6"/>
    <w:rsid w:val="003A6371"/>
    <w:rsid w:val="003A65E8"/>
    <w:rsid w:val="003A6978"/>
    <w:rsid w:val="003A72DD"/>
    <w:rsid w:val="003B0853"/>
    <w:rsid w:val="003B12D2"/>
    <w:rsid w:val="003B2283"/>
    <w:rsid w:val="003B28C1"/>
    <w:rsid w:val="003B31C3"/>
    <w:rsid w:val="003B379B"/>
    <w:rsid w:val="003B4089"/>
    <w:rsid w:val="003B4AA7"/>
    <w:rsid w:val="003B4F9F"/>
    <w:rsid w:val="003B60A8"/>
    <w:rsid w:val="003B6388"/>
    <w:rsid w:val="003B6AD9"/>
    <w:rsid w:val="003B6CB9"/>
    <w:rsid w:val="003B789F"/>
    <w:rsid w:val="003C059D"/>
    <w:rsid w:val="003C0B6A"/>
    <w:rsid w:val="003C0BE2"/>
    <w:rsid w:val="003C10D6"/>
    <w:rsid w:val="003C1501"/>
    <w:rsid w:val="003C1731"/>
    <w:rsid w:val="003C211B"/>
    <w:rsid w:val="003C232C"/>
    <w:rsid w:val="003C23D3"/>
    <w:rsid w:val="003C26DC"/>
    <w:rsid w:val="003C3ACC"/>
    <w:rsid w:val="003C4691"/>
    <w:rsid w:val="003C4BBD"/>
    <w:rsid w:val="003C4E47"/>
    <w:rsid w:val="003C5176"/>
    <w:rsid w:val="003C54AB"/>
    <w:rsid w:val="003C5D29"/>
    <w:rsid w:val="003C6789"/>
    <w:rsid w:val="003C67E5"/>
    <w:rsid w:val="003C68E5"/>
    <w:rsid w:val="003C7A6C"/>
    <w:rsid w:val="003D0593"/>
    <w:rsid w:val="003D0BB3"/>
    <w:rsid w:val="003D0BF1"/>
    <w:rsid w:val="003D0D46"/>
    <w:rsid w:val="003D0DA8"/>
    <w:rsid w:val="003D0EE3"/>
    <w:rsid w:val="003D15B7"/>
    <w:rsid w:val="003D2262"/>
    <w:rsid w:val="003D2946"/>
    <w:rsid w:val="003D35DE"/>
    <w:rsid w:val="003D3AE1"/>
    <w:rsid w:val="003D3C4B"/>
    <w:rsid w:val="003D3E23"/>
    <w:rsid w:val="003D40DF"/>
    <w:rsid w:val="003D439E"/>
    <w:rsid w:val="003D46FB"/>
    <w:rsid w:val="003D495C"/>
    <w:rsid w:val="003D4F05"/>
    <w:rsid w:val="003D5B39"/>
    <w:rsid w:val="003D6369"/>
    <w:rsid w:val="003D66FF"/>
    <w:rsid w:val="003D7FE9"/>
    <w:rsid w:val="003E0330"/>
    <w:rsid w:val="003E0478"/>
    <w:rsid w:val="003E0C27"/>
    <w:rsid w:val="003E14B3"/>
    <w:rsid w:val="003E1A8F"/>
    <w:rsid w:val="003E37E5"/>
    <w:rsid w:val="003E3B5B"/>
    <w:rsid w:val="003E3F9A"/>
    <w:rsid w:val="003E4688"/>
    <w:rsid w:val="003E4CD3"/>
    <w:rsid w:val="003E5376"/>
    <w:rsid w:val="003E53E8"/>
    <w:rsid w:val="003E5449"/>
    <w:rsid w:val="003E5642"/>
    <w:rsid w:val="003E586E"/>
    <w:rsid w:val="003E5F97"/>
    <w:rsid w:val="003E6222"/>
    <w:rsid w:val="003E628B"/>
    <w:rsid w:val="003E6574"/>
    <w:rsid w:val="003E6760"/>
    <w:rsid w:val="003E6B60"/>
    <w:rsid w:val="003E6FA7"/>
    <w:rsid w:val="003E7194"/>
    <w:rsid w:val="003E73E3"/>
    <w:rsid w:val="003E7D48"/>
    <w:rsid w:val="003E7EBB"/>
    <w:rsid w:val="003ECC92"/>
    <w:rsid w:val="003F014E"/>
    <w:rsid w:val="003F03E3"/>
    <w:rsid w:val="003F0990"/>
    <w:rsid w:val="003F0A95"/>
    <w:rsid w:val="003F125C"/>
    <w:rsid w:val="003F1EA0"/>
    <w:rsid w:val="003F2585"/>
    <w:rsid w:val="003F32A1"/>
    <w:rsid w:val="003F3669"/>
    <w:rsid w:val="003F3AAF"/>
    <w:rsid w:val="003F3C1E"/>
    <w:rsid w:val="003F4296"/>
    <w:rsid w:val="003F4848"/>
    <w:rsid w:val="003F5520"/>
    <w:rsid w:val="003F5923"/>
    <w:rsid w:val="003F59AC"/>
    <w:rsid w:val="003F5BB8"/>
    <w:rsid w:val="003F6164"/>
    <w:rsid w:val="003F6331"/>
    <w:rsid w:val="003F66B1"/>
    <w:rsid w:val="003F6826"/>
    <w:rsid w:val="003F6AC9"/>
    <w:rsid w:val="003F6EBB"/>
    <w:rsid w:val="003F7119"/>
    <w:rsid w:val="00400123"/>
    <w:rsid w:val="004001A2"/>
    <w:rsid w:val="00400B61"/>
    <w:rsid w:val="00400C77"/>
    <w:rsid w:val="00400EC5"/>
    <w:rsid w:val="00401122"/>
    <w:rsid w:val="00401197"/>
    <w:rsid w:val="00401543"/>
    <w:rsid w:val="00401838"/>
    <w:rsid w:val="0040260A"/>
    <w:rsid w:val="004027E0"/>
    <w:rsid w:val="00403CCC"/>
    <w:rsid w:val="00403D99"/>
    <w:rsid w:val="00405F2F"/>
    <w:rsid w:val="004061DC"/>
    <w:rsid w:val="00406E76"/>
    <w:rsid w:val="004072FC"/>
    <w:rsid w:val="004073F0"/>
    <w:rsid w:val="004103FB"/>
    <w:rsid w:val="004111B5"/>
    <w:rsid w:val="0041140A"/>
    <w:rsid w:val="004114F1"/>
    <w:rsid w:val="004120CD"/>
    <w:rsid w:val="004128DC"/>
    <w:rsid w:val="004129AA"/>
    <w:rsid w:val="00412E3A"/>
    <w:rsid w:val="004136A9"/>
    <w:rsid w:val="00413A1F"/>
    <w:rsid w:val="00413D61"/>
    <w:rsid w:val="00413EAE"/>
    <w:rsid w:val="004145F5"/>
    <w:rsid w:val="00414764"/>
    <w:rsid w:val="00414B0B"/>
    <w:rsid w:val="00414B3B"/>
    <w:rsid w:val="00415027"/>
    <w:rsid w:val="00415048"/>
    <w:rsid w:val="00415FC4"/>
    <w:rsid w:val="004162D5"/>
    <w:rsid w:val="00416B97"/>
    <w:rsid w:val="00416BEB"/>
    <w:rsid w:val="00417817"/>
    <w:rsid w:val="004206B6"/>
    <w:rsid w:val="00420902"/>
    <w:rsid w:val="00420FC1"/>
    <w:rsid w:val="004217B1"/>
    <w:rsid w:val="00421D4D"/>
    <w:rsid w:val="00422EE3"/>
    <w:rsid w:val="004231CA"/>
    <w:rsid w:val="00423483"/>
    <w:rsid w:val="0042361D"/>
    <w:rsid w:val="0042392E"/>
    <w:rsid w:val="00423B65"/>
    <w:rsid w:val="00423FC6"/>
    <w:rsid w:val="00424F34"/>
    <w:rsid w:val="004262DD"/>
    <w:rsid w:val="004266E1"/>
    <w:rsid w:val="00426BEE"/>
    <w:rsid w:val="00426EFD"/>
    <w:rsid w:val="00427067"/>
    <w:rsid w:val="00427286"/>
    <w:rsid w:val="0043100F"/>
    <w:rsid w:val="00431289"/>
    <w:rsid w:val="00431972"/>
    <w:rsid w:val="00431FCF"/>
    <w:rsid w:val="0043251E"/>
    <w:rsid w:val="004335A0"/>
    <w:rsid w:val="00433A76"/>
    <w:rsid w:val="00433BBF"/>
    <w:rsid w:val="00433E13"/>
    <w:rsid w:val="00434D4A"/>
    <w:rsid w:val="00435362"/>
    <w:rsid w:val="00435717"/>
    <w:rsid w:val="0043611F"/>
    <w:rsid w:val="0043694C"/>
    <w:rsid w:val="00436FD8"/>
    <w:rsid w:val="0043754F"/>
    <w:rsid w:val="00437681"/>
    <w:rsid w:val="004376AC"/>
    <w:rsid w:val="00437782"/>
    <w:rsid w:val="00437962"/>
    <w:rsid w:val="00437D78"/>
    <w:rsid w:val="00440445"/>
    <w:rsid w:val="00440D10"/>
    <w:rsid w:val="00440EF3"/>
    <w:rsid w:val="0044135E"/>
    <w:rsid w:val="00441545"/>
    <w:rsid w:val="00441BAA"/>
    <w:rsid w:val="0044371D"/>
    <w:rsid w:val="0044475A"/>
    <w:rsid w:val="004448C4"/>
    <w:rsid w:val="00445354"/>
    <w:rsid w:val="00445607"/>
    <w:rsid w:val="00445867"/>
    <w:rsid w:val="00445B09"/>
    <w:rsid w:val="00445CD6"/>
    <w:rsid w:val="00446420"/>
    <w:rsid w:val="00446923"/>
    <w:rsid w:val="00446D47"/>
    <w:rsid w:val="0044746C"/>
    <w:rsid w:val="0044788C"/>
    <w:rsid w:val="00447B44"/>
    <w:rsid w:val="00450125"/>
    <w:rsid w:val="0045016F"/>
    <w:rsid w:val="00450766"/>
    <w:rsid w:val="00450A70"/>
    <w:rsid w:val="00450C00"/>
    <w:rsid w:val="00450E37"/>
    <w:rsid w:val="00451151"/>
    <w:rsid w:val="00451AD3"/>
    <w:rsid w:val="00451B40"/>
    <w:rsid w:val="00451BA0"/>
    <w:rsid w:val="004523AC"/>
    <w:rsid w:val="004527CD"/>
    <w:rsid w:val="00452F60"/>
    <w:rsid w:val="00452FD2"/>
    <w:rsid w:val="00453670"/>
    <w:rsid w:val="00453C6C"/>
    <w:rsid w:val="00453D62"/>
    <w:rsid w:val="00454AB9"/>
    <w:rsid w:val="00454E7F"/>
    <w:rsid w:val="004556AC"/>
    <w:rsid w:val="00455DF8"/>
    <w:rsid w:val="004569F8"/>
    <w:rsid w:val="00457443"/>
    <w:rsid w:val="0045757B"/>
    <w:rsid w:val="00457834"/>
    <w:rsid w:val="004608F7"/>
    <w:rsid w:val="00461090"/>
    <w:rsid w:val="004614A1"/>
    <w:rsid w:val="00462E7A"/>
    <w:rsid w:val="00463068"/>
    <w:rsid w:val="004630BA"/>
    <w:rsid w:val="004631E9"/>
    <w:rsid w:val="0046353E"/>
    <w:rsid w:val="004636B4"/>
    <w:rsid w:val="0046394A"/>
    <w:rsid w:val="00463EE6"/>
    <w:rsid w:val="00463FDE"/>
    <w:rsid w:val="0046448C"/>
    <w:rsid w:val="00464540"/>
    <w:rsid w:val="00464B30"/>
    <w:rsid w:val="00464EEE"/>
    <w:rsid w:val="004654B7"/>
    <w:rsid w:val="004656CC"/>
    <w:rsid w:val="00465B16"/>
    <w:rsid w:val="00465E29"/>
    <w:rsid w:val="004664A0"/>
    <w:rsid w:val="004669B5"/>
    <w:rsid w:val="00467A4B"/>
    <w:rsid w:val="00470588"/>
    <w:rsid w:val="00470766"/>
    <w:rsid w:val="00470999"/>
    <w:rsid w:val="00471480"/>
    <w:rsid w:val="00471862"/>
    <w:rsid w:val="0047219A"/>
    <w:rsid w:val="00472BF4"/>
    <w:rsid w:val="00473516"/>
    <w:rsid w:val="004736CF"/>
    <w:rsid w:val="0047386C"/>
    <w:rsid w:val="00473B3E"/>
    <w:rsid w:val="0047433D"/>
    <w:rsid w:val="00475478"/>
    <w:rsid w:val="00475CD7"/>
    <w:rsid w:val="004760EE"/>
    <w:rsid w:val="0047631C"/>
    <w:rsid w:val="004765AB"/>
    <w:rsid w:val="00476A03"/>
    <w:rsid w:val="0047717D"/>
    <w:rsid w:val="00480593"/>
    <w:rsid w:val="00480B67"/>
    <w:rsid w:val="00480CDA"/>
    <w:rsid w:val="00480D5F"/>
    <w:rsid w:val="00480D68"/>
    <w:rsid w:val="00481143"/>
    <w:rsid w:val="0048242C"/>
    <w:rsid w:val="00482B1B"/>
    <w:rsid w:val="00482F94"/>
    <w:rsid w:val="00483077"/>
    <w:rsid w:val="004830B4"/>
    <w:rsid w:val="0048314D"/>
    <w:rsid w:val="004837CC"/>
    <w:rsid w:val="0048543E"/>
    <w:rsid w:val="00485B17"/>
    <w:rsid w:val="00485F06"/>
    <w:rsid w:val="004862FF"/>
    <w:rsid w:val="00486F44"/>
    <w:rsid w:val="004876C8"/>
    <w:rsid w:val="00487A41"/>
    <w:rsid w:val="00490354"/>
    <w:rsid w:val="00490F21"/>
    <w:rsid w:val="004916CB"/>
    <w:rsid w:val="00491C23"/>
    <w:rsid w:val="0049371D"/>
    <w:rsid w:val="00494859"/>
    <w:rsid w:val="0049571E"/>
    <w:rsid w:val="00495A1D"/>
    <w:rsid w:val="00495E93"/>
    <w:rsid w:val="004964A4"/>
    <w:rsid w:val="004966DB"/>
    <w:rsid w:val="00497E1B"/>
    <w:rsid w:val="004A0233"/>
    <w:rsid w:val="004A0651"/>
    <w:rsid w:val="004A0CF1"/>
    <w:rsid w:val="004A1370"/>
    <w:rsid w:val="004A139A"/>
    <w:rsid w:val="004A2348"/>
    <w:rsid w:val="004A2C71"/>
    <w:rsid w:val="004A2EA6"/>
    <w:rsid w:val="004A32A7"/>
    <w:rsid w:val="004A333D"/>
    <w:rsid w:val="004A344D"/>
    <w:rsid w:val="004A406C"/>
    <w:rsid w:val="004A40F4"/>
    <w:rsid w:val="004A44E0"/>
    <w:rsid w:val="004A48AB"/>
    <w:rsid w:val="004A5048"/>
    <w:rsid w:val="004A5630"/>
    <w:rsid w:val="004A5DF8"/>
    <w:rsid w:val="004A63F5"/>
    <w:rsid w:val="004A66BE"/>
    <w:rsid w:val="004A6B58"/>
    <w:rsid w:val="004A6FCC"/>
    <w:rsid w:val="004A70A1"/>
    <w:rsid w:val="004A755F"/>
    <w:rsid w:val="004A7617"/>
    <w:rsid w:val="004A7D01"/>
    <w:rsid w:val="004B00E0"/>
    <w:rsid w:val="004B1ED9"/>
    <w:rsid w:val="004B23EC"/>
    <w:rsid w:val="004B25D6"/>
    <w:rsid w:val="004B2A8C"/>
    <w:rsid w:val="004B38E4"/>
    <w:rsid w:val="004B3F43"/>
    <w:rsid w:val="004B4477"/>
    <w:rsid w:val="004B4568"/>
    <w:rsid w:val="004B4780"/>
    <w:rsid w:val="004B4994"/>
    <w:rsid w:val="004B4A81"/>
    <w:rsid w:val="004B4CED"/>
    <w:rsid w:val="004B5349"/>
    <w:rsid w:val="004B5977"/>
    <w:rsid w:val="004B5E06"/>
    <w:rsid w:val="004B62EC"/>
    <w:rsid w:val="004B68E6"/>
    <w:rsid w:val="004B6A96"/>
    <w:rsid w:val="004B7779"/>
    <w:rsid w:val="004C0197"/>
    <w:rsid w:val="004C0ECB"/>
    <w:rsid w:val="004C1123"/>
    <w:rsid w:val="004C1704"/>
    <w:rsid w:val="004C228B"/>
    <w:rsid w:val="004C22D1"/>
    <w:rsid w:val="004C256B"/>
    <w:rsid w:val="004C296F"/>
    <w:rsid w:val="004C2AE6"/>
    <w:rsid w:val="004C2D76"/>
    <w:rsid w:val="004C3BB1"/>
    <w:rsid w:val="004C45BA"/>
    <w:rsid w:val="004C4825"/>
    <w:rsid w:val="004C4CFB"/>
    <w:rsid w:val="004C4FD5"/>
    <w:rsid w:val="004C5211"/>
    <w:rsid w:val="004C5511"/>
    <w:rsid w:val="004C5A79"/>
    <w:rsid w:val="004C5C4A"/>
    <w:rsid w:val="004C644B"/>
    <w:rsid w:val="004C6C2C"/>
    <w:rsid w:val="004C6DD3"/>
    <w:rsid w:val="004C6ED3"/>
    <w:rsid w:val="004C79EC"/>
    <w:rsid w:val="004C7B9C"/>
    <w:rsid w:val="004D0313"/>
    <w:rsid w:val="004D0A44"/>
    <w:rsid w:val="004D1A00"/>
    <w:rsid w:val="004D1FC3"/>
    <w:rsid w:val="004D2451"/>
    <w:rsid w:val="004D28FC"/>
    <w:rsid w:val="004D3B7E"/>
    <w:rsid w:val="004D40D1"/>
    <w:rsid w:val="004D45F6"/>
    <w:rsid w:val="004D48A3"/>
    <w:rsid w:val="004D4EAC"/>
    <w:rsid w:val="004D594E"/>
    <w:rsid w:val="004D5C4B"/>
    <w:rsid w:val="004D6E9E"/>
    <w:rsid w:val="004D6F38"/>
    <w:rsid w:val="004D79B7"/>
    <w:rsid w:val="004E032B"/>
    <w:rsid w:val="004E03AD"/>
    <w:rsid w:val="004E04A7"/>
    <w:rsid w:val="004E09EF"/>
    <w:rsid w:val="004E10A1"/>
    <w:rsid w:val="004E10C9"/>
    <w:rsid w:val="004E146C"/>
    <w:rsid w:val="004E1476"/>
    <w:rsid w:val="004E1900"/>
    <w:rsid w:val="004E214A"/>
    <w:rsid w:val="004E2615"/>
    <w:rsid w:val="004E272F"/>
    <w:rsid w:val="004E277A"/>
    <w:rsid w:val="004E28D1"/>
    <w:rsid w:val="004E2DE3"/>
    <w:rsid w:val="004E2F8B"/>
    <w:rsid w:val="004E3104"/>
    <w:rsid w:val="004E339C"/>
    <w:rsid w:val="004E370F"/>
    <w:rsid w:val="004E38AD"/>
    <w:rsid w:val="004E43FA"/>
    <w:rsid w:val="004E4A61"/>
    <w:rsid w:val="004E4CD4"/>
    <w:rsid w:val="004E507E"/>
    <w:rsid w:val="004E608B"/>
    <w:rsid w:val="004E644C"/>
    <w:rsid w:val="004E6977"/>
    <w:rsid w:val="004E6BD1"/>
    <w:rsid w:val="004E706E"/>
    <w:rsid w:val="004F060E"/>
    <w:rsid w:val="004F1216"/>
    <w:rsid w:val="004F16D1"/>
    <w:rsid w:val="004F1FD4"/>
    <w:rsid w:val="004F24CC"/>
    <w:rsid w:val="004F2D62"/>
    <w:rsid w:val="004F31CF"/>
    <w:rsid w:val="004F422E"/>
    <w:rsid w:val="004F4775"/>
    <w:rsid w:val="004F4A18"/>
    <w:rsid w:val="004F4EBC"/>
    <w:rsid w:val="004F561F"/>
    <w:rsid w:val="004F5A9E"/>
    <w:rsid w:val="004F6288"/>
    <w:rsid w:val="004F6759"/>
    <w:rsid w:val="004F67C1"/>
    <w:rsid w:val="004F67F3"/>
    <w:rsid w:val="004F696E"/>
    <w:rsid w:val="004F7185"/>
    <w:rsid w:val="004F7454"/>
    <w:rsid w:val="004F745A"/>
    <w:rsid w:val="004F750F"/>
    <w:rsid w:val="004F796C"/>
    <w:rsid w:val="004F7AB8"/>
    <w:rsid w:val="004F7EB5"/>
    <w:rsid w:val="0050079B"/>
    <w:rsid w:val="00500B98"/>
    <w:rsid w:val="00500F14"/>
    <w:rsid w:val="005010E4"/>
    <w:rsid w:val="00501B5A"/>
    <w:rsid w:val="00501DB7"/>
    <w:rsid w:val="0050271E"/>
    <w:rsid w:val="00502A12"/>
    <w:rsid w:val="00502F25"/>
    <w:rsid w:val="00503ADE"/>
    <w:rsid w:val="00504233"/>
    <w:rsid w:val="00504AC1"/>
    <w:rsid w:val="00504D3B"/>
    <w:rsid w:val="005050AB"/>
    <w:rsid w:val="005055CF"/>
    <w:rsid w:val="005056CC"/>
    <w:rsid w:val="00506CEE"/>
    <w:rsid w:val="00507135"/>
    <w:rsid w:val="0051014F"/>
    <w:rsid w:val="005101EA"/>
    <w:rsid w:val="00510208"/>
    <w:rsid w:val="0051124C"/>
    <w:rsid w:val="005117A4"/>
    <w:rsid w:val="00511B4C"/>
    <w:rsid w:val="00512762"/>
    <w:rsid w:val="00513996"/>
    <w:rsid w:val="00513B17"/>
    <w:rsid w:val="00514066"/>
    <w:rsid w:val="00514EEF"/>
    <w:rsid w:val="00514F55"/>
    <w:rsid w:val="00514F6D"/>
    <w:rsid w:val="00515252"/>
    <w:rsid w:val="0051635D"/>
    <w:rsid w:val="00517685"/>
    <w:rsid w:val="00517C00"/>
    <w:rsid w:val="005201AD"/>
    <w:rsid w:val="0052046F"/>
    <w:rsid w:val="00520F10"/>
    <w:rsid w:val="0052234D"/>
    <w:rsid w:val="005226DE"/>
    <w:rsid w:val="00524FB8"/>
    <w:rsid w:val="0052526E"/>
    <w:rsid w:val="00525F78"/>
    <w:rsid w:val="00526194"/>
    <w:rsid w:val="0052687B"/>
    <w:rsid w:val="00526A11"/>
    <w:rsid w:val="00526EF8"/>
    <w:rsid w:val="0052725B"/>
    <w:rsid w:val="0052731B"/>
    <w:rsid w:val="00527353"/>
    <w:rsid w:val="005301A4"/>
    <w:rsid w:val="00530571"/>
    <w:rsid w:val="00530944"/>
    <w:rsid w:val="00530BDB"/>
    <w:rsid w:val="00531D6E"/>
    <w:rsid w:val="00531D9D"/>
    <w:rsid w:val="005324D8"/>
    <w:rsid w:val="00532F31"/>
    <w:rsid w:val="005335C4"/>
    <w:rsid w:val="0053485E"/>
    <w:rsid w:val="00534B6C"/>
    <w:rsid w:val="00534F43"/>
    <w:rsid w:val="005350AE"/>
    <w:rsid w:val="0053514E"/>
    <w:rsid w:val="00535A9A"/>
    <w:rsid w:val="00535E9B"/>
    <w:rsid w:val="00535FF2"/>
    <w:rsid w:val="00536BB0"/>
    <w:rsid w:val="00536FE8"/>
    <w:rsid w:val="00537263"/>
    <w:rsid w:val="00537658"/>
    <w:rsid w:val="005379B5"/>
    <w:rsid w:val="00537B5C"/>
    <w:rsid w:val="0054055D"/>
    <w:rsid w:val="005424F7"/>
    <w:rsid w:val="0054282B"/>
    <w:rsid w:val="00542A7A"/>
    <w:rsid w:val="00543C2C"/>
    <w:rsid w:val="00544380"/>
    <w:rsid w:val="0054493B"/>
    <w:rsid w:val="00545493"/>
    <w:rsid w:val="00545DA9"/>
    <w:rsid w:val="00546B97"/>
    <w:rsid w:val="00547201"/>
    <w:rsid w:val="00547E5F"/>
    <w:rsid w:val="005504E3"/>
    <w:rsid w:val="00550815"/>
    <w:rsid w:val="005508EF"/>
    <w:rsid w:val="005510D1"/>
    <w:rsid w:val="0055175A"/>
    <w:rsid w:val="005533F2"/>
    <w:rsid w:val="00553604"/>
    <w:rsid w:val="0055390A"/>
    <w:rsid w:val="0055463D"/>
    <w:rsid w:val="00554CE1"/>
    <w:rsid w:val="00554E6A"/>
    <w:rsid w:val="0055568A"/>
    <w:rsid w:val="00555CF4"/>
    <w:rsid w:val="00555D6D"/>
    <w:rsid w:val="005570A4"/>
    <w:rsid w:val="005571D3"/>
    <w:rsid w:val="005574BB"/>
    <w:rsid w:val="00557580"/>
    <w:rsid w:val="00557DFC"/>
    <w:rsid w:val="00557E39"/>
    <w:rsid w:val="00560CD7"/>
    <w:rsid w:val="00560D34"/>
    <w:rsid w:val="00560D37"/>
    <w:rsid w:val="00561179"/>
    <w:rsid w:val="00561632"/>
    <w:rsid w:val="00561758"/>
    <w:rsid w:val="00562895"/>
    <w:rsid w:val="00562D25"/>
    <w:rsid w:val="00563936"/>
    <w:rsid w:val="00564024"/>
    <w:rsid w:val="005648FB"/>
    <w:rsid w:val="00564F8E"/>
    <w:rsid w:val="005654EF"/>
    <w:rsid w:val="0056658A"/>
    <w:rsid w:val="00566790"/>
    <w:rsid w:val="005671B9"/>
    <w:rsid w:val="0056742F"/>
    <w:rsid w:val="005676B1"/>
    <w:rsid w:val="005676D2"/>
    <w:rsid w:val="00567CC2"/>
    <w:rsid w:val="0057008A"/>
    <w:rsid w:val="0057128E"/>
    <w:rsid w:val="00571C10"/>
    <w:rsid w:val="00572558"/>
    <w:rsid w:val="0057268E"/>
    <w:rsid w:val="00572F71"/>
    <w:rsid w:val="0057308A"/>
    <w:rsid w:val="00573A09"/>
    <w:rsid w:val="0057546E"/>
    <w:rsid w:val="005767FA"/>
    <w:rsid w:val="0057715C"/>
    <w:rsid w:val="00577999"/>
    <w:rsid w:val="00577A07"/>
    <w:rsid w:val="00577A36"/>
    <w:rsid w:val="0058053B"/>
    <w:rsid w:val="0058065D"/>
    <w:rsid w:val="005806DA"/>
    <w:rsid w:val="00580CD2"/>
    <w:rsid w:val="00580EF1"/>
    <w:rsid w:val="00581511"/>
    <w:rsid w:val="005818F3"/>
    <w:rsid w:val="00581D29"/>
    <w:rsid w:val="005821DF"/>
    <w:rsid w:val="00582958"/>
    <w:rsid w:val="00582C88"/>
    <w:rsid w:val="00583103"/>
    <w:rsid w:val="005831D7"/>
    <w:rsid w:val="0058325D"/>
    <w:rsid w:val="00583A09"/>
    <w:rsid w:val="00583C8C"/>
    <w:rsid w:val="00583D30"/>
    <w:rsid w:val="00583D85"/>
    <w:rsid w:val="005842EB"/>
    <w:rsid w:val="0058441C"/>
    <w:rsid w:val="00584B7F"/>
    <w:rsid w:val="00584CB1"/>
    <w:rsid w:val="005859AF"/>
    <w:rsid w:val="00585E0F"/>
    <w:rsid w:val="00585FE2"/>
    <w:rsid w:val="00586DFF"/>
    <w:rsid w:val="00586E51"/>
    <w:rsid w:val="0058725B"/>
    <w:rsid w:val="0058736D"/>
    <w:rsid w:val="00587A6F"/>
    <w:rsid w:val="00587A7F"/>
    <w:rsid w:val="00591BDA"/>
    <w:rsid w:val="00592AA5"/>
    <w:rsid w:val="00592C2D"/>
    <w:rsid w:val="00594294"/>
    <w:rsid w:val="005945A8"/>
    <w:rsid w:val="00594A6F"/>
    <w:rsid w:val="0059512E"/>
    <w:rsid w:val="005954AE"/>
    <w:rsid w:val="0059599C"/>
    <w:rsid w:val="00596230"/>
    <w:rsid w:val="0059649D"/>
    <w:rsid w:val="00596D85"/>
    <w:rsid w:val="00596E36"/>
    <w:rsid w:val="00597514"/>
    <w:rsid w:val="005975EE"/>
    <w:rsid w:val="005979EF"/>
    <w:rsid w:val="005A0053"/>
    <w:rsid w:val="005A0178"/>
    <w:rsid w:val="005A0C87"/>
    <w:rsid w:val="005A0F34"/>
    <w:rsid w:val="005A11F2"/>
    <w:rsid w:val="005A1478"/>
    <w:rsid w:val="005A1509"/>
    <w:rsid w:val="005A1BCF"/>
    <w:rsid w:val="005A1C40"/>
    <w:rsid w:val="005A1FBE"/>
    <w:rsid w:val="005A40BB"/>
    <w:rsid w:val="005A4785"/>
    <w:rsid w:val="005A4B68"/>
    <w:rsid w:val="005A535E"/>
    <w:rsid w:val="005A63AE"/>
    <w:rsid w:val="005A69C4"/>
    <w:rsid w:val="005A6B9C"/>
    <w:rsid w:val="005A6F0F"/>
    <w:rsid w:val="005A702F"/>
    <w:rsid w:val="005A7202"/>
    <w:rsid w:val="005A7ACC"/>
    <w:rsid w:val="005A7BA1"/>
    <w:rsid w:val="005A7F01"/>
    <w:rsid w:val="005B05AB"/>
    <w:rsid w:val="005B0F0E"/>
    <w:rsid w:val="005B1398"/>
    <w:rsid w:val="005B1818"/>
    <w:rsid w:val="005B1ED8"/>
    <w:rsid w:val="005B206F"/>
    <w:rsid w:val="005B30A5"/>
    <w:rsid w:val="005B42B8"/>
    <w:rsid w:val="005B4ED0"/>
    <w:rsid w:val="005B5958"/>
    <w:rsid w:val="005B6543"/>
    <w:rsid w:val="005B6905"/>
    <w:rsid w:val="005B6C16"/>
    <w:rsid w:val="005B73B7"/>
    <w:rsid w:val="005B75DF"/>
    <w:rsid w:val="005C0952"/>
    <w:rsid w:val="005C0C2A"/>
    <w:rsid w:val="005C0CE3"/>
    <w:rsid w:val="005C12DA"/>
    <w:rsid w:val="005C2018"/>
    <w:rsid w:val="005C2389"/>
    <w:rsid w:val="005C2719"/>
    <w:rsid w:val="005C2B14"/>
    <w:rsid w:val="005C2C04"/>
    <w:rsid w:val="005C3A12"/>
    <w:rsid w:val="005C3A62"/>
    <w:rsid w:val="005C3BA1"/>
    <w:rsid w:val="005C4C76"/>
    <w:rsid w:val="005C4CCA"/>
    <w:rsid w:val="005C4EBB"/>
    <w:rsid w:val="005C5433"/>
    <w:rsid w:val="005C5EC4"/>
    <w:rsid w:val="005C5EE2"/>
    <w:rsid w:val="005C61AE"/>
    <w:rsid w:val="005C6A72"/>
    <w:rsid w:val="005C7771"/>
    <w:rsid w:val="005D00F1"/>
    <w:rsid w:val="005D05FC"/>
    <w:rsid w:val="005D0604"/>
    <w:rsid w:val="005D0A11"/>
    <w:rsid w:val="005D14DA"/>
    <w:rsid w:val="005D15C0"/>
    <w:rsid w:val="005D177B"/>
    <w:rsid w:val="005D1E58"/>
    <w:rsid w:val="005D1E78"/>
    <w:rsid w:val="005D207D"/>
    <w:rsid w:val="005D20E0"/>
    <w:rsid w:val="005D2620"/>
    <w:rsid w:val="005D2881"/>
    <w:rsid w:val="005D2918"/>
    <w:rsid w:val="005D302F"/>
    <w:rsid w:val="005D3105"/>
    <w:rsid w:val="005D313F"/>
    <w:rsid w:val="005D4AA9"/>
    <w:rsid w:val="005D4EAD"/>
    <w:rsid w:val="005D5CB3"/>
    <w:rsid w:val="005D5D69"/>
    <w:rsid w:val="005D6BF8"/>
    <w:rsid w:val="005D6EC0"/>
    <w:rsid w:val="005D7CA4"/>
    <w:rsid w:val="005E05E7"/>
    <w:rsid w:val="005E0630"/>
    <w:rsid w:val="005E1474"/>
    <w:rsid w:val="005E244D"/>
    <w:rsid w:val="005E24CB"/>
    <w:rsid w:val="005E295A"/>
    <w:rsid w:val="005E2C92"/>
    <w:rsid w:val="005E2D97"/>
    <w:rsid w:val="005E3A59"/>
    <w:rsid w:val="005E3B3C"/>
    <w:rsid w:val="005E41FC"/>
    <w:rsid w:val="005E4D08"/>
    <w:rsid w:val="005E4DBC"/>
    <w:rsid w:val="005E4E6E"/>
    <w:rsid w:val="005E5C3E"/>
    <w:rsid w:val="005E6823"/>
    <w:rsid w:val="005E6C91"/>
    <w:rsid w:val="005E6C98"/>
    <w:rsid w:val="005E6FC4"/>
    <w:rsid w:val="005E79DE"/>
    <w:rsid w:val="005E7C3A"/>
    <w:rsid w:val="005E7FBF"/>
    <w:rsid w:val="005F018C"/>
    <w:rsid w:val="005F0728"/>
    <w:rsid w:val="005F0CDE"/>
    <w:rsid w:val="005F1051"/>
    <w:rsid w:val="005F1BC7"/>
    <w:rsid w:val="005F21A3"/>
    <w:rsid w:val="005F2615"/>
    <w:rsid w:val="005F26BD"/>
    <w:rsid w:val="005F2852"/>
    <w:rsid w:val="005F40EA"/>
    <w:rsid w:val="005F4353"/>
    <w:rsid w:val="005F469F"/>
    <w:rsid w:val="005F4C32"/>
    <w:rsid w:val="005F4C53"/>
    <w:rsid w:val="005F54F9"/>
    <w:rsid w:val="005F5527"/>
    <w:rsid w:val="005F59C2"/>
    <w:rsid w:val="005F5C98"/>
    <w:rsid w:val="005F64FE"/>
    <w:rsid w:val="005F7463"/>
    <w:rsid w:val="005F7969"/>
    <w:rsid w:val="005F7D7B"/>
    <w:rsid w:val="006006EE"/>
    <w:rsid w:val="006014DC"/>
    <w:rsid w:val="006014FC"/>
    <w:rsid w:val="006015B7"/>
    <w:rsid w:val="00601927"/>
    <w:rsid w:val="00601963"/>
    <w:rsid w:val="00601DCE"/>
    <w:rsid w:val="00602FB1"/>
    <w:rsid w:val="006034B8"/>
    <w:rsid w:val="00603E76"/>
    <w:rsid w:val="00603F5C"/>
    <w:rsid w:val="0060448B"/>
    <w:rsid w:val="0060515F"/>
    <w:rsid w:val="0060576F"/>
    <w:rsid w:val="00605C84"/>
    <w:rsid w:val="00605C85"/>
    <w:rsid w:val="006060D7"/>
    <w:rsid w:val="0060613F"/>
    <w:rsid w:val="006065E2"/>
    <w:rsid w:val="00606C64"/>
    <w:rsid w:val="00606CD9"/>
    <w:rsid w:val="0060724B"/>
    <w:rsid w:val="00610BCC"/>
    <w:rsid w:val="006113E0"/>
    <w:rsid w:val="006114F3"/>
    <w:rsid w:val="006120F0"/>
    <w:rsid w:val="00612176"/>
    <w:rsid w:val="006122C5"/>
    <w:rsid w:val="00612362"/>
    <w:rsid w:val="00612899"/>
    <w:rsid w:val="006134AC"/>
    <w:rsid w:val="00613FE2"/>
    <w:rsid w:val="0061444C"/>
    <w:rsid w:val="0061663B"/>
    <w:rsid w:val="00616A05"/>
    <w:rsid w:val="00616B00"/>
    <w:rsid w:val="00616D83"/>
    <w:rsid w:val="00616FE5"/>
    <w:rsid w:val="00617C51"/>
    <w:rsid w:val="00617EFB"/>
    <w:rsid w:val="00620DB4"/>
    <w:rsid w:val="00621176"/>
    <w:rsid w:val="00621C5B"/>
    <w:rsid w:val="006224DA"/>
    <w:rsid w:val="00622782"/>
    <w:rsid w:val="00622B8F"/>
    <w:rsid w:val="00622C11"/>
    <w:rsid w:val="006246E4"/>
    <w:rsid w:val="00624859"/>
    <w:rsid w:val="006250B4"/>
    <w:rsid w:val="006255D0"/>
    <w:rsid w:val="00625646"/>
    <w:rsid w:val="00625DCD"/>
    <w:rsid w:val="0062618A"/>
    <w:rsid w:val="0062657D"/>
    <w:rsid w:val="006268B2"/>
    <w:rsid w:val="00626A64"/>
    <w:rsid w:val="0062723D"/>
    <w:rsid w:val="0062780D"/>
    <w:rsid w:val="0062792E"/>
    <w:rsid w:val="00627EA4"/>
    <w:rsid w:val="00630A15"/>
    <w:rsid w:val="00630B86"/>
    <w:rsid w:val="00630CE4"/>
    <w:rsid w:val="006319B3"/>
    <w:rsid w:val="00631CB9"/>
    <w:rsid w:val="00632EEC"/>
    <w:rsid w:val="006335D0"/>
    <w:rsid w:val="00633735"/>
    <w:rsid w:val="006339E6"/>
    <w:rsid w:val="0063455C"/>
    <w:rsid w:val="00634662"/>
    <w:rsid w:val="006348F7"/>
    <w:rsid w:val="00634D24"/>
    <w:rsid w:val="00635BC3"/>
    <w:rsid w:val="00635EE4"/>
    <w:rsid w:val="0063673C"/>
    <w:rsid w:val="00637379"/>
    <w:rsid w:val="006374CF"/>
    <w:rsid w:val="00637B22"/>
    <w:rsid w:val="00637F5F"/>
    <w:rsid w:val="0064005C"/>
    <w:rsid w:val="006402EB"/>
    <w:rsid w:val="00640B8E"/>
    <w:rsid w:val="00641231"/>
    <w:rsid w:val="006412DE"/>
    <w:rsid w:val="0064164F"/>
    <w:rsid w:val="00641C97"/>
    <w:rsid w:val="0064256E"/>
    <w:rsid w:val="00643082"/>
    <w:rsid w:val="00643463"/>
    <w:rsid w:val="00643AFC"/>
    <w:rsid w:val="006445DA"/>
    <w:rsid w:val="00645191"/>
    <w:rsid w:val="006458FF"/>
    <w:rsid w:val="006478D5"/>
    <w:rsid w:val="00647D3B"/>
    <w:rsid w:val="00647ECD"/>
    <w:rsid w:val="00647F4B"/>
    <w:rsid w:val="006513C0"/>
    <w:rsid w:val="00651995"/>
    <w:rsid w:val="00652EB9"/>
    <w:rsid w:val="00652FC8"/>
    <w:rsid w:val="00653989"/>
    <w:rsid w:val="006539FB"/>
    <w:rsid w:val="00653E08"/>
    <w:rsid w:val="00653E26"/>
    <w:rsid w:val="0065408A"/>
    <w:rsid w:val="006540ED"/>
    <w:rsid w:val="006546A1"/>
    <w:rsid w:val="00654F2D"/>
    <w:rsid w:val="006568A5"/>
    <w:rsid w:val="00656B17"/>
    <w:rsid w:val="00656CFF"/>
    <w:rsid w:val="00657C9C"/>
    <w:rsid w:val="006600A6"/>
    <w:rsid w:val="00660636"/>
    <w:rsid w:val="00660A27"/>
    <w:rsid w:val="00660B68"/>
    <w:rsid w:val="00661569"/>
    <w:rsid w:val="006618AF"/>
    <w:rsid w:val="00661F6E"/>
    <w:rsid w:val="00662DA8"/>
    <w:rsid w:val="0066302B"/>
    <w:rsid w:val="0066318A"/>
    <w:rsid w:val="006631D6"/>
    <w:rsid w:val="006634C9"/>
    <w:rsid w:val="006634E0"/>
    <w:rsid w:val="00664429"/>
    <w:rsid w:val="006646D0"/>
    <w:rsid w:val="0066535C"/>
    <w:rsid w:val="0066569E"/>
    <w:rsid w:val="006662BF"/>
    <w:rsid w:val="0067049B"/>
    <w:rsid w:val="00670AED"/>
    <w:rsid w:val="00670E66"/>
    <w:rsid w:val="0067288B"/>
    <w:rsid w:val="006729DC"/>
    <w:rsid w:val="0067318D"/>
    <w:rsid w:val="00673A0E"/>
    <w:rsid w:val="006749FD"/>
    <w:rsid w:val="00676559"/>
    <w:rsid w:val="006765C8"/>
    <w:rsid w:val="006765D8"/>
    <w:rsid w:val="00676F73"/>
    <w:rsid w:val="00680705"/>
    <w:rsid w:val="006809A9"/>
    <w:rsid w:val="0068227F"/>
    <w:rsid w:val="00683EB2"/>
    <w:rsid w:val="00684002"/>
    <w:rsid w:val="00684300"/>
    <w:rsid w:val="00684407"/>
    <w:rsid w:val="006847CA"/>
    <w:rsid w:val="006849D4"/>
    <w:rsid w:val="00684C92"/>
    <w:rsid w:val="00684CF9"/>
    <w:rsid w:val="00684D18"/>
    <w:rsid w:val="00684DAF"/>
    <w:rsid w:val="0068549A"/>
    <w:rsid w:val="006865F3"/>
    <w:rsid w:val="00686F3C"/>
    <w:rsid w:val="00687324"/>
    <w:rsid w:val="006879C6"/>
    <w:rsid w:val="00687D14"/>
    <w:rsid w:val="006909E4"/>
    <w:rsid w:val="006916F9"/>
    <w:rsid w:val="006917BD"/>
    <w:rsid w:val="006917BF"/>
    <w:rsid w:val="00691D42"/>
    <w:rsid w:val="00692356"/>
    <w:rsid w:val="006927A5"/>
    <w:rsid w:val="00692D65"/>
    <w:rsid w:val="00693173"/>
    <w:rsid w:val="00693520"/>
    <w:rsid w:val="00694070"/>
    <w:rsid w:val="00694634"/>
    <w:rsid w:val="00694680"/>
    <w:rsid w:val="00694751"/>
    <w:rsid w:val="00694B11"/>
    <w:rsid w:val="00694EF9"/>
    <w:rsid w:val="0069558E"/>
    <w:rsid w:val="0069560B"/>
    <w:rsid w:val="006959A7"/>
    <w:rsid w:val="00695E47"/>
    <w:rsid w:val="0069776F"/>
    <w:rsid w:val="006A09A2"/>
    <w:rsid w:val="006A0DFB"/>
    <w:rsid w:val="006A1831"/>
    <w:rsid w:val="006A1B99"/>
    <w:rsid w:val="006A23DD"/>
    <w:rsid w:val="006A256B"/>
    <w:rsid w:val="006A2602"/>
    <w:rsid w:val="006A2CD4"/>
    <w:rsid w:val="006A34E3"/>
    <w:rsid w:val="006A35FC"/>
    <w:rsid w:val="006A3CEC"/>
    <w:rsid w:val="006A3E44"/>
    <w:rsid w:val="006A3F40"/>
    <w:rsid w:val="006A422E"/>
    <w:rsid w:val="006A42E9"/>
    <w:rsid w:val="006A47E0"/>
    <w:rsid w:val="006A64D4"/>
    <w:rsid w:val="006A6D09"/>
    <w:rsid w:val="006A6E71"/>
    <w:rsid w:val="006A706B"/>
    <w:rsid w:val="006A7B91"/>
    <w:rsid w:val="006B0BB5"/>
    <w:rsid w:val="006B0F84"/>
    <w:rsid w:val="006B1FDD"/>
    <w:rsid w:val="006B2CC9"/>
    <w:rsid w:val="006B435A"/>
    <w:rsid w:val="006B4CB4"/>
    <w:rsid w:val="006B5113"/>
    <w:rsid w:val="006B5368"/>
    <w:rsid w:val="006B5A13"/>
    <w:rsid w:val="006B5F67"/>
    <w:rsid w:val="006B7735"/>
    <w:rsid w:val="006B7990"/>
    <w:rsid w:val="006C07C1"/>
    <w:rsid w:val="006C0A8F"/>
    <w:rsid w:val="006C0B4C"/>
    <w:rsid w:val="006C0CFA"/>
    <w:rsid w:val="006C13CC"/>
    <w:rsid w:val="006C1C41"/>
    <w:rsid w:val="006C2398"/>
    <w:rsid w:val="006C2B17"/>
    <w:rsid w:val="006C34E3"/>
    <w:rsid w:val="006C4F4F"/>
    <w:rsid w:val="006C513D"/>
    <w:rsid w:val="006C545F"/>
    <w:rsid w:val="006C55D7"/>
    <w:rsid w:val="006C5ADC"/>
    <w:rsid w:val="006C5DA5"/>
    <w:rsid w:val="006C6059"/>
    <w:rsid w:val="006C673D"/>
    <w:rsid w:val="006C68B3"/>
    <w:rsid w:val="006C6B66"/>
    <w:rsid w:val="006C6FB5"/>
    <w:rsid w:val="006C7782"/>
    <w:rsid w:val="006D00D7"/>
    <w:rsid w:val="006D00E3"/>
    <w:rsid w:val="006D1C4E"/>
    <w:rsid w:val="006D1C93"/>
    <w:rsid w:val="006D21FE"/>
    <w:rsid w:val="006D247F"/>
    <w:rsid w:val="006D29A0"/>
    <w:rsid w:val="006D2B92"/>
    <w:rsid w:val="006D2CA2"/>
    <w:rsid w:val="006D2F4E"/>
    <w:rsid w:val="006D441F"/>
    <w:rsid w:val="006D4980"/>
    <w:rsid w:val="006D4BEC"/>
    <w:rsid w:val="006D5517"/>
    <w:rsid w:val="006D5886"/>
    <w:rsid w:val="006D5B07"/>
    <w:rsid w:val="006D604E"/>
    <w:rsid w:val="006D61A4"/>
    <w:rsid w:val="006D7046"/>
    <w:rsid w:val="006D72A4"/>
    <w:rsid w:val="006D7688"/>
    <w:rsid w:val="006D7A96"/>
    <w:rsid w:val="006E017E"/>
    <w:rsid w:val="006E09D3"/>
    <w:rsid w:val="006E13A8"/>
    <w:rsid w:val="006E1BAA"/>
    <w:rsid w:val="006E1E4D"/>
    <w:rsid w:val="006E3737"/>
    <w:rsid w:val="006E411D"/>
    <w:rsid w:val="006E41F4"/>
    <w:rsid w:val="006E4338"/>
    <w:rsid w:val="006E45B2"/>
    <w:rsid w:val="006E48B7"/>
    <w:rsid w:val="006E48F9"/>
    <w:rsid w:val="006E4953"/>
    <w:rsid w:val="006E5DDD"/>
    <w:rsid w:val="006E7DDD"/>
    <w:rsid w:val="006E7E1E"/>
    <w:rsid w:val="006F0547"/>
    <w:rsid w:val="006F097A"/>
    <w:rsid w:val="006F0B28"/>
    <w:rsid w:val="006F156C"/>
    <w:rsid w:val="006F1AFE"/>
    <w:rsid w:val="006F3344"/>
    <w:rsid w:val="006F38AD"/>
    <w:rsid w:val="006F398A"/>
    <w:rsid w:val="006F3AAC"/>
    <w:rsid w:val="006F4072"/>
    <w:rsid w:val="006F445E"/>
    <w:rsid w:val="006F46EB"/>
    <w:rsid w:val="006F4849"/>
    <w:rsid w:val="006F49D9"/>
    <w:rsid w:val="006F4BD0"/>
    <w:rsid w:val="006F565A"/>
    <w:rsid w:val="006F568E"/>
    <w:rsid w:val="006F59FB"/>
    <w:rsid w:val="006F7044"/>
    <w:rsid w:val="006F7710"/>
    <w:rsid w:val="00700A39"/>
    <w:rsid w:val="00700B52"/>
    <w:rsid w:val="00701172"/>
    <w:rsid w:val="007013B7"/>
    <w:rsid w:val="0070180B"/>
    <w:rsid w:val="00701A2B"/>
    <w:rsid w:val="00701E78"/>
    <w:rsid w:val="00702A31"/>
    <w:rsid w:val="00703B1B"/>
    <w:rsid w:val="007041EB"/>
    <w:rsid w:val="007044AB"/>
    <w:rsid w:val="00704655"/>
    <w:rsid w:val="00705D5B"/>
    <w:rsid w:val="00706052"/>
    <w:rsid w:val="0070612B"/>
    <w:rsid w:val="007075B8"/>
    <w:rsid w:val="00707EA9"/>
    <w:rsid w:val="00711222"/>
    <w:rsid w:val="0071134B"/>
    <w:rsid w:val="007117E2"/>
    <w:rsid w:val="00712655"/>
    <w:rsid w:val="0071331A"/>
    <w:rsid w:val="00713943"/>
    <w:rsid w:val="00713CEC"/>
    <w:rsid w:val="00713D2E"/>
    <w:rsid w:val="00713D5F"/>
    <w:rsid w:val="007140FF"/>
    <w:rsid w:val="0071590E"/>
    <w:rsid w:val="00715AA8"/>
    <w:rsid w:val="00715D38"/>
    <w:rsid w:val="00716252"/>
    <w:rsid w:val="00716897"/>
    <w:rsid w:val="0071726D"/>
    <w:rsid w:val="007173D7"/>
    <w:rsid w:val="00717AC3"/>
    <w:rsid w:val="0072051A"/>
    <w:rsid w:val="00720A20"/>
    <w:rsid w:val="00720EF7"/>
    <w:rsid w:val="00721281"/>
    <w:rsid w:val="0072186F"/>
    <w:rsid w:val="00721BB3"/>
    <w:rsid w:val="00721C08"/>
    <w:rsid w:val="007220AC"/>
    <w:rsid w:val="0072240C"/>
    <w:rsid w:val="007229A1"/>
    <w:rsid w:val="00722AAA"/>
    <w:rsid w:val="00723268"/>
    <w:rsid w:val="00723EA4"/>
    <w:rsid w:val="007240F3"/>
    <w:rsid w:val="007245E9"/>
    <w:rsid w:val="00724B25"/>
    <w:rsid w:val="007250A4"/>
    <w:rsid w:val="007252D4"/>
    <w:rsid w:val="00725B36"/>
    <w:rsid w:val="00726844"/>
    <w:rsid w:val="00726E1A"/>
    <w:rsid w:val="00726E7B"/>
    <w:rsid w:val="007307E5"/>
    <w:rsid w:val="007319AE"/>
    <w:rsid w:val="00731A6F"/>
    <w:rsid w:val="00731BDD"/>
    <w:rsid w:val="0073249A"/>
    <w:rsid w:val="00732C71"/>
    <w:rsid w:val="00732CE3"/>
    <w:rsid w:val="0073314B"/>
    <w:rsid w:val="00733B5B"/>
    <w:rsid w:val="00733B9C"/>
    <w:rsid w:val="007342C4"/>
    <w:rsid w:val="007347D8"/>
    <w:rsid w:val="00734C66"/>
    <w:rsid w:val="00735B3D"/>
    <w:rsid w:val="007361BD"/>
    <w:rsid w:val="007361BE"/>
    <w:rsid w:val="00736514"/>
    <w:rsid w:val="00737029"/>
    <w:rsid w:val="00737FF2"/>
    <w:rsid w:val="007410E1"/>
    <w:rsid w:val="00741A2E"/>
    <w:rsid w:val="007425FC"/>
    <w:rsid w:val="007427E7"/>
    <w:rsid w:val="00743B80"/>
    <w:rsid w:val="00743D9A"/>
    <w:rsid w:val="007442D6"/>
    <w:rsid w:val="00744A7A"/>
    <w:rsid w:val="00744C00"/>
    <w:rsid w:val="007451AE"/>
    <w:rsid w:val="007453A3"/>
    <w:rsid w:val="00746EC7"/>
    <w:rsid w:val="007470F9"/>
    <w:rsid w:val="00747164"/>
    <w:rsid w:val="00747337"/>
    <w:rsid w:val="007478BB"/>
    <w:rsid w:val="00750289"/>
    <w:rsid w:val="007510A3"/>
    <w:rsid w:val="007517E2"/>
    <w:rsid w:val="00751C2A"/>
    <w:rsid w:val="00754212"/>
    <w:rsid w:val="007542F6"/>
    <w:rsid w:val="0075439D"/>
    <w:rsid w:val="00754E66"/>
    <w:rsid w:val="00755694"/>
    <w:rsid w:val="007561E8"/>
    <w:rsid w:val="007579ED"/>
    <w:rsid w:val="00760744"/>
    <w:rsid w:val="00760C2E"/>
    <w:rsid w:val="00760ED3"/>
    <w:rsid w:val="007612C6"/>
    <w:rsid w:val="00762947"/>
    <w:rsid w:val="00762D98"/>
    <w:rsid w:val="00763113"/>
    <w:rsid w:val="007636C7"/>
    <w:rsid w:val="00763ECC"/>
    <w:rsid w:val="00764195"/>
    <w:rsid w:val="00764397"/>
    <w:rsid w:val="007643FB"/>
    <w:rsid w:val="0076445C"/>
    <w:rsid w:val="0076449A"/>
    <w:rsid w:val="007644AE"/>
    <w:rsid w:val="00764522"/>
    <w:rsid w:val="007646EE"/>
    <w:rsid w:val="00764AE1"/>
    <w:rsid w:val="00764E40"/>
    <w:rsid w:val="00765974"/>
    <w:rsid w:val="007667C4"/>
    <w:rsid w:val="00767B9E"/>
    <w:rsid w:val="007703EF"/>
    <w:rsid w:val="007704FE"/>
    <w:rsid w:val="00770DDB"/>
    <w:rsid w:val="007721C1"/>
    <w:rsid w:val="00772A08"/>
    <w:rsid w:val="00773912"/>
    <w:rsid w:val="00774146"/>
    <w:rsid w:val="00775827"/>
    <w:rsid w:val="0077584B"/>
    <w:rsid w:val="00776C08"/>
    <w:rsid w:val="007770D6"/>
    <w:rsid w:val="00777689"/>
    <w:rsid w:val="007777CF"/>
    <w:rsid w:val="00777B2A"/>
    <w:rsid w:val="00780137"/>
    <w:rsid w:val="007801C9"/>
    <w:rsid w:val="00781259"/>
    <w:rsid w:val="00781526"/>
    <w:rsid w:val="00781557"/>
    <w:rsid w:val="007821D6"/>
    <w:rsid w:val="007822F5"/>
    <w:rsid w:val="007825DB"/>
    <w:rsid w:val="007825F0"/>
    <w:rsid w:val="007827A4"/>
    <w:rsid w:val="00782A84"/>
    <w:rsid w:val="00783BB1"/>
    <w:rsid w:val="007843FD"/>
    <w:rsid w:val="00785624"/>
    <w:rsid w:val="00785B13"/>
    <w:rsid w:val="00785FDB"/>
    <w:rsid w:val="00786F8D"/>
    <w:rsid w:val="0078736B"/>
    <w:rsid w:val="007874E9"/>
    <w:rsid w:val="00787A29"/>
    <w:rsid w:val="00787F63"/>
    <w:rsid w:val="007905C6"/>
    <w:rsid w:val="00790C23"/>
    <w:rsid w:val="00790C25"/>
    <w:rsid w:val="00790D44"/>
    <w:rsid w:val="00791400"/>
    <w:rsid w:val="00792557"/>
    <w:rsid w:val="00792832"/>
    <w:rsid w:val="00792C29"/>
    <w:rsid w:val="00792DD9"/>
    <w:rsid w:val="0079315E"/>
    <w:rsid w:val="00793FE8"/>
    <w:rsid w:val="00794171"/>
    <w:rsid w:val="007943E5"/>
    <w:rsid w:val="00794E80"/>
    <w:rsid w:val="00795B28"/>
    <w:rsid w:val="00795CB6"/>
    <w:rsid w:val="007964DB"/>
    <w:rsid w:val="00796AAE"/>
    <w:rsid w:val="00796BB8"/>
    <w:rsid w:val="00797AE6"/>
    <w:rsid w:val="007A0341"/>
    <w:rsid w:val="007A059D"/>
    <w:rsid w:val="007A213B"/>
    <w:rsid w:val="007A2C76"/>
    <w:rsid w:val="007A2CDC"/>
    <w:rsid w:val="007A3FCF"/>
    <w:rsid w:val="007A4D89"/>
    <w:rsid w:val="007A50DB"/>
    <w:rsid w:val="007A5559"/>
    <w:rsid w:val="007A55CA"/>
    <w:rsid w:val="007A572C"/>
    <w:rsid w:val="007A610A"/>
    <w:rsid w:val="007A6301"/>
    <w:rsid w:val="007A6FBB"/>
    <w:rsid w:val="007A7205"/>
    <w:rsid w:val="007A7587"/>
    <w:rsid w:val="007A766C"/>
    <w:rsid w:val="007A7881"/>
    <w:rsid w:val="007A7D39"/>
    <w:rsid w:val="007B057D"/>
    <w:rsid w:val="007B0E2D"/>
    <w:rsid w:val="007B1406"/>
    <w:rsid w:val="007B16C1"/>
    <w:rsid w:val="007B1867"/>
    <w:rsid w:val="007B1FF6"/>
    <w:rsid w:val="007B2C7E"/>
    <w:rsid w:val="007B372C"/>
    <w:rsid w:val="007B384E"/>
    <w:rsid w:val="007B3C82"/>
    <w:rsid w:val="007B431D"/>
    <w:rsid w:val="007B4884"/>
    <w:rsid w:val="007B4E7C"/>
    <w:rsid w:val="007B531B"/>
    <w:rsid w:val="007B5CC5"/>
    <w:rsid w:val="007B5F6B"/>
    <w:rsid w:val="007B6140"/>
    <w:rsid w:val="007B63F5"/>
    <w:rsid w:val="007B6537"/>
    <w:rsid w:val="007B7E7E"/>
    <w:rsid w:val="007C03B1"/>
    <w:rsid w:val="007C05E8"/>
    <w:rsid w:val="007C0ACA"/>
    <w:rsid w:val="007C0E8E"/>
    <w:rsid w:val="007C1144"/>
    <w:rsid w:val="007C138D"/>
    <w:rsid w:val="007C199D"/>
    <w:rsid w:val="007C22CA"/>
    <w:rsid w:val="007C2710"/>
    <w:rsid w:val="007C4181"/>
    <w:rsid w:val="007C4304"/>
    <w:rsid w:val="007C4A34"/>
    <w:rsid w:val="007C4B48"/>
    <w:rsid w:val="007C5E8F"/>
    <w:rsid w:val="007C7371"/>
    <w:rsid w:val="007C7744"/>
    <w:rsid w:val="007D00F0"/>
    <w:rsid w:val="007D0285"/>
    <w:rsid w:val="007D0445"/>
    <w:rsid w:val="007D1247"/>
    <w:rsid w:val="007D166B"/>
    <w:rsid w:val="007D1BA1"/>
    <w:rsid w:val="007D1BB0"/>
    <w:rsid w:val="007D237E"/>
    <w:rsid w:val="007D2631"/>
    <w:rsid w:val="007D2769"/>
    <w:rsid w:val="007D2846"/>
    <w:rsid w:val="007D29DD"/>
    <w:rsid w:val="007D2A70"/>
    <w:rsid w:val="007D3EE7"/>
    <w:rsid w:val="007D4CA1"/>
    <w:rsid w:val="007D4DA6"/>
    <w:rsid w:val="007D515C"/>
    <w:rsid w:val="007D5C22"/>
    <w:rsid w:val="007D5EE7"/>
    <w:rsid w:val="007D6603"/>
    <w:rsid w:val="007D682C"/>
    <w:rsid w:val="007D7350"/>
    <w:rsid w:val="007D7AC4"/>
    <w:rsid w:val="007D7EBA"/>
    <w:rsid w:val="007E0094"/>
    <w:rsid w:val="007E0AB3"/>
    <w:rsid w:val="007E0F58"/>
    <w:rsid w:val="007E1551"/>
    <w:rsid w:val="007E155A"/>
    <w:rsid w:val="007E1B54"/>
    <w:rsid w:val="007E2494"/>
    <w:rsid w:val="007E2C60"/>
    <w:rsid w:val="007E2CAF"/>
    <w:rsid w:val="007E2FBF"/>
    <w:rsid w:val="007E301B"/>
    <w:rsid w:val="007E3596"/>
    <w:rsid w:val="007E36BC"/>
    <w:rsid w:val="007E37BA"/>
    <w:rsid w:val="007E3E75"/>
    <w:rsid w:val="007E4094"/>
    <w:rsid w:val="007E4697"/>
    <w:rsid w:val="007E4DC1"/>
    <w:rsid w:val="007E60F4"/>
    <w:rsid w:val="007E68EF"/>
    <w:rsid w:val="007E7207"/>
    <w:rsid w:val="007E7899"/>
    <w:rsid w:val="007E7FB0"/>
    <w:rsid w:val="007F06AF"/>
    <w:rsid w:val="007F0A43"/>
    <w:rsid w:val="007F0E01"/>
    <w:rsid w:val="007F11EF"/>
    <w:rsid w:val="007F17C6"/>
    <w:rsid w:val="007F193B"/>
    <w:rsid w:val="007F211D"/>
    <w:rsid w:val="007F24A4"/>
    <w:rsid w:val="007F34E3"/>
    <w:rsid w:val="007F3601"/>
    <w:rsid w:val="007F38FB"/>
    <w:rsid w:val="007F5216"/>
    <w:rsid w:val="007F5780"/>
    <w:rsid w:val="007F5843"/>
    <w:rsid w:val="007F5B12"/>
    <w:rsid w:val="007F6069"/>
    <w:rsid w:val="007F6BC9"/>
    <w:rsid w:val="007F6E14"/>
    <w:rsid w:val="007F787F"/>
    <w:rsid w:val="008000B8"/>
    <w:rsid w:val="00800C03"/>
    <w:rsid w:val="0080192A"/>
    <w:rsid w:val="00801DD0"/>
    <w:rsid w:val="00801DEC"/>
    <w:rsid w:val="0080208E"/>
    <w:rsid w:val="008031F0"/>
    <w:rsid w:val="008036AB"/>
    <w:rsid w:val="008042C5"/>
    <w:rsid w:val="008043E4"/>
    <w:rsid w:val="00804EF0"/>
    <w:rsid w:val="008051FB"/>
    <w:rsid w:val="00805EEA"/>
    <w:rsid w:val="0080689A"/>
    <w:rsid w:val="00806946"/>
    <w:rsid w:val="00806D38"/>
    <w:rsid w:val="00807155"/>
    <w:rsid w:val="0080780B"/>
    <w:rsid w:val="00807A68"/>
    <w:rsid w:val="00807C2D"/>
    <w:rsid w:val="008112AF"/>
    <w:rsid w:val="008112E0"/>
    <w:rsid w:val="008114B8"/>
    <w:rsid w:val="008117FA"/>
    <w:rsid w:val="008119A4"/>
    <w:rsid w:val="00811B51"/>
    <w:rsid w:val="00812539"/>
    <w:rsid w:val="0081261B"/>
    <w:rsid w:val="00812B96"/>
    <w:rsid w:val="00813A6D"/>
    <w:rsid w:val="00813F74"/>
    <w:rsid w:val="008140DD"/>
    <w:rsid w:val="00814517"/>
    <w:rsid w:val="0081470A"/>
    <w:rsid w:val="0081496B"/>
    <w:rsid w:val="00814C0C"/>
    <w:rsid w:val="008150A2"/>
    <w:rsid w:val="008158C1"/>
    <w:rsid w:val="00816592"/>
    <w:rsid w:val="00816D27"/>
    <w:rsid w:val="00817A97"/>
    <w:rsid w:val="00820CBD"/>
    <w:rsid w:val="008212FD"/>
    <w:rsid w:val="00821691"/>
    <w:rsid w:val="00821E58"/>
    <w:rsid w:val="008229A6"/>
    <w:rsid w:val="00822A1E"/>
    <w:rsid w:val="00822FB4"/>
    <w:rsid w:val="00823236"/>
    <w:rsid w:val="00823244"/>
    <w:rsid w:val="00823959"/>
    <w:rsid w:val="00823DC2"/>
    <w:rsid w:val="00824EE9"/>
    <w:rsid w:val="0082533C"/>
    <w:rsid w:val="00825558"/>
    <w:rsid w:val="008259CD"/>
    <w:rsid w:val="00825EBA"/>
    <w:rsid w:val="008267D6"/>
    <w:rsid w:val="00827C01"/>
    <w:rsid w:val="0083111C"/>
    <w:rsid w:val="0083144E"/>
    <w:rsid w:val="00831A07"/>
    <w:rsid w:val="008327FA"/>
    <w:rsid w:val="00833857"/>
    <w:rsid w:val="00833BAA"/>
    <w:rsid w:val="00834FCE"/>
    <w:rsid w:val="008363F2"/>
    <w:rsid w:val="00836BC5"/>
    <w:rsid w:val="008376B5"/>
    <w:rsid w:val="00837891"/>
    <w:rsid w:val="00837A32"/>
    <w:rsid w:val="00837D9D"/>
    <w:rsid w:val="00837DB8"/>
    <w:rsid w:val="00840003"/>
    <w:rsid w:val="00840F6A"/>
    <w:rsid w:val="0084143E"/>
    <w:rsid w:val="00841C1C"/>
    <w:rsid w:val="008425F1"/>
    <w:rsid w:val="0084265A"/>
    <w:rsid w:val="0084283B"/>
    <w:rsid w:val="00843B6E"/>
    <w:rsid w:val="00843CE7"/>
    <w:rsid w:val="0084434A"/>
    <w:rsid w:val="00845672"/>
    <w:rsid w:val="0084583D"/>
    <w:rsid w:val="00845906"/>
    <w:rsid w:val="008461AF"/>
    <w:rsid w:val="008464C5"/>
    <w:rsid w:val="008467CA"/>
    <w:rsid w:val="008470AD"/>
    <w:rsid w:val="0084727B"/>
    <w:rsid w:val="008473FE"/>
    <w:rsid w:val="00847824"/>
    <w:rsid w:val="00850A58"/>
    <w:rsid w:val="00850ECD"/>
    <w:rsid w:val="008522C9"/>
    <w:rsid w:val="00852ADA"/>
    <w:rsid w:val="00852F00"/>
    <w:rsid w:val="00854021"/>
    <w:rsid w:val="00854AF6"/>
    <w:rsid w:val="00855947"/>
    <w:rsid w:val="00855DC3"/>
    <w:rsid w:val="0085625C"/>
    <w:rsid w:val="008567B9"/>
    <w:rsid w:val="00857209"/>
    <w:rsid w:val="00857977"/>
    <w:rsid w:val="008608DB"/>
    <w:rsid w:val="008615DE"/>
    <w:rsid w:val="008616B7"/>
    <w:rsid w:val="008616FF"/>
    <w:rsid w:val="00861BBA"/>
    <w:rsid w:val="00861F8B"/>
    <w:rsid w:val="008628BC"/>
    <w:rsid w:val="0086295A"/>
    <w:rsid w:val="008647AC"/>
    <w:rsid w:val="0086491D"/>
    <w:rsid w:val="00864C74"/>
    <w:rsid w:val="00864F4E"/>
    <w:rsid w:val="008650BC"/>
    <w:rsid w:val="00865165"/>
    <w:rsid w:val="00865398"/>
    <w:rsid w:val="00865B80"/>
    <w:rsid w:val="00865DDE"/>
    <w:rsid w:val="008660AD"/>
    <w:rsid w:val="008661C2"/>
    <w:rsid w:val="008663D1"/>
    <w:rsid w:val="00866ECF"/>
    <w:rsid w:val="00866F49"/>
    <w:rsid w:val="00867F0F"/>
    <w:rsid w:val="008700C4"/>
    <w:rsid w:val="00870295"/>
    <w:rsid w:val="0087048C"/>
    <w:rsid w:val="00870D21"/>
    <w:rsid w:val="00872678"/>
    <w:rsid w:val="00873A22"/>
    <w:rsid w:val="00874477"/>
    <w:rsid w:val="00875169"/>
    <w:rsid w:val="00875CE6"/>
    <w:rsid w:val="008764A6"/>
    <w:rsid w:val="008767C4"/>
    <w:rsid w:val="008775AA"/>
    <w:rsid w:val="00877E12"/>
    <w:rsid w:val="0088007C"/>
    <w:rsid w:val="0088053E"/>
    <w:rsid w:val="00880E95"/>
    <w:rsid w:val="0088156E"/>
    <w:rsid w:val="0088347F"/>
    <w:rsid w:val="00883EA1"/>
    <w:rsid w:val="00884008"/>
    <w:rsid w:val="008841B0"/>
    <w:rsid w:val="00884B36"/>
    <w:rsid w:val="00885A0B"/>
    <w:rsid w:val="00886630"/>
    <w:rsid w:val="008869ED"/>
    <w:rsid w:val="00886FC3"/>
    <w:rsid w:val="0088738E"/>
    <w:rsid w:val="00887434"/>
    <w:rsid w:val="00887957"/>
    <w:rsid w:val="00887D98"/>
    <w:rsid w:val="008904CE"/>
    <w:rsid w:val="0089070F"/>
    <w:rsid w:val="00890B43"/>
    <w:rsid w:val="0089190C"/>
    <w:rsid w:val="00891B53"/>
    <w:rsid w:val="00891D09"/>
    <w:rsid w:val="00891D27"/>
    <w:rsid w:val="0089228B"/>
    <w:rsid w:val="0089272A"/>
    <w:rsid w:val="00893CAE"/>
    <w:rsid w:val="00893E32"/>
    <w:rsid w:val="008942C4"/>
    <w:rsid w:val="00894552"/>
    <w:rsid w:val="008947AC"/>
    <w:rsid w:val="00895121"/>
    <w:rsid w:val="0089549C"/>
    <w:rsid w:val="00895BE5"/>
    <w:rsid w:val="0089604C"/>
    <w:rsid w:val="0089675C"/>
    <w:rsid w:val="008A040B"/>
    <w:rsid w:val="008A19C1"/>
    <w:rsid w:val="008A314F"/>
    <w:rsid w:val="008A3654"/>
    <w:rsid w:val="008A36CD"/>
    <w:rsid w:val="008A4717"/>
    <w:rsid w:val="008A4B9E"/>
    <w:rsid w:val="008A4BE0"/>
    <w:rsid w:val="008A60A4"/>
    <w:rsid w:val="008A66F6"/>
    <w:rsid w:val="008A683B"/>
    <w:rsid w:val="008A6F1F"/>
    <w:rsid w:val="008A6F84"/>
    <w:rsid w:val="008A7630"/>
    <w:rsid w:val="008A7A99"/>
    <w:rsid w:val="008B026E"/>
    <w:rsid w:val="008B030B"/>
    <w:rsid w:val="008B0882"/>
    <w:rsid w:val="008B142B"/>
    <w:rsid w:val="008B2142"/>
    <w:rsid w:val="008B22A3"/>
    <w:rsid w:val="008B2EA9"/>
    <w:rsid w:val="008B3677"/>
    <w:rsid w:val="008B37E0"/>
    <w:rsid w:val="008B3A94"/>
    <w:rsid w:val="008B43EF"/>
    <w:rsid w:val="008B4589"/>
    <w:rsid w:val="008B4E81"/>
    <w:rsid w:val="008B4F1F"/>
    <w:rsid w:val="008B549A"/>
    <w:rsid w:val="008B5EA7"/>
    <w:rsid w:val="008B68C4"/>
    <w:rsid w:val="008B7991"/>
    <w:rsid w:val="008B7AF1"/>
    <w:rsid w:val="008C031A"/>
    <w:rsid w:val="008C04A4"/>
    <w:rsid w:val="008C15FC"/>
    <w:rsid w:val="008C1D1E"/>
    <w:rsid w:val="008C2561"/>
    <w:rsid w:val="008C25C6"/>
    <w:rsid w:val="008C31E7"/>
    <w:rsid w:val="008C3582"/>
    <w:rsid w:val="008C4F09"/>
    <w:rsid w:val="008C5204"/>
    <w:rsid w:val="008C5442"/>
    <w:rsid w:val="008C5E50"/>
    <w:rsid w:val="008C649B"/>
    <w:rsid w:val="008C6644"/>
    <w:rsid w:val="008C6C6B"/>
    <w:rsid w:val="008C71F7"/>
    <w:rsid w:val="008C75C3"/>
    <w:rsid w:val="008C7841"/>
    <w:rsid w:val="008C786D"/>
    <w:rsid w:val="008C7BE7"/>
    <w:rsid w:val="008C7E88"/>
    <w:rsid w:val="008D025C"/>
    <w:rsid w:val="008D0321"/>
    <w:rsid w:val="008D056F"/>
    <w:rsid w:val="008D0872"/>
    <w:rsid w:val="008D1321"/>
    <w:rsid w:val="008D152B"/>
    <w:rsid w:val="008D1911"/>
    <w:rsid w:val="008D28AC"/>
    <w:rsid w:val="008D2C52"/>
    <w:rsid w:val="008D3012"/>
    <w:rsid w:val="008D3AAA"/>
    <w:rsid w:val="008D3AC2"/>
    <w:rsid w:val="008D3ACA"/>
    <w:rsid w:val="008D3F82"/>
    <w:rsid w:val="008D3FA2"/>
    <w:rsid w:val="008D41AC"/>
    <w:rsid w:val="008D55F6"/>
    <w:rsid w:val="008D595D"/>
    <w:rsid w:val="008D62C4"/>
    <w:rsid w:val="008D6314"/>
    <w:rsid w:val="008D65EF"/>
    <w:rsid w:val="008D68C8"/>
    <w:rsid w:val="008D6DC9"/>
    <w:rsid w:val="008D7E16"/>
    <w:rsid w:val="008D7FF9"/>
    <w:rsid w:val="008E0A6D"/>
    <w:rsid w:val="008E1467"/>
    <w:rsid w:val="008E194E"/>
    <w:rsid w:val="008E1983"/>
    <w:rsid w:val="008E1AE4"/>
    <w:rsid w:val="008E1BBD"/>
    <w:rsid w:val="008E28FD"/>
    <w:rsid w:val="008E2C26"/>
    <w:rsid w:val="008E3088"/>
    <w:rsid w:val="008E358D"/>
    <w:rsid w:val="008E35A6"/>
    <w:rsid w:val="008E36B6"/>
    <w:rsid w:val="008E3CCD"/>
    <w:rsid w:val="008E4232"/>
    <w:rsid w:val="008E446A"/>
    <w:rsid w:val="008E4568"/>
    <w:rsid w:val="008E5496"/>
    <w:rsid w:val="008E6562"/>
    <w:rsid w:val="008E671B"/>
    <w:rsid w:val="008E6C06"/>
    <w:rsid w:val="008E6FD6"/>
    <w:rsid w:val="008E73DE"/>
    <w:rsid w:val="008E7698"/>
    <w:rsid w:val="008E77DF"/>
    <w:rsid w:val="008E7995"/>
    <w:rsid w:val="008F0538"/>
    <w:rsid w:val="008F1FCD"/>
    <w:rsid w:val="008F22F4"/>
    <w:rsid w:val="008F23DA"/>
    <w:rsid w:val="008F2C8F"/>
    <w:rsid w:val="008F2F99"/>
    <w:rsid w:val="008F3477"/>
    <w:rsid w:val="008F3573"/>
    <w:rsid w:val="008F36DF"/>
    <w:rsid w:val="008F3AFB"/>
    <w:rsid w:val="008F4101"/>
    <w:rsid w:val="008F450C"/>
    <w:rsid w:val="008F490A"/>
    <w:rsid w:val="008F4A34"/>
    <w:rsid w:val="008F4B1B"/>
    <w:rsid w:val="008F509A"/>
    <w:rsid w:val="008F5DE7"/>
    <w:rsid w:val="008F6B1D"/>
    <w:rsid w:val="008F6D21"/>
    <w:rsid w:val="008F7407"/>
    <w:rsid w:val="0090041C"/>
    <w:rsid w:val="00900535"/>
    <w:rsid w:val="009006A6"/>
    <w:rsid w:val="0090174E"/>
    <w:rsid w:val="00901C9C"/>
    <w:rsid w:val="00901D4B"/>
    <w:rsid w:val="00901F90"/>
    <w:rsid w:val="0090285F"/>
    <w:rsid w:val="009041FA"/>
    <w:rsid w:val="0090492A"/>
    <w:rsid w:val="009049EE"/>
    <w:rsid w:val="00904DC6"/>
    <w:rsid w:val="00905099"/>
    <w:rsid w:val="00905486"/>
    <w:rsid w:val="00905DA3"/>
    <w:rsid w:val="00906622"/>
    <w:rsid w:val="00906851"/>
    <w:rsid w:val="00906E67"/>
    <w:rsid w:val="00907252"/>
    <w:rsid w:val="0090738E"/>
    <w:rsid w:val="0090756D"/>
    <w:rsid w:val="0090785D"/>
    <w:rsid w:val="00907B91"/>
    <w:rsid w:val="00907E17"/>
    <w:rsid w:val="009117B1"/>
    <w:rsid w:val="009119A4"/>
    <w:rsid w:val="009119F7"/>
    <w:rsid w:val="009122C6"/>
    <w:rsid w:val="0091237D"/>
    <w:rsid w:val="00912BE8"/>
    <w:rsid w:val="00912CAF"/>
    <w:rsid w:val="009135D3"/>
    <w:rsid w:val="00913BAC"/>
    <w:rsid w:val="0091431F"/>
    <w:rsid w:val="009158EE"/>
    <w:rsid w:val="00915CFE"/>
    <w:rsid w:val="009162E5"/>
    <w:rsid w:val="00916ADA"/>
    <w:rsid w:val="00917000"/>
    <w:rsid w:val="00917796"/>
    <w:rsid w:val="00917AC4"/>
    <w:rsid w:val="00917C76"/>
    <w:rsid w:val="00920A64"/>
    <w:rsid w:val="00920E48"/>
    <w:rsid w:val="009210FD"/>
    <w:rsid w:val="009211A5"/>
    <w:rsid w:val="0092130B"/>
    <w:rsid w:val="009217CB"/>
    <w:rsid w:val="00921B76"/>
    <w:rsid w:val="00921CF2"/>
    <w:rsid w:val="00921D4F"/>
    <w:rsid w:val="00921DCA"/>
    <w:rsid w:val="009220E0"/>
    <w:rsid w:val="00922AB7"/>
    <w:rsid w:val="009230EF"/>
    <w:rsid w:val="00924523"/>
    <w:rsid w:val="00924BE2"/>
    <w:rsid w:val="0092522C"/>
    <w:rsid w:val="00925259"/>
    <w:rsid w:val="0092547F"/>
    <w:rsid w:val="009256AE"/>
    <w:rsid w:val="0092617B"/>
    <w:rsid w:val="0092637A"/>
    <w:rsid w:val="00926452"/>
    <w:rsid w:val="009264F4"/>
    <w:rsid w:val="009269A4"/>
    <w:rsid w:val="00926AB6"/>
    <w:rsid w:val="00926BD3"/>
    <w:rsid w:val="00926C53"/>
    <w:rsid w:val="00926E48"/>
    <w:rsid w:val="009274C1"/>
    <w:rsid w:val="00927AB1"/>
    <w:rsid w:val="00927DCC"/>
    <w:rsid w:val="00927EFE"/>
    <w:rsid w:val="00930A37"/>
    <w:rsid w:val="00930B61"/>
    <w:rsid w:val="00931147"/>
    <w:rsid w:val="00931606"/>
    <w:rsid w:val="009316AB"/>
    <w:rsid w:val="00932265"/>
    <w:rsid w:val="009325D7"/>
    <w:rsid w:val="009328D2"/>
    <w:rsid w:val="00932F85"/>
    <w:rsid w:val="0093321E"/>
    <w:rsid w:val="0093383B"/>
    <w:rsid w:val="009340AC"/>
    <w:rsid w:val="0093486E"/>
    <w:rsid w:val="00934B63"/>
    <w:rsid w:val="00934E33"/>
    <w:rsid w:val="0093664A"/>
    <w:rsid w:val="0093673B"/>
    <w:rsid w:val="009369B2"/>
    <w:rsid w:val="00936D9C"/>
    <w:rsid w:val="00936DD4"/>
    <w:rsid w:val="00936ECE"/>
    <w:rsid w:val="0093727D"/>
    <w:rsid w:val="009373B0"/>
    <w:rsid w:val="009405B2"/>
    <w:rsid w:val="00940AED"/>
    <w:rsid w:val="0094175E"/>
    <w:rsid w:val="009421D0"/>
    <w:rsid w:val="009428B4"/>
    <w:rsid w:val="00942E7D"/>
    <w:rsid w:val="00944301"/>
    <w:rsid w:val="009447BF"/>
    <w:rsid w:val="00944C27"/>
    <w:rsid w:val="009453C0"/>
    <w:rsid w:val="00945975"/>
    <w:rsid w:val="00945F62"/>
    <w:rsid w:val="00946B71"/>
    <w:rsid w:val="00946F99"/>
    <w:rsid w:val="00947D5A"/>
    <w:rsid w:val="0095009F"/>
    <w:rsid w:val="00950637"/>
    <w:rsid w:val="00950B82"/>
    <w:rsid w:val="00951317"/>
    <w:rsid w:val="0095197F"/>
    <w:rsid w:val="00952550"/>
    <w:rsid w:val="00952A9A"/>
    <w:rsid w:val="00952B37"/>
    <w:rsid w:val="00952B51"/>
    <w:rsid w:val="00952BE3"/>
    <w:rsid w:val="00952CF5"/>
    <w:rsid w:val="00953295"/>
    <w:rsid w:val="009536A3"/>
    <w:rsid w:val="00953A27"/>
    <w:rsid w:val="00953C40"/>
    <w:rsid w:val="00953C8D"/>
    <w:rsid w:val="009544CE"/>
    <w:rsid w:val="00955586"/>
    <w:rsid w:val="00955F85"/>
    <w:rsid w:val="00956562"/>
    <w:rsid w:val="00956AD3"/>
    <w:rsid w:val="00956FFD"/>
    <w:rsid w:val="00960D7B"/>
    <w:rsid w:val="00960E71"/>
    <w:rsid w:val="009612C9"/>
    <w:rsid w:val="00961614"/>
    <w:rsid w:val="009617BF"/>
    <w:rsid w:val="00962A15"/>
    <w:rsid w:val="0096371A"/>
    <w:rsid w:val="0096444B"/>
    <w:rsid w:val="00964459"/>
    <w:rsid w:val="00965128"/>
    <w:rsid w:val="00965655"/>
    <w:rsid w:val="009657D6"/>
    <w:rsid w:val="00965F06"/>
    <w:rsid w:val="00965F34"/>
    <w:rsid w:val="009662E5"/>
    <w:rsid w:val="0096654A"/>
    <w:rsid w:val="009672E7"/>
    <w:rsid w:val="00970478"/>
    <w:rsid w:val="009704C8"/>
    <w:rsid w:val="00970BD2"/>
    <w:rsid w:val="00970D1C"/>
    <w:rsid w:val="0097189B"/>
    <w:rsid w:val="00971939"/>
    <w:rsid w:val="00972BD4"/>
    <w:rsid w:val="00972C96"/>
    <w:rsid w:val="00972D8B"/>
    <w:rsid w:val="0097386E"/>
    <w:rsid w:val="00973D79"/>
    <w:rsid w:val="0097473D"/>
    <w:rsid w:val="009748DD"/>
    <w:rsid w:val="00974A26"/>
    <w:rsid w:val="00975202"/>
    <w:rsid w:val="00975E55"/>
    <w:rsid w:val="009762A0"/>
    <w:rsid w:val="00976570"/>
    <w:rsid w:val="00977BF7"/>
    <w:rsid w:val="00977C55"/>
    <w:rsid w:val="009801BA"/>
    <w:rsid w:val="00980A10"/>
    <w:rsid w:val="00981EBE"/>
    <w:rsid w:val="00982153"/>
    <w:rsid w:val="00982BC0"/>
    <w:rsid w:val="00982F44"/>
    <w:rsid w:val="0098335A"/>
    <w:rsid w:val="00984098"/>
    <w:rsid w:val="0098423E"/>
    <w:rsid w:val="00984770"/>
    <w:rsid w:val="00984D35"/>
    <w:rsid w:val="0098507B"/>
    <w:rsid w:val="009859D1"/>
    <w:rsid w:val="00985D66"/>
    <w:rsid w:val="009860D3"/>
    <w:rsid w:val="009862D7"/>
    <w:rsid w:val="00987FB1"/>
    <w:rsid w:val="00987FCE"/>
    <w:rsid w:val="009903B1"/>
    <w:rsid w:val="00990A47"/>
    <w:rsid w:val="00990CAB"/>
    <w:rsid w:val="00990D01"/>
    <w:rsid w:val="00991586"/>
    <w:rsid w:val="00991CC4"/>
    <w:rsid w:val="00992048"/>
    <w:rsid w:val="009924CA"/>
    <w:rsid w:val="00992DB3"/>
    <w:rsid w:val="00994034"/>
    <w:rsid w:val="009940D3"/>
    <w:rsid w:val="00994403"/>
    <w:rsid w:val="0099466D"/>
    <w:rsid w:val="00994790"/>
    <w:rsid w:val="00994C6E"/>
    <w:rsid w:val="00994D27"/>
    <w:rsid w:val="00995299"/>
    <w:rsid w:val="00995BF0"/>
    <w:rsid w:val="00995E6E"/>
    <w:rsid w:val="009963D8"/>
    <w:rsid w:val="009971DB"/>
    <w:rsid w:val="009A0077"/>
    <w:rsid w:val="009A079B"/>
    <w:rsid w:val="009A1C25"/>
    <w:rsid w:val="009A27AB"/>
    <w:rsid w:val="009A27BA"/>
    <w:rsid w:val="009A2DAC"/>
    <w:rsid w:val="009A3016"/>
    <w:rsid w:val="009A3EC4"/>
    <w:rsid w:val="009A4421"/>
    <w:rsid w:val="009A4725"/>
    <w:rsid w:val="009A51F3"/>
    <w:rsid w:val="009A526D"/>
    <w:rsid w:val="009A54F9"/>
    <w:rsid w:val="009A5DEE"/>
    <w:rsid w:val="009A627F"/>
    <w:rsid w:val="009A7250"/>
    <w:rsid w:val="009A79C9"/>
    <w:rsid w:val="009B02EA"/>
    <w:rsid w:val="009B0B83"/>
    <w:rsid w:val="009B0F57"/>
    <w:rsid w:val="009B123B"/>
    <w:rsid w:val="009B168C"/>
    <w:rsid w:val="009B1F26"/>
    <w:rsid w:val="009B2191"/>
    <w:rsid w:val="009B255A"/>
    <w:rsid w:val="009B3C74"/>
    <w:rsid w:val="009B3CFC"/>
    <w:rsid w:val="009B3F03"/>
    <w:rsid w:val="009B423A"/>
    <w:rsid w:val="009B44E6"/>
    <w:rsid w:val="009B45F2"/>
    <w:rsid w:val="009B4965"/>
    <w:rsid w:val="009B52EC"/>
    <w:rsid w:val="009B554D"/>
    <w:rsid w:val="009B61B7"/>
    <w:rsid w:val="009B6372"/>
    <w:rsid w:val="009B6780"/>
    <w:rsid w:val="009B67FD"/>
    <w:rsid w:val="009B6F79"/>
    <w:rsid w:val="009B771C"/>
    <w:rsid w:val="009B7885"/>
    <w:rsid w:val="009B7A1A"/>
    <w:rsid w:val="009C0414"/>
    <w:rsid w:val="009C09A4"/>
    <w:rsid w:val="009C0D96"/>
    <w:rsid w:val="009C1832"/>
    <w:rsid w:val="009C32EF"/>
    <w:rsid w:val="009C3A66"/>
    <w:rsid w:val="009C3F69"/>
    <w:rsid w:val="009C48F2"/>
    <w:rsid w:val="009C4B78"/>
    <w:rsid w:val="009C4C9B"/>
    <w:rsid w:val="009C4DDF"/>
    <w:rsid w:val="009C6CA3"/>
    <w:rsid w:val="009C733E"/>
    <w:rsid w:val="009C7678"/>
    <w:rsid w:val="009D02E1"/>
    <w:rsid w:val="009D1301"/>
    <w:rsid w:val="009D200C"/>
    <w:rsid w:val="009D2EC3"/>
    <w:rsid w:val="009D3121"/>
    <w:rsid w:val="009D34EF"/>
    <w:rsid w:val="009D3665"/>
    <w:rsid w:val="009D43E9"/>
    <w:rsid w:val="009D4EB2"/>
    <w:rsid w:val="009D5145"/>
    <w:rsid w:val="009D5359"/>
    <w:rsid w:val="009D53F2"/>
    <w:rsid w:val="009D5CD4"/>
    <w:rsid w:val="009D5F2C"/>
    <w:rsid w:val="009D6732"/>
    <w:rsid w:val="009D6836"/>
    <w:rsid w:val="009D78DC"/>
    <w:rsid w:val="009D7FC7"/>
    <w:rsid w:val="009E3C53"/>
    <w:rsid w:val="009E4B56"/>
    <w:rsid w:val="009E60C4"/>
    <w:rsid w:val="009E6487"/>
    <w:rsid w:val="009E7470"/>
    <w:rsid w:val="009E7557"/>
    <w:rsid w:val="009E79BE"/>
    <w:rsid w:val="009E7D40"/>
    <w:rsid w:val="009E7DE5"/>
    <w:rsid w:val="009EE273"/>
    <w:rsid w:val="009F0831"/>
    <w:rsid w:val="009F0DAB"/>
    <w:rsid w:val="009F0DDF"/>
    <w:rsid w:val="009F1528"/>
    <w:rsid w:val="009F1F31"/>
    <w:rsid w:val="009F2C50"/>
    <w:rsid w:val="009F32C7"/>
    <w:rsid w:val="009F3EBE"/>
    <w:rsid w:val="009F40CA"/>
    <w:rsid w:val="009F43B0"/>
    <w:rsid w:val="009F4846"/>
    <w:rsid w:val="009F6555"/>
    <w:rsid w:val="009F6C00"/>
    <w:rsid w:val="009F7C04"/>
    <w:rsid w:val="00A003B1"/>
    <w:rsid w:val="00A01786"/>
    <w:rsid w:val="00A01D22"/>
    <w:rsid w:val="00A01FFC"/>
    <w:rsid w:val="00A02C35"/>
    <w:rsid w:val="00A03152"/>
    <w:rsid w:val="00A03F39"/>
    <w:rsid w:val="00A04025"/>
    <w:rsid w:val="00A04D97"/>
    <w:rsid w:val="00A05149"/>
    <w:rsid w:val="00A06538"/>
    <w:rsid w:val="00A068C5"/>
    <w:rsid w:val="00A0708C"/>
    <w:rsid w:val="00A1068C"/>
    <w:rsid w:val="00A106D0"/>
    <w:rsid w:val="00A12190"/>
    <w:rsid w:val="00A12365"/>
    <w:rsid w:val="00A12DA5"/>
    <w:rsid w:val="00A12EA9"/>
    <w:rsid w:val="00A1318D"/>
    <w:rsid w:val="00A132E6"/>
    <w:rsid w:val="00A137C6"/>
    <w:rsid w:val="00A14035"/>
    <w:rsid w:val="00A1411F"/>
    <w:rsid w:val="00A14725"/>
    <w:rsid w:val="00A14C93"/>
    <w:rsid w:val="00A15003"/>
    <w:rsid w:val="00A154B2"/>
    <w:rsid w:val="00A156D4"/>
    <w:rsid w:val="00A15EA2"/>
    <w:rsid w:val="00A1673C"/>
    <w:rsid w:val="00A178E6"/>
    <w:rsid w:val="00A206EB"/>
    <w:rsid w:val="00A20F9D"/>
    <w:rsid w:val="00A21394"/>
    <w:rsid w:val="00A215E5"/>
    <w:rsid w:val="00A21743"/>
    <w:rsid w:val="00A21781"/>
    <w:rsid w:val="00A217C3"/>
    <w:rsid w:val="00A21929"/>
    <w:rsid w:val="00A21A11"/>
    <w:rsid w:val="00A21F4D"/>
    <w:rsid w:val="00A235D8"/>
    <w:rsid w:val="00A2373D"/>
    <w:rsid w:val="00A241DE"/>
    <w:rsid w:val="00A24470"/>
    <w:rsid w:val="00A2517E"/>
    <w:rsid w:val="00A25302"/>
    <w:rsid w:val="00A254C9"/>
    <w:rsid w:val="00A25EFC"/>
    <w:rsid w:val="00A25F76"/>
    <w:rsid w:val="00A2620B"/>
    <w:rsid w:val="00A266A4"/>
    <w:rsid w:val="00A272F4"/>
    <w:rsid w:val="00A30D6C"/>
    <w:rsid w:val="00A30EB7"/>
    <w:rsid w:val="00A30EDD"/>
    <w:rsid w:val="00A313E3"/>
    <w:rsid w:val="00A314C2"/>
    <w:rsid w:val="00A31E76"/>
    <w:rsid w:val="00A31EFD"/>
    <w:rsid w:val="00A31FBF"/>
    <w:rsid w:val="00A32592"/>
    <w:rsid w:val="00A33567"/>
    <w:rsid w:val="00A33CBC"/>
    <w:rsid w:val="00A361D1"/>
    <w:rsid w:val="00A36200"/>
    <w:rsid w:val="00A3631F"/>
    <w:rsid w:val="00A364FD"/>
    <w:rsid w:val="00A368EB"/>
    <w:rsid w:val="00A40464"/>
    <w:rsid w:val="00A407DD"/>
    <w:rsid w:val="00A408EA"/>
    <w:rsid w:val="00A40B50"/>
    <w:rsid w:val="00A40CD3"/>
    <w:rsid w:val="00A41F3C"/>
    <w:rsid w:val="00A43441"/>
    <w:rsid w:val="00A43613"/>
    <w:rsid w:val="00A44989"/>
    <w:rsid w:val="00A44D0B"/>
    <w:rsid w:val="00A4522E"/>
    <w:rsid w:val="00A45A67"/>
    <w:rsid w:val="00A45DAC"/>
    <w:rsid w:val="00A4677B"/>
    <w:rsid w:val="00A46A15"/>
    <w:rsid w:val="00A46BD2"/>
    <w:rsid w:val="00A5017A"/>
    <w:rsid w:val="00A513E1"/>
    <w:rsid w:val="00A52033"/>
    <w:rsid w:val="00A5222D"/>
    <w:rsid w:val="00A526A6"/>
    <w:rsid w:val="00A52902"/>
    <w:rsid w:val="00A53B2F"/>
    <w:rsid w:val="00A54011"/>
    <w:rsid w:val="00A54182"/>
    <w:rsid w:val="00A54D8F"/>
    <w:rsid w:val="00A55554"/>
    <w:rsid w:val="00A55BBD"/>
    <w:rsid w:val="00A566B8"/>
    <w:rsid w:val="00A569D7"/>
    <w:rsid w:val="00A56FF7"/>
    <w:rsid w:val="00A57049"/>
    <w:rsid w:val="00A57139"/>
    <w:rsid w:val="00A57CAE"/>
    <w:rsid w:val="00A57D19"/>
    <w:rsid w:val="00A60B2D"/>
    <w:rsid w:val="00A62395"/>
    <w:rsid w:val="00A62512"/>
    <w:rsid w:val="00A627E2"/>
    <w:rsid w:val="00A62BB6"/>
    <w:rsid w:val="00A6375D"/>
    <w:rsid w:val="00A64AA2"/>
    <w:rsid w:val="00A65629"/>
    <w:rsid w:val="00A65AB9"/>
    <w:rsid w:val="00A65D11"/>
    <w:rsid w:val="00A666A8"/>
    <w:rsid w:val="00A668D0"/>
    <w:rsid w:val="00A66E2B"/>
    <w:rsid w:val="00A67A6A"/>
    <w:rsid w:val="00A67BA6"/>
    <w:rsid w:val="00A67D53"/>
    <w:rsid w:val="00A67FC7"/>
    <w:rsid w:val="00A705AD"/>
    <w:rsid w:val="00A70A27"/>
    <w:rsid w:val="00A70A3A"/>
    <w:rsid w:val="00A70F2F"/>
    <w:rsid w:val="00A7165B"/>
    <w:rsid w:val="00A719BA"/>
    <w:rsid w:val="00A71D18"/>
    <w:rsid w:val="00A72027"/>
    <w:rsid w:val="00A73DE2"/>
    <w:rsid w:val="00A741F6"/>
    <w:rsid w:val="00A74A9F"/>
    <w:rsid w:val="00A74CAE"/>
    <w:rsid w:val="00A7606E"/>
    <w:rsid w:val="00A76163"/>
    <w:rsid w:val="00A7617C"/>
    <w:rsid w:val="00A7683B"/>
    <w:rsid w:val="00A76B27"/>
    <w:rsid w:val="00A76DF1"/>
    <w:rsid w:val="00A7715F"/>
    <w:rsid w:val="00A7717C"/>
    <w:rsid w:val="00A773E0"/>
    <w:rsid w:val="00A80309"/>
    <w:rsid w:val="00A809F4"/>
    <w:rsid w:val="00A80F45"/>
    <w:rsid w:val="00A814AF"/>
    <w:rsid w:val="00A81BB8"/>
    <w:rsid w:val="00A8249C"/>
    <w:rsid w:val="00A8269A"/>
    <w:rsid w:val="00A830BD"/>
    <w:rsid w:val="00A83B2C"/>
    <w:rsid w:val="00A84FC9"/>
    <w:rsid w:val="00A85A6F"/>
    <w:rsid w:val="00A8630B"/>
    <w:rsid w:val="00A8644E"/>
    <w:rsid w:val="00A86BCC"/>
    <w:rsid w:val="00A86FEA"/>
    <w:rsid w:val="00A87623"/>
    <w:rsid w:val="00A879D8"/>
    <w:rsid w:val="00A87FC1"/>
    <w:rsid w:val="00A9045F"/>
    <w:rsid w:val="00A90647"/>
    <w:rsid w:val="00A90AE2"/>
    <w:rsid w:val="00A90CC3"/>
    <w:rsid w:val="00A90EB7"/>
    <w:rsid w:val="00A912FD"/>
    <w:rsid w:val="00A91BC9"/>
    <w:rsid w:val="00A921CD"/>
    <w:rsid w:val="00A92642"/>
    <w:rsid w:val="00A92A4D"/>
    <w:rsid w:val="00A92E49"/>
    <w:rsid w:val="00A92FA9"/>
    <w:rsid w:val="00A936F9"/>
    <w:rsid w:val="00A93FE0"/>
    <w:rsid w:val="00A94382"/>
    <w:rsid w:val="00A94CA2"/>
    <w:rsid w:val="00A950DB"/>
    <w:rsid w:val="00A960F9"/>
    <w:rsid w:val="00A96102"/>
    <w:rsid w:val="00A96CE3"/>
    <w:rsid w:val="00A96E6A"/>
    <w:rsid w:val="00A973C7"/>
    <w:rsid w:val="00A97E16"/>
    <w:rsid w:val="00AA068C"/>
    <w:rsid w:val="00AA06EB"/>
    <w:rsid w:val="00AA104F"/>
    <w:rsid w:val="00AA1BAF"/>
    <w:rsid w:val="00AA1DF6"/>
    <w:rsid w:val="00AA1E26"/>
    <w:rsid w:val="00AA2C6C"/>
    <w:rsid w:val="00AA3147"/>
    <w:rsid w:val="00AA3303"/>
    <w:rsid w:val="00AA4046"/>
    <w:rsid w:val="00AA4903"/>
    <w:rsid w:val="00AA50DD"/>
    <w:rsid w:val="00AA5258"/>
    <w:rsid w:val="00AA5278"/>
    <w:rsid w:val="00AA5460"/>
    <w:rsid w:val="00AA58ED"/>
    <w:rsid w:val="00AA623A"/>
    <w:rsid w:val="00AA62E8"/>
    <w:rsid w:val="00AA64B9"/>
    <w:rsid w:val="00AA6BDB"/>
    <w:rsid w:val="00AA6EA5"/>
    <w:rsid w:val="00AA7334"/>
    <w:rsid w:val="00AA747F"/>
    <w:rsid w:val="00AA74D2"/>
    <w:rsid w:val="00AA7A02"/>
    <w:rsid w:val="00AB06D4"/>
    <w:rsid w:val="00AB0D8F"/>
    <w:rsid w:val="00AB0D98"/>
    <w:rsid w:val="00AB0DB5"/>
    <w:rsid w:val="00AB0E5E"/>
    <w:rsid w:val="00AB0FCB"/>
    <w:rsid w:val="00AB1190"/>
    <w:rsid w:val="00AB1279"/>
    <w:rsid w:val="00AB1850"/>
    <w:rsid w:val="00AB1A21"/>
    <w:rsid w:val="00AB1EA8"/>
    <w:rsid w:val="00AB21F8"/>
    <w:rsid w:val="00AB28AA"/>
    <w:rsid w:val="00AB3270"/>
    <w:rsid w:val="00AB34F8"/>
    <w:rsid w:val="00AB48B7"/>
    <w:rsid w:val="00AB49B7"/>
    <w:rsid w:val="00AB4BDE"/>
    <w:rsid w:val="00AB5210"/>
    <w:rsid w:val="00AB5D71"/>
    <w:rsid w:val="00AB6403"/>
    <w:rsid w:val="00AB6446"/>
    <w:rsid w:val="00AB6FB1"/>
    <w:rsid w:val="00AB6FC5"/>
    <w:rsid w:val="00AB7620"/>
    <w:rsid w:val="00AB78A2"/>
    <w:rsid w:val="00AB7CD1"/>
    <w:rsid w:val="00AC0074"/>
    <w:rsid w:val="00AC0637"/>
    <w:rsid w:val="00AC1712"/>
    <w:rsid w:val="00AC184B"/>
    <w:rsid w:val="00AC1E17"/>
    <w:rsid w:val="00AC226C"/>
    <w:rsid w:val="00AC2C7E"/>
    <w:rsid w:val="00AC3107"/>
    <w:rsid w:val="00AC3ECB"/>
    <w:rsid w:val="00AC433B"/>
    <w:rsid w:val="00AC47EB"/>
    <w:rsid w:val="00AC5227"/>
    <w:rsid w:val="00AC53AD"/>
    <w:rsid w:val="00AC5719"/>
    <w:rsid w:val="00AC5EF1"/>
    <w:rsid w:val="00AC6368"/>
    <w:rsid w:val="00AC7336"/>
    <w:rsid w:val="00AC736C"/>
    <w:rsid w:val="00AC7491"/>
    <w:rsid w:val="00AC75B1"/>
    <w:rsid w:val="00AC7ACE"/>
    <w:rsid w:val="00AC7B97"/>
    <w:rsid w:val="00AC7C29"/>
    <w:rsid w:val="00AD0E9B"/>
    <w:rsid w:val="00AD167B"/>
    <w:rsid w:val="00AD16DD"/>
    <w:rsid w:val="00AD19D2"/>
    <w:rsid w:val="00AD25FB"/>
    <w:rsid w:val="00AD2A10"/>
    <w:rsid w:val="00AD2B27"/>
    <w:rsid w:val="00AD2DC0"/>
    <w:rsid w:val="00AD32F9"/>
    <w:rsid w:val="00AD38DA"/>
    <w:rsid w:val="00AD3F7E"/>
    <w:rsid w:val="00AD44D2"/>
    <w:rsid w:val="00AD4D25"/>
    <w:rsid w:val="00AD5557"/>
    <w:rsid w:val="00AD5692"/>
    <w:rsid w:val="00AD5CCD"/>
    <w:rsid w:val="00AD6C99"/>
    <w:rsid w:val="00AD6DB0"/>
    <w:rsid w:val="00AD7048"/>
    <w:rsid w:val="00AD73DF"/>
    <w:rsid w:val="00AD740E"/>
    <w:rsid w:val="00AD7B37"/>
    <w:rsid w:val="00AD7D7A"/>
    <w:rsid w:val="00AD7ECD"/>
    <w:rsid w:val="00AE0D88"/>
    <w:rsid w:val="00AE15E2"/>
    <w:rsid w:val="00AE177B"/>
    <w:rsid w:val="00AE1F4E"/>
    <w:rsid w:val="00AE229A"/>
    <w:rsid w:val="00AE44E0"/>
    <w:rsid w:val="00AE4743"/>
    <w:rsid w:val="00AE5D94"/>
    <w:rsid w:val="00AE64AE"/>
    <w:rsid w:val="00AE7BA1"/>
    <w:rsid w:val="00AE7CD8"/>
    <w:rsid w:val="00AF01C1"/>
    <w:rsid w:val="00AF05EE"/>
    <w:rsid w:val="00AF0690"/>
    <w:rsid w:val="00AF0721"/>
    <w:rsid w:val="00AF20E5"/>
    <w:rsid w:val="00AF27E7"/>
    <w:rsid w:val="00AF294A"/>
    <w:rsid w:val="00AF3322"/>
    <w:rsid w:val="00AF3871"/>
    <w:rsid w:val="00AF3FFF"/>
    <w:rsid w:val="00AF473F"/>
    <w:rsid w:val="00AF4E1C"/>
    <w:rsid w:val="00AF5DFA"/>
    <w:rsid w:val="00AF62E0"/>
    <w:rsid w:val="00AF7326"/>
    <w:rsid w:val="00AF7A93"/>
    <w:rsid w:val="00B00802"/>
    <w:rsid w:val="00B011C8"/>
    <w:rsid w:val="00B0392F"/>
    <w:rsid w:val="00B04367"/>
    <w:rsid w:val="00B04395"/>
    <w:rsid w:val="00B0446E"/>
    <w:rsid w:val="00B05C7C"/>
    <w:rsid w:val="00B06187"/>
    <w:rsid w:val="00B10613"/>
    <w:rsid w:val="00B10742"/>
    <w:rsid w:val="00B108A2"/>
    <w:rsid w:val="00B111E9"/>
    <w:rsid w:val="00B11EA2"/>
    <w:rsid w:val="00B12222"/>
    <w:rsid w:val="00B125A3"/>
    <w:rsid w:val="00B125B8"/>
    <w:rsid w:val="00B12EF6"/>
    <w:rsid w:val="00B1410E"/>
    <w:rsid w:val="00B1453A"/>
    <w:rsid w:val="00B14A1D"/>
    <w:rsid w:val="00B1509D"/>
    <w:rsid w:val="00B153E4"/>
    <w:rsid w:val="00B1589F"/>
    <w:rsid w:val="00B15C72"/>
    <w:rsid w:val="00B16018"/>
    <w:rsid w:val="00B16924"/>
    <w:rsid w:val="00B16A18"/>
    <w:rsid w:val="00B16ACC"/>
    <w:rsid w:val="00B16F05"/>
    <w:rsid w:val="00B2011A"/>
    <w:rsid w:val="00B20354"/>
    <w:rsid w:val="00B20C3C"/>
    <w:rsid w:val="00B21389"/>
    <w:rsid w:val="00B219EB"/>
    <w:rsid w:val="00B21C75"/>
    <w:rsid w:val="00B2200E"/>
    <w:rsid w:val="00B2265B"/>
    <w:rsid w:val="00B2351F"/>
    <w:rsid w:val="00B23836"/>
    <w:rsid w:val="00B23D0E"/>
    <w:rsid w:val="00B241C3"/>
    <w:rsid w:val="00B248EF"/>
    <w:rsid w:val="00B25A8E"/>
    <w:rsid w:val="00B267F8"/>
    <w:rsid w:val="00B2720D"/>
    <w:rsid w:val="00B27526"/>
    <w:rsid w:val="00B27982"/>
    <w:rsid w:val="00B27DDB"/>
    <w:rsid w:val="00B3071A"/>
    <w:rsid w:val="00B30F1B"/>
    <w:rsid w:val="00B31F8C"/>
    <w:rsid w:val="00B322C8"/>
    <w:rsid w:val="00B32366"/>
    <w:rsid w:val="00B324D1"/>
    <w:rsid w:val="00B32AAA"/>
    <w:rsid w:val="00B3320C"/>
    <w:rsid w:val="00B33DFA"/>
    <w:rsid w:val="00B34B00"/>
    <w:rsid w:val="00B350E8"/>
    <w:rsid w:val="00B3599B"/>
    <w:rsid w:val="00B35A1C"/>
    <w:rsid w:val="00B3708B"/>
    <w:rsid w:val="00B372EB"/>
    <w:rsid w:val="00B374AF"/>
    <w:rsid w:val="00B378CB"/>
    <w:rsid w:val="00B378DD"/>
    <w:rsid w:val="00B37BE7"/>
    <w:rsid w:val="00B37E7F"/>
    <w:rsid w:val="00B40160"/>
    <w:rsid w:val="00B4050A"/>
    <w:rsid w:val="00B40A6B"/>
    <w:rsid w:val="00B40ABA"/>
    <w:rsid w:val="00B40C02"/>
    <w:rsid w:val="00B40F13"/>
    <w:rsid w:val="00B41148"/>
    <w:rsid w:val="00B41206"/>
    <w:rsid w:val="00B41659"/>
    <w:rsid w:val="00B41CA1"/>
    <w:rsid w:val="00B420DB"/>
    <w:rsid w:val="00B426D4"/>
    <w:rsid w:val="00B430AE"/>
    <w:rsid w:val="00B4310B"/>
    <w:rsid w:val="00B438AF"/>
    <w:rsid w:val="00B4395B"/>
    <w:rsid w:val="00B440FD"/>
    <w:rsid w:val="00B44653"/>
    <w:rsid w:val="00B44D88"/>
    <w:rsid w:val="00B4504E"/>
    <w:rsid w:val="00B45A23"/>
    <w:rsid w:val="00B467DB"/>
    <w:rsid w:val="00B47209"/>
    <w:rsid w:val="00B47BC7"/>
    <w:rsid w:val="00B47DD8"/>
    <w:rsid w:val="00B5000D"/>
    <w:rsid w:val="00B50B5F"/>
    <w:rsid w:val="00B50F56"/>
    <w:rsid w:val="00B51380"/>
    <w:rsid w:val="00B51C09"/>
    <w:rsid w:val="00B5230C"/>
    <w:rsid w:val="00B52566"/>
    <w:rsid w:val="00B52CAF"/>
    <w:rsid w:val="00B52E13"/>
    <w:rsid w:val="00B5385D"/>
    <w:rsid w:val="00B5462E"/>
    <w:rsid w:val="00B5478A"/>
    <w:rsid w:val="00B54C91"/>
    <w:rsid w:val="00B556C5"/>
    <w:rsid w:val="00B55762"/>
    <w:rsid w:val="00B55769"/>
    <w:rsid w:val="00B55B39"/>
    <w:rsid w:val="00B55FB8"/>
    <w:rsid w:val="00B56771"/>
    <w:rsid w:val="00B56CE7"/>
    <w:rsid w:val="00B57285"/>
    <w:rsid w:val="00B57500"/>
    <w:rsid w:val="00B579E5"/>
    <w:rsid w:val="00B57AC6"/>
    <w:rsid w:val="00B608F3"/>
    <w:rsid w:val="00B60A0B"/>
    <w:rsid w:val="00B60C22"/>
    <w:rsid w:val="00B60EF2"/>
    <w:rsid w:val="00B61057"/>
    <w:rsid w:val="00B612CC"/>
    <w:rsid w:val="00B61365"/>
    <w:rsid w:val="00B61603"/>
    <w:rsid w:val="00B61F22"/>
    <w:rsid w:val="00B63607"/>
    <w:rsid w:val="00B64443"/>
    <w:rsid w:val="00B64764"/>
    <w:rsid w:val="00B64AA0"/>
    <w:rsid w:val="00B64D30"/>
    <w:rsid w:val="00B64D47"/>
    <w:rsid w:val="00B655A6"/>
    <w:rsid w:val="00B66010"/>
    <w:rsid w:val="00B6650D"/>
    <w:rsid w:val="00B668C2"/>
    <w:rsid w:val="00B66E26"/>
    <w:rsid w:val="00B6757A"/>
    <w:rsid w:val="00B67773"/>
    <w:rsid w:val="00B70245"/>
    <w:rsid w:val="00B705A7"/>
    <w:rsid w:val="00B716A4"/>
    <w:rsid w:val="00B716AD"/>
    <w:rsid w:val="00B71815"/>
    <w:rsid w:val="00B71CB7"/>
    <w:rsid w:val="00B724AB"/>
    <w:rsid w:val="00B72815"/>
    <w:rsid w:val="00B729E0"/>
    <w:rsid w:val="00B72E4E"/>
    <w:rsid w:val="00B73DF4"/>
    <w:rsid w:val="00B74ABA"/>
    <w:rsid w:val="00B74B69"/>
    <w:rsid w:val="00B74BCA"/>
    <w:rsid w:val="00B754E8"/>
    <w:rsid w:val="00B76613"/>
    <w:rsid w:val="00B767DE"/>
    <w:rsid w:val="00B771B1"/>
    <w:rsid w:val="00B77314"/>
    <w:rsid w:val="00B7741D"/>
    <w:rsid w:val="00B77CED"/>
    <w:rsid w:val="00B77D53"/>
    <w:rsid w:val="00B800FB"/>
    <w:rsid w:val="00B807C4"/>
    <w:rsid w:val="00B81475"/>
    <w:rsid w:val="00B817CE"/>
    <w:rsid w:val="00B82369"/>
    <w:rsid w:val="00B82377"/>
    <w:rsid w:val="00B82CAB"/>
    <w:rsid w:val="00B83077"/>
    <w:rsid w:val="00B8308E"/>
    <w:rsid w:val="00B838B5"/>
    <w:rsid w:val="00B83E02"/>
    <w:rsid w:val="00B8475A"/>
    <w:rsid w:val="00B84856"/>
    <w:rsid w:val="00B85374"/>
    <w:rsid w:val="00B85828"/>
    <w:rsid w:val="00B8598F"/>
    <w:rsid w:val="00B85AFF"/>
    <w:rsid w:val="00B86038"/>
    <w:rsid w:val="00B862A7"/>
    <w:rsid w:val="00B873F7"/>
    <w:rsid w:val="00B87B31"/>
    <w:rsid w:val="00B87E4F"/>
    <w:rsid w:val="00B9168E"/>
    <w:rsid w:val="00B919D1"/>
    <w:rsid w:val="00B91E3F"/>
    <w:rsid w:val="00B91FF7"/>
    <w:rsid w:val="00B9295A"/>
    <w:rsid w:val="00B92A53"/>
    <w:rsid w:val="00B92AA3"/>
    <w:rsid w:val="00B930F6"/>
    <w:rsid w:val="00B9340F"/>
    <w:rsid w:val="00B93A16"/>
    <w:rsid w:val="00B94381"/>
    <w:rsid w:val="00B95D06"/>
    <w:rsid w:val="00B96600"/>
    <w:rsid w:val="00B96D84"/>
    <w:rsid w:val="00B97151"/>
    <w:rsid w:val="00B97A5D"/>
    <w:rsid w:val="00B97E80"/>
    <w:rsid w:val="00BA0852"/>
    <w:rsid w:val="00BA0AF0"/>
    <w:rsid w:val="00BA0DD2"/>
    <w:rsid w:val="00BA105D"/>
    <w:rsid w:val="00BA1531"/>
    <w:rsid w:val="00BA3187"/>
    <w:rsid w:val="00BA3216"/>
    <w:rsid w:val="00BA3429"/>
    <w:rsid w:val="00BA363F"/>
    <w:rsid w:val="00BA37F7"/>
    <w:rsid w:val="00BA4ABD"/>
    <w:rsid w:val="00BA4BB9"/>
    <w:rsid w:val="00BA5944"/>
    <w:rsid w:val="00BA5C85"/>
    <w:rsid w:val="00BA5FCE"/>
    <w:rsid w:val="00BA6576"/>
    <w:rsid w:val="00BA6B62"/>
    <w:rsid w:val="00BA6D5C"/>
    <w:rsid w:val="00BA6DC1"/>
    <w:rsid w:val="00BA713F"/>
    <w:rsid w:val="00BA7D13"/>
    <w:rsid w:val="00BB06F9"/>
    <w:rsid w:val="00BB0A3E"/>
    <w:rsid w:val="00BB0C03"/>
    <w:rsid w:val="00BB1A94"/>
    <w:rsid w:val="00BB288F"/>
    <w:rsid w:val="00BB3616"/>
    <w:rsid w:val="00BB3E55"/>
    <w:rsid w:val="00BB4932"/>
    <w:rsid w:val="00BB4B5C"/>
    <w:rsid w:val="00BB4F7B"/>
    <w:rsid w:val="00BB5A34"/>
    <w:rsid w:val="00BB5A4B"/>
    <w:rsid w:val="00BB6594"/>
    <w:rsid w:val="00BB6A4F"/>
    <w:rsid w:val="00BB72AD"/>
    <w:rsid w:val="00BB768D"/>
    <w:rsid w:val="00BB7858"/>
    <w:rsid w:val="00BB790B"/>
    <w:rsid w:val="00BB7BF3"/>
    <w:rsid w:val="00BC0627"/>
    <w:rsid w:val="00BC27BD"/>
    <w:rsid w:val="00BC37FF"/>
    <w:rsid w:val="00BC3E8A"/>
    <w:rsid w:val="00BC3F57"/>
    <w:rsid w:val="00BC3FD8"/>
    <w:rsid w:val="00BC4370"/>
    <w:rsid w:val="00BC4FC7"/>
    <w:rsid w:val="00BC5DE7"/>
    <w:rsid w:val="00BC5E0E"/>
    <w:rsid w:val="00BC643B"/>
    <w:rsid w:val="00BC682A"/>
    <w:rsid w:val="00BC6876"/>
    <w:rsid w:val="00BC7336"/>
    <w:rsid w:val="00BC743D"/>
    <w:rsid w:val="00BD022F"/>
    <w:rsid w:val="00BD07C4"/>
    <w:rsid w:val="00BD08B1"/>
    <w:rsid w:val="00BD103C"/>
    <w:rsid w:val="00BD10D1"/>
    <w:rsid w:val="00BD1132"/>
    <w:rsid w:val="00BD226C"/>
    <w:rsid w:val="00BD27E1"/>
    <w:rsid w:val="00BD29A3"/>
    <w:rsid w:val="00BD32BC"/>
    <w:rsid w:val="00BD3556"/>
    <w:rsid w:val="00BD391B"/>
    <w:rsid w:val="00BD3DA3"/>
    <w:rsid w:val="00BD401D"/>
    <w:rsid w:val="00BD4022"/>
    <w:rsid w:val="00BD4653"/>
    <w:rsid w:val="00BD4749"/>
    <w:rsid w:val="00BD4AC1"/>
    <w:rsid w:val="00BD51DF"/>
    <w:rsid w:val="00BD52EC"/>
    <w:rsid w:val="00BD5914"/>
    <w:rsid w:val="00BD6309"/>
    <w:rsid w:val="00BD678B"/>
    <w:rsid w:val="00BD6901"/>
    <w:rsid w:val="00BD6A6D"/>
    <w:rsid w:val="00BD6E2A"/>
    <w:rsid w:val="00BD7361"/>
    <w:rsid w:val="00BD7560"/>
    <w:rsid w:val="00BD7D68"/>
    <w:rsid w:val="00BE035E"/>
    <w:rsid w:val="00BE0896"/>
    <w:rsid w:val="00BE1213"/>
    <w:rsid w:val="00BE17A5"/>
    <w:rsid w:val="00BE17B9"/>
    <w:rsid w:val="00BE22B8"/>
    <w:rsid w:val="00BE26C4"/>
    <w:rsid w:val="00BE2725"/>
    <w:rsid w:val="00BE2C48"/>
    <w:rsid w:val="00BE39DF"/>
    <w:rsid w:val="00BE4260"/>
    <w:rsid w:val="00BE46B7"/>
    <w:rsid w:val="00BE5431"/>
    <w:rsid w:val="00BE5830"/>
    <w:rsid w:val="00BE5BFE"/>
    <w:rsid w:val="00BE69F7"/>
    <w:rsid w:val="00BE6C8B"/>
    <w:rsid w:val="00BE7F1A"/>
    <w:rsid w:val="00BF000C"/>
    <w:rsid w:val="00BF073F"/>
    <w:rsid w:val="00BF13C5"/>
    <w:rsid w:val="00BF1BF2"/>
    <w:rsid w:val="00BF3EDD"/>
    <w:rsid w:val="00BF42BD"/>
    <w:rsid w:val="00BF48F5"/>
    <w:rsid w:val="00BF5071"/>
    <w:rsid w:val="00BF5644"/>
    <w:rsid w:val="00BF5A6A"/>
    <w:rsid w:val="00BF5CEE"/>
    <w:rsid w:val="00BF6386"/>
    <w:rsid w:val="00BF6422"/>
    <w:rsid w:val="00BF777C"/>
    <w:rsid w:val="00BF7A21"/>
    <w:rsid w:val="00C001C5"/>
    <w:rsid w:val="00C0028C"/>
    <w:rsid w:val="00C003A1"/>
    <w:rsid w:val="00C00EA5"/>
    <w:rsid w:val="00C00FF8"/>
    <w:rsid w:val="00C0124E"/>
    <w:rsid w:val="00C013C2"/>
    <w:rsid w:val="00C0150C"/>
    <w:rsid w:val="00C017A6"/>
    <w:rsid w:val="00C01D42"/>
    <w:rsid w:val="00C01DE0"/>
    <w:rsid w:val="00C0246D"/>
    <w:rsid w:val="00C02508"/>
    <w:rsid w:val="00C034C0"/>
    <w:rsid w:val="00C038EA"/>
    <w:rsid w:val="00C04299"/>
    <w:rsid w:val="00C04E7D"/>
    <w:rsid w:val="00C05188"/>
    <w:rsid w:val="00C05744"/>
    <w:rsid w:val="00C05CF4"/>
    <w:rsid w:val="00C05D60"/>
    <w:rsid w:val="00C065BD"/>
    <w:rsid w:val="00C06888"/>
    <w:rsid w:val="00C06D2D"/>
    <w:rsid w:val="00C06E81"/>
    <w:rsid w:val="00C07066"/>
    <w:rsid w:val="00C076FC"/>
    <w:rsid w:val="00C07A60"/>
    <w:rsid w:val="00C07C7D"/>
    <w:rsid w:val="00C07DAC"/>
    <w:rsid w:val="00C102C0"/>
    <w:rsid w:val="00C10595"/>
    <w:rsid w:val="00C10963"/>
    <w:rsid w:val="00C1118F"/>
    <w:rsid w:val="00C111E9"/>
    <w:rsid w:val="00C1153A"/>
    <w:rsid w:val="00C11AEB"/>
    <w:rsid w:val="00C1297F"/>
    <w:rsid w:val="00C12C6C"/>
    <w:rsid w:val="00C12F58"/>
    <w:rsid w:val="00C1378D"/>
    <w:rsid w:val="00C14349"/>
    <w:rsid w:val="00C145B2"/>
    <w:rsid w:val="00C14DE9"/>
    <w:rsid w:val="00C14EC3"/>
    <w:rsid w:val="00C14F6E"/>
    <w:rsid w:val="00C1502E"/>
    <w:rsid w:val="00C1547E"/>
    <w:rsid w:val="00C15B09"/>
    <w:rsid w:val="00C15EC1"/>
    <w:rsid w:val="00C1663F"/>
    <w:rsid w:val="00C167C9"/>
    <w:rsid w:val="00C16B11"/>
    <w:rsid w:val="00C16BD0"/>
    <w:rsid w:val="00C16EDB"/>
    <w:rsid w:val="00C17165"/>
    <w:rsid w:val="00C17940"/>
    <w:rsid w:val="00C17F01"/>
    <w:rsid w:val="00C20259"/>
    <w:rsid w:val="00C2032D"/>
    <w:rsid w:val="00C20A2A"/>
    <w:rsid w:val="00C20DCD"/>
    <w:rsid w:val="00C20DFC"/>
    <w:rsid w:val="00C20E81"/>
    <w:rsid w:val="00C21869"/>
    <w:rsid w:val="00C22572"/>
    <w:rsid w:val="00C22831"/>
    <w:rsid w:val="00C22862"/>
    <w:rsid w:val="00C22C5F"/>
    <w:rsid w:val="00C22DB0"/>
    <w:rsid w:val="00C2351E"/>
    <w:rsid w:val="00C2549F"/>
    <w:rsid w:val="00C25E8F"/>
    <w:rsid w:val="00C25EBB"/>
    <w:rsid w:val="00C25F3A"/>
    <w:rsid w:val="00C26106"/>
    <w:rsid w:val="00C26AA0"/>
    <w:rsid w:val="00C2709F"/>
    <w:rsid w:val="00C274BD"/>
    <w:rsid w:val="00C27E8F"/>
    <w:rsid w:val="00C30330"/>
    <w:rsid w:val="00C30565"/>
    <w:rsid w:val="00C30D59"/>
    <w:rsid w:val="00C31406"/>
    <w:rsid w:val="00C31534"/>
    <w:rsid w:val="00C3153E"/>
    <w:rsid w:val="00C31634"/>
    <w:rsid w:val="00C31928"/>
    <w:rsid w:val="00C33477"/>
    <w:rsid w:val="00C336BB"/>
    <w:rsid w:val="00C33888"/>
    <w:rsid w:val="00C345A9"/>
    <w:rsid w:val="00C356FF"/>
    <w:rsid w:val="00C35950"/>
    <w:rsid w:val="00C3602C"/>
    <w:rsid w:val="00C362BC"/>
    <w:rsid w:val="00C36B37"/>
    <w:rsid w:val="00C37015"/>
    <w:rsid w:val="00C4002B"/>
    <w:rsid w:val="00C40E66"/>
    <w:rsid w:val="00C40F23"/>
    <w:rsid w:val="00C4143D"/>
    <w:rsid w:val="00C41563"/>
    <w:rsid w:val="00C415AC"/>
    <w:rsid w:val="00C4160A"/>
    <w:rsid w:val="00C4208F"/>
    <w:rsid w:val="00C421C0"/>
    <w:rsid w:val="00C425B6"/>
    <w:rsid w:val="00C42652"/>
    <w:rsid w:val="00C43ACE"/>
    <w:rsid w:val="00C44397"/>
    <w:rsid w:val="00C44A52"/>
    <w:rsid w:val="00C44A72"/>
    <w:rsid w:val="00C44DD3"/>
    <w:rsid w:val="00C46272"/>
    <w:rsid w:val="00C462A0"/>
    <w:rsid w:val="00C4651E"/>
    <w:rsid w:val="00C46AFC"/>
    <w:rsid w:val="00C46E0B"/>
    <w:rsid w:val="00C4702B"/>
    <w:rsid w:val="00C479C6"/>
    <w:rsid w:val="00C479C7"/>
    <w:rsid w:val="00C506FA"/>
    <w:rsid w:val="00C5101E"/>
    <w:rsid w:val="00C5105A"/>
    <w:rsid w:val="00C5107C"/>
    <w:rsid w:val="00C510B6"/>
    <w:rsid w:val="00C51263"/>
    <w:rsid w:val="00C5139A"/>
    <w:rsid w:val="00C5175B"/>
    <w:rsid w:val="00C51FA3"/>
    <w:rsid w:val="00C5276E"/>
    <w:rsid w:val="00C52DD8"/>
    <w:rsid w:val="00C534D6"/>
    <w:rsid w:val="00C543B0"/>
    <w:rsid w:val="00C544BC"/>
    <w:rsid w:val="00C553FC"/>
    <w:rsid w:val="00C559C9"/>
    <w:rsid w:val="00C55B93"/>
    <w:rsid w:val="00C578B9"/>
    <w:rsid w:val="00C57958"/>
    <w:rsid w:val="00C60607"/>
    <w:rsid w:val="00C60979"/>
    <w:rsid w:val="00C611FC"/>
    <w:rsid w:val="00C6183B"/>
    <w:rsid w:val="00C61A29"/>
    <w:rsid w:val="00C61CC3"/>
    <w:rsid w:val="00C61EEC"/>
    <w:rsid w:val="00C62066"/>
    <w:rsid w:val="00C62285"/>
    <w:rsid w:val="00C62FEF"/>
    <w:rsid w:val="00C633E0"/>
    <w:rsid w:val="00C634A8"/>
    <w:rsid w:val="00C63F7D"/>
    <w:rsid w:val="00C64193"/>
    <w:rsid w:val="00C64AA6"/>
    <w:rsid w:val="00C650C2"/>
    <w:rsid w:val="00C65496"/>
    <w:rsid w:val="00C661CA"/>
    <w:rsid w:val="00C66569"/>
    <w:rsid w:val="00C665F1"/>
    <w:rsid w:val="00C66E1C"/>
    <w:rsid w:val="00C677A3"/>
    <w:rsid w:val="00C677AF"/>
    <w:rsid w:val="00C67977"/>
    <w:rsid w:val="00C67C99"/>
    <w:rsid w:val="00C702D6"/>
    <w:rsid w:val="00C70965"/>
    <w:rsid w:val="00C71E83"/>
    <w:rsid w:val="00C725FD"/>
    <w:rsid w:val="00C72C23"/>
    <w:rsid w:val="00C733BE"/>
    <w:rsid w:val="00C7342F"/>
    <w:rsid w:val="00C734CB"/>
    <w:rsid w:val="00C737B0"/>
    <w:rsid w:val="00C738E0"/>
    <w:rsid w:val="00C739BA"/>
    <w:rsid w:val="00C741C7"/>
    <w:rsid w:val="00C747CF"/>
    <w:rsid w:val="00C759D2"/>
    <w:rsid w:val="00C75B5C"/>
    <w:rsid w:val="00C76132"/>
    <w:rsid w:val="00C7689E"/>
    <w:rsid w:val="00C769FC"/>
    <w:rsid w:val="00C777B9"/>
    <w:rsid w:val="00C77BB7"/>
    <w:rsid w:val="00C80B76"/>
    <w:rsid w:val="00C8161D"/>
    <w:rsid w:val="00C818E8"/>
    <w:rsid w:val="00C82945"/>
    <w:rsid w:val="00C83162"/>
    <w:rsid w:val="00C8316C"/>
    <w:rsid w:val="00C839F4"/>
    <w:rsid w:val="00C83B60"/>
    <w:rsid w:val="00C841A2"/>
    <w:rsid w:val="00C847AC"/>
    <w:rsid w:val="00C8499D"/>
    <w:rsid w:val="00C84A57"/>
    <w:rsid w:val="00C84FBD"/>
    <w:rsid w:val="00C850B3"/>
    <w:rsid w:val="00C8543B"/>
    <w:rsid w:val="00C85773"/>
    <w:rsid w:val="00C86526"/>
    <w:rsid w:val="00C86CA0"/>
    <w:rsid w:val="00C87131"/>
    <w:rsid w:val="00C872AB"/>
    <w:rsid w:val="00C875CE"/>
    <w:rsid w:val="00C905A0"/>
    <w:rsid w:val="00C905AD"/>
    <w:rsid w:val="00C90DC0"/>
    <w:rsid w:val="00C90E18"/>
    <w:rsid w:val="00C90F49"/>
    <w:rsid w:val="00C90F50"/>
    <w:rsid w:val="00C9157C"/>
    <w:rsid w:val="00C919D5"/>
    <w:rsid w:val="00C91C15"/>
    <w:rsid w:val="00C920ED"/>
    <w:rsid w:val="00C92205"/>
    <w:rsid w:val="00C92282"/>
    <w:rsid w:val="00C9313C"/>
    <w:rsid w:val="00C9427E"/>
    <w:rsid w:val="00C94302"/>
    <w:rsid w:val="00C948A8"/>
    <w:rsid w:val="00C94902"/>
    <w:rsid w:val="00C94B88"/>
    <w:rsid w:val="00C95310"/>
    <w:rsid w:val="00C954FD"/>
    <w:rsid w:val="00C955A0"/>
    <w:rsid w:val="00C9573A"/>
    <w:rsid w:val="00C95BF4"/>
    <w:rsid w:val="00C96342"/>
    <w:rsid w:val="00C968F0"/>
    <w:rsid w:val="00C96A3C"/>
    <w:rsid w:val="00C96CE1"/>
    <w:rsid w:val="00C97275"/>
    <w:rsid w:val="00C973A2"/>
    <w:rsid w:val="00C9773A"/>
    <w:rsid w:val="00C978C9"/>
    <w:rsid w:val="00CA01B6"/>
    <w:rsid w:val="00CA04F6"/>
    <w:rsid w:val="00CA087C"/>
    <w:rsid w:val="00CA08B2"/>
    <w:rsid w:val="00CA1543"/>
    <w:rsid w:val="00CA37E9"/>
    <w:rsid w:val="00CA3B41"/>
    <w:rsid w:val="00CA42B3"/>
    <w:rsid w:val="00CA4E74"/>
    <w:rsid w:val="00CA5232"/>
    <w:rsid w:val="00CA5A23"/>
    <w:rsid w:val="00CA62F0"/>
    <w:rsid w:val="00CA72E5"/>
    <w:rsid w:val="00CB0C7B"/>
    <w:rsid w:val="00CB0EF4"/>
    <w:rsid w:val="00CB0F1A"/>
    <w:rsid w:val="00CB2385"/>
    <w:rsid w:val="00CB25E6"/>
    <w:rsid w:val="00CB2641"/>
    <w:rsid w:val="00CB3679"/>
    <w:rsid w:val="00CB3D7B"/>
    <w:rsid w:val="00CB5157"/>
    <w:rsid w:val="00CB560B"/>
    <w:rsid w:val="00CB5920"/>
    <w:rsid w:val="00CB6E19"/>
    <w:rsid w:val="00CB757D"/>
    <w:rsid w:val="00CB7805"/>
    <w:rsid w:val="00CB7995"/>
    <w:rsid w:val="00CB7EE5"/>
    <w:rsid w:val="00CC0844"/>
    <w:rsid w:val="00CC0B4F"/>
    <w:rsid w:val="00CC0B67"/>
    <w:rsid w:val="00CC0DFA"/>
    <w:rsid w:val="00CC197E"/>
    <w:rsid w:val="00CC1A90"/>
    <w:rsid w:val="00CC1E56"/>
    <w:rsid w:val="00CC2B12"/>
    <w:rsid w:val="00CC322E"/>
    <w:rsid w:val="00CC39AE"/>
    <w:rsid w:val="00CC3B5E"/>
    <w:rsid w:val="00CC3BDA"/>
    <w:rsid w:val="00CC3BEC"/>
    <w:rsid w:val="00CC453D"/>
    <w:rsid w:val="00CC4697"/>
    <w:rsid w:val="00CC4C5B"/>
    <w:rsid w:val="00CC4EC9"/>
    <w:rsid w:val="00CC5215"/>
    <w:rsid w:val="00CC52BD"/>
    <w:rsid w:val="00CC5FF8"/>
    <w:rsid w:val="00CC653F"/>
    <w:rsid w:val="00CC65BF"/>
    <w:rsid w:val="00CC72D8"/>
    <w:rsid w:val="00CC774B"/>
    <w:rsid w:val="00CD014C"/>
    <w:rsid w:val="00CD0A81"/>
    <w:rsid w:val="00CD14C0"/>
    <w:rsid w:val="00CD3742"/>
    <w:rsid w:val="00CD3757"/>
    <w:rsid w:val="00CD3858"/>
    <w:rsid w:val="00CD4A14"/>
    <w:rsid w:val="00CD4AB8"/>
    <w:rsid w:val="00CD51D0"/>
    <w:rsid w:val="00CD5C3C"/>
    <w:rsid w:val="00CD65ED"/>
    <w:rsid w:val="00CD6968"/>
    <w:rsid w:val="00CD7C6E"/>
    <w:rsid w:val="00CE022A"/>
    <w:rsid w:val="00CE0889"/>
    <w:rsid w:val="00CE0AE9"/>
    <w:rsid w:val="00CE0C19"/>
    <w:rsid w:val="00CE0D88"/>
    <w:rsid w:val="00CE1F39"/>
    <w:rsid w:val="00CE23F8"/>
    <w:rsid w:val="00CE2D14"/>
    <w:rsid w:val="00CE3BB4"/>
    <w:rsid w:val="00CE3F2A"/>
    <w:rsid w:val="00CE42E3"/>
    <w:rsid w:val="00CE46D1"/>
    <w:rsid w:val="00CE4B13"/>
    <w:rsid w:val="00CE4E12"/>
    <w:rsid w:val="00CE5331"/>
    <w:rsid w:val="00CE652B"/>
    <w:rsid w:val="00CE6B11"/>
    <w:rsid w:val="00CE6C46"/>
    <w:rsid w:val="00CE7591"/>
    <w:rsid w:val="00CE76A8"/>
    <w:rsid w:val="00CE7AAF"/>
    <w:rsid w:val="00CF0776"/>
    <w:rsid w:val="00CF07A9"/>
    <w:rsid w:val="00CF097A"/>
    <w:rsid w:val="00CF0E43"/>
    <w:rsid w:val="00CF263A"/>
    <w:rsid w:val="00CF3560"/>
    <w:rsid w:val="00CF3861"/>
    <w:rsid w:val="00CF40C6"/>
    <w:rsid w:val="00CF4259"/>
    <w:rsid w:val="00CF444D"/>
    <w:rsid w:val="00CF4A50"/>
    <w:rsid w:val="00CF4E5F"/>
    <w:rsid w:val="00CF585F"/>
    <w:rsid w:val="00CF6C46"/>
    <w:rsid w:val="00CF6D89"/>
    <w:rsid w:val="00CF70F6"/>
    <w:rsid w:val="00CF7370"/>
    <w:rsid w:val="00CF78CB"/>
    <w:rsid w:val="00CF7B47"/>
    <w:rsid w:val="00CF7C2B"/>
    <w:rsid w:val="00D00902"/>
    <w:rsid w:val="00D00CE6"/>
    <w:rsid w:val="00D0221F"/>
    <w:rsid w:val="00D02AC9"/>
    <w:rsid w:val="00D02C3F"/>
    <w:rsid w:val="00D03C23"/>
    <w:rsid w:val="00D048CD"/>
    <w:rsid w:val="00D04ED6"/>
    <w:rsid w:val="00D06750"/>
    <w:rsid w:val="00D06BEC"/>
    <w:rsid w:val="00D06EAB"/>
    <w:rsid w:val="00D07E9C"/>
    <w:rsid w:val="00D10FA1"/>
    <w:rsid w:val="00D114B6"/>
    <w:rsid w:val="00D116AE"/>
    <w:rsid w:val="00D11C24"/>
    <w:rsid w:val="00D122F0"/>
    <w:rsid w:val="00D12530"/>
    <w:rsid w:val="00D12813"/>
    <w:rsid w:val="00D12C39"/>
    <w:rsid w:val="00D12EE3"/>
    <w:rsid w:val="00D133C1"/>
    <w:rsid w:val="00D1344F"/>
    <w:rsid w:val="00D13D95"/>
    <w:rsid w:val="00D13E8C"/>
    <w:rsid w:val="00D14426"/>
    <w:rsid w:val="00D151E8"/>
    <w:rsid w:val="00D165DE"/>
    <w:rsid w:val="00D167BB"/>
    <w:rsid w:val="00D16AD6"/>
    <w:rsid w:val="00D178A4"/>
    <w:rsid w:val="00D17AA6"/>
    <w:rsid w:val="00D17D4D"/>
    <w:rsid w:val="00D17F56"/>
    <w:rsid w:val="00D2044D"/>
    <w:rsid w:val="00D20614"/>
    <w:rsid w:val="00D206F9"/>
    <w:rsid w:val="00D20820"/>
    <w:rsid w:val="00D208C6"/>
    <w:rsid w:val="00D20FD7"/>
    <w:rsid w:val="00D21562"/>
    <w:rsid w:val="00D219BE"/>
    <w:rsid w:val="00D21B0E"/>
    <w:rsid w:val="00D21B26"/>
    <w:rsid w:val="00D222A6"/>
    <w:rsid w:val="00D2233D"/>
    <w:rsid w:val="00D22699"/>
    <w:rsid w:val="00D22920"/>
    <w:rsid w:val="00D23EFA"/>
    <w:rsid w:val="00D24834"/>
    <w:rsid w:val="00D24BC8"/>
    <w:rsid w:val="00D24DB0"/>
    <w:rsid w:val="00D25193"/>
    <w:rsid w:val="00D261EE"/>
    <w:rsid w:val="00D265FB"/>
    <w:rsid w:val="00D26896"/>
    <w:rsid w:val="00D26CFE"/>
    <w:rsid w:val="00D2710F"/>
    <w:rsid w:val="00D273B9"/>
    <w:rsid w:val="00D27489"/>
    <w:rsid w:val="00D2E00C"/>
    <w:rsid w:val="00D30ABC"/>
    <w:rsid w:val="00D3270E"/>
    <w:rsid w:val="00D33265"/>
    <w:rsid w:val="00D344CB"/>
    <w:rsid w:val="00D34B3C"/>
    <w:rsid w:val="00D34BEC"/>
    <w:rsid w:val="00D34E1C"/>
    <w:rsid w:val="00D35B59"/>
    <w:rsid w:val="00D3615F"/>
    <w:rsid w:val="00D36509"/>
    <w:rsid w:val="00D37474"/>
    <w:rsid w:val="00D379D1"/>
    <w:rsid w:val="00D37A6B"/>
    <w:rsid w:val="00D37A8A"/>
    <w:rsid w:val="00D404B4"/>
    <w:rsid w:val="00D405C2"/>
    <w:rsid w:val="00D4089B"/>
    <w:rsid w:val="00D41092"/>
    <w:rsid w:val="00D41175"/>
    <w:rsid w:val="00D41611"/>
    <w:rsid w:val="00D41A7E"/>
    <w:rsid w:val="00D41BBC"/>
    <w:rsid w:val="00D42013"/>
    <w:rsid w:val="00D43179"/>
    <w:rsid w:val="00D43275"/>
    <w:rsid w:val="00D44516"/>
    <w:rsid w:val="00D4495F"/>
    <w:rsid w:val="00D44DF5"/>
    <w:rsid w:val="00D4559E"/>
    <w:rsid w:val="00D46051"/>
    <w:rsid w:val="00D46992"/>
    <w:rsid w:val="00D46C15"/>
    <w:rsid w:val="00D46CEB"/>
    <w:rsid w:val="00D46E97"/>
    <w:rsid w:val="00D4737D"/>
    <w:rsid w:val="00D47B2D"/>
    <w:rsid w:val="00D518E5"/>
    <w:rsid w:val="00D51B15"/>
    <w:rsid w:val="00D5240F"/>
    <w:rsid w:val="00D5303A"/>
    <w:rsid w:val="00D53596"/>
    <w:rsid w:val="00D5417E"/>
    <w:rsid w:val="00D54885"/>
    <w:rsid w:val="00D555E0"/>
    <w:rsid w:val="00D55E4B"/>
    <w:rsid w:val="00D56C7A"/>
    <w:rsid w:val="00D56D26"/>
    <w:rsid w:val="00D57103"/>
    <w:rsid w:val="00D57B07"/>
    <w:rsid w:val="00D57B17"/>
    <w:rsid w:val="00D6022C"/>
    <w:rsid w:val="00D606BA"/>
    <w:rsid w:val="00D61E86"/>
    <w:rsid w:val="00D6210D"/>
    <w:rsid w:val="00D6246E"/>
    <w:rsid w:val="00D638F8"/>
    <w:rsid w:val="00D63ADE"/>
    <w:rsid w:val="00D63F2E"/>
    <w:rsid w:val="00D642D2"/>
    <w:rsid w:val="00D6430D"/>
    <w:rsid w:val="00D64E73"/>
    <w:rsid w:val="00D64FF9"/>
    <w:rsid w:val="00D665A3"/>
    <w:rsid w:val="00D66972"/>
    <w:rsid w:val="00D670F2"/>
    <w:rsid w:val="00D67CDE"/>
    <w:rsid w:val="00D700B9"/>
    <w:rsid w:val="00D70CFA"/>
    <w:rsid w:val="00D71AAE"/>
    <w:rsid w:val="00D71D5E"/>
    <w:rsid w:val="00D71F6B"/>
    <w:rsid w:val="00D72769"/>
    <w:rsid w:val="00D72791"/>
    <w:rsid w:val="00D72D9D"/>
    <w:rsid w:val="00D734BE"/>
    <w:rsid w:val="00D7398B"/>
    <w:rsid w:val="00D73B45"/>
    <w:rsid w:val="00D747CC"/>
    <w:rsid w:val="00D74D14"/>
    <w:rsid w:val="00D76E7E"/>
    <w:rsid w:val="00D772C4"/>
    <w:rsid w:val="00D77366"/>
    <w:rsid w:val="00D774E4"/>
    <w:rsid w:val="00D777C9"/>
    <w:rsid w:val="00D803A1"/>
    <w:rsid w:val="00D810EF"/>
    <w:rsid w:val="00D812BF"/>
    <w:rsid w:val="00D81487"/>
    <w:rsid w:val="00D83053"/>
    <w:rsid w:val="00D8328B"/>
    <w:rsid w:val="00D83D4A"/>
    <w:rsid w:val="00D84870"/>
    <w:rsid w:val="00D84FB8"/>
    <w:rsid w:val="00D8511D"/>
    <w:rsid w:val="00D85B1B"/>
    <w:rsid w:val="00D86628"/>
    <w:rsid w:val="00D86698"/>
    <w:rsid w:val="00D875D5"/>
    <w:rsid w:val="00D87717"/>
    <w:rsid w:val="00D879A4"/>
    <w:rsid w:val="00D87C60"/>
    <w:rsid w:val="00D908A4"/>
    <w:rsid w:val="00D91767"/>
    <w:rsid w:val="00D91F96"/>
    <w:rsid w:val="00D92077"/>
    <w:rsid w:val="00D9298A"/>
    <w:rsid w:val="00D92BFD"/>
    <w:rsid w:val="00D93368"/>
    <w:rsid w:val="00D94864"/>
    <w:rsid w:val="00D94995"/>
    <w:rsid w:val="00D94A1C"/>
    <w:rsid w:val="00D94D38"/>
    <w:rsid w:val="00D95171"/>
    <w:rsid w:val="00D954F5"/>
    <w:rsid w:val="00D96428"/>
    <w:rsid w:val="00D967E2"/>
    <w:rsid w:val="00D96888"/>
    <w:rsid w:val="00D97DE0"/>
    <w:rsid w:val="00DA052D"/>
    <w:rsid w:val="00DA15BE"/>
    <w:rsid w:val="00DA1DFA"/>
    <w:rsid w:val="00DA27E1"/>
    <w:rsid w:val="00DA28B1"/>
    <w:rsid w:val="00DA31CD"/>
    <w:rsid w:val="00DA32CF"/>
    <w:rsid w:val="00DA39E6"/>
    <w:rsid w:val="00DA4243"/>
    <w:rsid w:val="00DA44D8"/>
    <w:rsid w:val="00DA4E48"/>
    <w:rsid w:val="00DA4E68"/>
    <w:rsid w:val="00DA542F"/>
    <w:rsid w:val="00DA597F"/>
    <w:rsid w:val="00DA5AD3"/>
    <w:rsid w:val="00DA60D9"/>
    <w:rsid w:val="00DA63E4"/>
    <w:rsid w:val="00DA69DC"/>
    <w:rsid w:val="00DA6B10"/>
    <w:rsid w:val="00DA6B60"/>
    <w:rsid w:val="00DB0668"/>
    <w:rsid w:val="00DB0B3A"/>
    <w:rsid w:val="00DB0DE8"/>
    <w:rsid w:val="00DB0F05"/>
    <w:rsid w:val="00DB1FED"/>
    <w:rsid w:val="00DB289E"/>
    <w:rsid w:val="00DB3E9C"/>
    <w:rsid w:val="00DB40C7"/>
    <w:rsid w:val="00DB4373"/>
    <w:rsid w:val="00DB437B"/>
    <w:rsid w:val="00DB49B8"/>
    <w:rsid w:val="00DB4BE8"/>
    <w:rsid w:val="00DB4D65"/>
    <w:rsid w:val="00DB4FC5"/>
    <w:rsid w:val="00DB540B"/>
    <w:rsid w:val="00DB544F"/>
    <w:rsid w:val="00DB5CFE"/>
    <w:rsid w:val="00DB5D52"/>
    <w:rsid w:val="00DB5FBF"/>
    <w:rsid w:val="00DB602A"/>
    <w:rsid w:val="00DB60F3"/>
    <w:rsid w:val="00DB6159"/>
    <w:rsid w:val="00DB7544"/>
    <w:rsid w:val="00DB778A"/>
    <w:rsid w:val="00DB798D"/>
    <w:rsid w:val="00DB7C0D"/>
    <w:rsid w:val="00DC1A69"/>
    <w:rsid w:val="00DC1ED1"/>
    <w:rsid w:val="00DC228D"/>
    <w:rsid w:val="00DC23C7"/>
    <w:rsid w:val="00DC3166"/>
    <w:rsid w:val="00DC319B"/>
    <w:rsid w:val="00DC358C"/>
    <w:rsid w:val="00DC3732"/>
    <w:rsid w:val="00DC3DF0"/>
    <w:rsid w:val="00DC4131"/>
    <w:rsid w:val="00DC421C"/>
    <w:rsid w:val="00DC4953"/>
    <w:rsid w:val="00DC4F18"/>
    <w:rsid w:val="00DC553D"/>
    <w:rsid w:val="00DC635D"/>
    <w:rsid w:val="00DC6F2B"/>
    <w:rsid w:val="00DD0049"/>
    <w:rsid w:val="00DD011E"/>
    <w:rsid w:val="00DD0809"/>
    <w:rsid w:val="00DD0B15"/>
    <w:rsid w:val="00DD149D"/>
    <w:rsid w:val="00DD1A52"/>
    <w:rsid w:val="00DD1B8C"/>
    <w:rsid w:val="00DD25D4"/>
    <w:rsid w:val="00DD2601"/>
    <w:rsid w:val="00DD3C0E"/>
    <w:rsid w:val="00DD3D7E"/>
    <w:rsid w:val="00DD3E5D"/>
    <w:rsid w:val="00DD4AB3"/>
    <w:rsid w:val="00DD4DF4"/>
    <w:rsid w:val="00DD53FE"/>
    <w:rsid w:val="00DD588A"/>
    <w:rsid w:val="00DD5E96"/>
    <w:rsid w:val="00DD6106"/>
    <w:rsid w:val="00DD6C2F"/>
    <w:rsid w:val="00DD6F88"/>
    <w:rsid w:val="00DD7286"/>
    <w:rsid w:val="00DD7CA3"/>
    <w:rsid w:val="00DE0361"/>
    <w:rsid w:val="00DE038C"/>
    <w:rsid w:val="00DE0944"/>
    <w:rsid w:val="00DE1738"/>
    <w:rsid w:val="00DE1F5C"/>
    <w:rsid w:val="00DE2518"/>
    <w:rsid w:val="00DE2596"/>
    <w:rsid w:val="00DE25FF"/>
    <w:rsid w:val="00DE2917"/>
    <w:rsid w:val="00DE304B"/>
    <w:rsid w:val="00DE3B4F"/>
    <w:rsid w:val="00DE3C81"/>
    <w:rsid w:val="00DE4336"/>
    <w:rsid w:val="00DE4D14"/>
    <w:rsid w:val="00DE5BF8"/>
    <w:rsid w:val="00DE5EA6"/>
    <w:rsid w:val="00DE697C"/>
    <w:rsid w:val="00DE6C5D"/>
    <w:rsid w:val="00DE7AFB"/>
    <w:rsid w:val="00DF062F"/>
    <w:rsid w:val="00DF0B02"/>
    <w:rsid w:val="00DF0E82"/>
    <w:rsid w:val="00DF0EA2"/>
    <w:rsid w:val="00DF1678"/>
    <w:rsid w:val="00DF1ADD"/>
    <w:rsid w:val="00DF2641"/>
    <w:rsid w:val="00DF2F2F"/>
    <w:rsid w:val="00DF317F"/>
    <w:rsid w:val="00DF42D8"/>
    <w:rsid w:val="00DF499B"/>
    <w:rsid w:val="00DF4F9D"/>
    <w:rsid w:val="00DF52EE"/>
    <w:rsid w:val="00DF555A"/>
    <w:rsid w:val="00DF5B90"/>
    <w:rsid w:val="00DF6537"/>
    <w:rsid w:val="00DF6BA4"/>
    <w:rsid w:val="00DF6CC7"/>
    <w:rsid w:val="00DF7112"/>
    <w:rsid w:val="00DF7B55"/>
    <w:rsid w:val="00DF7D8A"/>
    <w:rsid w:val="00E0013F"/>
    <w:rsid w:val="00E00324"/>
    <w:rsid w:val="00E0247E"/>
    <w:rsid w:val="00E027AE"/>
    <w:rsid w:val="00E02A3E"/>
    <w:rsid w:val="00E034DF"/>
    <w:rsid w:val="00E0435F"/>
    <w:rsid w:val="00E04517"/>
    <w:rsid w:val="00E048B5"/>
    <w:rsid w:val="00E055D1"/>
    <w:rsid w:val="00E058B9"/>
    <w:rsid w:val="00E05AE6"/>
    <w:rsid w:val="00E05FEF"/>
    <w:rsid w:val="00E0754F"/>
    <w:rsid w:val="00E07D9E"/>
    <w:rsid w:val="00E100FB"/>
    <w:rsid w:val="00E11783"/>
    <w:rsid w:val="00E1199D"/>
    <w:rsid w:val="00E11DD5"/>
    <w:rsid w:val="00E12370"/>
    <w:rsid w:val="00E12B26"/>
    <w:rsid w:val="00E12E5B"/>
    <w:rsid w:val="00E13066"/>
    <w:rsid w:val="00E13F12"/>
    <w:rsid w:val="00E13F82"/>
    <w:rsid w:val="00E14B7A"/>
    <w:rsid w:val="00E14C11"/>
    <w:rsid w:val="00E156CF"/>
    <w:rsid w:val="00E15DAF"/>
    <w:rsid w:val="00E15F11"/>
    <w:rsid w:val="00E15F1F"/>
    <w:rsid w:val="00E1625D"/>
    <w:rsid w:val="00E1626F"/>
    <w:rsid w:val="00E16396"/>
    <w:rsid w:val="00E170DC"/>
    <w:rsid w:val="00E17EAA"/>
    <w:rsid w:val="00E2019B"/>
    <w:rsid w:val="00E20418"/>
    <w:rsid w:val="00E20CDF"/>
    <w:rsid w:val="00E21248"/>
    <w:rsid w:val="00E214D7"/>
    <w:rsid w:val="00E21798"/>
    <w:rsid w:val="00E225DB"/>
    <w:rsid w:val="00E22860"/>
    <w:rsid w:val="00E228B5"/>
    <w:rsid w:val="00E22BDB"/>
    <w:rsid w:val="00E2335B"/>
    <w:rsid w:val="00E234E8"/>
    <w:rsid w:val="00E23C52"/>
    <w:rsid w:val="00E24053"/>
    <w:rsid w:val="00E24305"/>
    <w:rsid w:val="00E24BA8"/>
    <w:rsid w:val="00E26801"/>
    <w:rsid w:val="00E26970"/>
    <w:rsid w:val="00E26EB4"/>
    <w:rsid w:val="00E27215"/>
    <w:rsid w:val="00E27E2E"/>
    <w:rsid w:val="00E2A098"/>
    <w:rsid w:val="00E30376"/>
    <w:rsid w:val="00E303CD"/>
    <w:rsid w:val="00E30E22"/>
    <w:rsid w:val="00E317C7"/>
    <w:rsid w:val="00E31CBC"/>
    <w:rsid w:val="00E31F38"/>
    <w:rsid w:val="00E3201B"/>
    <w:rsid w:val="00E329A3"/>
    <w:rsid w:val="00E32B09"/>
    <w:rsid w:val="00E334E8"/>
    <w:rsid w:val="00E338D2"/>
    <w:rsid w:val="00E33F46"/>
    <w:rsid w:val="00E34EA5"/>
    <w:rsid w:val="00E353DE"/>
    <w:rsid w:val="00E35CFD"/>
    <w:rsid w:val="00E36279"/>
    <w:rsid w:val="00E365E3"/>
    <w:rsid w:val="00E36867"/>
    <w:rsid w:val="00E36FF5"/>
    <w:rsid w:val="00E407D6"/>
    <w:rsid w:val="00E40917"/>
    <w:rsid w:val="00E40F54"/>
    <w:rsid w:val="00E41473"/>
    <w:rsid w:val="00E415C6"/>
    <w:rsid w:val="00E417C9"/>
    <w:rsid w:val="00E41947"/>
    <w:rsid w:val="00E42287"/>
    <w:rsid w:val="00E4309A"/>
    <w:rsid w:val="00E43CA9"/>
    <w:rsid w:val="00E43D2C"/>
    <w:rsid w:val="00E43E6D"/>
    <w:rsid w:val="00E444F8"/>
    <w:rsid w:val="00E4481D"/>
    <w:rsid w:val="00E448DD"/>
    <w:rsid w:val="00E45317"/>
    <w:rsid w:val="00E454CD"/>
    <w:rsid w:val="00E4577F"/>
    <w:rsid w:val="00E45798"/>
    <w:rsid w:val="00E4602A"/>
    <w:rsid w:val="00E46CD2"/>
    <w:rsid w:val="00E46D6D"/>
    <w:rsid w:val="00E47B51"/>
    <w:rsid w:val="00E47B99"/>
    <w:rsid w:val="00E47F8A"/>
    <w:rsid w:val="00E5005C"/>
    <w:rsid w:val="00E5043E"/>
    <w:rsid w:val="00E506F1"/>
    <w:rsid w:val="00E50A8E"/>
    <w:rsid w:val="00E50DE1"/>
    <w:rsid w:val="00E51072"/>
    <w:rsid w:val="00E517D2"/>
    <w:rsid w:val="00E51C71"/>
    <w:rsid w:val="00E51DDB"/>
    <w:rsid w:val="00E52281"/>
    <w:rsid w:val="00E52518"/>
    <w:rsid w:val="00E531A5"/>
    <w:rsid w:val="00E53520"/>
    <w:rsid w:val="00E53523"/>
    <w:rsid w:val="00E53620"/>
    <w:rsid w:val="00E54112"/>
    <w:rsid w:val="00E54384"/>
    <w:rsid w:val="00E54B9C"/>
    <w:rsid w:val="00E54D02"/>
    <w:rsid w:val="00E559BB"/>
    <w:rsid w:val="00E56643"/>
    <w:rsid w:val="00E567A4"/>
    <w:rsid w:val="00E56BF7"/>
    <w:rsid w:val="00E56DF5"/>
    <w:rsid w:val="00E572AA"/>
    <w:rsid w:val="00E57C61"/>
    <w:rsid w:val="00E60747"/>
    <w:rsid w:val="00E61885"/>
    <w:rsid w:val="00E61961"/>
    <w:rsid w:val="00E61CEB"/>
    <w:rsid w:val="00E6253A"/>
    <w:rsid w:val="00E62BED"/>
    <w:rsid w:val="00E62F5A"/>
    <w:rsid w:val="00E6321A"/>
    <w:rsid w:val="00E63400"/>
    <w:rsid w:val="00E6353A"/>
    <w:rsid w:val="00E6431B"/>
    <w:rsid w:val="00E64600"/>
    <w:rsid w:val="00E648A8"/>
    <w:rsid w:val="00E64A47"/>
    <w:rsid w:val="00E64D2E"/>
    <w:rsid w:val="00E65363"/>
    <w:rsid w:val="00E65422"/>
    <w:rsid w:val="00E659B5"/>
    <w:rsid w:val="00E660E8"/>
    <w:rsid w:val="00E6618C"/>
    <w:rsid w:val="00E666AB"/>
    <w:rsid w:val="00E66B81"/>
    <w:rsid w:val="00E6740A"/>
    <w:rsid w:val="00E67FA2"/>
    <w:rsid w:val="00E700EE"/>
    <w:rsid w:val="00E70B8C"/>
    <w:rsid w:val="00E72290"/>
    <w:rsid w:val="00E728C7"/>
    <w:rsid w:val="00E72CA1"/>
    <w:rsid w:val="00E73D9E"/>
    <w:rsid w:val="00E745F1"/>
    <w:rsid w:val="00E7469F"/>
    <w:rsid w:val="00E749D9"/>
    <w:rsid w:val="00E75210"/>
    <w:rsid w:val="00E752C7"/>
    <w:rsid w:val="00E754D9"/>
    <w:rsid w:val="00E75585"/>
    <w:rsid w:val="00E7579A"/>
    <w:rsid w:val="00E7682C"/>
    <w:rsid w:val="00E77939"/>
    <w:rsid w:val="00E8153B"/>
    <w:rsid w:val="00E81C1F"/>
    <w:rsid w:val="00E8371E"/>
    <w:rsid w:val="00E8386D"/>
    <w:rsid w:val="00E83916"/>
    <w:rsid w:val="00E83B93"/>
    <w:rsid w:val="00E83C36"/>
    <w:rsid w:val="00E83DD6"/>
    <w:rsid w:val="00E841DC"/>
    <w:rsid w:val="00E84499"/>
    <w:rsid w:val="00E845C5"/>
    <w:rsid w:val="00E845D5"/>
    <w:rsid w:val="00E84875"/>
    <w:rsid w:val="00E85566"/>
    <w:rsid w:val="00E857AF"/>
    <w:rsid w:val="00E857E2"/>
    <w:rsid w:val="00E862F4"/>
    <w:rsid w:val="00E86315"/>
    <w:rsid w:val="00E87A05"/>
    <w:rsid w:val="00E87B00"/>
    <w:rsid w:val="00E901A3"/>
    <w:rsid w:val="00E90815"/>
    <w:rsid w:val="00E90A12"/>
    <w:rsid w:val="00E91800"/>
    <w:rsid w:val="00E91A34"/>
    <w:rsid w:val="00E91AB5"/>
    <w:rsid w:val="00E91C5D"/>
    <w:rsid w:val="00E920A9"/>
    <w:rsid w:val="00E920C6"/>
    <w:rsid w:val="00E922E5"/>
    <w:rsid w:val="00E9270C"/>
    <w:rsid w:val="00E930F3"/>
    <w:rsid w:val="00E93804"/>
    <w:rsid w:val="00E93807"/>
    <w:rsid w:val="00E93CD2"/>
    <w:rsid w:val="00E93FD6"/>
    <w:rsid w:val="00E9415F"/>
    <w:rsid w:val="00E95275"/>
    <w:rsid w:val="00E955F5"/>
    <w:rsid w:val="00E9579F"/>
    <w:rsid w:val="00E95C6B"/>
    <w:rsid w:val="00E962D9"/>
    <w:rsid w:val="00E96702"/>
    <w:rsid w:val="00E9746D"/>
    <w:rsid w:val="00EA0AB8"/>
    <w:rsid w:val="00EA1C59"/>
    <w:rsid w:val="00EA362F"/>
    <w:rsid w:val="00EA3C42"/>
    <w:rsid w:val="00EA4C9E"/>
    <w:rsid w:val="00EA568A"/>
    <w:rsid w:val="00EA5B51"/>
    <w:rsid w:val="00EA6726"/>
    <w:rsid w:val="00EA6C85"/>
    <w:rsid w:val="00EA776A"/>
    <w:rsid w:val="00EA7BA1"/>
    <w:rsid w:val="00EB04CA"/>
    <w:rsid w:val="00EB05B1"/>
    <w:rsid w:val="00EB0F24"/>
    <w:rsid w:val="00EB139D"/>
    <w:rsid w:val="00EB1562"/>
    <w:rsid w:val="00EB165F"/>
    <w:rsid w:val="00EB16EC"/>
    <w:rsid w:val="00EB1A55"/>
    <w:rsid w:val="00EB23A9"/>
    <w:rsid w:val="00EB32A9"/>
    <w:rsid w:val="00EB38BA"/>
    <w:rsid w:val="00EB3AFD"/>
    <w:rsid w:val="00EB3C87"/>
    <w:rsid w:val="00EB3CC1"/>
    <w:rsid w:val="00EB435E"/>
    <w:rsid w:val="00EB44C9"/>
    <w:rsid w:val="00EB462F"/>
    <w:rsid w:val="00EB4764"/>
    <w:rsid w:val="00EB48B2"/>
    <w:rsid w:val="00EB49D6"/>
    <w:rsid w:val="00EB52B2"/>
    <w:rsid w:val="00EB56E6"/>
    <w:rsid w:val="00EB5A7C"/>
    <w:rsid w:val="00EB5D90"/>
    <w:rsid w:val="00EB6101"/>
    <w:rsid w:val="00EB6925"/>
    <w:rsid w:val="00EB69DF"/>
    <w:rsid w:val="00EB6D80"/>
    <w:rsid w:val="00EC01AA"/>
    <w:rsid w:val="00EC0C79"/>
    <w:rsid w:val="00EC0FC1"/>
    <w:rsid w:val="00EC1E31"/>
    <w:rsid w:val="00EC21D7"/>
    <w:rsid w:val="00EC238C"/>
    <w:rsid w:val="00EC2D39"/>
    <w:rsid w:val="00EC31CB"/>
    <w:rsid w:val="00EC3A7E"/>
    <w:rsid w:val="00EC3C25"/>
    <w:rsid w:val="00EC3FD6"/>
    <w:rsid w:val="00EC4151"/>
    <w:rsid w:val="00EC47DC"/>
    <w:rsid w:val="00EC5243"/>
    <w:rsid w:val="00EC5FCD"/>
    <w:rsid w:val="00EC68AB"/>
    <w:rsid w:val="00EC6EDF"/>
    <w:rsid w:val="00EC765B"/>
    <w:rsid w:val="00EC7CA2"/>
    <w:rsid w:val="00ED02DA"/>
    <w:rsid w:val="00ED09EA"/>
    <w:rsid w:val="00ED16F7"/>
    <w:rsid w:val="00ED182C"/>
    <w:rsid w:val="00ED1FE0"/>
    <w:rsid w:val="00ED235A"/>
    <w:rsid w:val="00ED25D0"/>
    <w:rsid w:val="00ED36CD"/>
    <w:rsid w:val="00ED3BA8"/>
    <w:rsid w:val="00ED4417"/>
    <w:rsid w:val="00ED5D30"/>
    <w:rsid w:val="00ED6149"/>
    <w:rsid w:val="00ED6632"/>
    <w:rsid w:val="00ED7410"/>
    <w:rsid w:val="00ED753B"/>
    <w:rsid w:val="00ED7899"/>
    <w:rsid w:val="00ED7B9C"/>
    <w:rsid w:val="00EE04A7"/>
    <w:rsid w:val="00EE0647"/>
    <w:rsid w:val="00EE0E2A"/>
    <w:rsid w:val="00EE14C1"/>
    <w:rsid w:val="00EE1669"/>
    <w:rsid w:val="00EE19A8"/>
    <w:rsid w:val="00EE3616"/>
    <w:rsid w:val="00EE3884"/>
    <w:rsid w:val="00EE3AFA"/>
    <w:rsid w:val="00EE3B62"/>
    <w:rsid w:val="00EE3C71"/>
    <w:rsid w:val="00EE4643"/>
    <w:rsid w:val="00EE4B0F"/>
    <w:rsid w:val="00EE4BCE"/>
    <w:rsid w:val="00EE60AB"/>
    <w:rsid w:val="00EE64B1"/>
    <w:rsid w:val="00EE657B"/>
    <w:rsid w:val="00EE71A7"/>
    <w:rsid w:val="00EE7258"/>
    <w:rsid w:val="00EE72A6"/>
    <w:rsid w:val="00EE7AF2"/>
    <w:rsid w:val="00EE7BE7"/>
    <w:rsid w:val="00EE7CB8"/>
    <w:rsid w:val="00EF006F"/>
    <w:rsid w:val="00EF133C"/>
    <w:rsid w:val="00EF14B4"/>
    <w:rsid w:val="00EF17F7"/>
    <w:rsid w:val="00EF1BB2"/>
    <w:rsid w:val="00EF1DFA"/>
    <w:rsid w:val="00EF1E1C"/>
    <w:rsid w:val="00EF2482"/>
    <w:rsid w:val="00EF2D6B"/>
    <w:rsid w:val="00EF30E1"/>
    <w:rsid w:val="00EF368F"/>
    <w:rsid w:val="00EF430E"/>
    <w:rsid w:val="00EF5CED"/>
    <w:rsid w:val="00EF5DE9"/>
    <w:rsid w:val="00EF6CB7"/>
    <w:rsid w:val="00EF7AFA"/>
    <w:rsid w:val="00F00BBB"/>
    <w:rsid w:val="00F00E9E"/>
    <w:rsid w:val="00F0126E"/>
    <w:rsid w:val="00F0127A"/>
    <w:rsid w:val="00F01A13"/>
    <w:rsid w:val="00F01C45"/>
    <w:rsid w:val="00F01E15"/>
    <w:rsid w:val="00F0237A"/>
    <w:rsid w:val="00F02796"/>
    <w:rsid w:val="00F032CC"/>
    <w:rsid w:val="00F033F3"/>
    <w:rsid w:val="00F04662"/>
    <w:rsid w:val="00F04B98"/>
    <w:rsid w:val="00F051D4"/>
    <w:rsid w:val="00F05E5A"/>
    <w:rsid w:val="00F063A9"/>
    <w:rsid w:val="00F06F22"/>
    <w:rsid w:val="00F07B4A"/>
    <w:rsid w:val="00F07D3E"/>
    <w:rsid w:val="00F07F6D"/>
    <w:rsid w:val="00F101E5"/>
    <w:rsid w:val="00F108FC"/>
    <w:rsid w:val="00F10B2E"/>
    <w:rsid w:val="00F10B8D"/>
    <w:rsid w:val="00F11063"/>
    <w:rsid w:val="00F112B5"/>
    <w:rsid w:val="00F115F7"/>
    <w:rsid w:val="00F11937"/>
    <w:rsid w:val="00F11E41"/>
    <w:rsid w:val="00F12165"/>
    <w:rsid w:val="00F12225"/>
    <w:rsid w:val="00F12605"/>
    <w:rsid w:val="00F12E50"/>
    <w:rsid w:val="00F1426E"/>
    <w:rsid w:val="00F146DE"/>
    <w:rsid w:val="00F14B58"/>
    <w:rsid w:val="00F15498"/>
    <w:rsid w:val="00F160CE"/>
    <w:rsid w:val="00F162C1"/>
    <w:rsid w:val="00F1660E"/>
    <w:rsid w:val="00F1694C"/>
    <w:rsid w:val="00F16AE8"/>
    <w:rsid w:val="00F16F38"/>
    <w:rsid w:val="00F17B68"/>
    <w:rsid w:val="00F17CF3"/>
    <w:rsid w:val="00F202A0"/>
    <w:rsid w:val="00F20363"/>
    <w:rsid w:val="00F205C8"/>
    <w:rsid w:val="00F207D1"/>
    <w:rsid w:val="00F20ABD"/>
    <w:rsid w:val="00F20C00"/>
    <w:rsid w:val="00F21277"/>
    <w:rsid w:val="00F21430"/>
    <w:rsid w:val="00F22713"/>
    <w:rsid w:val="00F23127"/>
    <w:rsid w:val="00F23497"/>
    <w:rsid w:val="00F23B8A"/>
    <w:rsid w:val="00F24116"/>
    <w:rsid w:val="00F2468B"/>
    <w:rsid w:val="00F24CC8"/>
    <w:rsid w:val="00F24D15"/>
    <w:rsid w:val="00F25205"/>
    <w:rsid w:val="00F25526"/>
    <w:rsid w:val="00F25965"/>
    <w:rsid w:val="00F25B89"/>
    <w:rsid w:val="00F2644A"/>
    <w:rsid w:val="00F26867"/>
    <w:rsid w:val="00F26C0D"/>
    <w:rsid w:val="00F26CAC"/>
    <w:rsid w:val="00F26D40"/>
    <w:rsid w:val="00F270BE"/>
    <w:rsid w:val="00F275CF"/>
    <w:rsid w:val="00F27F99"/>
    <w:rsid w:val="00F27FF9"/>
    <w:rsid w:val="00F301A4"/>
    <w:rsid w:val="00F305CF"/>
    <w:rsid w:val="00F3216B"/>
    <w:rsid w:val="00F3219B"/>
    <w:rsid w:val="00F32ED4"/>
    <w:rsid w:val="00F33015"/>
    <w:rsid w:val="00F33746"/>
    <w:rsid w:val="00F33AB5"/>
    <w:rsid w:val="00F33C27"/>
    <w:rsid w:val="00F33D51"/>
    <w:rsid w:val="00F34E53"/>
    <w:rsid w:val="00F35128"/>
    <w:rsid w:val="00F355F3"/>
    <w:rsid w:val="00F35A33"/>
    <w:rsid w:val="00F35CE8"/>
    <w:rsid w:val="00F36199"/>
    <w:rsid w:val="00F37465"/>
    <w:rsid w:val="00F37C7A"/>
    <w:rsid w:val="00F40022"/>
    <w:rsid w:val="00F40587"/>
    <w:rsid w:val="00F406A6"/>
    <w:rsid w:val="00F40707"/>
    <w:rsid w:val="00F40D4A"/>
    <w:rsid w:val="00F4121F"/>
    <w:rsid w:val="00F41F85"/>
    <w:rsid w:val="00F424B3"/>
    <w:rsid w:val="00F42924"/>
    <w:rsid w:val="00F42EDD"/>
    <w:rsid w:val="00F43237"/>
    <w:rsid w:val="00F4328E"/>
    <w:rsid w:val="00F44C6A"/>
    <w:rsid w:val="00F44DDC"/>
    <w:rsid w:val="00F454C0"/>
    <w:rsid w:val="00F4560A"/>
    <w:rsid w:val="00F4662F"/>
    <w:rsid w:val="00F4686C"/>
    <w:rsid w:val="00F46A89"/>
    <w:rsid w:val="00F46E1B"/>
    <w:rsid w:val="00F46FC7"/>
    <w:rsid w:val="00F477D8"/>
    <w:rsid w:val="00F5113A"/>
    <w:rsid w:val="00F5124A"/>
    <w:rsid w:val="00F512AD"/>
    <w:rsid w:val="00F512AE"/>
    <w:rsid w:val="00F5170C"/>
    <w:rsid w:val="00F51A16"/>
    <w:rsid w:val="00F51CAB"/>
    <w:rsid w:val="00F52C73"/>
    <w:rsid w:val="00F52CE7"/>
    <w:rsid w:val="00F545AC"/>
    <w:rsid w:val="00F54D7D"/>
    <w:rsid w:val="00F560AF"/>
    <w:rsid w:val="00F564CC"/>
    <w:rsid w:val="00F5668B"/>
    <w:rsid w:val="00F56B1A"/>
    <w:rsid w:val="00F570D3"/>
    <w:rsid w:val="00F57907"/>
    <w:rsid w:val="00F60613"/>
    <w:rsid w:val="00F60A28"/>
    <w:rsid w:val="00F610CF"/>
    <w:rsid w:val="00F61F85"/>
    <w:rsid w:val="00F6274B"/>
    <w:rsid w:val="00F62A1A"/>
    <w:rsid w:val="00F632A6"/>
    <w:rsid w:val="00F63341"/>
    <w:rsid w:val="00F63688"/>
    <w:rsid w:val="00F63753"/>
    <w:rsid w:val="00F63999"/>
    <w:rsid w:val="00F646DC"/>
    <w:rsid w:val="00F648A1"/>
    <w:rsid w:val="00F649C0"/>
    <w:rsid w:val="00F64C93"/>
    <w:rsid w:val="00F64D74"/>
    <w:rsid w:val="00F6535C"/>
    <w:rsid w:val="00F656BC"/>
    <w:rsid w:val="00F65D4C"/>
    <w:rsid w:val="00F65DE9"/>
    <w:rsid w:val="00F67070"/>
    <w:rsid w:val="00F701EF"/>
    <w:rsid w:val="00F7020F"/>
    <w:rsid w:val="00F70DE1"/>
    <w:rsid w:val="00F70E62"/>
    <w:rsid w:val="00F71421"/>
    <w:rsid w:val="00F71684"/>
    <w:rsid w:val="00F71A4E"/>
    <w:rsid w:val="00F72786"/>
    <w:rsid w:val="00F73740"/>
    <w:rsid w:val="00F74630"/>
    <w:rsid w:val="00F7495C"/>
    <w:rsid w:val="00F74C91"/>
    <w:rsid w:val="00F74E52"/>
    <w:rsid w:val="00F74EE1"/>
    <w:rsid w:val="00F74F8A"/>
    <w:rsid w:val="00F75311"/>
    <w:rsid w:val="00F754B1"/>
    <w:rsid w:val="00F77380"/>
    <w:rsid w:val="00F77BB7"/>
    <w:rsid w:val="00F77DF9"/>
    <w:rsid w:val="00F800C8"/>
    <w:rsid w:val="00F8032D"/>
    <w:rsid w:val="00F80AEB"/>
    <w:rsid w:val="00F80FAF"/>
    <w:rsid w:val="00F81A13"/>
    <w:rsid w:val="00F825DF"/>
    <w:rsid w:val="00F83586"/>
    <w:rsid w:val="00F84345"/>
    <w:rsid w:val="00F8484E"/>
    <w:rsid w:val="00F849CE"/>
    <w:rsid w:val="00F84E19"/>
    <w:rsid w:val="00F87223"/>
    <w:rsid w:val="00F874F8"/>
    <w:rsid w:val="00F877FA"/>
    <w:rsid w:val="00F91053"/>
    <w:rsid w:val="00F9115B"/>
    <w:rsid w:val="00F91541"/>
    <w:rsid w:val="00F91D80"/>
    <w:rsid w:val="00F9202A"/>
    <w:rsid w:val="00F926BF"/>
    <w:rsid w:val="00F928D7"/>
    <w:rsid w:val="00F937B6"/>
    <w:rsid w:val="00F93814"/>
    <w:rsid w:val="00F941D9"/>
    <w:rsid w:val="00F95017"/>
    <w:rsid w:val="00F954CD"/>
    <w:rsid w:val="00F955F0"/>
    <w:rsid w:val="00F95B61"/>
    <w:rsid w:val="00F96314"/>
    <w:rsid w:val="00F968A5"/>
    <w:rsid w:val="00F97393"/>
    <w:rsid w:val="00FA103C"/>
    <w:rsid w:val="00FA12BB"/>
    <w:rsid w:val="00FA1578"/>
    <w:rsid w:val="00FA2983"/>
    <w:rsid w:val="00FA2EB0"/>
    <w:rsid w:val="00FA3452"/>
    <w:rsid w:val="00FA3B7C"/>
    <w:rsid w:val="00FA3CA7"/>
    <w:rsid w:val="00FA4167"/>
    <w:rsid w:val="00FA451B"/>
    <w:rsid w:val="00FA4703"/>
    <w:rsid w:val="00FA5028"/>
    <w:rsid w:val="00FA54F3"/>
    <w:rsid w:val="00FA6BDA"/>
    <w:rsid w:val="00FA6C4C"/>
    <w:rsid w:val="00FA7631"/>
    <w:rsid w:val="00FB12BE"/>
    <w:rsid w:val="00FB144F"/>
    <w:rsid w:val="00FB1B5C"/>
    <w:rsid w:val="00FB27DD"/>
    <w:rsid w:val="00FB4312"/>
    <w:rsid w:val="00FB4606"/>
    <w:rsid w:val="00FB51D7"/>
    <w:rsid w:val="00FB59FD"/>
    <w:rsid w:val="00FB5DAD"/>
    <w:rsid w:val="00FB5ECE"/>
    <w:rsid w:val="00FB6140"/>
    <w:rsid w:val="00FB6179"/>
    <w:rsid w:val="00FB6468"/>
    <w:rsid w:val="00FB6D73"/>
    <w:rsid w:val="00FB6E19"/>
    <w:rsid w:val="00FB6ED1"/>
    <w:rsid w:val="00FC06D7"/>
    <w:rsid w:val="00FC09B8"/>
    <w:rsid w:val="00FC11E1"/>
    <w:rsid w:val="00FC142A"/>
    <w:rsid w:val="00FC142C"/>
    <w:rsid w:val="00FC16C5"/>
    <w:rsid w:val="00FC16E2"/>
    <w:rsid w:val="00FC1AF4"/>
    <w:rsid w:val="00FC4282"/>
    <w:rsid w:val="00FC5473"/>
    <w:rsid w:val="00FC5A5B"/>
    <w:rsid w:val="00FC5E60"/>
    <w:rsid w:val="00FC642F"/>
    <w:rsid w:val="00FC66A4"/>
    <w:rsid w:val="00FC70A2"/>
    <w:rsid w:val="00FC74C7"/>
    <w:rsid w:val="00FC7578"/>
    <w:rsid w:val="00FC76BF"/>
    <w:rsid w:val="00FC7B89"/>
    <w:rsid w:val="00FD0737"/>
    <w:rsid w:val="00FD1307"/>
    <w:rsid w:val="00FD1359"/>
    <w:rsid w:val="00FD1516"/>
    <w:rsid w:val="00FD1BBF"/>
    <w:rsid w:val="00FD1DC1"/>
    <w:rsid w:val="00FD1E82"/>
    <w:rsid w:val="00FD1FC8"/>
    <w:rsid w:val="00FD2185"/>
    <w:rsid w:val="00FD33D1"/>
    <w:rsid w:val="00FD483C"/>
    <w:rsid w:val="00FD550D"/>
    <w:rsid w:val="00FD5549"/>
    <w:rsid w:val="00FD5DCD"/>
    <w:rsid w:val="00FD5EF7"/>
    <w:rsid w:val="00FD671F"/>
    <w:rsid w:val="00FD6809"/>
    <w:rsid w:val="00FD6A50"/>
    <w:rsid w:val="00FD72ED"/>
    <w:rsid w:val="00FE04CE"/>
    <w:rsid w:val="00FE0F83"/>
    <w:rsid w:val="00FE16A7"/>
    <w:rsid w:val="00FE1CCE"/>
    <w:rsid w:val="00FE21DB"/>
    <w:rsid w:val="00FE2696"/>
    <w:rsid w:val="00FE2CAC"/>
    <w:rsid w:val="00FE2EAF"/>
    <w:rsid w:val="00FE31A5"/>
    <w:rsid w:val="00FE367E"/>
    <w:rsid w:val="00FE392E"/>
    <w:rsid w:val="00FE393D"/>
    <w:rsid w:val="00FE3CEB"/>
    <w:rsid w:val="00FE3FDE"/>
    <w:rsid w:val="00FE4053"/>
    <w:rsid w:val="00FE4276"/>
    <w:rsid w:val="00FE4CF2"/>
    <w:rsid w:val="00FE4D84"/>
    <w:rsid w:val="00FE5156"/>
    <w:rsid w:val="00FE5612"/>
    <w:rsid w:val="00FE626C"/>
    <w:rsid w:val="00FE6925"/>
    <w:rsid w:val="00FE6EDB"/>
    <w:rsid w:val="00FE7086"/>
    <w:rsid w:val="00FE7384"/>
    <w:rsid w:val="00FE7A8B"/>
    <w:rsid w:val="00FF0394"/>
    <w:rsid w:val="00FF0939"/>
    <w:rsid w:val="00FF09BF"/>
    <w:rsid w:val="00FF112C"/>
    <w:rsid w:val="00FF1E47"/>
    <w:rsid w:val="00FF2B1F"/>
    <w:rsid w:val="00FF34D2"/>
    <w:rsid w:val="00FF4A6E"/>
    <w:rsid w:val="00FF4E77"/>
    <w:rsid w:val="00FF5669"/>
    <w:rsid w:val="00FF5B93"/>
    <w:rsid w:val="00FF69A6"/>
    <w:rsid w:val="00FF6B69"/>
    <w:rsid w:val="00FF6D9D"/>
    <w:rsid w:val="00FF6E65"/>
    <w:rsid w:val="0103B72E"/>
    <w:rsid w:val="01063344"/>
    <w:rsid w:val="0136339A"/>
    <w:rsid w:val="0145FB17"/>
    <w:rsid w:val="01463205"/>
    <w:rsid w:val="01647B1B"/>
    <w:rsid w:val="0172A386"/>
    <w:rsid w:val="01A61227"/>
    <w:rsid w:val="01C5A2A7"/>
    <w:rsid w:val="0238A95F"/>
    <w:rsid w:val="0242B5FB"/>
    <w:rsid w:val="024A5AEE"/>
    <w:rsid w:val="025D2082"/>
    <w:rsid w:val="0270A880"/>
    <w:rsid w:val="02943541"/>
    <w:rsid w:val="02B75006"/>
    <w:rsid w:val="02B98BEA"/>
    <w:rsid w:val="02D094BE"/>
    <w:rsid w:val="0307A239"/>
    <w:rsid w:val="0308424D"/>
    <w:rsid w:val="030D07AA"/>
    <w:rsid w:val="031E305F"/>
    <w:rsid w:val="0324CE46"/>
    <w:rsid w:val="03351A7A"/>
    <w:rsid w:val="0339B41F"/>
    <w:rsid w:val="033F10B7"/>
    <w:rsid w:val="03681B73"/>
    <w:rsid w:val="03E93711"/>
    <w:rsid w:val="03FA9686"/>
    <w:rsid w:val="03FF2835"/>
    <w:rsid w:val="04187490"/>
    <w:rsid w:val="041D24C0"/>
    <w:rsid w:val="0435B4AA"/>
    <w:rsid w:val="048391D9"/>
    <w:rsid w:val="04CEE521"/>
    <w:rsid w:val="04D8AAD2"/>
    <w:rsid w:val="04E4691D"/>
    <w:rsid w:val="04E6DE8E"/>
    <w:rsid w:val="0524EB70"/>
    <w:rsid w:val="0530EE6B"/>
    <w:rsid w:val="05330037"/>
    <w:rsid w:val="057F6162"/>
    <w:rsid w:val="0580D853"/>
    <w:rsid w:val="059727FE"/>
    <w:rsid w:val="060290AA"/>
    <w:rsid w:val="0618F8F8"/>
    <w:rsid w:val="06486805"/>
    <w:rsid w:val="06629F12"/>
    <w:rsid w:val="069D1B6C"/>
    <w:rsid w:val="06A69CB3"/>
    <w:rsid w:val="06DA0412"/>
    <w:rsid w:val="06E4DF77"/>
    <w:rsid w:val="070B87FC"/>
    <w:rsid w:val="0715B848"/>
    <w:rsid w:val="0740661B"/>
    <w:rsid w:val="0765BA2A"/>
    <w:rsid w:val="0783F9D0"/>
    <w:rsid w:val="07A1A8FC"/>
    <w:rsid w:val="07AF0B2A"/>
    <w:rsid w:val="07F9EFA6"/>
    <w:rsid w:val="0815FA52"/>
    <w:rsid w:val="082C49FD"/>
    <w:rsid w:val="0834EA95"/>
    <w:rsid w:val="0836AC75"/>
    <w:rsid w:val="0859F38D"/>
    <w:rsid w:val="08769EBC"/>
    <w:rsid w:val="08911C20"/>
    <w:rsid w:val="08CE8397"/>
    <w:rsid w:val="08DC5B1C"/>
    <w:rsid w:val="09042D9F"/>
    <w:rsid w:val="090715FE"/>
    <w:rsid w:val="0927348A"/>
    <w:rsid w:val="092FE701"/>
    <w:rsid w:val="093BE5C6"/>
    <w:rsid w:val="0949E344"/>
    <w:rsid w:val="09D3D122"/>
    <w:rsid w:val="09D4BC2E"/>
    <w:rsid w:val="09DFC54F"/>
    <w:rsid w:val="0A03C3FC"/>
    <w:rsid w:val="0A4D4D77"/>
    <w:rsid w:val="0A4F47B2"/>
    <w:rsid w:val="0A811427"/>
    <w:rsid w:val="0AC6C9CC"/>
    <w:rsid w:val="0B03ACF2"/>
    <w:rsid w:val="0B10B393"/>
    <w:rsid w:val="0B15BCAA"/>
    <w:rsid w:val="0B2AFE52"/>
    <w:rsid w:val="0B6B0DFC"/>
    <w:rsid w:val="0B6E661A"/>
    <w:rsid w:val="0B708C8F"/>
    <w:rsid w:val="0BCA9A10"/>
    <w:rsid w:val="0BCE3AA6"/>
    <w:rsid w:val="0C2BF5E7"/>
    <w:rsid w:val="0C67BAB7"/>
    <w:rsid w:val="0CA20FED"/>
    <w:rsid w:val="0CA2E806"/>
    <w:rsid w:val="0CE28425"/>
    <w:rsid w:val="0D0C5CF0"/>
    <w:rsid w:val="0D618A0C"/>
    <w:rsid w:val="0D696696"/>
    <w:rsid w:val="0D6F52AC"/>
    <w:rsid w:val="0D732344"/>
    <w:rsid w:val="0D735953"/>
    <w:rsid w:val="0D83C2B6"/>
    <w:rsid w:val="0DE9E8B4"/>
    <w:rsid w:val="0DEC1198"/>
    <w:rsid w:val="0E01DD10"/>
    <w:rsid w:val="0E0501E6"/>
    <w:rsid w:val="0E09C743"/>
    <w:rsid w:val="0E404A5B"/>
    <w:rsid w:val="0E66B79F"/>
    <w:rsid w:val="0E76C386"/>
    <w:rsid w:val="0ED8466E"/>
    <w:rsid w:val="0EEDB025"/>
    <w:rsid w:val="0EF22088"/>
    <w:rsid w:val="0F28EA12"/>
    <w:rsid w:val="0F663C18"/>
    <w:rsid w:val="0F6A21D2"/>
    <w:rsid w:val="0F94E187"/>
    <w:rsid w:val="0FFC4CA8"/>
    <w:rsid w:val="102BD2C0"/>
    <w:rsid w:val="1037B2B3"/>
    <w:rsid w:val="107BEE2A"/>
    <w:rsid w:val="10955E88"/>
    <w:rsid w:val="10A9F656"/>
    <w:rsid w:val="10FE44FA"/>
    <w:rsid w:val="1117D3E6"/>
    <w:rsid w:val="11231C9B"/>
    <w:rsid w:val="113049D4"/>
    <w:rsid w:val="1139A3A4"/>
    <w:rsid w:val="113B7700"/>
    <w:rsid w:val="11581293"/>
    <w:rsid w:val="116A7C39"/>
    <w:rsid w:val="11791489"/>
    <w:rsid w:val="118757A6"/>
    <w:rsid w:val="11A84BA1"/>
    <w:rsid w:val="11C0650E"/>
    <w:rsid w:val="11DC48B9"/>
    <w:rsid w:val="120C857D"/>
    <w:rsid w:val="1246565F"/>
    <w:rsid w:val="126A9652"/>
    <w:rsid w:val="127EB473"/>
    <w:rsid w:val="128406B0"/>
    <w:rsid w:val="1288FEDE"/>
    <w:rsid w:val="12AF8D41"/>
    <w:rsid w:val="12D9FB0D"/>
    <w:rsid w:val="1312ECBC"/>
    <w:rsid w:val="134135D4"/>
    <w:rsid w:val="1342ACC5"/>
    <w:rsid w:val="13E9596D"/>
    <w:rsid w:val="13F7BB92"/>
    <w:rsid w:val="140348A1"/>
    <w:rsid w:val="143C204B"/>
    <w:rsid w:val="144616F8"/>
    <w:rsid w:val="145E1065"/>
    <w:rsid w:val="1462D5C2"/>
    <w:rsid w:val="148165D1"/>
    <w:rsid w:val="148B0DE7"/>
    <w:rsid w:val="149D8246"/>
    <w:rsid w:val="14AC8A38"/>
    <w:rsid w:val="14B7D898"/>
    <w:rsid w:val="14BF934D"/>
    <w:rsid w:val="14CA11EC"/>
    <w:rsid w:val="14CC3505"/>
    <w:rsid w:val="14E29FC3"/>
    <w:rsid w:val="14FEA190"/>
    <w:rsid w:val="151C50D8"/>
    <w:rsid w:val="1529EB1B"/>
    <w:rsid w:val="152A923A"/>
    <w:rsid w:val="154822A3"/>
    <w:rsid w:val="1570A706"/>
    <w:rsid w:val="15B8E5E6"/>
    <w:rsid w:val="15C153BE"/>
    <w:rsid w:val="161F3C3A"/>
    <w:rsid w:val="163C79D5"/>
    <w:rsid w:val="16404ED0"/>
    <w:rsid w:val="1644FDD8"/>
    <w:rsid w:val="16603065"/>
    <w:rsid w:val="1691AF7C"/>
    <w:rsid w:val="16BB524F"/>
    <w:rsid w:val="16C5344A"/>
    <w:rsid w:val="16D4FCA9"/>
    <w:rsid w:val="16DCB75E"/>
    <w:rsid w:val="16DF48A6"/>
    <w:rsid w:val="16F627BC"/>
    <w:rsid w:val="1759092D"/>
    <w:rsid w:val="176885E6"/>
    <w:rsid w:val="179519AF"/>
    <w:rsid w:val="179B55FA"/>
    <w:rsid w:val="17CE3D7A"/>
    <w:rsid w:val="17D8C922"/>
    <w:rsid w:val="17DEA32A"/>
    <w:rsid w:val="18408BB4"/>
    <w:rsid w:val="1848FEA1"/>
    <w:rsid w:val="184D2CE0"/>
    <w:rsid w:val="18538CF3"/>
    <w:rsid w:val="18C83C72"/>
    <w:rsid w:val="19019BA4"/>
    <w:rsid w:val="19227884"/>
    <w:rsid w:val="19413879"/>
    <w:rsid w:val="194F80CA"/>
    <w:rsid w:val="196EBDC2"/>
    <w:rsid w:val="1976503E"/>
    <w:rsid w:val="1996F6DD"/>
    <w:rsid w:val="19B965F4"/>
    <w:rsid w:val="19BB472D"/>
    <w:rsid w:val="19D8E282"/>
    <w:rsid w:val="19E544BF"/>
    <w:rsid w:val="19E83A17"/>
    <w:rsid w:val="19F43144"/>
    <w:rsid w:val="19F8714E"/>
    <w:rsid w:val="1A1AD4B9"/>
    <w:rsid w:val="1A22008B"/>
    <w:rsid w:val="1A24F52E"/>
    <w:rsid w:val="1A2A44CA"/>
    <w:rsid w:val="1A3ECF08"/>
    <w:rsid w:val="1A7613FC"/>
    <w:rsid w:val="1AA9C0C0"/>
    <w:rsid w:val="1AD1D35F"/>
    <w:rsid w:val="1AE9DEFD"/>
    <w:rsid w:val="1B072BFE"/>
    <w:rsid w:val="1B2D7F82"/>
    <w:rsid w:val="1B329E0F"/>
    <w:rsid w:val="1B65CA78"/>
    <w:rsid w:val="1B7C9E0E"/>
    <w:rsid w:val="1B97164F"/>
    <w:rsid w:val="1BC660C8"/>
    <w:rsid w:val="1BCA8955"/>
    <w:rsid w:val="1BDE86C9"/>
    <w:rsid w:val="1BFC3B34"/>
    <w:rsid w:val="1C1A950E"/>
    <w:rsid w:val="1C2CC9A3"/>
    <w:rsid w:val="1C4E5540"/>
    <w:rsid w:val="1C4FB431"/>
    <w:rsid w:val="1C614AEF"/>
    <w:rsid w:val="1C65C84B"/>
    <w:rsid w:val="1C90EAEF"/>
    <w:rsid w:val="1C997B2E"/>
    <w:rsid w:val="1CD8B9B2"/>
    <w:rsid w:val="1CE56BBE"/>
    <w:rsid w:val="1CFF8F3F"/>
    <w:rsid w:val="1D1A2653"/>
    <w:rsid w:val="1D21A7A0"/>
    <w:rsid w:val="1D40FB38"/>
    <w:rsid w:val="1D9C5180"/>
    <w:rsid w:val="1DA4C4F6"/>
    <w:rsid w:val="1DD9EFD9"/>
    <w:rsid w:val="1E6C69E0"/>
    <w:rsid w:val="1EAFB70D"/>
    <w:rsid w:val="1EC8F49A"/>
    <w:rsid w:val="1ECAD56C"/>
    <w:rsid w:val="1EE2A776"/>
    <w:rsid w:val="1EF3C808"/>
    <w:rsid w:val="1F03C2D9"/>
    <w:rsid w:val="1F0D2B57"/>
    <w:rsid w:val="1F40F9FE"/>
    <w:rsid w:val="1F531549"/>
    <w:rsid w:val="1F85F0ED"/>
    <w:rsid w:val="1F8623BE"/>
    <w:rsid w:val="1FD156FB"/>
    <w:rsid w:val="1FDCF46A"/>
    <w:rsid w:val="1FED1004"/>
    <w:rsid w:val="1FF93981"/>
    <w:rsid w:val="20100976"/>
    <w:rsid w:val="20486AB5"/>
    <w:rsid w:val="2055F3C8"/>
    <w:rsid w:val="20837CFE"/>
    <w:rsid w:val="20898DF1"/>
    <w:rsid w:val="20C80D94"/>
    <w:rsid w:val="20D4C12E"/>
    <w:rsid w:val="20E39671"/>
    <w:rsid w:val="20EA7F6D"/>
    <w:rsid w:val="20FB4609"/>
    <w:rsid w:val="211B93B5"/>
    <w:rsid w:val="21219C6E"/>
    <w:rsid w:val="21497826"/>
    <w:rsid w:val="2161DDB5"/>
    <w:rsid w:val="217279FF"/>
    <w:rsid w:val="217EED71"/>
    <w:rsid w:val="218FF051"/>
    <w:rsid w:val="21A1C968"/>
    <w:rsid w:val="21CA9786"/>
    <w:rsid w:val="21CDEB2B"/>
    <w:rsid w:val="21D1D251"/>
    <w:rsid w:val="2210F28F"/>
    <w:rsid w:val="2226F71D"/>
    <w:rsid w:val="224B3897"/>
    <w:rsid w:val="22588FE8"/>
    <w:rsid w:val="228AAA78"/>
    <w:rsid w:val="228FA35D"/>
    <w:rsid w:val="22969EA5"/>
    <w:rsid w:val="22F31721"/>
    <w:rsid w:val="230C4F40"/>
    <w:rsid w:val="2324B0C6"/>
    <w:rsid w:val="2336A95D"/>
    <w:rsid w:val="233885F0"/>
    <w:rsid w:val="23448B30"/>
    <w:rsid w:val="2369F8AC"/>
    <w:rsid w:val="23805326"/>
    <w:rsid w:val="23A4D384"/>
    <w:rsid w:val="23CC9600"/>
    <w:rsid w:val="23E34A52"/>
    <w:rsid w:val="243B8A81"/>
    <w:rsid w:val="24533477"/>
    <w:rsid w:val="248B86F5"/>
    <w:rsid w:val="249913A4"/>
    <w:rsid w:val="24B7A074"/>
    <w:rsid w:val="24C5A871"/>
    <w:rsid w:val="24D7ECBE"/>
    <w:rsid w:val="2514F1BE"/>
    <w:rsid w:val="252879AE"/>
    <w:rsid w:val="25401E12"/>
    <w:rsid w:val="2546A743"/>
    <w:rsid w:val="25AA0522"/>
    <w:rsid w:val="25ED5C11"/>
    <w:rsid w:val="25F7FD05"/>
    <w:rsid w:val="2658E163"/>
    <w:rsid w:val="265A2583"/>
    <w:rsid w:val="2677171E"/>
    <w:rsid w:val="268DDD16"/>
    <w:rsid w:val="26B04CB1"/>
    <w:rsid w:val="26B1C3A2"/>
    <w:rsid w:val="277A46CC"/>
    <w:rsid w:val="277F8DFF"/>
    <w:rsid w:val="2790DDF2"/>
    <w:rsid w:val="27B8DB92"/>
    <w:rsid w:val="27BB3EC8"/>
    <w:rsid w:val="27CD1531"/>
    <w:rsid w:val="27CD482F"/>
    <w:rsid w:val="27CF5156"/>
    <w:rsid w:val="27D0100C"/>
    <w:rsid w:val="27E1359B"/>
    <w:rsid w:val="27E1BE71"/>
    <w:rsid w:val="2848CDAB"/>
    <w:rsid w:val="284AF18F"/>
    <w:rsid w:val="288FDCEB"/>
    <w:rsid w:val="2895B220"/>
    <w:rsid w:val="28ABC974"/>
    <w:rsid w:val="28C0C6CE"/>
    <w:rsid w:val="28C3C1EC"/>
    <w:rsid w:val="28C7815C"/>
    <w:rsid w:val="28D166FD"/>
    <w:rsid w:val="28D4C1B8"/>
    <w:rsid w:val="29027BA3"/>
    <w:rsid w:val="29476E29"/>
    <w:rsid w:val="2951300C"/>
    <w:rsid w:val="29595884"/>
    <w:rsid w:val="295D681D"/>
    <w:rsid w:val="2961BEE3"/>
    <w:rsid w:val="2965181E"/>
    <w:rsid w:val="296BF8E3"/>
    <w:rsid w:val="297F69FA"/>
    <w:rsid w:val="2991619E"/>
    <w:rsid w:val="29ADED97"/>
    <w:rsid w:val="29AE2068"/>
    <w:rsid w:val="2A549A3F"/>
    <w:rsid w:val="2A5E4E81"/>
    <w:rsid w:val="2A6BE7F7"/>
    <w:rsid w:val="2A6C93AC"/>
    <w:rsid w:val="2AF466A3"/>
    <w:rsid w:val="2AF4A4F7"/>
    <w:rsid w:val="2B216B96"/>
    <w:rsid w:val="2B3F0BA8"/>
    <w:rsid w:val="2B583743"/>
    <w:rsid w:val="2B599F63"/>
    <w:rsid w:val="2B681059"/>
    <w:rsid w:val="2B97B8D1"/>
    <w:rsid w:val="2B9B5E95"/>
    <w:rsid w:val="2BAFFCA0"/>
    <w:rsid w:val="2BC0FA0E"/>
    <w:rsid w:val="2BCB11A8"/>
    <w:rsid w:val="2BCCBB6A"/>
    <w:rsid w:val="2C114CB7"/>
    <w:rsid w:val="2C11B259"/>
    <w:rsid w:val="2C2391CF"/>
    <w:rsid w:val="2C2A6256"/>
    <w:rsid w:val="2C36F526"/>
    <w:rsid w:val="2C4E1010"/>
    <w:rsid w:val="2C5643A6"/>
    <w:rsid w:val="2C5E465C"/>
    <w:rsid w:val="2C787DD9"/>
    <w:rsid w:val="2C8DFBCD"/>
    <w:rsid w:val="2C960786"/>
    <w:rsid w:val="2CD08AF8"/>
    <w:rsid w:val="2D1D9E18"/>
    <w:rsid w:val="2D55DE4A"/>
    <w:rsid w:val="2D7AC410"/>
    <w:rsid w:val="2D98767F"/>
    <w:rsid w:val="2DA832DB"/>
    <w:rsid w:val="2DC8CB86"/>
    <w:rsid w:val="2DDF1218"/>
    <w:rsid w:val="2DEBFADA"/>
    <w:rsid w:val="2DF58E19"/>
    <w:rsid w:val="2E39CE60"/>
    <w:rsid w:val="2E551E88"/>
    <w:rsid w:val="2E5C01EC"/>
    <w:rsid w:val="2E782D14"/>
    <w:rsid w:val="2E908D16"/>
    <w:rsid w:val="2EA289F7"/>
    <w:rsid w:val="2F02A2BA"/>
    <w:rsid w:val="2F0B2E5C"/>
    <w:rsid w:val="2F1D3D1F"/>
    <w:rsid w:val="2F2609EF"/>
    <w:rsid w:val="2F28ABF6"/>
    <w:rsid w:val="2F39790A"/>
    <w:rsid w:val="2F3EA23F"/>
    <w:rsid w:val="2F4888D2"/>
    <w:rsid w:val="2FB66DBE"/>
    <w:rsid w:val="2FC00535"/>
    <w:rsid w:val="2FDEC2FC"/>
    <w:rsid w:val="2FF2B6B7"/>
    <w:rsid w:val="300ED295"/>
    <w:rsid w:val="3023EDB1"/>
    <w:rsid w:val="3045D341"/>
    <w:rsid w:val="3052093A"/>
    <w:rsid w:val="30610DF8"/>
    <w:rsid w:val="306B890D"/>
    <w:rsid w:val="30B0DCE2"/>
    <w:rsid w:val="30CBB411"/>
    <w:rsid w:val="30D1DC46"/>
    <w:rsid w:val="30FE9B03"/>
    <w:rsid w:val="3100BB26"/>
    <w:rsid w:val="31065FA2"/>
    <w:rsid w:val="31080964"/>
    <w:rsid w:val="313D4F79"/>
    <w:rsid w:val="313F5151"/>
    <w:rsid w:val="314DE647"/>
    <w:rsid w:val="3161D197"/>
    <w:rsid w:val="317FE513"/>
    <w:rsid w:val="31812017"/>
    <w:rsid w:val="31D4AA38"/>
    <w:rsid w:val="31D9E381"/>
    <w:rsid w:val="31F42D4D"/>
    <w:rsid w:val="3218927F"/>
    <w:rsid w:val="322044DB"/>
    <w:rsid w:val="3233B1EA"/>
    <w:rsid w:val="325BCDAE"/>
    <w:rsid w:val="327EAC25"/>
    <w:rsid w:val="32812275"/>
    <w:rsid w:val="329438E4"/>
    <w:rsid w:val="32C8499F"/>
    <w:rsid w:val="32E43D2D"/>
    <w:rsid w:val="32E7BF30"/>
    <w:rsid w:val="330C58D6"/>
    <w:rsid w:val="33252E68"/>
    <w:rsid w:val="333FCA98"/>
    <w:rsid w:val="338DA893"/>
    <w:rsid w:val="33E148F4"/>
    <w:rsid w:val="3439F247"/>
    <w:rsid w:val="343F12AE"/>
    <w:rsid w:val="34492A48"/>
    <w:rsid w:val="3457BF3E"/>
    <w:rsid w:val="3457F20F"/>
    <w:rsid w:val="3489BAD1"/>
    <w:rsid w:val="34E78905"/>
    <w:rsid w:val="35040908"/>
    <w:rsid w:val="3512421F"/>
    <w:rsid w:val="35493EBF"/>
    <w:rsid w:val="3558D674"/>
    <w:rsid w:val="355D5F18"/>
    <w:rsid w:val="35719489"/>
    <w:rsid w:val="35931ECB"/>
    <w:rsid w:val="35A5F4C9"/>
    <w:rsid w:val="35AE4A34"/>
    <w:rsid w:val="35D61CB7"/>
    <w:rsid w:val="35E7FEB3"/>
    <w:rsid w:val="3603E928"/>
    <w:rsid w:val="36263550"/>
    <w:rsid w:val="3632C2B1"/>
    <w:rsid w:val="364F990C"/>
    <w:rsid w:val="3680EF0A"/>
    <w:rsid w:val="3694C2CC"/>
    <w:rsid w:val="36A37AE3"/>
    <w:rsid w:val="37234336"/>
    <w:rsid w:val="372A8319"/>
    <w:rsid w:val="373449AC"/>
    <w:rsid w:val="373992E1"/>
    <w:rsid w:val="379CF25C"/>
    <w:rsid w:val="37EE079A"/>
    <w:rsid w:val="3809EE9F"/>
    <w:rsid w:val="382ED8E2"/>
    <w:rsid w:val="383E23DE"/>
    <w:rsid w:val="3850D6A1"/>
    <w:rsid w:val="3851724A"/>
    <w:rsid w:val="385E653E"/>
    <w:rsid w:val="38839DC5"/>
    <w:rsid w:val="38912312"/>
    <w:rsid w:val="38C45B3C"/>
    <w:rsid w:val="38CF4FB5"/>
    <w:rsid w:val="38D53586"/>
    <w:rsid w:val="38EF5A19"/>
    <w:rsid w:val="3907CA7B"/>
    <w:rsid w:val="39110CE0"/>
    <w:rsid w:val="391F0992"/>
    <w:rsid w:val="394AC8D0"/>
    <w:rsid w:val="39549125"/>
    <w:rsid w:val="398E8FDC"/>
    <w:rsid w:val="3993B22C"/>
    <w:rsid w:val="399A0B20"/>
    <w:rsid w:val="39B88FCC"/>
    <w:rsid w:val="39D386CB"/>
    <w:rsid w:val="39D5B2D0"/>
    <w:rsid w:val="39E4AD68"/>
    <w:rsid w:val="39F401C4"/>
    <w:rsid w:val="39F4F9DC"/>
    <w:rsid w:val="3A1B4AD9"/>
    <w:rsid w:val="3A4BD1FE"/>
    <w:rsid w:val="3A7DF30C"/>
    <w:rsid w:val="3A8F04B7"/>
    <w:rsid w:val="3A9A1145"/>
    <w:rsid w:val="3A9E3220"/>
    <w:rsid w:val="3AC8DEFD"/>
    <w:rsid w:val="3AD61586"/>
    <w:rsid w:val="3B04AB08"/>
    <w:rsid w:val="3B4DD3FB"/>
    <w:rsid w:val="3B7599F5"/>
    <w:rsid w:val="3BBBF2A5"/>
    <w:rsid w:val="3BCD4590"/>
    <w:rsid w:val="3C80A237"/>
    <w:rsid w:val="3CBB818C"/>
    <w:rsid w:val="3CBC8B27"/>
    <w:rsid w:val="3CCE82CB"/>
    <w:rsid w:val="3CF0308E"/>
    <w:rsid w:val="3D05433E"/>
    <w:rsid w:val="3D508055"/>
    <w:rsid w:val="3D85B656"/>
    <w:rsid w:val="3DC9362A"/>
    <w:rsid w:val="3DE8F647"/>
    <w:rsid w:val="3E1E612A"/>
    <w:rsid w:val="3E3DBA51"/>
    <w:rsid w:val="3E6466D6"/>
    <w:rsid w:val="3E6521AF"/>
    <w:rsid w:val="3E7E1226"/>
    <w:rsid w:val="3E8574BD"/>
    <w:rsid w:val="3E8C00EF"/>
    <w:rsid w:val="3E98413A"/>
    <w:rsid w:val="3EA3F001"/>
    <w:rsid w:val="3EB5AC2B"/>
    <w:rsid w:val="3EE73418"/>
    <w:rsid w:val="3EF00697"/>
    <w:rsid w:val="3F231CB9"/>
    <w:rsid w:val="3F25288A"/>
    <w:rsid w:val="3F45FA6E"/>
    <w:rsid w:val="3F6B6E64"/>
    <w:rsid w:val="3F74FC47"/>
    <w:rsid w:val="3F7AAC8B"/>
    <w:rsid w:val="3F85830C"/>
    <w:rsid w:val="3F8A1A5E"/>
    <w:rsid w:val="3F9B0540"/>
    <w:rsid w:val="3FB3A4DA"/>
    <w:rsid w:val="3FB4AD72"/>
    <w:rsid w:val="3FC0882D"/>
    <w:rsid w:val="4041668E"/>
    <w:rsid w:val="405202B7"/>
    <w:rsid w:val="40718C39"/>
    <w:rsid w:val="409FCDDB"/>
    <w:rsid w:val="40C511CD"/>
    <w:rsid w:val="40EAD5BD"/>
    <w:rsid w:val="4102EFCA"/>
    <w:rsid w:val="410DEAF0"/>
    <w:rsid w:val="4117ADCE"/>
    <w:rsid w:val="41269488"/>
    <w:rsid w:val="413E78C3"/>
    <w:rsid w:val="417988F8"/>
    <w:rsid w:val="4180FA28"/>
    <w:rsid w:val="41BE7FE7"/>
    <w:rsid w:val="41E90B4C"/>
    <w:rsid w:val="42382F0D"/>
    <w:rsid w:val="4238B669"/>
    <w:rsid w:val="425BA2C8"/>
    <w:rsid w:val="4290E5F1"/>
    <w:rsid w:val="42A1574F"/>
    <w:rsid w:val="42B8FEA2"/>
    <w:rsid w:val="42C243CE"/>
    <w:rsid w:val="42C31FB6"/>
    <w:rsid w:val="4309FF5A"/>
    <w:rsid w:val="430F8F9D"/>
    <w:rsid w:val="4336D3F0"/>
    <w:rsid w:val="434A3378"/>
    <w:rsid w:val="43659E2C"/>
    <w:rsid w:val="437610E4"/>
    <w:rsid w:val="43C252E1"/>
    <w:rsid w:val="43DCE818"/>
    <w:rsid w:val="43EF8F48"/>
    <w:rsid w:val="4421BAAD"/>
    <w:rsid w:val="444F4F21"/>
    <w:rsid w:val="445D237F"/>
    <w:rsid w:val="44AD7A2B"/>
    <w:rsid w:val="44C49284"/>
    <w:rsid w:val="44E0851C"/>
    <w:rsid w:val="44F1DBFA"/>
    <w:rsid w:val="44F3DF6F"/>
    <w:rsid w:val="44F599B9"/>
    <w:rsid w:val="454E3F69"/>
    <w:rsid w:val="455246BC"/>
    <w:rsid w:val="4560C1C6"/>
    <w:rsid w:val="4580C2A5"/>
    <w:rsid w:val="458FF58E"/>
    <w:rsid w:val="459AC4B3"/>
    <w:rsid w:val="45CA4C20"/>
    <w:rsid w:val="45FBB5EB"/>
    <w:rsid w:val="45FC74A1"/>
    <w:rsid w:val="462591AE"/>
    <w:rsid w:val="4669491A"/>
    <w:rsid w:val="46718482"/>
    <w:rsid w:val="4688BF64"/>
    <w:rsid w:val="46955F98"/>
    <w:rsid w:val="46B1CEC8"/>
    <w:rsid w:val="46B381BD"/>
    <w:rsid w:val="46C2ECF9"/>
    <w:rsid w:val="46CB269D"/>
    <w:rsid w:val="46D019EE"/>
    <w:rsid w:val="46D71ACA"/>
    <w:rsid w:val="46DAA8FD"/>
    <w:rsid w:val="46FF80A8"/>
    <w:rsid w:val="47142433"/>
    <w:rsid w:val="471974F4"/>
    <w:rsid w:val="472ACA56"/>
    <w:rsid w:val="47396700"/>
    <w:rsid w:val="477D8566"/>
    <w:rsid w:val="47A3F033"/>
    <w:rsid w:val="47B66492"/>
    <w:rsid w:val="47BA9E0A"/>
    <w:rsid w:val="47D264A6"/>
    <w:rsid w:val="47DA0513"/>
    <w:rsid w:val="4812078E"/>
    <w:rsid w:val="4833F90D"/>
    <w:rsid w:val="486A08F2"/>
    <w:rsid w:val="4879114E"/>
    <w:rsid w:val="487A8FB5"/>
    <w:rsid w:val="488746B2"/>
    <w:rsid w:val="489102FE"/>
    <w:rsid w:val="48AA1C11"/>
    <w:rsid w:val="48D601AA"/>
    <w:rsid w:val="48E5B9C5"/>
    <w:rsid w:val="4906F199"/>
    <w:rsid w:val="494E0C50"/>
    <w:rsid w:val="49810450"/>
    <w:rsid w:val="4983B5B7"/>
    <w:rsid w:val="498B830F"/>
    <w:rsid w:val="49B0090A"/>
    <w:rsid w:val="49BC6BBC"/>
    <w:rsid w:val="49BEE2BA"/>
    <w:rsid w:val="4A0137E5"/>
    <w:rsid w:val="4A237D6B"/>
    <w:rsid w:val="4A55B551"/>
    <w:rsid w:val="4A60C156"/>
    <w:rsid w:val="4A6937DD"/>
    <w:rsid w:val="4ABCE4D0"/>
    <w:rsid w:val="4ADA299C"/>
    <w:rsid w:val="4BA4894C"/>
    <w:rsid w:val="4BC60463"/>
    <w:rsid w:val="4BC907EA"/>
    <w:rsid w:val="4BEA6E08"/>
    <w:rsid w:val="4C0F93DE"/>
    <w:rsid w:val="4C259046"/>
    <w:rsid w:val="4C2C8E7C"/>
    <w:rsid w:val="4C54640B"/>
    <w:rsid w:val="4C56FA11"/>
    <w:rsid w:val="4C826FB9"/>
    <w:rsid w:val="4CA6DD7B"/>
    <w:rsid w:val="4CAF4B53"/>
    <w:rsid w:val="4CC0B1D0"/>
    <w:rsid w:val="4CE0B51E"/>
    <w:rsid w:val="4CE344D4"/>
    <w:rsid w:val="4D0D352D"/>
    <w:rsid w:val="4D3BFFD2"/>
    <w:rsid w:val="4D40F3E6"/>
    <w:rsid w:val="4D4F958C"/>
    <w:rsid w:val="4D9A3034"/>
    <w:rsid w:val="4D9D3EA1"/>
    <w:rsid w:val="4D9E0C2D"/>
    <w:rsid w:val="4DBD5E1A"/>
    <w:rsid w:val="4DE522CB"/>
    <w:rsid w:val="4E1D056D"/>
    <w:rsid w:val="4E2D09A0"/>
    <w:rsid w:val="4E45D50A"/>
    <w:rsid w:val="4E4864C0"/>
    <w:rsid w:val="4E78E37F"/>
    <w:rsid w:val="4E9B3FFA"/>
    <w:rsid w:val="4F1ACACA"/>
    <w:rsid w:val="4F4C01C4"/>
    <w:rsid w:val="4F61D686"/>
    <w:rsid w:val="4F9D8D45"/>
    <w:rsid w:val="4FCCC752"/>
    <w:rsid w:val="4FED836D"/>
    <w:rsid w:val="4FFEC128"/>
    <w:rsid w:val="502434C3"/>
    <w:rsid w:val="5051FBAD"/>
    <w:rsid w:val="505D2158"/>
    <w:rsid w:val="5060E59A"/>
    <w:rsid w:val="506C6ECE"/>
    <w:rsid w:val="5078FA0D"/>
    <w:rsid w:val="5093FD44"/>
    <w:rsid w:val="50AC8F1F"/>
    <w:rsid w:val="50D24616"/>
    <w:rsid w:val="50F17985"/>
    <w:rsid w:val="50FCB8E4"/>
    <w:rsid w:val="5135B1BE"/>
    <w:rsid w:val="51646320"/>
    <w:rsid w:val="51658522"/>
    <w:rsid w:val="51826362"/>
    <w:rsid w:val="51A9780E"/>
    <w:rsid w:val="51B42641"/>
    <w:rsid w:val="51B9E376"/>
    <w:rsid w:val="51F2CD58"/>
    <w:rsid w:val="51FCB5FB"/>
    <w:rsid w:val="5201A133"/>
    <w:rsid w:val="5210E3CC"/>
    <w:rsid w:val="52156D10"/>
    <w:rsid w:val="5228AA68"/>
    <w:rsid w:val="52459C03"/>
    <w:rsid w:val="524A0876"/>
    <w:rsid w:val="5255A7EA"/>
    <w:rsid w:val="52674B74"/>
    <w:rsid w:val="526EFB9F"/>
    <w:rsid w:val="52701D15"/>
    <w:rsid w:val="52932471"/>
    <w:rsid w:val="52A65F15"/>
    <w:rsid w:val="52AF546F"/>
    <w:rsid w:val="52C1F07D"/>
    <w:rsid w:val="52C59707"/>
    <w:rsid w:val="532984E5"/>
    <w:rsid w:val="536E73AE"/>
    <w:rsid w:val="5374359C"/>
    <w:rsid w:val="53B21A1E"/>
    <w:rsid w:val="53D95462"/>
    <w:rsid w:val="540DD04C"/>
    <w:rsid w:val="540FC7FA"/>
    <w:rsid w:val="5415287C"/>
    <w:rsid w:val="54160E70"/>
    <w:rsid w:val="54438FE0"/>
    <w:rsid w:val="54465F73"/>
    <w:rsid w:val="54551112"/>
    <w:rsid w:val="549C4D3C"/>
    <w:rsid w:val="54BF7D9F"/>
    <w:rsid w:val="54C2ACDA"/>
    <w:rsid w:val="54CBFDFB"/>
    <w:rsid w:val="54D14A02"/>
    <w:rsid w:val="54DB0B1B"/>
    <w:rsid w:val="5504748E"/>
    <w:rsid w:val="553456BD"/>
    <w:rsid w:val="554112D2"/>
    <w:rsid w:val="555FB3B2"/>
    <w:rsid w:val="55AC873E"/>
    <w:rsid w:val="55AE34AB"/>
    <w:rsid w:val="55BB2D1D"/>
    <w:rsid w:val="55CC4C44"/>
    <w:rsid w:val="5600F701"/>
    <w:rsid w:val="5629A335"/>
    <w:rsid w:val="56365334"/>
    <w:rsid w:val="5636DF19"/>
    <w:rsid w:val="56510755"/>
    <w:rsid w:val="567C43CB"/>
    <w:rsid w:val="56800F80"/>
    <w:rsid w:val="56BADB40"/>
    <w:rsid w:val="56BAF2EB"/>
    <w:rsid w:val="56C02886"/>
    <w:rsid w:val="56CAB6D5"/>
    <w:rsid w:val="56CB9969"/>
    <w:rsid w:val="56CCAC16"/>
    <w:rsid w:val="56DF2372"/>
    <w:rsid w:val="5716BFBD"/>
    <w:rsid w:val="573A6553"/>
    <w:rsid w:val="57481B6F"/>
    <w:rsid w:val="575BA2F4"/>
    <w:rsid w:val="577D77C9"/>
    <w:rsid w:val="579116A4"/>
    <w:rsid w:val="57B979A2"/>
    <w:rsid w:val="57BF0662"/>
    <w:rsid w:val="57EECC34"/>
    <w:rsid w:val="5803D58B"/>
    <w:rsid w:val="580B8AFE"/>
    <w:rsid w:val="583E7138"/>
    <w:rsid w:val="58AEE93A"/>
    <w:rsid w:val="58B3FF01"/>
    <w:rsid w:val="58B52585"/>
    <w:rsid w:val="58F133CA"/>
    <w:rsid w:val="5900D80E"/>
    <w:rsid w:val="59106C22"/>
    <w:rsid w:val="593F1E6F"/>
    <w:rsid w:val="5945572A"/>
    <w:rsid w:val="597E271B"/>
    <w:rsid w:val="598A070B"/>
    <w:rsid w:val="598F4C19"/>
    <w:rsid w:val="59B5DCE1"/>
    <w:rsid w:val="59DAF75E"/>
    <w:rsid w:val="59E6D8D3"/>
    <w:rsid w:val="59FEB597"/>
    <w:rsid w:val="5A144973"/>
    <w:rsid w:val="5A485BBB"/>
    <w:rsid w:val="5A62B967"/>
    <w:rsid w:val="5A7857B1"/>
    <w:rsid w:val="5A9D3415"/>
    <w:rsid w:val="5AA013F5"/>
    <w:rsid w:val="5AA54C17"/>
    <w:rsid w:val="5AABEE04"/>
    <w:rsid w:val="5AB58FFA"/>
    <w:rsid w:val="5ADC59E2"/>
    <w:rsid w:val="5B023C73"/>
    <w:rsid w:val="5B2D9033"/>
    <w:rsid w:val="5B6DF708"/>
    <w:rsid w:val="5B878B37"/>
    <w:rsid w:val="5B90B4A3"/>
    <w:rsid w:val="5B9F51D3"/>
    <w:rsid w:val="5BF39851"/>
    <w:rsid w:val="5C1A77EA"/>
    <w:rsid w:val="5CA8B7AD"/>
    <w:rsid w:val="5CBF30FC"/>
    <w:rsid w:val="5CC8DF47"/>
    <w:rsid w:val="5D1CBDF0"/>
    <w:rsid w:val="5D4FEED7"/>
    <w:rsid w:val="5D7F6505"/>
    <w:rsid w:val="5DAC8916"/>
    <w:rsid w:val="5DAF8AB0"/>
    <w:rsid w:val="5DE11ABE"/>
    <w:rsid w:val="5E016BA5"/>
    <w:rsid w:val="5E51ADB9"/>
    <w:rsid w:val="5E78DD60"/>
    <w:rsid w:val="5EA11083"/>
    <w:rsid w:val="5EAEBB6B"/>
    <w:rsid w:val="5F1B6F48"/>
    <w:rsid w:val="5F251B02"/>
    <w:rsid w:val="5F3810D6"/>
    <w:rsid w:val="5F41C043"/>
    <w:rsid w:val="5F6E9492"/>
    <w:rsid w:val="5F8533AC"/>
    <w:rsid w:val="5FB5F974"/>
    <w:rsid w:val="5FBAF1A2"/>
    <w:rsid w:val="5FD2B83E"/>
    <w:rsid w:val="5FDBF208"/>
    <w:rsid w:val="5FFEBF10"/>
    <w:rsid w:val="6006C2E6"/>
    <w:rsid w:val="601A7C4C"/>
    <w:rsid w:val="60589F75"/>
    <w:rsid w:val="607A7D33"/>
    <w:rsid w:val="6094B489"/>
    <w:rsid w:val="609D5A8D"/>
    <w:rsid w:val="609EF4AB"/>
    <w:rsid w:val="60A8C964"/>
    <w:rsid w:val="610EAF76"/>
    <w:rsid w:val="610EFEEB"/>
    <w:rsid w:val="612FA2A3"/>
    <w:rsid w:val="614AD969"/>
    <w:rsid w:val="615AEF38"/>
    <w:rsid w:val="615E7851"/>
    <w:rsid w:val="61764C53"/>
    <w:rsid w:val="6188A188"/>
    <w:rsid w:val="61BC80AC"/>
    <w:rsid w:val="61D6CA1D"/>
    <w:rsid w:val="61EC4DAC"/>
    <w:rsid w:val="61ED1A34"/>
    <w:rsid w:val="61F18611"/>
    <w:rsid w:val="620A136B"/>
    <w:rsid w:val="62108969"/>
    <w:rsid w:val="621E8393"/>
    <w:rsid w:val="621EC3E0"/>
    <w:rsid w:val="622306BA"/>
    <w:rsid w:val="623B425D"/>
    <w:rsid w:val="6247CDE5"/>
    <w:rsid w:val="62503589"/>
    <w:rsid w:val="6257F3B5"/>
    <w:rsid w:val="626347B1"/>
    <w:rsid w:val="6296FBA3"/>
    <w:rsid w:val="62AD03FD"/>
    <w:rsid w:val="62B83958"/>
    <w:rsid w:val="62BCF883"/>
    <w:rsid w:val="62D661C6"/>
    <w:rsid w:val="632706E1"/>
    <w:rsid w:val="63598C30"/>
    <w:rsid w:val="635B8813"/>
    <w:rsid w:val="6366B1E4"/>
    <w:rsid w:val="637EAB51"/>
    <w:rsid w:val="63A9FF11"/>
    <w:rsid w:val="63C42E25"/>
    <w:rsid w:val="63D46CDD"/>
    <w:rsid w:val="640BA6C7"/>
    <w:rsid w:val="6438ACA4"/>
    <w:rsid w:val="644700AC"/>
    <w:rsid w:val="64637A27"/>
    <w:rsid w:val="649489E3"/>
    <w:rsid w:val="64D2DEE2"/>
    <w:rsid w:val="64F0F5EF"/>
    <w:rsid w:val="6562735F"/>
    <w:rsid w:val="65A23E81"/>
    <w:rsid w:val="6608547C"/>
    <w:rsid w:val="660A1223"/>
    <w:rsid w:val="660DC6C8"/>
    <w:rsid w:val="662BF98E"/>
    <w:rsid w:val="664523D4"/>
    <w:rsid w:val="6692BAAE"/>
    <w:rsid w:val="66BC0342"/>
    <w:rsid w:val="66BD6F50"/>
    <w:rsid w:val="66D866FF"/>
    <w:rsid w:val="672DB9FF"/>
    <w:rsid w:val="673F3D9E"/>
    <w:rsid w:val="6760F3CF"/>
    <w:rsid w:val="676F73AB"/>
    <w:rsid w:val="678C214C"/>
    <w:rsid w:val="67AAB116"/>
    <w:rsid w:val="67ADD29F"/>
    <w:rsid w:val="67B12805"/>
    <w:rsid w:val="6809E82C"/>
    <w:rsid w:val="6818F7F4"/>
    <w:rsid w:val="681F6713"/>
    <w:rsid w:val="68376080"/>
    <w:rsid w:val="686C8AC6"/>
    <w:rsid w:val="68738F29"/>
    <w:rsid w:val="688A0671"/>
    <w:rsid w:val="689F5CC5"/>
    <w:rsid w:val="68D50E53"/>
    <w:rsid w:val="691E0BE9"/>
    <w:rsid w:val="691EE220"/>
    <w:rsid w:val="69588BA7"/>
    <w:rsid w:val="69615916"/>
    <w:rsid w:val="69A08713"/>
    <w:rsid w:val="69D09709"/>
    <w:rsid w:val="69D0C52B"/>
    <w:rsid w:val="69F2CED8"/>
    <w:rsid w:val="69F4789A"/>
    <w:rsid w:val="69FE124E"/>
    <w:rsid w:val="6A0C3F36"/>
    <w:rsid w:val="6A246247"/>
    <w:rsid w:val="6A393CB8"/>
    <w:rsid w:val="6A3C3CA8"/>
    <w:rsid w:val="6A421E37"/>
    <w:rsid w:val="6A4BB157"/>
    <w:rsid w:val="6AA31EC3"/>
    <w:rsid w:val="6AA671E5"/>
    <w:rsid w:val="6AB7B13B"/>
    <w:rsid w:val="6AC180D4"/>
    <w:rsid w:val="6AC32A96"/>
    <w:rsid w:val="6AC48D4A"/>
    <w:rsid w:val="6AE46772"/>
    <w:rsid w:val="6AFEBFFF"/>
    <w:rsid w:val="6B6858D7"/>
    <w:rsid w:val="6B77202E"/>
    <w:rsid w:val="6B7B703E"/>
    <w:rsid w:val="6B7C18CC"/>
    <w:rsid w:val="6B87AECD"/>
    <w:rsid w:val="6B8C4FD0"/>
    <w:rsid w:val="6BAC8495"/>
    <w:rsid w:val="6BC720AE"/>
    <w:rsid w:val="6C101E44"/>
    <w:rsid w:val="6C19A754"/>
    <w:rsid w:val="6C40111E"/>
    <w:rsid w:val="6C43B738"/>
    <w:rsid w:val="6C599F18"/>
    <w:rsid w:val="6C7CF6DA"/>
    <w:rsid w:val="6C89CD6A"/>
    <w:rsid w:val="6CAAD6BF"/>
    <w:rsid w:val="6CD827D5"/>
    <w:rsid w:val="6CDE308E"/>
    <w:rsid w:val="6CE547C8"/>
    <w:rsid w:val="6D0349BF"/>
    <w:rsid w:val="6D5EB019"/>
    <w:rsid w:val="6D6270BD"/>
    <w:rsid w:val="6D71DB91"/>
    <w:rsid w:val="6D781E53"/>
    <w:rsid w:val="6D9B0C61"/>
    <w:rsid w:val="6DA8E55A"/>
    <w:rsid w:val="6DF815C7"/>
    <w:rsid w:val="6E0C70CB"/>
    <w:rsid w:val="6E1548E8"/>
    <w:rsid w:val="6E19E54F"/>
    <w:rsid w:val="6E2052E8"/>
    <w:rsid w:val="6E806D90"/>
    <w:rsid w:val="6E8D27ED"/>
    <w:rsid w:val="6EBDE6A3"/>
    <w:rsid w:val="6EED5F5B"/>
    <w:rsid w:val="6F020623"/>
    <w:rsid w:val="6F1A951D"/>
    <w:rsid w:val="6F36E8D6"/>
    <w:rsid w:val="6F59172B"/>
    <w:rsid w:val="6F753DD5"/>
    <w:rsid w:val="6F7570A6"/>
    <w:rsid w:val="6F913FDA"/>
    <w:rsid w:val="6FA37C39"/>
    <w:rsid w:val="6FAC1916"/>
    <w:rsid w:val="6FB913C5"/>
    <w:rsid w:val="6FE31B7F"/>
    <w:rsid w:val="6FF096BD"/>
    <w:rsid w:val="70030B1C"/>
    <w:rsid w:val="701E2391"/>
    <w:rsid w:val="704F1839"/>
    <w:rsid w:val="70524C76"/>
    <w:rsid w:val="70805608"/>
    <w:rsid w:val="70AD603F"/>
    <w:rsid w:val="70B5CC04"/>
    <w:rsid w:val="70F8C64D"/>
    <w:rsid w:val="71063195"/>
    <w:rsid w:val="7116E6D8"/>
    <w:rsid w:val="712883CB"/>
    <w:rsid w:val="71501B3C"/>
    <w:rsid w:val="7156E913"/>
    <w:rsid w:val="7182B42B"/>
    <w:rsid w:val="719AAD98"/>
    <w:rsid w:val="71B27434"/>
    <w:rsid w:val="71B6A973"/>
    <w:rsid w:val="71DB75C9"/>
    <w:rsid w:val="71F3CD3D"/>
    <w:rsid w:val="71FC3080"/>
    <w:rsid w:val="721429ED"/>
    <w:rsid w:val="722ED205"/>
    <w:rsid w:val="7256ED1E"/>
    <w:rsid w:val="72AAACA0"/>
    <w:rsid w:val="72AC79F0"/>
    <w:rsid w:val="72BAEDF5"/>
    <w:rsid w:val="72C40838"/>
    <w:rsid w:val="72FAA285"/>
    <w:rsid w:val="733DB328"/>
    <w:rsid w:val="73677EDA"/>
    <w:rsid w:val="7368413D"/>
    <w:rsid w:val="737451AB"/>
    <w:rsid w:val="7388E7E4"/>
    <w:rsid w:val="738F0A43"/>
    <w:rsid w:val="739D5D06"/>
    <w:rsid w:val="73AA06F4"/>
    <w:rsid w:val="73B4FE39"/>
    <w:rsid w:val="73B8E2F8"/>
    <w:rsid w:val="73D60764"/>
    <w:rsid w:val="73FB903B"/>
    <w:rsid w:val="7405A4FA"/>
    <w:rsid w:val="740A4DE5"/>
    <w:rsid w:val="7425D431"/>
    <w:rsid w:val="74801159"/>
    <w:rsid w:val="74879006"/>
    <w:rsid w:val="748C8D22"/>
    <w:rsid w:val="7497BE7C"/>
    <w:rsid w:val="74B6D5D0"/>
    <w:rsid w:val="74CFDA4F"/>
    <w:rsid w:val="74F69085"/>
    <w:rsid w:val="74F765CF"/>
    <w:rsid w:val="752B0958"/>
    <w:rsid w:val="7537A77B"/>
    <w:rsid w:val="754C832F"/>
    <w:rsid w:val="755A804A"/>
    <w:rsid w:val="7562F9D3"/>
    <w:rsid w:val="757E328C"/>
    <w:rsid w:val="75A0360D"/>
    <w:rsid w:val="75AB193F"/>
    <w:rsid w:val="75B432D0"/>
    <w:rsid w:val="75BD27A8"/>
    <w:rsid w:val="75C16FA8"/>
    <w:rsid w:val="75EC310F"/>
    <w:rsid w:val="76183B71"/>
    <w:rsid w:val="761D6670"/>
    <w:rsid w:val="7628EBF5"/>
    <w:rsid w:val="7654336F"/>
    <w:rsid w:val="76625D5F"/>
    <w:rsid w:val="766BEA77"/>
    <w:rsid w:val="76776DB7"/>
    <w:rsid w:val="76950FBA"/>
    <w:rsid w:val="7696E2C5"/>
    <w:rsid w:val="76BA3D27"/>
    <w:rsid w:val="76EFEC42"/>
    <w:rsid w:val="772C04DD"/>
    <w:rsid w:val="7735A1E7"/>
    <w:rsid w:val="7751A1FB"/>
    <w:rsid w:val="7762563B"/>
    <w:rsid w:val="777D8E2E"/>
    <w:rsid w:val="77B0E83C"/>
    <w:rsid w:val="77CB458B"/>
    <w:rsid w:val="77D24F28"/>
    <w:rsid w:val="77D3D002"/>
    <w:rsid w:val="77F2D525"/>
    <w:rsid w:val="780CBE99"/>
    <w:rsid w:val="78192C86"/>
    <w:rsid w:val="785D20CE"/>
    <w:rsid w:val="786D059B"/>
    <w:rsid w:val="7871CAF8"/>
    <w:rsid w:val="78C95FD0"/>
    <w:rsid w:val="78C9D94E"/>
    <w:rsid w:val="78DE7968"/>
    <w:rsid w:val="78E167F6"/>
    <w:rsid w:val="790F78CB"/>
    <w:rsid w:val="792D34B9"/>
    <w:rsid w:val="793449B4"/>
    <w:rsid w:val="793CA880"/>
    <w:rsid w:val="794AA57F"/>
    <w:rsid w:val="798DE3AB"/>
    <w:rsid w:val="7996AC08"/>
    <w:rsid w:val="79C41F5A"/>
    <w:rsid w:val="79D58972"/>
    <w:rsid w:val="79D848AC"/>
    <w:rsid w:val="7A2E8B61"/>
    <w:rsid w:val="7A4C49E1"/>
    <w:rsid w:val="7A4CD826"/>
    <w:rsid w:val="7A53B8FE"/>
    <w:rsid w:val="7A5950DE"/>
    <w:rsid w:val="7A8BD36E"/>
    <w:rsid w:val="7AD27839"/>
    <w:rsid w:val="7B3227F0"/>
    <w:rsid w:val="7B6A6A96"/>
    <w:rsid w:val="7B6E5804"/>
    <w:rsid w:val="7B73D333"/>
    <w:rsid w:val="7B8EDB18"/>
    <w:rsid w:val="7B939CA9"/>
    <w:rsid w:val="7BD8F9ED"/>
    <w:rsid w:val="7BE6F5A4"/>
    <w:rsid w:val="7BF585E6"/>
    <w:rsid w:val="7C203C34"/>
    <w:rsid w:val="7C3551D6"/>
    <w:rsid w:val="7C657874"/>
    <w:rsid w:val="7C6A4D81"/>
    <w:rsid w:val="7C7B145D"/>
    <w:rsid w:val="7D12280A"/>
    <w:rsid w:val="7D35B818"/>
    <w:rsid w:val="7D41D8D3"/>
    <w:rsid w:val="7D4DF2EF"/>
    <w:rsid w:val="7D7DB2F8"/>
    <w:rsid w:val="7D92E9DE"/>
    <w:rsid w:val="7DA958D0"/>
    <w:rsid w:val="7DCD648C"/>
    <w:rsid w:val="7DDB620A"/>
    <w:rsid w:val="7E1763B0"/>
    <w:rsid w:val="7E18278B"/>
    <w:rsid w:val="7E2924FD"/>
    <w:rsid w:val="7E3C590D"/>
    <w:rsid w:val="7E411E6A"/>
    <w:rsid w:val="7EAC70EB"/>
    <w:rsid w:val="7EAE1AAD"/>
    <w:rsid w:val="7ED1A218"/>
    <w:rsid w:val="7EE305B5"/>
    <w:rsid w:val="7EFACC51"/>
    <w:rsid w:val="7F568CA2"/>
    <w:rsid w:val="7F8ECD29"/>
    <w:rsid w:val="7FC7FA63"/>
    <w:rsid w:val="7FD13902"/>
    <w:rsid w:val="7FE6E527"/>
  </w:rsids>
  <m:mathPr>
    <m:mathFont m:val="Cambria Math"/>
  </m:mathPr>
  <w:themeFontLang w:val="en-IN" w:eastAsia="ja-JP" w:bidi="ar-SA"/>
  <w:clrSchemeMapping w:bg1="light1" w:t1="dark1" w:bg2="light2" w:t2="dark2" w:accent1="accent1" w:accent2="accent2" w:accent3="accent3" w:accent4="accent4" w:accent5="accent5" w:accent6="accent6" w:hyperlink="hyperlink" w:followedHyperlink="followedHyperlink"/>
  <w14:docId w14:val="738C9A7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E2C"/>
    <w:rPr>
      <w:lang w:val="en-US"/>
    </w:rPr>
  </w:style>
  <w:style w:type="paragraph" w:styleId="Heading2">
    <w:name w:val="heading 2"/>
    <w:basedOn w:val="BodyText"/>
    <w:next w:val="Normal"/>
    <w:link w:val="Heading2Char"/>
    <w:uiPriority w:val="9"/>
    <w:unhideWhenUsed/>
    <w:qFormat/>
    <w:rsid w:val="00DC553D"/>
    <w:pPr>
      <w:widowControl w:val="0"/>
      <w:spacing w:before="120" w:after="0" w:line="240" w:lineRule="auto"/>
      <w:ind w:left="1080"/>
      <w:jc w:val="both"/>
      <w:outlineLvl w:val="1"/>
    </w:pPr>
    <w:rPr>
      <w:rFonts w:ascii="Century Schoolbook" w:eastAsia="Arial" w:hAnsi="Century Schoolbook" w:cs="Times New Roman"/>
      <w:bCs/>
      <w:spacing w:val="-1"/>
      <w:sz w:val="20"/>
      <w:szCs w:val="2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E2C"/>
    <w:pPr>
      <w:ind w:left="720"/>
      <w:contextualSpacing/>
    </w:pPr>
  </w:style>
  <w:style w:type="character" w:styleId="CommentReference">
    <w:name w:val="annotation reference"/>
    <w:basedOn w:val="DefaultParagraphFont"/>
    <w:uiPriority w:val="99"/>
    <w:semiHidden/>
    <w:unhideWhenUsed/>
    <w:rsid w:val="00044E2C"/>
    <w:rPr>
      <w:sz w:val="16"/>
      <w:szCs w:val="16"/>
    </w:rPr>
  </w:style>
  <w:style w:type="paragraph" w:styleId="CommentText">
    <w:name w:val="annotation text"/>
    <w:basedOn w:val="Normal"/>
    <w:link w:val="CommentTextChar"/>
    <w:uiPriority w:val="99"/>
    <w:unhideWhenUsed/>
    <w:rsid w:val="00044E2C"/>
    <w:pPr>
      <w:spacing w:line="240" w:lineRule="auto"/>
    </w:pPr>
    <w:rPr>
      <w:sz w:val="20"/>
      <w:szCs w:val="20"/>
    </w:rPr>
  </w:style>
  <w:style w:type="character" w:customStyle="1" w:styleId="CommentTextChar">
    <w:name w:val="Comment Text Char"/>
    <w:basedOn w:val="DefaultParagraphFont"/>
    <w:link w:val="CommentText"/>
    <w:uiPriority w:val="99"/>
    <w:rsid w:val="00044E2C"/>
    <w:rPr>
      <w:sz w:val="20"/>
      <w:szCs w:val="20"/>
      <w:lang w:val="en-US"/>
    </w:rPr>
  </w:style>
  <w:style w:type="table" w:styleId="TableGrid">
    <w:name w:val="Table Grid"/>
    <w:basedOn w:val="TableNormal"/>
    <w:uiPriority w:val="39"/>
    <w:rsid w:val="0004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4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E2C"/>
    <w:rPr>
      <w:lang w:val="en-US"/>
    </w:rPr>
  </w:style>
  <w:style w:type="paragraph" w:styleId="Footer">
    <w:name w:val="footer"/>
    <w:basedOn w:val="Normal"/>
    <w:link w:val="FooterChar"/>
    <w:uiPriority w:val="99"/>
    <w:unhideWhenUsed/>
    <w:rsid w:val="00044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E2C"/>
    <w:rPr>
      <w:lang w:val="en-US"/>
    </w:rPr>
  </w:style>
  <w:style w:type="paragraph" w:styleId="BalloonText">
    <w:name w:val="Balloon Text"/>
    <w:basedOn w:val="Normal"/>
    <w:link w:val="BalloonTextChar"/>
    <w:uiPriority w:val="99"/>
    <w:semiHidden/>
    <w:unhideWhenUsed/>
    <w:rsid w:val="00044E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E2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044E2C"/>
    <w:rPr>
      <w:b/>
      <w:bCs/>
    </w:rPr>
  </w:style>
  <w:style w:type="character" w:customStyle="1" w:styleId="CommentSubjectChar">
    <w:name w:val="Comment Subject Char"/>
    <w:basedOn w:val="CommentTextChar"/>
    <w:link w:val="CommentSubject"/>
    <w:uiPriority w:val="99"/>
    <w:semiHidden/>
    <w:rsid w:val="00044E2C"/>
    <w:rPr>
      <w:b/>
      <w:bCs/>
      <w:sz w:val="20"/>
      <w:szCs w:val="20"/>
      <w:lang w:val="en-US"/>
    </w:rPr>
  </w:style>
  <w:style w:type="paragraph" w:styleId="FootnoteText">
    <w:name w:val="footnote text"/>
    <w:basedOn w:val="Normal"/>
    <w:link w:val="FootnoteTextChar"/>
    <w:uiPriority w:val="99"/>
    <w:unhideWhenUsed/>
    <w:rsid w:val="00415FC4"/>
    <w:pPr>
      <w:spacing w:after="0" w:line="240" w:lineRule="auto"/>
    </w:pPr>
    <w:rPr>
      <w:sz w:val="20"/>
      <w:szCs w:val="20"/>
    </w:rPr>
  </w:style>
  <w:style w:type="character" w:customStyle="1" w:styleId="FootnoteTextChar">
    <w:name w:val="Footnote Text Char"/>
    <w:basedOn w:val="DefaultParagraphFont"/>
    <w:link w:val="FootnoteText"/>
    <w:uiPriority w:val="99"/>
    <w:rsid w:val="00415FC4"/>
    <w:rPr>
      <w:sz w:val="20"/>
      <w:szCs w:val="20"/>
      <w:lang w:val="en-US"/>
    </w:rPr>
  </w:style>
  <w:style w:type="character" w:styleId="FootnoteReference">
    <w:name w:val="footnote reference"/>
    <w:basedOn w:val="DefaultParagraphFont"/>
    <w:uiPriority w:val="99"/>
    <w:semiHidden/>
    <w:unhideWhenUsed/>
    <w:rsid w:val="00415FC4"/>
    <w:rPr>
      <w:vertAlign w:val="superscript"/>
    </w:rPr>
  </w:style>
  <w:style w:type="paragraph" w:styleId="NoSpacing">
    <w:name w:val="No Spacing"/>
    <w:link w:val="NoSpacingChar"/>
    <w:uiPriority w:val="1"/>
    <w:qFormat/>
    <w:rsid w:val="00C90DC0"/>
    <w:pPr>
      <w:spacing w:after="0" w:line="240" w:lineRule="auto"/>
    </w:pPr>
    <w:rPr>
      <w:lang w:val="en-US"/>
    </w:rPr>
  </w:style>
  <w:style w:type="character" w:styleId="UnresolvedMention">
    <w:name w:val="Unresolved Mention"/>
    <w:basedOn w:val="DefaultParagraphFont"/>
    <w:uiPriority w:val="99"/>
    <w:unhideWhenUsed/>
    <w:rsid w:val="00AE7CD8"/>
    <w:rPr>
      <w:color w:val="605E5C"/>
      <w:shd w:val="clear" w:color="auto" w:fill="E1DFDD"/>
    </w:rPr>
  </w:style>
  <w:style w:type="character" w:styleId="Mention">
    <w:name w:val="Mention"/>
    <w:basedOn w:val="DefaultParagraphFont"/>
    <w:uiPriority w:val="99"/>
    <w:unhideWhenUsed/>
    <w:rsid w:val="00AE7CD8"/>
    <w:rPr>
      <w:color w:val="2B579A"/>
      <w:shd w:val="clear" w:color="auto" w:fill="E1DFDD"/>
    </w:rPr>
  </w:style>
  <w:style w:type="paragraph" w:styleId="Revision">
    <w:name w:val="Revision"/>
    <w:hidden/>
    <w:uiPriority w:val="99"/>
    <w:semiHidden/>
    <w:rsid w:val="002D11D3"/>
    <w:pPr>
      <w:spacing w:after="0" w:line="240" w:lineRule="auto"/>
    </w:pPr>
    <w:rPr>
      <w:lang w:val="en-US"/>
    </w:rPr>
  </w:style>
  <w:style w:type="character" w:styleId="Hyperlink">
    <w:name w:val="Hyperlink"/>
    <w:basedOn w:val="DefaultParagraphFont"/>
    <w:uiPriority w:val="99"/>
    <w:unhideWhenUsed/>
    <w:rsid w:val="001C0599"/>
    <w:rPr>
      <w:color w:val="638C1C" w:themeColor="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D9FF88" w:themeColor="accent1" w:themeTint="66"/>
        <w:left w:val="single" w:sz="4" w:space="0" w:color="D9FF88" w:themeColor="accent1" w:themeTint="66"/>
        <w:bottom w:val="single" w:sz="4" w:space="0" w:color="D9FF88" w:themeColor="accent1" w:themeTint="66"/>
        <w:right w:val="single" w:sz="4" w:space="0" w:color="D9FF88" w:themeColor="accent1" w:themeTint="66"/>
        <w:insideH w:val="single" w:sz="4" w:space="0" w:color="D9FF88" w:themeColor="accent1" w:themeTint="66"/>
        <w:insideV w:val="single" w:sz="4" w:space="0" w:color="D9FF88" w:themeColor="accent1" w:themeTint="66"/>
      </w:tblBorders>
    </w:tblPr>
    <w:tblStylePr w:type="firstRow">
      <w:rPr>
        <w:b/>
        <w:bCs/>
      </w:rPr>
      <w:tblPr/>
      <w:tcPr>
        <w:tcBorders>
          <w:bottom w:val="single" w:sz="12" w:space="0" w:color="C7FF4C" w:themeColor="accent1" w:themeTint="99"/>
        </w:tcBorders>
      </w:tcPr>
    </w:tblStylePr>
    <w:tblStylePr w:type="lastRow">
      <w:rPr>
        <w:b/>
        <w:bCs/>
      </w:rPr>
      <w:tblPr/>
      <w:tcPr>
        <w:tcBorders>
          <w:top w:val="double" w:sz="2" w:space="0" w:color="C7FF4C"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B8BBBE" w:themeColor="text1" w:themeTint="66"/>
        <w:left w:val="single" w:sz="4" w:space="0" w:color="B8BBBE" w:themeColor="text1" w:themeTint="66"/>
        <w:bottom w:val="single" w:sz="4" w:space="0" w:color="B8BBBE" w:themeColor="text1" w:themeTint="66"/>
        <w:right w:val="single" w:sz="4" w:space="0" w:color="B8BBBE" w:themeColor="text1" w:themeTint="66"/>
        <w:insideH w:val="single" w:sz="4" w:space="0" w:color="B8BBBE" w:themeColor="text1" w:themeTint="66"/>
        <w:insideV w:val="single" w:sz="4" w:space="0" w:color="B8BBBE" w:themeColor="text1" w:themeTint="66"/>
      </w:tblBorders>
    </w:tblPr>
    <w:tblStylePr w:type="firstRow">
      <w:rPr>
        <w:b/>
        <w:bCs/>
      </w:rPr>
      <w:tblPr/>
      <w:tcPr>
        <w:tcBorders>
          <w:bottom w:val="single" w:sz="12" w:space="0" w:color="959A9E" w:themeColor="text1" w:themeTint="99"/>
        </w:tcBorders>
      </w:tcPr>
    </w:tblStylePr>
    <w:tblStylePr w:type="lastRow">
      <w:rPr>
        <w:b/>
        <w:bCs/>
      </w:rPr>
      <w:tblPr/>
      <w:tcPr>
        <w:tcBorders>
          <w:top w:val="double" w:sz="2" w:space="0" w:color="959A9E"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DC553D"/>
    <w:rPr>
      <w:rFonts w:ascii="Century Schoolbook" w:eastAsia="Arial" w:hAnsi="Century Schoolbook" w:cs="Times New Roman"/>
      <w:bCs/>
      <w:spacing w:val="-1"/>
      <w:sz w:val="20"/>
      <w:szCs w:val="20"/>
      <w:u w:color="000000"/>
      <w:lang w:val="en-US"/>
    </w:rPr>
  </w:style>
  <w:style w:type="paragraph" w:customStyle="1" w:styleId="Default">
    <w:name w:val="Default"/>
    <w:rsid w:val="00DC553D"/>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BodyText">
    <w:name w:val="Body Text"/>
    <w:basedOn w:val="Normal"/>
    <w:link w:val="BodyTextChar"/>
    <w:uiPriority w:val="99"/>
    <w:semiHidden/>
    <w:unhideWhenUsed/>
    <w:rsid w:val="00DC553D"/>
    <w:pPr>
      <w:spacing w:after="120"/>
    </w:pPr>
  </w:style>
  <w:style w:type="character" w:customStyle="1" w:styleId="BodyTextChar">
    <w:name w:val="Body Text Char"/>
    <w:basedOn w:val="DefaultParagraphFont"/>
    <w:link w:val="BodyText"/>
    <w:uiPriority w:val="99"/>
    <w:semiHidden/>
    <w:rsid w:val="00DC553D"/>
    <w:rPr>
      <w:lang w:val="en-US"/>
    </w:rPr>
  </w:style>
  <w:style w:type="paragraph" w:styleId="NormalWeb">
    <w:name w:val="Normal (Web)"/>
    <w:basedOn w:val="Normal"/>
    <w:uiPriority w:val="99"/>
    <w:unhideWhenUsed/>
    <w:rsid w:val="00DC553D"/>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E2CAF"/>
    <w:rPr>
      <w:color w:val="638C1C" w:themeColor="followedHyperlink"/>
      <w:u w:val="single"/>
    </w:rPr>
  </w:style>
  <w:style w:type="paragraph" w:customStyle="1" w:styleId="DeliverableTitle">
    <w:name w:val="Deliverable Title"/>
    <w:basedOn w:val="Normal"/>
    <w:rsid w:val="001E3908"/>
    <w:pPr>
      <w:framePr w:hSpace="187" w:wrap="around" w:hAnchor="margin" w:y="-2001"/>
      <w:spacing w:after="0" w:line="240" w:lineRule="auto"/>
    </w:pPr>
    <w:rPr>
      <w:rFonts w:ascii="Arial" w:eastAsia="Times New Roman" w:hAnsi="Arial" w:cs="Times New Roman"/>
      <w:b/>
      <w:color w:val="3A4972"/>
      <w:sz w:val="36"/>
      <w:szCs w:val="24"/>
    </w:rPr>
  </w:style>
  <w:style w:type="paragraph" w:customStyle="1" w:styleId="DeliverableSub-Title">
    <w:name w:val="Deliverable Sub-Title"/>
    <w:basedOn w:val="Normal"/>
    <w:rsid w:val="001E3908"/>
    <w:pPr>
      <w:spacing w:after="0" w:line="240" w:lineRule="auto"/>
    </w:pPr>
    <w:rPr>
      <w:rFonts w:ascii="Arial" w:eastAsia="Times New Roman" w:hAnsi="Arial" w:cs="Times New Roman"/>
      <w:color w:val="3A4972"/>
      <w:sz w:val="32"/>
      <w:szCs w:val="24"/>
    </w:rPr>
  </w:style>
  <w:style w:type="paragraph" w:customStyle="1" w:styleId="DeliverableDate">
    <w:name w:val="Deliverable Date"/>
    <w:basedOn w:val="Normal"/>
    <w:rsid w:val="001E3908"/>
    <w:pPr>
      <w:framePr w:hSpace="187" w:wrap="around" w:hAnchor="margin" w:y="-2001"/>
      <w:spacing w:after="0" w:line="240" w:lineRule="auto"/>
    </w:pPr>
    <w:rPr>
      <w:rFonts w:ascii="Arial" w:eastAsia="Times New Roman" w:hAnsi="Arial" w:cs="Times New Roman"/>
      <w:color w:val="3A4972"/>
      <w:szCs w:val="24"/>
    </w:rPr>
  </w:style>
  <w:style w:type="character" w:styleId="Emphasis">
    <w:name w:val="Emphasis"/>
    <w:basedOn w:val="DefaultParagraphFont"/>
    <w:uiPriority w:val="20"/>
    <w:qFormat/>
    <w:rsid w:val="00A12EA9"/>
    <w:rPr>
      <w:i/>
      <w:iCs/>
    </w:rPr>
  </w:style>
  <w:style w:type="paragraph" w:customStyle="1" w:styleId="paragraph">
    <w:name w:val="paragraph"/>
    <w:basedOn w:val="Normal"/>
    <w:rsid w:val="003612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612CE"/>
  </w:style>
  <w:style w:type="character" w:customStyle="1" w:styleId="contextualspellingandgrammarerror">
    <w:name w:val="contextualspellingandgrammarerror"/>
    <w:basedOn w:val="DefaultParagraphFont"/>
    <w:rsid w:val="00D219BE"/>
  </w:style>
  <w:style w:type="paragraph" w:customStyle="1" w:styleId="indent-1">
    <w:name w:val="indent-1"/>
    <w:basedOn w:val="Normal"/>
    <w:rsid w:val="00077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0772E7"/>
  </w:style>
  <w:style w:type="character" w:customStyle="1" w:styleId="paren">
    <w:name w:val="paren"/>
    <w:basedOn w:val="DefaultParagraphFont"/>
    <w:rsid w:val="000772E7"/>
  </w:style>
  <w:style w:type="paragraph" w:styleId="Caption">
    <w:name w:val="caption"/>
    <w:basedOn w:val="Normal"/>
    <w:next w:val="Normal"/>
    <w:uiPriority w:val="35"/>
    <w:unhideWhenUsed/>
    <w:qFormat/>
    <w:rsid w:val="00635EE4"/>
    <w:pPr>
      <w:spacing w:after="200" w:line="240" w:lineRule="auto"/>
    </w:pPr>
    <w:rPr>
      <w:i/>
      <w:iCs/>
      <w:color w:val="53575A" w:themeColor="text2"/>
      <w:sz w:val="18"/>
      <w:szCs w:val="18"/>
    </w:rPr>
  </w:style>
  <w:style w:type="character" w:customStyle="1" w:styleId="NoSpacingChar">
    <w:name w:val="No Spacing Char"/>
    <w:basedOn w:val="DefaultParagraphFont"/>
    <w:link w:val="NoSpacing"/>
    <w:uiPriority w:val="1"/>
    <w:rsid w:val="00581511"/>
    <w:rPr>
      <w:lang w:val="en-US"/>
    </w:rPr>
  </w:style>
  <w:style w:type="character" w:customStyle="1" w:styleId="ListParagraphChar">
    <w:name w:val="List Paragraph Char"/>
    <w:basedOn w:val="DefaultParagraphFont"/>
    <w:link w:val="ListParagraph"/>
    <w:uiPriority w:val="34"/>
    <w:rsid w:val="0058151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hyperlink" Target="https://home.treasury.gov/system/files/136/SLFRF-Compliance-Statement.pdf" TargetMode="External" /><Relationship Id="rId12" Type="http://schemas.openxmlformats.org/officeDocument/2006/relationships/hyperlink" Target="https://www.federalregister.gov/documents/2022/01/27/2022-00292/coronavirus-state-and-local-fiscal-recovery-funds" TargetMode="External" /><Relationship Id="rId13" Type="http://schemas.openxmlformats.org/officeDocument/2006/relationships/hyperlink" Target="https://home.treasury.gov/system/files/136/SLFRF-Final-Rule-FAQ.pdf" TargetMode="External" /><Relationship Id="rId14" Type="http://schemas.openxmlformats.org/officeDocument/2006/relationships/hyperlink" Target="https://www.ecfr.gov/current/title-2/subtitle-A/chapter-II/part-200" TargetMode="External" /><Relationship Id="rId15" Type="http://schemas.openxmlformats.org/officeDocument/2006/relationships/hyperlink" Target="https://www.cfo.gov/assets/files/21.027%20Treasury%20SLFRF%20Technical%20Update%20-%20Final%20%2004%2004%2022.pdf" TargetMode="External" /><Relationship Id="rId16" Type="http://schemas.openxmlformats.org/officeDocument/2006/relationships/hyperlink" Target="https://home.treasury.gov/system/files/136/21.027-SLFRF-2022-Compliance-Supplement.pdf" TargetMode="External" /><Relationship Id="rId17" Type="http://schemas.openxmlformats.org/officeDocument/2006/relationships/hyperlink" Target="https://sam.gov/fal/7cecfdef62dc42729a3fdcd449bd62b8/view" TargetMode="External" /><Relationship Id="rId18" Type="http://schemas.openxmlformats.org/officeDocument/2006/relationships/hyperlink" Target="https://www.whitehouse.gov/briefing-room/presidential-actions/2021/01/20/executive-order-advancing-racial-equity-and-support-for-underserved-communities-through-the-federal-government/" TargetMode="External" /><Relationship Id="rId19" Type="http://schemas.openxmlformats.org/officeDocument/2006/relationships/hyperlink" Target="https://www.whitehouse.gov/wp-content/uploads/2021/03/M_21_20.pdf" TargetMode="External" /><Relationship Id="rId2" Type="http://schemas.openxmlformats.org/officeDocument/2006/relationships/settings" Target="settings.xml" /><Relationship Id="rId20" Type="http://schemas.openxmlformats.org/officeDocument/2006/relationships/hyperlink" Target="https://www.whitehouse.gov/wp-content/uploads/2020/04/Implementation-Guidance-for-Supplemental-Funding-Provided-in-Response.pdf" TargetMode="External" /><Relationship Id="rId21" Type="http://schemas.openxmlformats.org/officeDocument/2006/relationships/hyperlink" Target="https://www.sam.gov" TargetMode="External" /><Relationship Id="rId22" Type="http://schemas.openxmlformats.org/officeDocument/2006/relationships/hyperlink" Target="https://www.whitehouse.gov/omb/office-federal-financial-management/" TargetMode="External" /><Relationship Id="rId23" Type="http://schemas.openxmlformats.org/officeDocument/2006/relationships/hyperlink" Target="https://facweb.census.gov/uploadpdf.aspx" TargetMode="External" /><Relationship Id="rId24" Type="http://schemas.openxmlformats.org/officeDocument/2006/relationships/hyperlink" Target="https://www.justice.gov/crt/28-cfr-42401-42415" TargetMode="External" /><Relationship Id="rId25" Type="http://schemas.openxmlformats.org/officeDocument/2006/relationships/hyperlink" Target="http://www.treasury.gov/SLFRPReporting" TargetMode="External" /><Relationship Id="rId26" Type="http://schemas.openxmlformats.org/officeDocument/2006/relationships/hyperlink" Target="http://www.treasury.gov/SLFRP" TargetMode="External" /><Relationship Id="rId27" Type="http://schemas.openxmlformats.org/officeDocument/2006/relationships/hyperlink" Target="https://ies.ed.gov/ncee/wwc/" TargetMode="External" /><Relationship Id="rId28" Type="http://schemas.openxmlformats.org/officeDocument/2006/relationships/hyperlink" Target="https://clear.dol.gov/" TargetMode="External" /><Relationship Id="rId29" Type="http://schemas.openxmlformats.org/officeDocument/2006/relationships/hyperlink" Target="https://www.acf.hhs.gov/opre/research-and-evaluation-clearinghouses" TargetMode="External" /><Relationship Id="rId3" Type="http://schemas.openxmlformats.org/officeDocument/2006/relationships/webSettings" Target="webSettings.xml" /><Relationship Id="rId30" Type="http://schemas.openxmlformats.org/officeDocument/2006/relationships/hyperlink" Target="https://home.treasury.gov/system/files/136/NEU_Guidance.pdf" TargetMode="External" /><Relationship Id="rId31" Type="http://schemas.openxmlformats.org/officeDocument/2006/relationships/hyperlink" Target="https://oese.ed.gov/files/2021/05/ESSER.GEER_.FAQs_5.26.21_745AM_FINALb0cd6833f6f46e03ba2d97d30aff953260028045f9ef3b18ea602db4b32b1d99.pdf" TargetMode="External" /><Relationship Id="rId32" Type="http://schemas.openxmlformats.org/officeDocument/2006/relationships/header" Target="header1.xml" /><Relationship Id="rId33" Type="http://schemas.openxmlformats.org/officeDocument/2006/relationships/footer" Target="footer1.xml" /><Relationship Id="rId34" Type="http://schemas.openxmlformats.org/officeDocument/2006/relationships/footer" Target="footer2.xm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otnotes.xml.rels><?xml version="1.0" encoding="utf-8" standalone="yes"?><Relationships xmlns="http://schemas.openxmlformats.org/package/2006/relationships"><Relationship Id="rId1" Type="http://schemas.openxmlformats.org/officeDocument/2006/relationships/hyperlink" Target="https://home.treasury.gov/system/files/136/SLFRPFAQ.pdf" TargetMode="External" /><Relationship Id="rId2" Type="http://schemas.openxmlformats.org/officeDocument/2006/relationships/hyperlink" Target="https://nces.ed.gov/ccd/districtsearch/" TargetMode="External" /><Relationship Id="rId3" Type="http://schemas.openxmlformats.org/officeDocument/2006/relationships/hyperlink" Target="https://nces.ed.gov/ccd/schoolsearch/" TargetMode="External" /><Relationship Id="rId4" Type="http://schemas.openxmlformats.org/officeDocument/2006/relationships/hyperlink" Target="https://www2.ed.gov/documents/coronavirus/reopening-2.pdf" TargetMode="External" /><Relationship Id="rId5" Type="http://schemas.openxmlformats.org/officeDocument/2006/relationships/hyperlink" Target="https://www.whitehouse.gov/briefing-room/presidential-actions/2021/01/27/executive-order-on-tackling-the-climate-crisis-at-home-and-abroad/" TargetMode="External" /><Relationship Id="rId6" Type="http://schemas.openxmlformats.org/officeDocument/2006/relationships/hyperlink" Target="https://www.whitehouse.gov/wp-content/uploads/2021/07/M-21-28.pdf" TargetMode="External" /><Relationship Id="rId7" Type="http://schemas.openxmlformats.org/officeDocument/2006/relationships/hyperlink" Target="https://www.whitehouse.gov/wp-content/uploads/2019/07/M-19-23.pdf" TargetMode="External" /><Relationship Id="rId8" Type="http://schemas.openxmlformats.org/officeDocument/2006/relationships/hyperlink" Target="https://www.whitehouse.gov/wp-content/uploads/2020/03/M-20-12.pdf"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Navigant Color Palette_Word">
  <a:themeElements>
    <a:clrScheme name="Custom 2">
      <a:dk1>
        <a:srgbClr val="53575A"/>
      </a:dk1>
      <a:lt1>
        <a:srgbClr val="FFFFFF"/>
      </a:lt1>
      <a:dk2>
        <a:srgbClr val="53575A"/>
      </a:dk2>
      <a:lt2>
        <a:srgbClr val="FFFFFF"/>
      </a:lt2>
      <a:accent1>
        <a:srgbClr val="93D500"/>
      </a:accent1>
      <a:accent2>
        <a:srgbClr val="638C1C"/>
      </a:accent2>
      <a:accent3>
        <a:srgbClr val="53575A"/>
      </a:accent3>
      <a:accent4>
        <a:srgbClr val="095540"/>
      </a:accent4>
      <a:accent5>
        <a:srgbClr val="863399"/>
      </a:accent5>
      <a:accent6>
        <a:srgbClr val="0069A7"/>
      </a:accent6>
      <a:hlink>
        <a:srgbClr val="638C1C"/>
      </a:hlink>
      <a:folHlink>
        <a:srgbClr val="638C1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viewed xmlns="478b807d-6a4d-4e8c-be22-08dab40d7d86">No</Reviewed>
    <To_x0020_Review xmlns="478b807d-6a4d-4e8c-be22-08dab40d7d86">
      <Value>OGC</Value>
    </To_x0020_Review>
    <ARP_x0020_Program xmlns="f70e41de-0fe8-47d8-bae5-96f488b1d7ac">State and Local Recovery Fund</ARP_x0020_Program>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F4B334F8331864289C339BC271DB812" ma:contentTypeVersion="2" ma:contentTypeDescription="Create a new document." ma:contentTypeScope="" ma:versionID="8c4b55f928091e0f7115458da4601d07">
  <xsd:schema xmlns:xsd="http://www.w3.org/2001/XMLSchema" xmlns:xs="http://www.w3.org/2001/XMLSchema" xmlns:p="http://schemas.microsoft.com/office/2006/metadata/properties" xmlns:ns2="f70e41de-0fe8-47d8-bae5-96f488b1d7ac" xmlns:ns3="478b807d-6a4d-4e8c-be22-08dab40d7d86" xmlns:ns4="354ab5d5-3917-4d2c-a72e-c43f200ca589" targetNamespace="http://schemas.microsoft.com/office/2006/metadata/properties" ma:root="true" ma:fieldsID="bbd9df379e86a1d9edb75a4ff672fbb3" ns2:_="" ns3:_="" ns4:_="">
    <xsd:import namespace="f70e41de-0fe8-47d8-bae5-96f488b1d7ac"/>
    <xsd:import namespace="478b807d-6a4d-4e8c-be22-08dab40d7d86"/>
    <xsd:import namespace="354ab5d5-3917-4d2c-a72e-c43f200ca589"/>
    <xsd:element name="properties">
      <xsd:complexType>
        <xsd:sequence>
          <xsd:element name="documentManagement">
            <xsd:complexType>
              <xsd:all>
                <xsd:element ref="ns2:ARP_x0020_Program" minOccurs="0"/>
                <xsd:element ref="ns3:To_x0020_Review" minOccurs="0"/>
                <xsd:element ref="ns3:Reviewed" minOccurs="0"/>
                <xsd:element ref="ns4:_dlc_DocId" minOccurs="0"/>
                <xsd:element ref="ns4:_dlc_DocIdUrl" minOccurs="0"/>
                <xsd:element ref="ns4: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2" nillable="true" ma:displayName="ARP Program" ma:default="State and Local Recovery Fund"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xsd="http://www.w3.org/2001/XMLSchema" xmlns:xs="http://www.w3.org/2001/XMLSchema" xmlns:dms="http://schemas.microsoft.com/office/2006/documentManagement/types" xmlns:pc="http://schemas.microsoft.com/office/infopath/2007/PartnerControls" targetNamespace="478b807d-6a4d-4e8c-be22-08dab40d7d86" elementFormDefault="qualified">
    <xsd:import namespace="http://schemas.microsoft.com/office/2006/documentManagement/types"/>
    <xsd:import namespace="http://schemas.microsoft.com/office/infopath/2007/PartnerControls"/>
    <xsd:element name="To_x0020_Review" ma:index="3" nillable="true" ma:displayName="Groups to Review" ma:default="OGC" ma:internalName="To_x0020_Review">
      <xsd:complexType>
        <xsd:complexContent>
          <xsd:extension base="dms:MultiChoice">
            <xsd:sequence>
              <xsd:element name="Value" maxOccurs="unbounded" minOccurs="0" nillable="true">
                <xsd:simpleType>
                  <xsd:restriction base="dms:Choice">
                    <xsd:enumeration value="OGC"/>
                    <xsd:enumeration value="LA"/>
                    <xsd:enumeration value="PA"/>
                  </xsd:restriction>
                </xsd:simpleType>
              </xsd:element>
            </xsd:sequence>
          </xsd:extension>
        </xsd:complexContent>
      </xsd:complexType>
    </xsd:element>
    <xsd:element name="Reviewed" ma:index="4" nillable="true" ma:displayName="Reviewed" ma:default="No" ma:format="Dropdown" ma:internalName="Reviewed">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0E3566D-3F3D-4D39-AD31-84E77AE2EEBC}">
  <ds:schemaRefs>
    <ds:schemaRef ds:uri="http://schemas.microsoft.com/sharepoint/v3/contenttype/forms"/>
  </ds:schemaRefs>
</ds:datastoreItem>
</file>

<file path=customXml/itemProps2.xml><?xml version="1.0" encoding="utf-8"?>
<ds:datastoreItem xmlns:ds="http://schemas.openxmlformats.org/officeDocument/2006/customXml" ds:itemID="{FEBBE9B5-14B0-429A-B6DA-D62B083B23DB}">
  <ds:schemaRefs>
    <ds:schemaRef ds:uri="http://schemas.microsoft.com/office/2006/metadata/properties"/>
    <ds:schemaRef ds:uri="http://schemas.microsoft.com/office/infopath/2007/PartnerControls"/>
    <ds:schemaRef ds:uri="478b807d-6a4d-4e8c-be22-08dab40d7d86"/>
    <ds:schemaRef ds:uri="f70e41de-0fe8-47d8-bae5-96f488b1d7ac"/>
  </ds:schemaRefs>
</ds:datastoreItem>
</file>

<file path=customXml/itemProps3.xml><?xml version="1.0" encoding="utf-8"?>
<ds:datastoreItem xmlns:ds="http://schemas.openxmlformats.org/officeDocument/2006/customXml" ds:itemID="{A88B6561-214F-41AA-A5A4-BF791480B0CC}">
  <ds:schemaRefs>
    <ds:schemaRef ds:uri="http://schemas.openxmlformats.org/officeDocument/2006/bibliography"/>
  </ds:schemaRefs>
</ds:datastoreItem>
</file>

<file path=customXml/itemProps4.xml><?xml version="1.0" encoding="utf-8"?>
<ds:datastoreItem xmlns:ds="http://schemas.openxmlformats.org/officeDocument/2006/customXml" ds:itemID="{873CFC95-B6D5-4C54-8863-3423FD292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e41de-0fe8-47d8-bae5-96f488b1d7ac"/>
    <ds:schemaRef ds:uri="478b807d-6a4d-4e8c-be22-08dab40d7d86"/>
    <ds:schemaRef ds:uri="354ab5d5-3917-4d2c-a72e-c43f200ca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0FB83E7-5204-4D3B-9BAA-1F0780F6398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22245</Words>
  <Characters>126802</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2023-06-02T16:39:00Z</dcterms:created>
  <dcterms:modified xsi:type="dcterms:W3CDTF">2023-06-02T16:39:00Z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0x010100EF4B334F8331864289C339BC271DB812</vt:lpwstr>
  </property>
</Properties>
</file>