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45CA" w:rsidRPr="00DF449E" w:rsidP="009F4D1C" w14:paraId="5EC9B0B8" w14:textId="77777777">
      <w:pPr>
        <w:jc w:val="center"/>
      </w:pPr>
      <w:r w:rsidRPr="00DF449E">
        <w:t>Department of the Treasury</w:t>
      </w:r>
    </w:p>
    <w:p w:rsidR="00857B7C" w:rsidRPr="00DF449E" w:rsidP="009F4D1C" w14:paraId="7A8D6BBD" w14:textId="77777777">
      <w:pPr>
        <w:jc w:val="center"/>
      </w:pPr>
      <w:r w:rsidRPr="00DF449E">
        <w:t>Information Collection Request – Supporting Statement</w:t>
      </w:r>
    </w:p>
    <w:p w:rsidR="00857B7C" w:rsidRPr="00DF449E" w:rsidP="009F4D1C" w14:paraId="1E6B3D41" w14:textId="77777777">
      <w:pPr>
        <w:jc w:val="center"/>
      </w:pPr>
    </w:p>
    <w:p w:rsidR="00605173" w:rsidRPr="00DF449E" w:rsidP="00605173" w14:paraId="1319A961" w14:textId="2ABDADA4">
      <w:pPr>
        <w:jc w:val="center"/>
      </w:pPr>
      <w:r w:rsidRPr="00DF449E">
        <w:t>Coronavirus State and Local Fiscal Recovery Funds</w:t>
      </w:r>
    </w:p>
    <w:p w:rsidR="00110D39" w:rsidRPr="00DF449E" w:rsidP="00512B62" w14:paraId="5A839BA5" w14:textId="1FCF5BC3">
      <w:pPr>
        <w:jc w:val="center"/>
      </w:pPr>
      <w:r w:rsidRPr="00A8753E">
        <w:t>OMB No.</w:t>
      </w:r>
      <w:r w:rsidRPr="00DF449E">
        <w:t xml:space="preserve"> </w:t>
      </w:r>
      <w:r w:rsidR="00207494">
        <w:t>1505-0271</w:t>
      </w:r>
    </w:p>
    <w:p w:rsidR="00A73FE3" w:rsidRPr="000E26DB" w:rsidP="00857B7C" w14:paraId="6BD41F69" w14:textId="42B29921">
      <w:pPr>
        <w:rPr>
          <w:b/>
          <w:bCs/>
        </w:rPr>
      </w:pPr>
      <w:r w:rsidRPr="00A8753E">
        <w:t xml:space="preserve"> </w:t>
      </w:r>
      <w:r w:rsidRPr="001670B8">
        <w:rPr>
          <w:b/>
          <w:bCs/>
        </w:rPr>
        <w:t>Part A.</w:t>
      </w:r>
      <w:r w:rsidRPr="00A8753E">
        <w:rPr>
          <w:b/>
          <w:bCs/>
        </w:rPr>
        <w:t xml:space="preserve"> J</w:t>
      </w:r>
      <w:r w:rsidRPr="000E26DB" w:rsidR="00857B7C">
        <w:rPr>
          <w:b/>
          <w:bCs/>
        </w:rPr>
        <w:t>ustification</w:t>
      </w:r>
    </w:p>
    <w:p w:rsidR="00857B7C" w:rsidRPr="00DF449E" w:rsidP="009E2FFF" w14:paraId="43C5FBC0" w14:textId="77777777">
      <w:pPr>
        <w:pStyle w:val="ListParagraph"/>
      </w:pPr>
    </w:p>
    <w:p w:rsidR="00B50861" w:rsidRPr="00DF449E" w:rsidP="009E2FFF" w14:paraId="1D57D14A" w14:textId="77777777">
      <w:pPr>
        <w:numPr>
          <w:ilvl w:val="0"/>
          <w:numId w:val="12"/>
        </w:numPr>
        <w:tabs>
          <w:tab w:val="clear" w:pos="720"/>
        </w:tabs>
        <w:ind w:left="270" w:hanging="270"/>
        <w:rPr>
          <w:u w:val="single"/>
        </w:rPr>
      </w:pPr>
      <w:r w:rsidRPr="00DF449E">
        <w:t xml:space="preserve"> </w:t>
      </w:r>
      <w:r w:rsidRPr="00DF449E">
        <w:rPr>
          <w:u w:val="single"/>
        </w:rPr>
        <w:t>Circumstances necessitating the collection of information</w:t>
      </w:r>
    </w:p>
    <w:p w:rsidR="009B60FB" w:rsidRPr="00DF449E" w:rsidP="009B60FB" w14:paraId="537A83D9" w14:textId="77777777"/>
    <w:p w:rsidR="00A77609" w:rsidRPr="00EC724C" w:rsidP="00A77609" w14:paraId="46097400" w14:textId="251B2FB0">
      <w:pPr>
        <w:rPr>
          <w:bCs/>
        </w:rPr>
      </w:pPr>
      <w:bookmarkStart w:id="0" w:name="_Hlk60659475"/>
      <w:r w:rsidRPr="003E087B">
        <w:rPr>
          <w:rFonts w:cs="Calibri"/>
        </w:rPr>
        <w:t xml:space="preserve">Sections 602 and 603 </w:t>
      </w:r>
      <w:bookmarkStart w:id="1" w:name="_Hlk69924720"/>
      <w:bookmarkStart w:id="2" w:name="_Hlk69925490"/>
      <w:r w:rsidRPr="003E087B">
        <w:rPr>
          <w:rFonts w:cs="Calibri"/>
        </w:rPr>
        <w:t>of the Social Security Act</w:t>
      </w:r>
      <w:r w:rsidRPr="003E087B">
        <w:rPr>
          <w:rFonts w:cs="Calibri"/>
          <w:bCs/>
        </w:rPr>
        <w:t xml:space="preserve"> </w:t>
      </w:r>
      <w:r w:rsidR="006C3AD6">
        <w:rPr>
          <w:rFonts w:cs="Calibri"/>
          <w:bCs/>
        </w:rPr>
        <w:t xml:space="preserve">(the “Act”), </w:t>
      </w:r>
      <w:r w:rsidRPr="003E087B">
        <w:rPr>
          <w:rFonts w:cs="Calibri"/>
          <w:bCs/>
        </w:rPr>
        <w:t xml:space="preserve">as added by </w:t>
      </w:r>
      <w:r w:rsidRPr="003E087B">
        <w:rPr>
          <w:rFonts w:cs="Calibri"/>
        </w:rPr>
        <w:t xml:space="preserve">section 9901 </w:t>
      </w:r>
      <w:bookmarkEnd w:id="1"/>
      <w:r w:rsidRPr="003E087B">
        <w:rPr>
          <w:rFonts w:cs="Calibri"/>
        </w:rPr>
        <w:t xml:space="preserve">of the </w:t>
      </w:r>
      <w:r w:rsidRPr="00A8753E">
        <w:rPr>
          <w:rFonts w:cs="Calibri"/>
        </w:rPr>
        <w:t>American Rescue Plan Act of 2021</w:t>
      </w:r>
      <w:r w:rsidR="00A3221C">
        <w:rPr>
          <w:rFonts w:cs="Calibri"/>
        </w:rPr>
        <w:t xml:space="preserve"> (“ARPA”)</w:t>
      </w:r>
      <w:r w:rsidRPr="00A8753E">
        <w:rPr>
          <w:rFonts w:cs="Calibri"/>
        </w:rPr>
        <w:t>, Pub. L. No. 117-2 (Mar. 11, 2021</w:t>
      </w:r>
      <w:r w:rsidRPr="00A8753E" w:rsidR="00797CCA">
        <w:rPr>
          <w:rFonts w:cs="Calibri"/>
        </w:rPr>
        <w:t>)</w:t>
      </w:r>
      <w:r w:rsidRPr="00A8753E" w:rsidR="00797CCA">
        <w:rPr>
          <w:rFonts w:cs="Calibri"/>
          <w:bCs/>
          <w:sz w:val="20"/>
          <w:szCs w:val="20"/>
        </w:rPr>
        <w:t xml:space="preserve"> </w:t>
      </w:r>
      <w:r w:rsidRPr="00A8753E" w:rsidR="00797CCA">
        <w:t>authorize</w:t>
      </w:r>
      <w:r w:rsidR="003A4E32">
        <w:t>d</w:t>
      </w:r>
      <w:bookmarkEnd w:id="2"/>
      <w:r w:rsidRPr="00A8753E">
        <w:t xml:space="preserve"> the Coronavirus State Fiscal Recovery Fund </w:t>
      </w:r>
      <w:r w:rsidRPr="00A8753E" w:rsidR="0024558B">
        <w:t>(“</w:t>
      </w:r>
      <w:r w:rsidRPr="00A8753E">
        <w:t>CSFRF</w:t>
      </w:r>
      <w:r w:rsidRPr="00A8753E" w:rsidR="0024558B">
        <w:t>”)</w:t>
      </w:r>
      <w:r w:rsidRPr="00A8753E">
        <w:t xml:space="preserve"> and Coronavirus Local Fiscal Recovery Fund </w:t>
      </w:r>
      <w:r w:rsidRPr="00A8753E" w:rsidR="0024558B">
        <w:t>(“</w:t>
      </w:r>
      <w:r w:rsidRPr="00A8753E">
        <w:t>CLFRF</w:t>
      </w:r>
      <w:r w:rsidRPr="00A8753E" w:rsidR="0024558B">
        <w:t>”)</w:t>
      </w:r>
      <w:r w:rsidRPr="00A8753E">
        <w:t xml:space="preserve"> respectively (referred to as the “Coronavirus State and Local Fiscal Recovery Funds” or “SLFRF</w:t>
      </w:r>
      <w:r w:rsidRPr="00A8753E" w:rsidR="00797CCA">
        <w:t>”)</w:t>
      </w:r>
      <w:r w:rsidRPr="00A8753E" w:rsidR="00705EC4">
        <w:t>.</w:t>
      </w:r>
      <w:r w:rsidR="00705EC4">
        <w:t xml:space="preserve">  The</w:t>
      </w:r>
      <w:r w:rsidR="00BE43F6">
        <w:t xml:space="preserve"> </w:t>
      </w:r>
      <w:r w:rsidR="00EA192C">
        <w:t xml:space="preserve">Coronavirus State and Local Fiscal Recovery Funds </w:t>
      </w:r>
      <w:r>
        <w:t xml:space="preserve">provide $350 billion in total funding </w:t>
      </w:r>
      <w:r w:rsidR="00EA192C">
        <w:t>for</w:t>
      </w:r>
      <w:r>
        <w:t xml:space="preserve"> </w:t>
      </w:r>
      <w:r w:rsidR="008D6850">
        <w:t>the Department of the Treasury (“</w:t>
      </w:r>
      <w:r w:rsidR="007F7F6F">
        <w:t>Treasury</w:t>
      </w:r>
      <w:r w:rsidR="008D6850">
        <w:t>”)</w:t>
      </w:r>
      <w:r>
        <w:t xml:space="preserve"> to make payments to </w:t>
      </w:r>
      <w:bookmarkStart w:id="3" w:name="_Hlk69925316"/>
      <w:r>
        <w:t xml:space="preserve">States (defined to include the District of Columbia), U.S. Territories (defined to include </w:t>
      </w:r>
      <w:r w:rsidRPr="00DD03B1">
        <w:rPr>
          <w:rFonts w:cs="Calibri"/>
        </w:rPr>
        <w:t>Puerto Rico, U.S. Virgin Islands, Guam, Northern Mariana Islands, and American Samoa)</w:t>
      </w:r>
      <w:r>
        <w:t xml:space="preserve">, Tribes, Metropolitan cities, Counties, </w:t>
      </w:r>
      <w:bookmarkEnd w:id="3"/>
      <w:r>
        <w:t xml:space="preserve">Consolidated Governments, and </w:t>
      </w:r>
      <w:r w:rsidR="006C3AD6">
        <w:t xml:space="preserve">(through </w:t>
      </w:r>
      <w:r w:rsidR="00E635B4">
        <w:t>S</w:t>
      </w:r>
      <w:r w:rsidR="006C3AD6">
        <w:t xml:space="preserve">tates) </w:t>
      </w:r>
      <w:r>
        <w:t>Nonentitlement</w:t>
      </w:r>
      <w:r>
        <w:t xml:space="preserve"> units of local government </w:t>
      </w:r>
      <w:r w:rsidR="000A03BB">
        <w:t>(</w:t>
      </w:r>
      <w:r w:rsidR="00FB65CA">
        <w:t>“</w:t>
      </w:r>
      <w:r w:rsidR="000A03BB">
        <w:t>NEUs</w:t>
      </w:r>
      <w:r w:rsidR="00FB65CA">
        <w:t>”</w:t>
      </w:r>
      <w:r w:rsidR="000A03BB">
        <w:t xml:space="preserve">) </w:t>
      </w:r>
      <w:r w:rsidRPr="008268EE" w:rsidR="00D530BF">
        <w:t xml:space="preserve">(collectively the “eligible </w:t>
      </w:r>
      <w:r w:rsidR="00D530BF">
        <w:t>entiti</w:t>
      </w:r>
      <w:r w:rsidRPr="008268EE" w:rsidR="00D530BF">
        <w:t>es”)</w:t>
      </w:r>
      <w:r>
        <w:t xml:space="preserve"> to </w:t>
      </w:r>
      <w:r w:rsidR="002F1B6C">
        <w:t xml:space="preserve">(1) </w:t>
      </w:r>
      <w:r>
        <w:rPr>
          <w:bCs/>
        </w:rPr>
        <w:t>r</w:t>
      </w:r>
      <w:r w:rsidRPr="00EC724C">
        <w:rPr>
          <w:bCs/>
        </w:rPr>
        <w:t>espond to the COVID-19 public health emergency or its negative economic impact</w:t>
      </w:r>
      <w:r w:rsidR="00EA192C">
        <w:rPr>
          <w:bCs/>
        </w:rPr>
        <w:t>s</w:t>
      </w:r>
      <w:r w:rsidRPr="00EC724C">
        <w:rPr>
          <w:bCs/>
        </w:rPr>
        <w:t xml:space="preserve">, including </w:t>
      </w:r>
      <w:r w:rsidR="00705EC4">
        <w:rPr>
          <w:bCs/>
        </w:rPr>
        <w:t xml:space="preserve">providing </w:t>
      </w:r>
      <w:r w:rsidRPr="00EC724C">
        <w:rPr>
          <w:bCs/>
        </w:rPr>
        <w:t>assistance to households, small business, nonprofits, and impacted industries, such as tourism, travel, and hospitality</w:t>
      </w:r>
      <w:r>
        <w:rPr>
          <w:bCs/>
        </w:rPr>
        <w:t xml:space="preserve">; </w:t>
      </w:r>
      <w:r w:rsidR="002F1B6C">
        <w:rPr>
          <w:bCs/>
        </w:rPr>
        <w:t>(2)</w:t>
      </w:r>
      <w:r w:rsidR="007F7F6F">
        <w:rPr>
          <w:bCs/>
        </w:rPr>
        <w:t xml:space="preserve"> </w:t>
      </w:r>
      <w:r>
        <w:rPr>
          <w:bCs/>
        </w:rPr>
        <w:t>respond to workers performing essential work during the COVID-19 pandemic by providing p</w:t>
      </w:r>
      <w:r w:rsidRPr="00EC724C">
        <w:rPr>
          <w:bCs/>
        </w:rPr>
        <w:t xml:space="preserve">remium pay to </w:t>
      </w:r>
      <w:r>
        <w:rPr>
          <w:bCs/>
        </w:rPr>
        <w:t xml:space="preserve">eligible workers of the State, </w:t>
      </w:r>
      <w:r w:rsidR="004A31DC">
        <w:t>U.S.</w:t>
      </w:r>
      <w:r w:rsidR="007F7F6F">
        <w:t xml:space="preserve"> </w:t>
      </w:r>
      <w:r w:rsidR="004A31DC">
        <w:rPr>
          <w:bCs/>
        </w:rPr>
        <w:t>T</w:t>
      </w:r>
      <w:r>
        <w:rPr>
          <w:bCs/>
        </w:rPr>
        <w:t xml:space="preserve">erritory, </w:t>
      </w:r>
      <w:r w:rsidR="004A31DC">
        <w:rPr>
          <w:bCs/>
        </w:rPr>
        <w:t>T</w:t>
      </w:r>
      <w:r>
        <w:rPr>
          <w:bCs/>
        </w:rPr>
        <w:t xml:space="preserve">ribal government, </w:t>
      </w:r>
      <w:r w:rsidR="004A31DC">
        <w:rPr>
          <w:bCs/>
        </w:rPr>
        <w:t>M</w:t>
      </w:r>
      <w:r>
        <w:rPr>
          <w:bCs/>
        </w:rPr>
        <w:t xml:space="preserve">etropolitan city, </w:t>
      </w:r>
      <w:r w:rsidR="004A31DC">
        <w:rPr>
          <w:bCs/>
        </w:rPr>
        <w:t>C</w:t>
      </w:r>
      <w:r>
        <w:rPr>
          <w:bCs/>
        </w:rPr>
        <w:t xml:space="preserve">ounty, or </w:t>
      </w:r>
      <w:r w:rsidR="00D133A6">
        <w:t xml:space="preserve">NEUs </w:t>
      </w:r>
      <w:r w:rsidR="00C10B9E">
        <w:t>who</w:t>
      </w:r>
      <w:r w:rsidR="00EA192C">
        <w:t xml:space="preserve"> are </w:t>
      </w:r>
      <w:r>
        <w:rPr>
          <w:bCs/>
        </w:rPr>
        <w:t xml:space="preserve">performing </w:t>
      </w:r>
      <w:r w:rsidRPr="00EC724C">
        <w:rPr>
          <w:bCs/>
        </w:rPr>
        <w:t xml:space="preserve">essential </w:t>
      </w:r>
      <w:r>
        <w:rPr>
          <w:bCs/>
        </w:rPr>
        <w:t xml:space="preserve">work or by providing grants to eligible employers that have eligible workers; </w:t>
      </w:r>
      <w:r w:rsidR="002F1B6C">
        <w:rPr>
          <w:bCs/>
        </w:rPr>
        <w:t xml:space="preserve">(3) </w:t>
      </w:r>
      <w:r w:rsidR="008E0B5F">
        <w:rPr>
          <w:bCs/>
        </w:rPr>
        <w:t>provide</w:t>
      </w:r>
      <w:r w:rsidR="00EA192C">
        <w:rPr>
          <w:bCs/>
        </w:rPr>
        <w:t xml:space="preserve"> of </w:t>
      </w:r>
      <w:r w:rsidRPr="00EC724C">
        <w:rPr>
          <w:bCs/>
        </w:rPr>
        <w:t xml:space="preserve">government services, to the extent COVID-19 caused a reduction of revenues collected in the most recent full fiscal year of the State, </w:t>
      </w:r>
      <w:r w:rsidR="004A31DC">
        <w:t xml:space="preserve">U.S. </w:t>
      </w:r>
      <w:r w:rsidR="004A31DC">
        <w:rPr>
          <w:bCs/>
        </w:rPr>
        <w:t>T</w:t>
      </w:r>
      <w:r w:rsidRPr="00EC724C">
        <w:rPr>
          <w:bCs/>
        </w:rPr>
        <w:t>erritor</w:t>
      </w:r>
      <w:r>
        <w:rPr>
          <w:bCs/>
        </w:rPr>
        <w:t>y</w:t>
      </w:r>
      <w:r w:rsidRPr="00EC724C">
        <w:rPr>
          <w:bCs/>
        </w:rPr>
        <w:t xml:space="preserve">, </w:t>
      </w:r>
      <w:r w:rsidR="004A31DC">
        <w:rPr>
          <w:bCs/>
        </w:rPr>
        <w:t>T</w:t>
      </w:r>
      <w:r w:rsidRPr="00EC724C">
        <w:rPr>
          <w:bCs/>
        </w:rPr>
        <w:t>rib</w:t>
      </w:r>
      <w:r>
        <w:rPr>
          <w:bCs/>
        </w:rPr>
        <w:t xml:space="preserve">al government, </w:t>
      </w:r>
      <w:r w:rsidR="004A31DC">
        <w:rPr>
          <w:bCs/>
        </w:rPr>
        <w:t xml:space="preserve">Metropolitan </w:t>
      </w:r>
      <w:r>
        <w:rPr>
          <w:bCs/>
        </w:rPr>
        <w:t xml:space="preserve">city, </w:t>
      </w:r>
      <w:r w:rsidR="004A31DC">
        <w:rPr>
          <w:bCs/>
        </w:rPr>
        <w:t>C</w:t>
      </w:r>
      <w:r>
        <w:rPr>
          <w:bCs/>
        </w:rPr>
        <w:t xml:space="preserve">ounty, or </w:t>
      </w:r>
      <w:r w:rsidR="000A03BB">
        <w:rPr>
          <w:bCs/>
        </w:rPr>
        <w:t>NEU</w:t>
      </w:r>
      <w:r>
        <w:rPr>
          <w:bCs/>
        </w:rPr>
        <w:t>;</w:t>
      </w:r>
      <w:r w:rsidR="002F1B6C">
        <w:rPr>
          <w:bCs/>
        </w:rPr>
        <w:t xml:space="preserve"> or (4)</w:t>
      </w:r>
      <w:r>
        <w:rPr>
          <w:bCs/>
        </w:rPr>
        <w:t xml:space="preserve"> </w:t>
      </w:r>
      <w:r w:rsidR="002F1B6C">
        <w:rPr>
          <w:bCs/>
        </w:rPr>
        <w:t xml:space="preserve"> make </w:t>
      </w:r>
      <w:r w:rsidRPr="00EC724C">
        <w:rPr>
          <w:bCs/>
        </w:rPr>
        <w:t>necessary investments in water, sewer, or broadband infrastructure</w:t>
      </w:r>
      <w:r>
        <w:rPr>
          <w:bCs/>
        </w:rPr>
        <w:t>.</w:t>
      </w:r>
    </w:p>
    <w:p w:rsidR="00A77609" w:rsidP="00A77609" w14:paraId="73B3F2F9" w14:textId="77777777"/>
    <w:p w:rsidR="00A77609" w:rsidP="00A77609" w14:paraId="597D2587" w14:textId="15FF92B4">
      <w:pPr>
        <w:rPr>
          <w:rFonts w:cs="Calibri"/>
        </w:rPr>
      </w:pPr>
      <w:r w:rsidRPr="00DD03B1">
        <w:rPr>
          <w:rFonts w:cs="Calibri"/>
        </w:rPr>
        <w:t xml:space="preserve">Section </w:t>
      </w:r>
      <w:r>
        <w:rPr>
          <w:rFonts w:cs="Calibri"/>
        </w:rPr>
        <w:t>602</w:t>
      </w:r>
      <w:r w:rsidRPr="00DD03B1">
        <w:rPr>
          <w:rFonts w:cs="Calibri"/>
        </w:rPr>
        <w:t>(</w:t>
      </w:r>
      <w:r>
        <w:rPr>
          <w:rFonts w:cs="Calibri"/>
        </w:rPr>
        <w:t>b</w:t>
      </w:r>
      <w:r w:rsidRPr="00DD03B1">
        <w:rPr>
          <w:rFonts w:cs="Calibri"/>
        </w:rPr>
        <w:t>) of the Act prescribes that $</w:t>
      </w:r>
      <w:r>
        <w:rPr>
          <w:rFonts w:cs="Calibri"/>
        </w:rPr>
        <w:t>219.8</w:t>
      </w:r>
      <w:r w:rsidRPr="00DD03B1">
        <w:rPr>
          <w:rFonts w:cs="Calibri"/>
        </w:rPr>
        <w:t xml:space="preserve"> billion must be allocated as follows: (1) $</w:t>
      </w:r>
      <w:r>
        <w:rPr>
          <w:rFonts w:cs="Calibri"/>
        </w:rPr>
        <w:t>4.5</w:t>
      </w:r>
      <w:r w:rsidRPr="00DD03B1">
        <w:rPr>
          <w:rFonts w:cs="Calibri"/>
        </w:rPr>
        <w:t xml:space="preserve"> </w:t>
      </w:r>
      <w:r>
        <w:rPr>
          <w:rFonts w:cs="Calibri"/>
        </w:rPr>
        <w:t>b</w:t>
      </w:r>
      <w:r w:rsidRPr="00DD03B1">
        <w:rPr>
          <w:rFonts w:cs="Calibri"/>
        </w:rPr>
        <w:t xml:space="preserve">illion reserved for making payments to </w:t>
      </w:r>
      <w:r>
        <w:rPr>
          <w:rFonts w:cs="Calibri"/>
        </w:rPr>
        <w:t xml:space="preserve">the </w:t>
      </w:r>
      <w:r w:rsidRPr="00DD03B1">
        <w:rPr>
          <w:rFonts w:cs="Calibri"/>
        </w:rPr>
        <w:t xml:space="preserve">U.S. </w:t>
      </w:r>
      <w:r>
        <w:rPr>
          <w:rFonts w:cs="Calibri"/>
        </w:rPr>
        <w:t>Territories</w:t>
      </w:r>
      <w:r w:rsidRPr="00DD03B1">
        <w:rPr>
          <w:rFonts w:cs="Calibri"/>
        </w:rPr>
        <w:t>;</w:t>
      </w:r>
      <w:r>
        <w:rPr>
          <w:rFonts w:cs="Calibri"/>
        </w:rPr>
        <w:t xml:space="preserve"> </w:t>
      </w:r>
      <w:r w:rsidRPr="00DD03B1">
        <w:rPr>
          <w:rFonts w:cs="Calibri"/>
        </w:rPr>
        <w:t>(2) $</w:t>
      </w:r>
      <w:r>
        <w:rPr>
          <w:rFonts w:cs="Calibri"/>
        </w:rPr>
        <w:t>20 b</w:t>
      </w:r>
      <w:r w:rsidRPr="00DD03B1">
        <w:rPr>
          <w:rFonts w:cs="Calibri"/>
        </w:rPr>
        <w:t xml:space="preserve">illion reserved for making payments to </w:t>
      </w:r>
      <w:r>
        <w:rPr>
          <w:rFonts w:cs="Calibri"/>
        </w:rPr>
        <w:t>Tribal governments</w:t>
      </w:r>
      <w:r w:rsidRPr="00DD03B1">
        <w:rPr>
          <w:rFonts w:cs="Calibri"/>
        </w:rPr>
        <w:t>; and (3) $</w:t>
      </w:r>
      <w:r>
        <w:rPr>
          <w:rFonts w:cs="Calibri"/>
        </w:rPr>
        <w:t>1</w:t>
      </w:r>
      <w:r w:rsidRPr="00DD03B1">
        <w:rPr>
          <w:rFonts w:cs="Calibri"/>
        </w:rPr>
        <w:t>9</w:t>
      </w:r>
      <w:r>
        <w:rPr>
          <w:rFonts w:cs="Calibri"/>
        </w:rPr>
        <w:t>5</w:t>
      </w:r>
      <w:r w:rsidRPr="00DD03B1">
        <w:rPr>
          <w:rFonts w:cs="Calibri"/>
        </w:rPr>
        <w:t xml:space="preserve">.3 billion </w:t>
      </w:r>
      <w:r>
        <w:rPr>
          <w:rFonts w:cs="Calibri"/>
        </w:rPr>
        <w:t xml:space="preserve">reserved for making payments to </w:t>
      </w:r>
      <w:r w:rsidRPr="00DD03B1">
        <w:rPr>
          <w:rFonts w:cs="Calibri"/>
        </w:rPr>
        <w:t>the 50 States</w:t>
      </w:r>
      <w:r>
        <w:rPr>
          <w:rFonts w:cs="Calibri"/>
        </w:rPr>
        <w:t xml:space="preserve"> and</w:t>
      </w:r>
      <w:r w:rsidRPr="00DD03B1">
        <w:rPr>
          <w:rFonts w:cs="Calibri"/>
        </w:rPr>
        <w:t xml:space="preserve"> the District of Columbia</w:t>
      </w:r>
      <w:r>
        <w:rPr>
          <w:rFonts w:cs="Calibri"/>
        </w:rPr>
        <w:t>.</w:t>
      </w:r>
      <w:r w:rsidRPr="00DD03B1">
        <w:rPr>
          <w:rFonts w:cs="Calibri"/>
        </w:rPr>
        <w:t xml:space="preserve">  </w:t>
      </w:r>
    </w:p>
    <w:p w:rsidR="00A77609" w:rsidP="00A77609" w14:paraId="08ABCCE6" w14:textId="5528A308">
      <w:pPr>
        <w:rPr>
          <w:rFonts w:cs="Calibri"/>
        </w:rPr>
      </w:pPr>
    </w:p>
    <w:p w:rsidR="00A77609" w:rsidP="00A77609" w14:paraId="028F426E" w14:textId="07F39A31">
      <w:r w:rsidRPr="00DD03B1">
        <w:rPr>
          <w:rFonts w:cs="Calibri"/>
        </w:rPr>
        <w:t xml:space="preserve">Section </w:t>
      </w:r>
      <w:r>
        <w:rPr>
          <w:rFonts w:cs="Calibri"/>
        </w:rPr>
        <w:t>603</w:t>
      </w:r>
      <w:r w:rsidRPr="00DD03B1">
        <w:rPr>
          <w:rFonts w:cs="Calibri"/>
        </w:rPr>
        <w:t>(</w:t>
      </w:r>
      <w:r>
        <w:rPr>
          <w:rFonts w:cs="Calibri"/>
        </w:rPr>
        <w:t>b</w:t>
      </w:r>
      <w:r w:rsidRPr="00DD03B1">
        <w:rPr>
          <w:rFonts w:cs="Calibri"/>
        </w:rPr>
        <w:t>) of the Act prescribes that $</w:t>
      </w:r>
      <w:r>
        <w:rPr>
          <w:rFonts w:cs="Calibri"/>
        </w:rPr>
        <w:t>130.2</w:t>
      </w:r>
      <w:r w:rsidRPr="00DD03B1">
        <w:rPr>
          <w:rFonts w:cs="Calibri"/>
        </w:rPr>
        <w:t xml:space="preserve"> billion must be allocated as follows:</w:t>
      </w:r>
      <w:r w:rsidRPr="00FF2C28">
        <w:rPr>
          <w:rFonts w:cs="Calibri"/>
        </w:rPr>
        <w:t xml:space="preserve"> </w:t>
      </w:r>
      <w:r w:rsidRPr="00DD03B1">
        <w:rPr>
          <w:rFonts w:cs="Calibri"/>
        </w:rPr>
        <w:t>(1) $</w:t>
      </w:r>
      <w:r>
        <w:rPr>
          <w:rFonts w:cs="Calibri"/>
        </w:rPr>
        <w:t>45.57</w:t>
      </w:r>
      <w:r w:rsidRPr="00DD03B1">
        <w:rPr>
          <w:rFonts w:cs="Calibri"/>
        </w:rPr>
        <w:t xml:space="preserve"> </w:t>
      </w:r>
      <w:r>
        <w:rPr>
          <w:rFonts w:cs="Calibri"/>
        </w:rPr>
        <w:t>b</w:t>
      </w:r>
      <w:r w:rsidRPr="00DD03B1">
        <w:rPr>
          <w:rFonts w:cs="Calibri"/>
        </w:rPr>
        <w:t xml:space="preserve">illion reserved for making payments to </w:t>
      </w:r>
      <w:r>
        <w:rPr>
          <w:rFonts w:cs="Calibri"/>
        </w:rPr>
        <w:t>Metropolitan cities</w:t>
      </w:r>
      <w:r w:rsidRPr="00DD03B1">
        <w:rPr>
          <w:rFonts w:cs="Calibri"/>
        </w:rPr>
        <w:t>;</w:t>
      </w:r>
      <w:r>
        <w:rPr>
          <w:rFonts w:cs="Calibri"/>
        </w:rPr>
        <w:t xml:space="preserve"> </w:t>
      </w:r>
      <w:r w:rsidRPr="00DD03B1">
        <w:rPr>
          <w:rFonts w:cs="Calibri"/>
        </w:rPr>
        <w:t>(2) $</w:t>
      </w:r>
      <w:r>
        <w:rPr>
          <w:rFonts w:cs="Calibri"/>
        </w:rPr>
        <w:t xml:space="preserve">19.53 billion reserved for making payments to States for distribution to </w:t>
      </w:r>
      <w:r w:rsidR="000A03BB">
        <w:rPr>
          <w:rFonts w:cs="Calibri"/>
        </w:rPr>
        <w:t>N</w:t>
      </w:r>
      <w:r w:rsidR="00A3221C">
        <w:rPr>
          <w:rFonts w:cs="Calibri"/>
        </w:rPr>
        <w:t>E</w:t>
      </w:r>
      <w:r w:rsidR="000A03BB">
        <w:rPr>
          <w:rFonts w:cs="Calibri"/>
        </w:rPr>
        <w:t xml:space="preserve">Us </w:t>
      </w:r>
      <w:r>
        <w:rPr>
          <w:rFonts w:cs="Calibri"/>
        </w:rPr>
        <w:t>; and (3)</w:t>
      </w:r>
      <w:r w:rsidRPr="008E7C29">
        <w:rPr>
          <w:rFonts w:cs="Calibri"/>
        </w:rPr>
        <w:t xml:space="preserve"> </w:t>
      </w:r>
      <w:r>
        <w:rPr>
          <w:rFonts w:cs="Calibri"/>
        </w:rPr>
        <w:t xml:space="preserve">$65.1 billion reserved for making payments to Counties. A unit of general local government that has formed a consolidated government or is geographically (in full or in part) within the boundaries of another unit of general local government may receive a distribution from the funds reserved for making payment to a </w:t>
      </w:r>
      <w:r w:rsidR="004A31DC">
        <w:rPr>
          <w:rFonts w:cs="Calibri"/>
        </w:rPr>
        <w:t xml:space="preserve">Metropolitan </w:t>
      </w:r>
      <w:r>
        <w:rPr>
          <w:rFonts w:cs="Calibri"/>
        </w:rPr>
        <w:t xml:space="preserve">city, </w:t>
      </w:r>
      <w:r w:rsidR="000A03BB">
        <w:rPr>
          <w:rFonts w:cs="Calibri"/>
        </w:rPr>
        <w:t>NEU,</w:t>
      </w:r>
      <w:r>
        <w:rPr>
          <w:rFonts w:cs="Calibri"/>
        </w:rPr>
        <w:t xml:space="preserve"> or county, as applicable based on the respective formula for such allocation to a </w:t>
      </w:r>
      <w:r w:rsidR="004A31DC">
        <w:rPr>
          <w:rFonts w:cs="Calibri"/>
        </w:rPr>
        <w:t>M</w:t>
      </w:r>
      <w:r>
        <w:rPr>
          <w:rFonts w:cs="Calibri"/>
        </w:rPr>
        <w:t xml:space="preserve">etropolitan city, </w:t>
      </w:r>
      <w:r w:rsidR="000A03BB">
        <w:rPr>
          <w:rFonts w:cs="Calibri"/>
        </w:rPr>
        <w:t>NEU</w:t>
      </w:r>
      <w:r w:rsidRPr="00A8753E" w:rsidR="00942D7C">
        <w:rPr>
          <w:rFonts w:cs="Calibri"/>
        </w:rPr>
        <w:t>,</w:t>
      </w:r>
      <w:r w:rsidRPr="00A8753E">
        <w:rPr>
          <w:rFonts w:cs="Calibri"/>
        </w:rPr>
        <w:t xml:space="preserve"> or </w:t>
      </w:r>
      <w:r w:rsidRPr="00A8753E" w:rsidR="0024558B">
        <w:rPr>
          <w:rFonts w:cs="Calibri"/>
        </w:rPr>
        <w:t>County</w:t>
      </w:r>
      <w:r w:rsidRPr="00A8753E">
        <w:t>.</w:t>
      </w:r>
      <w:r>
        <w:rPr>
          <w:rFonts w:cs="Calibri"/>
        </w:rPr>
        <w:t xml:space="preserve"> </w:t>
      </w:r>
    </w:p>
    <w:p w:rsidR="00A77609" w:rsidP="00A77609" w14:paraId="1303598D" w14:textId="77777777">
      <w:pPr>
        <w:rPr>
          <w:rFonts w:cs="Calibri"/>
        </w:rPr>
      </w:pPr>
    </w:p>
    <w:bookmarkEnd w:id="0"/>
    <w:p w:rsidR="003E57D1" w:rsidRPr="009715F3" w:rsidP="00E425BD" w14:paraId="012549FC" w14:textId="7DEDB562">
      <w:pPr>
        <w:autoSpaceDE w:val="0"/>
        <w:autoSpaceDN w:val="0"/>
        <w:adjustRightInd w:val="0"/>
      </w:pPr>
      <w:r w:rsidRPr="009715F3">
        <w:rPr>
          <w:bCs/>
        </w:rPr>
        <w:t xml:space="preserve">Section </w:t>
      </w:r>
      <w:r w:rsidRPr="009715F3" w:rsidR="00742F17">
        <w:rPr>
          <w:bCs/>
        </w:rPr>
        <w:t>602</w:t>
      </w:r>
      <w:r w:rsidR="00A77609">
        <w:rPr>
          <w:bCs/>
        </w:rPr>
        <w:t>(b)(6)</w:t>
      </w:r>
      <w:r w:rsidR="00527B6F">
        <w:rPr>
          <w:bCs/>
        </w:rPr>
        <w:t>(A)(i)</w:t>
      </w:r>
      <w:r w:rsidRPr="009715F3">
        <w:rPr>
          <w:bCs/>
        </w:rPr>
        <w:t xml:space="preserve"> </w:t>
      </w:r>
      <w:r w:rsidRPr="009715F3" w:rsidR="00AA19E0">
        <w:t>provides that</w:t>
      </w:r>
      <w:r w:rsidR="006C3AD6">
        <w:t>, to the extent practicable,</w:t>
      </w:r>
      <w:r w:rsidRPr="009715F3">
        <w:t xml:space="preserve"> </w:t>
      </w:r>
      <w:r w:rsidR="00527B6F">
        <w:t>Treasury</w:t>
      </w:r>
      <w:r w:rsidRPr="009715F3" w:rsidR="00AA19E0">
        <w:t xml:space="preserve"> shall </w:t>
      </w:r>
      <w:r w:rsidR="00527B6F">
        <w:t xml:space="preserve">make </w:t>
      </w:r>
      <w:r w:rsidRPr="009715F3" w:rsidR="00AA19E0">
        <w:t>pay</w:t>
      </w:r>
      <w:r w:rsidR="00527B6F">
        <w:t>ments to</w:t>
      </w:r>
      <w:r w:rsidRPr="009715F3" w:rsidR="00AA19E0">
        <w:t xml:space="preserve"> S</w:t>
      </w:r>
      <w:r w:rsidRPr="009715F3" w:rsidR="00897B0B">
        <w:t xml:space="preserve">tates and </w:t>
      </w:r>
      <w:r w:rsidR="00A77609">
        <w:t>U.S. T</w:t>
      </w:r>
      <w:r w:rsidRPr="009715F3" w:rsidR="00897B0B">
        <w:t xml:space="preserve">erritories </w:t>
      </w:r>
      <w:r w:rsidR="00A77609">
        <w:t xml:space="preserve">no later than </w:t>
      </w:r>
      <w:r w:rsidRPr="009715F3" w:rsidR="00897B0B">
        <w:t xml:space="preserve">60 days </w:t>
      </w:r>
      <w:r w:rsidR="007041E1">
        <w:t xml:space="preserve">after </w:t>
      </w:r>
      <w:r w:rsidRPr="009715F3" w:rsidR="007041E1">
        <w:t>receipt</w:t>
      </w:r>
      <w:r w:rsidRPr="009715F3" w:rsidR="00897B0B">
        <w:t xml:space="preserve"> of</w:t>
      </w:r>
      <w:r w:rsidR="00A77609">
        <w:t xml:space="preserve"> the required</w:t>
      </w:r>
      <w:r w:rsidRPr="009715F3" w:rsidR="00897B0B">
        <w:t xml:space="preserve"> certification.  </w:t>
      </w:r>
      <w:r w:rsidRPr="009715F3" w:rsidR="00897B0B">
        <w:t xml:space="preserve">Payments to </w:t>
      </w:r>
      <w:r w:rsidR="004A31DC">
        <w:t>T</w:t>
      </w:r>
      <w:r w:rsidRPr="009715F3" w:rsidR="00897B0B">
        <w:t>ribal governments are to be distributed</w:t>
      </w:r>
      <w:r w:rsidR="00942D7C">
        <w:t>, to the extent practicable,</w:t>
      </w:r>
      <w:r w:rsidRPr="009715F3" w:rsidR="00897B0B">
        <w:t xml:space="preserve"> no later than 60 days after March 11, 2021</w:t>
      </w:r>
      <w:r w:rsidR="008D6850">
        <w:t>,</w:t>
      </w:r>
      <w:r w:rsidR="00527B6F">
        <w:t xml:space="preserve"> pursuant to section </w:t>
      </w:r>
      <w:r w:rsidRPr="009715F3" w:rsidR="00527B6F">
        <w:rPr>
          <w:bCs/>
        </w:rPr>
        <w:t>602</w:t>
      </w:r>
      <w:r w:rsidR="00527B6F">
        <w:rPr>
          <w:bCs/>
        </w:rPr>
        <w:t>(b)(6)(B)</w:t>
      </w:r>
      <w:r w:rsidRPr="009715F3" w:rsidR="00897B0B">
        <w:t xml:space="preserve">.  </w:t>
      </w:r>
    </w:p>
    <w:p w:rsidR="003E57D1" w:rsidRPr="009715F3" w:rsidP="00E425BD" w14:paraId="0E94076A" w14:textId="77777777">
      <w:pPr>
        <w:autoSpaceDE w:val="0"/>
        <w:autoSpaceDN w:val="0"/>
        <w:adjustRightInd w:val="0"/>
      </w:pPr>
    </w:p>
    <w:p w:rsidR="00CD5099" w:rsidP="003E53BD" w14:paraId="295EC678" w14:textId="52C38DB4">
      <w:r w:rsidRPr="009715F3">
        <w:rPr>
          <w:bCs/>
        </w:rPr>
        <w:t>Section 603</w:t>
      </w:r>
      <w:r w:rsidR="00527B6F">
        <w:rPr>
          <w:bCs/>
        </w:rPr>
        <w:t>(b)(7)(A)</w:t>
      </w:r>
      <w:r w:rsidRPr="009715F3">
        <w:rPr>
          <w:bCs/>
        </w:rPr>
        <w:t xml:space="preserve"> </w:t>
      </w:r>
      <w:r w:rsidRPr="009715F3" w:rsidR="000F75DA">
        <w:t>provides that</w:t>
      </w:r>
      <w:r w:rsidR="006C3AD6">
        <w:t>, to the extent practicable,</w:t>
      </w:r>
      <w:r w:rsidRPr="009715F3" w:rsidR="000F75DA">
        <w:t xml:space="preserve"> </w:t>
      </w:r>
      <w:r w:rsidR="00527B6F">
        <w:t>Treasury</w:t>
      </w:r>
      <w:r w:rsidRPr="009715F3" w:rsidR="00AA19E0">
        <w:t xml:space="preserve"> shall </w:t>
      </w:r>
      <w:r w:rsidRPr="009715F3" w:rsidR="000F75DA">
        <w:t xml:space="preserve">make </w:t>
      </w:r>
      <w:r w:rsidRPr="009715F3" w:rsidR="00AA19E0">
        <w:t xml:space="preserve">the first tranche of payments </w:t>
      </w:r>
      <w:r w:rsidR="00527B6F">
        <w:t xml:space="preserve">to </w:t>
      </w:r>
      <w:r w:rsidR="004A31DC">
        <w:t>M</w:t>
      </w:r>
      <w:r w:rsidR="00527B6F">
        <w:t xml:space="preserve">etropolitan cities, </w:t>
      </w:r>
      <w:r w:rsidR="004A31DC">
        <w:t>C</w:t>
      </w:r>
      <w:r w:rsidR="00527B6F">
        <w:t xml:space="preserve">ounties, and States for distribution to </w:t>
      </w:r>
      <w:r w:rsidR="004A31DC">
        <w:t>N</w:t>
      </w:r>
      <w:r w:rsidR="000A03BB">
        <w:t xml:space="preserve">EUs </w:t>
      </w:r>
      <w:r w:rsidRPr="009715F3" w:rsidR="00AA19E0">
        <w:t xml:space="preserve">no later than 60 days after March 11, 2021.  </w:t>
      </w:r>
    </w:p>
    <w:p w:rsidR="00453397" w:rsidP="00FB65CA" w14:paraId="767AB40C" w14:textId="77777777">
      <w:pPr>
        <w:rPr>
          <w:b/>
          <w:bCs/>
          <w:u w:val="single"/>
        </w:rPr>
      </w:pPr>
    </w:p>
    <w:p w:rsidR="00FB65CA" w:rsidP="00FB65CA" w14:paraId="56CE8C53" w14:textId="1E59CF84">
      <w:pPr>
        <w:rPr>
          <w:b/>
          <w:bCs/>
          <w:u w:val="single"/>
        </w:rPr>
      </w:pPr>
      <w:r w:rsidRPr="009715F3">
        <w:rPr>
          <w:b/>
          <w:bCs/>
          <w:u w:val="single"/>
        </w:rPr>
        <w:t>Acceptance of Award Terms</w:t>
      </w:r>
      <w:r>
        <w:rPr>
          <w:b/>
          <w:bCs/>
          <w:u w:val="single"/>
        </w:rPr>
        <w:t xml:space="preserve"> Forms</w:t>
      </w:r>
    </w:p>
    <w:p w:rsidR="00FB65CA" w:rsidP="00FB65CA" w14:paraId="4CCEDDCF" w14:textId="77777777">
      <w:r>
        <w:t xml:space="preserve">Eligible entities </w:t>
      </w:r>
      <w:r w:rsidRPr="009715F3">
        <w:rPr>
          <w:bCs/>
        </w:rPr>
        <w:t xml:space="preserve">that </w:t>
      </w:r>
      <w:r>
        <w:rPr>
          <w:bCs/>
        </w:rPr>
        <w:t xml:space="preserve">elected </w:t>
      </w:r>
      <w:r w:rsidRPr="009715F3">
        <w:rPr>
          <w:bCs/>
        </w:rPr>
        <w:t xml:space="preserve">to receive payment under </w:t>
      </w:r>
      <w:r>
        <w:rPr>
          <w:bCs/>
        </w:rPr>
        <w:t xml:space="preserve">SLFRF </w:t>
      </w:r>
      <w:r>
        <w:t xml:space="preserve">had to </w:t>
      </w:r>
      <w:r w:rsidRPr="009715F3">
        <w:rPr>
          <w:bCs/>
        </w:rPr>
        <w:t>complete and sign</w:t>
      </w:r>
      <w:r>
        <w:rPr>
          <w:bCs/>
        </w:rPr>
        <w:t xml:space="preserve"> the</w:t>
      </w:r>
      <w:r w:rsidRPr="009715F3">
        <w:rPr>
          <w:bCs/>
        </w:rPr>
        <w:t xml:space="preserve"> </w:t>
      </w:r>
      <w:r>
        <w:rPr>
          <w:bCs/>
        </w:rPr>
        <w:t xml:space="preserve">acceptance of award terms form </w:t>
      </w:r>
      <w:r w:rsidRPr="009715F3">
        <w:rPr>
          <w:bCs/>
        </w:rPr>
        <w:t xml:space="preserve">that </w:t>
      </w:r>
      <w:r>
        <w:rPr>
          <w:bCs/>
        </w:rPr>
        <w:t>indicates</w:t>
      </w:r>
      <w:r w:rsidRPr="009715F3">
        <w:rPr>
          <w:bCs/>
        </w:rPr>
        <w:t xml:space="preserve"> </w:t>
      </w:r>
      <w:r>
        <w:rPr>
          <w:bCs/>
        </w:rPr>
        <w:t>their</w:t>
      </w:r>
      <w:r w:rsidRPr="009715F3">
        <w:rPr>
          <w:bCs/>
        </w:rPr>
        <w:t xml:space="preserve"> agreement to the award </w:t>
      </w:r>
      <w:r w:rsidRPr="00A8753E">
        <w:rPr>
          <w:bCs/>
        </w:rPr>
        <w:t>terms</w:t>
      </w:r>
      <w:r w:rsidRPr="00A8753E">
        <w:t xml:space="preserve">. </w:t>
      </w:r>
      <w:r>
        <w:rPr>
          <w:bCs/>
        </w:rPr>
        <w:t xml:space="preserve">There are two acceptance of award terms forms. The first is for States, the District of Columbia, and U.S. Territories to complete. This first form includes certification language required by section 602(d)(1) of the Social Security Act, as added by </w:t>
      </w:r>
      <w:r>
        <w:t>section 9901 of the American Rescue Plan Act, which requires certification that an entity requires the payment under section 602(b) to carry out the activities specified in section 602(c). The other acceptance of award terms form is for the other eligible entities to complete; this second form does not include the certification language as the other entities are not required to make such certification.</w:t>
      </w:r>
    </w:p>
    <w:p w:rsidR="00FB65CA" w:rsidP="00FB65CA" w14:paraId="3720287D" w14:textId="77777777">
      <w:pPr>
        <w:ind w:firstLine="720"/>
      </w:pPr>
    </w:p>
    <w:p w:rsidR="00FB65CA" w:rsidRPr="00DF449E" w:rsidP="00FB65CA" w14:paraId="67BE1887" w14:textId="77777777">
      <w:pPr>
        <w:rPr>
          <w:b/>
          <w:u w:val="single"/>
        </w:rPr>
      </w:pPr>
      <w:r w:rsidRPr="00DF449E">
        <w:rPr>
          <w:b/>
          <w:u w:val="single"/>
        </w:rPr>
        <w:t>Recipient Payment Information Form</w:t>
      </w:r>
    </w:p>
    <w:p w:rsidR="00FB65CA" w:rsidP="00FB65CA" w14:paraId="151DB504" w14:textId="77777777">
      <w:pPr>
        <w:rPr>
          <w:bCs/>
        </w:rPr>
      </w:pPr>
      <w:r w:rsidRPr="00DF449E">
        <w:rPr>
          <w:bCs/>
        </w:rPr>
        <w:t xml:space="preserve">In order to ensure proper payment by Treasury, all </w:t>
      </w:r>
      <w:r>
        <w:rPr>
          <w:bCs/>
        </w:rPr>
        <w:t xml:space="preserve">eligible entities </w:t>
      </w:r>
      <w:r w:rsidRPr="00DF449E">
        <w:rPr>
          <w:bCs/>
        </w:rPr>
        <w:t xml:space="preserve">must supply basic identifying and bank routing information. This information should be readily available to officials completing the form. </w:t>
      </w:r>
    </w:p>
    <w:p w:rsidR="00FB65CA" w:rsidP="00FB65CA" w14:paraId="2FB61114" w14:textId="77777777">
      <w:pPr>
        <w:rPr>
          <w:bCs/>
        </w:rPr>
      </w:pPr>
    </w:p>
    <w:p w:rsidR="00FB65CA" w:rsidP="00FB65CA" w14:paraId="76BA06B3" w14:textId="77777777">
      <w:pPr>
        <w:rPr>
          <w:b/>
          <w:u w:val="single"/>
        </w:rPr>
      </w:pPr>
      <w:r>
        <w:rPr>
          <w:b/>
          <w:u w:val="single"/>
        </w:rPr>
        <w:t>Assurances of Compliance with Title VI of the Civil Rights Act of 1964</w:t>
      </w:r>
    </w:p>
    <w:p w:rsidR="00FB65CA" w:rsidP="00FB65CA" w14:paraId="6BBD9659" w14:textId="77777777">
      <w:r>
        <w:t xml:space="preserve">As a condition of receipt of federal financial assistance from Treasury, all non-tribal eligible entities under SLFRF are required to provide assurances pursuant to 31 C.F.R. § 22.5 that they will comply with the requirements of Title VI of the Civil Rights Act of 1964 </w:t>
      </w:r>
      <w:r w:rsidRPr="00A8753E">
        <w:t>and Treasury’s Title VI implementing regulations</w:t>
      </w:r>
      <w:r>
        <w:t xml:space="preserve">, which prohibit discrimination on the basis of race, color, or national origin in all programs or activities receiving federal financial assistance.  </w:t>
      </w:r>
    </w:p>
    <w:p w:rsidR="00FB65CA" w:rsidP="00FB65CA" w14:paraId="633DB37D" w14:textId="77777777"/>
    <w:p w:rsidR="00FB65CA" w:rsidRPr="00DF449E" w:rsidP="00FB65CA" w14:paraId="511BB6A0" w14:textId="77777777">
      <w:pPr>
        <w:rPr>
          <w:b/>
          <w:u w:val="single"/>
        </w:rPr>
      </w:pPr>
      <w:r w:rsidRPr="00A106A0">
        <w:rPr>
          <w:b/>
          <w:u w:val="single"/>
        </w:rPr>
        <w:t>Tribal Employment Information</w:t>
      </w:r>
      <w:r w:rsidRPr="00DF449E">
        <w:rPr>
          <w:b/>
          <w:u w:val="single"/>
        </w:rPr>
        <w:t xml:space="preserve"> Form</w:t>
      </w:r>
    </w:p>
    <w:p w:rsidR="00FB65CA" w:rsidP="00FB65CA" w14:paraId="5B6F14A3" w14:textId="77777777">
      <w:pPr>
        <w:rPr>
          <w:bCs/>
        </w:rPr>
      </w:pPr>
      <w:r>
        <w:rPr>
          <w:bCs/>
        </w:rPr>
        <w:t xml:space="preserve">Tribes will need to confirm or amend employment information previously provided under the Coronavirus Relief Fund, which will be used </w:t>
      </w:r>
      <w:r w:rsidRPr="00FA1BB2">
        <w:t>to determine distribution</w:t>
      </w:r>
      <w:r>
        <w:t>s</w:t>
      </w:r>
      <w:r w:rsidRPr="00FA1BB2">
        <w:t xml:space="preserve"> to </w:t>
      </w:r>
      <w:r>
        <w:t>Tribal governments under the SLFRF program.</w:t>
      </w:r>
      <w:r w:rsidRPr="00A106A0">
        <w:rPr>
          <w:bCs/>
        </w:rPr>
        <w:t xml:space="preserve"> </w:t>
      </w:r>
      <w:r w:rsidRPr="00DF449E">
        <w:rPr>
          <w:bCs/>
        </w:rPr>
        <w:t>This information should be readily available to officials completing the form.</w:t>
      </w:r>
    </w:p>
    <w:p w:rsidR="00FB65CA" w:rsidP="00FB65CA" w14:paraId="4F779039" w14:textId="77777777">
      <w:pPr>
        <w:rPr>
          <w:bCs/>
        </w:rPr>
      </w:pPr>
    </w:p>
    <w:p w:rsidR="00FB65CA" w:rsidP="00FB65CA" w14:paraId="38E4C0D6" w14:textId="77777777">
      <w:pPr>
        <w:rPr>
          <w:b/>
          <w:u w:val="single"/>
        </w:rPr>
      </w:pPr>
      <w:r w:rsidRPr="008224D5">
        <w:rPr>
          <w:b/>
          <w:u w:val="single"/>
        </w:rPr>
        <w:t>Request for Extension</w:t>
      </w:r>
      <w:r>
        <w:rPr>
          <w:b/>
          <w:u w:val="single"/>
        </w:rPr>
        <w:t>s</w:t>
      </w:r>
    </w:p>
    <w:p w:rsidR="00FB65CA" w:rsidP="00FB65CA" w14:paraId="704180DD" w14:textId="381AE5FE">
      <w:r>
        <w:t>SLFRF, established by Sections 602 and 603 of the Social Security Act, as added by section 9901 of ARPA, appropriates $19.53 billion through states to tens of thousands of smaller local governments called NEUs.  The statute requires states to distribute funds to NEUs within 30 days of receiving payment from Treasury, and also directs Treasury to grant an initial 30-day extension if a state certifies an “excessive administrative burden” in writing before the end of the 30-day distribution period. It also allows a state to request further 30-day extensions by submitting a request, that, among other requirements, details a state plan that is designed to distribute funds by the deadline. Treasury can grant these extensions at the discretion of the Secretary.</w:t>
      </w:r>
    </w:p>
    <w:p w:rsidR="00FB65CA" w:rsidP="00FB65CA" w14:paraId="4E3A0182" w14:textId="77777777">
      <w:r>
        <w:t>Treasury has created a streamlined process for a second 30-day extension of the distribution deadline by providing a standardized form for states/territorial governments to use. This does not constitute a new collection of information since states/territories are already permitted by the statute to request this extension in writing. The new form merely provides a simple and consistent format for them to do so, which should reduce the burden on respondents for making this request.</w:t>
      </w:r>
    </w:p>
    <w:p w:rsidR="00FB65CA" w:rsidP="00B212EF" w14:paraId="7355ED2C" w14:textId="42789324">
      <w:pPr>
        <w:textAlignment w:val="baseline"/>
      </w:pPr>
    </w:p>
    <w:p w:rsidR="000A03BB" w:rsidP="00836739" w14:paraId="3AA9539F" w14:textId="383EE018">
      <w:pPr>
        <w:rPr>
          <w:b/>
          <w:u w:val="single"/>
        </w:rPr>
      </w:pPr>
      <w:r w:rsidRPr="00836739">
        <w:rPr>
          <w:b/>
          <w:u w:val="single"/>
        </w:rPr>
        <w:t>Final Rule</w:t>
      </w:r>
    </w:p>
    <w:p w:rsidR="000A03BB" w:rsidP="000A03BB" w14:paraId="59EABAED" w14:textId="1663A283">
      <w:pPr>
        <w:textAlignment w:val="baseline"/>
      </w:pPr>
      <w:r>
        <w:t>On January 6, 2022</w:t>
      </w:r>
      <w:r w:rsidR="004E16C4">
        <w:t>,</w:t>
      </w:r>
      <w:r>
        <w:t xml:space="preserve"> Treasury released the SLFRF final rule. The final rule delivers broader flexibility and greater simplicity in the program, including: </w:t>
      </w:r>
    </w:p>
    <w:p w:rsidR="000A03BB" w:rsidP="000A03BB" w14:paraId="1D11F915" w14:textId="77777777">
      <w:pPr>
        <w:pStyle w:val="ListParagraph"/>
        <w:numPr>
          <w:ilvl w:val="0"/>
          <w:numId w:val="28"/>
        </w:numPr>
        <w:textAlignment w:val="baseline"/>
      </w:pPr>
      <w:r>
        <w:t>Offering the standard allowance for revenue loss or complete a full-revenue calculation;</w:t>
      </w:r>
    </w:p>
    <w:p w:rsidR="000A03BB" w:rsidP="000A03BB" w14:paraId="558D4C15" w14:textId="77777777">
      <w:pPr>
        <w:pStyle w:val="ListParagraph"/>
        <w:numPr>
          <w:ilvl w:val="0"/>
          <w:numId w:val="28"/>
        </w:numPr>
        <w:textAlignment w:val="baseline"/>
      </w:pPr>
      <w:r>
        <w:t>Clarifying that recipients can use funds for capital expenditures that support an eligible COVID-19 public health or economic response;</w:t>
      </w:r>
    </w:p>
    <w:p w:rsidR="000A03BB" w:rsidP="000A03BB" w14:paraId="28AC96F9" w14:textId="77777777">
      <w:pPr>
        <w:pStyle w:val="ListParagraph"/>
        <w:numPr>
          <w:ilvl w:val="0"/>
          <w:numId w:val="28"/>
        </w:numPr>
        <w:textAlignment w:val="baseline"/>
      </w:pPr>
      <w:r>
        <w:t>Providing an expanded set of households and communities that are presumed to be “impacted” and “disproportionately impacted” by the pandemic;</w:t>
      </w:r>
    </w:p>
    <w:p w:rsidR="000A03BB" w:rsidP="000A03BB" w14:paraId="0028A408" w14:textId="77777777">
      <w:pPr>
        <w:pStyle w:val="ListParagraph"/>
        <w:numPr>
          <w:ilvl w:val="0"/>
          <w:numId w:val="28"/>
        </w:numPr>
        <w:textAlignment w:val="baseline"/>
      </w:pPr>
      <w:r>
        <w:t>Streamlining options to provide premium pay, by broadening the share of eligible workers who can receive premium pay without a written justification while maintaining a focus on lower-income and frontline workers performing essential work; and</w:t>
      </w:r>
    </w:p>
    <w:p w:rsidR="000A03BB" w:rsidP="000A03BB" w14:paraId="322964A7" w14:textId="77777777">
      <w:pPr>
        <w:pStyle w:val="ListParagraph"/>
        <w:numPr>
          <w:ilvl w:val="0"/>
          <w:numId w:val="28"/>
        </w:numPr>
        <w:textAlignment w:val="baseline"/>
      </w:pPr>
      <w:r>
        <w:t>Broadening eligible broadband infrastructure investments to address challenges with broadband access, affordability, and reliability, and adding additional eligible water and sewer infrastructure investments, including a broader range of lead remediation and stormwater management projects.</w:t>
      </w:r>
    </w:p>
    <w:p w:rsidR="000A03BB" w:rsidP="000A03BB" w14:paraId="47A4CF70" w14:textId="77777777">
      <w:pPr>
        <w:textAlignment w:val="baseline"/>
      </w:pPr>
    </w:p>
    <w:p w:rsidR="000A03BB" w:rsidP="000A03BB" w14:paraId="790738C7" w14:textId="3230278C">
      <w:pPr>
        <w:textAlignment w:val="baseline"/>
      </w:pPr>
      <w:r>
        <w:t>The final rule was posted in the Federal Register on January 27, 2022</w:t>
      </w:r>
      <w:r w:rsidR="000813C5">
        <w:t>,</w:t>
      </w:r>
      <w:r>
        <w:t xml:space="preserve"> and is effective April 1, 2022.</w:t>
      </w:r>
    </w:p>
    <w:p w:rsidR="000A03BB" w:rsidP="00B212EF" w14:paraId="66D6CFB2" w14:textId="77777777">
      <w:pPr>
        <w:textAlignment w:val="baseline"/>
      </w:pPr>
    </w:p>
    <w:p w:rsidR="00D10916" w:rsidP="00D10916" w14:paraId="093D76FE" w14:textId="256070EC">
      <w:pPr>
        <w:rPr>
          <w:b/>
          <w:u w:val="single"/>
        </w:rPr>
      </w:pPr>
      <w:r>
        <w:rPr>
          <w:b/>
          <w:u w:val="single"/>
        </w:rPr>
        <w:t xml:space="preserve">Compliance and Reporting Guidance </w:t>
      </w:r>
    </w:p>
    <w:p w:rsidR="00D133A6" w:rsidP="00B212EF" w14:paraId="5C8C9198" w14:textId="134F1929">
      <w:pPr>
        <w:textAlignment w:val="baseline"/>
      </w:pPr>
      <w:r>
        <w:t xml:space="preserve">In February 2022, </w:t>
      </w:r>
      <w:r w:rsidRPr="65BEAA53" w:rsidR="00B212EF">
        <w:t>Treasury published the</w:t>
      </w:r>
      <w:r w:rsidR="000A03BB">
        <w:t xml:space="preserve"> updated</w:t>
      </w:r>
      <w:r w:rsidRPr="65BEAA53" w:rsidR="00B212EF">
        <w:t xml:space="preserve"> </w:t>
      </w:r>
      <w:hyperlink r:id="rId8">
        <w:r w:rsidRPr="65BEAA53" w:rsidR="00B212EF">
          <w:rPr>
            <w:rStyle w:val="Hyperlink"/>
          </w:rPr>
          <w:t>Compliance and Reporting Guidance</w:t>
        </w:r>
      </w:hyperlink>
      <w:r w:rsidRPr="65BEAA53" w:rsidR="00B212EF">
        <w:t xml:space="preserve"> that SLFRF recipients need to comply with to fulfill their reporting requirements</w:t>
      </w:r>
      <w:r w:rsidR="000A03BB">
        <w:t xml:space="preserve"> under the final rule</w:t>
      </w:r>
      <w:r w:rsidRPr="65BEAA53" w:rsidR="00B212EF">
        <w:t xml:space="preserve"> As noted in the Compliance and Reporting Guidance, recipients are required to fulfill the</w:t>
      </w:r>
      <w:r w:rsidR="000A03BB">
        <w:t xml:space="preserve"> following reporting requirements. </w:t>
      </w:r>
      <w:r w:rsidRPr="65BEAA53" w:rsidR="00B212EF">
        <w:t xml:space="preserve"> </w:t>
      </w:r>
      <w:r>
        <w:t>:</w:t>
      </w:r>
    </w:p>
    <w:p w:rsidR="00CF46A5" w:rsidP="00CF46A5" w14:paraId="093701B1" w14:textId="3E9FF377">
      <w:pPr>
        <w:pStyle w:val="ListParagraph"/>
        <w:numPr>
          <w:ilvl w:val="0"/>
          <w:numId w:val="27"/>
        </w:numPr>
        <w:textAlignment w:val="baseline"/>
      </w:pPr>
      <w:r>
        <w:t xml:space="preserve">The first Project and Expenditure Report for certain recipients was due January 31, 2022.  All recipients will submit a Project and Expenditure Report by April 30, 2022. Future reporting will vary on a quarterly or annual basis depending on the recipient’s reporting tier. </w:t>
      </w:r>
    </w:p>
    <w:p w:rsidR="00D133A6" w:rsidP="00D133A6" w14:paraId="0763CFFA" w14:textId="26DAE6BD">
      <w:pPr>
        <w:pStyle w:val="ListParagraph"/>
        <w:numPr>
          <w:ilvl w:val="0"/>
          <w:numId w:val="27"/>
        </w:numPr>
        <w:textAlignment w:val="baseline"/>
      </w:pPr>
      <w:r>
        <w:t>T</w:t>
      </w:r>
      <w:r w:rsidR="00414A14">
        <w:t xml:space="preserve">he first </w:t>
      </w:r>
      <w:r w:rsidRPr="65BEAA53" w:rsidR="00CF46A5">
        <w:t xml:space="preserve">Recovery Plan Performance Report </w:t>
      </w:r>
      <w:r w:rsidR="00CF46A5">
        <w:t>(</w:t>
      </w:r>
      <w:r w:rsidR="00A3221C">
        <w:t>“</w:t>
      </w:r>
      <w:r w:rsidR="00414A14">
        <w:t>Recovery Plan</w:t>
      </w:r>
      <w:r w:rsidR="00A3221C">
        <w:t>’</w:t>
      </w:r>
      <w:r w:rsidR="00CF46A5">
        <w:t>)</w:t>
      </w:r>
      <w:r w:rsidR="00414A14">
        <w:t xml:space="preserve"> </w:t>
      </w:r>
      <w:r w:rsidR="000A03BB">
        <w:t xml:space="preserve">was </w:t>
      </w:r>
      <w:r w:rsidR="00414A14">
        <w:t>due August 31, 2021</w:t>
      </w:r>
      <w:r w:rsidR="00CF46A5">
        <w:t>,</w:t>
      </w:r>
      <w:r w:rsidR="00414A14">
        <w:t xml:space="preserve"> or 60 days after receiving funding.  </w:t>
      </w:r>
      <w:r w:rsidR="000A03BB">
        <w:t xml:space="preserve">The next Recovery Plan </w:t>
      </w:r>
      <w:r w:rsidR="00CF46A5">
        <w:t xml:space="preserve">is </w:t>
      </w:r>
      <w:r w:rsidR="000A03BB">
        <w:t xml:space="preserve">due for certain recipient on July 31, 2022 and annually thereafter. </w:t>
      </w:r>
    </w:p>
    <w:p w:rsidR="00CD3D0C" w:rsidP="005B1DA1" w14:paraId="1A2019C2" w14:textId="4B49E931">
      <w:pPr>
        <w:pStyle w:val="ListParagraph"/>
        <w:numPr>
          <w:ilvl w:val="0"/>
          <w:numId w:val="27"/>
        </w:numPr>
        <w:textAlignment w:val="baseline"/>
      </w:pPr>
      <w:r>
        <w:t xml:space="preserve">NEUs </w:t>
      </w:r>
      <w:r w:rsidR="00B5075E">
        <w:t xml:space="preserve">are </w:t>
      </w:r>
      <w:r>
        <w:t xml:space="preserve">asked to provide </w:t>
      </w:r>
      <w:r w:rsidR="00B5075E">
        <w:t xml:space="preserve">certain information </w:t>
      </w:r>
      <w:r>
        <w:t xml:space="preserve">once their accounts are established in Treasury’s </w:t>
      </w:r>
      <w:r w:rsidR="00B5075E">
        <w:t xml:space="preserve">online portal </w:t>
      </w:r>
      <w:r>
        <w:t xml:space="preserve">and prior to the due date </w:t>
      </w:r>
      <w:r w:rsidR="00CF46A5">
        <w:t xml:space="preserve">of </w:t>
      </w:r>
      <w:r>
        <w:t>their first Project and Expenditure Report (due April 30, 2022</w:t>
      </w:r>
      <w:r w:rsidR="00A96FCB">
        <w:t>).</w:t>
      </w:r>
    </w:p>
    <w:p w:rsidR="00AD007C" w:rsidP="00836739" w14:paraId="039D5122" w14:textId="780F3C61">
      <w:pPr>
        <w:textAlignment w:val="baseline"/>
      </w:pPr>
    </w:p>
    <w:p w:rsidR="0094726C" w:rsidP="003B7343" w14:paraId="4DCE2286" w14:textId="77777777">
      <w:pPr>
        <w:rPr>
          <w:b/>
          <w:u w:val="single"/>
        </w:rPr>
      </w:pPr>
      <w:r>
        <w:rPr>
          <w:b/>
          <w:u w:val="single"/>
        </w:rPr>
        <w:t xml:space="preserve">Annual </w:t>
      </w:r>
      <w:r w:rsidRPr="008224D5" w:rsidR="00B212EF">
        <w:rPr>
          <w:b/>
          <w:u w:val="single"/>
        </w:rPr>
        <w:t xml:space="preserve">Recovery Plan Performance Report </w:t>
      </w:r>
    </w:p>
    <w:p w:rsidR="00B212EF" w:rsidP="003B7343" w14:paraId="70BEE040" w14:textId="45D9C101">
      <w:r w:rsidRPr="65BEAA53">
        <w:t>The Recovery Plan</w:t>
      </w:r>
      <w:r w:rsidR="00A3221C">
        <w:t xml:space="preserve"> </w:t>
      </w:r>
      <w:r w:rsidRPr="65BEAA53">
        <w:t xml:space="preserve">is required to be published annually on the recipient’s website and provided to Treasury. The Recovery Plan will contain detailed project performance data, including information on efforts to improve equity and engage communities. As noted in the Compliance </w:t>
      </w:r>
      <w:r w:rsidRPr="65BEAA53">
        <w:t xml:space="preserve">and Reporting Guidance, Treasury </w:t>
      </w:r>
      <w:r w:rsidR="00A3221C">
        <w:t xml:space="preserve">shared </w:t>
      </w:r>
      <w:r w:rsidRPr="65BEAA53">
        <w:t>a recommended template covering the main topics but recipients may modify this template as appropriate for their jurisdiction.</w:t>
      </w:r>
    </w:p>
    <w:p w:rsidR="00CF6E48" w:rsidP="003B7343" w14:paraId="25046092" w14:textId="77777777"/>
    <w:p w:rsidR="00B212EF" w:rsidRPr="008224D5" w:rsidP="003B7343" w14:paraId="3A3BDEB4" w14:textId="430FA5BD">
      <w:pPr>
        <w:rPr>
          <w:b/>
          <w:bCs/>
          <w:u w:val="single"/>
        </w:rPr>
      </w:pPr>
      <w:r w:rsidRPr="008224D5">
        <w:rPr>
          <w:b/>
          <w:bCs/>
          <w:u w:val="single"/>
        </w:rPr>
        <w:t>Non-entitlement Units of Government (NEU) Template</w:t>
      </w:r>
    </w:p>
    <w:p w:rsidR="00A106A0" w:rsidP="003B7343" w14:paraId="18E71821" w14:textId="7345BE6C">
      <w:pPr>
        <w:rPr>
          <w:bCs/>
        </w:rPr>
      </w:pPr>
      <w:r w:rsidRPr="65BEAA53">
        <w:t xml:space="preserve">States and territories are required to provide updates on distributions to individual NEUs, including whether the NEU has 1) received funding; 2) declined funding and requested a transfer to the State; or 3) not taken action on its funding.  </w:t>
      </w:r>
    </w:p>
    <w:p w:rsidR="00B212EF" w:rsidP="003B7343" w14:paraId="5D5325C9" w14:textId="59DD7FD0">
      <w:pPr>
        <w:rPr>
          <w:bCs/>
        </w:rPr>
      </w:pPr>
    </w:p>
    <w:p w:rsidR="00096595" w:rsidRPr="00793732" w:rsidP="00096595" w14:paraId="7FF317CB" w14:textId="50AEEDF7">
      <w:pPr>
        <w:spacing w:after="160" w:line="256" w:lineRule="auto"/>
        <w:rPr>
          <w:b/>
          <w:bCs/>
          <w:u w:val="single"/>
        </w:rPr>
      </w:pPr>
      <w:r w:rsidRPr="00793732">
        <w:rPr>
          <w:rFonts w:cs="Arial"/>
          <w:b/>
          <w:bCs/>
          <w:u w:val="single"/>
        </w:rPr>
        <w:t>Units of general local government within counties that are not units of general local government (Non-UGLG</w:t>
      </w:r>
      <w:r w:rsidRPr="00E237D1">
        <w:rPr>
          <w:b/>
          <w:bCs/>
          <w:u w:val="single"/>
        </w:rPr>
        <w:t xml:space="preserve">) </w:t>
      </w:r>
      <w:r w:rsidRPr="00BE59AF">
        <w:rPr>
          <w:b/>
          <w:bCs/>
          <w:u w:val="single"/>
        </w:rPr>
        <w:t>Template</w:t>
      </w:r>
    </w:p>
    <w:p w:rsidR="00096595" w:rsidP="00096595" w14:paraId="78EFFDAC" w14:textId="2E73B138">
      <w:pPr>
        <w:spacing w:after="160" w:line="256" w:lineRule="auto"/>
      </w:pPr>
      <w:r w:rsidRPr="00096595">
        <w:t xml:space="preserve">States and territories are required to provide updates on distributions to Non-UGLGs, including whether the non-UGLG has received the funding. Recipients must gather the information requested in the Non-UGLG template and upload the information into the Treasury reporting portal. </w:t>
      </w:r>
    </w:p>
    <w:p w:rsidR="00B212EF" w:rsidRPr="00793732" w:rsidP="003B7343" w14:paraId="217D28B4" w14:textId="4C77316F">
      <w:pPr>
        <w:rPr>
          <w:b/>
          <w:bCs/>
          <w:u w:val="single"/>
        </w:rPr>
      </w:pPr>
      <w:r w:rsidRPr="00793732">
        <w:rPr>
          <w:b/>
          <w:bCs/>
          <w:u w:val="single"/>
        </w:rPr>
        <w:t>NEU Agreements and Supporting Documents</w:t>
      </w:r>
    </w:p>
    <w:p w:rsidR="00796FD1" w:rsidP="003B7343" w14:paraId="681A1A7E" w14:textId="3E21A05B">
      <w:pPr>
        <w:rPr>
          <w:bCs/>
        </w:rPr>
      </w:pPr>
      <w:r>
        <w:rPr>
          <w:bCs/>
        </w:rPr>
        <w:t xml:space="preserve">NEUs are required to provide certain documentation in accordance with the Compliance and Reporting Guidance.  This information needs to be provided to Treasury prior to the submission of first Project and Expenditure Report, due April 30, 2022. </w:t>
      </w:r>
    </w:p>
    <w:p w:rsidR="00A96FCB" w:rsidP="003B7343" w14:paraId="5F905C0C" w14:textId="3C018C6C">
      <w:pPr>
        <w:rPr>
          <w:bCs/>
        </w:rPr>
      </w:pPr>
    </w:p>
    <w:p w:rsidR="00A96FCB" w:rsidP="003B7343" w14:paraId="2274CFA5" w14:textId="6777D70D">
      <w:pPr>
        <w:rPr>
          <w:bCs/>
          <w:u w:val="single"/>
        </w:rPr>
      </w:pPr>
      <w:r>
        <w:rPr>
          <w:b/>
          <w:u w:val="single"/>
        </w:rPr>
        <w:t>Project and Expenditure Report</w:t>
      </w:r>
    </w:p>
    <w:p w:rsidR="00A96FCB" w:rsidRPr="00DC3129" w:rsidP="003B7343" w14:paraId="7B81F8A4" w14:textId="4523CA3A">
      <w:pPr>
        <w:rPr>
          <w:bCs/>
        </w:rPr>
      </w:pPr>
      <w:r>
        <w:rPr>
          <w:bCs/>
        </w:rPr>
        <w:t xml:space="preserve">The Project and Expenditure Report is required to be provided by recipients quarterly or annually based on their reporting tier, as defined by the Compliance and Reporting Guidance. The first quarterly reports </w:t>
      </w:r>
      <w:r w:rsidR="00A3221C">
        <w:rPr>
          <w:bCs/>
        </w:rPr>
        <w:t xml:space="preserve">were </w:t>
      </w:r>
      <w:r>
        <w:rPr>
          <w:bCs/>
        </w:rPr>
        <w:t>due January 31, 2022</w:t>
      </w:r>
      <w:r w:rsidR="00A3221C">
        <w:rPr>
          <w:bCs/>
        </w:rPr>
        <w:t xml:space="preserve"> for certain recipients</w:t>
      </w:r>
      <w:r>
        <w:rPr>
          <w:bCs/>
        </w:rPr>
        <w:t xml:space="preserve">. The first annual reports are due April 30, 2022.  The Project and Expenditure report will provide detailed project information, including obligations and expenditures, subaward and subrecipient information and programmatic data for certain Expenditure Categories. </w:t>
      </w:r>
    </w:p>
    <w:p w:rsidR="00796FD1" w:rsidP="003B7343" w14:paraId="6D3E5E91" w14:textId="77777777">
      <w:pPr>
        <w:rPr>
          <w:bCs/>
        </w:rPr>
      </w:pPr>
    </w:p>
    <w:p w:rsidR="003C1AB8" w:rsidRPr="00DF449E" w:rsidP="000C6F26" w14:paraId="0BBDC9CC" w14:textId="4AC49E93">
      <w:pPr>
        <w:numPr>
          <w:ilvl w:val="0"/>
          <w:numId w:val="12"/>
        </w:numPr>
        <w:tabs>
          <w:tab w:val="num" w:pos="270"/>
          <w:tab w:val="clear" w:pos="720"/>
        </w:tabs>
        <w:ind w:hanging="720"/>
      </w:pPr>
      <w:r w:rsidRPr="00DF449E">
        <w:rPr>
          <w:u w:val="single"/>
        </w:rPr>
        <w:t>U</w:t>
      </w:r>
      <w:r w:rsidRPr="00DF449E">
        <w:rPr>
          <w:u w:val="single"/>
        </w:rPr>
        <w:t>se of the data</w:t>
      </w:r>
    </w:p>
    <w:p w:rsidR="003C1AB8" w:rsidRPr="00DF449E" w:rsidP="003C1AB8" w14:paraId="0AF34797" w14:textId="77777777">
      <w:pPr>
        <w:rPr>
          <w:u w:val="single"/>
        </w:rPr>
      </w:pPr>
    </w:p>
    <w:p w:rsidR="00414A14" w:rsidP="003C1AB8" w14:paraId="6E4A864C" w14:textId="77777777">
      <w:r w:rsidRPr="00DF449E">
        <w:t xml:space="preserve">The information reported will allow </w:t>
      </w:r>
      <w:r w:rsidRPr="00DF449E" w:rsidR="001C229E">
        <w:t>Treasury</w:t>
      </w:r>
      <w:r w:rsidRPr="00DF449E" w:rsidR="004D0DB9">
        <w:t xml:space="preserve"> </w:t>
      </w:r>
      <w:r w:rsidRPr="00DF449E">
        <w:t xml:space="preserve">to </w:t>
      </w:r>
      <w:r w:rsidRPr="00DF449E" w:rsidR="0009709C">
        <w:t xml:space="preserve">ensure proper payments to </w:t>
      </w:r>
      <w:r w:rsidRPr="00DF449E" w:rsidR="00F853A4">
        <w:t xml:space="preserve">eligible </w:t>
      </w:r>
      <w:r w:rsidR="008621B5">
        <w:t>entities</w:t>
      </w:r>
      <w:r w:rsidRPr="00DF449E" w:rsidR="0009709C">
        <w:t>.</w:t>
      </w:r>
      <w:r>
        <w:t xml:space="preserve"> </w:t>
      </w:r>
    </w:p>
    <w:p w:rsidR="00414A14" w:rsidP="003C1AB8" w14:paraId="28B54FB0" w14:textId="77777777"/>
    <w:p w:rsidR="009B60FB" w:rsidP="003C1AB8" w14:paraId="320E3357" w14:textId="601D7AFF">
      <w:r>
        <w:t>The information in the Recovery Plan</w:t>
      </w:r>
      <w:r w:rsidR="00A96FCB">
        <w:t>,</w:t>
      </w:r>
      <w:r w:rsidR="00A3221C">
        <w:t xml:space="preserve"> </w:t>
      </w:r>
      <w:r w:rsidR="00A96FCB">
        <w:t xml:space="preserve">and the Project and Expenditure Report </w:t>
      </w:r>
      <w:r>
        <w:t xml:space="preserve">will allow Treasury to obtain a status of the recipient’s use of funds received as of the date of reporting. </w:t>
      </w:r>
      <w:r w:rsidR="00290D01">
        <w:t>Treasury</w:t>
      </w:r>
      <w:r w:rsidR="0070097D">
        <w:t xml:space="preserve"> will make the data submitted by recipients publicly available to address transparency and share information about program status. </w:t>
      </w:r>
    </w:p>
    <w:p w:rsidR="00414A14" w:rsidP="003C1AB8" w14:paraId="3E1A5F2C" w14:textId="77777777"/>
    <w:p w:rsidR="003C1AB8" w:rsidRPr="00DF449E" w:rsidP="000C6F26" w14:paraId="1CE8586C" w14:textId="77777777">
      <w:pPr>
        <w:keepNext/>
        <w:ind w:left="360" w:hanging="360"/>
      </w:pPr>
      <w:r w:rsidRPr="00DF449E">
        <w:t xml:space="preserve">3.  </w:t>
      </w:r>
      <w:r w:rsidRPr="00DF449E" w:rsidR="00F72D0B">
        <w:rPr>
          <w:u w:val="single"/>
        </w:rPr>
        <w:t xml:space="preserve">Use of </w:t>
      </w:r>
      <w:r w:rsidRPr="00DF449E" w:rsidR="00F34B54">
        <w:rPr>
          <w:u w:val="single"/>
        </w:rPr>
        <w:t>i</w:t>
      </w:r>
      <w:r w:rsidRPr="00DF449E" w:rsidR="00F72D0B">
        <w:rPr>
          <w:u w:val="single"/>
        </w:rPr>
        <w:t xml:space="preserve">nformation </w:t>
      </w:r>
      <w:r w:rsidRPr="00DF449E" w:rsidR="00F34B54">
        <w:rPr>
          <w:u w:val="single"/>
        </w:rPr>
        <w:t>technology</w:t>
      </w:r>
      <w:r w:rsidRPr="00DF449E" w:rsidR="00F34B54">
        <w:t xml:space="preserve"> </w:t>
      </w:r>
    </w:p>
    <w:p w:rsidR="003C1AB8" w:rsidRPr="00DF449E" w:rsidP="00961823" w14:paraId="1894E667" w14:textId="77777777">
      <w:pPr>
        <w:keepNext/>
      </w:pPr>
    </w:p>
    <w:p w:rsidR="00D24A88" w:rsidRPr="00DF449E" w:rsidP="00F72D0B" w14:paraId="2357B59E" w14:textId="6CC1467F">
      <w:r w:rsidRPr="00DF449E">
        <w:t xml:space="preserve">Treasury </w:t>
      </w:r>
      <w:r w:rsidRPr="00DF449E" w:rsidR="00B375A0">
        <w:t>will</w:t>
      </w:r>
      <w:r w:rsidRPr="00DF449E">
        <w:t xml:space="preserve"> manage the </w:t>
      </w:r>
      <w:r w:rsidRPr="00DF449E" w:rsidR="000B7AAF">
        <w:t>payment</w:t>
      </w:r>
      <w:r w:rsidR="00AE78BE">
        <w:t xml:space="preserve">, </w:t>
      </w:r>
      <w:r w:rsidRPr="00DF449E" w:rsidR="0009709C">
        <w:t xml:space="preserve">certification </w:t>
      </w:r>
      <w:r w:rsidRPr="00DF449E">
        <w:t xml:space="preserve">submission </w:t>
      </w:r>
      <w:r w:rsidR="00AE78BE">
        <w:t xml:space="preserve">and reporting submission </w:t>
      </w:r>
      <w:r w:rsidRPr="00DF449E">
        <w:t>process</w:t>
      </w:r>
      <w:r w:rsidRPr="00DF449E" w:rsidR="00DE76C6">
        <w:t xml:space="preserve"> with the use of </w:t>
      </w:r>
      <w:r w:rsidRPr="00DF449E" w:rsidR="00605173">
        <w:t>existing</w:t>
      </w:r>
      <w:r w:rsidRPr="00DF449E" w:rsidR="009B60FB">
        <w:t xml:space="preserve"> and widely</w:t>
      </w:r>
      <w:r w:rsidRPr="00DF449E" w:rsidR="0028685C">
        <w:t xml:space="preserve"> </w:t>
      </w:r>
      <w:r w:rsidRPr="00DF449E" w:rsidR="009B60FB">
        <w:t>available</w:t>
      </w:r>
      <w:r w:rsidRPr="00DF449E" w:rsidR="00605173">
        <w:t xml:space="preserve"> technology </w:t>
      </w:r>
      <w:r w:rsidRPr="00DF449E" w:rsidR="009B60FB">
        <w:t>such as</w:t>
      </w:r>
      <w:r w:rsidRPr="00DF449E" w:rsidR="00605173">
        <w:t xml:space="preserve"> e</w:t>
      </w:r>
      <w:r w:rsidRPr="00DF449E" w:rsidR="0028685C">
        <w:t>-</w:t>
      </w:r>
      <w:r w:rsidRPr="00DF449E" w:rsidR="00605173">
        <w:t xml:space="preserve">mail. </w:t>
      </w:r>
      <w:r w:rsidR="00207494">
        <w:t>When requesting bank routing information or other sensitive information, Treasury will provide entities with additional submission guidance to ensure privacy and security. If entities are not able submit sensitive information electronically, Treasury will provide alternative submission options, such as fax or mail.</w:t>
      </w:r>
      <w:r w:rsidRPr="00DF449E" w:rsidR="00207494">
        <w:t xml:space="preserve"> </w:t>
      </w:r>
    </w:p>
    <w:p w:rsidR="00E13A9C" w:rsidRPr="00DF449E" w:rsidP="00F72D0B" w14:paraId="76DF2AB6" w14:textId="77777777"/>
    <w:p w:rsidR="00F72D0B" w:rsidRPr="00DF449E" w:rsidP="000C6F26" w14:paraId="6A7690C9" w14:textId="77777777">
      <w:pPr>
        <w:ind w:left="720" w:hanging="720"/>
      </w:pPr>
      <w:r w:rsidRPr="00DF449E">
        <w:t xml:space="preserve">4.  </w:t>
      </w:r>
      <w:r w:rsidRPr="00DF449E">
        <w:rPr>
          <w:u w:val="single"/>
        </w:rPr>
        <w:t>Efforts to identify duplication</w:t>
      </w:r>
      <w:r w:rsidRPr="00DF449E">
        <w:t xml:space="preserve">   </w:t>
      </w:r>
    </w:p>
    <w:p w:rsidR="00406DAA" w:rsidRPr="00DF449E" w:rsidP="00CC4534" w14:paraId="619D54D8" w14:textId="77777777"/>
    <w:p w:rsidR="00A5370F" w:rsidRPr="00DF449E" w:rsidP="00856DD0" w14:paraId="6BCCDCE6" w14:textId="1AD455E0">
      <w:r w:rsidRPr="00DF449E">
        <w:t>The</w:t>
      </w:r>
      <w:r w:rsidRPr="00DF449E" w:rsidR="00B375A0">
        <w:t xml:space="preserve"> information colle</w:t>
      </w:r>
      <w:r w:rsidRPr="00DF449E" w:rsidR="00BD0B65">
        <w:t>ction</w:t>
      </w:r>
      <w:r w:rsidRPr="00DF449E">
        <w:t>s are under new statutor</w:t>
      </w:r>
      <w:r w:rsidRPr="00DF449E" w:rsidR="00012F7C">
        <w:t>y</w:t>
      </w:r>
      <w:r w:rsidRPr="00DF449E">
        <w:t xml:space="preserve"> mandate</w:t>
      </w:r>
      <w:r w:rsidRPr="00DF449E" w:rsidR="00464E08">
        <w:t>s</w:t>
      </w:r>
      <w:r w:rsidRPr="00DF449E">
        <w:t xml:space="preserve">. </w:t>
      </w:r>
      <w:r w:rsidRPr="00DF449E" w:rsidR="00B375A0">
        <w:t>Th</w:t>
      </w:r>
      <w:r w:rsidRPr="00DF449E" w:rsidR="00F72D0B">
        <w:t xml:space="preserve">e information </w:t>
      </w:r>
      <w:r w:rsidRPr="00DF449E" w:rsidR="002551F6">
        <w:t xml:space="preserve">is not known to </w:t>
      </w:r>
      <w:r w:rsidRPr="00DF449E" w:rsidR="005A5C1B">
        <w:t xml:space="preserve">overlap with </w:t>
      </w:r>
      <w:r w:rsidRPr="00DF449E" w:rsidR="002551F6">
        <w:t xml:space="preserve">any other </w:t>
      </w:r>
      <w:r w:rsidRPr="00DF449E" w:rsidR="005A5C1B">
        <w:t xml:space="preserve">data collected </w:t>
      </w:r>
      <w:r w:rsidRPr="00DF449E" w:rsidR="0054191E">
        <w:t xml:space="preserve">under </w:t>
      </w:r>
      <w:r w:rsidRPr="00DF449E" w:rsidR="00B375A0">
        <w:t xml:space="preserve">any other </w:t>
      </w:r>
      <w:r w:rsidRPr="00DF449E" w:rsidR="0054191E">
        <w:t>information</w:t>
      </w:r>
      <w:r w:rsidRPr="00DF449E" w:rsidR="00B375A0">
        <w:t xml:space="preserve"> collections at Treasury.</w:t>
      </w:r>
      <w:r w:rsidRPr="00DF449E" w:rsidR="00A9305B">
        <w:t xml:space="preserve"> </w:t>
      </w:r>
      <w:r w:rsidRPr="00DF449E" w:rsidR="006D7534">
        <w:t>Furthermore, the information collection is tailored to leverage data that already exists and require only additional data that is necessary</w:t>
      </w:r>
      <w:r w:rsidR="00752605">
        <w:t xml:space="preserve"> for making payments to eligible entities</w:t>
      </w:r>
      <w:r w:rsidR="00190ED4">
        <w:t>.</w:t>
      </w:r>
    </w:p>
    <w:p w:rsidR="00D24A88" w:rsidRPr="00DF449E" w:rsidP="00F72D0B" w14:paraId="2D435C1E" w14:textId="77777777"/>
    <w:p w:rsidR="00F72D0B" w:rsidRPr="00DF449E" w:rsidP="009E2FFF" w14:paraId="0C31A86B" w14:textId="77777777">
      <w:pPr>
        <w:rPr>
          <w:u w:val="single"/>
        </w:rPr>
      </w:pPr>
      <w:r w:rsidRPr="00DF449E">
        <w:t xml:space="preserve">5.  </w:t>
      </w:r>
      <w:r w:rsidRPr="00DF449E">
        <w:rPr>
          <w:u w:val="single"/>
        </w:rPr>
        <w:t>Impact on small entities</w:t>
      </w:r>
    </w:p>
    <w:p w:rsidR="00F72D0B" w:rsidRPr="00DF449E" w:rsidP="00F72D0B" w14:paraId="6816C937" w14:textId="77777777"/>
    <w:p w:rsidR="00A9305B" w:rsidRPr="00DF449E" w:rsidP="00A9305B" w14:paraId="4D323399" w14:textId="308F18B5">
      <w:r w:rsidRPr="00DF449E">
        <w:t xml:space="preserve">This collection of information </w:t>
      </w:r>
      <w:r w:rsidRPr="00DF449E" w:rsidR="000B7AAF">
        <w:t>will minimally</w:t>
      </w:r>
      <w:r w:rsidRPr="00DF449E" w:rsidR="008956E9">
        <w:t xml:space="preserve"> affect</w:t>
      </w:r>
      <w:r w:rsidRPr="00DF449E">
        <w:t xml:space="preserve"> small entities</w:t>
      </w:r>
      <w:r w:rsidRPr="00DF449E">
        <w:t>.</w:t>
      </w:r>
      <w:r w:rsidRPr="00DF449E" w:rsidR="008C332E">
        <w:t xml:space="preserve"> </w:t>
      </w:r>
      <w:r w:rsidRPr="00DF449E">
        <w:t xml:space="preserve">However, Treasury will attempt to minimize </w:t>
      </w:r>
      <w:r w:rsidR="0024558B">
        <w:t xml:space="preserve">the </w:t>
      </w:r>
      <w:r w:rsidRPr="00DF449E">
        <w:t>burden on small entities to the greatest extent practicable</w:t>
      </w:r>
      <w:r w:rsidR="00752605">
        <w:t xml:space="preserve">, such as </w:t>
      </w:r>
      <w:r w:rsidRPr="00A8753E" w:rsidR="00000CE9">
        <w:t>by</w:t>
      </w:r>
      <w:r w:rsidR="00000CE9">
        <w:t xml:space="preserve"> </w:t>
      </w:r>
      <w:r w:rsidR="00752605">
        <w:t>providing assistance to small entities</w:t>
      </w:r>
      <w:r w:rsidR="0024558B">
        <w:t xml:space="preserve">. </w:t>
      </w:r>
    </w:p>
    <w:p w:rsidR="00D24A88" w:rsidRPr="00DF449E" w:rsidP="00F72D0B" w14:paraId="19F24EA6" w14:textId="77777777">
      <w:r w:rsidRPr="00DF449E">
        <w:t xml:space="preserve"> </w:t>
      </w:r>
    </w:p>
    <w:p w:rsidR="00F72D0B" w:rsidRPr="00DF449E" w:rsidP="009E2FFF" w14:paraId="7FBFF684" w14:textId="77777777">
      <w:pPr>
        <w:rPr>
          <w:u w:val="single"/>
        </w:rPr>
      </w:pPr>
      <w:r w:rsidRPr="00DF449E">
        <w:t xml:space="preserve">6.  </w:t>
      </w:r>
      <w:r w:rsidRPr="00DF449E">
        <w:rPr>
          <w:u w:val="single"/>
        </w:rPr>
        <w:t>Consequences of less frequent collection and obstacles to burden reduction</w:t>
      </w:r>
    </w:p>
    <w:p w:rsidR="00F72D0B" w:rsidRPr="00DF449E" w:rsidP="00F72D0B" w14:paraId="02611959" w14:textId="77777777"/>
    <w:p w:rsidR="00A5370F" w:rsidP="00DD104D" w14:paraId="62161451" w14:textId="755980FE">
      <w:r w:rsidRPr="00DF449E">
        <w:t xml:space="preserve">If </w:t>
      </w:r>
      <w:r w:rsidRPr="00DF449E" w:rsidR="00BA081A">
        <w:t xml:space="preserve">the </w:t>
      </w:r>
      <w:r w:rsidR="008621B5">
        <w:t>eligible entities</w:t>
      </w:r>
      <w:r w:rsidRPr="00DF449E" w:rsidR="008621B5">
        <w:t xml:space="preserve"> </w:t>
      </w:r>
      <w:r w:rsidRPr="00DF449E" w:rsidR="00F7485D">
        <w:t xml:space="preserve">are unable to provide </w:t>
      </w:r>
      <w:r w:rsidRPr="00DF449E" w:rsidR="000B7AAF">
        <w:t>th</w:t>
      </w:r>
      <w:r w:rsidRPr="00DF449E" w:rsidR="00247B5F">
        <w:t>e</w:t>
      </w:r>
      <w:r w:rsidRPr="00DF449E" w:rsidR="000B7AAF">
        <w:t>i</w:t>
      </w:r>
      <w:r w:rsidRPr="00DF449E" w:rsidR="00247B5F">
        <w:t>r</w:t>
      </w:r>
      <w:r w:rsidRPr="00DF449E" w:rsidR="000B7AAF">
        <w:t xml:space="preserve"> </w:t>
      </w:r>
      <w:r w:rsidRPr="00DF449E" w:rsidR="00255285">
        <w:t xml:space="preserve">completed </w:t>
      </w:r>
      <w:r w:rsidRPr="009715F3" w:rsidR="00117C21">
        <w:rPr>
          <w:bCs/>
        </w:rPr>
        <w:t>Certification</w:t>
      </w:r>
      <w:r w:rsidR="008621B5">
        <w:rPr>
          <w:bCs/>
        </w:rPr>
        <w:t xml:space="preserve">, </w:t>
      </w:r>
      <w:r w:rsidRPr="009715F3" w:rsidR="00117C21">
        <w:rPr>
          <w:bCs/>
        </w:rPr>
        <w:t xml:space="preserve">Acceptance of Award Terms </w:t>
      </w:r>
      <w:r w:rsidR="008621B5">
        <w:rPr>
          <w:bCs/>
        </w:rPr>
        <w:t>f</w:t>
      </w:r>
      <w:r w:rsidRPr="009715F3" w:rsidR="00117C21">
        <w:rPr>
          <w:bCs/>
        </w:rPr>
        <w:t>orm</w:t>
      </w:r>
      <w:r w:rsidR="008621B5">
        <w:rPr>
          <w:bCs/>
        </w:rPr>
        <w:t>,</w:t>
      </w:r>
      <w:r w:rsidRPr="009715F3" w:rsidR="00117C21">
        <w:rPr>
          <w:bCs/>
        </w:rPr>
        <w:t xml:space="preserve"> </w:t>
      </w:r>
      <w:r w:rsidR="00117C21">
        <w:rPr>
          <w:bCs/>
        </w:rPr>
        <w:t xml:space="preserve">and </w:t>
      </w:r>
      <w:r w:rsidRPr="009715F3" w:rsidR="00117C21">
        <w:t>Recipient Payment</w:t>
      </w:r>
      <w:r w:rsidR="008621B5">
        <w:t xml:space="preserve"> Information</w:t>
      </w:r>
      <w:r w:rsidRPr="009715F3" w:rsidR="00117C21">
        <w:t xml:space="preserve"> </w:t>
      </w:r>
      <w:r w:rsidR="008621B5">
        <w:t>f</w:t>
      </w:r>
      <w:r w:rsidRPr="009715F3" w:rsidR="00117C21">
        <w:t>orm</w:t>
      </w:r>
      <w:r w:rsidRPr="00DF449E" w:rsidR="00BD5E56">
        <w:t>,</w:t>
      </w:r>
      <w:r w:rsidRPr="00DF449E">
        <w:t xml:space="preserve"> </w:t>
      </w:r>
      <w:r w:rsidRPr="00DF449E" w:rsidR="00247B5F">
        <w:t xml:space="preserve">Treasury </w:t>
      </w:r>
      <w:r w:rsidR="00672845">
        <w:t>will</w:t>
      </w:r>
      <w:r w:rsidRPr="00DF449E" w:rsidR="00672845">
        <w:t xml:space="preserve"> </w:t>
      </w:r>
      <w:r w:rsidRPr="00DF449E" w:rsidR="00247B5F">
        <w:t xml:space="preserve">not </w:t>
      </w:r>
      <w:r w:rsidRPr="00DF449E">
        <w:t xml:space="preserve">be </w:t>
      </w:r>
      <w:r w:rsidRPr="00DF449E" w:rsidR="00247B5F">
        <w:t>a</w:t>
      </w:r>
      <w:r w:rsidRPr="00DF449E">
        <w:t xml:space="preserve">ble to </w:t>
      </w:r>
      <w:r w:rsidR="00C6332E">
        <w:t>verify the eligibility of those entities</w:t>
      </w:r>
      <w:r w:rsidR="00A00149">
        <w:t xml:space="preserve"> or collect required reporting</w:t>
      </w:r>
      <w:r w:rsidRPr="00DF449E" w:rsidR="00247B5F">
        <w:t xml:space="preserve">. </w:t>
      </w:r>
    </w:p>
    <w:p w:rsidR="00D84F48" w:rsidP="00DD104D" w14:paraId="0798C8C1" w14:textId="0B5A55E7"/>
    <w:p w:rsidR="00D84F48" w:rsidP="00D84F48" w14:paraId="09C33E8D" w14:textId="77777777">
      <w:r>
        <w:t xml:space="preserve">For the NEU template and the Non-UGLG template, </w:t>
      </w:r>
      <w:r w:rsidRPr="00DF449E">
        <w:t xml:space="preserve">Treasury will collect only the information required </w:t>
      </w:r>
      <w:r>
        <w:t>to collect their reporting</w:t>
      </w:r>
      <w:r w:rsidRPr="00DF449E">
        <w:t xml:space="preserve">.  The </w:t>
      </w:r>
      <w:r>
        <w:t>eligible entities</w:t>
      </w:r>
      <w:r w:rsidRPr="00DF449E">
        <w:t xml:space="preserve"> will submit a limited amount of information that should be readily available to the entity in the ordinary course of business. </w:t>
      </w:r>
    </w:p>
    <w:p w:rsidR="008C0234" w:rsidP="00DD104D" w14:paraId="540C901E" w14:textId="0101B122"/>
    <w:p w:rsidR="008C0234" w:rsidP="008C0234" w14:paraId="08335178" w14:textId="2FD7E86D">
      <w:bookmarkStart w:id="4" w:name="_Hlk76737348"/>
      <w:r>
        <w:t>If the data in the Recovery Plan</w:t>
      </w:r>
      <w:r w:rsidR="00263480">
        <w:t xml:space="preserve"> is not collected Treasury may not be able to properly assess a recipient’s compliance under the program guidelines </w:t>
      </w:r>
      <w:r>
        <w:t>or report on how the funds were used to Congress, the public, and other oversight bodies</w:t>
      </w:r>
      <w:r w:rsidR="00263480">
        <w:t xml:space="preserve">. </w:t>
      </w:r>
    </w:p>
    <w:p w:rsidR="00414A14" w:rsidP="008C0234" w14:paraId="08FC781D" w14:textId="6C277387"/>
    <w:p w:rsidR="00414A14" w:rsidP="00414A14" w14:paraId="116D4D6A" w14:textId="7E4C5A71">
      <w:r>
        <w:t xml:space="preserve">If the data in the </w:t>
      </w:r>
      <w:r w:rsidR="00A96FCB">
        <w:t xml:space="preserve">Project and Expenditure Report </w:t>
      </w:r>
      <w:r>
        <w:t xml:space="preserve">is not collected Treasury may not be able to properly assess a recipient’s current status of use of funds in compliance with program guidelines or report on how the funds were used to Congress, the public, and other oversight bodies. </w:t>
      </w:r>
      <w:r w:rsidR="00A96FCB">
        <w:t xml:space="preserve"> In addition, Treasury will not be able to provide the subaward information required by FSRS. </w:t>
      </w:r>
    </w:p>
    <w:p w:rsidR="00414A14" w:rsidRPr="00AE3D85" w:rsidP="008C0234" w14:paraId="408801B9" w14:textId="77777777"/>
    <w:bookmarkEnd w:id="4"/>
    <w:p w:rsidR="00F72D0B" w:rsidRPr="00DF449E" w:rsidP="009E2FFF" w14:paraId="66E0BEB6" w14:textId="57BAEB4B">
      <w:pPr>
        <w:rPr>
          <w:u w:val="single"/>
        </w:rPr>
      </w:pPr>
      <w:r w:rsidRPr="00DF449E">
        <w:t xml:space="preserve"> </w:t>
      </w:r>
      <w:r w:rsidRPr="00DF449E" w:rsidR="006B22D1">
        <w:t xml:space="preserve"> </w:t>
      </w:r>
      <w:r w:rsidRPr="00DF449E" w:rsidR="00CB003A">
        <w:t xml:space="preserve">7.  </w:t>
      </w:r>
      <w:r w:rsidRPr="00DF449E" w:rsidR="00CB003A">
        <w:rPr>
          <w:u w:val="single"/>
        </w:rPr>
        <w:t>Circumstances requiring special information collection</w:t>
      </w:r>
    </w:p>
    <w:p w:rsidR="00FB7F1C" w:rsidRPr="00DF449E" w:rsidP="00CB003A" w14:paraId="5701298D" w14:textId="77777777">
      <w:pPr>
        <w:rPr>
          <w:u w:val="single"/>
        </w:rPr>
      </w:pPr>
    </w:p>
    <w:p w:rsidR="00E13A9C" w:rsidRPr="00DF449E" w:rsidP="00CB003A" w14:paraId="62A3F377" w14:textId="77777777">
      <w:r w:rsidRPr="00DF449E">
        <w:t>There are no special circumstances that require the collection to be conducted in a manner inconsistent with OMB guidelines.</w:t>
      </w:r>
    </w:p>
    <w:p w:rsidR="007B29AC" w:rsidRPr="00DF449E" w:rsidP="00CB003A" w14:paraId="46C015FD" w14:textId="77777777"/>
    <w:p w:rsidR="00CB003A" w:rsidRPr="00DF449E" w:rsidP="00040666" w14:paraId="52186B1E" w14:textId="77777777">
      <w:pPr>
        <w:rPr>
          <w:u w:val="single"/>
        </w:rPr>
      </w:pPr>
      <w:r w:rsidRPr="00DF449E">
        <w:t xml:space="preserve">8.  </w:t>
      </w:r>
      <w:r w:rsidRPr="00DF449E">
        <w:rPr>
          <w:u w:val="single"/>
        </w:rPr>
        <w:t>Solicitation of comments on information collection</w:t>
      </w:r>
      <w:r w:rsidRPr="00DF449E" w:rsidR="00040666">
        <w:rPr>
          <w:u w:val="single"/>
        </w:rPr>
        <w:t xml:space="preserve"> and justification for expedited processing pursuant to 5 C</w:t>
      </w:r>
      <w:r w:rsidRPr="00DF449E" w:rsidR="00247B5F">
        <w:rPr>
          <w:u w:val="single"/>
        </w:rPr>
        <w:t>.</w:t>
      </w:r>
      <w:r w:rsidRPr="00DF449E" w:rsidR="00040666">
        <w:rPr>
          <w:u w:val="single"/>
        </w:rPr>
        <w:t>F</w:t>
      </w:r>
      <w:r w:rsidRPr="00DF449E" w:rsidR="00247B5F">
        <w:rPr>
          <w:u w:val="single"/>
        </w:rPr>
        <w:t>.</w:t>
      </w:r>
      <w:r w:rsidRPr="00DF449E" w:rsidR="00040666">
        <w:rPr>
          <w:u w:val="single"/>
        </w:rPr>
        <w:t>R</w:t>
      </w:r>
      <w:r w:rsidRPr="00DF449E" w:rsidR="00247B5F">
        <w:rPr>
          <w:u w:val="single"/>
        </w:rPr>
        <w:t>. §</w:t>
      </w:r>
      <w:r w:rsidRPr="00DF449E" w:rsidR="00040666">
        <w:rPr>
          <w:u w:val="single"/>
        </w:rPr>
        <w:t xml:space="preserve"> 1320.13</w:t>
      </w:r>
    </w:p>
    <w:p w:rsidR="00CB003A" w:rsidRPr="00DF449E" w:rsidP="00CB003A" w14:paraId="0DD2406F" w14:textId="77777777"/>
    <w:p w:rsidR="00236E8A" w:rsidP="00836739" w14:paraId="3CC5A505" w14:textId="3FF2C888">
      <w:r w:rsidRPr="009F1EF0">
        <w:t xml:space="preserve">On </w:t>
      </w:r>
      <w:r>
        <w:t>September 16</w:t>
      </w:r>
      <w:r w:rsidRPr="009F1EF0">
        <w:t xml:space="preserve">, 2021, Treasury published a notice in the Federal Register at 86 FR </w:t>
      </w:r>
      <w:r>
        <w:t>51727</w:t>
      </w:r>
      <w:r w:rsidRPr="009F1EF0">
        <w:t xml:space="preserve">, soliciting public review and comment for a 60-day period. </w:t>
      </w:r>
      <w:r>
        <w:t xml:space="preserve"> </w:t>
      </w:r>
      <w:r w:rsidRPr="009F1EF0">
        <w:t>Treasury received</w:t>
      </w:r>
      <w:r>
        <w:t xml:space="preserve"> 2 comments in response to the 60-day notice. </w:t>
      </w:r>
    </w:p>
    <w:p w:rsidR="00236E8A" w:rsidP="00836739" w14:paraId="3144DB46" w14:textId="77777777"/>
    <w:p w:rsidR="005C0D8E" w:rsidP="00836739" w14:paraId="6F97F182" w14:textId="0090F5E9">
      <w:r>
        <w:t xml:space="preserve">The first commenter </w:t>
      </w:r>
      <w:r w:rsidR="004933EA">
        <w:t>expressed</w:t>
      </w:r>
      <w:r>
        <w:t xml:space="preserve"> concerns about </w:t>
      </w:r>
      <w:r w:rsidR="004933EA">
        <w:t xml:space="preserve">an OSHA rule </w:t>
      </w:r>
      <w:r>
        <w:t xml:space="preserve">requiring vaccinations for employment and </w:t>
      </w:r>
      <w:r w:rsidR="00236487">
        <w:t>the</w:t>
      </w:r>
      <w:r>
        <w:t xml:space="preserve"> response</w:t>
      </w:r>
      <w:r w:rsidR="00236487">
        <w:t xml:space="preserve"> to the pandemic</w:t>
      </w:r>
      <w:r>
        <w:t xml:space="preserve"> across the country.  </w:t>
      </w:r>
      <w:r w:rsidR="004933EA">
        <w:t xml:space="preserve">  Th</w:t>
      </w:r>
      <w:r w:rsidR="00236487">
        <w:t xml:space="preserve">is </w:t>
      </w:r>
      <w:r w:rsidR="004933EA">
        <w:t xml:space="preserve">comment is not relevant to </w:t>
      </w:r>
      <w:r w:rsidR="00236487">
        <w:t xml:space="preserve">this data collection. </w:t>
      </w:r>
    </w:p>
    <w:p w:rsidR="00236E8A" w:rsidP="00836739" w14:paraId="500D25E5" w14:textId="2373AAF1"/>
    <w:p w:rsidR="00AC1EC6" w:rsidP="00CB003A" w14:paraId="21F3D496" w14:textId="40D5625F">
      <w:pPr>
        <w:rPr>
          <w:rStyle w:val="CommentReference"/>
          <w:sz w:val="24"/>
          <w:szCs w:val="24"/>
        </w:rPr>
      </w:pPr>
      <w:r>
        <w:t xml:space="preserve">The second commentor expressed support for the program.   </w:t>
      </w:r>
      <w:r w:rsidRPr="009F1EF0" w:rsidR="00836739">
        <w:t xml:space="preserve">Treasury would like to thank the commentor for </w:t>
      </w:r>
      <w:r>
        <w:t xml:space="preserve">their support. </w:t>
      </w:r>
      <w:r w:rsidRPr="009F1EF0" w:rsidR="00836739">
        <w:t xml:space="preserve">  </w:t>
      </w:r>
    </w:p>
    <w:p w:rsidR="00836739" w:rsidP="00CB003A" w14:paraId="02A48A50" w14:textId="7D5AC3A0">
      <w:pPr>
        <w:rPr>
          <w:rStyle w:val="CommentReference"/>
          <w:sz w:val="24"/>
          <w:szCs w:val="24"/>
        </w:rPr>
      </w:pPr>
    </w:p>
    <w:p w:rsidR="00147A26" w:rsidRPr="00DF449E" w:rsidP="009E2FFF" w14:paraId="222F51D1" w14:textId="77777777">
      <w:pPr>
        <w:keepNext/>
      </w:pPr>
      <w:r w:rsidRPr="00DF449E">
        <w:t xml:space="preserve">9.  </w:t>
      </w:r>
      <w:r w:rsidRPr="00DF449E">
        <w:rPr>
          <w:u w:val="single"/>
        </w:rPr>
        <w:t xml:space="preserve">Provision of payments to </w:t>
      </w:r>
      <w:r w:rsidRPr="00DF449E" w:rsidR="003B7343">
        <w:rPr>
          <w:u w:val="single"/>
        </w:rPr>
        <w:t>respondents</w:t>
      </w:r>
    </w:p>
    <w:p w:rsidR="00147A26" w:rsidRPr="00DF449E" w:rsidP="00FB7F1C" w14:paraId="0C6271CE" w14:textId="77777777">
      <w:pPr>
        <w:keepNext/>
      </w:pPr>
    </w:p>
    <w:p w:rsidR="00256911" w:rsidRPr="00DF449E" w:rsidP="00CB003A" w14:paraId="37B4AC20" w14:textId="77777777">
      <w:r w:rsidRPr="00DF449E">
        <w:t>No payments or gifts are provided to respondents</w:t>
      </w:r>
      <w:r w:rsidRPr="00DF449E" w:rsidR="009B6FA0">
        <w:t>.</w:t>
      </w:r>
    </w:p>
    <w:p w:rsidR="00BA51F9" w:rsidRPr="00DF449E" w:rsidP="00CB003A" w14:paraId="293C1B9F" w14:textId="77777777"/>
    <w:p w:rsidR="00147A26" w:rsidRPr="00DF449E" w:rsidP="009E2FFF" w14:paraId="01FC6DFE" w14:textId="77777777">
      <w:pPr>
        <w:keepNext/>
      </w:pPr>
      <w:r w:rsidRPr="00DF449E">
        <w:t xml:space="preserve">10.  </w:t>
      </w:r>
      <w:r w:rsidRPr="00DF449E">
        <w:rPr>
          <w:u w:val="single"/>
        </w:rPr>
        <w:t>Assurance of confidentiality</w:t>
      </w:r>
    </w:p>
    <w:p w:rsidR="00147A26" w:rsidRPr="00DF449E" w:rsidP="00666B6D" w14:paraId="4C146AD6" w14:textId="77777777">
      <w:pPr>
        <w:keepNext/>
      </w:pPr>
    </w:p>
    <w:p w:rsidR="0035119A" w:rsidRPr="00DF449E" w:rsidP="00E146F2" w14:paraId="46536B1C" w14:textId="2D89ED1C">
      <w:pPr>
        <w:autoSpaceDE w:val="0"/>
        <w:autoSpaceDN w:val="0"/>
      </w:pPr>
      <w:r w:rsidRPr="00DF449E">
        <w:t xml:space="preserve">Information collected </w:t>
      </w:r>
      <w:r w:rsidR="00C6332E">
        <w:t xml:space="preserve">through reporting carries no assurance of confidentiality, </w:t>
      </w:r>
      <w:r w:rsidRPr="00DF449E">
        <w:t xml:space="preserve">consistent with </w:t>
      </w:r>
      <w:r w:rsidR="00C6332E">
        <w:t xml:space="preserve">Treasury’s commitment to transparency and accountability, and with </w:t>
      </w:r>
      <w:r w:rsidRPr="00DF449E">
        <w:t>the Freedom of Information Act and other applicable law</w:t>
      </w:r>
      <w:r w:rsidRPr="00DF449E" w:rsidR="00247B5F">
        <w:t>s</w:t>
      </w:r>
      <w:r w:rsidRPr="00DF449E">
        <w:t>.</w:t>
      </w:r>
    </w:p>
    <w:p w:rsidR="00E13A9C" w:rsidRPr="00DF449E" w:rsidP="00CB003A" w14:paraId="0940FA13" w14:textId="77777777"/>
    <w:p w:rsidR="00147A26" w:rsidRPr="00DF449E" w:rsidP="009E2FFF" w14:paraId="1CC669C5" w14:textId="77777777">
      <w:pPr>
        <w:rPr>
          <w:u w:val="single"/>
        </w:rPr>
      </w:pPr>
      <w:r w:rsidRPr="00DF449E">
        <w:t xml:space="preserve">11.  </w:t>
      </w:r>
      <w:r w:rsidRPr="00DF449E">
        <w:rPr>
          <w:u w:val="single"/>
        </w:rPr>
        <w:t>Justification of sensitive questions</w:t>
      </w:r>
    </w:p>
    <w:p w:rsidR="004F6BB6" w:rsidRPr="00DF449E" w:rsidP="00CB003A" w14:paraId="02D46D42" w14:textId="77777777"/>
    <w:p w:rsidR="00147A26" w:rsidRPr="00DF449E" w:rsidP="00CB003A" w14:paraId="2A70236B" w14:textId="5E69AF3F">
      <w:r w:rsidRPr="00DF449E">
        <w:t xml:space="preserve">No sensitive questions </w:t>
      </w:r>
      <w:r w:rsidRPr="00DF449E" w:rsidR="00247B5F">
        <w:t>will be</w:t>
      </w:r>
      <w:r w:rsidRPr="00DF449E">
        <w:t xml:space="preserve"> asked of </w:t>
      </w:r>
      <w:r w:rsidRPr="00DF449E" w:rsidR="00247B5F">
        <w:t xml:space="preserve">eligible </w:t>
      </w:r>
      <w:r w:rsidR="00C34C4D">
        <w:t>entities.</w:t>
      </w:r>
      <w:r w:rsidRPr="00DF449E">
        <w:t xml:space="preserve"> </w:t>
      </w:r>
    </w:p>
    <w:p w:rsidR="0028091A" w:rsidRPr="00DF449E" w:rsidP="009E2FFF" w14:paraId="2B0B7A52" w14:textId="77777777"/>
    <w:p w:rsidR="00A95A75" w:rsidRPr="00DF449E" w:rsidP="009E2FFF" w14:paraId="726059FA" w14:textId="7257B745">
      <w:pPr>
        <w:rPr>
          <w:u w:val="single"/>
        </w:rPr>
      </w:pPr>
      <w:r w:rsidRPr="00DF449E">
        <w:t xml:space="preserve">12.  </w:t>
      </w:r>
      <w:r w:rsidRPr="00DF449E" w:rsidR="00ED50C9">
        <w:rPr>
          <w:u w:val="single"/>
        </w:rPr>
        <w:t xml:space="preserve">Estimate of the hour burden of information collection </w:t>
      </w:r>
    </w:p>
    <w:p w:rsidR="00ED50C9" w:rsidRPr="00DF449E" w:rsidP="009E2FFF" w14:paraId="7568C2E1" w14:textId="77777777">
      <w:pPr>
        <w:rPr>
          <w:u w:val="single"/>
        </w:rPr>
      </w:pPr>
    </w:p>
    <w:p w:rsidR="00ED50C9" w:rsidRPr="00DF449E" w:rsidP="009E2FFF" w14:paraId="4F0923B4" w14:textId="781C6DF1">
      <w:pPr>
        <w:rPr>
          <w:color w:val="FF0000"/>
          <w:u w:val="single"/>
        </w:rPr>
      </w:pPr>
      <w:r w:rsidRPr="00DF449E">
        <w:t>The</w:t>
      </w:r>
      <w:r w:rsidR="00A03E6A">
        <w:rPr>
          <w:bCs/>
        </w:rPr>
        <w:t xml:space="preserve"> </w:t>
      </w:r>
      <w:r w:rsidRPr="00DB2B3C" w:rsidR="006C248F">
        <w:t>R</w:t>
      </w:r>
      <w:r w:rsidRPr="00DB2B3C" w:rsidR="00B2632C">
        <w:t xml:space="preserve">ecipient </w:t>
      </w:r>
      <w:r w:rsidRPr="00DB2B3C" w:rsidR="006C248F">
        <w:t>P</w:t>
      </w:r>
      <w:r w:rsidRPr="00DB2B3C" w:rsidR="00B2632C">
        <w:t xml:space="preserve">ayment </w:t>
      </w:r>
      <w:r w:rsidRPr="00DB2B3C" w:rsidR="006C248F">
        <w:t>I</w:t>
      </w:r>
      <w:r w:rsidRPr="00DB2B3C" w:rsidR="0038335A">
        <w:t xml:space="preserve">nformation </w:t>
      </w:r>
      <w:r w:rsidRPr="00DB2B3C" w:rsidR="00B2632C">
        <w:t>form</w:t>
      </w:r>
      <w:r w:rsidRPr="00DB2B3C" w:rsidR="008621B5">
        <w:t>,</w:t>
      </w:r>
      <w:r w:rsidRPr="00DB2B3C" w:rsidR="0038335A">
        <w:t xml:space="preserve"> </w:t>
      </w:r>
      <w:r w:rsidRPr="00DB2B3C" w:rsidR="006C248F">
        <w:t>A</w:t>
      </w:r>
      <w:r w:rsidRPr="00DB2B3C" w:rsidR="008621B5">
        <w:t xml:space="preserve">cceptance of </w:t>
      </w:r>
      <w:r w:rsidRPr="00DB2B3C" w:rsidR="006C248F">
        <w:t>A</w:t>
      </w:r>
      <w:r w:rsidRPr="00DB2B3C" w:rsidR="008621B5">
        <w:t xml:space="preserve">ward </w:t>
      </w:r>
      <w:r w:rsidRPr="00DB2B3C" w:rsidR="006C248F">
        <w:t>T</w:t>
      </w:r>
      <w:r w:rsidRPr="00DB2B3C" w:rsidR="008621B5">
        <w:t>erms form</w:t>
      </w:r>
      <w:r w:rsidRPr="00DB2B3C" w:rsidR="00811F48">
        <w:t>, Title VI Assurances</w:t>
      </w:r>
      <w:r w:rsidRPr="00DB2B3C" w:rsidR="008C0234">
        <w:t xml:space="preserve">, </w:t>
      </w:r>
      <w:r w:rsidRPr="00DB2B3C" w:rsidR="00D34137">
        <w:t xml:space="preserve">Tribal Employment Information, Request for Extensions, </w:t>
      </w:r>
      <w:r w:rsidRPr="00DB2B3C" w:rsidR="0054656A">
        <w:t>Recovery Plans</w:t>
      </w:r>
      <w:r w:rsidRPr="00DB2B3C" w:rsidR="00D34137">
        <w:t>, NEU Distribution Templates</w:t>
      </w:r>
      <w:r w:rsidR="00155692">
        <w:t>,</w:t>
      </w:r>
      <w:r w:rsidR="0054656A">
        <w:t xml:space="preserve"> Non-UGLG Distribution Templates</w:t>
      </w:r>
      <w:r w:rsidR="00FE40D2">
        <w:t>,</w:t>
      </w:r>
      <w:r w:rsidR="00606F8E">
        <w:t xml:space="preserve"> Local Government Transfer Forms, NEU and non-UGLG Agreements,</w:t>
      </w:r>
      <w:r w:rsidR="00FE40D2">
        <w:t xml:space="preserve"> and the Project and Expenditure Report</w:t>
      </w:r>
      <w:r w:rsidR="00E45AB3">
        <w:t xml:space="preserve"> </w:t>
      </w:r>
      <w:r w:rsidRPr="00DF449E">
        <w:t>burden estimates are as follows:</w:t>
      </w:r>
    </w:p>
    <w:p w:rsidR="004063EA" w:rsidRPr="00DF449E" w:rsidP="004B0AEF" w14:paraId="2CAB94DF" w14:textId="77777777">
      <w:pPr>
        <w:ind w:firstLine="360"/>
        <w:rPr>
          <w:b/>
          <w:u w:val="single"/>
        </w:rPr>
      </w:pPr>
    </w:p>
    <w:tbl>
      <w:tblPr>
        <w:tblW w:w="9648" w:type="dxa"/>
        <w:tblInd w:w="-118" w:type="dxa"/>
        <w:tblLayout w:type="fixed"/>
        <w:tblLook w:val="04A0"/>
      </w:tblPr>
      <w:tblGrid>
        <w:gridCol w:w="1548"/>
        <w:gridCol w:w="1350"/>
        <w:gridCol w:w="1620"/>
        <w:gridCol w:w="1350"/>
        <w:gridCol w:w="1260"/>
        <w:gridCol w:w="1080"/>
        <w:gridCol w:w="1440"/>
      </w:tblGrid>
      <w:tr w14:paraId="46D659AB" w14:textId="77777777" w:rsidTr="00116531">
        <w:tblPrEx>
          <w:tblW w:w="9648" w:type="dxa"/>
          <w:tblInd w:w="-118" w:type="dxa"/>
          <w:tblLayout w:type="fixed"/>
          <w:tblLook w:val="04A0"/>
        </w:tblPrEx>
        <w:trPr>
          <w:trHeight w:val="1110"/>
          <w:tblHeader/>
        </w:trPr>
        <w:tc>
          <w:tcPr>
            <w:tcW w:w="154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23B72" w:rsidRPr="00DF449E" w14:paraId="4D7AF8BE" w14:textId="77777777">
            <w:pPr>
              <w:rPr>
                <w:b/>
                <w:bCs/>
                <w:color w:val="000000"/>
              </w:rPr>
            </w:pPr>
            <w:bookmarkStart w:id="5" w:name="RANGE!A1:G18"/>
            <w:r w:rsidRPr="00DF449E">
              <w:rPr>
                <w:b/>
                <w:bCs/>
                <w:color w:val="000000"/>
              </w:rPr>
              <w:t>Reporting</w:t>
            </w:r>
            <w:bookmarkEnd w:id="5"/>
          </w:p>
        </w:tc>
        <w:tc>
          <w:tcPr>
            <w:tcW w:w="1350" w:type="dxa"/>
            <w:tcBorders>
              <w:top w:val="single" w:sz="8" w:space="0" w:color="auto"/>
              <w:left w:val="nil"/>
              <w:bottom w:val="single" w:sz="8" w:space="0" w:color="auto"/>
              <w:right w:val="single" w:sz="8" w:space="0" w:color="auto"/>
            </w:tcBorders>
            <w:shd w:val="clear" w:color="000000" w:fill="FFFFFF"/>
            <w:vAlign w:val="center"/>
            <w:hideMark/>
          </w:tcPr>
          <w:p w:rsidR="00F23B72" w:rsidRPr="00DF449E" w14:paraId="01A560AD" w14:textId="77777777">
            <w:pPr>
              <w:jc w:val="center"/>
              <w:rPr>
                <w:b/>
                <w:bCs/>
                <w:color w:val="000000"/>
              </w:rPr>
            </w:pPr>
            <w:r w:rsidRPr="00DF449E">
              <w:rPr>
                <w:b/>
                <w:bCs/>
                <w:color w:val="000000"/>
              </w:rPr>
              <w:t># Respondents</w:t>
            </w:r>
          </w:p>
        </w:tc>
        <w:tc>
          <w:tcPr>
            <w:tcW w:w="1620" w:type="dxa"/>
            <w:tcBorders>
              <w:top w:val="single" w:sz="8" w:space="0" w:color="auto"/>
              <w:left w:val="nil"/>
              <w:bottom w:val="single" w:sz="8" w:space="0" w:color="auto"/>
              <w:right w:val="single" w:sz="8" w:space="0" w:color="auto"/>
            </w:tcBorders>
            <w:shd w:val="clear" w:color="000000" w:fill="FFFFFF"/>
            <w:vAlign w:val="center"/>
            <w:hideMark/>
          </w:tcPr>
          <w:p w:rsidR="00F23B72" w:rsidRPr="00DF449E" w14:paraId="407A838C" w14:textId="77777777">
            <w:pPr>
              <w:jc w:val="center"/>
              <w:rPr>
                <w:b/>
                <w:bCs/>
                <w:color w:val="000000"/>
              </w:rPr>
            </w:pPr>
            <w:r w:rsidRPr="00DF449E">
              <w:rPr>
                <w:b/>
                <w:bCs/>
                <w:color w:val="000000"/>
              </w:rPr>
              <w:t># Responses Per Respondent</w:t>
            </w:r>
          </w:p>
          <w:p w:rsidR="00210608" w:rsidRPr="00DF449E" w:rsidP="00210608" w14:paraId="37155C44" w14:textId="77777777">
            <w:pPr>
              <w:jc w:val="center"/>
              <w:rPr>
                <w:b/>
                <w:bCs/>
                <w:color w:val="000000"/>
              </w:rPr>
            </w:pPr>
          </w:p>
        </w:tc>
        <w:tc>
          <w:tcPr>
            <w:tcW w:w="1350" w:type="dxa"/>
            <w:tcBorders>
              <w:top w:val="single" w:sz="8" w:space="0" w:color="auto"/>
              <w:left w:val="nil"/>
              <w:bottom w:val="single" w:sz="8" w:space="0" w:color="auto"/>
              <w:right w:val="single" w:sz="8" w:space="0" w:color="auto"/>
            </w:tcBorders>
            <w:shd w:val="clear" w:color="000000" w:fill="FFFFFF"/>
            <w:vAlign w:val="center"/>
            <w:hideMark/>
          </w:tcPr>
          <w:p w:rsidR="00F23B72" w:rsidRPr="00DF449E" w:rsidP="00704B18" w14:paraId="498169CE" w14:textId="77777777">
            <w:pPr>
              <w:jc w:val="center"/>
              <w:rPr>
                <w:b/>
                <w:bCs/>
                <w:color w:val="000000"/>
              </w:rPr>
            </w:pPr>
            <w:r w:rsidRPr="00DF449E">
              <w:rPr>
                <w:b/>
                <w:bCs/>
                <w:color w:val="000000"/>
              </w:rPr>
              <w:t>Total Responses</w:t>
            </w:r>
          </w:p>
        </w:tc>
        <w:tc>
          <w:tcPr>
            <w:tcW w:w="1260" w:type="dxa"/>
            <w:tcBorders>
              <w:top w:val="single" w:sz="8" w:space="0" w:color="auto"/>
              <w:left w:val="nil"/>
              <w:bottom w:val="single" w:sz="8" w:space="0" w:color="auto"/>
              <w:right w:val="single" w:sz="8" w:space="0" w:color="auto"/>
            </w:tcBorders>
            <w:shd w:val="clear" w:color="000000" w:fill="FFFFFF"/>
            <w:vAlign w:val="center"/>
            <w:hideMark/>
          </w:tcPr>
          <w:p w:rsidR="00F23B72" w:rsidRPr="00DF449E" w14:paraId="04C4DA28" w14:textId="77777777">
            <w:pPr>
              <w:jc w:val="center"/>
              <w:rPr>
                <w:b/>
                <w:bCs/>
                <w:color w:val="000000"/>
              </w:rPr>
            </w:pPr>
            <w:r w:rsidRPr="00DF449E">
              <w:rPr>
                <w:b/>
                <w:bCs/>
                <w:color w:val="000000"/>
              </w:rPr>
              <w:t>Hours per response</w:t>
            </w:r>
          </w:p>
        </w:tc>
        <w:tc>
          <w:tcPr>
            <w:tcW w:w="1080" w:type="dxa"/>
            <w:tcBorders>
              <w:top w:val="single" w:sz="8" w:space="0" w:color="auto"/>
              <w:left w:val="nil"/>
              <w:bottom w:val="single" w:sz="8" w:space="0" w:color="auto"/>
              <w:right w:val="single" w:sz="8" w:space="0" w:color="auto"/>
            </w:tcBorders>
            <w:shd w:val="clear" w:color="000000" w:fill="FFFFFF"/>
            <w:vAlign w:val="center"/>
            <w:hideMark/>
          </w:tcPr>
          <w:p w:rsidR="00F23B72" w:rsidRPr="00DF449E" w14:paraId="0EF1ED9A" w14:textId="77777777">
            <w:pPr>
              <w:jc w:val="center"/>
              <w:rPr>
                <w:b/>
                <w:bCs/>
                <w:color w:val="000000"/>
              </w:rPr>
            </w:pPr>
            <w:r w:rsidRPr="00DF449E">
              <w:rPr>
                <w:b/>
                <w:bCs/>
                <w:color w:val="000000"/>
              </w:rPr>
              <w:t>Total Burden</w:t>
            </w:r>
            <w:r w:rsidRPr="00DF449E" w:rsidR="00DE76C6">
              <w:rPr>
                <w:b/>
                <w:bCs/>
                <w:color w:val="000000"/>
              </w:rPr>
              <w:t xml:space="preserve"> in Hours</w:t>
            </w:r>
          </w:p>
        </w:tc>
        <w:tc>
          <w:tcPr>
            <w:tcW w:w="1440" w:type="dxa"/>
            <w:tcBorders>
              <w:top w:val="single" w:sz="8" w:space="0" w:color="auto"/>
              <w:left w:val="nil"/>
              <w:bottom w:val="single" w:sz="8" w:space="0" w:color="auto"/>
              <w:right w:val="single" w:sz="8" w:space="0" w:color="auto"/>
            </w:tcBorders>
            <w:shd w:val="clear" w:color="000000" w:fill="FFFFFF"/>
            <w:vAlign w:val="center"/>
            <w:hideMark/>
          </w:tcPr>
          <w:p w:rsidR="003C5B6F" w:rsidRPr="00DF449E" w:rsidP="005F1EBD" w14:paraId="7234E1D8" w14:textId="77777777">
            <w:pPr>
              <w:jc w:val="center"/>
              <w:rPr>
                <w:b/>
                <w:bCs/>
                <w:color w:val="000000"/>
              </w:rPr>
            </w:pPr>
            <w:r w:rsidRPr="00DF449E">
              <w:rPr>
                <w:b/>
                <w:bCs/>
                <w:color w:val="000000"/>
              </w:rPr>
              <w:t>Cost to Respondent</w:t>
            </w:r>
          </w:p>
          <w:p w:rsidR="00F23B72" w:rsidRPr="00DF449E" w:rsidP="00753648" w14:paraId="71C8FE72" w14:textId="77777777">
            <w:pPr>
              <w:jc w:val="center"/>
              <w:rPr>
                <w:b/>
                <w:bCs/>
                <w:color w:val="000000"/>
              </w:rPr>
            </w:pPr>
            <w:r w:rsidRPr="00DF449E">
              <w:rPr>
                <w:b/>
                <w:bCs/>
                <w:color w:val="000000"/>
              </w:rPr>
              <w:t>($</w:t>
            </w:r>
            <w:r w:rsidRPr="00DF449E" w:rsidR="00D03489">
              <w:rPr>
                <w:b/>
                <w:bCs/>
                <w:color w:val="000000"/>
              </w:rPr>
              <w:t>48</w:t>
            </w:r>
            <w:r w:rsidRPr="00DF449E">
              <w:rPr>
                <w:b/>
                <w:bCs/>
                <w:color w:val="000000"/>
              </w:rPr>
              <w:t>.8</w:t>
            </w:r>
            <w:r w:rsidRPr="00DF449E" w:rsidR="00D03489">
              <w:rPr>
                <w:b/>
                <w:bCs/>
                <w:color w:val="000000"/>
              </w:rPr>
              <w:t>0</w:t>
            </w:r>
            <w:r w:rsidRPr="00DF449E">
              <w:rPr>
                <w:b/>
                <w:bCs/>
                <w:color w:val="000000"/>
              </w:rPr>
              <w:t xml:space="preserve"> per hour*)</w:t>
            </w:r>
          </w:p>
        </w:tc>
      </w:tr>
      <w:tr w14:paraId="2C59C04A" w14:textId="77777777" w:rsidTr="002C223A">
        <w:tblPrEx>
          <w:tblW w:w="9648" w:type="dxa"/>
          <w:tblInd w:w="-118" w:type="dxa"/>
          <w:tblLayout w:type="fixed"/>
          <w:tblLook w:val="04A0"/>
        </w:tblPrEx>
        <w:trPr>
          <w:trHeight w:val="530"/>
        </w:trPr>
        <w:tc>
          <w:tcPr>
            <w:tcW w:w="1548" w:type="dxa"/>
            <w:tcBorders>
              <w:top w:val="nil"/>
              <w:left w:val="single" w:sz="8" w:space="0" w:color="auto"/>
              <w:bottom w:val="single" w:sz="8" w:space="0" w:color="auto"/>
              <w:right w:val="single" w:sz="8" w:space="0" w:color="auto"/>
            </w:tcBorders>
            <w:shd w:val="clear" w:color="000000" w:fill="FFFFFF"/>
            <w:vAlign w:val="center"/>
          </w:tcPr>
          <w:p w:rsidR="00715B2A" w:rsidRPr="0094779F" w:rsidP="00715B2A" w14:paraId="283AD182" w14:textId="07C0FCD4">
            <w:pPr>
              <w:rPr>
                <w:color w:val="000000"/>
              </w:rPr>
            </w:pPr>
            <w:r w:rsidRPr="0094779F">
              <w:t>Recipient Payment Form</w:t>
            </w:r>
          </w:p>
        </w:tc>
        <w:tc>
          <w:tcPr>
            <w:tcW w:w="1350" w:type="dxa"/>
            <w:tcBorders>
              <w:top w:val="nil"/>
              <w:left w:val="nil"/>
              <w:bottom w:val="single" w:sz="8" w:space="0" w:color="auto"/>
              <w:right w:val="single" w:sz="8" w:space="0" w:color="auto"/>
            </w:tcBorders>
            <w:shd w:val="clear" w:color="000000" w:fill="FFFFFF"/>
            <w:vAlign w:val="center"/>
          </w:tcPr>
          <w:p w:rsidR="00715B2A" w:rsidRPr="0094779F" w:rsidP="00715B2A" w14:paraId="738440A4" w14:textId="79D126F2">
            <w:pPr>
              <w:jc w:val="center"/>
              <w:rPr>
                <w:color w:val="000000"/>
              </w:rPr>
            </w:pPr>
            <w:r w:rsidRPr="0094779F">
              <w:rPr>
                <w:color w:val="000000"/>
              </w:rPr>
              <w:t>5,</w:t>
            </w:r>
            <w:r>
              <w:rPr>
                <w:color w:val="000000"/>
              </w:rPr>
              <w:t>050</w:t>
            </w:r>
          </w:p>
        </w:tc>
        <w:tc>
          <w:tcPr>
            <w:tcW w:w="1620" w:type="dxa"/>
            <w:tcBorders>
              <w:top w:val="nil"/>
              <w:left w:val="nil"/>
              <w:bottom w:val="single" w:sz="8" w:space="0" w:color="auto"/>
              <w:right w:val="single" w:sz="8" w:space="0" w:color="auto"/>
            </w:tcBorders>
            <w:shd w:val="clear" w:color="000000" w:fill="FFFFFF"/>
            <w:noWrap/>
            <w:vAlign w:val="center"/>
          </w:tcPr>
          <w:p w:rsidR="00715B2A" w:rsidRPr="0094779F" w:rsidP="00715B2A" w14:paraId="33B0BA4E" w14:textId="37B0F655">
            <w:pPr>
              <w:jc w:val="center"/>
              <w:rPr>
                <w:color w:val="000000"/>
              </w:rPr>
            </w:pPr>
            <w:r>
              <w:rPr>
                <w:color w:val="000000"/>
              </w:rPr>
              <w:t>1</w:t>
            </w:r>
          </w:p>
        </w:tc>
        <w:tc>
          <w:tcPr>
            <w:tcW w:w="1350" w:type="dxa"/>
            <w:tcBorders>
              <w:top w:val="nil"/>
              <w:left w:val="nil"/>
              <w:bottom w:val="single" w:sz="8" w:space="0" w:color="auto"/>
              <w:right w:val="single" w:sz="8" w:space="0" w:color="auto"/>
            </w:tcBorders>
            <w:shd w:val="clear" w:color="000000" w:fill="FFFFFF"/>
            <w:noWrap/>
            <w:vAlign w:val="center"/>
          </w:tcPr>
          <w:p w:rsidR="00715B2A" w:rsidRPr="0094779F" w:rsidP="00715B2A" w14:paraId="1DE81D60" w14:textId="4A452B72">
            <w:pPr>
              <w:jc w:val="center"/>
              <w:rPr>
                <w:color w:val="000000"/>
              </w:rPr>
            </w:pPr>
            <w:r w:rsidRPr="0094779F">
              <w:rPr>
                <w:color w:val="000000"/>
              </w:rPr>
              <w:t>5,</w:t>
            </w:r>
            <w:r>
              <w:rPr>
                <w:color w:val="000000"/>
              </w:rPr>
              <w:t>050</w:t>
            </w:r>
          </w:p>
        </w:tc>
        <w:tc>
          <w:tcPr>
            <w:tcW w:w="1260" w:type="dxa"/>
            <w:tcBorders>
              <w:top w:val="nil"/>
              <w:left w:val="nil"/>
              <w:bottom w:val="single" w:sz="8" w:space="0" w:color="auto"/>
              <w:right w:val="single" w:sz="8" w:space="0" w:color="auto"/>
            </w:tcBorders>
            <w:shd w:val="clear" w:color="000000" w:fill="FFFFFF"/>
            <w:noWrap/>
            <w:vAlign w:val="center"/>
          </w:tcPr>
          <w:p w:rsidR="00715B2A" w:rsidRPr="0094779F" w:rsidP="00715B2A" w14:paraId="6CBBB9F3" w14:textId="34DC3E1B">
            <w:pPr>
              <w:jc w:val="center"/>
              <w:rPr>
                <w:color w:val="000000"/>
              </w:rPr>
            </w:pPr>
            <w:r w:rsidRPr="0094779F">
              <w:rPr>
                <w:color w:val="000000"/>
              </w:rPr>
              <w:t>.25 (15 minutes)</w:t>
            </w:r>
          </w:p>
        </w:tc>
        <w:tc>
          <w:tcPr>
            <w:tcW w:w="1080" w:type="dxa"/>
            <w:tcBorders>
              <w:top w:val="nil"/>
              <w:left w:val="nil"/>
              <w:bottom w:val="single" w:sz="8" w:space="0" w:color="auto"/>
              <w:right w:val="single" w:sz="8" w:space="0" w:color="auto"/>
            </w:tcBorders>
            <w:shd w:val="clear" w:color="000000" w:fill="FFFFFF"/>
            <w:noWrap/>
            <w:vAlign w:val="center"/>
          </w:tcPr>
          <w:p w:rsidR="00715B2A" w:rsidRPr="0094779F" w:rsidP="00715B2A" w14:paraId="78D98374" w14:textId="3A63B666">
            <w:pPr>
              <w:jc w:val="center"/>
              <w:rPr>
                <w:color w:val="000000"/>
              </w:rPr>
            </w:pPr>
            <w:r w:rsidRPr="0094779F">
              <w:rPr>
                <w:color w:val="000000"/>
              </w:rPr>
              <w:t>1,</w:t>
            </w:r>
            <w:r>
              <w:rPr>
                <w:color w:val="000000"/>
              </w:rPr>
              <w:t>262.5</w:t>
            </w:r>
          </w:p>
        </w:tc>
        <w:tc>
          <w:tcPr>
            <w:tcW w:w="1440" w:type="dxa"/>
            <w:tcBorders>
              <w:top w:val="nil"/>
              <w:left w:val="nil"/>
              <w:bottom w:val="single" w:sz="8" w:space="0" w:color="auto"/>
              <w:right w:val="single" w:sz="8" w:space="0" w:color="auto"/>
            </w:tcBorders>
            <w:shd w:val="clear" w:color="000000" w:fill="FFFFFF"/>
            <w:noWrap/>
            <w:vAlign w:val="center"/>
          </w:tcPr>
          <w:p w:rsidR="00715B2A" w:rsidRPr="0094779F" w:rsidP="00715B2A" w14:paraId="4B94F3CC" w14:textId="0FDA46FA">
            <w:pPr>
              <w:jc w:val="center"/>
              <w:rPr>
                <w:color w:val="000000"/>
              </w:rPr>
            </w:pPr>
            <w:r w:rsidRPr="0094779F">
              <w:rPr>
                <w:color w:val="000000"/>
              </w:rPr>
              <w:t>$</w:t>
            </w:r>
            <w:r>
              <w:rPr>
                <w:color w:val="000000"/>
              </w:rPr>
              <w:t>61,610</w:t>
            </w:r>
          </w:p>
        </w:tc>
      </w:tr>
      <w:tr w14:paraId="05832AA1" w14:textId="77777777" w:rsidTr="002C223A">
        <w:tblPrEx>
          <w:tblW w:w="9648" w:type="dxa"/>
          <w:tblInd w:w="-118" w:type="dxa"/>
          <w:tblLayout w:type="fixed"/>
          <w:tblLook w:val="04A0"/>
        </w:tblPrEx>
        <w:trPr>
          <w:trHeight w:val="530"/>
        </w:trPr>
        <w:tc>
          <w:tcPr>
            <w:tcW w:w="1548" w:type="dxa"/>
            <w:tcBorders>
              <w:top w:val="nil"/>
              <w:left w:val="single" w:sz="8" w:space="0" w:color="auto"/>
              <w:bottom w:val="single" w:sz="8" w:space="0" w:color="auto"/>
              <w:right w:val="single" w:sz="8" w:space="0" w:color="auto"/>
            </w:tcBorders>
            <w:shd w:val="clear" w:color="000000" w:fill="FFFFFF"/>
            <w:vAlign w:val="center"/>
          </w:tcPr>
          <w:p w:rsidR="00715B2A" w:rsidRPr="0094779F" w:rsidP="00715B2A" w14:paraId="2456C3ED" w14:textId="63EBD913">
            <w:pPr>
              <w:rPr>
                <w:bCs/>
              </w:rPr>
            </w:pPr>
            <w:r w:rsidRPr="0094779F">
              <w:rPr>
                <w:bCs/>
              </w:rPr>
              <w:t>Acceptance of Award Terms</w:t>
            </w:r>
            <w:r w:rsidR="0038335A">
              <w:rPr>
                <w:bCs/>
              </w:rPr>
              <w:t xml:space="preserve"> </w:t>
            </w:r>
          </w:p>
        </w:tc>
        <w:tc>
          <w:tcPr>
            <w:tcW w:w="1350" w:type="dxa"/>
            <w:tcBorders>
              <w:top w:val="nil"/>
              <w:left w:val="nil"/>
              <w:bottom w:val="single" w:sz="8" w:space="0" w:color="auto"/>
              <w:right w:val="single" w:sz="8" w:space="0" w:color="auto"/>
            </w:tcBorders>
            <w:shd w:val="clear" w:color="000000" w:fill="FFFFFF"/>
            <w:vAlign w:val="center"/>
          </w:tcPr>
          <w:p w:rsidR="00715B2A" w:rsidRPr="0094779F" w:rsidP="00715B2A" w14:paraId="2FA7117F" w14:textId="040CD38C">
            <w:pPr>
              <w:jc w:val="center"/>
              <w:rPr>
                <w:color w:val="000000"/>
              </w:rPr>
            </w:pPr>
            <w:r w:rsidRPr="0094779F">
              <w:rPr>
                <w:color w:val="000000"/>
              </w:rPr>
              <w:t>5,</w:t>
            </w:r>
            <w:r>
              <w:rPr>
                <w:color w:val="000000"/>
              </w:rPr>
              <w:t>050</w:t>
            </w:r>
          </w:p>
        </w:tc>
        <w:tc>
          <w:tcPr>
            <w:tcW w:w="1620" w:type="dxa"/>
            <w:tcBorders>
              <w:top w:val="nil"/>
              <w:left w:val="nil"/>
              <w:bottom w:val="single" w:sz="8" w:space="0" w:color="auto"/>
              <w:right w:val="single" w:sz="8" w:space="0" w:color="auto"/>
            </w:tcBorders>
            <w:shd w:val="clear" w:color="000000" w:fill="FFFFFF"/>
            <w:noWrap/>
            <w:vAlign w:val="center"/>
          </w:tcPr>
          <w:p w:rsidR="00715B2A" w:rsidRPr="0094779F" w:rsidP="00715B2A" w14:paraId="37570A08" w14:textId="24197B06">
            <w:pPr>
              <w:jc w:val="center"/>
              <w:rPr>
                <w:color w:val="000000"/>
              </w:rPr>
            </w:pPr>
            <w:r>
              <w:rPr>
                <w:color w:val="000000"/>
              </w:rPr>
              <w:t>1</w:t>
            </w:r>
          </w:p>
        </w:tc>
        <w:tc>
          <w:tcPr>
            <w:tcW w:w="1350" w:type="dxa"/>
            <w:tcBorders>
              <w:top w:val="nil"/>
              <w:left w:val="nil"/>
              <w:bottom w:val="single" w:sz="8" w:space="0" w:color="auto"/>
              <w:right w:val="single" w:sz="8" w:space="0" w:color="auto"/>
            </w:tcBorders>
            <w:shd w:val="clear" w:color="000000" w:fill="FFFFFF"/>
            <w:noWrap/>
            <w:vAlign w:val="center"/>
          </w:tcPr>
          <w:p w:rsidR="00715B2A" w:rsidRPr="0094779F" w:rsidP="00715B2A" w14:paraId="2128A708" w14:textId="5F4A8392">
            <w:pPr>
              <w:jc w:val="center"/>
              <w:rPr>
                <w:color w:val="000000"/>
              </w:rPr>
            </w:pPr>
            <w:r w:rsidRPr="0094779F">
              <w:rPr>
                <w:color w:val="000000"/>
              </w:rPr>
              <w:t>5,</w:t>
            </w:r>
            <w:r>
              <w:rPr>
                <w:color w:val="000000"/>
              </w:rPr>
              <w:t>050</w:t>
            </w:r>
          </w:p>
        </w:tc>
        <w:tc>
          <w:tcPr>
            <w:tcW w:w="1260" w:type="dxa"/>
            <w:tcBorders>
              <w:top w:val="nil"/>
              <w:left w:val="nil"/>
              <w:bottom w:val="single" w:sz="8" w:space="0" w:color="auto"/>
              <w:right w:val="single" w:sz="8" w:space="0" w:color="auto"/>
            </w:tcBorders>
            <w:shd w:val="clear" w:color="000000" w:fill="FFFFFF"/>
            <w:noWrap/>
            <w:vAlign w:val="center"/>
          </w:tcPr>
          <w:p w:rsidR="00715B2A" w:rsidRPr="0094779F" w:rsidP="00715B2A" w14:paraId="2F9C9461" w14:textId="131EAF7C">
            <w:pPr>
              <w:jc w:val="center"/>
              <w:rPr>
                <w:color w:val="000000"/>
              </w:rPr>
            </w:pPr>
            <w:r>
              <w:rPr>
                <w:color w:val="000000"/>
              </w:rPr>
              <w:t>.</w:t>
            </w:r>
            <w:r>
              <w:rPr>
                <w:color w:val="000000"/>
              </w:rPr>
              <w:t xml:space="preserve">25 </w:t>
            </w:r>
            <w:r w:rsidRPr="0094779F">
              <w:rPr>
                <w:color w:val="000000"/>
              </w:rPr>
              <w:t>(15 minutes)</w:t>
            </w:r>
          </w:p>
        </w:tc>
        <w:tc>
          <w:tcPr>
            <w:tcW w:w="1080" w:type="dxa"/>
            <w:tcBorders>
              <w:top w:val="nil"/>
              <w:left w:val="nil"/>
              <w:bottom w:val="single" w:sz="8" w:space="0" w:color="auto"/>
              <w:right w:val="single" w:sz="8" w:space="0" w:color="auto"/>
            </w:tcBorders>
            <w:shd w:val="clear" w:color="000000" w:fill="FFFFFF"/>
            <w:noWrap/>
            <w:vAlign w:val="center"/>
          </w:tcPr>
          <w:p w:rsidR="00715B2A" w:rsidRPr="0094779F" w:rsidP="00715B2A" w14:paraId="24F5291A" w14:textId="7892A17F">
            <w:pPr>
              <w:jc w:val="center"/>
              <w:rPr>
                <w:color w:val="000000"/>
              </w:rPr>
            </w:pPr>
            <w:r w:rsidRPr="0094779F">
              <w:rPr>
                <w:color w:val="000000"/>
              </w:rPr>
              <w:t>1,</w:t>
            </w:r>
            <w:r>
              <w:rPr>
                <w:color w:val="000000"/>
              </w:rPr>
              <w:t>262.5</w:t>
            </w:r>
          </w:p>
        </w:tc>
        <w:tc>
          <w:tcPr>
            <w:tcW w:w="1440" w:type="dxa"/>
            <w:tcBorders>
              <w:top w:val="nil"/>
              <w:left w:val="nil"/>
              <w:bottom w:val="single" w:sz="8" w:space="0" w:color="auto"/>
              <w:right w:val="single" w:sz="8" w:space="0" w:color="auto"/>
            </w:tcBorders>
            <w:shd w:val="clear" w:color="000000" w:fill="FFFFFF"/>
            <w:noWrap/>
            <w:vAlign w:val="center"/>
          </w:tcPr>
          <w:p w:rsidR="00715B2A" w:rsidRPr="0094779F" w:rsidP="00715B2A" w14:paraId="6C369871" w14:textId="2CFC3CC1">
            <w:pPr>
              <w:jc w:val="center"/>
              <w:rPr>
                <w:color w:val="000000"/>
              </w:rPr>
            </w:pPr>
            <w:r w:rsidRPr="0094779F">
              <w:rPr>
                <w:color w:val="000000"/>
              </w:rPr>
              <w:t>$</w:t>
            </w:r>
            <w:r>
              <w:rPr>
                <w:color w:val="000000"/>
              </w:rPr>
              <w:t>61,610</w:t>
            </w:r>
          </w:p>
        </w:tc>
      </w:tr>
      <w:tr w14:paraId="6382932E" w14:textId="77777777" w:rsidTr="002C223A">
        <w:tblPrEx>
          <w:tblW w:w="964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000000" w:fill="FFFFFF"/>
            <w:vAlign w:val="center"/>
          </w:tcPr>
          <w:p w:rsidR="00A106A0" w:rsidRPr="00DB2B3C" w:rsidP="00A106A0" w14:paraId="4801D577" w14:textId="3F30F227">
            <w:pPr>
              <w:rPr>
                <w:bCs/>
                <w:color w:val="000000"/>
              </w:rPr>
            </w:pPr>
            <w:r w:rsidRPr="00DB2B3C">
              <w:rPr>
                <w:bCs/>
                <w:color w:val="000000"/>
              </w:rPr>
              <w:t>Title VI Assurances</w:t>
            </w:r>
          </w:p>
        </w:tc>
        <w:tc>
          <w:tcPr>
            <w:tcW w:w="1350" w:type="dxa"/>
            <w:tcBorders>
              <w:top w:val="nil"/>
              <w:left w:val="nil"/>
              <w:bottom w:val="single" w:sz="8" w:space="0" w:color="auto"/>
              <w:right w:val="single" w:sz="8" w:space="0" w:color="auto"/>
            </w:tcBorders>
            <w:shd w:val="clear" w:color="000000" w:fill="FFFFFF"/>
            <w:noWrap/>
            <w:vAlign w:val="center"/>
          </w:tcPr>
          <w:p w:rsidR="00A106A0" w:rsidRPr="00A106A0" w:rsidP="00715B2A" w14:paraId="09671C49" w14:textId="6003CD68">
            <w:pPr>
              <w:jc w:val="center"/>
              <w:rPr>
                <w:bCs/>
                <w:color w:val="000000"/>
              </w:rPr>
            </w:pPr>
            <w:r>
              <w:rPr>
                <w:bCs/>
                <w:color w:val="000000"/>
              </w:rPr>
              <w:t>5,050</w:t>
            </w:r>
          </w:p>
        </w:tc>
        <w:tc>
          <w:tcPr>
            <w:tcW w:w="1620" w:type="dxa"/>
            <w:tcBorders>
              <w:top w:val="nil"/>
              <w:left w:val="nil"/>
              <w:bottom w:val="single" w:sz="8" w:space="0" w:color="auto"/>
              <w:right w:val="single" w:sz="8" w:space="0" w:color="auto"/>
            </w:tcBorders>
            <w:shd w:val="clear" w:color="000000" w:fill="FFFFFF"/>
            <w:noWrap/>
            <w:vAlign w:val="center"/>
          </w:tcPr>
          <w:p w:rsidR="00A106A0" w:rsidRPr="00A106A0" w:rsidP="00715B2A" w14:paraId="53B4DF21" w14:textId="0CEBF211">
            <w:pPr>
              <w:jc w:val="center"/>
              <w:rPr>
                <w:bCs/>
                <w:color w:val="000000"/>
              </w:rPr>
            </w:pPr>
            <w:r>
              <w:rPr>
                <w:bCs/>
                <w:color w:val="000000"/>
              </w:rPr>
              <w:t>1</w:t>
            </w:r>
          </w:p>
        </w:tc>
        <w:tc>
          <w:tcPr>
            <w:tcW w:w="1350" w:type="dxa"/>
            <w:tcBorders>
              <w:top w:val="nil"/>
              <w:left w:val="nil"/>
              <w:bottom w:val="single" w:sz="8" w:space="0" w:color="auto"/>
              <w:right w:val="single" w:sz="8" w:space="0" w:color="auto"/>
            </w:tcBorders>
            <w:shd w:val="clear" w:color="000000" w:fill="FFFFFF"/>
            <w:noWrap/>
            <w:vAlign w:val="center"/>
          </w:tcPr>
          <w:p w:rsidR="00A106A0" w:rsidRPr="00A106A0" w:rsidP="00715B2A" w14:paraId="5CE0E12F" w14:textId="2FFE026B">
            <w:pPr>
              <w:jc w:val="center"/>
              <w:rPr>
                <w:bCs/>
                <w:color w:val="000000"/>
              </w:rPr>
            </w:pPr>
            <w:r>
              <w:rPr>
                <w:bCs/>
                <w:color w:val="000000"/>
              </w:rPr>
              <w:t>5,050</w:t>
            </w:r>
          </w:p>
        </w:tc>
        <w:tc>
          <w:tcPr>
            <w:tcW w:w="1260" w:type="dxa"/>
            <w:tcBorders>
              <w:top w:val="nil"/>
              <w:left w:val="nil"/>
              <w:bottom w:val="single" w:sz="8" w:space="0" w:color="auto"/>
              <w:right w:val="single" w:sz="8" w:space="0" w:color="auto"/>
            </w:tcBorders>
            <w:shd w:val="clear" w:color="000000" w:fill="FFFFFF"/>
            <w:noWrap/>
            <w:vAlign w:val="center"/>
          </w:tcPr>
          <w:p w:rsidR="00A106A0" w:rsidRPr="00811F48" w:rsidP="00715B2A" w14:paraId="3A2BAD01" w14:textId="13863135">
            <w:pPr>
              <w:jc w:val="center"/>
              <w:rPr>
                <w:bCs/>
                <w:color w:val="000000"/>
              </w:rPr>
            </w:pPr>
            <w:r w:rsidRPr="00811F48">
              <w:rPr>
                <w:bCs/>
                <w:color w:val="000000"/>
              </w:rPr>
              <w:t>.50 (30 minutes)</w:t>
            </w:r>
          </w:p>
        </w:tc>
        <w:tc>
          <w:tcPr>
            <w:tcW w:w="1080" w:type="dxa"/>
            <w:tcBorders>
              <w:top w:val="nil"/>
              <w:left w:val="nil"/>
              <w:bottom w:val="single" w:sz="8" w:space="0" w:color="auto"/>
              <w:right w:val="single" w:sz="8" w:space="0" w:color="auto"/>
            </w:tcBorders>
            <w:shd w:val="clear" w:color="000000" w:fill="FFFFFF"/>
            <w:noWrap/>
            <w:vAlign w:val="center"/>
          </w:tcPr>
          <w:p w:rsidR="00A106A0" w:rsidRPr="00A106A0" w:rsidP="00715B2A" w14:paraId="3898CC8A" w14:textId="397685E1">
            <w:pPr>
              <w:jc w:val="center"/>
              <w:rPr>
                <w:bCs/>
                <w:color w:val="000000"/>
              </w:rPr>
            </w:pPr>
            <w:r>
              <w:rPr>
                <w:bCs/>
                <w:color w:val="000000"/>
              </w:rPr>
              <w:t>2,525</w:t>
            </w:r>
          </w:p>
        </w:tc>
        <w:tc>
          <w:tcPr>
            <w:tcW w:w="1440" w:type="dxa"/>
            <w:tcBorders>
              <w:top w:val="nil"/>
              <w:left w:val="nil"/>
              <w:bottom w:val="single" w:sz="8" w:space="0" w:color="auto"/>
              <w:right w:val="single" w:sz="8" w:space="0" w:color="auto"/>
            </w:tcBorders>
            <w:shd w:val="clear" w:color="000000" w:fill="FFFFFF"/>
            <w:noWrap/>
            <w:vAlign w:val="center"/>
          </w:tcPr>
          <w:p w:rsidR="00A106A0" w:rsidRPr="00A106A0" w:rsidP="00715B2A" w14:paraId="58EBA76B" w14:textId="6873FDBF">
            <w:pPr>
              <w:jc w:val="center"/>
              <w:rPr>
                <w:bCs/>
                <w:color w:val="000000"/>
              </w:rPr>
            </w:pPr>
            <w:r>
              <w:rPr>
                <w:bCs/>
                <w:color w:val="000000"/>
              </w:rPr>
              <w:t>$123,220</w:t>
            </w:r>
          </w:p>
        </w:tc>
      </w:tr>
      <w:tr w14:paraId="1960A742" w14:textId="77777777" w:rsidTr="002C223A">
        <w:tblPrEx>
          <w:tblW w:w="964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000000" w:fill="FFFFFF"/>
            <w:vAlign w:val="center"/>
          </w:tcPr>
          <w:p w:rsidR="003D4FD1" w:rsidRPr="00DB2B3C" w:rsidP="00A106A0" w14:paraId="5A97DDE9" w14:textId="2DC8AF5E">
            <w:pPr>
              <w:rPr>
                <w:bCs/>
                <w:color w:val="000000"/>
              </w:rPr>
            </w:pPr>
            <w:r w:rsidRPr="00DB2B3C">
              <w:t>T</w:t>
            </w:r>
            <w:r w:rsidRPr="00DB2B3C">
              <w:rPr>
                <w:bCs/>
              </w:rPr>
              <w:t>ribal employment information form</w:t>
            </w:r>
          </w:p>
        </w:tc>
        <w:tc>
          <w:tcPr>
            <w:tcW w:w="1350" w:type="dxa"/>
            <w:tcBorders>
              <w:top w:val="nil"/>
              <w:left w:val="nil"/>
              <w:bottom w:val="single" w:sz="8" w:space="0" w:color="auto"/>
              <w:right w:val="single" w:sz="8" w:space="0" w:color="auto"/>
            </w:tcBorders>
            <w:shd w:val="clear" w:color="000000" w:fill="FFFFFF"/>
            <w:noWrap/>
            <w:vAlign w:val="center"/>
          </w:tcPr>
          <w:p w:rsidR="003D4FD1" w:rsidP="00715B2A" w14:paraId="0F2923D1" w14:textId="4AC8284B">
            <w:pPr>
              <w:jc w:val="center"/>
              <w:rPr>
                <w:bCs/>
                <w:color w:val="000000"/>
              </w:rPr>
            </w:pPr>
            <w:r>
              <w:rPr>
                <w:bCs/>
                <w:color w:val="000000"/>
              </w:rPr>
              <w:t>584</w:t>
            </w:r>
          </w:p>
        </w:tc>
        <w:tc>
          <w:tcPr>
            <w:tcW w:w="1620" w:type="dxa"/>
            <w:tcBorders>
              <w:top w:val="nil"/>
              <w:left w:val="nil"/>
              <w:bottom w:val="single" w:sz="8" w:space="0" w:color="auto"/>
              <w:right w:val="single" w:sz="8" w:space="0" w:color="auto"/>
            </w:tcBorders>
            <w:shd w:val="clear" w:color="000000" w:fill="FFFFFF"/>
            <w:noWrap/>
            <w:vAlign w:val="center"/>
          </w:tcPr>
          <w:p w:rsidR="003D4FD1" w:rsidP="00715B2A" w14:paraId="384FB92E" w14:textId="7BBE9D22">
            <w:pPr>
              <w:jc w:val="center"/>
              <w:rPr>
                <w:bCs/>
                <w:color w:val="000000"/>
              </w:rPr>
            </w:pPr>
            <w:r>
              <w:rPr>
                <w:bCs/>
                <w:color w:val="000000"/>
              </w:rPr>
              <w:t>1</w:t>
            </w:r>
          </w:p>
        </w:tc>
        <w:tc>
          <w:tcPr>
            <w:tcW w:w="1350" w:type="dxa"/>
            <w:tcBorders>
              <w:top w:val="nil"/>
              <w:left w:val="nil"/>
              <w:bottom w:val="single" w:sz="8" w:space="0" w:color="auto"/>
              <w:right w:val="single" w:sz="8" w:space="0" w:color="auto"/>
            </w:tcBorders>
            <w:shd w:val="clear" w:color="000000" w:fill="FFFFFF"/>
            <w:noWrap/>
            <w:vAlign w:val="center"/>
          </w:tcPr>
          <w:p w:rsidR="003D4FD1" w:rsidP="00715B2A" w14:paraId="657FF2A6" w14:textId="463A98E1">
            <w:pPr>
              <w:jc w:val="center"/>
              <w:rPr>
                <w:bCs/>
                <w:color w:val="000000"/>
              </w:rPr>
            </w:pPr>
            <w:r>
              <w:rPr>
                <w:bCs/>
                <w:color w:val="000000"/>
              </w:rPr>
              <w:t>584</w:t>
            </w:r>
          </w:p>
        </w:tc>
        <w:tc>
          <w:tcPr>
            <w:tcW w:w="1260" w:type="dxa"/>
            <w:tcBorders>
              <w:top w:val="nil"/>
              <w:left w:val="nil"/>
              <w:bottom w:val="single" w:sz="8" w:space="0" w:color="auto"/>
              <w:right w:val="single" w:sz="8" w:space="0" w:color="auto"/>
            </w:tcBorders>
            <w:shd w:val="clear" w:color="000000" w:fill="FFFFFF"/>
            <w:noWrap/>
            <w:vAlign w:val="center"/>
          </w:tcPr>
          <w:p w:rsidR="003D4FD1" w:rsidRPr="00811F48" w:rsidP="00715B2A" w14:paraId="788CBB71" w14:textId="7AE4A3E7">
            <w:pPr>
              <w:jc w:val="center"/>
              <w:rPr>
                <w:bCs/>
                <w:color w:val="000000"/>
              </w:rPr>
            </w:pPr>
            <w:r>
              <w:rPr>
                <w:color w:val="000000"/>
              </w:rPr>
              <w:t>.75 (45 minutes)</w:t>
            </w:r>
          </w:p>
        </w:tc>
        <w:tc>
          <w:tcPr>
            <w:tcW w:w="1080" w:type="dxa"/>
            <w:tcBorders>
              <w:top w:val="nil"/>
              <w:left w:val="nil"/>
              <w:bottom w:val="single" w:sz="8" w:space="0" w:color="auto"/>
              <w:right w:val="single" w:sz="8" w:space="0" w:color="auto"/>
            </w:tcBorders>
            <w:shd w:val="clear" w:color="000000" w:fill="FFFFFF"/>
            <w:noWrap/>
            <w:vAlign w:val="center"/>
          </w:tcPr>
          <w:p w:rsidR="003D4FD1" w:rsidP="00715B2A" w14:paraId="49FFE8E5" w14:textId="5939860A">
            <w:pPr>
              <w:jc w:val="center"/>
              <w:rPr>
                <w:bCs/>
                <w:color w:val="000000"/>
              </w:rPr>
            </w:pPr>
            <w:r>
              <w:rPr>
                <w:bCs/>
                <w:color w:val="000000"/>
              </w:rPr>
              <w:t>438</w:t>
            </w:r>
          </w:p>
        </w:tc>
        <w:tc>
          <w:tcPr>
            <w:tcW w:w="1440" w:type="dxa"/>
            <w:tcBorders>
              <w:top w:val="nil"/>
              <w:left w:val="nil"/>
              <w:bottom w:val="single" w:sz="8" w:space="0" w:color="auto"/>
              <w:right w:val="single" w:sz="8" w:space="0" w:color="auto"/>
            </w:tcBorders>
            <w:shd w:val="clear" w:color="000000" w:fill="FFFFFF"/>
            <w:noWrap/>
            <w:vAlign w:val="center"/>
          </w:tcPr>
          <w:p w:rsidR="003D4FD1" w:rsidP="00715B2A" w14:paraId="799662FE" w14:textId="2D386DB7">
            <w:pPr>
              <w:jc w:val="center"/>
              <w:rPr>
                <w:bCs/>
                <w:color w:val="000000"/>
              </w:rPr>
            </w:pPr>
            <w:r>
              <w:rPr>
                <w:color w:val="000000"/>
              </w:rPr>
              <w:t>$21,374</w:t>
            </w:r>
          </w:p>
        </w:tc>
      </w:tr>
      <w:tr w14:paraId="744C62CC" w14:textId="77777777" w:rsidTr="002C223A">
        <w:tblPrEx>
          <w:tblW w:w="964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000000" w:fill="FFFFFF"/>
            <w:vAlign w:val="center"/>
          </w:tcPr>
          <w:p w:rsidR="001357B2" w:rsidP="00A106A0" w14:paraId="6BA1E050" w14:textId="5867B251">
            <w:r>
              <w:t>Request for Extension Form</w:t>
            </w:r>
          </w:p>
        </w:tc>
        <w:tc>
          <w:tcPr>
            <w:tcW w:w="1350" w:type="dxa"/>
            <w:tcBorders>
              <w:top w:val="nil"/>
              <w:left w:val="nil"/>
              <w:bottom w:val="single" w:sz="8" w:space="0" w:color="auto"/>
              <w:right w:val="single" w:sz="8" w:space="0" w:color="auto"/>
            </w:tcBorders>
            <w:shd w:val="clear" w:color="000000" w:fill="FFFFFF"/>
            <w:noWrap/>
            <w:vAlign w:val="center"/>
          </w:tcPr>
          <w:p w:rsidR="001357B2" w:rsidP="00715B2A" w14:paraId="3C273BD9" w14:textId="0B1BD239">
            <w:pPr>
              <w:jc w:val="center"/>
              <w:rPr>
                <w:bCs/>
                <w:color w:val="000000"/>
              </w:rPr>
            </w:pPr>
            <w:r>
              <w:rPr>
                <w:bCs/>
                <w:color w:val="000000"/>
              </w:rPr>
              <w:t>96</w:t>
            </w:r>
          </w:p>
        </w:tc>
        <w:tc>
          <w:tcPr>
            <w:tcW w:w="1620" w:type="dxa"/>
            <w:tcBorders>
              <w:top w:val="nil"/>
              <w:left w:val="nil"/>
              <w:bottom w:val="single" w:sz="8" w:space="0" w:color="auto"/>
              <w:right w:val="single" w:sz="8" w:space="0" w:color="auto"/>
            </w:tcBorders>
            <w:shd w:val="clear" w:color="000000" w:fill="FFFFFF"/>
            <w:noWrap/>
            <w:vAlign w:val="center"/>
          </w:tcPr>
          <w:p w:rsidR="001357B2" w:rsidP="00715B2A" w14:paraId="482FC521" w14:textId="455C9106">
            <w:pPr>
              <w:jc w:val="center"/>
              <w:rPr>
                <w:bCs/>
                <w:color w:val="000000"/>
              </w:rPr>
            </w:pPr>
            <w:r>
              <w:rPr>
                <w:bCs/>
                <w:color w:val="000000"/>
              </w:rPr>
              <w:t>1</w:t>
            </w:r>
          </w:p>
        </w:tc>
        <w:tc>
          <w:tcPr>
            <w:tcW w:w="1350" w:type="dxa"/>
            <w:tcBorders>
              <w:top w:val="nil"/>
              <w:left w:val="nil"/>
              <w:bottom w:val="single" w:sz="8" w:space="0" w:color="auto"/>
              <w:right w:val="single" w:sz="8" w:space="0" w:color="auto"/>
            </w:tcBorders>
            <w:shd w:val="clear" w:color="000000" w:fill="FFFFFF"/>
            <w:noWrap/>
            <w:vAlign w:val="center"/>
          </w:tcPr>
          <w:p w:rsidR="001357B2" w:rsidP="00715B2A" w14:paraId="6BAA5FE6" w14:textId="768BFBDF">
            <w:pPr>
              <w:jc w:val="center"/>
              <w:rPr>
                <w:bCs/>
                <w:color w:val="000000"/>
              </w:rPr>
            </w:pPr>
            <w:r>
              <w:rPr>
                <w:bCs/>
                <w:color w:val="000000"/>
              </w:rPr>
              <w:t>96</w:t>
            </w:r>
          </w:p>
        </w:tc>
        <w:tc>
          <w:tcPr>
            <w:tcW w:w="1260" w:type="dxa"/>
            <w:tcBorders>
              <w:top w:val="nil"/>
              <w:left w:val="nil"/>
              <w:bottom w:val="single" w:sz="8" w:space="0" w:color="auto"/>
              <w:right w:val="single" w:sz="8" w:space="0" w:color="auto"/>
            </w:tcBorders>
            <w:shd w:val="clear" w:color="000000" w:fill="FFFFFF"/>
            <w:noWrap/>
            <w:vAlign w:val="center"/>
          </w:tcPr>
          <w:p w:rsidR="001357B2" w:rsidP="00715B2A" w14:paraId="022DDD64" w14:textId="734A9471">
            <w:pPr>
              <w:jc w:val="center"/>
              <w:rPr>
                <w:color w:val="000000"/>
              </w:rPr>
            </w:pPr>
            <w:r>
              <w:rPr>
                <w:color w:val="000000"/>
              </w:rPr>
              <w:t>1</w:t>
            </w:r>
          </w:p>
        </w:tc>
        <w:tc>
          <w:tcPr>
            <w:tcW w:w="1080" w:type="dxa"/>
            <w:tcBorders>
              <w:top w:val="nil"/>
              <w:left w:val="nil"/>
              <w:bottom w:val="single" w:sz="8" w:space="0" w:color="auto"/>
              <w:right w:val="single" w:sz="8" w:space="0" w:color="auto"/>
            </w:tcBorders>
            <w:shd w:val="clear" w:color="000000" w:fill="FFFFFF"/>
            <w:noWrap/>
            <w:vAlign w:val="center"/>
          </w:tcPr>
          <w:p w:rsidR="001357B2" w:rsidP="00715B2A" w14:paraId="3492E8EC" w14:textId="6623234A">
            <w:pPr>
              <w:jc w:val="center"/>
              <w:rPr>
                <w:bCs/>
                <w:color w:val="000000"/>
              </w:rPr>
            </w:pPr>
            <w:r>
              <w:rPr>
                <w:bCs/>
                <w:color w:val="000000"/>
              </w:rPr>
              <w:t>96</w:t>
            </w:r>
          </w:p>
        </w:tc>
        <w:tc>
          <w:tcPr>
            <w:tcW w:w="1440" w:type="dxa"/>
            <w:tcBorders>
              <w:top w:val="nil"/>
              <w:left w:val="nil"/>
              <w:bottom w:val="single" w:sz="8" w:space="0" w:color="auto"/>
              <w:right w:val="single" w:sz="8" w:space="0" w:color="auto"/>
            </w:tcBorders>
            <w:shd w:val="clear" w:color="000000" w:fill="FFFFFF"/>
            <w:noWrap/>
            <w:vAlign w:val="center"/>
          </w:tcPr>
          <w:p w:rsidR="001357B2" w:rsidP="00715B2A" w14:paraId="02FE63EE" w14:textId="58497D7D">
            <w:pPr>
              <w:jc w:val="center"/>
              <w:rPr>
                <w:color w:val="000000"/>
              </w:rPr>
            </w:pPr>
            <w:r>
              <w:rPr>
                <w:color w:val="000000"/>
              </w:rPr>
              <w:t>$4,685</w:t>
            </w:r>
          </w:p>
        </w:tc>
      </w:tr>
      <w:tr w14:paraId="2E0A5E74" w14:textId="77777777" w:rsidTr="002C223A">
        <w:tblPrEx>
          <w:tblW w:w="964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000000" w:fill="FFFFFF"/>
            <w:vAlign w:val="center"/>
          </w:tcPr>
          <w:p w:rsidR="001357B2" w:rsidP="00A106A0" w14:paraId="462B2F61" w14:textId="00BBB6FF">
            <w:r>
              <w:t>Annual Recovery Plan Performance Report</w:t>
            </w:r>
          </w:p>
        </w:tc>
        <w:tc>
          <w:tcPr>
            <w:tcW w:w="1350" w:type="dxa"/>
            <w:tcBorders>
              <w:top w:val="nil"/>
              <w:left w:val="nil"/>
              <w:bottom w:val="single" w:sz="8" w:space="0" w:color="auto"/>
              <w:right w:val="single" w:sz="8" w:space="0" w:color="auto"/>
            </w:tcBorders>
            <w:shd w:val="clear" w:color="000000" w:fill="FFFFFF"/>
            <w:noWrap/>
            <w:vAlign w:val="center"/>
          </w:tcPr>
          <w:p w:rsidR="001357B2" w:rsidP="00715B2A" w14:paraId="01C57149" w14:textId="5B7C03CE">
            <w:pPr>
              <w:jc w:val="center"/>
              <w:rPr>
                <w:bCs/>
                <w:color w:val="000000"/>
              </w:rPr>
            </w:pPr>
            <w:r>
              <w:rPr>
                <w:bCs/>
                <w:color w:val="000000"/>
              </w:rPr>
              <w:t>430</w:t>
            </w:r>
          </w:p>
        </w:tc>
        <w:tc>
          <w:tcPr>
            <w:tcW w:w="1620" w:type="dxa"/>
            <w:tcBorders>
              <w:top w:val="nil"/>
              <w:left w:val="nil"/>
              <w:bottom w:val="single" w:sz="8" w:space="0" w:color="auto"/>
              <w:right w:val="single" w:sz="8" w:space="0" w:color="auto"/>
            </w:tcBorders>
            <w:shd w:val="clear" w:color="000000" w:fill="FFFFFF"/>
            <w:noWrap/>
            <w:vAlign w:val="center"/>
          </w:tcPr>
          <w:p w:rsidR="001357B2" w:rsidP="00715B2A" w14:paraId="0E97B738" w14:textId="3FAAE76D">
            <w:pPr>
              <w:jc w:val="center"/>
              <w:rPr>
                <w:bCs/>
                <w:color w:val="000000"/>
              </w:rPr>
            </w:pPr>
            <w:r>
              <w:rPr>
                <w:bCs/>
                <w:color w:val="000000"/>
              </w:rPr>
              <w:t>1</w:t>
            </w:r>
          </w:p>
        </w:tc>
        <w:tc>
          <w:tcPr>
            <w:tcW w:w="1350" w:type="dxa"/>
            <w:tcBorders>
              <w:top w:val="nil"/>
              <w:left w:val="nil"/>
              <w:bottom w:val="single" w:sz="8" w:space="0" w:color="auto"/>
              <w:right w:val="single" w:sz="8" w:space="0" w:color="auto"/>
            </w:tcBorders>
            <w:shd w:val="clear" w:color="000000" w:fill="FFFFFF"/>
            <w:noWrap/>
            <w:vAlign w:val="center"/>
          </w:tcPr>
          <w:p w:rsidR="001357B2" w:rsidP="00715B2A" w14:paraId="6D5C8D93" w14:textId="63D8C241">
            <w:pPr>
              <w:jc w:val="center"/>
              <w:rPr>
                <w:bCs/>
                <w:color w:val="000000"/>
              </w:rPr>
            </w:pPr>
            <w:r>
              <w:rPr>
                <w:bCs/>
                <w:color w:val="000000"/>
              </w:rPr>
              <w:t>430</w:t>
            </w:r>
          </w:p>
        </w:tc>
        <w:tc>
          <w:tcPr>
            <w:tcW w:w="1260" w:type="dxa"/>
            <w:tcBorders>
              <w:top w:val="nil"/>
              <w:left w:val="nil"/>
              <w:bottom w:val="single" w:sz="8" w:space="0" w:color="auto"/>
              <w:right w:val="single" w:sz="8" w:space="0" w:color="auto"/>
            </w:tcBorders>
            <w:shd w:val="clear" w:color="000000" w:fill="FFFFFF"/>
            <w:noWrap/>
            <w:vAlign w:val="center"/>
          </w:tcPr>
          <w:p w:rsidR="001357B2" w:rsidP="00715B2A" w14:paraId="12B03405" w14:textId="58201F95">
            <w:pPr>
              <w:jc w:val="center"/>
              <w:rPr>
                <w:color w:val="000000"/>
              </w:rPr>
            </w:pPr>
            <w:r>
              <w:rPr>
                <w:color w:val="000000"/>
              </w:rPr>
              <w:t>100</w:t>
            </w:r>
          </w:p>
        </w:tc>
        <w:tc>
          <w:tcPr>
            <w:tcW w:w="1080" w:type="dxa"/>
            <w:tcBorders>
              <w:top w:val="nil"/>
              <w:left w:val="nil"/>
              <w:bottom w:val="single" w:sz="8" w:space="0" w:color="auto"/>
              <w:right w:val="single" w:sz="8" w:space="0" w:color="auto"/>
            </w:tcBorders>
            <w:shd w:val="clear" w:color="000000" w:fill="FFFFFF"/>
            <w:noWrap/>
            <w:vAlign w:val="center"/>
          </w:tcPr>
          <w:p w:rsidR="001357B2" w:rsidP="00715B2A" w14:paraId="0CC861C9" w14:textId="76278D6A">
            <w:pPr>
              <w:jc w:val="center"/>
              <w:rPr>
                <w:bCs/>
                <w:color w:val="000000"/>
              </w:rPr>
            </w:pPr>
            <w:r>
              <w:rPr>
                <w:bCs/>
                <w:color w:val="000000"/>
              </w:rPr>
              <w:t>43,000</w:t>
            </w:r>
          </w:p>
        </w:tc>
        <w:tc>
          <w:tcPr>
            <w:tcW w:w="1440" w:type="dxa"/>
            <w:tcBorders>
              <w:top w:val="nil"/>
              <w:left w:val="nil"/>
              <w:bottom w:val="single" w:sz="8" w:space="0" w:color="auto"/>
              <w:right w:val="single" w:sz="8" w:space="0" w:color="auto"/>
            </w:tcBorders>
            <w:shd w:val="clear" w:color="000000" w:fill="FFFFFF"/>
            <w:noWrap/>
            <w:vAlign w:val="center"/>
          </w:tcPr>
          <w:p w:rsidR="001357B2" w:rsidP="00715B2A" w14:paraId="7E5C17CF" w14:textId="7BC30B6C">
            <w:pPr>
              <w:jc w:val="center"/>
              <w:rPr>
                <w:color w:val="000000"/>
              </w:rPr>
            </w:pPr>
            <w:r>
              <w:rPr>
                <w:color w:val="000000"/>
              </w:rPr>
              <w:t>$2,098,400</w:t>
            </w:r>
          </w:p>
        </w:tc>
      </w:tr>
      <w:tr w14:paraId="766F4521" w14:textId="77777777" w:rsidTr="002C223A">
        <w:tblPrEx>
          <w:tblW w:w="964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000000" w:fill="FFFFFF"/>
            <w:vAlign w:val="center"/>
          </w:tcPr>
          <w:p w:rsidR="001357B2" w:rsidP="00A106A0" w14:paraId="7257A361" w14:textId="68ED72C9">
            <w:r>
              <w:t>NEU Distribution Template</w:t>
            </w:r>
          </w:p>
        </w:tc>
        <w:tc>
          <w:tcPr>
            <w:tcW w:w="1350" w:type="dxa"/>
            <w:tcBorders>
              <w:top w:val="nil"/>
              <w:left w:val="nil"/>
              <w:bottom w:val="single" w:sz="8" w:space="0" w:color="auto"/>
              <w:right w:val="single" w:sz="8" w:space="0" w:color="auto"/>
            </w:tcBorders>
            <w:shd w:val="clear" w:color="000000" w:fill="FFFFFF"/>
            <w:noWrap/>
            <w:vAlign w:val="center"/>
          </w:tcPr>
          <w:p w:rsidR="001357B2" w:rsidP="00715B2A" w14:paraId="2723B068" w14:textId="6872F135">
            <w:pPr>
              <w:jc w:val="center"/>
              <w:rPr>
                <w:bCs/>
                <w:color w:val="000000"/>
              </w:rPr>
            </w:pPr>
            <w:r>
              <w:rPr>
                <w:bCs/>
                <w:color w:val="000000"/>
              </w:rPr>
              <w:t>55</w:t>
            </w:r>
          </w:p>
        </w:tc>
        <w:tc>
          <w:tcPr>
            <w:tcW w:w="1620" w:type="dxa"/>
            <w:tcBorders>
              <w:top w:val="nil"/>
              <w:left w:val="nil"/>
              <w:bottom w:val="single" w:sz="8" w:space="0" w:color="auto"/>
              <w:right w:val="single" w:sz="8" w:space="0" w:color="auto"/>
            </w:tcBorders>
            <w:shd w:val="clear" w:color="000000" w:fill="FFFFFF"/>
            <w:noWrap/>
            <w:vAlign w:val="center"/>
          </w:tcPr>
          <w:p w:rsidR="001357B2" w:rsidP="00715B2A" w14:paraId="1F335C7A" w14:textId="1C9C7564">
            <w:pPr>
              <w:jc w:val="center"/>
              <w:rPr>
                <w:bCs/>
                <w:color w:val="000000"/>
              </w:rPr>
            </w:pPr>
            <w:r>
              <w:rPr>
                <w:bCs/>
                <w:color w:val="000000"/>
              </w:rPr>
              <w:t>2</w:t>
            </w:r>
          </w:p>
        </w:tc>
        <w:tc>
          <w:tcPr>
            <w:tcW w:w="1350" w:type="dxa"/>
            <w:tcBorders>
              <w:top w:val="nil"/>
              <w:left w:val="nil"/>
              <w:bottom w:val="single" w:sz="8" w:space="0" w:color="auto"/>
              <w:right w:val="single" w:sz="8" w:space="0" w:color="auto"/>
            </w:tcBorders>
            <w:shd w:val="clear" w:color="000000" w:fill="FFFFFF"/>
            <w:noWrap/>
            <w:vAlign w:val="center"/>
          </w:tcPr>
          <w:p w:rsidR="001357B2" w:rsidP="00715B2A" w14:paraId="106F6DDE" w14:textId="4F64335A">
            <w:pPr>
              <w:jc w:val="center"/>
              <w:rPr>
                <w:bCs/>
                <w:color w:val="000000"/>
              </w:rPr>
            </w:pPr>
            <w:r>
              <w:rPr>
                <w:bCs/>
                <w:color w:val="000000"/>
              </w:rPr>
              <w:t>110</w:t>
            </w:r>
          </w:p>
        </w:tc>
        <w:tc>
          <w:tcPr>
            <w:tcW w:w="1260" w:type="dxa"/>
            <w:tcBorders>
              <w:top w:val="nil"/>
              <w:left w:val="nil"/>
              <w:bottom w:val="single" w:sz="8" w:space="0" w:color="auto"/>
              <w:right w:val="single" w:sz="8" w:space="0" w:color="auto"/>
            </w:tcBorders>
            <w:shd w:val="clear" w:color="000000" w:fill="FFFFFF"/>
            <w:noWrap/>
            <w:vAlign w:val="center"/>
          </w:tcPr>
          <w:p w:rsidR="001357B2" w:rsidP="00715B2A" w14:paraId="1DD6A44F" w14:textId="374B53A4">
            <w:pPr>
              <w:jc w:val="center"/>
              <w:rPr>
                <w:color w:val="000000"/>
              </w:rPr>
            </w:pPr>
            <w:r>
              <w:rPr>
                <w:color w:val="000000"/>
              </w:rPr>
              <w:t>10</w:t>
            </w:r>
          </w:p>
        </w:tc>
        <w:tc>
          <w:tcPr>
            <w:tcW w:w="1080" w:type="dxa"/>
            <w:tcBorders>
              <w:top w:val="nil"/>
              <w:left w:val="nil"/>
              <w:bottom w:val="single" w:sz="8" w:space="0" w:color="auto"/>
              <w:right w:val="single" w:sz="8" w:space="0" w:color="auto"/>
            </w:tcBorders>
            <w:shd w:val="clear" w:color="000000" w:fill="FFFFFF"/>
            <w:noWrap/>
            <w:vAlign w:val="center"/>
          </w:tcPr>
          <w:p w:rsidR="001357B2" w:rsidP="00715B2A" w14:paraId="4E6A2930" w14:textId="70CFAC9E">
            <w:pPr>
              <w:jc w:val="center"/>
              <w:rPr>
                <w:bCs/>
                <w:color w:val="000000"/>
              </w:rPr>
            </w:pPr>
            <w:r>
              <w:rPr>
                <w:bCs/>
                <w:color w:val="000000"/>
              </w:rPr>
              <w:t>1,100</w:t>
            </w:r>
          </w:p>
        </w:tc>
        <w:tc>
          <w:tcPr>
            <w:tcW w:w="1440" w:type="dxa"/>
            <w:tcBorders>
              <w:top w:val="nil"/>
              <w:left w:val="nil"/>
              <w:bottom w:val="single" w:sz="8" w:space="0" w:color="auto"/>
              <w:right w:val="single" w:sz="8" w:space="0" w:color="auto"/>
            </w:tcBorders>
            <w:shd w:val="clear" w:color="000000" w:fill="FFFFFF"/>
            <w:noWrap/>
            <w:vAlign w:val="center"/>
          </w:tcPr>
          <w:p w:rsidR="001357B2" w:rsidP="00715B2A" w14:paraId="59BB0302" w14:textId="183EE083">
            <w:pPr>
              <w:jc w:val="center"/>
              <w:rPr>
                <w:color w:val="000000"/>
              </w:rPr>
            </w:pPr>
            <w:r>
              <w:rPr>
                <w:color w:val="000000"/>
              </w:rPr>
              <w:t>$53,680</w:t>
            </w:r>
          </w:p>
        </w:tc>
      </w:tr>
      <w:tr w14:paraId="6EE3D752" w14:textId="77777777" w:rsidTr="002C223A">
        <w:tblPrEx>
          <w:tblW w:w="964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000000" w:fill="FFFFFF"/>
            <w:vAlign w:val="center"/>
          </w:tcPr>
          <w:p w:rsidR="00096595" w:rsidRPr="00096595" w:rsidP="00096595" w14:paraId="3501829C" w14:textId="3E2A3721">
            <w:r w:rsidRPr="00275E01">
              <w:t>Non-UGLG Distribution</w:t>
            </w:r>
            <w:r>
              <w:t xml:space="preserve"> Template</w:t>
            </w:r>
          </w:p>
        </w:tc>
        <w:tc>
          <w:tcPr>
            <w:tcW w:w="1350" w:type="dxa"/>
            <w:tcBorders>
              <w:top w:val="nil"/>
              <w:left w:val="nil"/>
              <w:bottom w:val="single" w:sz="8" w:space="0" w:color="auto"/>
              <w:right w:val="single" w:sz="8" w:space="0" w:color="auto"/>
            </w:tcBorders>
            <w:shd w:val="clear" w:color="000000" w:fill="FFFFFF"/>
            <w:noWrap/>
            <w:vAlign w:val="center"/>
          </w:tcPr>
          <w:p w:rsidR="00096595" w:rsidP="00715B2A" w14:paraId="15FC757D" w14:textId="18ECD486">
            <w:pPr>
              <w:jc w:val="center"/>
              <w:rPr>
                <w:bCs/>
                <w:color w:val="000000"/>
              </w:rPr>
            </w:pPr>
            <w:r>
              <w:rPr>
                <w:bCs/>
                <w:color w:val="000000"/>
              </w:rPr>
              <w:t>55</w:t>
            </w:r>
          </w:p>
        </w:tc>
        <w:tc>
          <w:tcPr>
            <w:tcW w:w="1620" w:type="dxa"/>
            <w:tcBorders>
              <w:top w:val="nil"/>
              <w:left w:val="nil"/>
              <w:bottom w:val="single" w:sz="8" w:space="0" w:color="auto"/>
              <w:right w:val="single" w:sz="8" w:space="0" w:color="auto"/>
            </w:tcBorders>
            <w:shd w:val="clear" w:color="000000" w:fill="FFFFFF"/>
            <w:noWrap/>
            <w:vAlign w:val="center"/>
          </w:tcPr>
          <w:p w:rsidR="00096595" w:rsidP="00715B2A" w14:paraId="11340C96" w14:textId="6D5DC6F4">
            <w:pPr>
              <w:jc w:val="center"/>
              <w:rPr>
                <w:bCs/>
                <w:color w:val="000000"/>
              </w:rPr>
            </w:pPr>
            <w:r>
              <w:rPr>
                <w:bCs/>
                <w:color w:val="000000"/>
              </w:rPr>
              <w:t xml:space="preserve">2 </w:t>
            </w:r>
          </w:p>
        </w:tc>
        <w:tc>
          <w:tcPr>
            <w:tcW w:w="1350" w:type="dxa"/>
            <w:tcBorders>
              <w:top w:val="nil"/>
              <w:left w:val="nil"/>
              <w:bottom w:val="single" w:sz="8" w:space="0" w:color="auto"/>
              <w:right w:val="single" w:sz="8" w:space="0" w:color="auto"/>
            </w:tcBorders>
            <w:shd w:val="clear" w:color="000000" w:fill="FFFFFF"/>
            <w:noWrap/>
            <w:vAlign w:val="center"/>
          </w:tcPr>
          <w:p w:rsidR="00096595" w:rsidP="00715B2A" w14:paraId="14D3979C" w14:textId="697C22E1">
            <w:pPr>
              <w:jc w:val="center"/>
              <w:rPr>
                <w:bCs/>
                <w:color w:val="000000"/>
              </w:rPr>
            </w:pPr>
            <w:r>
              <w:rPr>
                <w:bCs/>
                <w:color w:val="000000"/>
              </w:rPr>
              <w:t>1</w:t>
            </w:r>
            <w:r w:rsidR="00166E93">
              <w:rPr>
                <w:bCs/>
                <w:color w:val="000000"/>
              </w:rPr>
              <w:t>10</w:t>
            </w:r>
          </w:p>
        </w:tc>
        <w:tc>
          <w:tcPr>
            <w:tcW w:w="1260" w:type="dxa"/>
            <w:tcBorders>
              <w:top w:val="nil"/>
              <w:left w:val="nil"/>
              <w:bottom w:val="single" w:sz="8" w:space="0" w:color="auto"/>
              <w:right w:val="single" w:sz="8" w:space="0" w:color="auto"/>
            </w:tcBorders>
            <w:shd w:val="clear" w:color="000000" w:fill="FFFFFF"/>
            <w:noWrap/>
            <w:vAlign w:val="center"/>
          </w:tcPr>
          <w:p w:rsidR="00096595" w:rsidP="00715B2A" w14:paraId="146BE93B" w14:textId="219504FC">
            <w:pPr>
              <w:jc w:val="center"/>
              <w:rPr>
                <w:color w:val="000000"/>
              </w:rPr>
            </w:pPr>
            <w:r>
              <w:rPr>
                <w:color w:val="000000"/>
              </w:rPr>
              <w:t>5</w:t>
            </w:r>
          </w:p>
        </w:tc>
        <w:tc>
          <w:tcPr>
            <w:tcW w:w="1080" w:type="dxa"/>
            <w:tcBorders>
              <w:top w:val="nil"/>
              <w:left w:val="nil"/>
              <w:bottom w:val="single" w:sz="8" w:space="0" w:color="auto"/>
              <w:right w:val="single" w:sz="8" w:space="0" w:color="auto"/>
            </w:tcBorders>
            <w:shd w:val="clear" w:color="000000" w:fill="FFFFFF"/>
            <w:noWrap/>
            <w:vAlign w:val="center"/>
          </w:tcPr>
          <w:p w:rsidR="00096595" w:rsidP="00715B2A" w14:paraId="0ADF40B2" w14:textId="3C3D7591">
            <w:pPr>
              <w:jc w:val="center"/>
              <w:rPr>
                <w:bCs/>
                <w:color w:val="000000"/>
              </w:rPr>
            </w:pPr>
            <w:r>
              <w:rPr>
                <w:bCs/>
                <w:color w:val="000000"/>
              </w:rPr>
              <w:t>550</w:t>
            </w:r>
          </w:p>
        </w:tc>
        <w:tc>
          <w:tcPr>
            <w:tcW w:w="1440" w:type="dxa"/>
            <w:tcBorders>
              <w:top w:val="nil"/>
              <w:left w:val="nil"/>
              <w:bottom w:val="single" w:sz="8" w:space="0" w:color="auto"/>
              <w:right w:val="single" w:sz="8" w:space="0" w:color="auto"/>
            </w:tcBorders>
            <w:shd w:val="clear" w:color="000000" w:fill="FFFFFF"/>
            <w:noWrap/>
            <w:vAlign w:val="center"/>
          </w:tcPr>
          <w:p w:rsidR="00096595" w:rsidP="00715B2A" w14:paraId="31C1B259" w14:textId="1FD5CF01">
            <w:pPr>
              <w:jc w:val="center"/>
              <w:rPr>
                <w:color w:val="000000"/>
              </w:rPr>
            </w:pPr>
            <w:r w:rsidRPr="002C223A">
              <w:rPr>
                <w:color w:val="000000"/>
              </w:rPr>
              <w:t>$</w:t>
            </w:r>
            <w:r w:rsidR="00166E93">
              <w:rPr>
                <w:color w:val="000000"/>
              </w:rPr>
              <w:t>26,840</w:t>
            </w:r>
          </w:p>
        </w:tc>
      </w:tr>
      <w:tr w14:paraId="00BB0F23" w14:textId="77777777" w:rsidTr="002C223A">
        <w:tblPrEx>
          <w:tblW w:w="964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000000" w:fill="FFFFFF"/>
            <w:vAlign w:val="center"/>
          </w:tcPr>
          <w:p w:rsidR="002A5540" w:rsidRPr="00275E01" w:rsidP="00096595" w14:paraId="2CF48ADA" w14:textId="04E4C86E">
            <w:r>
              <w:t>Local Government Transfer Form</w:t>
            </w:r>
          </w:p>
        </w:tc>
        <w:tc>
          <w:tcPr>
            <w:tcW w:w="1350" w:type="dxa"/>
            <w:tcBorders>
              <w:top w:val="nil"/>
              <w:left w:val="nil"/>
              <w:bottom w:val="single" w:sz="8" w:space="0" w:color="auto"/>
              <w:right w:val="single" w:sz="8" w:space="0" w:color="auto"/>
            </w:tcBorders>
            <w:shd w:val="clear" w:color="000000" w:fill="FFFFFF"/>
            <w:noWrap/>
            <w:vAlign w:val="center"/>
          </w:tcPr>
          <w:p w:rsidR="002A5540" w:rsidP="00715B2A" w14:paraId="3C7F962D" w14:textId="7B670EC7">
            <w:pPr>
              <w:jc w:val="center"/>
              <w:rPr>
                <w:bCs/>
                <w:color w:val="000000"/>
              </w:rPr>
            </w:pPr>
            <w:r>
              <w:rPr>
                <w:bCs/>
                <w:color w:val="000000"/>
              </w:rPr>
              <w:t>1</w:t>
            </w:r>
            <w:r w:rsidR="00024B27">
              <w:rPr>
                <w:bCs/>
                <w:color w:val="000000"/>
              </w:rPr>
              <w:t>,</w:t>
            </w:r>
            <w:r>
              <w:rPr>
                <w:bCs/>
                <w:color w:val="000000"/>
              </w:rPr>
              <w:t>500</w:t>
            </w:r>
          </w:p>
        </w:tc>
        <w:tc>
          <w:tcPr>
            <w:tcW w:w="1620" w:type="dxa"/>
            <w:tcBorders>
              <w:top w:val="nil"/>
              <w:left w:val="nil"/>
              <w:bottom w:val="single" w:sz="8" w:space="0" w:color="auto"/>
              <w:right w:val="single" w:sz="8" w:space="0" w:color="auto"/>
            </w:tcBorders>
            <w:shd w:val="clear" w:color="000000" w:fill="FFFFFF"/>
            <w:noWrap/>
            <w:vAlign w:val="center"/>
          </w:tcPr>
          <w:p w:rsidR="002A5540" w:rsidP="00715B2A" w14:paraId="05B1130B" w14:textId="1D5A6DC2">
            <w:pPr>
              <w:jc w:val="center"/>
              <w:rPr>
                <w:bCs/>
                <w:color w:val="000000"/>
              </w:rPr>
            </w:pPr>
            <w:r>
              <w:rPr>
                <w:bCs/>
                <w:color w:val="000000"/>
              </w:rPr>
              <w:t>1</w:t>
            </w:r>
          </w:p>
        </w:tc>
        <w:tc>
          <w:tcPr>
            <w:tcW w:w="1350" w:type="dxa"/>
            <w:tcBorders>
              <w:top w:val="nil"/>
              <w:left w:val="nil"/>
              <w:bottom w:val="single" w:sz="8" w:space="0" w:color="auto"/>
              <w:right w:val="single" w:sz="8" w:space="0" w:color="auto"/>
            </w:tcBorders>
            <w:shd w:val="clear" w:color="000000" w:fill="FFFFFF"/>
            <w:noWrap/>
            <w:vAlign w:val="center"/>
          </w:tcPr>
          <w:p w:rsidR="002A5540" w:rsidP="00715B2A" w14:paraId="7534468A" w14:textId="6AADAF71">
            <w:pPr>
              <w:jc w:val="center"/>
              <w:rPr>
                <w:bCs/>
                <w:color w:val="000000"/>
              </w:rPr>
            </w:pPr>
            <w:r>
              <w:rPr>
                <w:bCs/>
                <w:color w:val="000000"/>
              </w:rPr>
              <w:t>1</w:t>
            </w:r>
            <w:r w:rsidR="00DE5BEB">
              <w:rPr>
                <w:bCs/>
                <w:color w:val="000000"/>
              </w:rPr>
              <w:t>,</w:t>
            </w:r>
            <w:r>
              <w:rPr>
                <w:bCs/>
                <w:color w:val="000000"/>
              </w:rPr>
              <w:t>500</w:t>
            </w:r>
          </w:p>
        </w:tc>
        <w:tc>
          <w:tcPr>
            <w:tcW w:w="1260" w:type="dxa"/>
            <w:tcBorders>
              <w:top w:val="nil"/>
              <w:left w:val="nil"/>
              <w:bottom w:val="single" w:sz="8" w:space="0" w:color="auto"/>
              <w:right w:val="single" w:sz="8" w:space="0" w:color="auto"/>
            </w:tcBorders>
            <w:shd w:val="clear" w:color="000000" w:fill="FFFFFF"/>
            <w:noWrap/>
            <w:vAlign w:val="center"/>
          </w:tcPr>
          <w:p w:rsidR="002A5540" w:rsidP="00715B2A" w14:paraId="71830927" w14:textId="18CC9C08">
            <w:pPr>
              <w:jc w:val="center"/>
              <w:rPr>
                <w:color w:val="000000"/>
              </w:rPr>
            </w:pPr>
            <w:r>
              <w:rPr>
                <w:color w:val="000000"/>
              </w:rPr>
              <w:t>1</w:t>
            </w:r>
          </w:p>
        </w:tc>
        <w:tc>
          <w:tcPr>
            <w:tcW w:w="1080" w:type="dxa"/>
            <w:tcBorders>
              <w:top w:val="nil"/>
              <w:left w:val="nil"/>
              <w:bottom w:val="single" w:sz="8" w:space="0" w:color="auto"/>
              <w:right w:val="single" w:sz="8" w:space="0" w:color="auto"/>
            </w:tcBorders>
            <w:shd w:val="clear" w:color="000000" w:fill="FFFFFF"/>
            <w:noWrap/>
            <w:vAlign w:val="center"/>
          </w:tcPr>
          <w:p w:rsidR="002A5540" w:rsidP="00715B2A" w14:paraId="4B030219" w14:textId="0192E4FA">
            <w:pPr>
              <w:jc w:val="center"/>
              <w:rPr>
                <w:bCs/>
                <w:color w:val="000000"/>
              </w:rPr>
            </w:pPr>
            <w:r>
              <w:rPr>
                <w:bCs/>
                <w:color w:val="000000"/>
              </w:rPr>
              <w:t>1,500</w:t>
            </w:r>
          </w:p>
        </w:tc>
        <w:tc>
          <w:tcPr>
            <w:tcW w:w="1440" w:type="dxa"/>
            <w:tcBorders>
              <w:top w:val="nil"/>
              <w:left w:val="nil"/>
              <w:bottom w:val="single" w:sz="8" w:space="0" w:color="auto"/>
              <w:right w:val="single" w:sz="8" w:space="0" w:color="auto"/>
            </w:tcBorders>
            <w:shd w:val="clear" w:color="000000" w:fill="FFFFFF"/>
            <w:noWrap/>
            <w:vAlign w:val="center"/>
          </w:tcPr>
          <w:p w:rsidR="002A5540" w:rsidRPr="002C223A" w:rsidP="00715B2A" w14:paraId="4D744655" w14:textId="03082A96">
            <w:pPr>
              <w:jc w:val="center"/>
              <w:rPr>
                <w:color w:val="000000"/>
              </w:rPr>
            </w:pPr>
            <w:r>
              <w:rPr>
                <w:color w:val="000000"/>
              </w:rPr>
              <w:t>$73,200</w:t>
            </w:r>
          </w:p>
        </w:tc>
      </w:tr>
      <w:tr w14:paraId="6E56A25C" w14:textId="77777777" w:rsidTr="002C223A">
        <w:tblPrEx>
          <w:tblW w:w="964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000000" w:fill="FFFFFF"/>
            <w:vAlign w:val="center"/>
          </w:tcPr>
          <w:p w:rsidR="0054656A" w:rsidRPr="00275E01" w:rsidP="0054656A" w14:paraId="1B13AFCA" w14:textId="59A0E99A">
            <w:r>
              <w:t xml:space="preserve">NEU </w:t>
            </w:r>
            <w:r w:rsidR="005A525F">
              <w:t>Agreements and Supporting Documents</w:t>
            </w:r>
          </w:p>
        </w:tc>
        <w:tc>
          <w:tcPr>
            <w:tcW w:w="1350" w:type="dxa"/>
            <w:tcBorders>
              <w:top w:val="nil"/>
              <w:left w:val="nil"/>
              <w:bottom w:val="single" w:sz="8" w:space="0" w:color="auto"/>
              <w:right w:val="single" w:sz="8" w:space="0" w:color="auto"/>
            </w:tcBorders>
            <w:shd w:val="clear" w:color="000000" w:fill="FFFFFF"/>
            <w:noWrap/>
            <w:vAlign w:val="center"/>
          </w:tcPr>
          <w:p w:rsidR="0054656A" w:rsidP="0054656A" w14:paraId="5D4BA40F" w14:textId="51263F25">
            <w:pPr>
              <w:jc w:val="center"/>
              <w:rPr>
                <w:bCs/>
                <w:color w:val="000000"/>
              </w:rPr>
            </w:pPr>
            <w:r>
              <w:rPr>
                <w:bCs/>
                <w:color w:val="000000"/>
              </w:rPr>
              <w:t>27</w:t>
            </w:r>
            <w:r w:rsidR="005A525F">
              <w:rPr>
                <w:bCs/>
                <w:color w:val="000000"/>
              </w:rPr>
              <w:t>,000</w:t>
            </w:r>
          </w:p>
        </w:tc>
        <w:tc>
          <w:tcPr>
            <w:tcW w:w="1620" w:type="dxa"/>
            <w:tcBorders>
              <w:top w:val="nil"/>
              <w:left w:val="nil"/>
              <w:bottom w:val="single" w:sz="8" w:space="0" w:color="auto"/>
              <w:right w:val="single" w:sz="8" w:space="0" w:color="auto"/>
            </w:tcBorders>
            <w:shd w:val="clear" w:color="000000" w:fill="FFFFFF"/>
            <w:noWrap/>
            <w:vAlign w:val="center"/>
          </w:tcPr>
          <w:p w:rsidR="0054656A" w:rsidP="0054656A" w14:paraId="39E1BED2" w14:textId="7A64B8DF">
            <w:pPr>
              <w:jc w:val="center"/>
              <w:rPr>
                <w:bCs/>
                <w:color w:val="000000"/>
              </w:rPr>
            </w:pPr>
            <w:r>
              <w:rPr>
                <w:bCs/>
                <w:color w:val="000000"/>
              </w:rPr>
              <w:t>1</w:t>
            </w:r>
          </w:p>
        </w:tc>
        <w:tc>
          <w:tcPr>
            <w:tcW w:w="1350" w:type="dxa"/>
            <w:tcBorders>
              <w:top w:val="nil"/>
              <w:left w:val="nil"/>
              <w:bottom w:val="single" w:sz="8" w:space="0" w:color="auto"/>
              <w:right w:val="single" w:sz="8" w:space="0" w:color="auto"/>
            </w:tcBorders>
            <w:shd w:val="clear" w:color="000000" w:fill="FFFFFF"/>
            <w:noWrap/>
            <w:vAlign w:val="center"/>
          </w:tcPr>
          <w:p w:rsidR="0054656A" w:rsidP="0054656A" w14:paraId="2462634B" w14:textId="43514C67">
            <w:pPr>
              <w:jc w:val="center"/>
              <w:rPr>
                <w:bCs/>
                <w:color w:val="000000"/>
              </w:rPr>
            </w:pPr>
            <w:r>
              <w:rPr>
                <w:bCs/>
                <w:color w:val="000000"/>
              </w:rPr>
              <w:t>27</w:t>
            </w:r>
            <w:r w:rsidR="005A525F">
              <w:rPr>
                <w:bCs/>
                <w:color w:val="000000"/>
              </w:rPr>
              <w:t>,000</w:t>
            </w:r>
          </w:p>
        </w:tc>
        <w:tc>
          <w:tcPr>
            <w:tcW w:w="1260" w:type="dxa"/>
            <w:tcBorders>
              <w:top w:val="nil"/>
              <w:left w:val="nil"/>
              <w:bottom w:val="single" w:sz="8" w:space="0" w:color="auto"/>
              <w:right w:val="single" w:sz="8" w:space="0" w:color="auto"/>
            </w:tcBorders>
            <w:shd w:val="clear" w:color="000000" w:fill="FFFFFF"/>
            <w:noWrap/>
            <w:vAlign w:val="center"/>
          </w:tcPr>
          <w:p w:rsidR="0054656A" w:rsidP="0054656A" w14:paraId="6D880863" w14:textId="05152D0A">
            <w:pPr>
              <w:jc w:val="center"/>
              <w:rPr>
                <w:color w:val="000000"/>
              </w:rPr>
            </w:pPr>
            <w:r>
              <w:rPr>
                <w:color w:val="000000"/>
              </w:rPr>
              <w:t>.5</w:t>
            </w:r>
          </w:p>
        </w:tc>
        <w:tc>
          <w:tcPr>
            <w:tcW w:w="1080" w:type="dxa"/>
            <w:tcBorders>
              <w:top w:val="nil"/>
              <w:left w:val="nil"/>
              <w:bottom w:val="single" w:sz="8" w:space="0" w:color="auto"/>
              <w:right w:val="single" w:sz="8" w:space="0" w:color="auto"/>
            </w:tcBorders>
            <w:shd w:val="clear" w:color="000000" w:fill="FFFFFF"/>
            <w:noWrap/>
            <w:vAlign w:val="center"/>
          </w:tcPr>
          <w:p w:rsidR="0054656A" w:rsidP="0054656A" w14:paraId="16B6BD7F" w14:textId="39DC3564">
            <w:pPr>
              <w:jc w:val="center"/>
              <w:rPr>
                <w:bCs/>
                <w:color w:val="000000"/>
              </w:rPr>
            </w:pPr>
            <w:r w:rsidRPr="00633A89">
              <w:rPr>
                <w:bCs/>
                <w:color w:val="000000"/>
              </w:rPr>
              <w:t>1</w:t>
            </w:r>
            <w:r w:rsidR="00A95B12">
              <w:rPr>
                <w:bCs/>
                <w:color w:val="000000"/>
              </w:rPr>
              <w:t>3</w:t>
            </w:r>
            <w:r w:rsidRPr="00633A89">
              <w:rPr>
                <w:bCs/>
                <w:color w:val="000000"/>
              </w:rPr>
              <w:t>,</w:t>
            </w:r>
            <w:r w:rsidR="00A95B12">
              <w:rPr>
                <w:bCs/>
                <w:color w:val="000000"/>
              </w:rPr>
              <w:t>5</w:t>
            </w:r>
            <w:r w:rsidRPr="00A96FCB">
              <w:rPr>
                <w:bCs/>
                <w:color w:val="000000"/>
              </w:rPr>
              <w:t>00</w:t>
            </w:r>
          </w:p>
        </w:tc>
        <w:tc>
          <w:tcPr>
            <w:tcW w:w="1440" w:type="dxa"/>
            <w:tcBorders>
              <w:top w:val="nil"/>
              <w:left w:val="nil"/>
              <w:bottom w:val="single" w:sz="8" w:space="0" w:color="auto"/>
              <w:right w:val="single" w:sz="8" w:space="0" w:color="auto"/>
            </w:tcBorders>
            <w:shd w:val="clear" w:color="000000" w:fill="FFFFFF"/>
            <w:noWrap/>
            <w:vAlign w:val="center"/>
          </w:tcPr>
          <w:p w:rsidR="0054656A" w:rsidRPr="002C223A" w:rsidP="0054656A" w14:paraId="7B906A9A" w14:textId="4FF92028">
            <w:pPr>
              <w:jc w:val="center"/>
              <w:rPr>
                <w:color w:val="000000"/>
              </w:rPr>
            </w:pPr>
            <w:r>
              <w:rPr>
                <w:color w:val="000000"/>
              </w:rPr>
              <w:t>$</w:t>
            </w:r>
            <w:r w:rsidR="001E71FE">
              <w:rPr>
                <w:color w:val="000000"/>
              </w:rPr>
              <w:t>658,800</w:t>
            </w:r>
          </w:p>
        </w:tc>
      </w:tr>
      <w:tr w14:paraId="3809579D" w14:textId="77777777" w:rsidTr="002C223A">
        <w:tblPrEx>
          <w:tblW w:w="964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000000" w:fill="FFFFFF"/>
            <w:vAlign w:val="center"/>
          </w:tcPr>
          <w:p w:rsidR="00A96FCB" w:rsidP="0054656A" w14:paraId="5F6E2313" w14:textId="7B935E30">
            <w:r>
              <w:t>Project and Expenditure Report</w:t>
            </w:r>
            <w:r w:rsidR="00A03E6A">
              <w:t xml:space="preserve"> (quarterly)</w:t>
            </w:r>
          </w:p>
        </w:tc>
        <w:tc>
          <w:tcPr>
            <w:tcW w:w="1350" w:type="dxa"/>
            <w:tcBorders>
              <w:top w:val="nil"/>
              <w:left w:val="nil"/>
              <w:bottom w:val="single" w:sz="8" w:space="0" w:color="auto"/>
              <w:right w:val="single" w:sz="8" w:space="0" w:color="auto"/>
            </w:tcBorders>
            <w:shd w:val="clear" w:color="000000" w:fill="FFFFFF"/>
            <w:noWrap/>
            <w:vAlign w:val="center"/>
          </w:tcPr>
          <w:p w:rsidR="00A96FCB" w:rsidP="0054656A" w14:paraId="1F447150" w14:textId="2E7D923B">
            <w:pPr>
              <w:jc w:val="center"/>
              <w:rPr>
                <w:bCs/>
                <w:color w:val="000000"/>
              </w:rPr>
            </w:pPr>
            <w:r>
              <w:rPr>
                <w:bCs/>
                <w:color w:val="000000"/>
              </w:rPr>
              <w:t>2,000</w:t>
            </w:r>
          </w:p>
        </w:tc>
        <w:tc>
          <w:tcPr>
            <w:tcW w:w="1620" w:type="dxa"/>
            <w:tcBorders>
              <w:top w:val="nil"/>
              <w:left w:val="nil"/>
              <w:bottom w:val="single" w:sz="8" w:space="0" w:color="auto"/>
              <w:right w:val="single" w:sz="8" w:space="0" w:color="auto"/>
            </w:tcBorders>
            <w:shd w:val="clear" w:color="000000" w:fill="FFFFFF"/>
            <w:noWrap/>
            <w:vAlign w:val="center"/>
          </w:tcPr>
          <w:p w:rsidR="00A96FCB" w:rsidP="0054656A" w14:paraId="1FBBC2A3" w14:textId="225FBB33">
            <w:pPr>
              <w:jc w:val="center"/>
              <w:rPr>
                <w:bCs/>
                <w:color w:val="000000"/>
              </w:rPr>
            </w:pPr>
            <w:r>
              <w:rPr>
                <w:bCs/>
                <w:color w:val="000000"/>
              </w:rPr>
              <w:t>4</w:t>
            </w:r>
          </w:p>
        </w:tc>
        <w:tc>
          <w:tcPr>
            <w:tcW w:w="1350" w:type="dxa"/>
            <w:tcBorders>
              <w:top w:val="nil"/>
              <w:left w:val="nil"/>
              <w:bottom w:val="single" w:sz="8" w:space="0" w:color="auto"/>
              <w:right w:val="single" w:sz="8" w:space="0" w:color="auto"/>
            </w:tcBorders>
            <w:shd w:val="clear" w:color="000000" w:fill="FFFFFF"/>
            <w:noWrap/>
            <w:vAlign w:val="center"/>
          </w:tcPr>
          <w:p w:rsidR="00A96FCB" w:rsidP="0054656A" w14:paraId="0126A004" w14:textId="4D9D5E3B">
            <w:pPr>
              <w:jc w:val="center"/>
              <w:rPr>
                <w:bCs/>
                <w:color w:val="000000"/>
              </w:rPr>
            </w:pPr>
            <w:r>
              <w:rPr>
                <w:bCs/>
                <w:color w:val="000000"/>
              </w:rPr>
              <w:t>8,000</w:t>
            </w:r>
          </w:p>
        </w:tc>
        <w:tc>
          <w:tcPr>
            <w:tcW w:w="1260" w:type="dxa"/>
            <w:tcBorders>
              <w:top w:val="nil"/>
              <w:left w:val="nil"/>
              <w:bottom w:val="single" w:sz="8" w:space="0" w:color="auto"/>
              <w:right w:val="single" w:sz="8" w:space="0" w:color="auto"/>
            </w:tcBorders>
            <w:shd w:val="clear" w:color="000000" w:fill="FFFFFF"/>
            <w:noWrap/>
            <w:vAlign w:val="center"/>
          </w:tcPr>
          <w:p w:rsidR="00A96FCB" w:rsidP="0054656A" w14:paraId="41D560CA" w14:textId="2934DAF2">
            <w:pPr>
              <w:jc w:val="center"/>
              <w:rPr>
                <w:color w:val="000000"/>
              </w:rPr>
            </w:pPr>
            <w:r>
              <w:rPr>
                <w:color w:val="000000"/>
              </w:rPr>
              <w:t>6</w:t>
            </w:r>
          </w:p>
        </w:tc>
        <w:tc>
          <w:tcPr>
            <w:tcW w:w="1080" w:type="dxa"/>
            <w:tcBorders>
              <w:top w:val="nil"/>
              <w:left w:val="nil"/>
              <w:bottom w:val="single" w:sz="8" w:space="0" w:color="auto"/>
              <w:right w:val="single" w:sz="8" w:space="0" w:color="auto"/>
            </w:tcBorders>
            <w:shd w:val="clear" w:color="000000" w:fill="FFFFFF"/>
            <w:noWrap/>
            <w:vAlign w:val="center"/>
          </w:tcPr>
          <w:p w:rsidR="00A96FCB" w:rsidRPr="00633A89" w:rsidP="0054656A" w14:paraId="31EF0D16" w14:textId="44B17A0E">
            <w:pPr>
              <w:jc w:val="center"/>
              <w:rPr>
                <w:bCs/>
                <w:color w:val="000000"/>
              </w:rPr>
            </w:pPr>
            <w:r>
              <w:rPr>
                <w:bCs/>
                <w:color w:val="000000"/>
              </w:rPr>
              <w:t>48,000</w:t>
            </w:r>
          </w:p>
        </w:tc>
        <w:tc>
          <w:tcPr>
            <w:tcW w:w="1440" w:type="dxa"/>
            <w:tcBorders>
              <w:top w:val="nil"/>
              <w:left w:val="nil"/>
              <w:bottom w:val="single" w:sz="8" w:space="0" w:color="auto"/>
              <w:right w:val="single" w:sz="8" w:space="0" w:color="auto"/>
            </w:tcBorders>
            <w:shd w:val="clear" w:color="000000" w:fill="FFFFFF"/>
            <w:noWrap/>
            <w:vAlign w:val="center"/>
          </w:tcPr>
          <w:p w:rsidR="00A96FCB" w:rsidP="0054656A" w14:paraId="3AD5D2EB" w14:textId="55D4560E">
            <w:pPr>
              <w:jc w:val="center"/>
              <w:rPr>
                <w:color w:val="000000"/>
              </w:rPr>
            </w:pPr>
            <w:r>
              <w:rPr>
                <w:color w:val="000000"/>
              </w:rPr>
              <w:t>$2,342,400</w:t>
            </w:r>
          </w:p>
        </w:tc>
      </w:tr>
      <w:tr w14:paraId="60918EC8" w14:textId="77777777" w:rsidTr="002C223A">
        <w:tblPrEx>
          <w:tblW w:w="964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000000" w:fill="FFFFFF"/>
            <w:vAlign w:val="center"/>
          </w:tcPr>
          <w:p w:rsidR="00A03E6A" w:rsidP="0054656A" w14:paraId="2018390B" w14:textId="01E1BC04">
            <w:r>
              <w:t>Project and Expenditure Report (annually)</w:t>
            </w:r>
          </w:p>
        </w:tc>
        <w:tc>
          <w:tcPr>
            <w:tcW w:w="1350" w:type="dxa"/>
            <w:tcBorders>
              <w:top w:val="nil"/>
              <w:left w:val="nil"/>
              <w:bottom w:val="single" w:sz="8" w:space="0" w:color="auto"/>
              <w:right w:val="single" w:sz="8" w:space="0" w:color="auto"/>
            </w:tcBorders>
            <w:shd w:val="clear" w:color="000000" w:fill="FFFFFF"/>
            <w:noWrap/>
            <w:vAlign w:val="center"/>
          </w:tcPr>
          <w:p w:rsidR="00A03E6A" w:rsidP="0054656A" w14:paraId="5C512E17" w14:textId="255EA3B8">
            <w:pPr>
              <w:jc w:val="center"/>
              <w:rPr>
                <w:bCs/>
                <w:color w:val="000000"/>
              </w:rPr>
            </w:pPr>
            <w:r>
              <w:rPr>
                <w:bCs/>
                <w:color w:val="000000"/>
              </w:rPr>
              <w:t>26,000</w:t>
            </w:r>
          </w:p>
        </w:tc>
        <w:tc>
          <w:tcPr>
            <w:tcW w:w="1620" w:type="dxa"/>
            <w:tcBorders>
              <w:top w:val="nil"/>
              <w:left w:val="nil"/>
              <w:bottom w:val="single" w:sz="8" w:space="0" w:color="auto"/>
              <w:right w:val="single" w:sz="8" w:space="0" w:color="auto"/>
            </w:tcBorders>
            <w:shd w:val="clear" w:color="000000" w:fill="FFFFFF"/>
            <w:noWrap/>
            <w:vAlign w:val="center"/>
          </w:tcPr>
          <w:p w:rsidR="00A03E6A" w:rsidP="0054656A" w14:paraId="3162130E" w14:textId="59156604">
            <w:pPr>
              <w:jc w:val="center"/>
              <w:rPr>
                <w:bCs/>
                <w:color w:val="000000"/>
              </w:rPr>
            </w:pPr>
            <w:r>
              <w:rPr>
                <w:bCs/>
                <w:color w:val="000000"/>
              </w:rPr>
              <w:t>1</w:t>
            </w:r>
          </w:p>
        </w:tc>
        <w:tc>
          <w:tcPr>
            <w:tcW w:w="1350" w:type="dxa"/>
            <w:tcBorders>
              <w:top w:val="nil"/>
              <w:left w:val="nil"/>
              <w:bottom w:val="single" w:sz="8" w:space="0" w:color="auto"/>
              <w:right w:val="single" w:sz="8" w:space="0" w:color="auto"/>
            </w:tcBorders>
            <w:shd w:val="clear" w:color="000000" w:fill="FFFFFF"/>
            <w:noWrap/>
            <w:vAlign w:val="center"/>
          </w:tcPr>
          <w:p w:rsidR="00A03E6A" w:rsidP="0054656A" w14:paraId="1A81CCBD" w14:textId="44457317">
            <w:pPr>
              <w:jc w:val="center"/>
              <w:rPr>
                <w:bCs/>
                <w:color w:val="000000"/>
              </w:rPr>
            </w:pPr>
            <w:r>
              <w:rPr>
                <w:bCs/>
                <w:color w:val="000000"/>
              </w:rPr>
              <w:t>26,000</w:t>
            </w:r>
          </w:p>
        </w:tc>
        <w:tc>
          <w:tcPr>
            <w:tcW w:w="1260" w:type="dxa"/>
            <w:tcBorders>
              <w:top w:val="nil"/>
              <w:left w:val="nil"/>
              <w:bottom w:val="single" w:sz="8" w:space="0" w:color="auto"/>
              <w:right w:val="single" w:sz="8" w:space="0" w:color="auto"/>
            </w:tcBorders>
            <w:shd w:val="clear" w:color="000000" w:fill="FFFFFF"/>
            <w:noWrap/>
            <w:vAlign w:val="center"/>
          </w:tcPr>
          <w:p w:rsidR="00A03E6A" w:rsidP="0054656A" w14:paraId="00984189" w14:textId="375D0841">
            <w:pPr>
              <w:jc w:val="center"/>
              <w:rPr>
                <w:color w:val="000000"/>
              </w:rPr>
            </w:pPr>
            <w:r>
              <w:rPr>
                <w:color w:val="000000"/>
              </w:rPr>
              <w:t>6</w:t>
            </w:r>
          </w:p>
        </w:tc>
        <w:tc>
          <w:tcPr>
            <w:tcW w:w="1080" w:type="dxa"/>
            <w:tcBorders>
              <w:top w:val="nil"/>
              <w:left w:val="nil"/>
              <w:bottom w:val="single" w:sz="8" w:space="0" w:color="auto"/>
              <w:right w:val="single" w:sz="8" w:space="0" w:color="auto"/>
            </w:tcBorders>
            <w:shd w:val="clear" w:color="000000" w:fill="FFFFFF"/>
            <w:noWrap/>
            <w:vAlign w:val="center"/>
          </w:tcPr>
          <w:p w:rsidR="00A03E6A" w:rsidP="0054656A" w14:paraId="6C16D432" w14:textId="49067703">
            <w:pPr>
              <w:jc w:val="center"/>
              <w:rPr>
                <w:bCs/>
                <w:color w:val="000000"/>
              </w:rPr>
            </w:pPr>
            <w:r>
              <w:rPr>
                <w:bCs/>
                <w:color w:val="000000"/>
              </w:rPr>
              <w:t>156,000</w:t>
            </w:r>
          </w:p>
        </w:tc>
        <w:tc>
          <w:tcPr>
            <w:tcW w:w="1440" w:type="dxa"/>
            <w:tcBorders>
              <w:top w:val="nil"/>
              <w:left w:val="nil"/>
              <w:bottom w:val="single" w:sz="8" w:space="0" w:color="auto"/>
              <w:right w:val="single" w:sz="8" w:space="0" w:color="auto"/>
            </w:tcBorders>
            <w:shd w:val="clear" w:color="000000" w:fill="FFFFFF"/>
            <w:noWrap/>
            <w:vAlign w:val="center"/>
          </w:tcPr>
          <w:p w:rsidR="00A03E6A" w:rsidP="0054656A" w14:paraId="42D7818B" w14:textId="6C674F02">
            <w:pPr>
              <w:jc w:val="center"/>
              <w:rPr>
                <w:color w:val="000000"/>
              </w:rPr>
            </w:pPr>
            <w:r>
              <w:rPr>
                <w:color w:val="000000"/>
              </w:rPr>
              <w:t>$7,612,800</w:t>
            </w:r>
          </w:p>
        </w:tc>
      </w:tr>
      <w:tr w14:paraId="179C25A7" w14:textId="77777777" w:rsidTr="00155692">
        <w:tblPrEx>
          <w:tblW w:w="964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000000" w:fill="FFFFFF"/>
            <w:vAlign w:val="center"/>
          </w:tcPr>
          <w:p w:rsidR="0054656A" w:rsidRPr="0094779F" w:rsidP="0054656A" w14:paraId="0F510153" w14:textId="5E41D74E">
            <w:pPr>
              <w:jc w:val="center"/>
              <w:rPr>
                <w:b/>
                <w:color w:val="000000"/>
              </w:rPr>
            </w:pPr>
            <w:r w:rsidRPr="0094779F">
              <w:rPr>
                <w:b/>
                <w:color w:val="000000"/>
              </w:rPr>
              <w:t>Total</w:t>
            </w:r>
          </w:p>
        </w:tc>
        <w:tc>
          <w:tcPr>
            <w:tcW w:w="1350" w:type="dxa"/>
            <w:tcBorders>
              <w:top w:val="nil"/>
              <w:left w:val="nil"/>
              <w:bottom w:val="single" w:sz="8" w:space="0" w:color="auto"/>
              <w:right w:val="single" w:sz="8" w:space="0" w:color="auto"/>
            </w:tcBorders>
            <w:shd w:val="clear" w:color="000000" w:fill="FFFFFF"/>
            <w:noWrap/>
            <w:vAlign w:val="center"/>
          </w:tcPr>
          <w:p w:rsidR="0054656A" w:rsidRPr="0094779F" w:rsidP="0054656A" w14:paraId="31AC7F81" w14:textId="75236A30">
            <w:pPr>
              <w:jc w:val="center"/>
              <w:rPr>
                <w:b/>
                <w:color w:val="000000"/>
              </w:rPr>
            </w:pPr>
            <w:r>
              <w:rPr>
                <w:b/>
                <w:color w:val="000000"/>
              </w:rPr>
              <w:t>72,870</w:t>
            </w:r>
          </w:p>
        </w:tc>
        <w:tc>
          <w:tcPr>
            <w:tcW w:w="1620" w:type="dxa"/>
            <w:tcBorders>
              <w:top w:val="nil"/>
              <w:left w:val="nil"/>
              <w:bottom w:val="single" w:sz="8" w:space="0" w:color="auto"/>
              <w:right w:val="single" w:sz="8" w:space="0" w:color="auto"/>
            </w:tcBorders>
            <w:shd w:val="clear" w:color="auto" w:fill="A6A6A6" w:themeFill="background1" w:themeFillShade="A6"/>
            <w:noWrap/>
            <w:vAlign w:val="center"/>
          </w:tcPr>
          <w:p w:rsidR="0054656A" w:rsidRPr="0094779F" w:rsidP="0054656A" w14:paraId="41A4541A" w14:textId="56B3B9DD">
            <w:pPr>
              <w:jc w:val="center"/>
              <w:rPr>
                <w:b/>
                <w:color w:val="000000"/>
              </w:rPr>
            </w:pPr>
          </w:p>
        </w:tc>
        <w:tc>
          <w:tcPr>
            <w:tcW w:w="1350" w:type="dxa"/>
            <w:tcBorders>
              <w:top w:val="nil"/>
              <w:left w:val="nil"/>
              <w:bottom w:val="single" w:sz="8" w:space="0" w:color="auto"/>
              <w:right w:val="single" w:sz="8" w:space="0" w:color="auto"/>
            </w:tcBorders>
            <w:shd w:val="clear" w:color="000000" w:fill="FFFFFF"/>
            <w:noWrap/>
            <w:vAlign w:val="center"/>
          </w:tcPr>
          <w:p w:rsidR="0054656A" w:rsidRPr="0094779F" w:rsidP="0054656A" w14:paraId="583B33EC" w14:textId="5D92C285">
            <w:pPr>
              <w:jc w:val="center"/>
              <w:rPr>
                <w:b/>
                <w:color w:val="000000"/>
              </w:rPr>
            </w:pPr>
            <w:r>
              <w:rPr>
                <w:b/>
                <w:color w:val="000000"/>
              </w:rPr>
              <w:t>78,980</w:t>
            </w:r>
          </w:p>
        </w:tc>
        <w:tc>
          <w:tcPr>
            <w:tcW w:w="1260" w:type="dxa"/>
            <w:tcBorders>
              <w:top w:val="nil"/>
              <w:left w:val="nil"/>
              <w:bottom w:val="single" w:sz="8" w:space="0" w:color="auto"/>
              <w:right w:val="single" w:sz="8" w:space="0" w:color="auto"/>
            </w:tcBorders>
            <w:shd w:val="clear" w:color="auto" w:fill="A6A6A6" w:themeFill="background1" w:themeFillShade="A6"/>
            <w:noWrap/>
            <w:vAlign w:val="center"/>
          </w:tcPr>
          <w:p w:rsidR="0054656A" w:rsidRPr="0094779F" w:rsidP="0054656A" w14:paraId="7243D3B3" w14:textId="650D9FAE">
            <w:pPr>
              <w:jc w:val="center"/>
              <w:rPr>
                <w:b/>
                <w:color w:val="000000"/>
              </w:rPr>
            </w:pPr>
          </w:p>
        </w:tc>
        <w:tc>
          <w:tcPr>
            <w:tcW w:w="1080" w:type="dxa"/>
            <w:tcBorders>
              <w:top w:val="nil"/>
              <w:left w:val="nil"/>
              <w:bottom w:val="single" w:sz="8" w:space="0" w:color="auto"/>
              <w:right w:val="single" w:sz="8" w:space="0" w:color="auto"/>
            </w:tcBorders>
            <w:shd w:val="clear" w:color="000000" w:fill="FFFFFF"/>
            <w:noWrap/>
            <w:vAlign w:val="center"/>
          </w:tcPr>
          <w:p w:rsidR="0054656A" w:rsidRPr="0094779F" w:rsidP="0054656A" w14:paraId="2F1D7A9B" w14:textId="4898AD42">
            <w:pPr>
              <w:jc w:val="center"/>
              <w:rPr>
                <w:b/>
                <w:color w:val="000000"/>
              </w:rPr>
            </w:pPr>
            <w:r>
              <w:rPr>
                <w:b/>
                <w:bCs/>
                <w:color w:val="000000"/>
              </w:rPr>
              <w:t>269,234</w:t>
            </w:r>
          </w:p>
        </w:tc>
        <w:tc>
          <w:tcPr>
            <w:tcW w:w="1440" w:type="dxa"/>
            <w:tcBorders>
              <w:top w:val="nil"/>
              <w:left w:val="nil"/>
              <w:bottom w:val="single" w:sz="8" w:space="0" w:color="auto"/>
              <w:right w:val="single" w:sz="8" w:space="0" w:color="auto"/>
            </w:tcBorders>
            <w:shd w:val="clear" w:color="000000" w:fill="FFFFFF"/>
            <w:noWrap/>
            <w:vAlign w:val="center"/>
          </w:tcPr>
          <w:p w:rsidR="0054656A" w:rsidRPr="0094779F" w:rsidP="0054656A" w14:paraId="18F55A76" w14:textId="07168A2E">
            <w:pPr>
              <w:jc w:val="center"/>
              <w:rPr>
                <w:b/>
                <w:color w:val="000000"/>
              </w:rPr>
            </w:pPr>
            <w:r>
              <w:rPr>
                <w:b/>
                <w:color w:val="000000"/>
              </w:rPr>
              <w:t>$13,</w:t>
            </w:r>
            <w:r w:rsidR="00062C48">
              <w:rPr>
                <w:b/>
                <w:color w:val="000000"/>
              </w:rPr>
              <w:t>408,193</w:t>
            </w:r>
          </w:p>
        </w:tc>
      </w:tr>
    </w:tbl>
    <w:p w:rsidR="006D7534" w:rsidRPr="00DF449E" w:rsidP="006D7534" w14:paraId="301D7658" w14:textId="3F00CE48">
      <w:r w:rsidRPr="00DF449E">
        <w:t>* Bureau of Labor Statistics, U.S. Department of Labor, Occupational Outlook Handbook, Accountants and Auditors, on the Internet at https://www.bls.gov/ooh/business-and-financial/accountants-and-auditors.htm (visited March 28, 2020).</w:t>
      </w:r>
      <w:r w:rsidRPr="00DF449E" w:rsidR="00D03489">
        <w:t xml:space="preserve"> Base wage of $33.89/hour increased by 44% to account for </w:t>
      </w:r>
      <w:r w:rsidRPr="00DF449E" w:rsidR="008310D4">
        <w:t>fully loaded</w:t>
      </w:r>
      <w:r w:rsidRPr="00DF449E" w:rsidR="00D03489">
        <w:t xml:space="preserve"> employer cost of employee compensation (benefits, etc.)</w:t>
      </w:r>
      <w:r w:rsidRPr="00DF449E" w:rsidR="003B7343">
        <w:t xml:space="preserve"> for a </w:t>
      </w:r>
      <w:r w:rsidRPr="00DF449E" w:rsidR="008310D4">
        <w:t>fully loaded</w:t>
      </w:r>
      <w:r w:rsidRPr="00DF449E" w:rsidR="003B7343">
        <w:t xml:space="preserve"> wage rate of $48.80.</w:t>
      </w:r>
    </w:p>
    <w:p w:rsidR="006D7534" w:rsidP="006D7534" w14:paraId="5F42C3E2" w14:textId="0A1DC239"/>
    <w:p w:rsidR="0099140A" w:rsidP="006D7534" w14:paraId="32B0B004" w14:textId="3F5D62D8"/>
    <w:p w:rsidR="0099140A" w:rsidRPr="00DF449E" w:rsidP="006D7534" w14:paraId="7CA5C6B1" w14:textId="77777777"/>
    <w:p w:rsidR="00FB7F1C" w:rsidRPr="00DF449E" w:rsidP="006D7534" w14:paraId="2512A8C8" w14:textId="2A1ED737">
      <w:r w:rsidRPr="00DF449E">
        <w:t xml:space="preserve">13.  </w:t>
      </w:r>
      <w:r w:rsidRPr="00DF449E">
        <w:rPr>
          <w:u w:val="single"/>
        </w:rPr>
        <w:t>Estimated total annual cost burden to respondents</w:t>
      </w:r>
      <w:r w:rsidRPr="00DF449E">
        <w:t> </w:t>
      </w:r>
    </w:p>
    <w:p w:rsidR="00403DA0" w:rsidRPr="00DF449E" w:rsidP="00CB003A" w14:paraId="57E1D55D" w14:textId="77777777"/>
    <w:p w:rsidR="00E13A9C" w:rsidRPr="00DF449E" w:rsidP="00AD55CE" w14:paraId="0DC324AC" w14:textId="4FF6BDD0">
      <w:r w:rsidRPr="00DF449E">
        <w:t xml:space="preserve">There </w:t>
      </w:r>
      <w:r w:rsidRPr="00DF449E" w:rsidR="00A10CD2">
        <w:t>are</w:t>
      </w:r>
      <w:r w:rsidRPr="00DF449E">
        <w:t xml:space="preserve"> </w:t>
      </w:r>
      <w:r w:rsidRPr="00DF449E">
        <w:t xml:space="preserve">no annualized capital/startup costs for the </w:t>
      </w:r>
      <w:r w:rsidRPr="00DF449E" w:rsidR="00302265">
        <w:t xml:space="preserve">eligible </w:t>
      </w:r>
      <w:r w:rsidR="008621B5">
        <w:t>entitie</w:t>
      </w:r>
      <w:r w:rsidRPr="00DF449E" w:rsidR="008621B5">
        <w:t xml:space="preserve">s </w:t>
      </w:r>
      <w:r w:rsidRPr="00DF449E">
        <w:t>to provide th</w:t>
      </w:r>
      <w:r w:rsidRPr="00DF449E" w:rsidR="00AD55CE">
        <w:t>e</w:t>
      </w:r>
      <w:r w:rsidRPr="00DF449E">
        <w:t xml:space="preserve"> information</w:t>
      </w:r>
      <w:r w:rsidRPr="00DF449E" w:rsidR="005F1EBD">
        <w:t xml:space="preserve"> in the</w:t>
      </w:r>
      <w:r w:rsidRPr="00DF449E" w:rsidR="007A4924">
        <w:t xml:space="preserve"> form or certification</w:t>
      </w:r>
      <w:r w:rsidRPr="00DF449E" w:rsidR="00302265">
        <w:t xml:space="preserve">.  </w:t>
      </w:r>
    </w:p>
    <w:p w:rsidR="00E03689" w:rsidRPr="00DF449E" w:rsidP="00CB003A" w14:paraId="1262880B" w14:textId="77777777"/>
    <w:p w:rsidR="00961823" w:rsidRPr="00DF449E" w:rsidP="009E2FFF" w14:paraId="6909D241" w14:textId="7C332A46">
      <w:r w:rsidRPr="00DF449E">
        <w:t xml:space="preserve">14.  </w:t>
      </w:r>
      <w:r w:rsidRPr="00DF449E">
        <w:rPr>
          <w:u w:val="single"/>
        </w:rPr>
        <w:t>Estimated cost to the federal government</w:t>
      </w:r>
    </w:p>
    <w:p w:rsidR="00961823" w:rsidRPr="00DF449E" w:rsidP="00CB003A" w14:paraId="38D3F3A9" w14:textId="77777777"/>
    <w:p w:rsidR="00961823" w:rsidRPr="00DF449E" w:rsidP="00CB003A" w14:paraId="36377163" w14:textId="51E9C2B4">
      <w:r w:rsidRPr="00DF449E">
        <w:t xml:space="preserve">As this is a new program being set up in response to emergency circumstances, </w:t>
      </w:r>
      <w:r w:rsidR="003A4E32">
        <w:t>f</w:t>
      </w:r>
      <w:r w:rsidRPr="00DF449E">
        <w:t xml:space="preserve">ederal costs </w:t>
      </w:r>
      <w:r w:rsidRPr="00DF449E" w:rsidR="00F853A4">
        <w:t xml:space="preserve">have not </w:t>
      </w:r>
      <w:r w:rsidRPr="00DF449E">
        <w:t>be</w:t>
      </w:r>
      <w:r w:rsidRPr="00DF449E" w:rsidR="006F2321">
        <w:t>en</w:t>
      </w:r>
      <w:r w:rsidRPr="00DF449E">
        <w:t xml:space="preserve"> estimated yet.</w:t>
      </w:r>
    </w:p>
    <w:p w:rsidR="00E13A9C" w:rsidRPr="00DF449E" w:rsidP="00CB003A" w14:paraId="0805B863" w14:textId="77777777"/>
    <w:p w:rsidR="00961823" w:rsidRPr="00DF449E" w:rsidP="009E2FFF" w14:paraId="5E7F6423" w14:textId="77777777">
      <w:pPr>
        <w:keepNext/>
      </w:pPr>
      <w:r w:rsidRPr="00DF449E">
        <w:t xml:space="preserve">15.  </w:t>
      </w:r>
      <w:r w:rsidRPr="00DF449E">
        <w:rPr>
          <w:u w:val="single"/>
        </w:rPr>
        <w:t>Reasons for change in burden</w:t>
      </w:r>
    </w:p>
    <w:p w:rsidR="00961823" w:rsidRPr="00DF449E" w:rsidP="00666B6D" w14:paraId="58317911" w14:textId="77777777">
      <w:pPr>
        <w:keepNext/>
      </w:pPr>
    </w:p>
    <w:p w:rsidR="003C646C" w:rsidRPr="00E02491" w:rsidP="003C646C" w14:paraId="72E2A0FA" w14:textId="77777777">
      <w:r>
        <w:t>This revision is being submitted in order to add two Federal Communications Commission (FCC) identifiers – the Provider ID and Fabric ID – to the reporting guidance. There are no other changes to the collection or estimated burden.</w:t>
      </w:r>
    </w:p>
    <w:p w:rsidR="00F46EB1" w:rsidRPr="00DF449E" w:rsidP="00CB003A" w14:paraId="428CBF94" w14:textId="77777777"/>
    <w:p w:rsidR="00961823" w:rsidRPr="00DF449E" w:rsidP="009E2FFF" w14:paraId="73C59C3C" w14:textId="5828809C">
      <w:pPr>
        <w:keepNext/>
      </w:pPr>
      <w:r w:rsidRPr="00DF449E">
        <w:t xml:space="preserve">16.  </w:t>
      </w:r>
      <w:r w:rsidRPr="00DF449E">
        <w:rPr>
          <w:u w:val="single"/>
        </w:rPr>
        <w:t xml:space="preserve">Plans for tabulation, statistical </w:t>
      </w:r>
      <w:r w:rsidRPr="00DF449E" w:rsidR="008310D4">
        <w:rPr>
          <w:u w:val="single"/>
        </w:rPr>
        <w:t>analysis,</w:t>
      </w:r>
      <w:r w:rsidRPr="00DF449E" w:rsidR="00A2596F">
        <w:rPr>
          <w:u w:val="single"/>
        </w:rPr>
        <w:t xml:space="preserve"> and publication</w:t>
      </w:r>
    </w:p>
    <w:p w:rsidR="00A2596F" w:rsidRPr="00DF449E" w:rsidP="00CB003A" w14:paraId="7F078F3F" w14:textId="77777777"/>
    <w:p w:rsidR="006F68C4" w:rsidP="00CB003A" w14:paraId="600F61FD" w14:textId="05A16E1B">
      <w:r w:rsidRPr="00DF449E">
        <w:t xml:space="preserve">Treasury plans to publish the data for disbursements. </w:t>
      </w:r>
    </w:p>
    <w:p w:rsidR="00E45AB3" w:rsidP="00CB003A" w14:paraId="1D09B297" w14:textId="181507DA"/>
    <w:p w:rsidR="00E45AB3" w:rsidP="00CB003A" w14:paraId="2F685478" w14:textId="6C9AF387">
      <w:r>
        <w:t>Treasury plans to publish the Recovery Plans in Treasury’s public website.  As noted in the Compliance and Reporting Guidance, recipients must post into public-facing website the Recovery Plan provided to Treasury. As such, the information provided by the recipients is already accessible to the public through other means.</w:t>
      </w:r>
      <w:r w:rsidR="00DB2AB3">
        <w:t xml:space="preserve"> </w:t>
      </w:r>
    </w:p>
    <w:p w:rsidR="00E45AB3" w:rsidP="00CB003A" w14:paraId="1B1A1010" w14:textId="51E6E46B"/>
    <w:p w:rsidR="00DC3129" w:rsidP="00CB003A" w14:paraId="349AED15" w14:textId="411ACD24">
      <w:r>
        <w:t>Treasury plans to publish</w:t>
      </w:r>
      <w:r w:rsidR="00DB2B3C">
        <w:t xml:space="preserve"> the reporting data provided by recipients, including the </w:t>
      </w:r>
      <w:r>
        <w:t xml:space="preserve">Project and Expenditure Report data of each Recipient that submitted their report in the future.  </w:t>
      </w:r>
    </w:p>
    <w:p w:rsidR="00DC3129" w:rsidP="00CB003A" w14:paraId="2EF9C395" w14:textId="77777777"/>
    <w:p w:rsidR="00DB2AB3" w:rsidRPr="00DF449E" w:rsidP="00CB003A" w14:paraId="717BA55E" w14:textId="7EC4666A">
      <w:r>
        <w:t xml:space="preserve">The information is planned to be displayed by recipient in Treasury’s website. No complex analytical techniques are being used to post the information as the information will be a direct extract of the information reporting through Treasury’s online portal. </w:t>
      </w:r>
    </w:p>
    <w:p w:rsidR="0028091A" w:rsidP="00060833" w14:paraId="492F1BB9" w14:textId="37F8EB48"/>
    <w:p w:rsidR="00060833" w:rsidRPr="00DF449E" w:rsidP="00060833" w14:paraId="2F4768DE" w14:textId="5C3F375E">
      <w:r w:rsidRPr="00DF449E">
        <w:t>17.</w:t>
      </w:r>
      <w:r w:rsidR="003A4E32">
        <w:t xml:space="preserve"> </w:t>
      </w:r>
      <w:r w:rsidRPr="00DF449E">
        <w:t xml:space="preserve"> </w:t>
      </w:r>
      <w:r w:rsidRPr="00DF449E">
        <w:rPr>
          <w:u w:val="single"/>
        </w:rPr>
        <w:t>Display of the expiration date for OMB approval</w:t>
      </w:r>
    </w:p>
    <w:p w:rsidR="00060833" w:rsidRPr="00DF449E" w:rsidP="00060833" w14:paraId="618ECC43" w14:textId="77777777"/>
    <w:p w:rsidR="00060833" w:rsidP="00060833" w14:paraId="3E3F0859" w14:textId="3ED0E63F">
      <w:r w:rsidRPr="00DF449E">
        <w:t>Treasury plans to display the expiration date for OMB approval of the information collection on all instruments.</w:t>
      </w:r>
    </w:p>
    <w:p w:rsidR="00DC3129" w:rsidRPr="00DF449E" w:rsidP="00060833" w14:paraId="6F1DE4C9" w14:textId="77777777"/>
    <w:p w:rsidR="004B7407" w:rsidRPr="00DF449E" w:rsidP="009E2FFF" w14:paraId="34BABD13" w14:textId="77777777">
      <w:r w:rsidRPr="00DF449E">
        <w:t>1</w:t>
      </w:r>
      <w:r w:rsidRPr="00DF449E" w:rsidR="00060833">
        <w:t>8</w:t>
      </w:r>
      <w:r w:rsidRPr="00DF449E">
        <w:t xml:space="preserve">.  </w:t>
      </w:r>
      <w:r w:rsidRPr="00DF449E">
        <w:rPr>
          <w:u w:val="single"/>
        </w:rPr>
        <w:t>Exceptions to c</w:t>
      </w:r>
      <w:r w:rsidRPr="00DF449E" w:rsidR="00D97B1A">
        <w:rPr>
          <w:u w:val="single"/>
        </w:rPr>
        <w:t>er</w:t>
      </w:r>
      <w:r w:rsidRPr="00DF449E">
        <w:rPr>
          <w:u w:val="single"/>
        </w:rPr>
        <w:t>tifica</w:t>
      </w:r>
      <w:r w:rsidRPr="00DF449E" w:rsidR="00D97B1A">
        <w:rPr>
          <w:u w:val="single"/>
        </w:rPr>
        <w:t>ti</w:t>
      </w:r>
      <w:r w:rsidRPr="00DF449E">
        <w:rPr>
          <w:u w:val="single"/>
        </w:rPr>
        <w:t>on requirement</w:t>
      </w:r>
    </w:p>
    <w:p w:rsidR="004B7407" w:rsidRPr="00DF449E" w:rsidP="00A90BAB" w14:paraId="7AF45299" w14:textId="77777777"/>
    <w:p w:rsidR="00E03689" w:rsidRPr="00DF449E" w:rsidP="00A90BAB" w14:paraId="629F6464" w14:textId="4F99E2EC">
      <w:r w:rsidRPr="00DF449E">
        <w:t>T</w:t>
      </w:r>
      <w:r w:rsidRPr="00DF449E" w:rsidR="000E1F44">
        <w:t>here are no exceptions to the certification statement.</w:t>
      </w:r>
    </w:p>
    <w:p w:rsidR="00717738" w:rsidRPr="00DF449E" w:rsidP="00717738" w14:paraId="50D603CC" w14:textId="0FDF5639">
      <w:pPr>
        <w:rPr>
          <w:u w:val="single"/>
        </w:rPr>
      </w:pPr>
      <w:r w:rsidRPr="00A11D35">
        <w:rPr>
          <w:b/>
        </w:rPr>
        <w:t>Part B.  Describe the use of statistical methods such as sampling or imputation</w:t>
      </w:r>
    </w:p>
    <w:p w:rsidR="00717738" w:rsidRPr="00DF449E" w:rsidP="00717738" w14:paraId="3D5C8951" w14:textId="77777777">
      <w:pPr>
        <w:rPr>
          <w:u w:val="single"/>
        </w:rPr>
      </w:pPr>
    </w:p>
    <w:p w:rsidR="007C7314" w:rsidRPr="00DF449E" w:rsidP="00A90BAB" w14:paraId="220CCAF5" w14:textId="77777777">
      <w:pPr>
        <w:rPr>
          <w:b/>
        </w:rPr>
      </w:pPr>
      <w:r w:rsidRPr="00DF449E">
        <w:t>This collection does not employ statistical methods.</w:t>
      </w:r>
    </w:p>
    <w:sectPr w:rsidSect="00512B62">
      <w:footerReference w:type="even" r:id="rId9"/>
      <w:footerReference w:type="defaul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1D12" w:rsidP="00105553" w14:paraId="5FD2ED5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D1D12" w14:paraId="39E943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1D12" w:rsidP="00105553" w14:paraId="5A49DB04" w14:textId="2EF09D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3314">
      <w:rPr>
        <w:rStyle w:val="PageNumber"/>
        <w:noProof/>
      </w:rPr>
      <w:t>5</w:t>
    </w:r>
    <w:r>
      <w:rPr>
        <w:rStyle w:val="PageNumber"/>
      </w:rPr>
      <w:fldChar w:fldCharType="end"/>
    </w:r>
  </w:p>
  <w:p w:rsidR="005D1D12" w14:paraId="5E640F1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D71E9F"/>
    <w:multiLevelType w:val="hybridMultilevel"/>
    <w:tmpl w:val="CE3C9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7C1D6B"/>
    <w:multiLevelType w:val="hybridMultilevel"/>
    <w:tmpl w:val="1C1475F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397529"/>
    <w:multiLevelType w:val="hybridMultilevel"/>
    <w:tmpl w:val="1EB8F01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7BA631F"/>
    <w:multiLevelType w:val="hybridMultilevel"/>
    <w:tmpl w:val="CA6AEE4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1CD677E9"/>
    <w:multiLevelType w:val="hybridMultilevel"/>
    <w:tmpl w:val="E6BC5E0C"/>
    <w:lvl w:ilvl="0">
      <w:start w:val="1"/>
      <w:numFmt w:val="bullet"/>
      <w:lvlText w:val=""/>
      <w:lvlJc w:val="left"/>
      <w:pPr>
        <w:tabs>
          <w:tab w:val="num" w:pos="720"/>
        </w:tabs>
        <w:ind w:left="720" w:hanging="360"/>
      </w:pPr>
      <w:rPr>
        <w:rFonts w:ascii="Wingdings 3" w:hAnsi="Wingdings 3" w:hint="default"/>
      </w:rPr>
    </w:lvl>
    <w:lvl w:ilvl="1" w:tentative="1">
      <w:start w:val="1"/>
      <w:numFmt w:val="bullet"/>
      <w:lvlText w:val=""/>
      <w:lvlJc w:val="left"/>
      <w:pPr>
        <w:tabs>
          <w:tab w:val="num" w:pos="1440"/>
        </w:tabs>
        <w:ind w:left="1440" w:hanging="360"/>
      </w:pPr>
      <w:rPr>
        <w:rFonts w:ascii="Wingdings 3" w:hAnsi="Wingdings 3" w:hint="default"/>
      </w:rPr>
    </w:lvl>
    <w:lvl w:ilvl="2" w:tentative="1">
      <w:start w:val="1"/>
      <w:numFmt w:val="bullet"/>
      <w:lvlText w:val=""/>
      <w:lvlJc w:val="left"/>
      <w:pPr>
        <w:tabs>
          <w:tab w:val="num" w:pos="2160"/>
        </w:tabs>
        <w:ind w:left="2160" w:hanging="360"/>
      </w:pPr>
      <w:rPr>
        <w:rFonts w:ascii="Wingdings 3" w:hAnsi="Wingdings 3" w:hint="default"/>
      </w:rPr>
    </w:lvl>
    <w:lvl w:ilvl="3" w:tentative="1">
      <w:start w:val="1"/>
      <w:numFmt w:val="bullet"/>
      <w:lvlText w:val=""/>
      <w:lvlJc w:val="left"/>
      <w:pPr>
        <w:tabs>
          <w:tab w:val="num" w:pos="2880"/>
        </w:tabs>
        <w:ind w:left="2880" w:hanging="360"/>
      </w:pPr>
      <w:rPr>
        <w:rFonts w:ascii="Wingdings 3" w:hAnsi="Wingdings 3" w:hint="default"/>
      </w:rPr>
    </w:lvl>
    <w:lvl w:ilvl="4" w:tentative="1">
      <w:start w:val="1"/>
      <w:numFmt w:val="bullet"/>
      <w:lvlText w:val=""/>
      <w:lvlJc w:val="left"/>
      <w:pPr>
        <w:tabs>
          <w:tab w:val="num" w:pos="3600"/>
        </w:tabs>
        <w:ind w:left="3600" w:hanging="360"/>
      </w:pPr>
      <w:rPr>
        <w:rFonts w:ascii="Wingdings 3" w:hAnsi="Wingdings 3" w:hint="default"/>
      </w:rPr>
    </w:lvl>
    <w:lvl w:ilvl="5" w:tentative="1">
      <w:start w:val="1"/>
      <w:numFmt w:val="bullet"/>
      <w:lvlText w:val=""/>
      <w:lvlJc w:val="left"/>
      <w:pPr>
        <w:tabs>
          <w:tab w:val="num" w:pos="4320"/>
        </w:tabs>
        <w:ind w:left="4320" w:hanging="360"/>
      </w:pPr>
      <w:rPr>
        <w:rFonts w:ascii="Wingdings 3" w:hAnsi="Wingdings 3" w:hint="default"/>
      </w:rPr>
    </w:lvl>
    <w:lvl w:ilvl="6" w:tentative="1">
      <w:start w:val="1"/>
      <w:numFmt w:val="bullet"/>
      <w:lvlText w:val=""/>
      <w:lvlJc w:val="left"/>
      <w:pPr>
        <w:tabs>
          <w:tab w:val="num" w:pos="5040"/>
        </w:tabs>
        <w:ind w:left="5040" w:hanging="360"/>
      </w:pPr>
      <w:rPr>
        <w:rFonts w:ascii="Wingdings 3" w:hAnsi="Wingdings 3" w:hint="default"/>
      </w:rPr>
    </w:lvl>
    <w:lvl w:ilvl="7" w:tentative="1">
      <w:start w:val="1"/>
      <w:numFmt w:val="bullet"/>
      <w:lvlText w:val=""/>
      <w:lvlJc w:val="left"/>
      <w:pPr>
        <w:tabs>
          <w:tab w:val="num" w:pos="5760"/>
        </w:tabs>
        <w:ind w:left="5760" w:hanging="360"/>
      </w:pPr>
      <w:rPr>
        <w:rFonts w:ascii="Wingdings 3" w:hAnsi="Wingdings 3" w:hint="default"/>
      </w:rPr>
    </w:lvl>
    <w:lvl w:ilvl="8" w:tentative="1">
      <w:start w:val="1"/>
      <w:numFmt w:val="bullet"/>
      <w:lvlText w:val=""/>
      <w:lvlJc w:val="left"/>
      <w:pPr>
        <w:tabs>
          <w:tab w:val="num" w:pos="6480"/>
        </w:tabs>
        <w:ind w:left="6480" w:hanging="360"/>
      </w:pPr>
      <w:rPr>
        <w:rFonts w:ascii="Wingdings 3" w:hAnsi="Wingdings 3" w:hint="default"/>
      </w:rPr>
    </w:lvl>
  </w:abstractNum>
  <w:abstractNum w:abstractNumId="5">
    <w:nsid w:val="24325482"/>
    <w:multiLevelType w:val="hybridMultilevel"/>
    <w:tmpl w:val="2DC40650"/>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5740C24"/>
    <w:multiLevelType w:val="hybridMultilevel"/>
    <w:tmpl w:val="6CC6634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FD364FF"/>
    <w:multiLevelType w:val="hybridMultilevel"/>
    <w:tmpl w:val="9BACBC18"/>
    <w:lvl w:ilvl="0">
      <w:start w:val="1"/>
      <w:numFmt w:val="decimal"/>
      <w:lvlText w:val="(%1)"/>
      <w:lvlJc w:val="right"/>
      <w:pPr>
        <w:tabs>
          <w:tab w:val="num" w:pos="720"/>
        </w:tabs>
        <w:ind w:left="720" w:hanging="360"/>
      </w:pPr>
      <w:rPr>
        <w:rFonts w:hint="default"/>
        <w:b w:val="0"/>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7CF341C"/>
    <w:multiLevelType w:val="hybridMultilevel"/>
    <w:tmpl w:val="5DDACAA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9E40D9F"/>
    <w:multiLevelType w:val="hybridMultilevel"/>
    <w:tmpl w:val="A346368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D273B6D"/>
    <w:multiLevelType w:val="hybridMultilevel"/>
    <w:tmpl w:val="81F89D36"/>
    <w:lvl w:ilvl="0">
      <w:start w:val="1"/>
      <w:numFmt w:val="decimal"/>
      <w:lvlText w:val="%1."/>
      <w:lvlJc w:val="left"/>
      <w:pPr>
        <w:tabs>
          <w:tab w:val="num" w:pos="720"/>
        </w:tabs>
        <w:ind w:left="720" w:hanging="360"/>
      </w:pPr>
      <w:rPr>
        <w:rFonts w:hint="default"/>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4AA7A5E"/>
    <w:multiLevelType w:val="hybridMultilevel"/>
    <w:tmpl w:val="DE6A2BA4"/>
    <w:lvl w:ilvl="0">
      <w:start w:val="1"/>
      <w:numFmt w:val="decimal"/>
      <w:lvlText w:val="(%1)"/>
      <w:lvlJc w:val="right"/>
      <w:pPr>
        <w:ind w:left="720" w:hanging="360"/>
      </w:pPr>
      <w:rPr>
        <w:rFonts w:hint="default"/>
        <w:b w:val="0"/>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B3E48CE"/>
    <w:multiLevelType w:val="hybridMultilevel"/>
    <w:tmpl w:val="B92EA55C"/>
    <w:lvl w:ilvl="0">
      <w:start w:val="1"/>
      <w:numFmt w:val="bullet"/>
      <w:lvlText w:val=""/>
      <w:lvlJc w:val="left"/>
      <w:pPr>
        <w:ind w:left="835" w:hanging="360"/>
      </w:pPr>
      <w:rPr>
        <w:rFonts w:ascii="Symbol" w:hAnsi="Symbol" w:hint="default"/>
      </w:rPr>
    </w:lvl>
    <w:lvl w:ilvl="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13">
    <w:nsid w:val="4B524FFC"/>
    <w:multiLevelType w:val="hybridMultilevel"/>
    <w:tmpl w:val="E0F2369E"/>
    <w:lvl w:ilvl="0">
      <w:start w:val="8"/>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C80018C"/>
    <w:multiLevelType w:val="hybridMultilevel"/>
    <w:tmpl w:val="76E2302C"/>
    <w:lvl w:ilvl="0">
      <w:start w:val="7"/>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C872042"/>
    <w:multiLevelType w:val="hybridMultilevel"/>
    <w:tmpl w:val="B590DF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CCC655F"/>
    <w:multiLevelType w:val="hybridMultilevel"/>
    <w:tmpl w:val="86E21C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0C0BAD"/>
    <w:multiLevelType w:val="hybridMultilevel"/>
    <w:tmpl w:val="8D7A0F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99316C5"/>
    <w:multiLevelType w:val="hybridMultilevel"/>
    <w:tmpl w:val="A814A2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A7A4A48"/>
    <w:multiLevelType w:val="hybridMultilevel"/>
    <w:tmpl w:val="47FE4E5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C0C117F"/>
    <w:multiLevelType w:val="hybridMultilevel"/>
    <w:tmpl w:val="BC9410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D030D2F"/>
    <w:multiLevelType w:val="hybridMultilevel"/>
    <w:tmpl w:val="B056475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FAE623C"/>
    <w:multiLevelType w:val="hybridMultilevel"/>
    <w:tmpl w:val="1722F5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48A58CB"/>
    <w:multiLevelType w:val="hybridMultilevel"/>
    <w:tmpl w:val="CB2E28F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5293300"/>
    <w:multiLevelType w:val="hybridMultilevel"/>
    <w:tmpl w:val="3CCE3D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6A05313"/>
    <w:multiLevelType w:val="hybridMultilevel"/>
    <w:tmpl w:val="3E62A11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7223731"/>
    <w:multiLevelType w:val="hybridMultilevel"/>
    <w:tmpl w:val="6F48BAA8"/>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C5466C4"/>
    <w:multiLevelType w:val="hybridMultilevel"/>
    <w:tmpl w:val="D6DEBB8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87670129">
    <w:abstractNumId w:val="6"/>
  </w:num>
  <w:num w:numId="2" w16cid:durableId="1952276307">
    <w:abstractNumId w:val="23"/>
  </w:num>
  <w:num w:numId="3" w16cid:durableId="1509902700">
    <w:abstractNumId w:val="27"/>
  </w:num>
  <w:num w:numId="4" w16cid:durableId="1582445227">
    <w:abstractNumId w:val="9"/>
  </w:num>
  <w:num w:numId="5" w16cid:durableId="811099440">
    <w:abstractNumId w:val="26"/>
  </w:num>
  <w:num w:numId="6" w16cid:durableId="1062605502">
    <w:abstractNumId w:val="8"/>
  </w:num>
  <w:num w:numId="7" w16cid:durableId="266502025">
    <w:abstractNumId w:val="2"/>
  </w:num>
  <w:num w:numId="8" w16cid:durableId="352846824">
    <w:abstractNumId w:val="14"/>
  </w:num>
  <w:num w:numId="9" w16cid:durableId="107166470">
    <w:abstractNumId w:val="13"/>
  </w:num>
  <w:num w:numId="10" w16cid:durableId="1536960255">
    <w:abstractNumId w:val="18"/>
  </w:num>
  <w:num w:numId="11" w16cid:durableId="594558495">
    <w:abstractNumId w:val="5"/>
  </w:num>
  <w:num w:numId="12" w16cid:durableId="1351757809">
    <w:abstractNumId w:val="10"/>
  </w:num>
  <w:num w:numId="13" w16cid:durableId="311908321">
    <w:abstractNumId w:val="16"/>
  </w:num>
  <w:num w:numId="14" w16cid:durableId="1359618952">
    <w:abstractNumId w:val="24"/>
  </w:num>
  <w:num w:numId="15" w16cid:durableId="15038169">
    <w:abstractNumId w:val="0"/>
  </w:num>
  <w:num w:numId="16" w16cid:durableId="214508028">
    <w:abstractNumId w:val="11"/>
  </w:num>
  <w:num w:numId="17" w16cid:durableId="1403288899">
    <w:abstractNumId w:val="25"/>
  </w:num>
  <w:num w:numId="18" w16cid:durableId="1519080125">
    <w:abstractNumId w:val="7"/>
  </w:num>
  <w:num w:numId="19" w16cid:durableId="465246777">
    <w:abstractNumId w:val="17"/>
  </w:num>
  <w:num w:numId="20" w16cid:durableId="62410665">
    <w:abstractNumId w:val="4"/>
  </w:num>
  <w:num w:numId="21" w16cid:durableId="98569727">
    <w:abstractNumId w:val="1"/>
  </w:num>
  <w:num w:numId="22" w16cid:durableId="610357847">
    <w:abstractNumId w:val="21"/>
  </w:num>
  <w:num w:numId="23" w16cid:durableId="1908301505">
    <w:abstractNumId w:val="22"/>
  </w:num>
  <w:num w:numId="24" w16cid:durableId="1131361451">
    <w:abstractNumId w:val="12"/>
  </w:num>
  <w:num w:numId="25" w16cid:durableId="720789132">
    <w:abstractNumId w:val="15"/>
  </w:num>
  <w:num w:numId="26" w16cid:durableId="93786181">
    <w:abstractNumId w:val="19"/>
    <w:lvlOverride w:ilvl="0">
      <w:startOverride w:val="1"/>
    </w:lvlOverride>
    <w:lvlOverride w:ilvl="1"/>
    <w:lvlOverride w:ilvl="2"/>
    <w:lvlOverride w:ilvl="3"/>
    <w:lvlOverride w:ilvl="4"/>
    <w:lvlOverride w:ilvl="5"/>
    <w:lvlOverride w:ilvl="6"/>
    <w:lvlOverride w:ilvl="7"/>
    <w:lvlOverride w:ilvl="8"/>
  </w:num>
  <w:num w:numId="27" w16cid:durableId="340475601">
    <w:abstractNumId w:val="3"/>
  </w:num>
  <w:num w:numId="28" w16cid:durableId="17433339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0CE9"/>
    <w:rsid w:val="00000E15"/>
    <w:rsid w:val="00003C38"/>
    <w:rsid w:val="00004301"/>
    <w:rsid w:val="000047C3"/>
    <w:rsid w:val="000105BD"/>
    <w:rsid w:val="000117A5"/>
    <w:rsid w:val="0001213E"/>
    <w:rsid w:val="00012F7C"/>
    <w:rsid w:val="00013801"/>
    <w:rsid w:val="000141C3"/>
    <w:rsid w:val="0001560A"/>
    <w:rsid w:val="00017845"/>
    <w:rsid w:val="000204E2"/>
    <w:rsid w:val="00020E31"/>
    <w:rsid w:val="00021CB3"/>
    <w:rsid w:val="00021D40"/>
    <w:rsid w:val="00022A89"/>
    <w:rsid w:val="00022F56"/>
    <w:rsid w:val="00024B27"/>
    <w:rsid w:val="0002554C"/>
    <w:rsid w:val="00032DA3"/>
    <w:rsid w:val="0004048C"/>
    <w:rsid w:val="00040666"/>
    <w:rsid w:val="0004141D"/>
    <w:rsid w:val="00043314"/>
    <w:rsid w:val="00046B27"/>
    <w:rsid w:val="000505FB"/>
    <w:rsid w:val="00051468"/>
    <w:rsid w:val="00053EBD"/>
    <w:rsid w:val="0005651A"/>
    <w:rsid w:val="00060833"/>
    <w:rsid w:val="00062774"/>
    <w:rsid w:val="00062B59"/>
    <w:rsid w:val="00062C48"/>
    <w:rsid w:val="000703E5"/>
    <w:rsid w:val="00073704"/>
    <w:rsid w:val="000762A9"/>
    <w:rsid w:val="00077BF3"/>
    <w:rsid w:val="000813C5"/>
    <w:rsid w:val="000817D0"/>
    <w:rsid w:val="00083DB1"/>
    <w:rsid w:val="00090033"/>
    <w:rsid w:val="00093B1D"/>
    <w:rsid w:val="00094CA2"/>
    <w:rsid w:val="00096595"/>
    <w:rsid w:val="0009709C"/>
    <w:rsid w:val="000A00B5"/>
    <w:rsid w:val="000A03BB"/>
    <w:rsid w:val="000A1760"/>
    <w:rsid w:val="000A26E5"/>
    <w:rsid w:val="000A570C"/>
    <w:rsid w:val="000B0264"/>
    <w:rsid w:val="000B03FF"/>
    <w:rsid w:val="000B54EA"/>
    <w:rsid w:val="000B585D"/>
    <w:rsid w:val="000B7AAF"/>
    <w:rsid w:val="000C1553"/>
    <w:rsid w:val="000C1B38"/>
    <w:rsid w:val="000C3C83"/>
    <w:rsid w:val="000C6F26"/>
    <w:rsid w:val="000C7031"/>
    <w:rsid w:val="000E07A3"/>
    <w:rsid w:val="000E1D60"/>
    <w:rsid w:val="000E1F44"/>
    <w:rsid w:val="000E24F5"/>
    <w:rsid w:val="000E26DB"/>
    <w:rsid w:val="000E3303"/>
    <w:rsid w:val="000E72A0"/>
    <w:rsid w:val="000F0073"/>
    <w:rsid w:val="000F2AE6"/>
    <w:rsid w:val="000F53C2"/>
    <w:rsid w:val="000F70A5"/>
    <w:rsid w:val="000F75DA"/>
    <w:rsid w:val="001022FC"/>
    <w:rsid w:val="00105264"/>
    <w:rsid w:val="00105553"/>
    <w:rsid w:val="00105E4C"/>
    <w:rsid w:val="00106070"/>
    <w:rsid w:val="001065D8"/>
    <w:rsid w:val="00106A18"/>
    <w:rsid w:val="00110D39"/>
    <w:rsid w:val="001110E6"/>
    <w:rsid w:val="00112D71"/>
    <w:rsid w:val="001139DB"/>
    <w:rsid w:val="00113C21"/>
    <w:rsid w:val="00114490"/>
    <w:rsid w:val="00116531"/>
    <w:rsid w:val="00117C21"/>
    <w:rsid w:val="00122583"/>
    <w:rsid w:val="00122953"/>
    <w:rsid w:val="00124D8F"/>
    <w:rsid w:val="00127B26"/>
    <w:rsid w:val="001356F4"/>
    <w:rsid w:val="001357B2"/>
    <w:rsid w:val="0013651E"/>
    <w:rsid w:val="001374B1"/>
    <w:rsid w:val="0013796F"/>
    <w:rsid w:val="001438EE"/>
    <w:rsid w:val="00146E55"/>
    <w:rsid w:val="00147A26"/>
    <w:rsid w:val="0015104A"/>
    <w:rsid w:val="00155692"/>
    <w:rsid w:val="00156803"/>
    <w:rsid w:val="00156E23"/>
    <w:rsid w:val="0015784C"/>
    <w:rsid w:val="00161711"/>
    <w:rsid w:val="001648D5"/>
    <w:rsid w:val="00164BB3"/>
    <w:rsid w:val="00165343"/>
    <w:rsid w:val="00166E93"/>
    <w:rsid w:val="00166EF4"/>
    <w:rsid w:val="00166F8F"/>
    <w:rsid w:val="001670B8"/>
    <w:rsid w:val="00170A6C"/>
    <w:rsid w:val="00170A86"/>
    <w:rsid w:val="00171230"/>
    <w:rsid w:val="001742C4"/>
    <w:rsid w:val="00174A47"/>
    <w:rsid w:val="00176F71"/>
    <w:rsid w:val="0018027E"/>
    <w:rsid w:val="001819B9"/>
    <w:rsid w:val="001819F2"/>
    <w:rsid w:val="00181F21"/>
    <w:rsid w:val="0018375D"/>
    <w:rsid w:val="00186409"/>
    <w:rsid w:val="00187672"/>
    <w:rsid w:val="001903E3"/>
    <w:rsid w:val="00190ED4"/>
    <w:rsid w:val="001945CA"/>
    <w:rsid w:val="00194C78"/>
    <w:rsid w:val="001A1B5B"/>
    <w:rsid w:val="001A370E"/>
    <w:rsid w:val="001A64D4"/>
    <w:rsid w:val="001A71B7"/>
    <w:rsid w:val="001A7272"/>
    <w:rsid w:val="001B591E"/>
    <w:rsid w:val="001B649D"/>
    <w:rsid w:val="001C229E"/>
    <w:rsid w:val="001C2A42"/>
    <w:rsid w:val="001C2CBC"/>
    <w:rsid w:val="001D081A"/>
    <w:rsid w:val="001D128C"/>
    <w:rsid w:val="001D1C30"/>
    <w:rsid w:val="001D4D0C"/>
    <w:rsid w:val="001D57A5"/>
    <w:rsid w:val="001D5ADF"/>
    <w:rsid w:val="001E0C02"/>
    <w:rsid w:val="001E0D39"/>
    <w:rsid w:val="001E4205"/>
    <w:rsid w:val="001E4BCF"/>
    <w:rsid w:val="001E71FE"/>
    <w:rsid w:val="001F31FB"/>
    <w:rsid w:val="001F500A"/>
    <w:rsid w:val="00200FF7"/>
    <w:rsid w:val="00204B05"/>
    <w:rsid w:val="00207494"/>
    <w:rsid w:val="00210608"/>
    <w:rsid w:val="002151F8"/>
    <w:rsid w:val="0022132A"/>
    <w:rsid w:val="002246C1"/>
    <w:rsid w:val="00225E39"/>
    <w:rsid w:val="002312D9"/>
    <w:rsid w:val="00236471"/>
    <w:rsid w:val="00236487"/>
    <w:rsid w:val="00236E8A"/>
    <w:rsid w:val="00237FAA"/>
    <w:rsid w:val="0024000F"/>
    <w:rsid w:val="0024558B"/>
    <w:rsid w:val="002465AC"/>
    <w:rsid w:val="00247B5F"/>
    <w:rsid w:val="00250B5A"/>
    <w:rsid w:val="00252599"/>
    <w:rsid w:val="002551F6"/>
    <w:rsid w:val="00255285"/>
    <w:rsid w:val="0025604D"/>
    <w:rsid w:val="002561B1"/>
    <w:rsid w:val="00256911"/>
    <w:rsid w:val="00260CEB"/>
    <w:rsid w:val="00263480"/>
    <w:rsid w:val="00266A67"/>
    <w:rsid w:val="00270CF4"/>
    <w:rsid w:val="00271992"/>
    <w:rsid w:val="00275D84"/>
    <w:rsid w:val="00275E01"/>
    <w:rsid w:val="00276E84"/>
    <w:rsid w:val="00277F1D"/>
    <w:rsid w:val="0028091A"/>
    <w:rsid w:val="00281FBD"/>
    <w:rsid w:val="0028499E"/>
    <w:rsid w:val="00285B91"/>
    <w:rsid w:val="0028685C"/>
    <w:rsid w:val="002902D5"/>
    <w:rsid w:val="00290D01"/>
    <w:rsid w:val="002920BD"/>
    <w:rsid w:val="00293974"/>
    <w:rsid w:val="002A1E1D"/>
    <w:rsid w:val="002A5540"/>
    <w:rsid w:val="002B2EBC"/>
    <w:rsid w:val="002B6FA7"/>
    <w:rsid w:val="002C1CB0"/>
    <w:rsid w:val="002C223A"/>
    <w:rsid w:val="002C2A5D"/>
    <w:rsid w:val="002C3FA6"/>
    <w:rsid w:val="002D268B"/>
    <w:rsid w:val="002D5249"/>
    <w:rsid w:val="002E16EE"/>
    <w:rsid w:val="002E4398"/>
    <w:rsid w:val="002E713A"/>
    <w:rsid w:val="002F1B6C"/>
    <w:rsid w:val="002F2729"/>
    <w:rsid w:val="002F4085"/>
    <w:rsid w:val="00302265"/>
    <w:rsid w:val="00304673"/>
    <w:rsid w:val="00310513"/>
    <w:rsid w:val="00313BE0"/>
    <w:rsid w:val="00314168"/>
    <w:rsid w:val="00323F52"/>
    <w:rsid w:val="003265D6"/>
    <w:rsid w:val="00326FD6"/>
    <w:rsid w:val="00330E47"/>
    <w:rsid w:val="00332312"/>
    <w:rsid w:val="00337AC1"/>
    <w:rsid w:val="00341CAF"/>
    <w:rsid w:val="00343225"/>
    <w:rsid w:val="003506E7"/>
    <w:rsid w:val="0035119A"/>
    <w:rsid w:val="00352F77"/>
    <w:rsid w:val="00361604"/>
    <w:rsid w:val="003619F8"/>
    <w:rsid w:val="00364995"/>
    <w:rsid w:val="00365005"/>
    <w:rsid w:val="00370853"/>
    <w:rsid w:val="00374B7B"/>
    <w:rsid w:val="00377691"/>
    <w:rsid w:val="00377ECF"/>
    <w:rsid w:val="00380639"/>
    <w:rsid w:val="0038335A"/>
    <w:rsid w:val="00384175"/>
    <w:rsid w:val="00390A50"/>
    <w:rsid w:val="00391D6B"/>
    <w:rsid w:val="0039349E"/>
    <w:rsid w:val="00394A61"/>
    <w:rsid w:val="003956EF"/>
    <w:rsid w:val="003A0E21"/>
    <w:rsid w:val="003A37CA"/>
    <w:rsid w:val="003A4E32"/>
    <w:rsid w:val="003A52C5"/>
    <w:rsid w:val="003A5668"/>
    <w:rsid w:val="003A59D2"/>
    <w:rsid w:val="003B6624"/>
    <w:rsid w:val="003B7343"/>
    <w:rsid w:val="003B792F"/>
    <w:rsid w:val="003C068B"/>
    <w:rsid w:val="003C1272"/>
    <w:rsid w:val="003C1AB8"/>
    <w:rsid w:val="003C5B6F"/>
    <w:rsid w:val="003C646C"/>
    <w:rsid w:val="003D2F4E"/>
    <w:rsid w:val="003D4FD1"/>
    <w:rsid w:val="003D730A"/>
    <w:rsid w:val="003E087B"/>
    <w:rsid w:val="003E53BD"/>
    <w:rsid w:val="003E57D1"/>
    <w:rsid w:val="003E59BE"/>
    <w:rsid w:val="003E6173"/>
    <w:rsid w:val="003F129E"/>
    <w:rsid w:val="003F3118"/>
    <w:rsid w:val="003F59C0"/>
    <w:rsid w:val="003F65F7"/>
    <w:rsid w:val="003F6792"/>
    <w:rsid w:val="003F7AD4"/>
    <w:rsid w:val="003F7B3B"/>
    <w:rsid w:val="004011B5"/>
    <w:rsid w:val="004032CC"/>
    <w:rsid w:val="004035DF"/>
    <w:rsid w:val="00403DA0"/>
    <w:rsid w:val="00404BAE"/>
    <w:rsid w:val="004063EA"/>
    <w:rsid w:val="00406C35"/>
    <w:rsid w:val="00406DAA"/>
    <w:rsid w:val="004077B3"/>
    <w:rsid w:val="00414913"/>
    <w:rsid w:val="00414A14"/>
    <w:rsid w:val="0041645E"/>
    <w:rsid w:val="004267CE"/>
    <w:rsid w:val="004356D3"/>
    <w:rsid w:val="00437EDC"/>
    <w:rsid w:val="00443D4F"/>
    <w:rsid w:val="0044510E"/>
    <w:rsid w:val="004516C0"/>
    <w:rsid w:val="00451786"/>
    <w:rsid w:val="00453397"/>
    <w:rsid w:val="004545E1"/>
    <w:rsid w:val="00455574"/>
    <w:rsid w:val="00460B20"/>
    <w:rsid w:val="00462AB0"/>
    <w:rsid w:val="00464E08"/>
    <w:rsid w:val="00465D64"/>
    <w:rsid w:val="004672DC"/>
    <w:rsid w:val="00474021"/>
    <w:rsid w:val="0047526A"/>
    <w:rsid w:val="00475731"/>
    <w:rsid w:val="00477EA1"/>
    <w:rsid w:val="0048035C"/>
    <w:rsid w:val="0048426A"/>
    <w:rsid w:val="004870FC"/>
    <w:rsid w:val="004878F4"/>
    <w:rsid w:val="004933EA"/>
    <w:rsid w:val="00495742"/>
    <w:rsid w:val="004A31DC"/>
    <w:rsid w:val="004A3C2E"/>
    <w:rsid w:val="004A3EC2"/>
    <w:rsid w:val="004A47F1"/>
    <w:rsid w:val="004A54B9"/>
    <w:rsid w:val="004A7CC6"/>
    <w:rsid w:val="004B06B5"/>
    <w:rsid w:val="004B0AEF"/>
    <w:rsid w:val="004B0E13"/>
    <w:rsid w:val="004B1400"/>
    <w:rsid w:val="004B21AA"/>
    <w:rsid w:val="004B32A0"/>
    <w:rsid w:val="004B3837"/>
    <w:rsid w:val="004B497C"/>
    <w:rsid w:val="004B59B5"/>
    <w:rsid w:val="004B7407"/>
    <w:rsid w:val="004C06C3"/>
    <w:rsid w:val="004C1D5E"/>
    <w:rsid w:val="004C2574"/>
    <w:rsid w:val="004C3A16"/>
    <w:rsid w:val="004D0DB9"/>
    <w:rsid w:val="004D6801"/>
    <w:rsid w:val="004E16C4"/>
    <w:rsid w:val="004E3665"/>
    <w:rsid w:val="004E462F"/>
    <w:rsid w:val="004E60BD"/>
    <w:rsid w:val="004E6996"/>
    <w:rsid w:val="004F09CA"/>
    <w:rsid w:val="004F1F93"/>
    <w:rsid w:val="004F4225"/>
    <w:rsid w:val="004F5145"/>
    <w:rsid w:val="004F6BB6"/>
    <w:rsid w:val="004F79CC"/>
    <w:rsid w:val="005001D2"/>
    <w:rsid w:val="005005AD"/>
    <w:rsid w:val="0050578F"/>
    <w:rsid w:val="0050752B"/>
    <w:rsid w:val="00510977"/>
    <w:rsid w:val="00512B62"/>
    <w:rsid w:val="005214DD"/>
    <w:rsid w:val="005215C7"/>
    <w:rsid w:val="00524865"/>
    <w:rsid w:val="00525B3F"/>
    <w:rsid w:val="0052662E"/>
    <w:rsid w:val="00526B01"/>
    <w:rsid w:val="00527B6F"/>
    <w:rsid w:val="005306F0"/>
    <w:rsid w:val="005342BD"/>
    <w:rsid w:val="00534EA9"/>
    <w:rsid w:val="00535AD0"/>
    <w:rsid w:val="00536325"/>
    <w:rsid w:val="005366FC"/>
    <w:rsid w:val="00536F95"/>
    <w:rsid w:val="00537A46"/>
    <w:rsid w:val="0054191E"/>
    <w:rsid w:val="0054247E"/>
    <w:rsid w:val="0054549F"/>
    <w:rsid w:val="0054656A"/>
    <w:rsid w:val="00546D11"/>
    <w:rsid w:val="0055508C"/>
    <w:rsid w:val="00555717"/>
    <w:rsid w:val="00555E2A"/>
    <w:rsid w:val="00557696"/>
    <w:rsid w:val="00561B6F"/>
    <w:rsid w:val="00565E3C"/>
    <w:rsid w:val="005671C7"/>
    <w:rsid w:val="005678EC"/>
    <w:rsid w:val="00567BD4"/>
    <w:rsid w:val="00570A0E"/>
    <w:rsid w:val="00572D2C"/>
    <w:rsid w:val="00573580"/>
    <w:rsid w:val="005744E4"/>
    <w:rsid w:val="0057582F"/>
    <w:rsid w:val="00577B83"/>
    <w:rsid w:val="005809A8"/>
    <w:rsid w:val="0058176C"/>
    <w:rsid w:val="0058262E"/>
    <w:rsid w:val="0058297E"/>
    <w:rsid w:val="00586BF1"/>
    <w:rsid w:val="00587447"/>
    <w:rsid w:val="00587D50"/>
    <w:rsid w:val="00593C88"/>
    <w:rsid w:val="00597B8E"/>
    <w:rsid w:val="005A1476"/>
    <w:rsid w:val="005A1D4B"/>
    <w:rsid w:val="005A525F"/>
    <w:rsid w:val="005A5C1B"/>
    <w:rsid w:val="005A7213"/>
    <w:rsid w:val="005B1DA1"/>
    <w:rsid w:val="005B4124"/>
    <w:rsid w:val="005B774E"/>
    <w:rsid w:val="005C0D8E"/>
    <w:rsid w:val="005C533B"/>
    <w:rsid w:val="005C7887"/>
    <w:rsid w:val="005D099C"/>
    <w:rsid w:val="005D1D12"/>
    <w:rsid w:val="005E5A57"/>
    <w:rsid w:val="005E5B57"/>
    <w:rsid w:val="005F020C"/>
    <w:rsid w:val="005F1EBD"/>
    <w:rsid w:val="005F51AE"/>
    <w:rsid w:val="005F7439"/>
    <w:rsid w:val="0060168D"/>
    <w:rsid w:val="006040B2"/>
    <w:rsid w:val="006049CB"/>
    <w:rsid w:val="00605173"/>
    <w:rsid w:val="00606F8E"/>
    <w:rsid w:val="0060788E"/>
    <w:rsid w:val="00610580"/>
    <w:rsid w:val="00612025"/>
    <w:rsid w:val="00613621"/>
    <w:rsid w:val="006137E1"/>
    <w:rsid w:val="00616A24"/>
    <w:rsid w:val="00617435"/>
    <w:rsid w:val="00623A51"/>
    <w:rsid w:val="0063065F"/>
    <w:rsid w:val="00631DF4"/>
    <w:rsid w:val="00633442"/>
    <w:rsid w:val="00633A89"/>
    <w:rsid w:val="0064051D"/>
    <w:rsid w:val="0064314F"/>
    <w:rsid w:val="00651072"/>
    <w:rsid w:val="00651426"/>
    <w:rsid w:val="006536E9"/>
    <w:rsid w:val="00655999"/>
    <w:rsid w:val="00661D3D"/>
    <w:rsid w:val="00665C72"/>
    <w:rsid w:val="00666B6D"/>
    <w:rsid w:val="006678F4"/>
    <w:rsid w:val="00672845"/>
    <w:rsid w:val="00676FFC"/>
    <w:rsid w:val="00680A45"/>
    <w:rsid w:val="00681FB6"/>
    <w:rsid w:val="00683ED1"/>
    <w:rsid w:val="00685C0A"/>
    <w:rsid w:val="00686921"/>
    <w:rsid w:val="00686C1F"/>
    <w:rsid w:val="00691B0E"/>
    <w:rsid w:val="006929AD"/>
    <w:rsid w:val="00694496"/>
    <w:rsid w:val="006A2D85"/>
    <w:rsid w:val="006A4665"/>
    <w:rsid w:val="006B03AB"/>
    <w:rsid w:val="006B22D1"/>
    <w:rsid w:val="006B37E0"/>
    <w:rsid w:val="006B3E5B"/>
    <w:rsid w:val="006B47EB"/>
    <w:rsid w:val="006B58DF"/>
    <w:rsid w:val="006B6DF9"/>
    <w:rsid w:val="006C101A"/>
    <w:rsid w:val="006C2413"/>
    <w:rsid w:val="006C248F"/>
    <w:rsid w:val="006C3AD6"/>
    <w:rsid w:val="006D32A2"/>
    <w:rsid w:val="006D7534"/>
    <w:rsid w:val="006E02EB"/>
    <w:rsid w:val="006E6033"/>
    <w:rsid w:val="006F02DD"/>
    <w:rsid w:val="006F090F"/>
    <w:rsid w:val="006F2321"/>
    <w:rsid w:val="006F68C4"/>
    <w:rsid w:val="0070097D"/>
    <w:rsid w:val="007041E1"/>
    <w:rsid w:val="007042E9"/>
    <w:rsid w:val="00704B18"/>
    <w:rsid w:val="00705C2D"/>
    <w:rsid w:val="00705EC4"/>
    <w:rsid w:val="00707BDE"/>
    <w:rsid w:val="00715481"/>
    <w:rsid w:val="007155F8"/>
    <w:rsid w:val="007156A7"/>
    <w:rsid w:val="00715B2A"/>
    <w:rsid w:val="00717380"/>
    <w:rsid w:val="00717738"/>
    <w:rsid w:val="00717A0C"/>
    <w:rsid w:val="0072166B"/>
    <w:rsid w:val="007308A3"/>
    <w:rsid w:val="00730E6D"/>
    <w:rsid w:val="007313DF"/>
    <w:rsid w:val="0073360C"/>
    <w:rsid w:val="00741F3C"/>
    <w:rsid w:val="00742F17"/>
    <w:rsid w:val="00744AC4"/>
    <w:rsid w:val="0074741F"/>
    <w:rsid w:val="00752605"/>
    <w:rsid w:val="00753648"/>
    <w:rsid w:val="007552A4"/>
    <w:rsid w:val="00756FAF"/>
    <w:rsid w:val="007614AA"/>
    <w:rsid w:val="00763C12"/>
    <w:rsid w:val="00764D4B"/>
    <w:rsid w:val="00770396"/>
    <w:rsid w:val="00771CD5"/>
    <w:rsid w:val="00774C7D"/>
    <w:rsid w:val="00775C08"/>
    <w:rsid w:val="00780878"/>
    <w:rsid w:val="00781EF6"/>
    <w:rsid w:val="00786629"/>
    <w:rsid w:val="00792F45"/>
    <w:rsid w:val="00793732"/>
    <w:rsid w:val="007942C7"/>
    <w:rsid w:val="00795CCA"/>
    <w:rsid w:val="00795EFD"/>
    <w:rsid w:val="00796FD1"/>
    <w:rsid w:val="00797276"/>
    <w:rsid w:val="00797CCA"/>
    <w:rsid w:val="007A0410"/>
    <w:rsid w:val="007A4924"/>
    <w:rsid w:val="007A55E2"/>
    <w:rsid w:val="007B19D8"/>
    <w:rsid w:val="007B29AC"/>
    <w:rsid w:val="007B3E73"/>
    <w:rsid w:val="007B7101"/>
    <w:rsid w:val="007C1110"/>
    <w:rsid w:val="007C698F"/>
    <w:rsid w:val="007C7314"/>
    <w:rsid w:val="007D442C"/>
    <w:rsid w:val="007D5091"/>
    <w:rsid w:val="007D59EE"/>
    <w:rsid w:val="007E2A1B"/>
    <w:rsid w:val="007E596A"/>
    <w:rsid w:val="007E69B3"/>
    <w:rsid w:val="007E6EA8"/>
    <w:rsid w:val="007F0335"/>
    <w:rsid w:val="007F0AC9"/>
    <w:rsid w:val="007F118B"/>
    <w:rsid w:val="007F2C82"/>
    <w:rsid w:val="007F7F6F"/>
    <w:rsid w:val="0080016E"/>
    <w:rsid w:val="00802F36"/>
    <w:rsid w:val="008054F6"/>
    <w:rsid w:val="00810E73"/>
    <w:rsid w:val="00811E1F"/>
    <w:rsid w:val="00811F48"/>
    <w:rsid w:val="00821205"/>
    <w:rsid w:val="008224D5"/>
    <w:rsid w:val="008268EE"/>
    <w:rsid w:val="008310D4"/>
    <w:rsid w:val="00834C30"/>
    <w:rsid w:val="00836739"/>
    <w:rsid w:val="00842369"/>
    <w:rsid w:val="008475F5"/>
    <w:rsid w:val="00856DD0"/>
    <w:rsid w:val="00857B7C"/>
    <w:rsid w:val="008600F5"/>
    <w:rsid w:val="00860267"/>
    <w:rsid w:val="00861BDE"/>
    <w:rsid w:val="008621B5"/>
    <w:rsid w:val="00863EEF"/>
    <w:rsid w:val="008668A0"/>
    <w:rsid w:val="0086721E"/>
    <w:rsid w:val="00870E63"/>
    <w:rsid w:val="0087613A"/>
    <w:rsid w:val="008821EF"/>
    <w:rsid w:val="008862C6"/>
    <w:rsid w:val="00890D39"/>
    <w:rsid w:val="00891D3E"/>
    <w:rsid w:val="0089258D"/>
    <w:rsid w:val="008956E9"/>
    <w:rsid w:val="00896264"/>
    <w:rsid w:val="00896327"/>
    <w:rsid w:val="008966B3"/>
    <w:rsid w:val="00897B0B"/>
    <w:rsid w:val="008A01A4"/>
    <w:rsid w:val="008A15BE"/>
    <w:rsid w:val="008A57A0"/>
    <w:rsid w:val="008A5AEA"/>
    <w:rsid w:val="008A7CB6"/>
    <w:rsid w:val="008B55DF"/>
    <w:rsid w:val="008B64D0"/>
    <w:rsid w:val="008B7CB1"/>
    <w:rsid w:val="008C0234"/>
    <w:rsid w:val="008C31DD"/>
    <w:rsid w:val="008C332E"/>
    <w:rsid w:val="008C4046"/>
    <w:rsid w:val="008C531E"/>
    <w:rsid w:val="008D0548"/>
    <w:rsid w:val="008D211C"/>
    <w:rsid w:val="008D2985"/>
    <w:rsid w:val="008D6002"/>
    <w:rsid w:val="008D6850"/>
    <w:rsid w:val="008D78F1"/>
    <w:rsid w:val="008E0B5F"/>
    <w:rsid w:val="008E108A"/>
    <w:rsid w:val="008E5AF4"/>
    <w:rsid w:val="008E7C29"/>
    <w:rsid w:val="00900A9E"/>
    <w:rsid w:val="00907541"/>
    <w:rsid w:val="00913A34"/>
    <w:rsid w:val="009175C3"/>
    <w:rsid w:val="00920347"/>
    <w:rsid w:val="00921EA8"/>
    <w:rsid w:val="009259D5"/>
    <w:rsid w:val="00926C7F"/>
    <w:rsid w:val="00931D87"/>
    <w:rsid w:val="00935F32"/>
    <w:rsid w:val="00940B2A"/>
    <w:rsid w:val="00940EA2"/>
    <w:rsid w:val="00942D7C"/>
    <w:rsid w:val="009462E9"/>
    <w:rsid w:val="009465F7"/>
    <w:rsid w:val="0094726C"/>
    <w:rsid w:val="0094779F"/>
    <w:rsid w:val="00950A9E"/>
    <w:rsid w:val="00952B31"/>
    <w:rsid w:val="00953166"/>
    <w:rsid w:val="00960D41"/>
    <w:rsid w:val="00961823"/>
    <w:rsid w:val="00963D0A"/>
    <w:rsid w:val="00964CC6"/>
    <w:rsid w:val="00965D5D"/>
    <w:rsid w:val="00970625"/>
    <w:rsid w:val="009715F3"/>
    <w:rsid w:val="00976185"/>
    <w:rsid w:val="00977D3A"/>
    <w:rsid w:val="00983063"/>
    <w:rsid w:val="00983B56"/>
    <w:rsid w:val="00986077"/>
    <w:rsid w:val="00987475"/>
    <w:rsid w:val="00990870"/>
    <w:rsid w:val="0099140A"/>
    <w:rsid w:val="009957B3"/>
    <w:rsid w:val="009A1A7C"/>
    <w:rsid w:val="009A6965"/>
    <w:rsid w:val="009B367F"/>
    <w:rsid w:val="009B60FB"/>
    <w:rsid w:val="009B6250"/>
    <w:rsid w:val="009B6FA0"/>
    <w:rsid w:val="009B7C7D"/>
    <w:rsid w:val="009C7335"/>
    <w:rsid w:val="009D1369"/>
    <w:rsid w:val="009D6D37"/>
    <w:rsid w:val="009D7DC4"/>
    <w:rsid w:val="009E2385"/>
    <w:rsid w:val="009E2FFF"/>
    <w:rsid w:val="009E4CDC"/>
    <w:rsid w:val="009E5FD8"/>
    <w:rsid w:val="009F1EF0"/>
    <w:rsid w:val="009F4101"/>
    <w:rsid w:val="009F45CC"/>
    <w:rsid w:val="009F477E"/>
    <w:rsid w:val="009F4D1C"/>
    <w:rsid w:val="009F580D"/>
    <w:rsid w:val="009F5937"/>
    <w:rsid w:val="00A00149"/>
    <w:rsid w:val="00A00740"/>
    <w:rsid w:val="00A014CE"/>
    <w:rsid w:val="00A03BDC"/>
    <w:rsid w:val="00A03E6A"/>
    <w:rsid w:val="00A06C9D"/>
    <w:rsid w:val="00A106A0"/>
    <w:rsid w:val="00A10A09"/>
    <w:rsid w:val="00A10CD2"/>
    <w:rsid w:val="00A118EF"/>
    <w:rsid w:val="00A11D35"/>
    <w:rsid w:val="00A12716"/>
    <w:rsid w:val="00A137BE"/>
    <w:rsid w:val="00A14618"/>
    <w:rsid w:val="00A17E2E"/>
    <w:rsid w:val="00A22870"/>
    <w:rsid w:val="00A2596F"/>
    <w:rsid w:val="00A30469"/>
    <w:rsid w:val="00A3221C"/>
    <w:rsid w:val="00A3281A"/>
    <w:rsid w:val="00A34FE6"/>
    <w:rsid w:val="00A3763C"/>
    <w:rsid w:val="00A40A6B"/>
    <w:rsid w:val="00A41E99"/>
    <w:rsid w:val="00A45055"/>
    <w:rsid w:val="00A51E18"/>
    <w:rsid w:val="00A5370F"/>
    <w:rsid w:val="00A6203C"/>
    <w:rsid w:val="00A6381F"/>
    <w:rsid w:val="00A645CE"/>
    <w:rsid w:val="00A67505"/>
    <w:rsid w:val="00A70FB9"/>
    <w:rsid w:val="00A73029"/>
    <w:rsid w:val="00A73817"/>
    <w:rsid w:val="00A73FE3"/>
    <w:rsid w:val="00A75336"/>
    <w:rsid w:val="00A77609"/>
    <w:rsid w:val="00A81BCB"/>
    <w:rsid w:val="00A83F90"/>
    <w:rsid w:val="00A847B6"/>
    <w:rsid w:val="00A8753E"/>
    <w:rsid w:val="00A90BAB"/>
    <w:rsid w:val="00A91377"/>
    <w:rsid w:val="00A91D99"/>
    <w:rsid w:val="00A922EF"/>
    <w:rsid w:val="00A9305B"/>
    <w:rsid w:val="00A94B6A"/>
    <w:rsid w:val="00A954B0"/>
    <w:rsid w:val="00A956B0"/>
    <w:rsid w:val="00A95A75"/>
    <w:rsid w:val="00A95B12"/>
    <w:rsid w:val="00A96FCB"/>
    <w:rsid w:val="00AA13C1"/>
    <w:rsid w:val="00AA19E0"/>
    <w:rsid w:val="00AA65FC"/>
    <w:rsid w:val="00AB1B1B"/>
    <w:rsid w:val="00AB2BCE"/>
    <w:rsid w:val="00AB516F"/>
    <w:rsid w:val="00AB53B9"/>
    <w:rsid w:val="00AB5C61"/>
    <w:rsid w:val="00AB6D47"/>
    <w:rsid w:val="00AC14F7"/>
    <w:rsid w:val="00AC1EC6"/>
    <w:rsid w:val="00AC4A10"/>
    <w:rsid w:val="00AD007C"/>
    <w:rsid w:val="00AD1AF0"/>
    <w:rsid w:val="00AD55CE"/>
    <w:rsid w:val="00AE07D3"/>
    <w:rsid w:val="00AE3A52"/>
    <w:rsid w:val="00AE3D85"/>
    <w:rsid w:val="00AE5147"/>
    <w:rsid w:val="00AE7799"/>
    <w:rsid w:val="00AE78BE"/>
    <w:rsid w:val="00AE78E4"/>
    <w:rsid w:val="00AF04D6"/>
    <w:rsid w:val="00AF0BF9"/>
    <w:rsid w:val="00AF115F"/>
    <w:rsid w:val="00AF1185"/>
    <w:rsid w:val="00AF7D1C"/>
    <w:rsid w:val="00AF7E11"/>
    <w:rsid w:val="00B002FE"/>
    <w:rsid w:val="00B10097"/>
    <w:rsid w:val="00B10AC2"/>
    <w:rsid w:val="00B140DD"/>
    <w:rsid w:val="00B212EF"/>
    <w:rsid w:val="00B21358"/>
    <w:rsid w:val="00B21F28"/>
    <w:rsid w:val="00B2632C"/>
    <w:rsid w:val="00B30966"/>
    <w:rsid w:val="00B31CDA"/>
    <w:rsid w:val="00B36755"/>
    <w:rsid w:val="00B3713A"/>
    <w:rsid w:val="00B3747A"/>
    <w:rsid w:val="00B375A0"/>
    <w:rsid w:val="00B43B17"/>
    <w:rsid w:val="00B5075E"/>
    <w:rsid w:val="00B50861"/>
    <w:rsid w:val="00B5127C"/>
    <w:rsid w:val="00B52D55"/>
    <w:rsid w:val="00B54D07"/>
    <w:rsid w:val="00B56114"/>
    <w:rsid w:val="00B601FF"/>
    <w:rsid w:val="00B61494"/>
    <w:rsid w:val="00B64483"/>
    <w:rsid w:val="00B645F0"/>
    <w:rsid w:val="00B64EA2"/>
    <w:rsid w:val="00B703DC"/>
    <w:rsid w:val="00B716A8"/>
    <w:rsid w:val="00B8207D"/>
    <w:rsid w:val="00B82803"/>
    <w:rsid w:val="00B90CE9"/>
    <w:rsid w:val="00B923F6"/>
    <w:rsid w:val="00B93F8E"/>
    <w:rsid w:val="00BA081A"/>
    <w:rsid w:val="00BA0D32"/>
    <w:rsid w:val="00BA2B3E"/>
    <w:rsid w:val="00BA4BEA"/>
    <w:rsid w:val="00BA51F9"/>
    <w:rsid w:val="00BA59A6"/>
    <w:rsid w:val="00BA5A05"/>
    <w:rsid w:val="00BA67F9"/>
    <w:rsid w:val="00BB4B8D"/>
    <w:rsid w:val="00BB4BD8"/>
    <w:rsid w:val="00BB766F"/>
    <w:rsid w:val="00BB7818"/>
    <w:rsid w:val="00BC0FDB"/>
    <w:rsid w:val="00BC16C0"/>
    <w:rsid w:val="00BC1BAC"/>
    <w:rsid w:val="00BC5410"/>
    <w:rsid w:val="00BD0B65"/>
    <w:rsid w:val="00BD2AE1"/>
    <w:rsid w:val="00BD5E56"/>
    <w:rsid w:val="00BD750A"/>
    <w:rsid w:val="00BE229A"/>
    <w:rsid w:val="00BE34DF"/>
    <w:rsid w:val="00BE43F6"/>
    <w:rsid w:val="00BE4F64"/>
    <w:rsid w:val="00BE59AF"/>
    <w:rsid w:val="00BE717B"/>
    <w:rsid w:val="00BF3A38"/>
    <w:rsid w:val="00BF4A67"/>
    <w:rsid w:val="00BF4B97"/>
    <w:rsid w:val="00BF7366"/>
    <w:rsid w:val="00BF74F0"/>
    <w:rsid w:val="00BF7B70"/>
    <w:rsid w:val="00C00259"/>
    <w:rsid w:val="00C0391A"/>
    <w:rsid w:val="00C03DAC"/>
    <w:rsid w:val="00C06D3B"/>
    <w:rsid w:val="00C10B9E"/>
    <w:rsid w:val="00C119BE"/>
    <w:rsid w:val="00C13DD3"/>
    <w:rsid w:val="00C16E00"/>
    <w:rsid w:val="00C21BCC"/>
    <w:rsid w:val="00C226C9"/>
    <w:rsid w:val="00C26CE8"/>
    <w:rsid w:val="00C27183"/>
    <w:rsid w:val="00C27364"/>
    <w:rsid w:val="00C27A00"/>
    <w:rsid w:val="00C3022F"/>
    <w:rsid w:val="00C31808"/>
    <w:rsid w:val="00C34ABE"/>
    <w:rsid w:val="00C34C4D"/>
    <w:rsid w:val="00C36F16"/>
    <w:rsid w:val="00C450BD"/>
    <w:rsid w:val="00C521DC"/>
    <w:rsid w:val="00C60DF5"/>
    <w:rsid w:val="00C6142D"/>
    <w:rsid w:val="00C632D7"/>
    <w:rsid w:val="00C6332E"/>
    <w:rsid w:val="00C63A58"/>
    <w:rsid w:val="00C63D9B"/>
    <w:rsid w:val="00C67D77"/>
    <w:rsid w:val="00C75252"/>
    <w:rsid w:val="00C81F65"/>
    <w:rsid w:val="00C82F23"/>
    <w:rsid w:val="00C83670"/>
    <w:rsid w:val="00C8419D"/>
    <w:rsid w:val="00C936B2"/>
    <w:rsid w:val="00C954EA"/>
    <w:rsid w:val="00C9704D"/>
    <w:rsid w:val="00C97486"/>
    <w:rsid w:val="00CA30F8"/>
    <w:rsid w:val="00CA53FC"/>
    <w:rsid w:val="00CB003A"/>
    <w:rsid w:val="00CB085F"/>
    <w:rsid w:val="00CB3119"/>
    <w:rsid w:val="00CB3FC3"/>
    <w:rsid w:val="00CB5501"/>
    <w:rsid w:val="00CC0B33"/>
    <w:rsid w:val="00CC4523"/>
    <w:rsid w:val="00CC4534"/>
    <w:rsid w:val="00CD3136"/>
    <w:rsid w:val="00CD3D0C"/>
    <w:rsid w:val="00CD42A8"/>
    <w:rsid w:val="00CD5099"/>
    <w:rsid w:val="00CD58CD"/>
    <w:rsid w:val="00CD61E0"/>
    <w:rsid w:val="00CD64DA"/>
    <w:rsid w:val="00CE2D06"/>
    <w:rsid w:val="00CE332E"/>
    <w:rsid w:val="00CE6F37"/>
    <w:rsid w:val="00CE78C0"/>
    <w:rsid w:val="00CF10D4"/>
    <w:rsid w:val="00CF2CA4"/>
    <w:rsid w:val="00CF46A5"/>
    <w:rsid w:val="00CF4A47"/>
    <w:rsid w:val="00CF6A78"/>
    <w:rsid w:val="00CF6D13"/>
    <w:rsid w:val="00CF6E48"/>
    <w:rsid w:val="00D01021"/>
    <w:rsid w:val="00D03489"/>
    <w:rsid w:val="00D10916"/>
    <w:rsid w:val="00D116B1"/>
    <w:rsid w:val="00D117D6"/>
    <w:rsid w:val="00D12A06"/>
    <w:rsid w:val="00D133A6"/>
    <w:rsid w:val="00D1388F"/>
    <w:rsid w:val="00D15338"/>
    <w:rsid w:val="00D20B1E"/>
    <w:rsid w:val="00D23D3E"/>
    <w:rsid w:val="00D23E18"/>
    <w:rsid w:val="00D24768"/>
    <w:rsid w:val="00D24A88"/>
    <w:rsid w:val="00D32092"/>
    <w:rsid w:val="00D34137"/>
    <w:rsid w:val="00D367C2"/>
    <w:rsid w:val="00D41729"/>
    <w:rsid w:val="00D417A3"/>
    <w:rsid w:val="00D51E0C"/>
    <w:rsid w:val="00D5303C"/>
    <w:rsid w:val="00D530BF"/>
    <w:rsid w:val="00D5510C"/>
    <w:rsid w:val="00D568EF"/>
    <w:rsid w:val="00D60885"/>
    <w:rsid w:val="00D625C4"/>
    <w:rsid w:val="00D671BB"/>
    <w:rsid w:val="00D7040D"/>
    <w:rsid w:val="00D71D19"/>
    <w:rsid w:val="00D77556"/>
    <w:rsid w:val="00D82440"/>
    <w:rsid w:val="00D83594"/>
    <w:rsid w:val="00D84037"/>
    <w:rsid w:val="00D8477F"/>
    <w:rsid w:val="00D84F48"/>
    <w:rsid w:val="00D851F7"/>
    <w:rsid w:val="00D87602"/>
    <w:rsid w:val="00D87D0B"/>
    <w:rsid w:val="00D905A2"/>
    <w:rsid w:val="00D96EE2"/>
    <w:rsid w:val="00D97B1A"/>
    <w:rsid w:val="00DA033B"/>
    <w:rsid w:val="00DA05AC"/>
    <w:rsid w:val="00DA35D5"/>
    <w:rsid w:val="00DA5005"/>
    <w:rsid w:val="00DA5ADB"/>
    <w:rsid w:val="00DA5F5B"/>
    <w:rsid w:val="00DB07B0"/>
    <w:rsid w:val="00DB29A8"/>
    <w:rsid w:val="00DB2AB3"/>
    <w:rsid w:val="00DB2B3C"/>
    <w:rsid w:val="00DB51A3"/>
    <w:rsid w:val="00DC3129"/>
    <w:rsid w:val="00DC5878"/>
    <w:rsid w:val="00DD03B1"/>
    <w:rsid w:val="00DD050F"/>
    <w:rsid w:val="00DD104D"/>
    <w:rsid w:val="00DD2F41"/>
    <w:rsid w:val="00DD6046"/>
    <w:rsid w:val="00DD6760"/>
    <w:rsid w:val="00DE0234"/>
    <w:rsid w:val="00DE5BEB"/>
    <w:rsid w:val="00DE76C6"/>
    <w:rsid w:val="00DE7858"/>
    <w:rsid w:val="00DF17C1"/>
    <w:rsid w:val="00DF3373"/>
    <w:rsid w:val="00DF449E"/>
    <w:rsid w:val="00E00FDA"/>
    <w:rsid w:val="00E02491"/>
    <w:rsid w:val="00E02D8C"/>
    <w:rsid w:val="00E03689"/>
    <w:rsid w:val="00E03DE3"/>
    <w:rsid w:val="00E04766"/>
    <w:rsid w:val="00E07A7C"/>
    <w:rsid w:val="00E11046"/>
    <w:rsid w:val="00E13A9C"/>
    <w:rsid w:val="00E146F2"/>
    <w:rsid w:val="00E161CC"/>
    <w:rsid w:val="00E17B1C"/>
    <w:rsid w:val="00E20513"/>
    <w:rsid w:val="00E227DE"/>
    <w:rsid w:val="00E237D1"/>
    <w:rsid w:val="00E238E9"/>
    <w:rsid w:val="00E24973"/>
    <w:rsid w:val="00E321E6"/>
    <w:rsid w:val="00E344E9"/>
    <w:rsid w:val="00E34632"/>
    <w:rsid w:val="00E3516F"/>
    <w:rsid w:val="00E3552D"/>
    <w:rsid w:val="00E35CD0"/>
    <w:rsid w:val="00E425BD"/>
    <w:rsid w:val="00E45587"/>
    <w:rsid w:val="00E45AB3"/>
    <w:rsid w:val="00E45E00"/>
    <w:rsid w:val="00E45F6B"/>
    <w:rsid w:val="00E5392B"/>
    <w:rsid w:val="00E60314"/>
    <w:rsid w:val="00E635B4"/>
    <w:rsid w:val="00E64CE5"/>
    <w:rsid w:val="00E66ACB"/>
    <w:rsid w:val="00E71397"/>
    <w:rsid w:val="00E73EC5"/>
    <w:rsid w:val="00E77A64"/>
    <w:rsid w:val="00E8070F"/>
    <w:rsid w:val="00E80CE1"/>
    <w:rsid w:val="00E8245B"/>
    <w:rsid w:val="00E845BB"/>
    <w:rsid w:val="00E86A36"/>
    <w:rsid w:val="00E87A27"/>
    <w:rsid w:val="00E92231"/>
    <w:rsid w:val="00E92FD5"/>
    <w:rsid w:val="00E96BF2"/>
    <w:rsid w:val="00EA192C"/>
    <w:rsid w:val="00EA1C5C"/>
    <w:rsid w:val="00EA2F92"/>
    <w:rsid w:val="00EB21ED"/>
    <w:rsid w:val="00EB5A48"/>
    <w:rsid w:val="00EB5E62"/>
    <w:rsid w:val="00EC0C69"/>
    <w:rsid w:val="00EC0DB0"/>
    <w:rsid w:val="00EC3B00"/>
    <w:rsid w:val="00EC5662"/>
    <w:rsid w:val="00EC5FAF"/>
    <w:rsid w:val="00EC6749"/>
    <w:rsid w:val="00EC724C"/>
    <w:rsid w:val="00ED2EF4"/>
    <w:rsid w:val="00ED4EC9"/>
    <w:rsid w:val="00ED50C9"/>
    <w:rsid w:val="00ED6199"/>
    <w:rsid w:val="00EE0B0E"/>
    <w:rsid w:val="00EE3088"/>
    <w:rsid w:val="00EE5B3B"/>
    <w:rsid w:val="00EF2363"/>
    <w:rsid w:val="00EF6DCC"/>
    <w:rsid w:val="00EF71E5"/>
    <w:rsid w:val="00EF748D"/>
    <w:rsid w:val="00EF781C"/>
    <w:rsid w:val="00F004C2"/>
    <w:rsid w:val="00F02CD8"/>
    <w:rsid w:val="00F03C09"/>
    <w:rsid w:val="00F0789F"/>
    <w:rsid w:val="00F10B74"/>
    <w:rsid w:val="00F1487E"/>
    <w:rsid w:val="00F1757F"/>
    <w:rsid w:val="00F17E6F"/>
    <w:rsid w:val="00F22BA3"/>
    <w:rsid w:val="00F23171"/>
    <w:rsid w:val="00F23B72"/>
    <w:rsid w:val="00F24F5A"/>
    <w:rsid w:val="00F265B4"/>
    <w:rsid w:val="00F27C5F"/>
    <w:rsid w:val="00F305F7"/>
    <w:rsid w:val="00F31337"/>
    <w:rsid w:val="00F3392B"/>
    <w:rsid w:val="00F33F83"/>
    <w:rsid w:val="00F34B54"/>
    <w:rsid w:val="00F41911"/>
    <w:rsid w:val="00F41CA8"/>
    <w:rsid w:val="00F44DFF"/>
    <w:rsid w:val="00F4591C"/>
    <w:rsid w:val="00F46EB1"/>
    <w:rsid w:val="00F51DC7"/>
    <w:rsid w:val="00F51FEB"/>
    <w:rsid w:val="00F56D95"/>
    <w:rsid w:val="00F6095F"/>
    <w:rsid w:val="00F61E42"/>
    <w:rsid w:val="00F6525E"/>
    <w:rsid w:val="00F6594B"/>
    <w:rsid w:val="00F6770F"/>
    <w:rsid w:val="00F72D0B"/>
    <w:rsid w:val="00F7395C"/>
    <w:rsid w:val="00F73AC9"/>
    <w:rsid w:val="00F7485D"/>
    <w:rsid w:val="00F74F56"/>
    <w:rsid w:val="00F75F2D"/>
    <w:rsid w:val="00F76131"/>
    <w:rsid w:val="00F77798"/>
    <w:rsid w:val="00F853A4"/>
    <w:rsid w:val="00F858EA"/>
    <w:rsid w:val="00F9259A"/>
    <w:rsid w:val="00F9526D"/>
    <w:rsid w:val="00F95C6D"/>
    <w:rsid w:val="00FA1BB2"/>
    <w:rsid w:val="00FA30DB"/>
    <w:rsid w:val="00FA49D0"/>
    <w:rsid w:val="00FA6B23"/>
    <w:rsid w:val="00FB0552"/>
    <w:rsid w:val="00FB65CA"/>
    <w:rsid w:val="00FB7F1C"/>
    <w:rsid w:val="00FC174E"/>
    <w:rsid w:val="00FC2B60"/>
    <w:rsid w:val="00FC30FC"/>
    <w:rsid w:val="00FC33E4"/>
    <w:rsid w:val="00FC4D8E"/>
    <w:rsid w:val="00FD0BF8"/>
    <w:rsid w:val="00FD0D7E"/>
    <w:rsid w:val="00FD1539"/>
    <w:rsid w:val="00FD79FF"/>
    <w:rsid w:val="00FE06B5"/>
    <w:rsid w:val="00FE3BAD"/>
    <w:rsid w:val="00FE40CB"/>
    <w:rsid w:val="00FE40D2"/>
    <w:rsid w:val="00FE5155"/>
    <w:rsid w:val="00FF2C28"/>
    <w:rsid w:val="00FF3E13"/>
    <w:rsid w:val="65BEAA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BB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paragraph" w:styleId="Heading4">
    <w:name w:val="heading 4"/>
    <w:basedOn w:val="Normal"/>
    <w:next w:val="Normal"/>
    <w:link w:val="Heading4Char"/>
    <w:semiHidden/>
    <w:unhideWhenUsed/>
    <w:qFormat/>
    <w:rsid w:val="005306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semiHidden/>
    <w:unhideWhenUsed/>
    <w:rsid w:val="00F265B4"/>
    <w:rPr>
      <w:sz w:val="20"/>
      <w:szCs w:val="20"/>
    </w:rPr>
  </w:style>
  <w:style w:type="character" w:customStyle="1" w:styleId="FootnoteTextChar">
    <w:name w:val="Footnote Text Char"/>
    <w:basedOn w:val="DefaultParagraphFont"/>
    <w:link w:val="FootnoteText"/>
    <w:uiPriority w:val="99"/>
    <w:semiHidden/>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iPriority w:val="99"/>
    <w:unhideWhenUsed/>
    <w:rsid w:val="00926C7F"/>
    <w:rPr>
      <w:color w:val="0000FF" w:themeColor="hyperlink"/>
      <w:u w:val="single"/>
    </w:rPr>
  </w:style>
  <w:style w:type="character" w:styleId="Strong">
    <w:name w:val="Strong"/>
    <w:qFormat/>
    <w:rsid w:val="004545E1"/>
    <w:rPr>
      <w:rFonts w:cs="Times New Roman"/>
      <w:b/>
      <w:bCs/>
    </w:rPr>
  </w:style>
  <w:style w:type="character" w:customStyle="1" w:styleId="Heading4Char">
    <w:name w:val="Heading 4 Char"/>
    <w:basedOn w:val="DefaultParagraphFont"/>
    <w:link w:val="Heading4"/>
    <w:semiHidden/>
    <w:rsid w:val="005306F0"/>
    <w:rPr>
      <w:rFonts w:asciiTheme="majorHAnsi" w:eastAsiaTheme="majorEastAsia" w:hAnsiTheme="majorHAnsi" w:cstheme="majorBidi"/>
      <w:i/>
      <w:iCs/>
      <w:color w:val="365F91" w:themeColor="accent1" w:themeShade="BF"/>
      <w:sz w:val="24"/>
      <w:szCs w:val="24"/>
    </w:rPr>
  </w:style>
  <w:style w:type="character" w:styleId="UnresolvedMention">
    <w:name w:val="Unresolved Mention"/>
    <w:basedOn w:val="DefaultParagraphFont"/>
    <w:uiPriority w:val="99"/>
    <w:semiHidden/>
    <w:unhideWhenUsed/>
    <w:rsid w:val="001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home.treasury.gov/policy-issues/coronavirus/assistance-for-state-local-and-tribal-governments/state-and-local-fiscal-recovery-funds/recipient-compliance-and-reporting-responsibilities"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7D29C8E3DCB740B512085BDB890A19" ma:contentTypeVersion="12" ma:contentTypeDescription="Create a new document." ma:contentTypeScope="" ma:versionID="252040482c07e84078604bad08e1f478">
  <xsd:schema xmlns:xsd="http://www.w3.org/2001/XMLSchema" xmlns:xs="http://www.w3.org/2001/XMLSchema" xmlns:p="http://schemas.microsoft.com/office/2006/metadata/properties" xmlns:ns2="1998147e-1bae-4425-a5b5-824e2b69f76d" xmlns:ns3="79f0e6e4-ac4e-4584-83f0-2cc69c4e4aae" targetNamespace="http://schemas.microsoft.com/office/2006/metadata/properties" ma:root="true" ma:fieldsID="a426bac492543af192e091bebadc75c6" ns2:_="" ns3:_="">
    <xsd:import namespace="1998147e-1bae-4425-a5b5-824e2b69f76d"/>
    <xsd:import namespace="79f0e6e4-ac4e-4584-83f0-2cc69c4e4a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8147e-1bae-4425-a5b5-824e2b69f7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f0e6e4-ac4e-4584-83f0-2cc69c4e4a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B7CC1-A5AA-47D0-8908-28A4440B1EF9}">
  <ds:schemaRefs>
    <ds:schemaRef ds:uri="http://schemas.microsoft.com/sharepoint/v3/contenttype/forms"/>
  </ds:schemaRefs>
</ds:datastoreItem>
</file>

<file path=customXml/itemProps2.xml><?xml version="1.0" encoding="utf-8"?>
<ds:datastoreItem xmlns:ds="http://schemas.openxmlformats.org/officeDocument/2006/customXml" ds:itemID="{BBEBD35D-749A-4F5F-9488-BFC6BC02D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8147e-1bae-4425-a5b5-824e2b69f76d"/>
    <ds:schemaRef ds:uri="79f0e6e4-ac4e-4584-83f0-2cc69c4e4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F47BD1-A183-4665-9156-45FC07A156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DFC22B-F89E-4882-A2D9-4C746DADD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2817</Words>
  <Characters>16415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2023-06-02T16:37:00Z</dcterms:created>
  <dcterms:modified xsi:type="dcterms:W3CDTF">2023-06-02T16:38:00Z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0x010100FD7D29C8E3DCB740B512085BDB890A19</vt:lpwstr>
  </property>
  <property fmtid="{D5CDD505-2E9C-101B-9397-08002B2CF9AE}" pid="3" name="TitusGUID">
    <vt:lpwstr>6fa341e2-45b8-464c-be64-a15f1ff517db</vt:lpwstr>
  </property>
</Properties>
</file>